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A581A" w14:textId="77777777" w:rsidR="009C029B" w:rsidRDefault="00C765B3" w:rsidP="00D22649">
      <w:pPr>
        <w:spacing w:after="0" w:line="360" w:lineRule="auto"/>
        <w:ind w:left="567"/>
        <w:rPr>
          <w:rFonts w:ascii="Times New Roman" w:hAnsi="Times New Roman" w:cs="Times New Roman"/>
          <w:b/>
          <w:i/>
          <w:sz w:val="24"/>
          <w:szCs w:val="24"/>
        </w:rPr>
      </w:pPr>
      <w:r w:rsidRPr="00D22649">
        <w:rPr>
          <w:rFonts w:ascii="Times New Roman" w:hAnsi="Times New Roman" w:cs="Times New Roman"/>
          <w:b/>
          <w:i/>
          <w:sz w:val="24"/>
          <w:szCs w:val="24"/>
        </w:rPr>
        <w:t xml:space="preserve">Women’s Rights and the </w:t>
      </w:r>
      <w:r w:rsidR="00FC4173" w:rsidRPr="00D22649">
        <w:rPr>
          <w:rFonts w:ascii="Times New Roman" w:hAnsi="Times New Roman" w:cs="Times New Roman"/>
          <w:b/>
          <w:i/>
          <w:sz w:val="24"/>
          <w:szCs w:val="24"/>
        </w:rPr>
        <w:t>Periphery</w:t>
      </w:r>
      <w:r w:rsidRPr="00D22649">
        <w:rPr>
          <w:rFonts w:ascii="Times New Roman" w:hAnsi="Times New Roman" w:cs="Times New Roman"/>
          <w:b/>
          <w:i/>
          <w:sz w:val="24"/>
          <w:szCs w:val="24"/>
        </w:rPr>
        <w:t>: CEDAW’s Optional Protocol</w:t>
      </w:r>
    </w:p>
    <w:p w14:paraId="5162A959" w14:textId="77777777" w:rsidR="00D22649" w:rsidRPr="00D22649" w:rsidRDefault="00D22649" w:rsidP="00D22649">
      <w:pPr>
        <w:spacing w:after="0" w:line="360" w:lineRule="auto"/>
        <w:ind w:left="567"/>
        <w:rPr>
          <w:rFonts w:ascii="Times New Roman" w:hAnsi="Times New Roman" w:cs="Times New Roman"/>
          <w:b/>
          <w:i/>
          <w:sz w:val="24"/>
          <w:szCs w:val="24"/>
        </w:rPr>
      </w:pPr>
    </w:p>
    <w:p w14:paraId="5107953F" w14:textId="77777777" w:rsidR="00DC2C8C" w:rsidRPr="00D22649" w:rsidRDefault="00DC2C8C" w:rsidP="00D22649">
      <w:pPr>
        <w:spacing w:after="0" w:line="360" w:lineRule="auto"/>
        <w:ind w:left="567"/>
        <w:rPr>
          <w:rFonts w:ascii="Times New Roman" w:hAnsi="Times New Roman" w:cs="Times New Roman"/>
          <w:sz w:val="24"/>
          <w:szCs w:val="24"/>
        </w:rPr>
      </w:pPr>
      <w:r w:rsidRPr="00D22649">
        <w:rPr>
          <w:rFonts w:ascii="Times New Roman" w:hAnsi="Times New Roman" w:cs="Times New Roman"/>
          <w:sz w:val="24"/>
          <w:szCs w:val="24"/>
        </w:rPr>
        <w:t>Loveday Hodson</w:t>
      </w:r>
      <w:r w:rsidRPr="00D22649">
        <w:rPr>
          <w:rStyle w:val="FootnoteReference"/>
          <w:rFonts w:ascii="Times New Roman" w:hAnsi="Times New Roman" w:cs="Times New Roman"/>
          <w:sz w:val="24"/>
          <w:szCs w:val="24"/>
        </w:rPr>
        <w:footnoteReference w:customMarkFollows="1" w:id="1"/>
        <w:t>*</w:t>
      </w:r>
    </w:p>
    <w:p w14:paraId="2AF56A87" w14:textId="77777777" w:rsidR="00D22649" w:rsidRDefault="00D22649" w:rsidP="00D22649">
      <w:pPr>
        <w:spacing w:after="0" w:line="360" w:lineRule="auto"/>
        <w:rPr>
          <w:rFonts w:ascii="Times New Roman" w:hAnsi="Times New Roman" w:cs="Times New Roman"/>
          <w:b/>
          <w:sz w:val="24"/>
          <w:szCs w:val="24"/>
        </w:rPr>
      </w:pPr>
    </w:p>
    <w:p w14:paraId="24049250" w14:textId="77777777" w:rsidR="00454189" w:rsidRPr="00D22649" w:rsidRDefault="00454189" w:rsidP="00D22649">
      <w:pPr>
        <w:spacing w:after="0" w:line="360" w:lineRule="auto"/>
        <w:rPr>
          <w:rFonts w:ascii="Times New Roman" w:hAnsi="Times New Roman" w:cs="Times New Roman"/>
          <w:b/>
          <w:sz w:val="24"/>
          <w:szCs w:val="24"/>
        </w:rPr>
      </w:pPr>
      <w:r w:rsidRPr="00D22649">
        <w:rPr>
          <w:rFonts w:ascii="Times New Roman" w:hAnsi="Times New Roman" w:cs="Times New Roman"/>
          <w:b/>
          <w:sz w:val="24"/>
          <w:szCs w:val="24"/>
        </w:rPr>
        <w:t>Abstract</w:t>
      </w:r>
    </w:p>
    <w:p w14:paraId="36AAA2FD" w14:textId="77777777" w:rsidR="00714D1A" w:rsidRPr="00D22649" w:rsidRDefault="00714D1A" w:rsidP="00D22649">
      <w:pPr>
        <w:spacing w:after="0" w:line="360" w:lineRule="auto"/>
        <w:jc w:val="both"/>
        <w:rPr>
          <w:rFonts w:ascii="Times New Roman" w:hAnsi="Times New Roman" w:cs="Times New Roman"/>
          <w:sz w:val="24"/>
          <w:szCs w:val="24"/>
        </w:rPr>
      </w:pPr>
    </w:p>
    <w:p w14:paraId="4B3BA1A5" w14:textId="5D75049B" w:rsidR="00454189" w:rsidRPr="00D22649" w:rsidRDefault="00632515"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This </w:t>
      </w:r>
      <w:r w:rsidR="00D22649">
        <w:rPr>
          <w:rFonts w:ascii="Times New Roman" w:hAnsi="Times New Roman" w:cs="Times New Roman"/>
          <w:sz w:val="24"/>
          <w:szCs w:val="24"/>
        </w:rPr>
        <w:t>article</w:t>
      </w:r>
      <w:r w:rsidRPr="00D22649">
        <w:rPr>
          <w:rFonts w:ascii="Times New Roman" w:hAnsi="Times New Roman" w:cs="Times New Roman"/>
          <w:sz w:val="24"/>
          <w:szCs w:val="24"/>
        </w:rPr>
        <w:t xml:space="preserve"> place</w:t>
      </w:r>
      <w:r w:rsidR="006D351E" w:rsidRPr="00D22649">
        <w:rPr>
          <w:rFonts w:ascii="Times New Roman" w:hAnsi="Times New Roman" w:cs="Times New Roman"/>
          <w:sz w:val="24"/>
          <w:szCs w:val="24"/>
        </w:rPr>
        <w:t>s</w:t>
      </w:r>
      <w:r w:rsidRPr="00D22649">
        <w:rPr>
          <w:rFonts w:ascii="Times New Roman" w:hAnsi="Times New Roman" w:cs="Times New Roman"/>
          <w:sz w:val="24"/>
          <w:szCs w:val="24"/>
        </w:rPr>
        <w:t xml:space="preserve"> the </w:t>
      </w:r>
      <w:r w:rsidR="00B13E1D" w:rsidRPr="00D22649">
        <w:rPr>
          <w:rFonts w:ascii="Times New Roman" w:hAnsi="Times New Roman" w:cs="Times New Roman"/>
          <w:sz w:val="24"/>
          <w:szCs w:val="24"/>
        </w:rPr>
        <w:t xml:space="preserve">UN Women’s </w:t>
      </w:r>
      <w:r w:rsidRPr="00D22649">
        <w:rPr>
          <w:rFonts w:ascii="Times New Roman" w:hAnsi="Times New Roman" w:cs="Times New Roman"/>
          <w:sz w:val="24"/>
          <w:szCs w:val="24"/>
        </w:rPr>
        <w:t xml:space="preserve">Committee at </w:t>
      </w:r>
      <w:r w:rsidR="006D351E" w:rsidRPr="00D22649">
        <w:rPr>
          <w:rFonts w:ascii="Times New Roman" w:hAnsi="Times New Roman" w:cs="Times New Roman"/>
          <w:sz w:val="24"/>
          <w:szCs w:val="24"/>
        </w:rPr>
        <w:t>its centre</w:t>
      </w:r>
      <w:r w:rsidR="00B13E1D" w:rsidRPr="00D22649">
        <w:rPr>
          <w:rFonts w:ascii="Times New Roman" w:hAnsi="Times New Roman" w:cs="Times New Roman"/>
          <w:sz w:val="24"/>
          <w:szCs w:val="24"/>
        </w:rPr>
        <w:t xml:space="preserve"> in order </w:t>
      </w:r>
      <w:r w:rsidRPr="00D22649">
        <w:rPr>
          <w:rFonts w:ascii="Times New Roman" w:hAnsi="Times New Roman" w:cs="Times New Roman"/>
          <w:sz w:val="24"/>
          <w:szCs w:val="24"/>
        </w:rPr>
        <w:t xml:space="preserve">to </w:t>
      </w:r>
      <w:r w:rsidR="00714D1A" w:rsidRPr="00D22649">
        <w:rPr>
          <w:rFonts w:ascii="Times New Roman" w:hAnsi="Times New Roman" w:cs="Times New Roman"/>
          <w:sz w:val="24"/>
          <w:szCs w:val="24"/>
        </w:rPr>
        <w:t>consider</w:t>
      </w:r>
      <w:r w:rsidRPr="00D22649">
        <w:rPr>
          <w:rFonts w:ascii="Times New Roman" w:hAnsi="Times New Roman" w:cs="Times New Roman"/>
          <w:sz w:val="24"/>
          <w:szCs w:val="24"/>
        </w:rPr>
        <w:t xml:space="preserve"> </w:t>
      </w:r>
      <w:r w:rsidR="00B13E1D" w:rsidRPr="00D22649">
        <w:rPr>
          <w:rFonts w:ascii="Times New Roman" w:hAnsi="Times New Roman" w:cs="Times New Roman"/>
          <w:sz w:val="24"/>
          <w:szCs w:val="24"/>
        </w:rPr>
        <w:t>the normative implications of</w:t>
      </w:r>
      <w:r w:rsidRPr="00D22649">
        <w:rPr>
          <w:rFonts w:ascii="Times New Roman" w:hAnsi="Times New Roman" w:cs="Times New Roman"/>
          <w:sz w:val="24"/>
          <w:szCs w:val="24"/>
        </w:rPr>
        <w:t xml:space="preserve"> </w:t>
      </w:r>
      <w:r w:rsidR="00B13E1D" w:rsidRPr="00D22649">
        <w:rPr>
          <w:rFonts w:ascii="Times New Roman" w:hAnsi="Times New Roman" w:cs="Times New Roman"/>
          <w:sz w:val="24"/>
          <w:szCs w:val="24"/>
        </w:rPr>
        <w:t>having</w:t>
      </w:r>
      <w:r w:rsidRPr="00D22649">
        <w:rPr>
          <w:rFonts w:ascii="Times New Roman" w:hAnsi="Times New Roman" w:cs="Times New Roman"/>
          <w:sz w:val="24"/>
          <w:szCs w:val="24"/>
        </w:rPr>
        <w:t xml:space="preserve"> </w:t>
      </w:r>
      <w:r w:rsidR="00714D1A" w:rsidRPr="00D22649">
        <w:rPr>
          <w:rFonts w:ascii="Times New Roman" w:hAnsi="Times New Roman" w:cs="Times New Roman"/>
          <w:sz w:val="24"/>
          <w:szCs w:val="24"/>
        </w:rPr>
        <w:t>a space within the realm of international law that is headed by women decision-makers, whose remit is specifically gendered and whose task is to uphold the rights of women</w:t>
      </w:r>
      <w:r w:rsidR="00B13E1D" w:rsidRPr="00D22649">
        <w:rPr>
          <w:rFonts w:ascii="Times New Roman" w:hAnsi="Times New Roman" w:cs="Times New Roman"/>
          <w:sz w:val="24"/>
          <w:szCs w:val="24"/>
        </w:rPr>
        <w:t>.  It suggests that the Committee</w:t>
      </w:r>
      <w:r w:rsidR="00714D1A" w:rsidRPr="00D22649">
        <w:rPr>
          <w:rFonts w:ascii="Times New Roman" w:hAnsi="Times New Roman" w:cs="Times New Roman"/>
          <w:sz w:val="24"/>
          <w:szCs w:val="24"/>
        </w:rPr>
        <w:t>’s importance has largely been overlooked</w:t>
      </w:r>
      <w:r w:rsidR="0000082A" w:rsidRPr="00D22649">
        <w:rPr>
          <w:rFonts w:ascii="Times New Roman" w:hAnsi="Times New Roman" w:cs="Times New Roman"/>
          <w:sz w:val="24"/>
          <w:szCs w:val="24"/>
        </w:rPr>
        <w:t>, which is a considerable oversight</w:t>
      </w:r>
      <w:r w:rsidR="00186A9E" w:rsidRPr="00D22649">
        <w:rPr>
          <w:rFonts w:ascii="Times New Roman" w:hAnsi="Times New Roman" w:cs="Times New Roman"/>
          <w:sz w:val="24"/>
          <w:szCs w:val="24"/>
        </w:rPr>
        <w:t>.  The Committee</w:t>
      </w:r>
      <w:r w:rsidR="0000082A" w:rsidRPr="00D22649">
        <w:rPr>
          <w:rFonts w:ascii="Times New Roman" w:hAnsi="Times New Roman" w:cs="Times New Roman"/>
          <w:sz w:val="24"/>
          <w:szCs w:val="24"/>
        </w:rPr>
        <w:t xml:space="preserve"> </w:t>
      </w:r>
      <w:r w:rsidR="00B13E1D" w:rsidRPr="00D22649">
        <w:rPr>
          <w:rFonts w:ascii="Times New Roman" w:hAnsi="Times New Roman" w:cs="Times New Roman"/>
          <w:sz w:val="24"/>
          <w:szCs w:val="24"/>
        </w:rPr>
        <w:t xml:space="preserve">is uniquely positioned to </w:t>
      </w:r>
      <w:r w:rsidR="006D524C" w:rsidRPr="00D22649">
        <w:rPr>
          <w:rFonts w:ascii="Times New Roman" w:hAnsi="Times New Roman" w:cs="Times New Roman"/>
          <w:sz w:val="24"/>
          <w:szCs w:val="24"/>
        </w:rPr>
        <w:t>contribute</w:t>
      </w:r>
      <w:r w:rsidR="00B13E1D" w:rsidRPr="00D22649">
        <w:rPr>
          <w:rFonts w:ascii="Times New Roman" w:hAnsi="Times New Roman" w:cs="Times New Roman"/>
          <w:sz w:val="24"/>
          <w:szCs w:val="24"/>
        </w:rPr>
        <w:t xml:space="preserve"> to the transformation of human rights norms, occupying</w:t>
      </w:r>
      <w:r w:rsidR="00714D1A" w:rsidRPr="00D22649">
        <w:rPr>
          <w:rFonts w:ascii="Times New Roman" w:hAnsi="Times New Roman" w:cs="Times New Roman"/>
          <w:sz w:val="24"/>
          <w:szCs w:val="24"/>
        </w:rPr>
        <w:t>,</w:t>
      </w:r>
      <w:r w:rsidR="00B13E1D" w:rsidRPr="00D22649">
        <w:rPr>
          <w:rFonts w:ascii="Times New Roman" w:hAnsi="Times New Roman" w:cs="Times New Roman"/>
          <w:sz w:val="24"/>
          <w:szCs w:val="24"/>
        </w:rPr>
        <w:t xml:space="preserve"> as it arguably does</w:t>
      </w:r>
      <w:r w:rsidR="00714D1A" w:rsidRPr="00D22649">
        <w:rPr>
          <w:rFonts w:ascii="Times New Roman" w:hAnsi="Times New Roman" w:cs="Times New Roman"/>
          <w:sz w:val="24"/>
          <w:szCs w:val="24"/>
        </w:rPr>
        <w:t>,</w:t>
      </w:r>
      <w:r w:rsidR="00B13E1D" w:rsidRPr="00D22649">
        <w:rPr>
          <w:rFonts w:ascii="Times New Roman" w:hAnsi="Times New Roman" w:cs="Times New Roman"/>
          <w:sz w:val="24"/>
          <w:szCs w:val="24"/>
        </w:rPr>
        <w:t xml:space="preserve"> positions </w:t>
      </w:r>
      <w:r w:rsidR="00714D1A" w:rsidRPr="00D22649">
        <w:rPr>
          <w:rFonts w:ascii="Times New Roman" w:hAnsi="Times New Roman" w:cs="Times New Roman"/>
          <w:sz w:val="24"/>
          <w:szCs w:val="24"/>
        </w:rPr>
        <w:t>simultaneously</w:t>
      </w:r>
      <w:r w:rsidR="00B13E1D" w:rsidRPr="00D22649">
        <w:rPr>
          <w:rFonts w:ascii="Times New Roman" w:hAnsi="Times New Roman" w:cs="Times New Roman"/>
          <w:sz w:val="24"/>
          <w:szCs w:val="24"/>
        </w:rPr>
        <w:t xml:space="preserve"> at the centre and at the periphery of international law.  </w:t>
      </w:r>
      <w:r w:rsidR="00714D1A" w:rsidRPr="00D22649">
        <w:rPr>
          <w:rFonts w:ascii="Times New Roman" w:hAnsi="Times New Roman" w:cs="Times New Roman"/>
          <w:sz w:val="24"/>
          <w:szCs w:val="24"/>
        </w:rPr>
        <w:t xml:space="preserve">In particular, this </w:t>
      </w:r>
      <w:r w:rsidR="00D22649">
        <w:rPr>
          <w:rFonts w:ascii="Times New Roman" w:hAnsi="Times New Roman" w:cs="Times New Roman"/>
          <w:sz w:val="24"/>
          <w:szCs w:val="24"/>
        </w:rPr>
        <w:t>article</w:t>
      </w:r>
      <w:r w:rsidR="00714D1A" w:rsidRPr="00D22649">
        <w:rPr>
          <w:rFonts w:ascii="Times New Roman" w:hAnsi="Times New Roman" w:cs="Times New Roman"/>
          <w:sz w:val="24"/>
          <w:szCs w:val="24"/>
        </w:rPr>
        <w:t xml:space="preserve"> examines </w:t>
      </w:r>
      <w:r w:rsidR="00B13E1D" w:rsidRPr="00D22649">
        <w:rPr>
          <w:rFonts w:ascii="Times New Roman" w:hAnsi="Times New Roman" w:cs="Times New Roman"/>
          <w:sz w:val="24"/>
          <w:szCs w:val="24"/>
        </w:rPr>
        <w:t xml:space="preserve">the </w:t>
      </w:r>
      <w:r w:rsidR="00714D1A" w:rsidRPr="00D22649">
        <w:rPr>
          <w:rFonts w:ascii="Times New Roman" w:hAnsi="Times New Roman" w:cs="Times New Roman"/>
          <w:sz w:val="24"/>
          <w:szCs w:val="24"/>
        </w:rPr>
        <w:t xml:space="preserve">jurisprudence that has emerged under the individual complaints procedure of the Optional Protocol to CEDAW and questions how far the Committee </w:t>
      </w:r>
      <w:r w:rsidR="00186A9E" w:rsidRPr="00D22649">
        <w:rPr>
          <w:rFonts w:ascii="Times New Roman" w:hAnsi="Times New Roman" w:cs="Times New Roman"/>
          <w:sz w:val="24"/>
          <w:szCs w:val="24"/>
        </w:rPr>
        <w:t xml:space="preserve">has been able </w:t>
      </w:r>
      <w:r w:rsidR="00714D1A" w:rsidRPr="00D22649">
        <w:rPr>
          <w:rFonts w:ascii="Times New Roman" w:hAnsi="Times New Roman" w:cs="Times New Roman"/>
          <w:sz w:val="24"/>
          <w:szCs w:val="24"/>
        </w:rPr>
        <w:t>to develop women's rights in recent years into a body of law that departs from the normative and structural limitations of international human rights laws.</w:t>
      </w:r>
      <w:r w:rsidR="00186A9E" w:rsidRPr="00D22649">
        <w:rPr>
          <w:rFonts w:ascii="Times New Roman" w:hAnsi="Times New Roman" w:cs="Times New Roman"/>
          <w:sz w:val="24"/>
          <w:szCs w:val="24"/>
        </w:rPr>
        <w:t xml:space="preserve">  </w:t>
      </w:r>
    </w:p>
    <w:p w14:paraId="49B519B2" w14:textId="77777777" w:rsidR="00632515" w:rsidRPr="00D22649" w:rsidRDefault="00632515" w:rsidP="00D22649">
      <w:pPr>
        <w:spacing w:after="0" w:line="360" w:lineRule="auto"/>
        <w:rPr>
          <w:rFonts w:ascii="Times New Roman" w:hAnsi="Times New Roman" w:cs="Times New Roman"/>
          <w:sz w:val="24"/>
          <w:szCs w:val="24"/>
        </w:rPr>
      </w:pPr>
    </w:p>
    <w:p w14:paraId="43A7AAF0" w14:textId="1783373B" w:rsidR="009C029B" w:rsidRPr="00D22649" w:rsidRDefault="00FF509A" w:rsidP="00D22649">
      <w:pPr>
        <w:spacing w:after="0" w:line="360" w:lineRule="auto"/>
        <w:jc w:val="both"/>
        <w:rPr>
          <w:rFonts w:ascii="Times New Roman" w:hAnsi="Times New Roman" w:cs="Times New Roman"/>
          <w:b/>
          <w:sz w:val="24"/>
          <w:szCs w:val="24"/>
        </w:rPr>
      </w:pPr>
      <w:r w:rsidRPr="00D22649">
        <w:rPr>
          <w:rFonts w:ascii="Times New Roman" w:hAnsi="Times New Roman" w:cs="Times New Roman"/>
          <w:b/>
          <w:sz w:val="24"/>
          <w:szCs w:val="24"/>
        </w:rPr>
        <w:t>1</w:t>
      </w:r>
      <w:r w:rsidRPr="00D22649">
        <w:rPr>
          <w:rFonts w:ascii="Times New Roman" w:hAnsi="Times New Roman" w:cs="Times New Roman"/>
          <w:b/>
          <w:sz w:val="24"/>
          <w:szCs w:val="24"/>
        </w:rPr>
        <w:tab/>
      </w:r>
      <w:r w:rsidR="009C029B" w:rsidRPr="00D22649">
        <w:rPr>
          <w:rFonts w:ascii="Times New Roman" w:hAnsi="Times New Roman" w:cs="Times New Roman"/>
          <w:b/>
          <w:sz w:val="24"/>
          <w:szCs w:val="24"/>
        </w:rPr>
        <w:t>Introduction</w:t>
      </w:r>
    </w:p>
    <w:p w14:paraId="792417A2" w14:textId="036F96B8" w:rsidR="00152849" w:rsidRPr="00D22649" w:rsidRDefault="00F77540"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The </w:t>
      </w:r>
      <w:r w:rsidR="001B39F2" w:rsidRPr="00D22649">
        <w:rPr>
          <w:rFonts w:ascii="Times New Roman" w:hAnsi="Times New Roman" w:cs="Times New Roman"/>
          <w:sz w:val="24"/>
          <w:szCs w:val="24"/>
        </w:rPr>
        <w:t>Committee on the Elimination of All Forms of Discrimination against Women</w:t>
      </w:r>
      <w:r w:rsidRPr="00D22649">
        <w:rPr>
          <w:rFonts w:ascii="Times New Roman" w:hAnsi="Times New Roman" w:cs="Times New Roman"/>
          <w:sz w:val="24"/>
          <w:szCs w:val="24"/>
        </w:rPr>
        <w:t xml:space="preserve"> </w:t>
      </w:r>
      <w:r w:rsidR="00F66B62" w:rsidRPr="00D22649">
        <w:rPr>
          <w:rFonts w:ascii="Times New Roman" w:hAnsi="Times New Roman" w:cs="Times New Roman"/>
          <w:sz w:val="24"/>
          <w:szCs w:val="24"/>
        </w:rPr>
        <w:t>(</w:t>
      </w:r>
      <w:r w:rsidR="00143FFA" w:rsidRPr="00D22649">
        <w:rPr>
          <w:rFonts w:ascii="Times New Roman" w:hAnsi="Times New Roman" w:cs="Times New Roman"/>
          <w:sz w:val="24"/>
          <w:szCs w:val="24"/>
        </w:rPr>
        <w:t>the Committee or Women’s Committee</w:t>
      </w:r>
      <w:r w:rsidR="00F66B62" w:rsidRPr="00D22649">
        <w:rPr>
          <w:rFonts w:ascii="Times New Roman" w:hAnsi="Times New Roman" w:cs="Times New Roman"/>
          <w:sz w:val="24"/>
          <w:szCs w:val="24"/>
        </w:rPr>
        <w:t>)</w:t>
      </w:r>
      <w:r w:rsidR="00143FFA" w:rsidRPr="00D22649">
        <w:rPr>
          <w:rFonts w:ascii="Times New Roman" w:hAnsi="Times New Roman" w:cs="Times New Roman"/>
          <w:sz w:val="24"/>
          <w:szCs w:val="24"/>
        </w:rPr>
        <w:t xml:space="preserve"> </w:t>
      </w:r>
      <w:r w:rsidRPr="00D22649">
        <w:rPr>
          <w:rFonts w:ascii="Times New Roman" w:hAnsi="Times New Roman" w:cs="Times New Roman"/>
          <w:sz w:val="24"/>
          <w:szCs w:val="24"/>
        </w:rPr>
        <w:t xml:space="preserve">is a unique </w:t>
      </w:r>
      <w:r w:rsidR="00941B03" w:rsidRPr="00D22649">
        <w:rPr>
          <w:rFonts w:ascii="Times New Roman" w:hAnsi="Times New Roman" w:cs="Times New Roman"/>
          <w:sz w:val="24"/>
          <w:szCs w:val="24"/>
        </w:rPr>
        <w:t xml:space="preserve">and fascinating </w:t>
      </w:r>
      <w:r w:rsidR="001B39F2" w:rsidRPr="00D22649">
        <w:rPr>
          <w:rFonts w:ascii="Times New Roman" w:hAnsi="Times New Roman" w:cs="Times New Roman"/>
          <w:sz w:val="24"/>
          <w:szCs w:val="24"/>
        </w:rPr>
        <w:t>institution;</w:t>
      </w:r>
      <w:r w:rsidRPr="00D22649">
        <w:rPr>
          <w:rFonts w:ascii="Times New Roman" w:hAnsi="Times New Roman" w:cs="Times New Roman"/>
          <w:sz w:val="24"/>
          <w:szCs w:val="24"/>
        </w:rPr>
        <w:t xml:space="preserve"> </w:t>
      </w:r>
      <w:r w:rsidR="00D24D13" w:rsidRPr="00D22649">
        <w:rPr>
          <w:rFonts w:ascii="Times New Roman" w:hAnsi="Times New Roman" w:cs="Times New Roman"/>
          <w:sz w:val="24"/>
          <w:szCs w:val="24"/>
        </w:rPr>
        <w:t xml:space="preserve">composed almost entirely of women, </w:t>
      </w:r>
      <w:r w:rsidR="00143FFA" w:rsidRPr="00D22649">
        <w:rPr>
          <w:rFonts w:ascii="Times New Roman" w:hAnsi="Times New Roman" w:cs="Times New Roman"/>
          <w:sz w:val="24"/>
          <w:szCs w:val="24"/>
        </w:rPr>
        <w:t>it</w:t>
      </w:r>
      <w:r w:rsidR="00D24D13" w:rsidRPr="00D22649">
        <w:rPr>
          <w:rFonts w:ascii="Times New Roman" w:hAnsi="Times New Roman" w:cs="Times New Roman"/>
          <w:sz w:val="24"/>
          <w:szCs w:val="24"/>
        </w:rPr>
        <w:t xml:space="preserve"> </w:t>
      </w:r>
      <w:r w:rsidR="00DF38CE" w:rsidRPr="00D22649">
        <w:rPr>
          <w:rFonts w:ascii="Times New Roman" w:hAnsi="Times New Roman" w:cs="Times New Roman"/>
          <w:sz w:val="24"/>
          <w:szCs w:val="24"/>
        </w:rPr>
        <w:t xml:space="preserve">dramatically inverses the </w:t>
      </w:r>
      <w:r w:rsidR="0050155A" w:rsidRPr="00D22649">
        <w:rPr>
          <w:rFonts w:ascii="Times New Roman" w:hAnsi="Times New Roman" w:cs="Times New Roman"/>
          <w:sz w:val="24"/>
          <w:szCs w:val="24"/>
        </w:rPr>
        <w:t xml:space="preserve">typical </w:t>
      </w:r>
      <w:r w:rsidR="00D24D13" w:rsidRPr="00D22649">
        <w:rPr>
          <w:rFonts w:ascii="Times New Roman" w:hAnsi="Times New Roman" w:cs="Times New Roman"/>
          <w:sz w:val="24"/>
          <w:szCs w:val="24"/>
        </w:rPr>
        <w:t>gender</w:t>
      </w:r>
      <w:r w:rsidR="00D22649">
        <w:rPr>
          <w:rFonts w:ascii="Times New Roman" w:hAnsi="Times New Roman" w:cs="Times New Roman"/>
          <w:sz w:val="24"/>
          <w:szCs w:val="24"/>
        </w:rPr>
        <w:t xml:space="preserve"> </w:t>
      </w:r>
      <w:r w:rsidR="00D24D13" w:rsidRPr="00D22649">
        <w:rPr>
          <w:rFonts w:ascii="Times New Roman" w:hAnsi="Times New Roman" w:cs="Times New Roman"/>
          <w:sz w:val="24"/>
          <w:szCs w:val="24"/>
        </w:rPr>
        <w:t>‘balance’</w:t>
      </w:r>
      <w:r w:rsidR="0050155A" w:rsidRPr="00D22649">
        <w:rPr>
          <w:rFonts w:ascii="Times New Roman" w:hAnsi="Times New Roman" w:cs="Times New Roman"/>
          <w:sz w:val="24"/>
          <w:szCs w:val="24"/>
        </w:rPr>
        <w:t xml:space="preserve"> of</w:t>
      </w:r>
      <w:r w:rsidR="00C77E9C" w:rsidRPr="00D22649">
        <w:rPr>
          <w:rFonts w:ascii="Times New Roman" w:hAnsi="Times New Roman" w:cs="Times New Roman"/>
          <w:sz w:val="24"/>
          <w:szCs w:val="24"/>
        </w:rPr>
        <w:t xml:space="preserve"> international </w:t>
      </w:r>
      <w:r w:rsidR="0050155A" w:rsidRPr="00D22649">
        <w:rPr>
          <w:rFonts w:ascii="Times New Roman" w:hAnsi="Times New Roman" w:cs="Times New Roman"/>
          <w:sz w:val="24"/>
          <w:szCs w:val="24"/>
        </w:rPr>
        <w:t>institutions</w:t>
      </w:r>
      <w:r w:rsidRPr="00D22649">
        <w:rPr>
          <w:rFonts w:ascii="Times New Roman" w:hAnsi="Times New Roman" w:cs="Times New Roman"/>
          <w:sz w:val="24"/>
          <w:szCs w:val="24"/>
        </w:rPr>
        <w:t xml:space="preserve">.  In light of concerns </w:t>
      </w:r>
      <w:r w:rsidR="00152849" w:rsidRPr="00D22649">
        <w:rPr>
          <w:rFonts w:ascii="Times New Roman" w:hAnsi="Times New Roman" w:cs="Times New Roman"/>
          <w:sz w:val="24"/>
          <w:szCs w:val="24"/>
        </w:rPr>
        <w:t xml:space="preserve">expressed by feminists </w:t>
      </w:r>
      <w:r w:rsidRPr="00D22649">
        <w:rPr>
          <w:rFonts w:ascii="Times New Roman" w:hAnsi="Times New Roman" w:cs="Times New Roman"/>
          <w:sz w:val="24"/>
          <w:szCs w:val="24"/>
        </w:rPr>
        <w:t xml:space="preserve">about the silencing of women’s voices in international law, </w:t>
      </w:r>
      <w:r w:rsidR="00F1742E" w:rsidRPr="00D22649">
        <w:rPr>
          <w:rFonts w:ascii="Times New Roman" w:hAnsi="Times New Roman" w:cs="Times New Roman"/>
          <w:sz w:val="24"/>
          <w:szCs w:val="24"/>
        </w:rPr>
        <w:t xml:space="preserve">one might well expect </w:t>
      </w:r>
      <w:r w:rsidR="00152849" w:rsidRPr="00D22649">
        <w:rPr>
          <w:rFonts w:ascii="Times New Roman" w:hAnsi="Times New Roman" w:cs="Times New Roman"/>
          <w:sz w:val="24"/>
          <w:szCs w:val="24"/>
        </w:rPr>
        <w:t xml:space="preserve">the jurisprudence and working methods of </w:t>
      </w:r>
      <w:r w:rsidR="00245D31" w:rsidRPr="00D22649">
        <w:rPr>
          <w:rFonts w:ascii="Times New Roman" w:hAnsi="Times New Roman" w:cs="Times New Roman"/>
          <w:sz w:val="24"/>
          <w:szCs w:val="24"/>
        </w:rPr>
        <w:t>the Women’s</w:t>
      </w:r>
      <w:r w:rsidRPr="00D22649">
        <w:rPr>
          <w:rFonts w:ascii="Times New Roman" w:hAnsi="Times New Roman" w:cs="Times New Roman"/>
          <w:sz w:val="24"/>
          <w:szCs w:val="24"/>
        </w:rPr>
        <w:t xml:space="preserve"> </w:t>
      </w:r>
      <w:r w:rsidR="00152849" w:rsidRPr="00D22649">
        <w:rPr>
          <w:rFonts w:ascii="Times New Roman" w:hAnsi="Times New Roman" w:cs="Times New Roman"/>
          <w:sz w:val="24"/>
          <w:szCs w:val="24"/>
        </w:rPr>
        <w:t>Com</w:t>
      </w:r>
      <w:r w:rsidR="00941B03" w:rsidRPr="00D22649">
        <w:rPr>
          <w:rFonts w:ascii="Times New Roman" w:hAnsi="Times New Roman" w:cs="Times New Roman"/>
          <w:sz w:val="24"/>
          <w:szCs w:val="24"/>
        </w:rPr>
        <w:t>mittee</w:t>
      </w:r>
      <w:r w:rsidR="00592ADD" w:rsidRPr="00D22649">
        <w:rPr>
          <w:rFonts w:ascii="Times New Roman" w:hAnsi="Times New Roman" w:cs="Times New Roman"/>
          <w:sz w:val="24"/>
          <w:szCs w:val="24"/>
        </w:rPr>
        <w:t xml:space="preserve"> </w:t>
      </w:r>
      <w:r w:rsidR="00D522FF" w:rsidRPr="00D22649">
        <w:rPr>
          <w:rFonts w:ascii="Times New Roman" w:hAnsi="Times New Roman" w:cs="Times New Roman"/>
          <w:sz w:val="24"/>
          <w:szCs w:val="24"/>
        </w:rPr>
        <w:t xml:space="preserve">to be </w:t>
      </w:r>
      <w:r w:rsidR="00152849" w:rsidRPr="00D22649">
        <w:rPr>
          <w:rFonts w:ascii="Times New Roman" w:hAnsi="Times New Roman" w:cs="Times New Roman"/>
          <w:sz w:val="24"/>
          <w:szCs w:val="24"/>
        </w:rPr>
        <w:t xml:space="preserve">of interest to </w:t>
      </w:r>
      <w:r w:rsidR="0050155A" w:rsidRPr="00D22649">
        <w:rPr>
          <w:rFonts w:ascii="Times New Roman" w:hAnsi="Times New Roman" w:cs="Times New Roman"/>
          <w:sz w:val="24"/>
          <w:szCs w:val="24"/>
        </w:rPr>
        <w:t xml:space="preserve">a number and range of </w:t>
      </w:r>
      <w:r w:rsidR="001B39F2" w:rsidRPr="00D22649">
        <w:rPr>
          <w:rFonts w:ascii="Times New Roman" w:hAnsi="Times New Roman" w:cs="Times New Roman"/>
          <w:sz w:val="24"/>
          <w:szCs w:val="24"/>
        </w:rPr>
        <w:t xml:space="preserve">international legal scholars; </w:t>
      </w:r>
      <w:r w:rsidR="00152849" w:rsidRPr="00D22649">
        <w:rPr>
          <w:rFonts w:ascii="Times New Roman" w:hAnsi="Times New Roman" w:cs="Times New Roman"/>
          <w:sz w:val="24"/>
          <w:szCs w:val="24"/>
        </w:rPr>
        <w:t>in practice</w:t>
      </w:r>
      <w:r w:rsidR="00F1742E" w:rsidRPr="00D22649">
        <w:rPr>
          <w:rFonts w:ascii="Times New Roman" w:hAnsi="Times New Roman" w:cs="Times New Roman"/>
          <w:sz w:val="24"/>
          <w:szCs w:val="24"/>
        </w:rPr>
        <w:t xml:space="preserve">, however, </w:t>
      </w:r>
      <w:r w:rsidR="00152849" w:rsidRPr="00D22649">
        <w:rPr>
          <w:rFonts w:ascii="Times New Roman" w:hAnsi="Times New Roman" w:cs="Times New Roman"/>
          <w:sz w:val="24"/>
          <w:szCs w:val="24"/>
        </w:rPr>
        <w:t xml:space="preserve">its work has </w:t>
      </w:r>
      <w:r w:rsidR="00941B03" w:rsidRPr="00D22649">
        <w:rPr>
          <w:rFonts w:ascii="Times New Roman" w:hAnsi="Times New Roman" w:cs="Times New Roman"/>
          <w:sz w:val="24"/>
          <w:szCs w:val="24"/>
        </w:rPr>
        <w:t>failed to generate</w:t>
      </w:r>
      <w:r w:rsidR="00152849" w:rsidRPr="00D22649">
        <w:rPr>
          <w:rFonts w:ascii="Times New Roman" w:hAnsi="Times New Roman" w:cs="Times New Roman"/>
          <w:sz w:val="24"/>
          <w:szCs w:val="24"/>
        </w:rPr>
        <w:t xml:space="preserve"> a great deal of excitement or debate.  </w:t>
      </w:r>
      <w:r w:rsidR="00245D31" w:rsidRPr="00D22649">
        <w:rPr>
          <w:rFonts w:ascii="Times New Roman" w:hAnsi="Times New Roman" w:cs="Times New Roman"/>
          <w:sz w:val="24"/>
          <w:szCs w:val="24"/>
        </w:rPr>
        <w:t xml:space="preserve">This omission is more than unfortunate.  </w:t>
      </w:r>
      <w:r w:rsidR="00592ADD" w:rsidRPr="00D22649">
        <w:rPr>
          <w:rFonts w:ascii="Times New Roman" w:hAnsi="Times New Roman" w:cs="Times New Roman"/>
          <w:sz w:val="24"/>
          <w:szCs w:val="24"/>
        </w:rPr>
        <w:t>Chinkin, Wright</w:t>
      </w:r>
      <w:r w:rsidR="00D22649">
        <w:rPr>
          <w:rFonts w:ascii="Times New Roman" w:hAnsi="Times New Roman" w:cs="Times New Roman"/>
          <w:sz w:val="24"/>
          <w:szCs w:val="24"/>
        </w:rPr>
        <w:t>,</w:t>
      </w:r>
      <w:r w:rsidR="00592ADD" w:rsidRPr="00D22649">
        <w:rPr>
          <w:rFonts w:ascii="Times New Roman" w:hAnsi="Times New Roman" w:cs="Times New Roman"/>
          <w:sz w:val="24"/>
          <w:szCs w:val="24"/>
        </w:rPr>
        <w:t xml:space="preserve"> and Charlesworth have argued that for women’s huma</w:t>
      </w:r>
      <w:r w:rsidR="009204A5" w:rsidRPr="00D22649">
        <w:rPr>
          <w:rFonts w:ascii="Times New Roman" w:hAnsi="Times New Roman" w:cs="Times New Roman"/>
          <w:sz w:val="24"/>
          <w:szCs w:val="24"/>
        </w:rPr>
        <w:t>n rights to be fully reali</w:t>
      </w:r>
      <w:r w:rsidR="00D22649">
        <w:rPr>
          <w:rFonts w:ascii="Times New Roman" w:hAnsi="Times New Roman" w:cs="Times New Roman"/>
          <w:sz w:val="24"/>
          <w:szCs w:val="24"/>
        </w:rPr>
        <w:t>z</w:t>
      </w:r>
      <w:r w:rsidR="009204A5" w:rsidRPr="00D22649">
        <w:rPr>
          <w:rFonts w:ascii="Times New Roman" w:hAnsi="Times New Roman" w:cs="Times New Roman"/>
          <w:sz w:val="24"/>
          <w:szCs w:val="24"/>
        </w:rPr>
        <w:t>ed ‘</w:t>
      </w:r>
      <w:r w:rsidR="00592ADD" w:rsidRPr="00D22649">
        <w:rPr>
          <w:rFonts w:ascii="Times New Roman" w:hAnsi="Times New Roman" w:cs="Times New Roman"/>
          <w:sz w:val="24"/>
          <w:szCs w:val="24"/>
        </w:rPr>
        <w:t>requires challenging the structural inequalities and power imbalances that make continued violations inevitable</w:t>
      </w:r>
      <w:r w:rsidR="009204A5" w:rsidRPr="00D22649">
        <w:rPr>
          <w:rFonts w:ascii="Times New Roman" w:hAnsi="Times New Roman" w:cs="Times New Roman"/>
          <w:sz w:val="24"/>
          <w:szCs w:val="24"/>
        </w:rPr>
        <w:t>’</w:t>
      </w:r>
      <w:r w:rsidR="00D22649">
        <w:rPr>
          <w:rFonts w:ascii="Times New Roman" w:hAnsi="Times New Roman" w:cs="Times New Roman"/>
          <w:sz w:val="24"/>
          <w:szCs w:val="24"/>
        </w:rPr>
        <w:t>.</w:t>
      </w:r>
      <w:r w:rsidR="00592ADD" w:rsidRPr="00D22649">
        <w:rPr>
          <w:rFonts w:ascii="Times New Roman" w:hAnsi="Times New Roman" w:cs="Times New Roman"/>
          <w:sz w:val="24"/>
          <w:szCs w:val="24"/>
          <w:vertAlign w:val="superscript"/>
        </w:rPr>
        <w:footnoteReference w:id="2"/>
      </w:r>
      <w:r w:rsidR="00592ADD" w:rsidRPr="00D22649">
        <w:rPr>
          <w:rFonts w:ascii="Times New Roman" w:hAnsi="Times New Roman" w:cs="Times New Roman"/>
          <w:sz w:val="24"/>
          <w:szCs w:val="24"/>
        </w:rPr>
        <w:t xml:space="preserve">  Feminist reflection offers the tantali</w:t>
      </w:r>
      <w:r w:rsidR="00D22649">
        <w:rPr>
          <w:rFonts w:ascii="Times New Roman" w:hAnsi="Times New Roman" w:cs="Times New Roman"/>
          <w:sz w:val="24"/>
          <w:szCs w:val="24"/>
        </w:rPr>
        <w:t>z</w:t>
      </w:r>
      <w:r w:rsidR="00592ADD" w:rsidRPr="00D22649">
        <w:rPr>
          <w:rFonts w:ascii="Times New Roman" w:hAnsi="Times New Roman" w:cs="Times New Roman"/>
          <w:sz w:val="24"/>
          <w:szCs w:val="24"/>
        </w:rPr>
        <w:t xml:space="preserve">ing suggestion of the radical transformative possibility of </w:t>
      </w:r>
      <w:r w:rsidR="00592ADD" w:rsidRPr="00D22649">
        <w:rPr>
          <w:rFonts w:ascii="Times New Roman" w:hAnsi="Times New Roman" w:cs="Times New Roman"/>
          <w:sz w:val="24"/>
          <w:szCs w:val="24"/>
        </w:rPr>
        <w:lastRenderedPageBreak/>
        <w:t xml:space="preserve">women’s rights, transcending the normative limitations of traditional international law.  </w:t>
      </w:r>
      <w:r w:rsidR="00792F74" w:rsidRPr="00D22649">
        <w:rPr>
          <w:rFonts w:ascii="Times New Roman" w:hAnsi="Times New Roman" w:cs="Times New Roman"/>
          <w:sz w:val="24"/>
          <w:szCs w:val="24"/>
        </w:rPr>
        <w:t xml:space="preserve">The Committee seems uniquely positioned to </w:t>
      </w:r>
      <w:r w:rsidR="008F1148" w:rsidRPr="00D22649">
        <w:rPr>
          <w:rFonts w:ascii="Times New Roman" w:hAnsi="Times New Roman" w:cs="Times New Roman"/>
          <w:sz w:val="24"/>
          <w:szCs w:val="24"/>
        </w:rPr>
        <w:t xml:space="preserve">contribute </w:t>
      </w:r>
      <w:r w:rsidR="00792F74" w:rsidRPr="00D22649">
        <w:rPr>
          <w:rFonts w:ascii="Times New Roman" w:hAnsi="Times New Roman" w:cs="Times New Roman"/>
          <w:sz w:val="24"/>
          <w:szCs w:val="24"/>
        </w:rPr>
        <w:t>to the transformation of human rights norms, occupying</w:t>
      </w:r>
      <w:r w:rsidR="008F1148" w:rsidRPr="00D22649">
        <w:rPr>
          <w:rFonts w:ascii="Times New Roman" w:hAnsi="Times New Roman" w:cs="Times New Roman"/>
          <w:sz w:val="24"/>
          <w:szCs w:val="24"/>
        </w:rPr>
        <w:t>,</w:t>
      </w:r>
      <w:r w:rsidR="00792F74" w:rsidRPr="00D22649">
        <w:rPr>
          <w:rFonts w:ascii="Times New Roman" w:hAnsi="Times New Roman" w:cs="Times New Roman"/>
          <w:sz w:val="24"/>
          <w:szCs w:val="24"/>
        </w:rPr>
        <w:t xml:space="preserve"> as it arguably does</w:t>
      </w:r>
      <w:r w:rsidR="008F1148" w:rsidRPr="00D22649">
        <w:rPr>
          <w:rFonts w:ascii="Times New Roman" w:hAnsi="Times New Roman" w:cs="Times New Roman"/>
          <w:sz w:val="24"/>
          <w:szCs w:val="24"/>
        </w:rPr>
        <w:t>,</w:t>
      </w:r>
      <w:r w:rsidR="00792F74" w:rsidRPr="00D22649">
        <w:rPr>
          <w:rFonts w:ascii="Times New Roman" w:hAnsi="Times New Roman" w:cs="Times New Roman"/>
          <w:sz w:val="24"/>
          <w:szCs w:val="24"/>
        </w:rPr>
        <w:t xml:space="preserve"> positions both at the centre and at the periphery of international law.  </w:t>
      </w:r>
      <w:r w:rsidR="005552AD" w:rsidRPr="00D22649">
        <w:rPr>
          <w:rFonts w:ascii="Times New Roman" w:hAnsi="Times New Roman" w:cs="Times New Roman"/>
          <w:sz w:val="24"/>
          <w:szCs w:val="24"/>
        </w:rPr>
        <w:t xml:space="preserve">This </w:t>
      </w:r>
      <w:r w:rsidR="00D22649">
        <w:rPr>
          <w:rFonts w:ascii="Times New Roman" w:hAnsi="Times New Roman" w:cs="Times New Roman"/>
          <w:sz w:val="24"/>
          <w:szCs w:val="24"/>
        </w:rPr>
        <w:t>article</w:t>
      </w:r>
      <w:r w:rsidRPr="00D22649">
        <w:rPr>
          <w:rFonts w:ascii="Times New Roman" w:hAnsi="Times New Roman" w:cs="Times New Roman"/>
          <w:sz w:val="24"/>
          <w:szCs w:val="24"/>
        </w:rPr>
        <w:t xml:space="preserve"> </w:t>
      </w:r>
      <w:r w:rsidR="00152849" w:rsidRPr="00D22649">
        <w:rPr>
          <w:rFonts w:ascii="Times New Roman" w:hAnsi="Times New Roman" w:cs="Times New Roman"/>
          <w:sz w:val="24"/>
          <w:szCs w:val="24"/>
        </w:rPr>
        <w:t>represents an effort to place the Committee at the centre of our thoughts</w:t>
      </w:r>
      <w:r w:rsidR="00B90A99" w:rsidRPr="00D22649">
        <w:rPr>
          <w:rFonts w:ascii="Times New Roman" w:hAnsi="Times New Roman" w:cs="Times New Roman"/>
          <w:sz w:val="24"/>
          <w:szCs w:val="24"/>
        </w:rPr>
        <w:t xml:space="preserve"> in order </w:t>
      </w:r>
      <w:r w:rsidR="00152849" w:rsidRPr="00D22649">
        <w:rPr>
          <w:rFonts w:ascii="Times New Roman" w:hAnsi="Times New Roman" w:cs="Times New Roman"/>
          <w:sz w:val="24"/>
          <w:szCs w:val="24"/>
        </w:rPr>
        <w:t xml:space="preserve">to consider what </w:t>
      </w:r>
      <w:r w:rsidR="00D22649">
        <w:rPr>
          <w:rFonts w:ascii="Times New Roman" w:hAnsi="Times New Roman" w:cs="Times New Roman"/>
          <w:sz w:val="24"/>
          <w:szCs w:val="24"/>
        </w:rPr>
        <w:t xml:space="preserve">(if anything) </w:t>
      </w:r>
      <w:r w:rsidR="00152849" w:rsidRPr="00D22649">
        <w:rPr>
          <w:rFonts w:ascii="Times New Roman" w:hAnsi="Times New Roman" w:cs="Times New Roman"/>
          <w:sz w:val="24"/>
          <w:szCs w:val="24"/>
        </w:rPr>
        <w:t xml:space="preserve">it </w:t>
      </w:r>
      <w:r w:rsidR="00F174F3" w:rsidRPr="00D22649">
        <w:rPr>
          <w:rFonts w:ascii="Times New Roman" w:hAnsi="Times New Roman" w:cs="Times New Roman"/>
          <w:sz w:val="24"/>
          <w:szCs w:val="24"/>
        </w:rPr>
        <w:t>means</w:t>
      </w:r>
      <w:r w:rsidR="00152849" w:rsidRPr="00D22649">
        <w:rPr>
          <w:rFonts w:ascii="Times New Roman" w:hAnsi="Times New Roman" w:cs="Times New Roman"/>
          <w:sz w:val="24"/>
          <w:szCs w:val="24"/>
        </w:rPr>
        <w:t xml:space="preserve"> for international law to have a </w:t>
      </w:r>
      <w:r w:rsidR="00592ADD" w:rsidRPr="00D22649">
        <w:rPr>
          <w:rFonts w:ascii="Times New Roman" w:hAnsi="Times New Roman" w:cs="Times New Roman"/>
          <w:sz w:val="24"/>
          <w:szCs w:val="24"/>
        </w:rPr>
        <w:t>space within</w:t>
      </w:r>
      <w:r w:rsidR="00152849" w:rsidRPr="00D22649">
        <w:rPr>
          <w:rFonts w:ascii="Times New Roman" w:hAnsi="Times New Roman" w:cs="Times New Roman"/>
          <w:sz w:val="24"/>
          <w:szCs w:val="24"/>
        </w:rPr>
        <w:t xml:space="preserve"> its realm that is </w:t>
      </w:r>
      <w:r w:rsidR="0050685B" w:rsidRPr="00D22649">
        <w:rPr>
          <w:rFonts w:ascii="Times New Roman" w:hAnsi="Times New Roman" w:cs="Times New Roman"/>
          <w:sz w:val="24"/>
          <w:szCs w:val="24"/>
        </w:rPr>
        <w:t>headed</w:t>
      </w:r>
      <w:r w:rsidR="00152849" w:rsidRPr="00D22649">
        <w:rPr>
          <w:rFonts w:ascii="Times New Roman" w:hAnsi="Times New Roman" w:cs="Times New Roman"/>
          <w:sz w:val="24"/>
          <w:szCs w:val="24"/>
        </w:rPr>
        <w:t xml:space="preserve"> by women decision-makers</w:t>
      </w:r>
      <w:r w:rsidR="00D522FF" w:rsidRPr="00D22649">
        <w:rPr>
          <w:rFonts w:ascii="Times New Roman" w:hAnsi="Times New Roman" w:cs="Times New Roman"/>
          <w:sz w:val="24"/>
          <w:szCs w:val="24"/>
        </w:rPr>
        <w:t>,</w:t>
      </w:r>
      <w:r w:rsidR="0050685B" w:rsidRPr="00D22649">
        <w:rPr>
          <w:rFonts w:ascii="Times New Roman" w:hAnsi="Times New Roman" w:cs="Times New Roman"/>
          <w:sz w:val="24"/>
          <w:szCs w:val="24"/>
        </w:rPr>
        <w:t xml:space="preserve"> who</w:t>
      </w:r>
      <w:r w:rsidR="00D522FF" w:rsidRPr="00D22649">
        <w:rPr>
          <w:rFonts w:ascii="Times New Roman" w:hAnsi="Times New Roman" w:cs="Times New Roman"/>
          <w:sz w:val="24"/>
          <w:szCs w:val="24"/>
        </w:rPr>
        <w:t>se</w:t>
      </w:r>
      <w:r w:rsidR="0050685B" w:rsidRPr="00D22649">
        <w:rPr>
          <w:rFonts w:ascii="Times New Roman" w:hAnsi="Times New Roman" w:cs="Times New Roman"/>
          <w:sz w:val="24"/>
          <w:szCs w:val="24"/>
        </w:rPr>
        <w:t xml:space="preserve"> remit is </w:t>
      </w:r>
      <w:r w:rsidR="00D522FF" w:rsidRPr="00D22649">
        <w:rPr>
          <w:rFonts w:ascii="Times New Roman" w:hAnsi="Times New Roman" w:cs="Times New Roman"/>
          <w:sz w:val="24"/>
          <w:szCs w:val="24"/>
        </w:rPr>
        <w:t xml:space="preserve">specifically </w:t>
      </w:r>
      <w:r w:rsidR="0050685B" w:rsidRPr="00D22649">
        <w:rPr>
          <w:rFonts w:ascii="Times New Roman" w:hAnsi="Times New Roman" w:cs="Times New Roman"/>
          <w:sz w:val="24"/>
          <w:szCs w:val="24"/>
        </w:rPr>
        <w:t>gendered</w:t>
      </w:r>
      <w:r w:rsidR="00D522FF" w:rsidRPr="00D22649">
        <w:rPr>
          <w:rFonts w:ascii="Times New Roman" w:hAnsi="Times New Roman" w:cs="Times New Roman"/>
          <w:sz w:val="24"/>
          <w:szCs w:val="24"/>
        </w:rPr>
        <w:t xml:space="preserve"> and whose task is to uphold the rights of women</w:t>
      </w:r>
      <w:r w:rsidR="00152849" w:rsidRPr="00D22649">
        <w:rPr>
          <w:rFonts w:ascii="Times New Roman" w:hAnsi="Times New Roman" w:cs="Times New Roman"/>
          <w:sz w:val="24"/>
          <w:szCs w:val="24"/>
        </w:rPr>
        <w:t xml:space="preserve">.  </w:t>
      </w:r>
    </w:p>
    <w:p w14:paraId="69C8782D" w14:textId="70655BE0" w:rsidR="00224895" w:rsidRPr="00D22649" w:rsidRDefault="00D22649"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152849" w:rsidRPr="00D22649">
        <w:rPr>
          <w:rFonts w:ascii="Times New Roman" w:hAnsi="Times New Roman" w:cs="Times New Roman"/>
          <w:sz w:val="24"/>
          <w:szCs w:val="24"/>
        </w:rPr>
        <w:t xml:space="preserve">In </w:t>
      </w:r>
      <w:r w:rsidR="00BC0D90" w:rsidRPr="00D22649">
        <w:rPr>
          <w:rFonts w:ascii="Times New Roman" w:hAnsi="Times New Roman" w:cs="Times New Roman"/>
          <w:sz w:val="24"/>
          <w:szCs w:val="24"/>
        </w:rPr>
        <w:t xml:space="preserve">particular, </w:t>
      </w:r>
      <w:r w:rsidR="00152849" w:rsidRPr="00D22649">
        <w:rPr>
          <w:rFonts w:ascii="Times New Roman" w:hAnsi="Times New Roman" w:cs="Times New Roman"/>
          <w:sz w:val="24"/>
          <w:szCs w:val="24"/>
        </w:rPr>
        <w:t xml:space="preserve">this </w:t>
      </w:r>
      <w:r>
        <w:rPr>
          <w:rFonts w:ascii="Times New Roman" w:hAnsi="Times New Roman" w:cs="Times New Roman"/>
          <w:sz w:val="24"/>
          <w:szCs w:val="24"/>
        </w:rPr>
        <w:t>article</w:t>
      </w:r>
      <w:r w:rsidR="00152849" w:rsidRPr="00D22649">
        <w:rPr>
          <w:rFonts w:ascii="Times New Roman" w:hAnsi="Times New Roman" w:cs="Times New Roman"/>
          <w:sz w:val="24"/>
          <w:szCs w:val="24"/>
        </w:rPr>
        <w:t xml:space="preserve"> outline</w:t>
      </w:r>
      <w:r w:rsidR="00792F74" w:rsidRPr="00D22649">
        <w:rPr>
          <w:rFonts w:ascii="Times New Roman" w:hAnsi="Times New Roman" w:cs="Times New Roman"/>
          <w:sz w:val="24"/>
          <w:szCs w:val="24"/>
        </w:rPr>
        <w:t>s</w:t>
      </w:r>
      <w:r w:rsidR="00F77540" w:rsidRPr="00D22649">
        <w:rPr>
          <w:rFonts w:ascii="Times New Roman" w:hAnsi="Times New Roman" w:cs="Times New Roman"/>
          <w:sz w:val="24"/>
          <w:szCs w:val="24"/>
        </w:rPr>
        <w:t xml:space="preserve"> the changes to the procedures of the UN’s Women’s Committee introduced under the </w:t>
      </w:r>
      <w:r w:rsidR="00592ADD" w:rsidRPr="00D22649">
        <w:rPr>
          <w:rFonts w:ascii="Times New Roman" w:hAnsi="Times New Roman" w:cs="Times New Roman"/>
          <w:sz w:val="24"/>
          <w:szCs w:val="24"/>
        </w:rPr>
        <w:t xml:space="preserve">1999 </w:t>
      </w:r>
      <w:r w:rsidR="00F77540" w:rsidRPr="00D22649">
        <w:rPr>
          <w:rFonts w:ascii="Times New Roman" w:hAnsi="Times New Roman" w:cs="Times New Roman"/>
          <w:sz w:val="24"/>
          <w:szCs w:val="24"/>
        </w:rPr>
        <w:t>Optional Protocol to CEDA</w:t>
      </w:r>
      <w:r w:rsidR="00224895" w:rsidRPr="00D22649">
        <w:rPr>
          <w:rFonts w:ascii="Times New Roman" w:hAnsi="Times New Roman" w:cs="Times New Roman"/>
          <w:sz w:val="24"/>
          <w:szCs w:val="24"/>
        </w:rPr>
        <w:t>W and</w:t>
      </w:r>
      <w:r w:rsidR="00F77540" w:rsidRPr="00D22649">
        <w:rPr>
          <w:rFonts w:ascii="Times New Roman" w:hAnsi="Times New Roman" w:cs="Times New Roman"/>
          <w:sz w:val="24"/>
          <w:szCs w:val="24"/>
        </w:rPr>
        <w:t xml:space="preserve"> </w:t>
      </w:r>
      <w:r w:rsidR="00224895" w:rsidRPr="00D22649">
        <w:rPr>
          <w:rFonts w:ascii="Times New Roman" w:hAnsi="Times New Roman" w:cs="Times New Roman"/>
          <w:sz w:val="24"/>
          <w:szCs w:val="24"/>
        </w:rPr>
        <w:t>provide</w:t>
      </w:r>
      <w:r w:rsidR="00F90B2D" w:rsidRPr="00D22649">
        <w:rPr>
          <w:rFonts w:ascii="Times New Roman" w:hAnsi="Times New Roman" w:cs="Times New Roman"/>
          <w:sz w:val="24"/>
          <w:szCs w:val="24"/>
        </w:rPr>
        <w:t>s</w:t>
      </w:r>
      <w:r w:rsidR="00F77540" w:rsidRPr="00D22649">
        <w:rPr>
          <w:rFonts w:ascii="Times New Roman" w:hAnsi="Times New Roman" w:cs="Times New Roman"/>
          <w:sz w:val="24"/>
          <w:szCs w:val="24"/>
        </w:rPr>
        <w:t xml:space="preserve"> an overview of the first </w:t>
      </w:r>
      <w:r w:rsidR="00224895" w:rsidRPr="00D22649">
        <w:rPr>
          <w:rFonts w:ascii="Times New Roman" w:hAnsi="Times New Roman" w:cs="Times New Roman"/>
          <w:sz w:val="24"/>
          <w:szCs w:val="24"/>
        </w:rPr>
        <w:t xml:space="preserve">individual </w:t>
      </w:r>
      <w:r w:rsidR="00F77540" w:rsidRPr="00D22649">
        <w:rPr>
          <w:rFonts w:ascii="Times New Roman" w:hAnsi="Times New Roman" w:cs="Times New Roman"/>
          <w:sz w:val="24"/>
          <w:szCs w:val="24"/>
        </w:rPr>
        <w:t xml:space="preserve">communications </w:t>
      </w:r>
      <w:r w:rsidR="00224895" w:rsidRPr="00D22649">
        <w:rPr>
          <w:rFonts w:ascii="Times New Roman" w:hAnsi="Times New Roman" w:cs="Times New Roman"/>
          <w:sz w:val="24"/>
          <w:szCs w:val="24"/>
        </w:rPr>
        <w:t xml:space="preserve">considered </w:t>
      </w:r>
      <w:r w:rsidR="00941B03" w:rsidRPr="00D22649">
        <w:rPr>
          <w:rFonts w:ascii="Times New Roman" w:hAnsi="Times New Roman" w:cs="Times New Roman"/>
          <w:sz w:val="24"/>
          <w:szCs w:val="24"/>
        </w:rPr>
        <w:t>under mechanisms introduced by</w:t>
      </w:r>
      <w:r w:rsidR="00224895" w:rsidRPr="00D22649">
        <w:rPr>
          <w:rFonts w:ascii="Times New Roman" w:hAnsi="Times New Roman" w:cs="Times New Roman"/>
          <w:sz w:val="24"/>
          <w:szCs w:val="24"/>
        </w:rPr>
        <w:t xml:space="preserve"> that Protocol</w:t>
      </w:r>
      <w:r w:rsidR="00F77540" w:rsidRPr="00D22649">
        <w:rPr>
          <w:rFonts w:ascii="Times New Roman" w:hAnsi="Times New Roman" w:cs="Times New Roman"/>
          <w:sz w:val="24"/>
          <w:szCs w:val="24"/>
        </w:rPr>
        <w:t xml:space="preserve">.  </w:t>
      </w:r>
      <w:r w:rsidR="00792F74" w:rsidRPr="00D22649">
        <w:rPr>
          <w:rFonts w:ascii="Times New Roman" w:hAnsi="Times New Roman" w:cs="Times New Roman"/>
          <w:sz w:val="24"/>
          <w:szCs w:val="24"/>
        </w:rPr>
        <w:t xml:space="preserve">It </w:t>
      </w:r>
      <w:r w:rsidR="00F90B2D" w:rsidRPr="00D22649">
        <w:rPr>
          <w:rFonts w:ascii="Times New Roman" w:hAnsi="Times New Roman" w:cs="Times New Roman"/>
          <w:sz w:val="24"/>
          <w:szCs w:val="24"/>
        </w:rPr>
        <w:t>sets out</w:t>
      </w:r>
      <w:r w:rsidR="00F77540" w:rsidRPr="00D22649">
        <w:rPr>
          <w:rFonts w:ascii="Times New Roman" w:hAnsi="Times New Roman" w:cs="Times New Roman"/>
          <w:sz w:val="24"/>
          <w:szCs w:val="24"/>
        </w:rPr>
        <w:t xml:space="preserve"> the principles relied upon by the Women’s Committee in its </w:t>
      </w:r>
      <w:r w:rsidR="00245D31" w:rsidRPr="00D22649">
        <w:rPr>
          <w:rFonts w:ascii="Times New Roman" w:hAnsi="Times New Roman" w:cs="Times New Roman"/>
          <w:sz w:val="24"/>
          <w:szCs w:val="24"/>
        </w:rPr>
        <w:t>early</w:t>
      </w:r>
      <w:r w:rsidR="00F77540" w:rsidRPr="00D22649">
        <w:rPr>
          <w:rFonts w:ascii="Times New Roman" w:hAnsi="Times New Roman" w:cs="Times New Roman"/>
          <w:sz w:val="24"/>
          <w:szCs w:val="24"/>
        </w:rPr>
        <w:t xml:space="preserve"> decisions and the scope of the recommendations made by the Committee so far.  The underlying question of this </w:t>
      </w:r>
      <w:r>
        <w:rPr>
          <w:rFonts w:ascii="Times New Roman" w:hAnsi="Times New Roman" w:cs="Times New Roman"/>
          <w:sz w:val="24"/>
          <w:szCs w:val="24"/>
        </w:rPr>
        <w:t>article</w:t>
      </w:r>
      <w:r w:rsidR="00BF47A6" w:rsidRPr="00D22649">
        <w:rPr>
          <w:rFonts w:ascii="Times New Roman" w:hAnsi="Times New Roman" w:cs="Times New Roman"/>
          <w:sz w:val="24"/>
          <w:szCs w:val="24"/>
        </w:rPr>
        <w:t xml:space="preserve"> </w:t>
      </w:r>
      <w:r w:rsidR="00F77540" w:rsidRPr="00D22649">
        <w:rPr>
          <w:rFonts w:ascii="Times New Roman" w:hAnsi="Times New Roman" w:cs="Times New Roman"/>
          <w:sz w:val="24"/>
          <w:szCs w:val="24"/>
        </w:rPr>
        <w:t xml:space="preserve">is the extent to which the Women’s Committee has </w:t>
      </w:r>
      <w:r w:rsidR="005C12A9" w:rsidRPr="00D22649">
        <w:rPr>
          <w:rFonts w:ascii="Times New Roman" w:hAnsi="Times New Roman" w:cs="Times New Roman"/>
          <w:sz w:val="24"/>
          <w:szCs w:val="24"/>
        </w:rPr>
        <w:t>been able to make</w:t>
      </w:r>
      <w:r w:rsidR="00F77540" w:rsidRPr="00D22649">
        <w:rPr>
          <w:rFonts w:ascii="Times New Roman" w:hAnsi="Times New Roman" w:cs="Times New Roman"/>
          <w:sz w:val="24"/>
          <w:szCs w:val="24"/>
        </w:rPr>
        <w:t xml:space="preserve"> a unique contribution </w:t>
      </w:r>
      <w:r w:rsidR="00224895" w:rsidRPr="00D22649">
        <w:rPr>
          <w:rFonts w:ascii="Times New Roman" w:hAnsi="Times New Roman" w:cs="Times New Roman"/>
          <w:sz w:val="24"/>
          <w:szCs w:val="24"/>
        </w:rPr>
        <w:t>to the development of international human rights law’s principles and procedures through its indi</w:t>
      </w:r>
      <w:r w:rsidR="005C12A9" w:rsidRPr="00D22649">
        <w:rPr>
          <w:rFonts w:ascii="Times New Roman" w:hAnsi="Times New Roman" w:cs="Times New Roman"/>
          <w:sz w:val="24"/>
          <w:szCs w:val="24"/>
        </w:rPr>
        <w:t>vidual communications procedure</w:t>
      </w:r>
      <w:r w:rsidR="00224895" w:rsidRPr="00D22649">
        <w:rPr>
          <w:rFonts w:ascii="Times New Roman" w:hAnsi="Times New Roman" w:cs="Times New Roman"/>
          <w:sz w:val="24"/>
          <w:szCs w:val="24"/>
        </w:rPr>
        <w:t>.</w:t>
      </w:r>
      <w:r w:rsidR="00245D31" w:rsidRPr="00D22649">
        <w:rPr>
          <w:rFonts w:ascii="Times New Roman" w:hAnsi="Times New Roman" w:cs="Times New Roman"/>
          <w:sz w:val="24"/>
          <w:szCs w:val="24"/>
        </w:rPr>
        <w:t xml:space="preserve"> </w:t>
      </w:r>
      <w:r w:rsidR="00592ADD" w:rsidRPr="00D22649">
        <w:rPr>
          <w:rFonts w:ascii="Times New Roman" w:hAnsi="Times New Roman" w:cs="Times New Roman"/>
          <w:sz w:val="24"/>
          <w:szCs w:val="24"/>
        </w:rPr>
        <w:t xml:space="preserve"> In particular, </w:t>
      </w:r>
      <w:r w:rsidR="00245D31" w:rsidRPr="00D22649">
        <w:rPr>
          <w:rFonts w:ascii="Times New Roman" w:hAnsi="Times New Roman" w:cs="Times New Roman"/>
          <w:sz w:val="24"/>
          <w:szCs w:val="24"/>
        </w:rPr>
        <w:t>it</w:t>
      </w:r>
      <w:r w:rsidR="00592ADD" w:rsidRPr="00D22649">
        <w:rPr>
          <w:rFonts w:ascii="Times New Roman" w:hAnsi="Times New Roman" w:cs="Times New Roman"/>
          <w:sz w:val="24"/>
          <w:szCs w:val="24"/>
        </w:rPr>
        <w:t xml:space="preserve"> examine</w:t>
      </w:r>
      <w:r w:rsidR="00245D31" w:rsidRPr="00D22649">
        <w:rPr>
          <w:rFonts w:ascii="Times New Roman" w:hAnsi="Times New Roman" w:cs="Times New Roman"/>
          <w:sz w:val="24"/>
          <w:szCs w:val="24"/>
        </w:rPr>
        <w:t>s</w:t>
      </w:r>
      <w:r w:rsidR="00592ADD" w:rsidRPr="00D22649">
        <w:rPr>
          <w:rFonts w:ascii="Times New Roman" w:hAnsi="Times New Roman" w:cs="Times New Roman"/>
          <w:sz w:val="24"/>
          <w:szCs w:val="24"/>
        </w:rPr>
        <w:t xml:space="preserve"> how far </w:t>
      </w:r>
      <w:r w:rsidR="00245D31" w:rsidRPr="00D22649">
        <w:rPr>
          <w:rFonts w:ascii="Times New Roman" w:hAnsi="Times New Roman" w:cs="Times New Roman"/>
          <w:sz w:val="24"/>
          <w:szCs w:val="24"/>
        </w:rPr>
        <w:t>the Committee</w:t>
      </w:r>
      <w:r w:rsidR="00592ADD" w:rsidRPr="00D22649">
        <w:rPr>
          <w:rFonts w:ascii="Times New Roman" w:hAnsi="Times New Roman" w:cs="Times New Roman"/>
          <w:sz w:val="24"/>
          <w:szCs w:val="24"/>
        </w:rPr>
        <w:t xml:space="preserve"> </w:t>
      </w:r>
      <w:r w:rsidR="00245D31" w:rsidRPr="00D22649">
        <w:rPr>
          <w:rFonts w:ascii="Times New Roman" w:hAnsi="Times New Roman" w:cs="Times New Roman"/>
          <w:sz w:val="24"/>
          <w:szCs w:val="24"/>
        </w:rPr>
        <w:t>has</w:t>
      </w:r>
      <w:r w:rsidR="00592ADD" w:rsidRPr="00D22649">
        <w:rPr>
          <w:rFonts w:ascii="Times New Roman" w:hAnsi="Times New Roman" w:cs="Times New Roman"/>
          <w:sz w:val="24"/>
          <w:szCs w:val="24"/>
        </w:rPr>
        <w:t xml:space="preserve"> been able to develop</w:t>
      </w:r>
      <w:r w:rsidR="00245D31" w:rsidRPr="00D22649">
        <w:rPr>
          <w:rFonts w:ascii="Times New Roman" w:hAnsi="Times New Roman" w:cs="Times New Roman"/>
          <w:sz w:val="24"/>
          <w:szCs w:val="24"/>
        </w:rPr>
        <w:t xml:space="preserve"> women's rights</w:t>
      </w:r>
      <w:r w:rsidR="00592ADD" w:rsidRPr="00D22649">
        <w:rPr>
          <w:rFonts w:ascii="Times New Roman" w:hAnsi="Times New Roman" w:cs="Times New Roman"/>
          <w:sz w:val="24"/>
          <w:szCs w:val="24"/>
        </w:rPr>
        <w:t xml:space="preserve"> into a body of law that departs from the normative and structural limitations of in</w:t>
      </w:r>
      <w:r w:rsidR="00505E35" w:rsidRPr="00D22649">
        <w:rPr>
          <w:rFonts w:ascii="Times New Roman" w:hAnsi="Times New Roman" w:cs="Times New Roman"/>
          <w:sz w:val="24"/>
          <w:szCs w:val="24"/>
        </w:rPr>
        <w:t>ternational human rights laws.</w:t>
      </w:r>
    </w:p>
    <w:p w14:paraId="72D15B50" w14:textId="77777777" w:rsidR="00F25331" w:rsidRPr="00D22649" w:rsidRDefault="00F25331" w:rsidP="00D22649">
      <w:pPr>
        <w:spacing w:after="0" w:line="360" w:lineRule="auto"/>
        <w:jc w:val="both"/>
        <w:rPr>
          <w:rFonts w:ascii="Times New Roman" w:hAnsi="Times New Roman" w:cs="Times New Roman"/>
          <w:b/>
          <w:sz w:val="24"/>
          <w:szCs w:val="24"/>
        </w:rPr>
      </w:pPr>
    </w:p>
    <w:p w14:paraId="64A8EE71" w14:textId="7B8285E6" w:rsidR="009C029B" w:rsidRPr="00D22649" w:rsidRDefault="00FF509A" w:rsidP="00D22649">
      <w:pPr>
        <w:spacing w:after="0" w:line="360" w:lineRule="auto"/>
        <w:jc w:val="both"/>
        <w:rPr>
          <w:rFonts w:ascii="Times New Roman" w:hAnsi="Times New Roman" w:cs="Times New Roman"/>
          <w:b/>
          <w:sz w:val="24"/>
          <w:szCs w:val="24"/>
        </w:rPr>
      </w:pPr>
      <w:r w:rsidRPr="00D22649">
        <w:rPr>
          <w:rFonts w:ascii="Times New Roman" w:hAnsi="Times New Roman" w:cs="Times New Roman"/>
          <w:b/>
          <w:sz w:val="24"/>
          <w:szCs w:val="24"/>
        </w:rPr>
        <w:t>2</w:t>
      </w:r>
      <w:r w:rsidRPr="00D22649">
        <w:rPr>
          <w:rFonts w:ascii="Times New Roman" w:hAnsi="Times New Roman" w:cs="Times New Roman"/>
          <w:b/>
          <w:sz w:val="24"/>
          <w:szCs w:val="24"/>
        </w:rPr>
        <w:tab/>
      </w:r>
      <w:r w:rsidR="009C029B" w:rsidRPr="00D22649">
        <w:rPr>
          <w:rFonts w:ascii="Times New Roman" w:hAnsi="Times New Roman" w:cs="Times New Roman"/>
          <w:b/>
          <w:sz w:val="24"/>
          <w:szCs w:val="24"/>
        </w:rPr>
        <w:t>Background</w:t>
      </w:r>
      <w:r w:rsidR="00CA6C4D" w:rsidRPr="00D22649">
        <w:rPr>
          <w:rFonts w:ascii="Times New Roman" w:hAnsi="Times New Roman" w:cs="Times New Roman"/>
          <w:b/>
          <w:sz w:val="24"/>
          <w:szCs w:val="24"/>
        </w:rPr>
        <w:t xml:space="preserve"> to the Optional Protocol</w:t>
      </w:r>
    </w:p>
    <w:p w14:paraId="35E3A1A7" w14:textId="187583F3" w:rsidR="00FC03D6" w:rsidRPr="00D22649" w:rsidRDefault="00F270D0"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CEDAW, which focuses </w:t>
      </w:r>
      <w:r w:rsidR="00FD7715" w:rsidRPr="00D22649">
        <w:rPr>
          <w:rFonts w:ascii="Times New Roman" w:hAnsi="Times New Roman" w:cs="Times New Roman"/>
          <w:sz w:val="24"/>
          <w:szCs w:val="24"/>
        </w:rPr>
        <w:t>solely</w:t>
      </w:r>
      <w:r w:rsidRPr="00D22649">
        <w:rPr>
          <w:rFonts w:ascii="Times New Roman" w:hAnsi="Times New Roman" w:cs="Times New Roman"/>
          <w:sz w:val="24"/>
          <w:szCs w:val="24"/>
        </w:rPr>
        <w:t xml:space="preserve"> on the specific disadvantage and suffering faced by women, </w:t>
      </w:r>
      <w:r w:rsidR="009204A5" w:rsidRPr="00D22649">
        <w:rPr>
          <w:rFonts w:ascii="Times New Roman" w:hAnsi="Times New Roman" w:cs="Times New Roman"/>
          <w:sz w:val="24"/>
          <w:szCs w:val="24"/>
        </w:rPr>
        <w:t>has been described as the ‘</w:t>
      </w:r>
      <w:r w:rsidR="00FC03D6" w:rsidRPr="00D22649">
        <w:rPr>
          <w:rFonts w:ascii="Times New Roman" w:hAnsi="Times New Roman" w:cs="Times New Roman"/>
          <w:sz w:val="24"/>
          <w:szCs w:val="24"/>
        </w:rPr>
        <w:t>definitive international legal instrument requiring respect for and observan</w:t>
      </w:r>
      <w:r w:rsidR="009204A5" w:rsidRPr="00D22649">
        <w:rPr>
          <w:rFonts w:ascii="Times New Roman" w:hAnsi="Times New Roman" w:cs="Times New Roman"/>
          <w:sz w:val="24"/>
          <w:szCs w:val="24"/>
        </w:rPr>
        <w:t>ce of the human rights of women’</w:t>
      </w:r>
      <w:r w:rsidR="00FC03D6" w:rsidRPr="00D22649">
        <w:rPr>
          <w:rFonts w:ascii="Times New Roman" w:hAnsi="Times New Roman" w:cs="Times New Roman"/>
          <w:sz w:val="24"/>
          <w:szCs w:val="24"/>
        </w:rPr>
        <w:t>.</w:t>
      </w:r>
      <w:r w:rsidR="00DA52DA" w:rsidRPr="00D22649">
        <w:rPr>
          <w:rStyle w:val="FootnoteReference"/>
          <w:rFonts w:ascii="Times New Roman" w:hAnsi="Times New Roman" w:cs="Times New Roman"/>
          <w:sz w:val="24"/>
          <w:szCs w:val="24"/>
        </w:rPr>
        <w:footnoteReference w:id="3"/>
      </w:r>
      <w:r w:rsidR="00FC03D6" w:rsidRPr="00D22649">
        <w:rPr>
          <w:rFonts w:ascii="Times New Roman" w:hAnsi="Times New Roman" w:cs="Times New Roman"/>
          <w:sz w:val="24"/>
          <w:szCs w:val="24"/>
        </w:rPr>
        <w:t xml:space="preserve"> </w:t>
      </w:r>
      <w:r w:rsidR="00CD2C5A" w:rsidRPr="00D22649">
        <w:rPr>
          <w:rFonts w:ascii="Times New Roman" w:hAnsi="Times New Roman" w:cs="Times New Roman"/>
          <w:sz w:val="24"/>
          <w:szCs w:val="24"/>
        </w:rPr>
        <w:t xml:space="preserve"> </w:t>
      </w:r>
      <w:r w:rsidR="002D63E7" w:rsidRPr="00D22649">
        <w:rPr>
          <w:rFonts w:ascii="Times New Roman" w:hAnsi="Times New Roman" w:cs="Times New Roman"/>
          <w:sz w:val="24"/>
          <w:szCs w:val="24"/>
        </w:rPr>
        <w:t xml:space="preserve">Approved by the </w:t>
      </w:r>
      <w:r w:rsidR="00E13ACA" w:rsidRPr="00D22649">
        <w:rPr>
          <w:rFonts w:ascii="Times New Roman" w:hAnsi="Times New Roman" w:cs="Times New Roman"/>
          <w:sz w:val="24"/>
          <w:szCs w:val="24"/>
        </w:rPr>
        <w:t>General Assembly</w:t>
      </w:r>
      <w:r w:rsidR="002D63E7" w:rsidRPr="00D22649">
        <w:rPr>
          <w:rFonts w:ascii="Times New Roman" w:hAnsi="Times New Roman" w:cs="Times New Roman"/>
          <w:sz w:val="24"/>
          <w:szCs w:val="24"/>
        </w:rPr>
        <w:t xml:space="preserve"> in December 1979</w:t>
      </w:r>
      <w:r w:rsidR="00FC03D6" w:rsidRPr="00D22649">
        <w:rPr>
          <w:rFonts w:ascii="Times New Roman" w:hAnsi="Times New Roman" w:cs="Times New Roman"/>
          <w:sz w:val="24"/>
          <w:szCs w:val="24"/>
        </w:rPr>
        <w:t>,</w:t>
      </w:r>
      <w:r w:rsidR="003100DD" w:rsidRPr="00D22649">
        <w:rPr>
          <w:rStyle w:val="FootnoteReference"/>
          <w:rFonts w:ascii="Times New Roman" w:hAnsi="Times New Roman" w:cs="Times New Roman"/>
          <w:sz w:val="24"/>
          <w:szCs w:val="24"/>
        </w:rPr>
        <w:footnoteReference w:id="4"/>
      </w:r>
      <w:r w:rsidR="00FC03D6" w:rsidRPr="00D22649">
        <w:rPr>
          <w:rFonts w:ascii="Times New Roman" w:hAnsi="Times New Roman" w:cs="Times New Roman"/>
          <w:sz w:val="24"/>
          <w:szCs w:val="24"/>
        </w:rPr>
        <w:t xml:space="preserve"> it entered into force </w:t>
      </w:r>
      <w:r w:rsidR="00E13ACA" w:rsidRPr="00D22649">
        <w:rPr>
          <w:rFonts w:ascii="Times New Roman" w:hAnsi="Times New Roman" w:cs="Times New Roman"/>
          <w:sz w:val="24"/>
          <w:szCs w:val="24"/>
        </w:rPr>
        <w:t>on</w:t>
      </w:r>
      <w:r w:rsidR="00FC03D6" w:rsidRPr="00D22649">
        <w:rPr>
          <w:rFonts w:ascii="Times New Roman" w:hAnsi="Times New Roman" w:cs="Times New Roman"/>
          <w:sz w:val="24"/>
          <w:szCs w:val="24"/>
        </w:rPr>
        <w:t xml:space="preserve"> </w:t>
      </w:r>
      <w:r w:rsidR="004247CF" w:rsidRPr="00D22649">
        <w:rPr>
          <w:rFonts w:ascii="Times New Roman" w:hAnsi="Times New Roman" w:cs="Times New Roman"/>
          <w:sz w:val="24"/>
          <w:szCs w:val="24"/>
        </w:rPr>
        <w:t>3 September 1981</w:t>
      </w:r>
      <w:r w:rsidR="009E6C5A" w:rsidRPr="00D22649">
        <w:rPr>
          <w:rFonts w:ascii="Times New Roman" w:hAnsi="Times New Roman" w:cs="Times New Roman"/>
          <w:sz w:val="24"/>
          <w:szCs w:val="24"/>
        </w:rPr>
        <w:t xml:space="preserve"> and </w:t>
      </w:r>
      <w:r w:rsidR="00FC03D6" w:rsidRPr="00D22649">
        <w:rPr>
          <w:rFonts w:ascii="Times New Roman" w:hAnsi="Times New Roman" w:cs="Times New Roman"/>
          <w:sz w:val="24"/>
          <w:szCs w:val="24"/>
        </w:rPr>
        <w:t xml:space="preserve">currently </w:t>
      </w:r>
      <w:r w:rsidR="009E6C5A" w:rsidRPr="00D22649">
        <w:rPr>
          <w:rFonts w:ascii="Times New Roman" w:hAnsi="Times New Roman" w:cs="Times New Roman"/>
          <w:sz w:val="24"/>
          <w:szCs w:val="24"/>
        </w:rPr>
        <w:t xml:space="preserve">has </w:t>
      </w:r>
      <w:r w:rsidR="00904D3E" w:rsidRPr="00D22649">
        <w:rPr>
          <w:rFonts w:ascii="Times New Roman" w:hAnsi="Times New Roman" w:cs="Times New Roman"/>
          <w:sz w:val="24"/>
          <w:szCs w:val="24"/>
        </w:rPr>
        <w:t xml:space="preserve">187 </w:t>
      </w:r>
      <w:r w:rsidR="00D22649">
        <w:rPr>
          <w:rFonts w:ascii="Times New Roman" w:hAnsi="Times New Roman" w:cs="Times New Roman"/>
          <w:sz w:val="24"/>
          <w:szCs w:val="24"/>
        </w:rPr>
        <w:t>s</w:t>
      </w:r>
      <w:r w:rsidR="00FC03D6" w:rsidRPr="00D22649">
        <w:rPr>
          <w:rFonts w:ascii="Times New Roman" w:hAnsi="Times New Roman" w:cs="Times New Roman"/>
          <w:sz w:val="24"/>
          <w:szCs w:val="24"/>
        </w:rPr>
        <w:t>tates</w:t>
      </w:r>
      <w:r w:rsidR="00904D3E" w:rsidRPr="00D22649">
        <w:rPr>
          <w:rFonts w:ascii="Times New Roman" w:hAnsi="Times New Roman" w:cs="Times New Roman"/>
          <w:sz w:val="24"/>
          <w:szCs w:val="24"/>
        </w:rPr>
        <w:t xml:space="preserve"> parties</w:t>
      </w:r>
      <w:r w:rsidR="000E0CD1" w:rsidRPr="00D22649">
        <w:rPr>
          <w:rFonts w:ascii="Times New Roman" w:hAnsi="Times New Roman" w:cs="Times New Roman"/>
          <w:sz w:val="24"/>
          <w:szCs w:val="24"/>
        </w:rPr>
        <w:t xml:space="preserve">.  Its ambitious aims are </w:t>
      </w:r>
      <w:r w:rsidR="00FC03D6" w:rsidRPr="00D22649">
        <w:rPr>
          <w:rFonts w:ascii="Times New Roman" w:hAnsi="Times New Roman" w:cs="Times New Roman"/>
          <w:sz w:val="24"/>
          <w:szCs w:val="24"/>
        </w:rPr>
        <w:t xml:space="preserve">to </w:t>
      </w:r>
      <w:r w:rsidR="00FE4072" w:rsidRPr="00D22649">
        <w:rPr>
          <w:rFonts w:ascii="Times New Roman" w:hAnsi="Times New Roman" w:cs="Times New Roman"/>
          <w:sz w:val="24"/>
          <w:szCs w:val="24"/>
        </w:rPr>
        <w:t>eliminate discrimination a</w:t>
      </w:r>
      <w:r w:rsidR="009E32D4" w:rsidRPr="00D22649">
        <w:rPr>
          <w:rFonts w:ascii="Times New Roman" w:hAnsi="Times New Roman" w:cs="Times New Roman"/>
          <w:sz w:val="24"/>
          <w:szCs w:val="24"/>
        </w:rPr>
        <w:t>nd establish gender equality</w:t>
      </w:r>
      <w:r w:rsidR="00FE4072" w:rsidRPr="00D22649">
        <w:rPr>
          <w:rFonts w:ascii="Times New Roman" w:hAnsi="Times New Roman" w:cs="Times New Roman"/>
          <w:sz w:val="24"/>
          <w:szCs w:val="24"/>
        </w:rPr>
        <w:t xml:space="preserve"> through challenging structural gendered power relations</w:t>
      </w:r>
      <w:r w:rsidR="00FC03D6" w:rsidRPr="00D22649">
        <w:rPr>
          <w:rFonts w:ascii="Times New Roman" w:hAnsi="Times New Roman" w:cs="Times New Roman"/>
          <w:sz w:val="24"/>
          <w:szCs w:val="24"/>
        </w:rPr>
        <w:t xml:space="preserve">. </w:t>
      </w:r>
      <w:r w:rsidR="009E6C5A" w:rsidRPr="00D22649">
        <w:rPr>
          <w:rFonts w:ascii="Times New Roman" w:hAnsi="Times New Roman" w:cs="Times New Roman"/>
          <w:sz w:val="24"/>
          <w:szCs w:val="24"/>
        </w:rPr>
        <w:t xml:space="preserve"> </w:t>
      </w:r>
      <w:r w:rsidR="00FC03D6" w:rsidRPr="00D22649">
        <w:rPr>
          <w:rFonts w:ascii="Times New Roman" w:hAnsi="Times New Roman" w:cs="Times New Roman"/>
          <w:sz w:val="24"/>
          <w:szCs w:val="24"/>
        </w:rPr>
        <w:t xml:space="preserve">But </w:t>
      </w:r>
      <w:r w:rsidR="00FD7715" w:rsidRPr="00D22649">
        <w:rPr>
          <w:rFonts w:ascii="Times New Roman" w:hAnsi="Times New Roman" w:cs="Times New Roman"/>
          <w:sz w:val="24"/>
          <w:szCs w:val="24"/>
        </w:rPr>
        <w:t xml:space="preserve">if </w:t>
      </w:r>
      <w:r w:rsidR="00FC03D6" w:rsidRPr="00D22649">
        <w:rPr>
          <w:rFonts w:ascii="Times New Roman" w:hAnsi="Times New Roman" w:cs="Times New Roman"/>
          <w:sz w:val="24"/>
          <w:szCs w:val="24"/>
        </w:rPr>
        <w:t>its aspirations are lofty, in relation to enforcement its wings were initially severely clipped.</w:t>
      </w:r>
    </w:p>
    <w:p w14:paraId="1204298F" w14:textId="2F5BA9E7" w:rsidR="00A85174" w:rsidRPr="00D22649" w:rsidRDefault="00D22649"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D54805" w:rsidRPr="00D22649">
        <w:rPr>
          <w:rFonts w:ascii="Times New Roman" w:hAnsi="Times New Roman" w:cs="Times New Roman"/>
          <w:sz w:val="24"/>
          <w:szCs w:val="24"/>
        </w:rPr>
        <w:t xml:space="preserve">Prior to </w:t>
      </w:r>
      <w:r w:rsidR="00FC03D6" w:rsidRPr="00D22649">
        <w:rPr>
          <w:rFonts w:ascii="Times New Roman" w:hAnsi="Times New Roman" w:cs="Times New Roman"/>
          <w:sz w:val="24"/>
          <w:szCs w:val="24"/>
        </w:rPr>
        <w:t xml:space="preserve">the introduction of the </w:t>
      </w:r>
      <w:r w:rsidR="00CD693D" w:rsidRPr="00D22649">
        <w:rPr>
          <w:rFonts w:ascii="Times New Roman" w:hAnsi="Times New Roman" w:cs="Times New Roman"/>
          <w:sz w:val="24"/>
          <w:szCs w:val="24"/>
        </w:rPr>
        <w:t>Optional Protocol</w:t>
      </w:r>
      <w:r w:rsidR="000153F7" w:rsidRPr="00D22649">
        <w:rPr>
          <w:rFonts w:ascii="Times New Roman" w:hAnsi="Times New Roman" w:cs="Times New Roman"/>
          <w:sz w:val="24"/>
          <w:szCs w:val="24"/>
        </w:rPr>
        <w:t xml:space="preserve"> </w:t>
      </w:r>
      <w:r w:rsidR="00D54805" w:rsidRPr="00D22649">
        <w:rPr>
          <w:rFonts w:ascii="Times New Roman" w:hAnsi="Times New Roman" w:cs="Times New Roman"/>
          <w:sz w:val="24"/>
          <w:szCs w:val="24"/>
        </w:rPr>
        <w:t xml:space="preserve">there was </w:t>
      </w:r>
      <w:r w:rsidR="00560CBF" w:rsidRPr="00D22649">
        <w:rPr>
          <w:rFonts w:ascii="Times New Roman" w:hAnsi="Times New Roman" w:cs="Times New Roman"/>
          <w:sz w:val="24"/>
          <w:szCs w:val="24"/>
        </w:rPr>
        <w:t xml:space="preserve">no </w:t>
      </w:r>
      <w:r w:rsidR="00D54805" w:rsidRPr="00D22649">
        <w:rPr>
          <w:rFonts w:ascii="Times New Roman" w:hAnsi="Times New Roman" w:cs="Times New Roman"/>
          <w:sz w:val="24"/>
          <w:szCs w:val="24"/>
        </w:rPr>
        <w:t xml:space="preserve">mechanism through which individuals could complain </w:t>
      </w:r>
      <w:r w:rsidR="00E048EA" w:rsidRPr="00D22649">
        <w:rPr>
          <w:rFonts w:ascii="Times New Roman" w:hAnsi="Times New Roman" w:cs="Times New Roman"/>
          <w:sz w:val="24"/>
          <w:szCs w:val="24"/>
        </w:rPr>
        <w:t xml:space="preserve">to the Committee </w:t>
      </w:r>
      <w:r w:rsidR="00D54805" w:rsidRPr="00D22649">
        <w:rPr>
          <w:rFonts w:ascii="Times New Roman" w:hAnsi="Times New Roman" w:cs="Times New Roman"/>
          <w:sz w:val="24"/>
          <w:szCs w:val="24"/>
        </w:rPr>
        <w:t>about the violatio</w:t>
      </w:r>
      <w:r w:rsidR="00560CBF" w:rsidRPr="00D22649">
        <w:rPr>
          <w:rFonts w:ascii="Times New Roman" w:hAnsi="Times New Roman" w:cs="Times New Roman"/>
          <w:sz w:val="24"/>
          <w:szCs w:val="24"/>
        </w:rPr>
        <w:t>n of their rights under CEDAW</w:t>
      </w:r>
      <w:r w:rsidR="004D7997" w:rsidRPr="00D22649">
        <w:rPr>
          <w:rFonts w:ascii="Times New Roman" w:hAnsi="Times New Roman" w:cs="Times New Roman"/>
          <w:sz w:val="24"/>
          <w:szCs w:val="24"/>
        </w:rPr>
        <w:t xml:space="preserve">, </w:t>
      </w:r>
      <w:r w:rsidR="00A94E6F" w:rsidRPr="00D22649">
        <w:rPr>
          <w:rFonts w:ascii="Times New Roman" w:hAnsi="Times New Roman" w:cs="Times New Roman"/>
          <w:sz w:val="24"/>
          <w:szCs w:val="24"/>
        </w:rPr>
        <w:t xml:space="preserve">leading Theodor Meron to describe it as a </w:t>
      </w:r>
      <w:r w:rsidR="00FD7715" w:rsidRPr="00D22649">
        <w:rPr>
          <w:rFonts w:ascii="Times New Roman" w:hAnsi="Times New Roman" w:cs="Times New Roman"/>
          <w:sz w:val="24"/>
          <w:szCs w:val="24"/>
        </w:rPr>
        <w:t>second-class</w:t>
      </w:r>
      <w:r w:rsidR="00A94E6F" w:rsidRPr="00D22649">
        <w:rPr>
          <w:rFonts w:ascii="Times New Roman" w:hAnsi="Times New Roman" w:cs="Times New Roman"/>
          <w:sz w:val="24"/>
          <w:szCs w:val="24"/>
        </w:rPr>
        <w:t xml:space="preserve"> instrument</w:t>
      </w:r>
      <w:r w:rsidR="00560CBF" w:rsidRPr="00D22649">
        <w:rPr>
          <w:rFonts w:ascii="Times New Roman" w:hAnsi="Times New Roman" w:cs="Times New Roman"/>
          <w:sz w:val="24"/>
          <w:szCs w:val="24"/>
        </w:rPr>
        <w:t>.</w:t>
      </w:r>
      <w:r w:rsidR="00DF77FC" w:rsidRPr="00D22649">
        <w:rPr>
          <w:rStyle w:val="FootnoteReference"/>
          <w:rFonts w:ascii="Times New Roman" w:hAnsi="Times New Roman" w:cs="Times New Roman"/>
          <w:sz w:val="24"/>
          <w:szCs w:val="24"/>
        </w:rPr>
        <w:footnoteReference w:id="5"/>
      </w:r>
      <w:r w:rsidR="00DF77FC" w:rsidRPr="00D22649">
        <w:rPr>
          <w:rFonts w:ascii="Times New Roman" w:hAnsi="Times New Roman" w:cs="Times New Roman"/>
          <w:sz w:val="24"/>
          <w:szCs w:val="24"/>
        </w:rPr>
        <w:t xml:space="preserve"> </w:t>
      </w:r>
      <w:r w:rsidR="00560CBF" w:rsidRPr="00D22649">
        <w:rPr>
          <w:rFonts w:ascii="Times New Roman" w:hAnsi="Times New Roman" w:cs="Times New Roman"/>
          <w:sz w:val="24"/>
          <w:szCs w:val="24"/>
        </w:rPr>
        <w:t xml:space="preserve"> </w:t>
      </w:r>
      <w:r w:rsidR="00CD693D" w:rsidRPr="00D22649">
        <w:rPr>
          <w:rFonts w:ascii="Times New Roman" w:hAnsi="Times New Roman" w:cs="Times New Roman"/>
          <w:sz w:val="24"/>
          <w:szCs w:val="24"/>
        </w:rPr>
        <w:t xml:space="preserve">It seems that </w:t>
      </w:r>
      <w:r w:rsidR="00CD693D" w:rsidRPr="00D22649">
        <w:rPr>
          <w:rFonts w:ascii="Times New Roman" w:hAnsi="Times New Roman" w:cs="Times New Roman"/>
          <w:sz w:val="24"/>
          <w:szCs w:val="24"/>
        </w:rPr>
        <w:lastRenderedPageBreak/>
        <w:t xml:space="preserve">during the drafting of CEDAW there was simply </w:t>
      </w:r>
      <w:r w:rsidR="000156A5" w:rsidRPr="00D22649">
        <w:rPr>
          <w:rFonts w:ascii="Times New Roman" w:hAnsi="Times New Roman" w:cs="Times New Roman"/>
          <w:sz w:val="24"/>
          <w:szCs w:val="24"/>
        </w:rPr>
        <w:t xml:space="preserve">little thought given to the matter of </w:t>
      </w:r>
      <w:r w:rsidR="00FD7715" w:rsidRPr="00D22649">
        <w:rPr>
          <w:rFonts w:ascii="Times New Roman" w:hAnsi="Times New Roman" w:cs="Times New Roman"/>
          <w:sz w:val="24"/>
          <w:szCs w:val="24"/>
        </w:rPr>
        <w:t xml:space="preserve">establishing an </w:t>
      </w:r>
      <w:r w:rsidR="000156A5" w:rsidRPr="00D22649">
        <w:rPr>
          <w:rFonts w:ascii="Times New Roman" w:hAnsi="Times New Roman" w:cs="Times New Roman"/>
          <w:sz w:val="24"/>
          <w:szCs w:val="24"/>
        </w:rPr>
        <w:t>individual complaints</w:t>
      </w:r>
      <w:r w:rsidR="00FD7715" w:rsidRPr="00D22649">
        <w:rPr>
          <w:rFonts w:ascii="Times New Roman" w:hAnsi="Times New Roman" w:cs="Times New Roman"/>
          <w:sz w:val="24"/>
          <w:szCs w:val="24"/>
        </w:rPr>
        <w:t xml:space="preserve"> mechanism, a standard feature of most human rights treaties</w:t>
      </w:r>
      <w:r w:rsidR="000156A5" w:rsidRPr="00D22649">
        <w:rPr>
          <w:rFonts w:ascii="Times New Roman" w:hAnsi="Times New Roman" w:cs="Times New Roman"/>
          <w:sz w:val="24"/>
          <w:szCs w:val="24"/>
        </w:rPr>
        <w:t>.</w:t>
      </w:r>
      <w:r w:rsidR="000156A5" w:rsidRPr="00D22649">
        <w:rPr>
          <w:rStyle w:val="FootnoteReference"/>
          <w:rFonts w:ascii="Times New Roman" w:hAnsi="Times New Roman" w:cs="Times New Roman"/>
          <w:sz w:val="24"/>
          <w:szCs w:val="24"/>
        </w:rPr>
        <w:footnoteReference w:id="6"/>
      </w:r>
      <w:r w:rsidR="000156A5" w:rsidRPr="00D22649">
        <w:rPr>
          <w:rFonts w:ascii="Times New Roman" w:hAnsi="Times New Roman" w:cs="Times New Roman"/>
          <w:sz w:val="24"/>
          <w:szCs w:val="24"/>
        </w:rPr>
        <w:t xml:space="preserve">  </w:t>
      </w:r>
      <w:r w:rsidR="00560CBF" w:rsidRPr="00D22649">
        <w:rPr>
          <w:rFonts w:ascii="Times New Roman" w:hAnsi="Times New Roman" w:cs="Times New Roman"/>
          <w:sz w:val="24"/>
          <w:szCs w:val="24"/>
        </w:rPr>
        <w:t>I</w:t>
      </w:r>
      <w:r w:rsidR="00D54805" w:rsidRPr="00D22649">
        <w:rPr>
          <w:rFonts w:ascii="Times New Roman" w:hAnsi="Times New Roman" w:cs="Times New Roman"/>
          <w:sz w:val="24"/>
          <w:szCs w:val="24"/>
        </w:rPr>
        <w:t xml:space="preserve">nstead, </w:t>
      </w:r>
      <w:r w:rsidR="00560CBF" w:rsidRPr="00D22649">
        <w:rPr>
          <w:rFonts w:ascii="Times New Roman" w:hAnsi="Times New Roman" w:cs="Times New Roman"/>
          <w:sz w:val="24"/>
          <w:szCs w:val="24"/>
        </w:rPr>
        <w:t>a</w:t>
      </w:r>
      <w:r w:rsidR="00D54805" w:rsidRPr="00D22649">
        <w:rPr>
          <w:rFonts w:ascii="Times New Roman" w:hAnsi="Times New Roman" w:cs="Times New Roman"/>
          <w:sz w:val="24"/>
          <w:szCs w:val="24"/>
        </w:rPr>
        <w:t xml:space="preserve"> reporting procedure </w:t>
      </w:r>
      <w:r w:rsidR="00CD693D" w:rsidRPr="00D22649">
        <w:rPr>
          <w:rFonts w:ascii="Times New Roman" w:hAnsi="Times New Roman" w:cs="Times New Roman"/>
          <w:sz w:val="24"/>
          <w:szCs w:val="24"/>
        </w:rPr>
        <w:t xml:space="preserve">and </w:t>
      </w:r>
      <w:r w:rsidR="004D7997" w:rsidRPr="00D22649">
        <w:rPr>
          <w:rFonts w:ascii="Times New Roman" w:hAnsi="Times New Roman" w:cs="Times New Roman"/>
          <w:sz w:val="24"/>
          <w:szCs w:val="24"/>
        </w:rPr>
        <w:t>an inter-</w:t>
      </w:r>
      <w:r w:rsidR="00213E2B">
        <w:rPr>
          <w:rFonts w:ascii="Times New Roman" w:hAnsi="Times New Roman" w:cs="Times New Roman"/>
          <w:sz w:val="24"/>
          <w:szCs w:val="24"/>
        </w:rPr>
        <w:t>s</w:t>
      </w:r>
      <w:r w:rsidR="004D7997" w:rsidRPr="00D22649">
        <w:rPr>
          <w:rFonts w:ascii="Times New Roman" w:hAnsi="Times New Roman" w:cs="Times New Roman"/>
          <w:sz w:val="24"/>
          <w:szCs w:val="24"/>
        </w:rPr>
        <w:t>tate complaints mechanism were</w:t>
      </w:r>
      <w:r w:rsidR="00D54805" w:rsidRPr="00D22649">
        <w:rPr>
          <w:rFonts w:ascii="Times New Roman" w:hAnsi="Times New Roman" w:cs="Times New Roman"/>
          <w:sz w:val="24"/>
          <w:szCs w:val="24"/>
        </w:rPr>
        <w:t xml:space="preserve"> relied upon to secure </w:t>
      </w:r>
      <w:r w:rsidR="00213E2B">
        <w:rPr>
          <w:rFonts w:ascii="Times New Roman" w:hAnsi="Times New Roman" w:cs="Times New Roman"/>
          <w:sz w:val="24"/>
          <w:szCs w:val="24"/>
        </w:rPr>
        <w:t>s</w:t>
      </w:r>
      <w:r w:rsidR="00D54805" w:rsidRPr="00D22649">
        <w:rPr>
          <w:rFonts w:ascii="Times New Roman" w:hAnsi="Times New Roman" w:cs="Times New Roman"/>
          <w:sz w:val="24"/>
          <w:szCs w:val="24"/>
        </w:rPr>
        <w:t xml:space="preserve">tates’ compliance with their treaty obligations.  </w:t>
      </w:r>
      <w:r w:rsidR="00560CBF" w:rsidRPr="00D22649">
        <w:rPr>
          <w:rFonts w:ascii="Times New Roman" w:hAnsi="Times New Roman" w:cs="Times New Roman"/>
          <w:sz w:val="24"/>
          <w:szCs w:val="24"/>
        </w:rPr>
        <w:t xml:space="preserve">The flaws and weaknesses </w:t>
      </w:r>
      <w:r w:rsidR="004D7997" w:rsidRPr="00D22649">
        <w:rPr>
          <w:rFonts w:ascii="Times New Roman" w:hAnsi="Times New Roman" w:cs="Times New Roman"/>
          <w:sz w:val="24"/>
          <w:szCs w:val="24"/>
        </w:rPr>
        <w:t xml:space="preserve">of such </w:t>
      </w:r>
      <w:r w:rsidR="00F73062" w:rsidRPr="00D22649">
        <w:rPr>
          <w:rFonts w:ascii="Times New Roman" w:hAnsi="Times New Roman" w:cs="Times New Roman"/>
          <w:sz w:val="24"/>
          <w:szCs w:val="24"/>
        </w:rPr>
        <w:t xml:space="preserve">enforcement </w:t>
      </w:r>
      <w:r w:rsidR="00560CBF" w:rsidRPr="00D22649">
        <w:rPr>
          <w:rFonts w:ascii="Times New Roman" w:hAnsi="Times New Roman" w:cs="Times New Roman"/>
          <w:sz w:val="24"/>
          <w:szCs w:val="24"/>
        </w:rPr>
        <w:t>system</w:t>
      </w:r>
      <w:r w:rsidR="004D7997" w:rsidRPr="00D22649">
        <w:rPr>
          <w:rFonts w:ascii="Times New Roman" w:hAnsi="Times New Roman" w:cs="Times New Roman"/>
          <w:sz w:val="24"/>
          <w:szCs w:val="24"/>
        </w:rPr>
        <w:t>s</w:t>
      </w:r>
      <w:r w:rsidR="009204A5" w:rsidRPr="00D22649">
        <w:rPr>
          <w:rFonts w:ascii="Times New Roman" w:hAnsi="Times New Roman" w:cs="Times New Roman"/>
          <w:sz w:val="24"/>
          <w:szCs w:val="24"/>
        </w:rPr>
        <w:t xml:space="preserve"> are now well </w:t>
      </w:r>
      <w:r w:rsidR="00560CBF" w:rsidRPr="00D22649">
        <w:rPr>
          <w:rFonts w:ascii="Times New Roman" w:hAnsi="Times New Roman" w:cs="Times New Roman"/>
          <w:sz w:val="24"/>
          <w:szCs w:val="24"/>
        </w:rPr>
        <w:t>known.</w:t>
      </w:r>
      <w:r w:rsidR="00CF3360" w:rsidRPr="00D22649">
        <w:rPr>
          <w:rStyle w:val="FootnoteReference"/>
          <w:rFonts w:ascii="Times New Roman" w:hAnsi="Times New Roman" w:cs="Times New Roman"/>
          <w:sz w:val="24"/>
          <w:szCs w:val="24"/>
        </w:rPr>
        <w:footnoteReference w:id="7"/>
      </w:r>
      <w:r w:rsidR="00560CBF" w:rsidRPr="00D22649">
        <w:rPr>
          <w:rFonts w:ascii="Times New Roman" w:hAnsi="Times New Roman" w:cs="Times New Roman"/>
          <w:sz w:val="24"/>
          <w:szCs w:val="24"/>
        </w:rPr>
        <w:t xml:space="preserve">  </w:t>
      </w:r>
      <w:r w:rsidR="004D7997" w:rsidRPr="00D22649">
        <w:rPr>
          <w:rFonts w:ascii="Times New Roman" w:hAnsi="Times New Roman" w:cs="Times New Roman"/>
          <w:sz w:val="24"/>
          <w:szCs w:val="24"/>
        </w:rPr>
        <w:t>In common with other UN human rights treaties, CEDAW’s inter-</w:t>
      </w:r>
      <w:r w:rsidR="00213E2B">
        <w:rPr>
          <w:rFonts w:ascii="Times New Roman" w:hAnsi="Times New Roman" w:cs="Times New Roman"/>
          <w:sz w:val="24"/>
          <w:szCs w:val="24"/>
        </w:rPr>
        <w:t>s</w:t>
      </w:r>
      <w:r w:rsidR="004D7997" w:rsidRPr="00D22649">
        <w:rPr>
          <w:rFonts w:ascii="Times New Roman" w:hAnsi="Times New Roman" w:cs="Times New Roman"/>
          <w:sz w:val="24"/>
          <w:szCs w:val="24"/>
        </w:rPr>
        <w:t xml:space="preserve">tate complaints mechanism has never been used.  As for the reporting procedure, this is generally accepted as a means of </w:t>
      </w:r>
      <w:r w:rsidR="00440E0C" w:rsidRPr="00D22649">
        <w:rPr>
          <w:rFonts w:ascii="Times New Roman" w:hAnsi="Times New Roman" w:cs="Times New Roman"/>
          <w:sz w:val="24"/>
          <w:szCs w:val="24"/>
        </w:rPr>
        <w:t>review</w:t>
      </w:r>
      <w:r w:rsidR="004D7997" w:rsidRPr="00D22649">
        <w:rPr>
          <w:rFonts w:ascii="Times New Roman" w:hAnsi="Times New Roman" w:cs="Times New Roman"/>
          <w:sz w:val="24"/>
          <w:szCs w:val="24"/>
        </w:rPr>
        <w:t>ing national</w:t>
      </w:r>
      <w:r w:rsidR="00440E0C" w:rsidRPr="00D22649">
        <w:rPr>
          <w:rFonts w:ascii="Times New Roman" w:hAnsi="Times New Roman" w:cs="Times New Roman"/>
          <w:sz w:val="24"/>
          <w:szCs w:val="24"/>
        </w:rPr>
        <w:t xml:space="preserve"> implementation </w:t>
      </w:r>
      <w:r w:rsidR="004D7997" w:rsidRPr="00D22649">
        <w:rPr>
          <w:rFonts w:ascii="Times New Roman" w:hAnsi="Times New Roman" w:cs="Times New Roman"/>
          <w:sz w:val="24"/>
          <w:szCs w:val="24"/>
        </w:rPr>
        <w:t>rathe</w:t>
      </w:r>
      <w:r w:rsidR="00CF3360" w:rsidRPr="00D22649">
        <w:rPr>
          <w:rFonts w:ascii="Times New Roman" w:hAnsi="Times New Roman" w:cs="Times New Roman"/>
          <w:sz w:val="24"/>
          <w:szCs w:val="24"/>
        </w:rPr>
        <w:t>r than an enforcement mechanism</w:t>
      </w:r>
      <w:r w:rsidR="003F128C" w:rsidRPr="00D22649">
        <w:rPr>
          <w:rFonts w:ascii="Times New Roman" w:hAnsi="Times New Roman" w:cs="Times New Roman"/>
          <w:sz w:val="24"/>
          <w:szCs w:val="24"/>
        </w:rPr>
        <w:t xml:space="preserve">: Chinkin has argued that its nature </w:t>
      </w:r>
      <w:r w:rsidR="00213E2B">
        <w:rPr>
          <w:rFonts w:ascii="Times New Roman" w:hAnsi="Times New Roman" w:cs="Times New Roman"/>
          <w:sz w:val="24"/>
          <w:szCs w:val="24"/>
        </w:rPr>
        <w:t>‘</w:t>
      </w:r>
      <w:r w:rsidR="003F128C" w:rsidRPr="00D22649">
        <w:rPr>
          <w:rFonts w:ascii="Times New Roman" w:hAnsi="Times New Roman" w:cs="Times New Roman"/>
          <w:sz w:val="24"/>
          <w:szCs w:val="24"/>
        </w:rPr>
        <w:t>constrains the Committee from exploring issues in depth</w:t>
      </w:r>
      <w:r w:rsidR="00213E2B">
        <w:rPr>
          <w:rFonts w:ascii="Times New Roman" w:hAnsi="Times New Roman" w:cs="Times New Roman"/>
          <w:sz w:val="24"/>
          <w:szCs w:val="24"/>
        </w:rPr>
        <w:t>’</w:t>
      </w:r>
      <w:r w:rsidR="003F128C" w:rsidRPr="00D22649">
        <w:rPr>
          <w:rFonts w:ascii="Times New Roman" w:hAnsi="Times New Roman" w:cs="Times New Roman"/>
          <w:sz w:val="24"/>
          <w:szCs w:val="24"/>
        </w:rPr>
        <w:t>.</w:t>
      </w:r>
      <w:r w:rsidR="003F128C" w:rsidRPr="00D22649">
        <w:rPr>
          <w:rStyle w:val="FootnoteReference"/>
          <w:rFonts w:ascii="Times New Roman" w:hAnsi="Times New Roman" w:cs="Times New Roman"/>
          <w:sz w:val="24"/>
          <w:szCs w:val="24"/>
        </w:rPr>
        <w:footnoteReference w:id="8"/>
      </w:r>
      <w:r w:rsidR="003F128C" w:rsidRPr="00D22649">
        <w:rPr>
          <w:rFonts w:ascii="Times New Roman" w:hAnsi="Times New Roman" w:cs="Times New Roman"/>
          <w:sz w:val="24"/>
          <w:szCs w:val="24"/>
        </w:rPr>
        <w:t xml:space="preserve">  </w:t>
      </w:r>
      <w:r w:rsidR="00440E0C" w:rsidRPr="00D22649">
        <w:rPr>
          <w:rFonts w:ascii="Times New Roman" w:hAnsi="Times New Roman" w:cs="Times New Roman"/>
          <w:sz w:val="24"/>
          <w:szCs w:val="24"/>
        </w:rPr>
        <w:t xml:space="preserve">Poor compliance </w:t>
      </w:r>
      <w:r w:rsidR="00B467FC" w:rsidRPr="00D22649">
        <w:rPr>
          <w:rFonts w:ascii="Times New Roman" w:hAnsi="Times New Roman" w:cs="Times New Roman"/>
          <w:sz w:val="24"/>
          <w:szCs w:val="24"/>
        </w:rPr>
        <w:t xml:space="preserve">by </w:t>
      </w:r>
      <w:r w:rsidR="00213E2B">
        <w:rPr>
          <w:rFonts w:ascii="Times New Roman" w:hAnsi="Times New Roman" w:cs="Times New Roman"/>
          <w:sz w:val="24"/>
          <w:szCs w:val="24"/>
        </w:rPr>
        <w:t>s</w:t>
      </w:r>
      <w:r w:rsidR="00B467FC" w:rsidRPr="00D22649">
        <w:rPr>
          <w:rFonts w:ascii="Times New Roman" w:hAnsi="Times New Roman" w:cs="Times New Roman"/>
          <w:sz w:val="24"/>
          <w:szCs w:val="24"/>
        </w:rPr>
        <w:t xml:space="preserve">tates </w:t>
      </w:r>
      <w:r w:rsidR="00440E0C" w:rsidRPr="00D22649">
        <w:rPr>
          <w:rFonts w:ascii="Times New Roman" w:hAnsi="Times New Roman" w:cs="Times New Roman"/>
          <w:sz w:val="24"/>
          <w:szCs w:val="24"/>
        </w:rPr>
        <w:t>with reporting obligations</w:t>
      </w:r>
      <w:r w:rsidR="00FD7715" w:rsidRPr="00D22649">
        <w:rPr>
          <w:rFonts w:ascii="Times New Roman" w:hAnsi="Times New Roman" w:cs="Times New Roman"/>
          <w:sz w:val="24"/>
          <w:szCs w:val="24"/>
        </w:rPr>
        <w:t xml:space="preserve"> is notorious </w:t>
      </w:r>
      <w:r w:rsidR="00FA1235" w:rsidRPr="00D22649">
        <w:rPr>
          <w:rFonts w:ascii="Times New Roman" w:hAnsi="Times New Roman" w:cs="Times New Roman"/>
          <w:sz w:val="24"/>
          <w:szCs w:val="24"/>
        </w:rPr>
        <w:t xml:space="preserve">under all international human rights treaties, and CEDAW </w:t>
      </w:r>
      <w:r w:rsidR="00A85174" w:rsidRPr="00D22649">
        <w:rPr>
          <w:rFonts w:ascii="Times New Roman" w:hAnsi="Times New Roman" w:cs="Times New Roman"/>
          <w:sz w:val="24"/>
          <w:szCs w:val="24"/>
        </w:rPr>
        <w:t>has been</w:t>
      </w:r>
      <w:r w:rsidR="00FA1235" w:rsidRPr="00D22649">
        <w:rPr>
          <w:rFonts w:ascii="Times New Roman" w:hAnsi="Times New Roman" w:cs="Times New Roman"/>
          <w:sz w:val="24"/>
          <w:szCs w:val="24"/>
        </w:rPr>
        <w:t xml:space="preserve"> no exception</w:t>
      </w:r>
      <w:r w:rsidR="00440E0C" w:rsidRPr="00D22649">
        <w:rPr>
          <w:rFonts w:ascii="Times New Roman" w:hAnsi="Times New Roman" w:cs="Times New Roman"/>
          <w:sz w:val="24"/>
          <w:szCs w:val="24"/>
        </w:rPr>
        <w:t>.</w:t>
      </w:r>
      <w:r w:rsidR="00FD7715" w:rsidRPr="00D22649">
        <w:rPr>
          <w:rStyle w:val="FootnoteReference"/>
          <w:rFonts w:ascii="Times New Roman" w:hAnsi="Times New Roman" w:cs="Times New Roman"/>
          <w:sz w:val="24"/>
          <w:szCs w:val="24"/>
        </w:rPr>
        <w:footnoteReference w:id="9"/>
      </w:r>
      <w:r w:rsidR="00440E0C" w:rsidRPr="00D22649">
        <w:rPr>
          <w:rFonts w:ascii="Times New Roman" w:hAnsi="Times New Roman" w:cs="Times New Roman"/>
          <w:sz w:val="24"/>
          <w:szCs w:val="24"/>
        </w:rPr>
        <w:t xml:space="preserve">  </w:t>
      </w:r>
      <w:r w:rsidR="000B514A" w:rsidRPr="00D22649">
        <w:rPr>
          <w:rFonts w:ascii="Times New Roman" w:hAnsi="Times New Roman" w:cs="Times New Roman"/>
          <w:sz w:val="24"/>
          <w:szCs w:val="24"/>
        </w:rPr>
        <w:t xml:space="preserve">The Committee </w:t>
      </w:r>
      <w:r w:rsidR="00AD6078" w:rsidRPr="00D22649">
        <w:rPr>
          <w:rFonts w:ascii="Times New Roman" w:hAnsi="Times New Roman" w:cs="Times New Roman"/>
          <w:sz w:val="24"/>
          <w:szCs w:val="24"/>
        </w:rPr>
        <w:t>initially met for only</w:t>
      </w:r>
      <w:r w:rsidR="000B514A" w:rsidRPr="00D22649">
        <w:rPr>
          <w:rFonts w:ascii="Times New Roman" w:hAnsi="Times New Roman" w:cs="Times New Roman"/>
          <w:sz w:val="24"/>
          <w:szCs w:val="24"/>
        </w:rPr>
        <w:t xml:space="preserve"> </w:t>
      </w:r>
      <w:r w:rsidR="00E048EA" w:rsidRPr="00D22649">
        <w:rPr>
          <w:rFonts w:ascii="Times New Roman" w:hAnsi="Times New Roman" w:cs="Times New Roman"/>
          <w:sz w:val="24"/>
          <w:szCs w:val="24"/>
        </w:rPr>
        <w:t xml:space="preserve">a </w:t>
      </w:r>
      <w:r w:rsidR="00AD6078" w:rsidRPr="00D22649">
        <w:rPr>
          <w:rFonts w:ascii="Times New Roman" w:hAnsi="Times New Roman" w:cs="Times New Roman"/>
          <w:sz w:val="24"/>
          <w:szCs w:val="24"/>
        </w:rPr>
        <w:t xml:space="preserve">two-week period </w:t>
      </w:r>
      <w:r w:rsidR="000B514A" w:rsidRPr="00D22649">
        <w:rPr>
          <w:rFonts w:ascii="Times New Roman" w:hAnsi="Times New Roman" w:cs="Times New Roman"/>
          <w:sz w:val="24"/>
          <w:szCs w:val="24"/>
        </w:rPr>
        <w:t>each year</w:t>
      </w:r>
      <w:r w:rsidR="00A85174" w:rsidRPr="00D22649">
        <w:rPr>
          <w:rFonts w:ascii="Times New Roman" w:hAnsi="Times New Roman" w:cs="Times New Roman"/>
          <w:sz w:val="24"/>
          <w:szCs w:val="24"/>
        </w:rPr>
        <w:t xml:space="preserve"> </w:t>
      </w:r>
      <w:r w:rsidR="00DA1DE4" w:rsidRPr="00D22649">
        <w:rPr>
          <w:rFonts w:ascii="Times New Roman" w:hAnsi="Times New Roman" w:cs="Times New Roman"/>
          <w:sz w:val="24"/>
          <w:szCs w:val="24"/>
        </w:rPr>
        <w:t xml:space="preserve">– a uniquely short allocation of time </w:t>
      </w:r>
      <w:r w:rsidR="00213E2B">
        <w:rPr>
          <w:rFonts w:ascii="Times New Roman" w:hAnsi="Times New Roman" w:cs="Times New Roman"/>
          <w:sz w:val="24"/>
          <w:szCs w:val="24"/>
        </w:rPr>
        <w:t>–</w:t>
      </w:r>
      <w:r w:rsidR="00DA1DE4" w:rsidRPr="00D22649">
        <w:rPr>
          <w:rFonts w:ascii="Times New Roman" w:hAnsi="Times New Roman" w:cs="Times New Roman"/>
          <w:sz w:val="24"/>
          <w:szCs w:val="24"/>
        </w:rPr>
        <w:t xml:space="preserve"> </w:t>
      </w:r>
      <w:r w:rsidR="00A85174" w:rsidRPr="00D22649">
        <w:rPr>
          <w:rFonts w:ascii="Times New Roman" w:hAnsi="Times New Roman" w:cs="Times New Roman"/>
          <w:sz w:val="24"/>
          <w:szCs w:val="24"/>
        </w:rPr>
        <w:t xml:space="preserve">and </w:t>
      </w:r>
      <w:r w:rsidR="00E048EA" w:rsidRPr="00D22649">
        <w:rPr>
          <w:rFonts w:ascii="Times New Roman" w:hAnsi="Times New Roman" w:cs="Times New Roman"/>
          <w:sz w:val="24"/>
          <w:szCs w:val="24"/>
        </w:rPr>
        <w:t xml:space="preserve">consequently </w:t>
      </w:r>
      <w:r w:rsidR="00A85174" w:rsidRPr="00D22649">
        <w:rPr>
          <w:rFonts w:ascii="Times New Roman" w:hAnsi="Times New Roman" w:cs="Times New Roman"/>
          <w:sz w:val="24"/>
          <w:szCs w:val="24"/>
        </w:rPr>
        <w:t>experienced a huge backlog in dealing with reports</w:t>
      </w:r>
      <w:r w:rsidR="00560CBF" w:rsidRPr="00D22649">
        <w:rPr>
          <w:rFonts w:ascii="Times New Roman" w:hAnsi="Times New Roman" w:cs="Times New Roman"/>
          <w:sz w:val="24"/>
          <w:szCs w:val="24"/>
        </w:rPr>
        <w:t xml:space="preserve">.  </w:t>
      </w:r>
      <w:r w:rsidR="00FD7715" w:rsidRPr="00D22649">
        <w:rPr>
          <w:rFonts w:ascii="Times New Roman" w:hAnsi="Times New Roman" w:cs="Times New Roman"/>
          <w:sz w:val="24"/>
          <w:szCs w:val="24"/>
        </w:rPr>
        <w:t xml:space="preserve">Although </w:t>
      </w:r>
      <w:r w:rsidR="00F84621" w:rsidRPr="00D22649">
        <w:rPr>
          <w:rFonts w:ascii="Times New Roman" w:hAnsi="Times New Roman" w:cs="Times New Roman"/>
          <w:sz w:val="24"/>
          <w:szCs w:val="24"/>
        </w:rPr>
        <w:t>authori</w:t>
      </w:r>
      <w:r w:rsidR="00213E2B">
        <w:rPr>
          <w:rFonts w:ascii="Times New Roman" w:hAnsi="Times New Roman" w:cs="Times New Roman"/>
          <w:sz w:val="24"/>
          <w:szCs w:val="24"/>
        </w:rPr>
        <w:t>z</w:t>
      </w:r>
      <w:r w:rsidR="00F84621" w:rsidRPr="00D22649">
        <w:rPr>
          <w:rFonts w:ascii="Times New Roman" w:hAnsi="Times New Roman" w:cs="Times New Roman"/>
          <w:sz w:val="24"/>
          <w:szCs w:val="24"/>
        </w:rPr>
        <w:t>ed now to meet</w:t>
      </w:r>
      <w:r w:rsidR="00AD6078" w:rsidRPr="00D22649">
        <w:rPr>
          <w:rFonts w:ascii="Times New Roman" w:hAnsi="Times New Roman" w:cs="Times New Roman"/>
          <w:sz w:val="24"/>
          <w:szCs w:val="24"/>
        </w:rPr>
        <w:t xml:space="preserve"> three times a year</w:t>
      </w:r>
      <w:r w:rsidR="00FD7715" w:rsidRPr="00D22649">
        <w:rPr>
          <w:rFonts w:ascii="Times New Roman" w:hAnsi="Times New Roman" w:cs="Times New Roman"/>
          <w:sz w:val="24"/>
          <w:szCs w:val="24"/>
        </w:rPr>
        <w:t>,</w:t>
      </w:r>
      <w:r w:rsidR="00511E00" w:rsidRPr="00D22649">
        <w:rPr>
          <w:rStyle w:val="FootnoteReference"/>
          <w:rFonts w:ascii="Times New Roman" w:hAnsi="Times New Roman" w:cs="Times New Roman"/>
          <w:sz w:val="24"/>
          <w:szCs w:val="24"/>
        </w:rPr>
        <w:footnoteReference w:id="10"/>
      </w:r>
      <w:r w:rsidR="00FD7715" w:rsidRPr="00D22649">
        <w:rPr>
          <w:rFonts w:ascii="Times New Roman" w:hAnsi="Times New Roman" w:cs="Times New Roman"/>
          <w:sz w:val="24"/>
          <w:szCs w:val="24"/>
        </w:rPr>
        <w:t xml:space="preserve"> </w:t>
      </w:r>
      <w:r w:rsidR="00033C35" w:rsidRPr="00D22649">
        <w:rPr>
          <w:rFonts w:ascii="Times New Roman" w:hAnsi="Times New Roman" w:cs="Times New Roman"/>
          <w:sz w:val="24"/>
          <w:szCs w:val="24"/>
        </w:rPr>
        <w:t xml:space="preserve">workload </w:t>
      </w:r>
      <w:r w:rsidR="00FD7715" w:rsidRPr="00D22649">
        <w:rPr>
          <w:rFonts w:ascii="Times New Roman" w:hAnsi="Times New Roman" w:cs="Times New Roman"/>
          <w:sz w:val="24"/>
          <w:szCs w:val="24"/>
        </w:rPr>
        <w:t xml:space="preserve">problems </w:t>
      </w:r>
      <w:r w:rsidR="00033C35" w:rsidRPr="00D22649">
        <w:rPr>
          <w:rFonts w:ascii="Times New Roman" w:hAnsi="Times New Roman" w:cs="Times New Roman"/>
          <w:sz w:val="24"/>
          <w:szCs w:val="24"/>
        </w:rPr>
        <w:t>persist</w:t>
      </w:r>
      <w:r w:rsidR="00FD7715" w:rsidRPr="00D22649">
        <w:rPr>
          <w:rFonts w:ascii="Times New Roman" w:hAnsi="Times New Roman" w:cs="Times New Roman"/>
          <w:sz w:val="24"/>
          <w:szCs w:val="24"/>
        </w:rPr>
        <w:t xml:space="preserve">.  </w:t>
      </w:r>
      <w:r w:rsidR="00033C35" w:rsidRPr="00D22649">
        <w:rPr>
          <w:rFonts w:ascii="Times New Roman" w:hAnsi="Times New Roman" w:cs="Times New Roman"/>
          <w:sz w:val="24"/>
          <w:szCs w:val="24"/>
        </w:rPr>
        <w:t xml:space="preserve">Furthermore, </w:t>
      </w:r>
      <w:r w:rsidR="00A85174" w:rsidRPr="00D22649">
        <w:rPr>
          <w:rFonts w:ascii="Times New Roman" w:hAnsi="Times New Roman" w:cs="Times New Roman"/>
          <w:sz w:val="24"/>
          <w:szCs w:val="24"/>
        </w:rPr>
        <w:t xml:space="preserve">CEDAW is encumbered with the honour of being the most </w:t>
      </w:r>
      <w:r w:rsidR="00DA52DA" w:rsidRPr="00D22649">
        <w:rPr>
          <w:rFonts w:ascii="Times New Roman" w:hAnsi="Times New Roman" w:cs="Times New Roman"/>
          <w:sz w:val="24"/>
          <w:szCs w:val="24"/>
        </w:rPr>
        <w:t xml:space="preserve">heavily </w:t>
      </w:r>
      <w:r w:rsidR="00A85174" w:rsidRPr="00D22649">
        <w:rPr>
          <w:rFonts w:ascii="Times New Roman" w:hAnsi="Times New Roman" w:cs="Times New Roman"/>
          <w:sz w:val="24"/>
          <w:szCs w:val="24"/>
        </w:rPr>
        <w:t>reserved int</w:t>
      </w:r>
      <w:r w:rsidR="00DA52DA" w:rsidRPr="00D22649">
        <w:rPr>
          <w:rFonts w:ascii="Times New Roman" w:hAnsi="Times New Roman" w:cs="Times New Roman"/>
          <w:sz w:val="24"/>
          <w:szCs w:val="24"/>
        </w:rPr>
        <w:t>ernational human rights treaty</w:t>
      </w:r>
      <w:r w:rsidR="00A85174" w:rsidRPr="00D22649">
        <w:rPr>
          <w:rFonts w:ascii="Times New Roman" w:hAnsi="Times New Roman" w:cs="Times New Roman"/>
          <w:sz w:val="24"/>
          <w:szCs w:val="24"/>
        </w:rPr>
        <w:t>,</w:t>
      </w:r>
      <w:r w:rsidR="00DA52DA" w:rsidRPr="00D22649">
        <w:rPr>
          <w:rStyle w:val="FootnoteReference"/>
          <w:rFonts w:ascii="Times New Roman" w:hAnsi="Times New Roman" w:cs="Times New Roman"/>
          <w:sz w:val="24"/>
          <w:szCs w:val="24"/>
        </w:rPr>
        <w:footnoteReference w:id="11"/>
      </w:r>
      <w:r w:rsidR="00A85174" w:rsidRPr="00D22649">
        <w:rPr>
          <w:rFonts w:ascii="Times New Roman" w:hAnsi="Times New Roman" w:cs="Times New Roman"/>
          <w:sz w:val="24"/>
          <w:szCs w:val="24"/>
        </w:rPr>
        <w:t xml:space="preserve"> indicating w</w:t>
      </w:r>
      <w:r w:rsidR="00440E0C" w:rsidRPr="00D22649">
        <w:rPr>
          <w:rFonts w:ascii="Times New Roman" w:hAnsi="Times New Roman" w:cs="Times New Roman"/>
          <w:sz w:val="24"/>
          <w:szCs w:val="24"/>
        </w:rPr>
        <w:t xml:space="preserve">eak adherence to </w:t>
      </w:r>
      <w:r w:rsidR="00FD7715" w:rsidRPr="00D22649">
        <w:rPr>
          <w:rFonts w:ascii="Times New Roman" w:hAnsi="Times New Roman" w:cs="Times New Roman"/>
          <w:sz w:val="24"/>
          <w:szCs w:val="24"/>
        </w:rPr>
        <w:t xml:space="preserve">its </w:t>
      </w:r>
      <w:r w:rsidR="00440E0C" w:rsidRPr="00D22649">
        <w:rPr>
          <w:rFonts w:ascii="Times New Roman" w:hAnsi="Times New Roman" w:cs="Times New Roman"/>
          <w:sz w:val="24"/>
          <w:szCs w:val="24"/>
        </w:rPr>
        <w:t xml:space="preserve">normative principles.  </w:t>
      </w:r>
    </w:p>
    <w:p w14:paraId="57C9C00F" w14:textId="782537C7" w:rsidR="006D6144" w:rsidRPr="00D22649" w:rsidRDefault="00213E2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8D5447" w:rsidRPr="00D22649">
        <w:rPr>
          <w:rFonts w:ascii="Times New Roman" w:hAnsi="Times New Roman" w:cs="Times New Roman"/>
          <w:sz w:val="24"/>
          <w:szCs w:val="24"/>
        </w:rPr>
        <w:t xml:space="preserve">While this </w:t>
      </w:r>
      <w:r w:rsidR="00560CBF" w:rsidRPr="00D22649">
        <w:rPr>
          <w:rFonts w:ascii="Times New Roman" w:hAnsi="Times New Roman" w:cs="Times New Roman"/>
          <w:sz w:val="24"/>
          <w:szCs w:val="24"/>
        </w:rPr>
        <w:t xml:space="preserve">lack of serious </w:t>
      </w:r>
      <w:r w:rsidR="009A7ED2" w:rsidRPr="00D22649">
        <w:rPr>
          <w:rFonts w:ascii="Times New Roman" w:hAnsi="Times New Roman" w:cs="Times New Roman"/>
          <w:sz w:val="24"/>
          <w:szCs w:val="24"/>
        </w:rPr>
        <w:t>enforcement</w:t>
      </w:r>
      <w:r w:rsidR="00560CBF" w:rsidRPr="00D22649">
        <w:rPr>
          <w:rFonts w:ascii="Times New Roman" w:hAnsi="Times New Roman" w:cs="Times New Roman"/>
          <w:sz w:val="24"/>
          <w:szCs w:val="24"/>
        </w:rPr>
        <w:t xml:space="preserve"> was enough to justify the enhancement of CEDAW’s procedures</w:t>
      </w:r>
      <w:r w:rsidR="00440E0C" w:rsidRPr="00D22649">
        <w:rPr>
          <w:rFonts w:ascii="Times New Roman" w:hAnsi="Times New Roman" w:cs="Times New Roman"/>
          <w:sz w:val="24"/>
          <w:szCs w:val="24"/>
        </w:rPr>
        <w:t xml:space="preserve">, arguably, the most significant </w:t>
      </w:r>
      <w:r w:rsidR="00567DED" w:rsidRPr="00D22649">
        <w:rPr>
          <w:rFonts w:ascii="Times New Roman" w:hAnsi="Times New Roman" w:cs="Times New Roman"/>
          <w:sz w:val="24"/>
          <w:szCs w:val="24"/>
        </w:rPr>
        <w:t>casualty of CEDAW’s relative weakness</w:t>
      </w:r>
      <w:r w:rsidR="00440E0C" w:rsidRPr="00D22649">
        <w:rPr>
          <w:rFonts w:ascii="Times New Roman" w:hAnsi="Times New Roman" w:cs="Times New Roman"/>
          <w:sz w:val="24"/>
          <w:szCs w:val="24"/>
        </w:rPr>
        <w:t xml:space="preserve"> </w:t>
      </w:r>
      <w:r w:rsidR="0023668A" w:rsidRPr="00D22649">
        <w:rPr>
          <w:rFonts w:ascii="Times New Roman" w:hAnsi="Times New Roman" w:cs="Times New Roman"/>
          <w:sz w:val="24"/>
          <w:szCs w:val="24"/>
        </w:rPr>
        <w:t>has been</w:t>
      </w:r>
      <w:r w:rsidR="006D6144" w:rsidRPr="00D22649">
        <w:rPr>
          <w:rFonts w:ascii="Times New Roman" w:hAnsi="Times New Roman" w:cs="Times New Roman"/>
          <w:sz w:val="24"/>
          <w:szCs w:val="24"/>
        </w:rPr>
        <w:t xml:space="preserve"> a silencing of women’s voices in </w:t>
      </w:r>
      <w:r w:rsidR="00F66B62" w:rsidRPr="00D22649">
        <w:rPr>
          <w:rFonts w:ascii="Times New Roman" w:hAnsi="Times New Roman" w:cs="Times New Roman"/>
          <w:sz w:val="24"/>
          <w:szCs w:val="24"/>
        </w:rPr>
        <w:t>shaping international law</w:t>
      </w:r>
      <w:r w:rsidR="006D6144" w:rsidRPr="00D22649">
        <w:rPr>
          <w:rFonts w:ascii="Times New Roman" w:hAnsi="Times New Roman" w:cs="Times New Roman"/>
          <w:sz w:val="24"/>
          <w:szCs w:val="24"/>
        </w:rPr>
        <w:t xml:space="preserve">.  It goes without saying that international tribunals dealing with ‘hard hitting’ areas of law are dominated by men – but </w:t>
      </w:r>
      <w:r w:rsidR="003E6A16" w:rsidRPr="00D22649">
        <w:rPr>
          <w:rFonts w:ascii="Times New Roman" w:hAnsi="Times New Roman" w:cs="Times New Roman"/>
          <w:sz w:val="24"/>
          <w:szCs w:val="24"/>
        </w:rPr>
        <w:t xml:space="preserve">even </w:t>
      </w:r>
      <w:r w:rsidR="006D6144" w:rsidRPr="00D22649">
        <w:rPr>
          <w:rFonts w:ascii="Times New Roman" w:hAnsi="Times New Roman" w:cs="Times New Roman"/>
          <w:sz w:val="24"/>
          <w:szCs w:val="24"/>
        </w:rPr>
        <w:t xml:space="preserve">human rights treaty bodies are mostly composed of men.  CEDAW is alone is being made up almost entirely of women (currently there </w:t>
      </w:r>
      <w:r w:rsidR="004B3F5B" w:rsidRPr="00D22649">
        <w:rPr>
          <w:rFonts w:ascii="Times New Roman" w:hAnsi="Times New Roman" w:cs="Times New Roman"/>
          <w:sz w:val="24"/>
          <w:szCs w:val="24"/>
        </w:rPr>
        <w:t xml:space="preserve">is </w:t>
      </w:r>
      <w:r w:rsidR="003B70A0" w:rsidRPr="00D22649">
        <w:rPr>
          <w:rFonts w:ascii="Times New Roman" w:hAnsi="Times New Roman" w:cs="Times New Roman"/>
          <w:sz w:val="24"/>
          <w:szCs w:val="24"/>
        </w:rPr>
        <w:t>one man only</w:t>
      </w:r>
      <w:r w:rsidR="004B3F5B" w:rsidRPr="00D22649">
        <w:rPr>
          <w:rFonts w:ascii="Times New Roman" w:hAnsi="Times New Roman" w:cs="Times New Roman"/>
          <w:sz w:val="24"/>
          <w:szCs w:val="24"/>
        </w:rPr>
        <w:t xml:space="preserve"> in a Committee of 23</w:t>
      </w:r>
      <w:r w:rsidR="003B70A0" w:rsidRPr="00D22649">
        <w:rPr>
          <w:rFonts w:ascii="Times New Roman" w:hAnsi="Times New Roman" w:cs="Times New Roman"/>
          <w:sz w:val="24"/>
          <w:szCs w:val="24"/>
        </w:rPr>
        <w:t xml:space="preserve">.  </w:t>
      </w:r>
      <w:r w:rsidR="004B3F5B" w:rsidRPr="00D22649">
        <w:rPr>
          <w:rFonts w:ascii="Times New Roman" w:hAnsi="Times New Roman" w:cs="Times New Roman"/>
          <w:sz w:val="24"/>
          <w:szCs w:val="24"/>
        </w:rPr>
        <w:t>By way of contrast, the 18-strong Human Rights Committee and Committee on Economic, Social</w:t>
      </w:r>
      <w:r>
        <w:rPr>
          <w:rFonts w:ascii="Times New Roman" w:hAnsi="Times New Roman" w:cs="Times New Roman"/>
          <w:sz w:val="24"/>
          <w:szCs w:val="24"/>
        </w:rPr>
        <w:t>,</w:t>
      </w:r>
      <w:r w:rsidR="004B3F5B" w:rsidRPr="00D22649">
        <w:rPr>
          <w:rFonts w:ascii="Times New Roman" w:hAnsi="Times New Roman" w:cs="Times New Roman"/>
          <w:sz w:val="24"/>
          <w:szCs w:val="24"/>
        </w:rPr>
        <w:t xml:space="preserve"> and Cultural Rights currently </w:t>
      </w:r>
      <w:r w:rsidR="009055A5" w:rsidRPr="00D22649">
        <w:rPr>
          <w:rFonts w:ascii="Times New Roman" w:hAnsi="Times New Roman" w:cs="Times New Roman"/>
          <w:sz w:val="24"/>
          <w:szCs w:val="24"/>
        </w:rPr>
        <w:t>have</w:t>
      </w:r>
      <w:r w:rsidR="004B3F5B" w:rsidRPr="00D22649">
        <w:rPr>
          <w:rFonts w:ascii="Times New Roman" w:hAnsi="Times New Roman" w:cs="Times New Roman"/>
          <w:sz w:val="24"/>
          <w:szCs w:val="24"/>
        </w:rPr>
        <w:t xml:space="preserve"> four women </w:t>
      </w:r>
      <w:r w:rsidR="00F84548">
        <w:rPr>
          <w:rFonts w:ascii="Times New Roman" w:hAnsi="Times New Roman" w:cs="Times New Roman"/>
          <w:sz w:val="24"/>
          <w:szCs w:val="24"/>
        </w:rPr>
        <w:t>each</w:t>
      </w:r>
      <w:r w:rsidR="006D6144" w:rsidRPr="00D22649">
        <w:rPr>
          <w:rFonts w:ascii="Times New Roman" w:hAnsi="Times New Roman" w:cs="Times New Roman"/>
          <w:sz w:val="24"/>
          <w:szCs w:val="24"/>
        </w:rPr>
        <w:t xml:space="preserve">).  It therefore stands poised as a tribunal that has an alternative perspective to bear on the development of human rights norms and principles. </w:t>
      </w:r>
      <w:r w:rsidR="003E6A16" w:rsidRPr="00D22649">
        <w:rPr>
          <w:rFonts w:ascii="Times New Roman" w:hAnsi="Times New Roman" w:cs="Times New Roman"/>
          <w:sz w:val="24"/>
          <w:szCs w:val="24"/>
        </w:rPr>
        <w:t xml:space="preserve"> </w:t>
      </w:r>
      <w:r w:rsidR="00144384" w:rsidRPr="00D22649">
        <w:rPr>
          <w:rFonts w:ascii="Times New Roman" w:hAnsi="Times New Roman" w:cs="Times New Roman"/>
          <w:sz w:val="24"/>
          <w:szCs w:val="24"/>
        </w:rPr>
        <w:t xml:space="preserve">Although described as a ‘dynamic </w:t>
      </w:r>
      <w:r w:rsidR="00144384" w:rsidRPr="00D22649">
        <w:rPr>
          <w:rFonts w:ascii="Times New Roman" w:hAnsi="Times New Roman" w:cs="Times New Roman"/>
          <w:sz w:val="24"/>
          <w:szCs w:val="24"/>
        </w:rPr>
        <w:lastRenderedPageBreak/>
        <w:t>instrument’,</w:t>
      </w:r>
      <w:r w:rsidR="00144384" w:rsidRPr="00D22649">
        <w:rPr>
          <w:rStyle w:val="FootnoteReference"/>
          <w:rFonts w:ascii="Times New Roman" w:hAnsi="Times New Roman" w:cs="Times New Roman"/>
          <w:sz w:val="24"/>
          <w:szCs w:val="24"/>
        </w:rPr>
        <w:footnoteReference w:id="12"/>
      </w:r>
      <w:r w:rsidR="00144384" w:rsidRPr="00D22649">
        <w:rPr>
          <w:rFonts w:ascii="Times New Roman" w:hAnsi="Times New Roman" w:cs="Times New Roman"/>
          <w:sz w:val="24"/>
          <w:szCs w:val="24"/>
        </w:rPr>
        <w:t xml:space="preserve"> t</w:t>
      </w:r>
      <w:r w:rsidR="006D6144" w:rsidRPr="00D22649">
        <w:rPr>
          <w:rFonts w:ascii="Times New Roman" w:hAnsi="Times New Roman" w:cs="Times New Roman"/>
          <w:sz w:val="24"/>
          <w:szCs w:val="24"/>
        </w:rPr>
        <w:t xml:space="preserve">he lack of individual complaints mechanism under CEDAW </w:t>
      </w:r>
      <w:r w:rsidR="002C1BA7" w:rsidRPr="00D22649">
        <w:rPr>
          <w:rFonts w:ascii="Times New Roman" w:hAnsi="Times New Roman" w:cs="Times New Roman"/>
          <w:sz w:val="24"/>
          <w:szCs w:val="24"/>
        </w:rPr>
        <w:t>greatly curtailed the Committee</w:t>
      </w:r>
      <w:r w:rsidR="003E6A16" w:rsidRPr="00D22649">
        <w:rPr>
          <w:rFonts w:ascii="Times New Roman" w:hAnsi="Times New Roman" w:cs="Times New Roman"/>
          <w:sz w:val="24"/>
          <w:szCs w:val="24"/>
        </w:rPr>
        <w:t xml:space="preserve">’s </w:t>
      </w:r>
      <w:r w:rsidR="009402B8" w:rsidRPr="00D22649">
        <w:rPr>
          <w:rFonts w:ascii="Times New Roman" w:hAnsi="Times New Roman" w:cs="Times New Roman"/>
          <w:sz w:val="24"/>
          <w:szCs w:val="24"/>
        </w:rPr>
        <w:t xml:space="preserve">capacity to </w:t>
      </w:r>
      <w:r w:rsidR="00F66B62" w:rsidRPr="00D22649">
        <w:rPr>
          <w:rFonts w:ascii="Times New Roman" w:hAnsi="Times New Roman" w:cs="Times New Roman"/>
          <w:sz w:val="24"/>
          <w:szCs w:val="24"/>
        </w:rPr>
        <w:t xml:space="preserve">shape </w:t>
      </w:r>
      <w:r w:rsidR="0023668A" w:rsidRPr="00D22649">
        <w:rPr>
          <w:rFonts w:ascii="Times New Roman" w:hAnsi="Times New Roman" w:cs="Times New Roman"/>
          <w:sz w:val="24"/>
          <w:szCs w:val="24"/>
        </w:rPr>
        <w:t>international law</w:t>
      </w:r>
      <w:r w:rsidR="009402B8" w:rsidRPr="00D22649">
        <w:rPr>
          <w:rFonts w:ascii="Times New Roman" w:hAnsi="Times New Roman" w:cs="Times New Roman"/>
          <w:sz w:val="24"/>
          <w:szCs w:val="24"/>
        </w:rPr>
        <w:t>, notwithstanding the occasional yet important contribution</w:t>
      </w:r>
      <w:r w:rsidR="0023668A" w:rsidRPr="00D22649">
        <w:rPr>
          <w:rFonts w:ascii="Times New Roman" w:hAnsi="Times New Roman" w:cs="Times New Roman"/>
          <w:sz w:val="24"/>
          <w:szCs w:val="24"/>
        </w:rPr>
        <w:t>s</w:t>
      </w:r>
      <w:r w:rsidR="009402B8" w:rsidRPr="00D22649">
        <w:rPr>
          <w:rFonts w:ascii="Times New Roman" w:hAnsi="Times New Roman" w:cs="Times New Roman"/>
          <w:sz w:val="24"/>
          <w:szCs w:val="24"/>
        </w:rPr>
        <w:t xml:space="preserve"> made </w:t>
      </w:r>
      <w:r w:rsidR="00071770" w:rsidRPr="00D22649">
        <w:rPr>
          <w:rFonts w:ascii="Times New Roman" w:hAnsi="Times New Roman" w:cs="Times New Roman"/>
          <w:sz w:val="24"/>
          <w:szCs w:val="24"/>
        </w:rPr>
        <w:t>in this respect by</w:t>
      </w:r>
      <w:r w:rsidR="0023668A" w:rsidRPr="00D22649">
        <w:rPr>
          <w:rFonts w:ascii="Times New Roman" w:hAnsi="Times New Roman" w:cs="Times New Roman"/>
          <w:sz w:val="24"/>
          <w:szCs w:val="24"/>
        </w:rPr>
        <w:t xml:space="preserve"> its</w:t>
      </w:r>
      <w:r w:rsidR="00071770" w:rsidRPr="00D22649">
        <w:rPr>
          <w:rFonts w:ascii="Times New Roman" w:hAnsi="Times New Roman" w:cs="Times New Roman"/>
          <w:sz w:val="24"/>
          <w:szCs w:val="24"/>
        </w:rPr>
        <w:t xml:space="preserve"> </w:t>
      </w:r>
      <w:r w:rsidR="009402B8" w:rsidRPr="00D22649">
        <w:rPr>
          <w:rFonts w:ascii="Times New Roman" w:hAnsi="Times New Roman" w:cs="Times New Roman"/>
          <w:sz w:val="24"/>
          <w:szCs w:val="24"/>
        </w:rPr>
        <w:t>General Recommendations</w:t>
      </w:r>
      <w:r w:rsidR="002C1BA7" w:rsidRPr="00D22649">
        <w:rPr>
          <w:rFonts w:ascii="Times New Roman" w:hAnsi="Times New Roman" w:cs="Times New Roman"/>
          <w:sz w:val="24"/>
          <w:szCs w:val="24"/>
        </w:rPr>
        <w:t>.</w:t>
      </w:r>
      <w:r w:rsidR="004F77A5" w:rsidRPr="00D22649">
        <w:rPr>
          <w:rStyle w:val="FootnoteReference"/>
          <w:rFonts w:ascii="Times New Roman" w:hAnsi="Times New Roman" w:cs="Times New Roman"/>
          <w:sz w:val="24"/>
          <w:szCs w:val="24"/>
        </w:rPr>
        <w:footnoteReference w:id="13"/>
      </w:r>
      <w:r w:rsidR="002C1BA7" w:rsidRPr="00D22649">
        <w:rPr>
          <w:rFonts w:ascii="Times New Roman" w:hAnsi="Times New Roman" w:cs="Times New Roman"/>
          <w:sz w:val="24"/>
          <w:szCs w:val="24"/>
        </w:rPr>
        <w:t xml:space="preserve">  </w:t>
      </w:r>
    </w:p>
    <w:p w14:paraId="4F93E4FB" w14:textId="77777777" w:rsidR="00710E75" w:rsidRPr="00D22649" w:rsidRDefault="00213E2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A50271" w:rsidRPr="00D22649">
        <w:rPr>
          <w:rFonts w:ascii="Times New Roman" w:hAnsi="Times New Roman" w:cs="Times New Roman"/>
          <w:sz w:val="24"/>
          <w:szCs w:val="24"/>
        </w:rPr>
        <w:t>The Secretary General</w:t>
      </w:r>
      <w:r w:rsidR="00710E75" w:rsidRPr="00D22649">
        <w:rPr>
          <w:rFonts w:ascii="Times New Roman" w:hAnsi="Times New Roman" w:cs="Times New Roman"/>
          <w:sz w:val="24"/>
          <w:szCs w:val="24"/>
        </w:rPr>
        <w:t xml:space="preserve"> to </w:t>
      </w:r>
      <w:r w:rsidR="00D85A7D" w:rsidRPr="00D22649">
        <w:rPr>
          <w:rFonts w:ascii="Times New Roman" w:hAnsi="Times New Roman" w:cs="Times New Roman"/>
          <w:sz w:val="24"/>
          <w:szCs w:val="24"/>
        </w:rPr>
        <w:t xml:space="preserve">the </w:t>
      </w:r>
      <w:r w:rsidR="001D06D4" w:rsidRPr="00D22649">
        <w:rPr>
          <w:rFonts w:ascii="Times New Roman" w:hAnsi="Times New Roman" w:cs="Times New Roman"/>
          <w:sz w:val="24"/>
          <w:szCs w:val="24"/>
        </w:rPr>
        <w:t>Commission on the Status of Women (CSW)</w:t>
      </w:r>
      <w:r w:rsidR="00710E75" w:rsidRPr="00D22649">
        <w:rPr>
          <w:rFonts w:ascii="Times New Roman" w:hAnsi="Times New Roman" w:cs="Times New Roman"/>
          <w:sz w:val="24"/>
          <w:szCs w:val="24"/>
        </w:rPr>
        <w:t xml:space="preserve"> raised </w:t>
      </w:r>
      <w:r w:rsidR="00D85A7D" w:rsidRPr="00D22649">
        <w:rPr>
          <w:rFonts w:ascii="Times New Roman" w:hAnsi="Times New Roman" w:cs="Times New Roman"/>
          <w:sz w:val="24"/>
          <w:szCs w:val="24"/>
        </w:rPr>
        <w:t xml:space="preserve">the </w:t>
      </w:r>
      <w:r w:rsidR="00710E75" w:rsidRPr="00D22649">
        <w:rPr>
          <w:rFonts w:ascii="Times New Roman" w:hAnsi="Times New Roman" w:cs="Times New Roman"/>
          <w:sz w:val="24"/>
          <w:szCs w:val="24"/>
        </w:rPr>
        <w:t>idea of strengtheni</w:t>
      </w:r>
      <w:r w:rsidR="008304D1" w:rsidRPr="00D22649">
        <w:rPr>
          <w:rFonts w:ascii="Times New Roman" w:hAnsi="Times New Roman" w:cs="Times New Roman"/>
          <w:sz w:val="24"/>
          <w:szCs w:val="24"/>
        </w:rPr>
        <w:t>ng CEDAW’s mechanisms in 1991</w:t>
      </w:r>
      <w:r w:rsidR="0084068F" w:rsidRPr="00D22649">
        <w:rPr>
          <w:rFonts w:ascii="Times New Roman" w:hAnsi="Times New Roman" w:cs="Times New Roman"/>
          <w:sz w:val="24"/>
          <w:szCs w:val="24"/>
        </w:rPr>
        <w:t>,</w:t>
      </w:r>
      <w:r w:rsidR="008304D1" w:rsidRPr="00D22649">
        <w:rPr>
          <w:rFonts w:ascii="Times New Roman" w:hAnsi="Times New Roman" w:cs="Times New Roman"/>
          <w:sz w:val="24"/>
          <w:szCs w:val="24"/>
        </w:rPr>
        <w:t xml:space="preserve"> </w:t>
      </w:r>
      <w:r w:rsidR="00710E75" w:rsidRPr="00D22649">
        <w:rPr>
          <w:rFonts w:ascii="Times New Roman" w:hAnsi="Times New Roman" w:cs="Times New Roman"/>
          <w:sz w:val="24"/>
          <w:szCs w:val="24"/>
        </w:rPr>
        <w:t>an</w:t>
      </w:r>
      <w:r w:rsidR="00A50271" w:rsidRPr="00D22649">
        <w:rPr>
          <w:rFonts w:ascii="Times New Roman" w:hAnsi="Times New Roman" w:cs="Times New Roman"/>
          <w:sz w:val="24"/>
          <w:szCs w:val="24"/>
        </w:rPr>
        <w:t xml:space="preserve"> </w:t>
      </w:r>
      <w:r w:rsidR="00710E75" w:rsidRPr="00D22649">
        <w:rPr>
          <w:rFonts w:ascii="Times New Roman" w:hAnsi="Times New Roman" w:cs="Times New Roman"/>
          <w:sz w:val="24"/>
          <w:szCs w:val="24"/>
        </w:rPr>
        <w:t xml:space="preserve">idea </w:t>
      </w:r>
      <w:r w:rsidR="0084068F" w:rsidRPr="00D22649">
        <w:rPr>
          <w:rFonts w:ascii="Times New Roman" w:hAnsi="Times New Roman" w:cs="Times New Roman"/>
          <w:sz w:val="24"/>
          <w:szCs w:val="24"/>
        </w:rPr>
        <w:t xml:space="preserve">that </w:t>
      </w:r>
      <w:r w:rsidR="00710E75" w:rsidRPr="00D22649">
        <w:rPr>
          <w:rFonts w:ascii="Times New Roman" w:hAnsi="Times New Roman" w:cs="Times New Roman"/>
          <w:sz w:val="24"/>
          <w:szCs w:val="24"/>
        </w:rPr>
        <w:t xml:space="preserve">was </w:t>
      </w:r>
      <w:r w:rsidR="00567DED" w:rsidRPr="00D22649">
        <w:rPr>
          <w:rFonts w:ascii="Times New Roman" w:hAnsi="Times New Roman" w:cs="Times New Roman"/>
          <w:sz w:val="24"/>
          <w:szCs w:val="24"/>
        </w:rPr>
        <w:t>taken</w:t>
      </w:r>
      <w:r w:rsidR="00710E75" w:rsidRPr="00D22649">
        <w:rPr>
          <w:rFonts w:ascii="Times New Roman" w:hAnsi="Times New Roman" w:cs="Times New Roman"/>
          <w:sz w:val="24"/>
          <w:szCs w:val="24"/>
        </w:rPr>
        <w:t xml:space="preserve"> up at </w:t>
      </w:r>
      <w:r w:rsidR="00567DED" w:rsidRPr="00D22649">
        <w:rPr>
          <w:rFonts w:ascii="Times New Roman" w:hAnsi="Times New Roman" w:cs="Times New Roman"/>
          <w:sz w:val="24"/>
          <w:szCs w:val="24"/>
        </w:rPr>
        <w:t xml:space="preserve">the </w:t>
      </w:r>
      <w:r w:rsidR="00710E75" w:rsidRPr="00D22649">
        <w:rPr>
          <w:rFonts w:ascii="Times New Roman" w:hAnsi="Times New Roman" w:cs="Times New Roman"/>
          <w:sz w:val="24"/>
          <w:szCs w:val="24"/>
        </w:rPr>
        <w:t xml:space="preserve">1993 </w:t>
      </w:r>
      <w:r w:rsidR="0084068F" w:rsidRPr="00D22649">
        <w:rPr>
          <w:rFonts w:ascii="Times New Roman" w:hAnsi="Times New Roman" w:cs="Times New Roman"/>
          <w:sz w:val="24"/>
          <w:szCs w:val="24"/>
        </w:rPr>
        <w:t xml:space="preserve">Vienna </w:t>
      </w:r>
      <w:r w:rsidR="00710E75" w:rsidRPr="00D22649">
        <w:rPr>
          <w:rFonts w:ascii="Times New Roman" w:hAnsi="Times New Roman" w:cs="Times New Roman"/>
          <w:sz w:val="24"/>
          <w:szCs w:val="24"/>
        </w:rPr>
        <w:t xml:space="preserve">World Conference on </w:t>
      </w:r>
      <w:r w:rsidR="001D06D4" w:rsidRPr="00D22649">
        <w:rPr>
          <w:rFonts w:ascii="Times New Roman" w:hAnsi="Times New Roman" w:cs="Times New Roman"/>
          <w:sz w:val="24"/>
          <w:szCs w:val="24"/>
        </w:rPr>
        <w:t>Human Rights</w:t>
      </w:r>
      <w:r w:rsidR="00710E75" w:rsidRPr="00D22649">
        <w:rPr>
          <w:rFonts w:ascii="Times New Roman" w:hAnsi="Times New Roman" w:cs="Times New Roman"/>
          <w:sz w:val="24"/>
          <w:szCs w:val="24"/>
        </w:rPr>
        <w:t xml:space="preserve"> </w:t>
      </w:r>
      <w:r w:rsidR="00A94E6F" w:rsidRPr="00D22649">
        <w:rPr>
          <w:rFonts w:ascii="Times New Roman" w:hAnsi="Times New Roman" w:cs="Times New Roman"/>
          <w:sz w:val="24"/>
          <w:szCs w:val="24"/>
        </w:rPr>
        <w:t>and included in the Declaration and Plan of Action</w:t>
      </w:r>
      <w:r w:rsidR="00710E75" w:rsidRPr="00D22649">
        <w:rPr>
          <w:rFonts w:ascii="Times New Roman" w:hAnsi="Times New Roman" w:cs="Times New Roman"/>
          <w:sz w:val="24"/>
          <w:szCs w:val="24"/>
        </w:rPr>
        <w:t>.</w:t>
      </w:r>
      <w:r w:rsidR="007C03F9" w:rsidRPr="00D22649">
        <w:rPr>
          <w:rStyle w:val="FootnoteReference"/>
          <w:rFonts w:ascii="Times New Roman" w:hAnsi="Times New Roman" w:cs="Times New Roman"/>
          <w:sz w:val="24"/>
          <w:szCs w:val="24"/>
        </w:rPr>
        <w:footnoteReference w:id="14"/>
      </w:r>
      <w:r w:rsidR="00710E75" w:rsidRPr="00D22649">
        <w:rPr>
          <w:rFonts w:ascii="Times New Roman" w:hAnsi="Times New Roman" w:cs="Times New Roman"/>
          <w:sz w:val="24"/>
          <w:szCs w:val="24"/>
        </w:rPr>
        <w:t xml:space="preserve"> </w:t>
      </w:r>
      <w:r w:rsidR="00A50271" w:rsidRPr="00D22649">
        <w:rPr>
          <w:rFonts w:ascii="Times New Roman" w:hAnsi="Times New Roman" w:cs="Times New Roman"/>
          <w:sz w:val="24"/>
          <w:szCs w:val="24"/>
        </w:rPr>
        <w:t xml:space="preserve"> </w:t>
      </w:r>
      <w:r w:rsidR="00A2284F" w:rsidRPr="00D22649">
        <w:rPr>
          <w:rFonts w:ascii="Times New Roman" w:hAnsi="Times New Roman" w:cs="Times New Roman"/>
          <w:sz w:val="24"/>
          <w:szCs w:val="24"/>
        </w:rPr>
        <w:t>By</w:t>
      </w:r>
      <w:r w:rsidR="008304D1" w:rsidRPr="00D22649">
        <w:rPr>
          <w:rFonts w:ascii="Times New Roman" w:hAnsi="Times New Roman" w:cs="Times New Roman"/>
          <w:sz w:val="24"/>
          <w:szCs w:val="24"/>
        </w:rPr>
        <w:t xml:space="preserve"> July 1995</w:t>
      </w:r>
      <w:r w:rsidR="00F66B62" w:rsidRPr="00D22649">
        <w:rPr>
          <w:rFonts w:ascii="Times New Roman" w:hAnsi="Times New Roman" w:cs="Times New Roman"/>
          <w:sz w:val="24"/>
          <w:szCs w:val="24"/>
        </w:rPr>
        <w:t>,</w:t>
      </w:r>
      <w:r w:rsidR="008304D1" w:rsidRPr="00D22649">
        <w:rPr>
          <w:rFonts w:ascii="Times New Roman" w:hAnsi="Times New Roman" w:cs="Times New Roman"/>
          <w:sz w:val="24"/>
          <w:szCs w:val="24"/>
        </w:rPr>
        <w:t xml:space="preserve"> </w:t>
      </w:r>
      <w:r w:rsidR="00567DED" w:rsidRPr="00D22649">
        <w:rPr>
          <w:rFonts w:ascii="Times New Roman" w:hAnsi="Times New Roman" w:cs="Times New Roman"/>
          <w:sz w:val="24"/>
          <w:szCs w:val="24"/>
        </w:rPr>
        <w:t>sufficient momentum had been generated</w:t>
      </w:r>
      <w:r w:rsidR="008304D1" w:rsidRPr="00D22649">
        <w:rPr>
          <w:rFonts w:ascii="Times New Roman" w:hAnsi="Times New Roman" w:cs="Times New Roman"/>
          <w:sz w:val="24"/>
          <w:szCs w:val="24"/>
        </w:rPr>
        <w:t xml:space="preserve"> for </w:t>
      </w:r>
      <w:r w:rsidR="00567DED" w:rsidRPr="00D22649">
        <w:rPr>
          <w:rFonts w:ascii="Times New Roman" w:hAnsi="Times New Roman" w:cs="Times New Roman"/>
          <w:sz w:val="24"/>
          <w:szCs w:val="24"/>
        </w:rPr>
        <w:t xml:space="preserve">the adoption of </w:t>
      </w:r>
      <w:r w:rsidR="008304D1" w:rsidRPr="00D22649">
        <w:rPr>
          <w:rFonts w:ascii="Times New Roman" w:hAnsi="Times New Roman" w:cs="Times New Roman"/>
          <w:sz w:val="24"/>
          <w:szCs w:val="24"/>
        </w:rPr>
        <w:t>Resolution 1995/29, in which</w:t>
      </w:r>
      <w:r w:rsidR="004C3444" w:rsidRPr="00D22649">
        <w:rPr>
          <w:rFonts w:ascii="Times New Roman" w:hAnsi="Times New Roman" w:cs="Times New Roman"/>
          <w:sz w:val="24"/>
          <w:szCs w:val="24"/>
        </w:rPr>
        <w:t xml:space="preserve"> </w:t>
      </w:r>
      <w:r w:rsidR="00F66B62" w:rsidRPr="00D22649">
        <w:rPr>
          <w:rFonts w:ascii="Times New Roman" w:hAnsi="Times New Roman" w:cs="Times New Roman"/>
          <w:sz w:val="24"/>
          <w:szCs w:val="24"/>
        </w:rPr>
        <w:t>ECOSOC</w:t>
      </w:r>
      <w:r w:rsidR="008304D1" w:rsidRPr="00D22649">
        <w:rPr>
          <w:rFonts w:ascii="Times New Roman" w:hAnsi="Times New Roman" w:cs="Times New Roman"/>
          <w:sz w:val="24"/>
          <w:szCs w:val="24"/>
        </w:rPr>
        <w:t xml:space="preserve"> </w:t>
      </w:r>
      <w:r w:rsidR="00A2284F" w:rsidRPr="00D22649">
        <w:rPr>
          <w:rFonts w:ascii="Times New Roman" w:hAnsi="Times New Roman" w:cs="Times New Roman"/>
          <w:sz w:val="24"/>
          <w:szCs w:val="24"/>
        </w:rPr>
        <w:t>requested</w:t>
      </w:r>
      <w:r w:rsidR="008304D1" w:rsidRPr="00D22649">
        <w:rPr>
          <w:rFonts w:ascii="Times New Roman" w:hAnsi="Times New Roman" w:cs="Times New Roman"/>
          <w:sz w:val="24"/>
          <w:szCs w:val="24"/>
        </w:rPr>
        <w:t xml:space="preserve"> the</w:t>
      </w:r>
      <w:r w:rsidR="004C3444" w:rsidRPr="00D22649">
        <w:rPr>
          <w:rFonts w:ascii="Times New Roman" w:hAnsi="Times New Roman" w:cs="Times New Roman"/>
          <w:sz w:val="24"/>
          <w:szCs w:val="24"/>
        </w:rPr>
        <w:t xml:space="preserve"> </w:t>
      </w:r>
      <w:r w:rsidR="00A2284F" w:rsidRPr="00D22649">
        <w:rPr>
          <w:rFonts w:ascii="Times New Roman" w:hAnsi="Times New Roman" w:cs="Times New Roman"/>
          <w:sz w:val="24"/>
          <w:szCs w:val="24"/>
        </w:rPr>
        <w:t>CSW</w:t>
      </w:r>
      <w:r w:rsidR="008304D1" w:rsidRPr="00D22649">
        <w:rPr>
          <w:rFonts w:ascii="Times New Roman" w:hAnsi="Times New Roman" w:cs="Times New Roman"/>
          <w:sz w:val="24"/>
          <w:szCs w:val="24"/>
        </w:rPr>
        <w:t xml:space="preserve"> to establish an Open-Ended Working Group</w:t>
      </w:r>
      <w:r w:rsidR="004C3444" w:rsidRPr="00D22649">
        <w:rPr>
          <w:rFonts w:ascii="Times New Roman" w:hAnsi="Times New Roman" w:cs="Times New Roman"/>
          <w:sz w:val="24"/>
          <w:szCs w:val="24"/>
        </w:rPr>
        <w:t xml:space="preserve"> </w:t>
      </w:r>
      <w:r w:rsidR="008304D1" w:rsidRPr="00D22649">
        <w:rPr>
          <w:rFonts w:ascii="Times New Roman" w:hAnsi="Times New Roman" w:cs="Times New Roman"/>
          <w:sz w:val="24"/>
          <w:szCs w:val="24"/>
        </w:rPr>
        <w:t xml:space="preserve">for the elaboration of an Optional Protocol to CEDAW. </w:t>
      </w:r>
      <w:r w:rsidR="004C3444" w:rsidRPr="00D22649">
        <w:rPr>
          <w:rFonts w:ascii="Times New Roman" w:hAnsi="Times New Roman" w:cs="Times New Roman"/>
          <w:sz w:val="24"/>
          <w:szCs w:val="24"/>
        </w:rPr>
        <w:t xml:space="preserve"> </w:t>
      </w:r>
      <w:r w:rsidR="00A2284F" w:rsidRPr="00D22649">
        <w:rPr>
          <w:rFonts w:ascii="Times New Roman" w:hAnsi="Times New Roman" w:cs="Times New Roman"/>
          <w:sz w:val="24"/>
          <w:szCs w:val="24"/>
        </w:rPr>
        <w:t>S</w:t>
      </w:r>
      <w:r w:rsidR="004C3444" w:rsidRPr="00D22649">
        <w:rPr>
          <w:rFonts w:ascii="Times New Roman" w:hAnsi="Times New Roman" w:cs="Times New Roman"/>
          <w:sz w:val="24"/>
          <w:szCs w:val="24"/>
        </w:rPr>
        <w:t xml:space="preserve">upport for </w:t>
      </w:r>
      <w:r w:rsidR="00A2284F" w:rsidRPr="00D22649">
        <w:rPr>
          <w:rFonts w:ascii="Times New Roman" w:hAnsi="Times New Roman" w:cs="Times New Roman"/>
          <w:sz w:val="24"/>
          <w:szCs w:val="24"/>
        </w:rPr>
        <w:t>an</w:t>
      </w:r>
      <w:r w:rsidR="004C3444" w:rsidRPr="00D22649">
        <w:rPr>
          <w:rFonts w:ascii="Times New Roman" w:hAnsi="Times New Roman" w:cs="Times New Roman"/>
          <w:sz w:val="24"/>
          <w:szCs w:val="24"/>
        </w:rPr>
        <w:t xml:space="preserve"> optional protocol was </w:t>
      </w:r>
      <w:r w:rsidR="00567DED" w:rsidRPr="00D22649">
        <w:rPr>
          <w:rFonts w:ascii="Times New Roman" w:hAnsi="Times New Roman" w:cs="Times New Roman"/>
          <w:sz w:val="24"/>
          <w:szCs w:val="24"/>
        </w:rPr>
        <w:t>voiced</w:t>
      </w:r>
      <w:r w:rsidR="004C3444" w:rsidRPr="00D22649">
        <w:rPr>
          <w:rFonts w:ascii="Times New Roman" w:hAnsi="Times New Roman" w:cs="Times New Roman"/>
          <w:sz w:val="24"/>
          <w:szCs w:val="24"/>
        </w:rPr>
        <w:t xml:space="preserve"> at the 4th World Conference on Women (Beijing) in September 1995, with a request that any draft should include a right for individuals to petition the Women’s Committee.</w:t>
      </w:r>
      <w:r w:rsidR="003100DD" w:rsidRPr="00D22649">
        <w:rPr>
          <w:rStyle w:val="FootnoteReference"/>
          <w:rFonts w:ascii="Times New Roman" w:hAnsi="Times New Roman" w:cs="Times New Roman"/>
          <w:sz w:val="24"/>
          <w:szCs w:val="24"/>
        </w:rPr>
        <w:footnoteReference w:id="15"/>
      </w:r>
      <w:r w:rsidR="004C3444" w:rsidRPr="00D22649">
        <w:rPr>
          <w:rFonts w:ascii="Times New Roman" w:hAnsi="Times New Roman" w:cs="Times New Roman"/>
          <w:sz w:val="24"/>
          <w:szCs w:val="24"/>
        </w:rPr>
        <w:t xml:space="preserve">  </w:t>
      </w:r>
      <w:r w:rsidR="00710E75" w:rsidRPr="00D22649">
        <w:rPr>
          <w:rFonts w:ascii="Times New Roman" w:hAnsi="Times New Roman" w:cs="Times New Roman"/>
          <w:sz w:val="24"/>
          <w:szCs w:val="24"/>
        </w:rPr>
        <w:t xml:space="preserve">The Optional Protocol was </w:t>
      </w:r>
      <w:r w:rsidR="00A2284F" w:rsidRPr="00D22649">
        <w:rPr>
          <w:rFonts w:ascii="Times New Roman" w:hAnsi="Times New Roman" w:cs="Times New Roman"/>
          <w:sz w:val="24"/>
          <w:szCs w:val="24"/>
        </w:rPr>
        <w:t xml:space="preserve">finally </w:t>
      </w:r>
      <w:r w:rsidR="00710E75" w:rsidRPr="00D22649">
        <w:rPr>
          <w:rFonts w:ascii="Times New Roman" w:hAnsi="Times New Roman" w:cs="Times New Roman"/>
          <w:sz w:val="24"/>
          <w:szCs w:val="24"/>
        </w:rPr>
        <w:t xml:space="preserve">adopted by </w:t>
      </w:r>
      <w:r w:rsidR="00A2284F" w:rsidRPr="00D22649">
        <w:rPr>
          <w:rFonts w:ascii="Times New Roman" w:hAnsi="Times New Roman" w:cs="Times New Roman"/>
          <w:sz w:val="24"/>
          <w:szCs w:val="24"/>
        </w:rPr>
        <w:t>the General Assembly</w:t>
      </w:r>
      <w:r w:rsidR="00710E75" w:rsidRPr="00D22649">
        <w:rPr>
          <w:rFonts w:ascii="Times New Roman" w:hAnsi="Times New Roman" w:cs="Times New Roman"/>
          <w:sz w:val="24"/>
          <w:szCs w:val="24"/>
        </w:rPr>
        <w:t xml:space="preserve"> on 6 October 1999 and </w:t>
      </w:r>
      <w:r w:rsidR="00A2284F" w:rsidRPr="00D22649">
        <w:rPr>
          <w:rFonts w:ascii="Times New Roman" w:hAnsi="Times New Roman" w:cs="Times New Roman"/>
          <w:sz w:val="24"/>
          <w:szCs w:val="24"/>
        </w:rPr>
        <w:t>entered</w:t>
      </w:r>
      <w:r w:rsidR="00710E75" w:rsidRPr="00D22649">
        <w:rPr>
          <w:rFonts w:ascii="Times New Roman" w:hAnsi="Times New Roman" w:cs="Times New Roman"/>
          <w:sz w:val="24"/>
          <w:szCs w:val="24"/>
        </w:rPr>
        <w:t xml:space="preserve"> into force on 22 December 2000.</w:t>
      </w:r>
    </w:p>
    <w:p w14:paraId="43D1D092" w14:textId="736FB40C" w:rsidR="007B25B1" w:rsidRPr="00D22649" w:rsidRDefault="00213E2B" w:rsidP="00D2264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BF140B" w:rsidRPr="00D22649">
        <w:rPr>
          <w:rFonts w:ascii="Times New Roman" w:hAnsi="Times New Roman" w:cs="Times New Roman"/>
          <w:sz w:val="24"/>
          <w:szCs w:val="24"/>
        </w:rPr>
        <w:t>T</w:t>
      </w:r>
      <w:r w:rsidR="0070695D" w:rsidRPr="00D22649">
        <w:rPr>
          <w:rFonts w:ascii="Times New Roman" w:hAnsi="Times New Roman" w:cs="Times New Roman"/>
          <w:sz w:val="24"/>
          <w:szCs w:val="24"/>
        </w:rPr>
        <w:t xml:space="preserve">he Optional Protocol </w:t>
      </w:r>
      <w:r w:rsidR="00BF140B" w:rsidRPr="00D22649">
        <w:rPr>
          <w:rFonts w:ascii="Times New Roman" w:hAnsi="Times New Roman" w:cs="Times New Roman"/>
          <w:sz w:val="24"/>
          <w:szCs w:val="24"/>
        </w:rPr>
        <w:t>that emerged ‘</w:t>
      </w:r>
      <w:r w:rsidR="0070695D" w:rsidRPr="00D22649">
        <w:rPr>
          <w:rFonts w:ascii="Times New Roman" w:hAnsi="Times New Roman" w:cs="Times New Roman"/>
          <w:sz w:val="24"/>
          <w:szCs w:val="24"/>
        </w:rPr>
        <w:t>is the result of delicate negotiation</w:t>
      </w:r>
      <w:r w:rsidR="009204A5" w:rsidRPr="00D22649">
        <w:rPr>
          <w:rFonts w:ascii="Times New Roman" w:hAnsi="Times New Roman" w:cs="Times New Roman"/>
          <w:sz w:val="24"/>
          <w:szCs w:val="24"/>
        </w:rPr>
        <w:t>’</w:t>
      </w:r>
      <w:r w:rsidR="0070695D" w:rsidRPr="00D22649">
        <w:rPr>
          <w:rFonts w:ascii="Times New Roman" w:hAnsi="Times New Roman" w:cs="Times New Roman"/>
          <w:sz w:val="24"/>
          <w:szCs w:val="24"/>
        </w:rPr>
        <w:t>.</w:t>
      </w:r>
      <w:r w:rsidR="0070695D" w:rsidRPr="00D22649">
        <w:rPr>
          <w:rStyle w:val="FootnoteReference"/>
          <w:rFonts w:ascii="Times New Roman" w:hAnsi="Times New Roman" w:cs="Times New Roman"/>
          <w:sz w:val="24"/>
          <w:szCs w:val="24"/>
        </w:rPr>
        <w:footnoteReference w:id="16"/>
      </w:r>
      <w:r w:rsidR="005E04FD" w:rsidRPr="00D22649">
        <w:rPr>
          <w:rFonts w:ascii="Times New Roman" w:hAnsi="Times New Roman" w:cs="Times New Roman"/>
          <w:sz w:val="24"/>
          <w:szCs w:val="24"/>
        </w:rPr>
        <w:t xml:space="preserve"> </w:t>
      </w:r>
      <w:r w:rsidR="001A6DD6" w:rsidRPr="00D22649">
        <w:rPr>
          <w:rFonts w:ascii="Times New Roman" w:hAnsi="Times New Roman" w:cs="Times New Roman"/>
          <w:sz w:val="24"/>
          <w:szCs w:val="24"/>
        </w:rPr>
        <w:t xml:space="preserve"> </w:t>
      </w:r>
      <w:r w:rsidR="009000D3" w:rsidRPr="00D22649">
        <w:rPr>
          <w:rFonts w:ascii="Times New Roman" w:hAnsi="Times New Roman" w:cs="Times New Roman"/>
          <w:sz w:val="24"/>
          <w:szCs w:val="24"/>
        </w:rPr>
        <w:t>Parties agree to</w:t>
      </w:r>
      <w:r w:rsidR="00BF140B" w:rsidRPr="00D22649">
        <w:rPr>
          <w:rFonts w:ascii="Times New Roman" w:hAnsi="Times New Roman" w:cs="Times New Roman"/>
          <w:sz w:val="24"/>
          <w:szCs w:val="24"/>
        </w:rPr>
        <w:t xml:space="preserve"> </w:t>
      </w:r>
      <w:r w:rsidR="009000D3" w:rsidRPr="00D22649">
        <w:rPr>
          <w:rFonts w:ascii="Times New Roman" w:hAnsi="Times New Roman" w:cs="Times New Roman"/>
          <w:sz w:val="24"/>
          <w:szCs w:val="24"/>
        </w:rPr>
        <w:t>recogni</w:t>
      </w:r>
      <w:r>
        <w:rPr>
          <w:rFonts w:ascii="Times New Roman" w:hAnsi="Times New Roman" w:cs="Times New Roman"/>
          <w:sz w:val="24"/>
          <w:szCs w:val="24"/>
        </w:rPr>
        <w:t>z</w:t>
      </w:r>
      <w:r w:rsidR="009000D3" w:rsidRPr="00D22649">
        <w:rPr>
          <w:rFonts w:ascii="Times New Roman" w:hAnsi="Times New Roman" w:cs="Times New Roman"/>
          <w:sz w:val="24"/>
          <w:szCs w:val="24"/>
        </w:rPr>
        <w:t xml:space="preserve">e the competence of the Committee to consider complaints </w:t>
      </w:r>
      <w:r w:rsidR="007A6371" w:rsidRPr="00D22649">
        <w:rPr>
          <w:rFonts w:ascii="Times New Roman" w:hAnsi="Times New Roman" w:cs="Times New Roman"/>
          <w:sz w:val="24"/>
          <w:szCs w:val="24"/>
        </w:rPr>
        <w:t>alleging violations of the Convention’s rights</w:t>
      </w:r>
      <w:r w:rsidR="009000D3" w:rsidRPr="00D22649">
        <w:rPr>
          <w:rFonts w:ascii="Times New Roman" w:hAnsi="Times New Roman" w:cs="Times New Roman"/>
          <w:sz w:val="24"/>
          <w:szCs w:val="24"/>
        </w:rPr>
        <w:t>.</w:t>
      </w:r>
      <w:r w:rsidR="005E04FD" w:rsidRPr="00D22649">
        <w:rPr>
          <w:rFonts w:ascii="Times New Roman" w:hAnsi="Times New Roman" w:cs="Times New Roman"/>
          <w:sz w:val="24"/>
          <w:szCs w:val="24"/>
        </w:rPr>
        <w:t xml:space="preserve"> </w:t>
      </w:r>
      <w:r w:rsidR="001A6DD6" w:rsidRPr="00D22649">
        <w:rPr>
          <w:rFonts w:ascii="Times New Roman" w:hAnsi="Times New Roman" w:cs="Times New Roman"/>
          <w:sz w:val="24"/>
          <w:szCs w:val="24"/>
        </w:rPr>
        <w:t xml:space="preserve"> </w:t>
      </w:r>
      <w:r w:rsidR="00A0146C" w:rsidRPr="00D22649">
        <w:rPr>
          <w:rFonts w:ascii="Times New Roman" w:hAnsi="Times New Roman" w:cs="Times New Roman"/>
          <w:sz w:val="24"/>
          <w:szCs w:val="24"/>
        </w:rPr>
        <w:t>Art</w:t>
      </w:r>
      <w:r w:rsidR="004E742D" w:rsidRPr="00D22649">
        <w:rPr>
          <w:rFonts w:ascii="Times New Roman" w:hAnsi="Times New Roman" w:cs="Times New Roman"/>
          <w:sz w:val="24"/>
          <w:szCs w:val="24"/>
        </w:rPr>
        <w:t>icle</w:t>
      </w:r>
      <w:r w:rsidR="00A0146C" w:rsidRPr="00D22649">
        <w:rPr>
          <w:rFonts w:ascii="Times New Roman" w:hAnsi="Times New Roman" w:cs="Times New Roman"/>
          <w:sz w:val="24"/>
          <w:szCs w:val="24"/>
        </w:rPr>
        <w:t xml:space="preserve"> 2</w:t>
      </w:r>
      <w:r w:rsidR="0026333F" w:rsidRPr="00D22649">
        <w:rPr>
          <w:rFonts w:ascii="Times New Roman" w:hAnsi="Times New Roman" w:cs="Times New Roman"/>
          <w:sz w:val="24"/>
          <w:szCs w:val="24"/>
        </w:rPr>
        <w:t xml:space="preserve"> of the Optional Protocol</w:t>
      </w:r>
      <w:r w:rsidR="0026633D" w:rsidRPr="00D22649">
        <w:rPr>
          <w:rFonts w:ascii="Times New Roman" w:hAnsi="Times New Roman" w:cs="Times New Roman"/>
          <w:sz w:val="24"/>
          <w:szCs w:val="24"/>
        </w:rPr>
        <w:t xml:space="preserve"> allows Communications to be ‘</w:t>
      </w:r>
      <w:r w:rsidR="007A6371" w:rsidRPr="00D22649">
        <w:rPr>
          <w:rFonts w:ascii="Times New Roman" w:hAnsi="Times New Roman" w:cs="Times New Roman"/>
          <w:sz w:val="24"/>
          <w:szCs w:val="24"/>
        </w:rPr>
        <w:t>submitted on behalf of individuals or groups of individuals, with their consent, unless it can be shown wh</w:t>
      </w:r>
      <w:r w:rsidR="0026633D" w:rsidRPr="00D22649">
        <w:rPr>
          <w:rFonts w:ascii="Times New Roman" w:hAnsi="Times New Roman" w:cs="Times New Roman"/>
          <w:sz w:val="24"/>
          <w:szCs w:val="24"/>
        </w:rPr>
        <w:t>y that consent was not received’</w:t>
      </w:r>
      <w:r w:rsidR="0026333F" w:rsidRPr="00D22649">
        <w:rPr>
          <w:rFonts w:ascii="Times New Roman" w:hAnsi="Times New Roman" w:cs="Times New Roman"/>
          <w:sz w:val="24"/>
          <w:szCs w:val="24"/>
        </w:rPr>
        <w:t xml:space="preserve">.  This </w:t>
      </w:r>
      <w:r w:rsidR="0084068F" w:rsidRPr="00D22649">
        <w:rPr>
          <w:rFonts w:ascii="Times New Roman" w:hAnsi="Times New Roman" w:cs="Times New Roman"/>
          <w:sz w:val="24"/>
          <w:szCs w:val="24"/>
        </w:rPr>
        <w:t>proved to be</w:t>
      </w:r>
      <w:r w:rsidR="00A0146C" w:rsidRPr="00D22649">
        <w:rPr>
          <w:rFonts w:ascii="Times New Roman" w:hAnsi="Times New Roman" w:cs="Times New Roman"/>
          <w:sz w:val="24"/>
          <w:szCs w:val="24"/>
        </w:rPr>
        <w:t xml:space="preserve"> one of the most controversial </w:t>
      </w:r>
      <w:r w:rsidR="004E742D" w:rsidRPr="00D22649">
        <w:rPr>
          <w:rFonts w:ascii="Times New Roman" w:hAnsi="Times New Roman" w:cs="Times New Roman"/>
          <w:sz w:val="24"/>
          <w:szCs w:val="24"/>
        </w:rPr>
        <w:t>provisions during the</w:t>
      </w:r>
      <w:r w:rsidR="00A0146C" w:rsidRPr="00D22649">
        <w:rPr>
          <w:rFonts w:ascii="Times New Roman" w:hAnsi="Times New Roman" w:cs="Times New Roman"/>
          <w:sz w:val="24"/>
          <w:szCs w:val="24"/>
        </w:rPr>
        <w:t xml:space="preserve"> drafting</w:t>
      </w:r>
      <w:r w:rsidR="004E742D" w:rsidRPr="00D22649">
        <w:rPr>
          <w:rFonts w:ascii="Times New Roman" w:hAnsi="Times New Roman" w:cs="Times New Roman"/>
          <w:sz w:val="24"/>
          <w:szCs w:val="24"/>
        </w:rPr>
        <w:t xml:space="preserve"> process</w:t>
      </w:r>
      <w:r w:rsidR="008935F3" w:rsidRPr="00D22649">
        <w:rPr>
          <w:rFonts w:ascii="Times New Roman" w:hAnsi="Times New Roman" w:cs="Times New Roman"/>
          <w:sz w:val="24"/>
          <w:szCs w:val="24"/>
        </w:rPr>
        <w:t>.</w:t>
      </w:r>
      <w:r w:rsidR="008935F3" w:rsidRPr="00D22649">
        <w:rPr>
          <w:rStyle w:val="FootnoteReference"/>
          <w:rFonts w:ascii="Times New Roman" w:hAnsi="Times New Roman" w:cs="Times New Roman"/>
          <w:sz w:val="24"/>
          <w:szCs w:val="24"/>
        </w:rPr>
        <w:footnoteReference w:id="17"/>
      </w:r>
      <w:r w:rsidR="008935F3" w:rsidRPr="00D22649">
        <w:rPr>
          <w:rFonts w:ascii="Times New Roman" w:hAnsi="Times New Roman" w:cs="Times New Roman"/>
          <w:sz w:val="24"/>
          <w:szCs w:val="24"/>
        </w:rPr>
        <w:t xml:space="preserve"> </w:t>
      </w:r>
      <w:r w:rsidR="00A0146C" w:rsidRPr="00D22649">
        <w:rPr>
          <w:rFonts w:ascii="Times New Roman" w:hAnsi="Times New Roman" w:cs="Times New Roman"/>
          <w:sz w:val="24"/>
          <w:szCs w:val="24"/>
        </w:rPr>
        <w:t xml:space="preserve"> </w:t>
      </w:r>
      <w:r w:rsidR="00E048EA" w:rsidRPr="00D22649">
        <w:rPr>
          <w:rFonts w:ascii="Times New Roman" w:hAnsi="Times New Roman" w:cs="Times New Roman"/>
          <w:sz w:val="24"/>
          <w:szCs w:val="24"/>
        </w:rPr>
        <w:t xml:space="preserve">While NGOs called </w:t>
      </w:r>
      <w:r w:rsidR="00BB4183" w:rsidRPr="00D22649">
        <w:rPr>
          <w:rFonts w:ascii="Times New Roman" w:hAnsi="Times New Roman" w:cs="Times New Roman"/>
          <w:sz w:val="24"/>
          <w:szCs w:val="24"/>
        </w:rPr>
        <w:t xml:space="preserve">(unsuccessfully) </w:t>
      </w:r>
      <w:r w:rsidR="00E048EA" w:rsidRPr="00D22649">
        <w:rPr>
          <w:rFonts w:ascii="Times New Roman" w:hAnsi="Times New Roman" w:cs="Times New Roman"/>
          <w:sz w:val="24"/>
          <w:szCs w:val="24"/>
        </w:rPr>
        <w:t>for standing in their own right</w:t>
      </w:r>
      <w:r w:rsidR="008935F3" w:rsidRPr="00D22649">
        <w:rPr>
          <w:rFonts w:ascii="Times New Roman" w:hAnsi="Times New Roman" w:cs="Times New Roman"/>
          <w:sz w:val="24"/>
          <w:szCs w:val="24"/>
        </w:rPr>
        <w:t>,</w:t>
      </w:r>
      <w:r w:rsidR="00C44809" w:rsidRPr="00D22649">
        <w:rPr>
          <w:rStyle w:val="FootnoteReference"/>
          <w:rFonts w:ascii="Times New Roman" w:hAnsi="Times New Roman" w:cs="Times New Roman"/>
          <w:sz w:val="24"/>
          <w:szCs w:val="24"/>
        </w:rPr>
        <w:footnoteReference w:id="18"/>
      </w:r>
      <w:r w:rsidR="008935F3" w:rsidRPr="00D22649">
        <w:rPr>
          <w:rFonts w:ascii="Times New Roman" w:hAnsi="Times New Roman" w:cs="Times New Roman"/>
          <w:sz w:val="24"/>
          <w:szCs w:val="24"/>
        </w:rPr>
        <w:t xml:space="preserve"> </w:t>
      </w:r>
      <w:r>
        <w:rPr>
          <w:rFonts w:ascii="Times New Roman" w:hAnsi="Times New Roman" w:cs="Times New Roman"/>
          <w:sz w:val="24"/>
          <w:szCs w:val="24"/>
        </w:rPr>
        <w:t>s</w:t>
      </w:r>
      <w:r w:rsidR="00A0146C" w:rsidRPr="00D22649">
        <w:rPr>
          <w:rFonts w:ascii="Times New Roman" w:hAnsi="Times New Roman" w:cs="Times New Roman"/>
          <w:sz w:val="24"/>
          <w:szCs w:val="24"/>
        </w:rPr>
        <w:t>tates</w:t>
      </w:r>
      <w:r w:rsidR="00594A01" w:rsidRPr="00D22649">
        <w:rPr>
          <w:rFonts w:ascii="Times New Roman" w:hAnsi="Times New Roman" w:cs="Times New Roman"/>
          <w:sz w:val="24"/>
          <w:szCs w:val="24"/>
        </w:rPr>
        <w:t xml:space="preserve"> were</w:t>
      </w:r>
      <w:r w:rsidR="00A0146C" w:rsidRPr="00D22649">
        <w:rPr>
          <w:rFonts w:ascii="Times New Roman" w:hAnsi="Times New Roman" w:cs="Times New Roman"/>
          <w:sz w:val="24"/>
          <w:szCs w:val="24"/>
        </w:rPr>
        <w:t xml:space="preserve"> anxious about </w:t>
      </w:r>
      <w:r w:rsidR="00FF295D" w:rsidRPr="00D22649">
        <w:rPr>
          <w:rFonts w:ascii="Times New Roman" w:hAnsi="Times New Roman" w:cs="Times New Roman"/>
          <w:sz w:val="24"/>
          <w:szCs w:val="24"/>
        </w:rPr>
        <w:t>an</w:t>
      </w:r>
      <w:r w:rsidR="0084068F" w:rsidRPr="00D22649">
        <w:rPr>
          <w:rFonts w:ascii="Times New Roman" w:hAnsi="Times New Roman" w:cs="Times New Roman"/>
          <w:sz w:val="24"/>
          <w:szCs w:val="24"/>
        </w:rPr>
        <w:t>y</w:t>
      </w:r>
      <w:r w:rsidR="00FF295D" w:rsidRPr="00D22649">
        <w:rPr>
          <w:rFonts w:ascii="Times New Roman" w:hAnsi="Times New Roman" w:cs="Times New Roman"/>
          <w:sz w:val="24"/>
          <w:szCs w:val="24"/>
        </w:rPr>
        <w:t xml:space="preserve"> </w:t>
      </w:r>
      <w:r w:rsidR="0084068F" w:rsidRPr="00D22649">
        <w:rPr>
          <w:rFonts w:ascii="Times New Roman" w:hAnsi="Times New Roman" w:cs="Times New Roman"/>
          <w:sz w:val="24"/>
          <w:szCs w:val="24"/>
        </w:rPr>
        <w:t>expanded</w:t>
      </w:r>
      <w:r w:rsidR="00FF295D" w:rsidRPr="00D22649">
        <w:rPr>
          <w:rFonts w:ascii="Times New Roman" w:hAnsi="Times New Roman" w:cs="Times New Roman"/>
          <w:sz w:val="24"/>
          <w:szCs w:val="24"/>
        </w:rPr>
        <w:t xml:space="preserve"> role for NGOs</w:t>
      </w:r>
      <w:r w:rsidR="00D55F34" w:rsidRPr="00D22649">
        <w:rPr>
          <w:rFonts w:ascii="Times New Roman" w:hAnsi="Times New Roman" w:cs="Times New Roman"/>
          <w:sz w:val="24"/>
          <w:szCs w:val="24"/>
        </w:rPr>
        <w:t>.</w:t>
      </w:r>
      <w:r w:rsidR="00C44809" w:rsidRPr="00D22649">
        <w:rPr>
          <w:rFonts w:ascii="Times New Roman" w:hAnsi="Times New Roman" w:cs="Times New Roman"/>
          <w:sz w:val="24"/>
          <w:szCs w:val="24"/>
        </w:rPr>
        <w:t xml:space="preserve">  D</w:t>
      </w:r>
      <w:r w:rsidR="00D55F34" w:rsidRPr="00D22649">
        <w:rPr>
          <w:rFonts w:ascii="Times New Roman" w:hAnsi="Times New Roman" w:cs="Times New Roman"/>
          <w:sz w:val="24"/>
          <w:szCs w:val="24"/>
        </w:rPr>
        <w:t>ivisions over this issue almost derailed the drafting process</w:t>
      </w:r>
      <w:r w:rsidR="000D4D2F" w:rsidRPr="00D22649">
        <w:rPr>
          <w:rFonts w:ascii="Times New Roman" w:hAnsi="Times New Roman" w:cs="Times New Roman"/>
          <w:sz w:val="24"/>
          <w:szCs w:val="24"/>
        </w:rPr>
        <w:t>;</w:t>
      </w:r>
      <w:r w:rsidR="00D55F34" w:rsidRPr="00D22649">
        <w:rPr>
          <w:rStyle w:val="FootnoteReference"/>
          <w:rFonts w:ascii="Times New Roman" w:hAnsi="Times New Roman" w:cs="Times New Roman"/>
          <w:sz w:val="24"/>
          <w:szCs w:val="24"/>
        </w:rPr>
        <w:footnoteReference w:id="19"/>
      </w:r>
      <w:r w:rsidR="00D55F34" w:rsidRPr="00D22649">
        <w:rPr>
          <w:rFonts w:ascii="Times New Roman" w:hAnsi="Times New Roman" w:cs="Times New Roman"/>
          <w:sz w:val="24"/>
          <w:szCs w:val="24"/>
        </w:rPr>
        <w:t xml:space="preserve"> while </w:t>
      </w:r>
      <w:r w:rsidR="00E048EA" w:rsidRPr="00D22649">
        <w:rPr>
          <w:rFonts w:ascii="Times New Roman" w:hAnsi="Times New Roman" w:cs="Times New Roman"/>
          <w:sz w:val="24"/>
          <w:szCs w:val="24"/>
        </w:rPr>
        <w:t xml:space="preserve">relatively </w:t>
      </w:r>
      <w:r w:rsidR="00D55F34" w:rsidRPr="00D22649">
        <w:rPr>
          <w:rFonts w:ascii="Times New Roman" w:hAnsi="Times New Roman" w:cs="Times New Roman"/>
          <w:sz w:val="24"/>
          <w:szCs w:val="24"/>
        </w:rPr>
        <w:t xml:space="preserve">relaxed rules of standing were ultimately included, </w:t>
      </w:r>
      <w:r>
        <w:rPr>
          <w:rFonts w:ascii="Times New Roman" w:hAnsi="Times New Roman" w:cs="Times New Roman"/>
          <w:sz w:val="24"/>
          <w:szCs w:val="24"/>
        </w:rPr>
        <w:t>A</w:t>
      </w:r>
      <w:r w:rsidR="00D55F34" w:rsidRPr="00D22649">
        <w:rPr>
          <w:rFonts w:ascii="Times New Roman" w:hAnsi="Times New Roman" w:cs="Times New Roman"/>
          <w:sz w:val="24"/>
          <w:szCs w:val="24"/>
        </w:rPr>
        <w:t xml:space="preserve">rticle 2 has </w:t>
      </w:r>
      <w:r w:rsidR="0084068F" w:rsidRPr="00D22649">
        <w:rPr>
          <w:rFonts w:ascii="Times New Roman" w:hAnsi="Times New Roman" w:cs="Times New Roman"/>
          <w:sz w:val="24"/>
          <w:szCs w:val="24"/>
        </w:rPr>
        <w:t xml:space="preserve">attracted </w:t>
      </w:r>
      <w:r w:rsidR="00D55F34" w:rsidRPr="00D22649">
        <w:rPr>
          <w:rFonts w:ascii="Times New Roman" w:hAnsi="Times New Roman" w:cs="Times New Roman"/>
          <w:sz w:val="24"/>
          <w:szCs w:val="24"/>
        </w:rPr>
        <w:t xml:space="preserve">a number of interpretive statements.  </w:t>
      </w:r>
    </w:p>
    <w:p w14:paraId="75D3DE79" w14:textId="39898C42" w:rsidR="00786405" w:rsidRPr="00D22649" w:rsidRDefault="00213E2B" w:rsidP="005B6796">
      <w:pPr>
        <w:pStyle w:val="NormalWeb"/>
        <w:spacing w:before="0" w:beforeAutospacing="0" w:after="0" w:afterAutospacing="0" w:line="360" w:lineRule="auto"/>
        <w:jc w:val="both"/>
      </w:pPr>
      <w:r>
        <w:lastRenderedPageBreak/>
        <w:tab/>
      </w:r>
      <w:r w:rsidR="00786BB0" w:rsidRPr="00D22649">
        <w:t>The i</w:t>
      </w:r>
      <w:r w:rsidR="00A251D1" w:rsidRPr="00D22649">
        <w:t>nclusion of an</w:t>
      </w:r>
      <w:r w:rsidR="007B25B1" w:rsidRPr="00D22649">
        <w:t xml:space="preserve"> inquiry procedure </w:t>
      </w:r>
      <w:r w:rsidR="00676B2D" w:rsidRPr="00D22649">
        <w:t xml:space="preserve">– a relative innovation </w:t>
      </w:r>
      <w:r w:rsidR="001637C9" w:rsidRPr="00D22649">
        <w:t xml:space="preserve">modelled on </w:t>
      </w:r>
      <w:r>
        <w:t>A</w:t>
      </w:r>
      <w:r w:rsidR="00C30365" w:rsidRPr="00D22649">
        <w:t xml:space="preserve">rticle 20 of the Convention Against Torture </w:t>
      </w:r>
      <w:r>
        <w:t>–</w:t>
      </w:r>
      <w:r w:rsidR="00676B2D" w:rsidRPr="00D22649">
        <w:t xml:space="preserve"> </w:t>
      </w:r>
      <w:r w:rsidR="007B25B1" w:rsidRPr="00D22649">
        <w:t xml:space="preserve">was </w:t>
      </w:r>
      <w:r w:rsidR="00446F69" w:rsidRPr="00D22649">
        <w:t>a further</w:t>
      </w:r>
      <w:r w:rsidR="007B25B1" w:rsidRPr="00D22649">
        <w:t xml:space="preserve"> subject of controversy</w:t>
      </w:r>
      <w:r w:rsidR="00A251D1" w:rsidRPr="00D22649">
        <w:t>.</w:t>
      </w:r>
      <w:r w:rsidR="007B25B1" w:rsidRPr="00D22649">
        <w:t xml:space="preserve">  </w:t>
      </w:r>
      <w:r w:rsidR="00327425" w:rsidRPr="00D22649">
        <w:t>T</w:t>
      </w:r>
      <w:r w:rsidR="00065981" w:rsidRPr="00D22649">
        <w:t>he</w:t>
      </w:r>
      <w:r w:rsidR="009000D3" w:rsidRPr="00D22649">
        <w:t xml:space="preserve"> Committee </w:t>
      </w:r>
      <w:r w:rsidR="00065981" w:rsidRPr="00D22649">
        <w:t>is empowered to</w:t>
      </w:r>
      <w:r w:rsidR="006140AA" w:rsidRPr="00D22649">
        <w:t xml:space="preserve"> </w:t>
      </w:r>
      <w:r w:rsidR="00A251D1" w:rsidRPr="00D22649">
        <w:t>inquire</w:t>
      </w:r>
      <w:r w:rsidR="00065981" w:rsidRPr="00D22649">
        <w:t xml:space="preserve"> into and report on </w:t>
      </w:r>
      <w:r w:rsidR="002859EA" w:rsidRPr="00D22649">
        <w:t>‘</w:t>
      </w:r>
      <w:r w:rsidR="00065981" w:rsidRPr="00D22649">
        <w:t>reliable information indicating grave or systematic violations by a State Party</w:t>
      </w:r>
      <w:r w:rsidR="002859EA" w:rsidRPr="00D22649">
        <w:t>’</w:t>
      </w:r>
      <w:r w:rsidR="006140AA" w:rsidRPr="00D22649">
        <w:t xml:space="preserve"> of the Convention. </w:t>
      </w:r>
      <w:r w:rsidR="00545229" w:rsidRPr="00D22649">
        <w:t xml:space="preserve">While </w:t>
      </w:r>
      <w:r>
        <w:t>s</w:t>
      </w:r>
      <w:r w:rsidR="00545229" w:rsidRPr="00D22649">
        <w:t>tate</w:t>
      </w:r>
      <w:r w:rsidR="004B7DA2" w:rsidRPr="00D22649">
        <w:t xml:space="preserve">s </w:t>
      </w:r>
      <w:r w:rsidR="009000D3" w:rsidRPr="00D22649">
        <w:t>may opt out of this obligati</w:t>
      </w:r>
      <w:r w:rsidR="006140AA" w:rsidRPr="00D22649">
        <w:t>on,</w:t>
      </w:r>
      <w:r w:rsidR="009000D3" w:rsidRPr="00D22649">
        <w:t xml:space="preserve"> only </w:t>
      </w:r>
      <w:r w:rsidR="00EC3B8F" w:rsidRPr="00D22649">
        <w:t xml:space="preserve">four </w:t>
      </w:r>
      <w:r w:rsidR="006140AA" w:rsidRPr="00D22649">
        <w:t>have done so.</w:t>
      </w:r>
      <w:r w:rsidR="00EC3B8F" w:rsidRPr="00D22649">
        <w:rPr>
          <w:rStyle w:val="FootnoteReference"/>
        </w:rPr>
        <w:footnoteReference w:id="20"/>
      </w:r>
      <w:r w:rsidR="00786405" w:rsidRPr="00D22649">
        <w:t xml:space="preserve"> </w:t>
      </w:r>
      <w:r w:rsidR="00171401" w:rsidRPr="00D22649">
        <w:t xml:space="preserve"> </w:t>
      </w:r>
      <w:r w:rsidR="00786405" w:rsidRPr="00D22649">
        <w:t>Compromise</w:t>
      </w:r>
      <w:r w:rsidR="00333A53" w:rsidRPr="00D22649">
        <w:t xml:space="preserve">s reached during </w:t>
      </w:r>
      <w:r w:rsidR="00786405" w:rsidRPr="00D22649">
        <w:t xml:space="preserve">the drafting process also </w:t>
      </w:r>
      <w:r w:rsidR="004B7DA2" w:rsidRPr="00D22649">
        <w:t xml:space="preserve">resulted in </w:t>
      </w:r>
      <w:r>
        <w:t>s</w:t>
      </w:r>
      <w:r w:rsidR="00786405" w:rsidRPr="00D22649">
        <w:t xml:space="preserve">tates </w:t>
      </w:r>
      <w:r w:rsidR="004B7DA2" w:rsidRPr="00D22649">
        <w:t xml:space="preserve">not </w:t>
      </w:r>
      <w:r w:rsidR="00786405" w:rsidRPr="00D22649">
        <w:t>being bound to remedy violations, but rather to give ‘due consideration’ to the Committee’s views and recommendations.</w:t>
      </w:r>
      <w:r w:rsidR="009B5D24" w:rsidRPr="00D22649">
        <w:t xml:space="preserve">  However, this was ameliorated </w:t>
      </w:r>
      <w:r w:rsidR="007E504A" w:rsidRPr="00D22649">
        <w:t xml:space="preserve">somewhat </w:t>
      </w:r>
      <w:r w:rsidR="00A30590" w:rsidRPr="00D22649">
        <w:t xml:space="preserve">by </w:t>
      </w:r>
      <w:r>
        <w:t>A</w:t>
      </w:r>
      <w:r w:rsidR="009B5D24" w:rsidRPr="00D22649">
        <w:t xml:space="preserve">rticle 7(5), which </w:t>
      </w:r>
      <w:r w:rsidR="007E504A" w:rsidRPr="00D22649">
        <w:t>authori</w:t>
      </w:r>
      <w:r>
        <w:t>z</w:t>
      </w:r>
      <w:r w:rsidR="007E504A" w:rsidRPr="00D22649">
        <w:t>es</w:t>
      </w:r>
      <w:r w:rsidR="009B5D24" w:rsidRPr="00D22649">
        <w:t xml:space="preserve"> CEDAW to </w:t>
      </w:r>
      <w:r w:rsidR="007E504A" w:rsidRPr="00D22649">
        <w:t>adopt</w:t>
      </w:r>
      <w:r w:rsidR="009B5D24" w:rsidRPr="00D22649">
        <w:t xml:space="preserve"> follow-up procedure</w:t>
      </w:r>
      <w:r w:rsidR="007E504A" w:rsidRPr="00D22649">
        <w:t>s</w:t>
      </w:r>
      <w:r w:rsidR="009B5D24" w:rsidRPr="00D22649">
        <w:t xml:space="preserve"> in respect of </w:t>
      </w:r>
      <w:r w:rsidR="007E504A" w:rsidRPr="00D22649">
        <w:t>communications.</w:t>
      </w:r>
      <w:r w:rsidR="00CC7F8D" w:rsidRPr="00D22649">
        <w:t xml:space="preserve">  </w:t>
      </w:r>
      <w:r w:rsidR="00D7469A" w:rsidRPr="00D22649">
        <w:t xml:space="preserve">Further, </w:t>
      </w:r>
      <w:r>
        <w:t>A</w:t>
      </w:r>
      <w:r w:rsidR="00CC7F8D" w:rsidRPr="00D22649">
        <w:t xml:space="preserve">rticle 5 empowers </w:t>
      </w:r>
      <w:r w:rsidR="004B7DA2" w:rsidRPr="00D22649">
        <w:t xml:space="preserve">the </w:t>
      </w:r>
      <w:r w:rsidR="00CC7F8D" w:rsidRPr="00D22649">
        <w:t xml:space="preserve">Committee to adopt interim measures to </w:t>
      </w:r>
      <w:r w:rsidR="00A53E00" w:rsidRPr="00D22649">
        <w:t>prevent</w:t>
      </w:r>
      <w:r w:rsidR="00CC7F8D" w:rsidRPr="00D22649">
        <w:t xml:space="preserve"> ‘irreparable damage’ to a victim.</w:t>
      </w:r>
      <w:r w:rsidR="007E504A" w:rsidRPr="00D22649">
        <w:t xml:space="preserve"> </w:t>
      </w:r>
    </w:p>
    <w:p w14:paraId="2617CE59" w14:textId="77777777" w:rsidR="00A028AE" w:rsidRPr="00D22649" w:rsidRDefault="00213E2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2C1BA7" w:rsidRPr="00D22649">
        <w:rPr>
          <w:rFonts w:ascii="Times New Roman" w:hAnsi="Times New Roman" w:cs="Times New Roman"/>
          <w:sz w:val="24"/>
          <w:szCs w:val="24"/>
        </w:rPr>
        <w:t xml:space="preserve">The Optional Protocol, therefore, was a </w:t>
      </w:r>
      <w:r w:rsidR="00FE5D76" w:rsidRPr="00D22649">
        <w:rPr>
          <w:rFonts w:ascii="Times New Roman" w:hAnsi="Times New Roman" w:cs="Times New Roman"/>
          <w:sz w:val="24"/>
          <w:szCs w:val="24"/>
        </w:rPr>
        <w:t xml:space="preserve">compromised but nonetheless </w:t>
      </w:r>
      <w:r w:rsidR="002C1BA7" w:rsidRPr="00D22649">
        <w:rPr>
          <w:rFonts w:ascii="Times New Roman" w:hAnsi="Times New Roman" w:cs="Times New Roman"/>
          <w:sz w:val="24"/>
          <w:szCs w:val="24"/>
        </w:rPr>
        <w:t xml:space="preserve">welcome development, </w:t>
      </w:r>
      <w:r w:rsidR="00FE5D76" w:rsidRPr="00D22649">
        <w:rPr>
          <w:rFonts w:ascii="Times New Roman" w:hAnsi="Times New Roman" w:cs="Times New Roman"/>
          <w:sz w:val="24"/>
          <w:szCs w:val="24"/>
        </w:rPr>
        <w:t>providing</w:t>
      </w:r>
      <w:r w:rsidR="002C1BA7" w:rsidRPr="00D22649">
        <w:rPr>
          <w:rFonts w:ascii="Times New Roman" w:hAnsi="Times New Roman" w:cs="Times New Roman"/>
          <w:sz w:val="24"/>
          <w:szCs w:val="24"/>
        </w:rPr>
        <w:t xml:space="preserve"> an </w:t>
      </w:r>
      <w:r w:rsidR="002D5C30" w:rsidRPr="00D22649">
        <w:rPr>
          <w:rFonts w:ascii="Times New Roman" w:hAnsi="Times New Roman" w:cs="Times New Roman"/>
          <w:sz w:val="24"/>
          <w:szCs w:val="24"/>
        </w:rPr>
        <w:t xml:space="preserve">enhanced </w:t>
      </w:r>
      <w:r w:rsidR="002C1BA7" w:rsidRPr="00D22649">
        <w:rPr>
          <w:rFonts w:ascii="Times New Roman" w:hAnsi="Times New Roman" w:cs="Times New Roman"/>
          <w:sz w:val="24"/>
          <w:szCs w:val="24"/>
        </w:rPr>
        <w:t xml:space="preserve">opportunity for the Women’s Committee to discover its voice.  </w:t>
      </w:r>
      <w:r w:rsidR="00276FFA" w:rsidRPr="00D22649">
        <w:rPr>
          <w:rFonts w:ascii="Times New Roman" w:hAnsi="Times New Roman" w:cs="Times New Roman"/>
          <w:sz w:val="24"/>
          <w:szCs w:val="24"/>
        </w:rPr>
        <w:t>R</w:t>
      </w:r>
      <w:r w:rsidR="0026633D" w:rsidRPr="00D22649">
        <w:rPr>
          <w:rFonts w:ascii="Times New Roman" w:hAnsi="Times New Roman" w:cs="Times New Roman"/>
          <w:sz w:val="24"/>
          <w:szCs w:val="24"/>
        </w:rPr>
        <w:t>eilly argues that human rights ‘</w:t>
      </w:r>
      <w:r w:rsidR="00276FFA" w:rsidRPr="00D22649">
        <w:rPr>
          <w:rFonts w:ascii="Times New Roman" w:hAnsi="Times New Roman" w:cs="Times New Roman"/>
          <w:sz w:val="24"/>
          <w:szCs w:val="24"/>
        </w:rPr>
        <w:t>must be understood as continually contested and (re)constituted through concrete, bottom-up struggles in local-global nexuses where the un</w:t>
      </w:r>
      <w:r w:rsidR="0026633D" w:rsidRPr="00D22649">
        <w:rPr>
          <w:rFonts w:ascii="Times New Roman" w:hAnsi="Times New Roman" w:cs="Times New Roman"/>
          <w:sz w:val="24"/>
          <w:szCs w:val="24"/>
        </w:rPr>
        <w:t>iversal and the particular meet’</w:t>
      </w:r>
      <w:r w:rsidR="00276FFA" w:rsidRPr="00D22649">
        <w:rPr>
          <w:rFonts w:ascii="Times New Roman" w:hAnsi="Times New Roman" w:cs="Times New Roman"/>
          <w:sz w:val="24"/>
          <w:szCs w:val="24"/>
        </w:rPr>
        <w:t>.</w:t>
      </w:r>
      <w:r w:rsidR="00276FFA" w:rsidRPr="00D22649">
        <w:rPr>
          <w:rStyle w:val="FootnoteReference"/>
          <w:rFonts w:ascii="Times New Roman" w:hAnsi="Times New Roman" w:cs="Times New Roman"/>
          <w:sz w:val="24"/>
          <w:szCs w:val="24"/>
        </w:rPr>
        <w:footnoteReference w:id="21"/>
      </w:r>
      <w:r w:rsidR="00276FFA" w:rsidRPr="00D22649">
        <w:rPr>
          <w:rFonts w:ascii="Times New Roman" w:hAnsi="Times New Roman" w:cs="Times New Roman"/>
          <w:sz w:val="24"/>
          <w:szCs w:val="24"/>
        </w:rPr>
        <w:t xml:space="preserve">  CEDAW’s individual complaints procedure locates it ideally in a space that vacillates between the particular and the universal, the global and the local, the periphery and the centre. </w:t>
      </w:r>
      <w:r w:rsidR="00B60E4B" w:rsidRPr="00D22649">
        <w:rPr>
          <w:rFonts w:ascii="Times New Roman" w:hAnsi="Times New Roman" w:cs="Times New Roman"/>
          <w:sz w:val="24"/>
          <w:szCs w:val="24"/>
        </w:rPr>
        <w:t xml:space="preserve"> </w:t>
      </w:r>
      <w:r w:rsidR="002D5C30" w:rsidRPr="00D22649">
        <w:rPr>
          <w:rFonts w:ascii="Times New Roman" w:hAnsi="Times New Roman" w:cs="Times New Roman"/>
          <w:sz w:val="24"/>
          <w:szCs w:val="24"/>
        </w:rPr>
        <w:t>This</w:t>
      </w:r>
      <w:r w:rsidR="00276FFA" w:rsidRPr="00D22649">
        <w:rPr>
          <w:rFonts w:ascii="Times New Roman" w:hAnsi="Times New Roman" w:cs="Times New Roman"/>
          <w:sz w:val="24"/>
          <w:szCs w:val="24"/>
        </w:rPr>
        <w:t xml:space="preserve">, </w:t>
      </w:r>
      <w:r w:rsidR="002D5C30" w:rsidRPr="00D22649">
        <w:rPr>
          <w:rFonts w:ascii="Times New Roman" w:hAnsi="Times New Roman" w:cs="Times New Roman"/>
          <w:sz w:val="24"/>
          <w:szCs w:val="24"/>
        </w:rPr>
        <w:t>I suggest, opens</w:t>
      </w:r>
      <w:r w:rsidR="00276FFA" w:rsidRPr="00D22649">
        <w:rPr>
          <w:rFonts w:ascii="Times New Roman" w:hAnsi="Times New Roman" w:cs="Times New Roman"/>
          <w:sz w:val="24"/>
          <w:szCs w:val="24"/>
        </w:rPr>
        <w:t xml:space="preserve"> </w:t>
      </w:r>
      <w:r w:rsidR="002D5C30" w:rsidRPr="00D22649">
        <w:rPr>
          <w:rFonts w:ascii="Times New Roman" w:hAnsi="Times New Roman" w:cs="Times New Roman"/>
          <w:sz w:val="24"/>
          <w:szCs w:val="24"/>
        </w:rPr>
        <w:t xml:space="preserve">up </w:t>
      </w:r>
      <w:r w:rsidR="00276FFA" w:rsidRPr="00D22649">
        <w:rPr>
          <w:rFonts w:ascii="Times New Roman" w:hAnsi="Times New Roman" w:cs="Times New Roman"/>
          <w:sz w:val="24"/>
          <w:szCs w:val="24"/>
        </w:rPr>
        <w:t xml:space="preserve">a </w:t>
      </w:r>
      <w:r w:rsidR="00A028AE" w:rsidRPr="00D22649">
        <w:rPr>
          <w:rFonts w:ascii="Times New Roman" w:hAnsi="Times New Roman" w:cs="Times New Roman"/>
          <w:sz w:val="24"/>
          <w:szCs w:val="24"/>
        </w:rPr>
        <w:t xml:space="preserve">potentially </w:t>
      </w:r>
      <w:r w:rsidR="00B87D9C" w:rsidRPr="00D22649">
        <w:rPr>
          <w:rFonts w:ascii="Times New Roman" w:hAnsi="Times New Roman" w:cs="Times New Roman"/>
          <w:sz w:val="24"/>
          <w:szCs w:val="24"/>
        </w:rPr>
        <w:t xml:space="preserve">exciting and </w:t>
      </w:r>
      <w:r w:rsidR="002D5C30" w:rsidRPr="00D22649">
        <w:rPr>
          <w:rFonts w:ascii="Times New Roman" w:hAnsi="Times New Roman" w:cs="Times New Roman"/>
          <w:sz w:val="24"/>
          <w:szCs w:val="24"/>
        </w:rPr>
        <w:t xml:space="preserve">creative </w:t>
      </w:r>
      <w:r w:rsidR="00276FFA" w:rsidRPr="00D22649">
        <w:rPr>
          <w:rFonts w:ascii="Times New Roman" w:hAnsi="Times New Roman" w:cs="Times New Roman"/>
          <w:sz w:val="24"/>
          <w:szCs w:val="24"/>
        </w:rPr>
        <w:t xml:space="preserve">space for the reimagining of women’s rights.  </w:t>
      </w:r>
    </w:p>
    <w:p w14:paraId="53C087F1" w14:textId="77777777" w:rsidR="00213E2B" w:rsidRDefault="00213E2B" w:rsidP="00D22649">
      <w:pPr>
        <w:spacing w:after="0" w:line="360" w:lineRule="auto"/>
        <w:jc w:val="both"/>
        <w:rPr>
          <w:rFonts w:ascii="Times New Roman" w:hAnsi="Times New Roman" w:cs="Times New Roman"/>
          <w:b/>
          <w:sz w:val="24"/>
          <w:szCs w:val="24"/>
        </w:rPr>
      </w:pPr>
    </w:p>
    <w:p w14:paraId="1C2C046B" w14:textId="6CD6A43A" w:rsidR="00F25331" w:rsidRPr="00D22649" w:rsidRDefault="00FF509A" w:rsidP="00D22649">
      <w:pPr>
        <w:spacing w:after="0" w:line="360" w:lineRule="auto"/>
        <w:jc w:val="both"/>
        <w:rPr>
          <w:rFonts w:ascii="Times New Roman" w:hAnsi="Times New Roman" w:cs="Times New Roman"/>
          <w:b/>
          <w:sz w:val="24"/>
          <w:szCs w:val="24"/>
        </w:rPr>
      </w:pPr>
      <w:r w:rsidRPr="00D22649">
        <w:rPr>
          <w:rFonts w:ascii="Times New Roman" w:hAnsi="Times New Roman" w:cs="Times New Roman"/>
          <w:b/>
          <w:sz w:val="24"/>
          <w:szCs w:val="24"/>
        </w:rPr>
        <w:t>3</w:t>
      </w:r>
      <w:r w:rsidRPr="00D22649">
        <w:rPr>
          <w:rFonts w:ascii="Times New Roman" w:hAnsi="Times New Roman" w:cs="Times New Roman"/>
          <w:b/>
          <w:sz w:val="24"/>
          <w:szCs w:val="24"/>
        </w:rPr>
        <w:tab/>
      </w:r>
      <w:r w:rsidR="00F25331" w:rsidRPr="00D22649">
        <w:rPr>
          <w:rFonts w:ascii="Times New Roman" w:hAnsi="Times New Roman" w:cs="Times New Roman"/>
          <w:b/>
          <w:sz w:val="24"/>
          <w:szCs w:val="24"/>
        </w:rPr>
        <w:t>CEDAW: Between Centre and Periphery</w:t>
      </w:r>
    </w:p>
    <w:p w14:paraId="53A1E4BC" w14:textId="77777777" w:rsidR="00F25331" w:rsidRPr="00D22649" w:rsidRDefault="00F25331"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For some commentators, conventions such as CEDAW’s Optional Protocol are designed to forge a path to the centre of international human rights law power.  Hoq, for example, argues that the Optional Protocol is empowering because it enhances the enforcement of the Convention’s rights.</w:t>
      </w:r>
      <w:r w:rsidRPr="00D22649">
        <w:rPr>
          <w:rStyle w:val="FootnoteReference"/>
          <w:rFonts w:ascii="Times New Roman" w:hAnsi="Times New Roman" w:cs="Times New Roman"/>
          <w:sz w:val="24"/>
          <w:szCs w:val="24"/>
        </w:rPr>
        <w:footnoteReference w:id="22"/>
      </w:r>
      <w:r w:rsidRPr="00D22649">
        <w:rPr>
          <w:rFonts w:ascii="Times New Roman" w:hAnsi="Times New Roman" w:cs="Times New Roman"/>
          <w:sz w:val="24"/>
          <w:szCs w:val="24"/>
        </w:rPr>
        <w:t xml:space="preserve">  Simil</w:t>
      </w:r>
      <w:r w:rsidR="0026633D" w:rsidRPr="00D22649">
        <w:rPr>
          <w:rFonts w:ascii="Times New Roman" w:hAnsi="Times New Roman" w:cs="Times New Roman"/>
          <w:sz w:val="24"/>
          <w:szCs w:val="24"/>
        </w:rPr>
        <w:t>arly, Sokhi-Bulley argues that ‘</w:t>
      </w:r>
      <w:r w:rsidRPr="00D22649">
        <w:rPr>
          <w:rFonts w:ascii="Times New Roman" w:hAnsi="Times New Roman" w:cs="Times New Roman"/>
          <w:sz w:val="24"/>
          <w:szCs w:val="24"/>
        </w:rPr>
        <w:t>the primary purpose of the Optional Protocol is to attain improve</w:t>
      </w:r>
      <w:r w:rsidR="0026633D" w:rsidRPr="00D22649">
        <w:rPr>
          <w:rFonts w:ascii="Times New Roman" w:hAnsi="Times New Roman" w:cs="Times New Roman"/>
          <w:sz w:val="24"/>
          <w:szCs w:val="24"/>
        </w:rPr>
        <w:t>d enforcement of women’s rights’</w:t>
      </w:r>
      <w:r w:rsidRPr="00D22649">
        <w:rPr>
          <w:rFonts w:ascii="Times New Roman" w:hAnsi="Times New Roman" w:cs="Times New Roman"/>
          <w:sz w:val="24"/>
          <w:szCs w:val="24"/>
        </w:rPr>
        <w:t>.</w:t>
      </w:r>
      <w:r w:rsidRPr="00D22649">
        <w:rPr>
          <w:rStyle w:val="FootnoteReference"/>
          <w:rFonts w:ascii="Times New Roman" w:hAnsi="Times New Roman" w:cs="Times New Roman"/>
          <w:sz w:val="24"/>
          <w:szCs w:val="24"/>
        </w:rPr>
        <w:footnoteReference w:id="23"/>
      </w:r>
      <w:r w:rsidRPr="00D22649">
        <w:rPr>
          <w:rFonts w:ascii="Times New Roman" w:hAnsi="Times New Roman" w:cs="Times New Roman"/>
          <w:sz w:val="24"/>
          <w:szCs w:val="24"/>
        </w:rPr>
        <w:t xml:space="preserve">  The struggle for women’s rights has thus been presented by some as a struggle to be integrated within the present core of international rights norms.  In short, the Convention and its Optional Protocol are seen to provide women with a bridge to the longed-for human rights centre, the </w:t>
      </w:r>
      <w:r w:rsidRPr="00D22649">
        <w:rPr>
          <w:rFonts w:ascii="Times New Roman" w:hAnsi="Times New Roman" w:cs="Times New Roman"/>
          <w:sz w:val="24"/>
          <w:szCs w:val="24"/>
        </w:rPr>
        <w:lastRenderedPageBreak/>
        <w:t>alternative to which is for women to be consigned to a peripheral existence marked by exclusion and persistent inequality.</w:t>
      </w:r>
    </w:p>
    <w:p w14:paraId="5B33638D" w14:textId="15A65F0D" w:rsidR="00F25331" w:rsidRPr="00D22649" w:rsidRDefault="00213E2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F25331" w:rsidRPr="00D22649">
        <w:rPr>
          <w:rFonts w:ascii="Times New Roman" w:hAnsi="Times New Roman" w:cs="Times New Roman"/>
          <w:sz w:val="24"/>
          <w:szCs w:val="24"/>
        </w:rPr>
        <w:t>Charlesworth and Chinkin</w:t>
      </w:r>
      <w:r w:rsidR="00235576" w:rsidRPr="00D22649">
        <w:rPr>
          <w:rFonts w:ascii="Times New Roman" w:hAnsi="Times New Roman" w:cs="Times New Roman"/>
          <w:sz w:val="24"/>
          <w:szCs w:val="24"/>
        </w:rPr>
        <w:t>, in turn,</w:t>
      </w:r>
      <w:r w:rsidR="00F25331" w:rsidRPr="00D22649">
        <w:rPr>
          <w:rFonts w:ascii="Times New Roman" w:hAnsi="Times New Roman" w:cs="Times New Roman"/>
          <w:sz w:val="24"/>
          <w:szCs w:val="24"/>
        </w:rPr>
        <w:t xml:space="preserve"> have worried that the notion that CEDAW can offer a bridge sufficient</w:t>
      </w:r>
      <w:r>
        <w:rPr>
          <w:rFonts w:ascii="Times New Roman" w:hAnsi="Times New Roman" w:cs="Times New Roman"/>
          <w:sz w:val="24"/>
          <w:szCs w:val="24"/>
        </w:rPr>
        <w:t>ly</w:t>
      </w:r>
      <w:r w:rsidR="00F25331" w:rsidRPr="00D22649">
        <w:rPr>
          <w:rFonts w:ascii="Times New Roman" w:hAnsi="Times New Roman" w:cs="Times New Roman"/>
          <w:sz w:val="24"/>
          <w:szCs w:val="24"/>
        </w:rPr>
        <w:t xml:space="preserve"> sturdy to give women access to the centre of human rights power may be illusory; rather, for th</w:t>
      </w:r>
      <w:r w:rsidR="00B972F1" w:rsidRPr="00D22649">
        <w:rPr>
          <w:rFonts w:ascii="Times New Roman" w:hAnsi="Times New Roman" w:cs="Times New Roman"/>
          <w:sz w:val="24"/>
          <w:szCs w:val="24"/>
        </w:rPr>
        <w:t>o</w:t>
      </w:r>
      <w:r w:rsidR="00F25331" w:rsidRPr="00D22649">
        <w:rPr>
          <w:rFonts w:ascii="Times New Roman" w:hAnsi="Times New Roman" w:cs="Times New Roman"/>
          <w:sz w:val="24"/>
          <w:szCs w:val="24"/>
        </w:rPr>
        <w:t>se authors, the very idea and institutionali</w:t>
      </w:r>
      <w:r>
        <w:rPr>
          <w:rFonts w:ascii="Times New Roman" w:hAnsi="Times New Roman" w:cs="Times New Roman"/>
          <w:sz w:val="24"/>
          <w:szCs w:val="24"/>
        </w:rPr>
        <w:t>z</w:t>
      </w:r>
      <w:r w:rsidR="00F25331" w:rsidRPr="00D22649">
        <w:rPr>
          <w:rFonts w:ascii="Times New Roman" w:hAnsi="Times New Roman" w:cs="Times New Roman"/>
          <w:sz w:val="24"/>
          <w:szCs w:val="24"/>
        </w:rPr>
        <w:t>ation of women’s human rights contributes to the creation of a women’s ghetto marginali</w:t>
      </w:r>
      <w:r>
        <w:rPr>
          <w:rFonts w:ascii="Times New Roman" w:hAnsi="Times New Roman" w:cs="Times New Roman"/>
          <w:sz w:val="24"/>
          <w:szCs w:val="24"/>
        </w:rPr>
        <w:t>z</w:t>
      </w:r>
      <w:r w:rsidR="00F25331" w:rsidRPr="00D22649">
        <w:rPr>
          <w:rFonts w:ascii="Times New Roman" w:hAnsi="Times New Roman" w:cs="Times New Roman"/>
          <w:sz w:val="24"/>
          <w:szCs w:val="24"/>
        </w:rPr>
        <w:t>ed from the mainstream.</w:t>
      </w:r>
      <w:r w:rsidR="00F25331" w:rsidRPr="00D22649">
        <w:rPr>
          <w:rStyle w:val="FootnoteReference"/>
          <w:rFonts w:ascii="Times New Roman" w:hAnsi="Times New Roman" w:cs="Times New Roman"/>
          <w:sz w:val="24"/>
          <w:szCs w:val="24"/>
        </w:rPr>
        <w:footnoteReference w:id="24"/>
      </w:r>
      <w:r w:rsidR="00F25331" w:rsidRPr="00D22649">
        <w:rPr>
          <w:rFonts w:ascii="Times New Roman" w:hAnsi="Times New Roman" w:cs="Times New Roman"/>
          <w:sz w:val="24"/>
          <w:szCs w:val="24"/>
        </w:rPr>
        <w:t xml:space="preserve">  Their concerns are shared by a number of feminists who have, quite understandably, questioned law’s capacity to engage with those on the periphery.</w:t>
      </w:r>
      <w:r w:rsidR="00F25331" w:rsidRPr="00D22649">
        <w:rPr>
          <w:rStyle w:val="FootnoteReference"/>
          <w:rFonts w:ascii="Times New Roman" w:hAnsi="Times New Roman" w:cs="Times New Roman"/>
          <w:sz w:val="24"/>
          <w:szCs w:val="24"/>
        </w:rPr>
        <w:footnoteReference w:id="25"/>
      </w:r>
      <w:r w:rsidR="00F25331" w:rsidRPr="00D22649">
        <w:rPr>
          <w:rFonts w:ascii="Times New Roman" w:hAnsi="Times New Roman" w:cs="Times New Roman"/>
          <w:sz w:val="24"/>
          <w:szCs w:val="24"/>
        </w:rPr>
        <w:t xml:space="preserve">  Yet, I suggest here that CEDAW’s marginali</w:t>
      </w:r>
      <w:r>
        <w:rPr>
          <w:rFonts w:ascii="Times New Roman" w:hAnsi="Times New Roman" w:cs="Times New Roman"/>
          <w:sz w:val="24"/>
          <w:szCs w:val="24"/>
        </w:rPr>
        <w:t>z</w:t>
      </w:r>
      <w:r w:rsidR="00F25331" w:rsidRPr="00D22649">
        <w:rPr>
          <w:rFonts w:ascii="Times New Roman" w:hAnsi="Times New Roman" w:cs="Times New Roman"/>
          <w:sz w:val="24"/>
          <w:szCs w:val="24"/>
        </w:rPr>
        <w:t>ation is perhaps not as absolute as some critics imply.  I concur with Nicola Lacey’s suggestion that CEDAW occupies an ambiguous position that adopts both the standard universali</w:t>
      </w:r>
      <w:r>
        <w:rPr>
          <w:rFonts w:ascii="Times New Roman" w:hAnsi="Times New Roman" w:cs="Times New Roman"/>
          <w:sz w:val="24"/>
          <w:szCs w:val="24"/>
        </w:rPr>
        <w:t>z</w:t>
      </w:r>
      <w:r w:rsidR="00F25331" w:rsidRPr="00D22649">
        <w:rPr>
          <w:rFonts w:ascii="Times New Roman" w:hAnsi="Times New Roman" w:cs="Times New Roman"/>
          <w:sz w:val="24"/>
          <w:szCs w:val="24"/>
        </w:rPr>
        <w:t>ing framework of human rights alongside a specifically political women-centred focus.</w:t>
      </w:r>
      <w:r w:rsidR="00F25331" w:rsidRPr="00D22649">
        <w:rPr>
          <w:rStyle w:val="FootnoteReference"/>
          <w:rFonts w:ascii="Times New Roman" w:hAnsi="Times New Roman" w:cs="Times New Roman"/>
          <w:sz w:val="24"/>
          <w:szCs w:val="24"/>
        </w:rPr>
        <w:footnoteReference w:id="26"/>
      </w:r>
    </w:p>
    <w:p w14:paraId="69D70475" w14:textId="509A9D87" w:rsidR="007B2BDC" w:rsidRPr="00D22649" w:rsidRDefault="001C538E"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F25331" w:rsidRPr="00D22649">
        <w:rPr>
          <w:rFonts w:ascii="Times New Roman" w:hAnsi="Times New Roman" w:cs="Times New Roman"/>
          <w:sz w:val="24"/>
          <w:szCs w:val="24"/>
        </w:rPr>
        <w:t xml:space="preserve">By the standard human rights </w:t>
      </w:r>
      <w:proofErr w:type="gramStart"/>
      <w:r w:rsidR="00F25331" w:rsidRPr="00D22649">
        <w:rPr>
          <w:rFonts w:ascii="Times New Roman" w:hAnsi="Times New Roman" w:cs="Times New Roman"/>
          <w:sz w:val="24"/>
          <w:szCs w:val="24"/>
        </w:rPr>
        <w:t>framework</w:t>
      </w:r>
      <w:proofErr w:type="gramEnd"/>
      <w:r w:rsidR="00F25331" w:rsidRPr="00D22649">
        <w:rPr>
          <w:rFonts w:ascii="Times New Roman" w:hAnsi="Times New Roman" w:cs="Times New Roman"/>
          <w:sz w:val="24"/>
          <w:szCs w:val="24"/>
        </w:rPr>
        <w:t xml:space="preserve"> I refer to the state-centred natured of all human rights treaties, embedded a</w:t>
      </w:r>
      <w:r>
        <w:rPr>
          <w:rFonts w:ascii="Times New Roman" w:hAnsi="Times New Roman" w:cs="Times New Roman"/>
          <w:sz w:val="24"/>
          <w:szCs w:val="24"/>
        </w:rPr>
        <w:t>s</w:t>
      </w:r>
      <w:r w:rsidR="00F25331" w:rsidRPr="00D22649">
        <w:rPr>
          <w:rFonts w:ascii="Times New Roman" w:hAnsi="Times New Roman" w:cs="Times New Roman"/>
          <w:sz w:val="24"/>
          <w:szCs w:val="24"/>
        </w:rPr>
        <w:t xml:space="preserve"> they are in the structures of International Law. </w:t>
      </w:r>
      <w:r w:rsidR="00AF689D" w:rsidRPr="00D22649">
        <w:rPr>
          <w:rFonts w:ascii="Times New Roman" w:hAnsi="Times New Roman" w:cs="Times New Roman"/>
          <w:sz w:val="24"/>
          <w:szCs w:val="24"/>
        </w:rPr>
        <w:t xml:space="preserve"> </w:t>
      </w:r>
      <w:r w:rsidR="007B2BDC" w:rsidRPr="00D22649">
        <w:rPr>
          <w:rFonts w:ascii="Times New Roman" w:hAnsi="Times New Roman" w:cs="Times New Roman"/>
          <w:sz w:val="24"/>
          <w:szCs w:val="24"/>
        </w:rPr>
        <w:t xml:space="preserve">CEDAW was forged through formal legal processes.  Its creators were not terribly ambitious for it and it is clearly a constricted instrument.  </w:t>
      </w:r>
      <w:r w:rsidR="00F25331" w:rsidRPr="00D22649">
        <w:rPr>
          <w:rFonts w:ascii="Times New Roman" w:hAnsi="Times New Roman" w:cs="Times New Roman"/>
          <w:sz w:val="24"/>
          <w:szCs w:val="24"/>
        </w:rPr>
        <w:t>CEDAW adopts a minimalist liberal agenda, focussing, its name suggest</w:t>
      </w:r>
      <w:r w:rsidR="00AF689D" w:rsidRPr="00D22649">
        <w:rPr>
          <w:rFonts w:ascii="Times New Roman" w:hAnsi="Times New Roman" w:cs="Times New Roman"/>
          <w:sz w:val="24"/>
          <w:szCs w:val="24"/>
        </w:rPr>
        <w:t>s</w:t>
      </w:r>
      <w:r w:rsidR="00F25331" w:rsidRPr="00D22649">
        <w:rPr>
          <w:rFonts w:ascii="Times New Roman" w:hAnsi="Times New Roman" w:cs="Times New Roman"/>
          <w:sz w:val="24"/>
          <w:szCs w:val="24"/>
        </w:rPr>
        <w:t xml:space="preserve">, primarily on the equality of men and women.  </w:t>
      </w:r>
      <w:r w:rsidR="000B55C1" w:rsidRPr="00D22649">
        <w:rPr>
          <w:rFonts w:ascii="Times New Roman" w:hAnsi="Times New Roman" w:cs="Times New Roman"/>
          <w:sz w:val="24"/>
          <w:szCs w:val="24"/>
        </w:rPr>
        <w:t>It there</w:t>
      </w:r>
      <w:r w:rsidR="002A473E" w:rsidRPr="00D22649">
        <w:rPr>
          <w:rFonts w:ascii="Times New Roman" w:hAnsi="Times New Roman" w:cs="Times New Roman"/>
          <w:sz w:val="24"/>
          <w:szCs w:val="24"/>
        </w:rPr>
        <w:t>fore</w:t>
      </w:r>
      <w:r w:rsidR="000B55C1" w:rsidRPr="00D22649">
        <w:rPr>
          <w:rFonts w:ascii="Times New Roman" w:hAnsi="Times New Roman" w:cs="Times New Roman"/>
          <w:sz w:val="24"/>
          <w:szCs w:val="24"/>
        </w:rPr>
        <w:t xml:space="preserve"> seems to be stating the obvious to say that CEDAW has a place at the centre of human rights power.</w:t>
      </w:r>
    </w:p>
    <w:p w14:paraId="4E194140" w14:textId="178351B2" w:rsidR="00F25331" w:rsidRPr="00D22649" w:rsidRDefault="001C538E"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F25331" w:rsidRPr="00D22649">
        <w:rPr>
          <w:rFonts w:ascii="Times New Roman" w:hAnsi="Times New Roman" w:cs="Times New Roman"/>
          <w:sz w:val="24"/>
          <w:szCs w:val="24"/>
        </w:rPr>
        <w:t>On the other hand, CEDAW also encapsulates counter-hegemonic values that potentially present a challenge to the standard human rights framework: it acknowledges diversity (for example, in its reference to rural women)</w:t>
      </w:r>
      <w:r w:rsidR="00EA145D" w:rsidRPr="00D22649">
        <w:rPr>
          <w:rFonts w:ascii="Times New Roman" w:hAnsi="Times New Roman" w:cs="Times New Roman"/>
          <w:sz w:val="24"/>
          <w:szCs w:val="24"/>
        </w:rPr>
        <w:t>;</w:t>
      </w:r>
      <w:r w:rsidR="00F25331" w:rsidRPr="00D22649">
        <w:rPr>
          <w:rFonts w:ascii="Times New Roman" w:hAnsi="Times New Roman" w:cs="Times New Roman"/>
          <w:sz w:val="24"/>
          <w:szCs w:val="24"/>
        </w:rPr>
        <w:t xml:space="preserve"> it locates human rights and discrim</w:t>
      </w:r>
      <w:r w:rsidR="00EA145D" w:rsidRPr="00D22649">
        <w:rPr>
          <w:rFonts w:ascii="Times New Roman" w:hAnsi="Times New Roman" w:cs="Times New Roman"/>
          <w:sz w:val="24"/>
          <w:szCs w:val="24"/>
        </w:rPr>
        <w:t>ination with</w:t>
      </w:r>
      <w:r w:rsidR="00173F32" w:rsidRPr="00D22649">
        <w:rPr>
          <w:rFonts w:ascii="Times New Roman" w:hAnsi="Times New Roman" w:cs="Times New Roman"/>
          <w:sz w:val="24"/>
          <w:szCs w:val="24"/>
        </w:rPr>
        <w:t>in</w:t>
      </w:r>
      <w:r w:rsidR="00EA145D" w:rsidRPr="00D22649">
        <w:rPr>
          <w:rFonts w:ascii="Times New Roman" w:hAnsi="Times New Roman" w:cs="Times New Roman"/>
          <w:sz w:val="24"/>
          <w:szCs w:val="24"/>
        </w:rPr>
        <w:t xml:space="preserve"> a cultural context;</w:t>
      </w:r>
      <w:r w:rsidR="00F25331" w:rsidRPr="00D22649">
        <w:rPr>
          <w:rFonts w:ascii="Times New Roman" w:hAnsi="Times New Roman" w:cs="Times New Roman"/>
          <w:sz w:val="24"/>
          <w:szCs w:val="24"/>
        </w:rPr>
        <w:t xml:space="preserve"> it adopts an expansive approach to rights that recogni</w:t>
      </w:r>
      <w:r>
        <w:rPr>
          <w:rFonts w:ascii="Times New Roman" w:hAnsi="Times New Roman" w:cs="Times New Roman"/>
          <w:sz w:val="24"/>
          <w:szCs w:val="24"/>
        </w:rPr>
        <w:t>z</w:t>
      </w:r>
      <w:r w:rsidR="00F25331" w:rsidRPr="00D22649">
        <w:rPr>
          <w:rFonts w:ascii="Times New Roman" w:hAnsi="Times New Roman" w:cs="Times New Roman"/>
          <w:sz w:val="24"/>
          <w:szCs w:val="24"/>
        </w:rPr>
        <w:t>es the equal importance of economic, social</w:t>
      </w:r>
      <w:r>
        <w:rPr>
          <w:rFonts w:ascii="Times New Roman" w:hAnsi="Times New Roman" w:cs="Times New Roman"/>
          <w:sz w:val="24"/>
          <w:szCs w:val="24"/>
        </w:rPr>
        <w:t>,</w:t>
      </w:r>
      <w:r w:rsidR="00F25331" w:rsidRPr="00D22649">
        <w:rPr>
          <w:rFonts w:ascii="Times New Roman" w:hAnsi="Times New Roman" w:cs="Times New Roman"/>
          <w:sz w:val="24"/>
          <w:szCs w:val="24"/>
        </w:rPr>
        <w:t xml:space="preserve"> and cultura</w:t>
      </w:r>
      <w:r w:rsidR="00EA145D" w:rsidRPr="00D22649">
        <w:rPr>
          <w:rFonts w:ascii="Times New Roman" w:hAnsi="Times New Roman" w:cs="Times New Roman"/>
          <w:sz w:val="24"/>
          <w:szCs w:val="24"/>
        </w:rPr>
        <w:t>l rights and development rights;</w:t>
      </w:r>
      <w:r w:rsidR="00F25331" w:rsidRPr="00D22649">
        <w:rPr>
          <w:rFonts w:ascii="Times New Roman" w:hAnsi="Times New Roman" w:cs="Times New Roman"/>
          <w:sz w:val="24"/>
          <w:szCs w:val="24"/>
        </w:rPr>
        <w:t xml:space="preserve"> and it further recogni</w:t>
      </w:r>
      <w:r>
        <w:rPr>
          <w:rFonts w:ascii="Times New Roman" w:hAnsi="Times New Roman" w:cs="Times New Roman"/>
          <w:sz w:val="24"/>
          <w:szCs w:val="24"/>
        </w:rPr>
        <w:t>z</w:t>
      </w:r>
      <w:r w:rsidR="00F25331" w:rsidRPr="00D22649">
        <w:rPr>
          <w:rFonts w:ascii="Times New Roman" w:hAnsi="Times New Roman" w:cs="Times New Roman"/>
          <w:sz w:val="24"/>
          <w:szCs w:val="24"/>
        </w:rPr>
        <w:t>es that the empowerment of women necessitates structural reform.  To adopt Reilly’s description of CED</w:t>
      </w:r>
      <w:r w:rsidR="006336DE" w:rsidRPr="00D22649">
        <w:rPr>
          <w:rFonts w:ascii="Times New Roman" w:hAnsi="Times New Roman" w:cs="Times New Roman"/>
          <w:sz w:val="24"/>
          <w:szCs w:val="24"/>
        </w:rPr>
        <w:t>AW’s transformative potential</w:t>
      </w:r>
      <w:r>
        <w:rPr>
          <w:rFonts w:ascii="Times New Roman" w:hAnsi="Times New Roman" w:cs="Times New Roman"/>
          <w:sz w:val="24"/>
          <w:szCs w:val="24"/>
        </w:rPr>
        <w:t>,</w:t>
      </w:r>
      <w:r w:rsidR="006336DE" w:rsidRPr="00D22649">
        <w:rPr>
          <w:rFonts w:ascii="Times New Roman" w:hAnsi="Times New Roman" w:cs="Times New Roman"/>
          <w:sz w:val="24"/>
          <w:szCs w:val="24"/>
        </w:rPr>
        <w:t xml:space="preserve"> ‘</w:t>
      </w:r>
      <w:r w:rsidR="00F25331" w:rsidRPr="00D22649">
        <w:rPr>
          <w:rFonts w:ascii="Times New Roman" w:hAnsi="Times New Roman" w:cs="Times New Roman"/>
          <w:sz w:val="24"/>
          <w:szCs w:val="24"/>
        </w:rPr>
        <w:t>it specifies the conditions for achieving substantive, gender-based equality in all spheres of life in ways that oth</w:t>
      </w:r>
      <w:r w:rsidR="006336DE" w:rsidRPr="00D22649">
        <w:rPr>
          <w:rFonts w:ascii="Times New Roman" w:hAnsi="Times New Roman" w:cs="Times New Roman"/>
          <w:sz w:val="24"/>
          <w:szCs w:val="24"/>
        </w:rPr>
        <w:t>er human rights treaties do not’</w:t>
      </w:r>
      <w:r>
        <w:rPr>
          <w:rFonts w:ascii="Times New Roman" w:hAnsi="Times New Roman" w:cs="Times New Roman"/>
          <w:sz w:val="24"/>
          <w:szCs w:val="24"/>
        </w:rPr>
        <w:t>,</w:t>
      </w:r>
      <w:r w:rsidR="006336DE" w:rsidRPr="00D22649">
        <w:rPr>
          <w:rFonts w:ascii="Times New Roman" w:hAnsi="Times New Roman" w:cs="Times New Roman"/>
          <w:sz w:val="24"/>
          <w:szCs w:val="24"/>
        </w:rPr>
        <w:t xml:space="preserve"> and thus ‘</w:t>
      </w:r>
      <w:r w:rsidR="00F25331" w:rsidRPr="00D22649">
        <w:rPr>
          <w:rFonts w:ascii="Times New Roman" w:hAnsi="Times New Roman" w:cs="Times New Roman"/>
          <w:sz w:val="24"/>
          <w:szCs w:val="24"/>
        </w:rPr>
        <w:t>has the potential to play a very significant role in addressing widening global inequalities and the gender-specific impacts of unchall</w:t>
      </w:r>
      <w:r w:rsidR="006336DE" w:rsidRPr="00D22649">
        <w:rPr>
          <w:rFonts w:ascii="Times New Roman" w:hAnsi="Times New Roman" w:cs="Times New Roman"/>
          <w:sz w:val="24"/>
          <w:szCs w:val="24"/>
        </w:rPr>
        <w:t>enged neo-liberal globalization’</w:t>
      </w:r>
      <w:r w:rsidR="00F25331" w:rsidRPr="00D22649">
        <w:rPr>
          <w:rFonts w:ascii="Times New Roman" w:hAnsi="Times New Roman" w:cs="Times New Roman"/>
          <w:sz w:val="24"/>
          <w:szCs w:val="24"/>
        </w:rPr>
        <w:t>.</w:t>
      </w:r>
      <w:r w:rsidR="00F25331" w:rsidRPr="00D22649">
        <w:rPr>
          <w:rStyle w:val="FootnoteReference"/>
          <w:rFonts w:ascii="Times New Roman" w:hAnsi="Times New Roman" w:cs="Times New Roman"/>
          <w:sz w:val="24"/>
          <w:szCs w:val="24"/>
        </w:rPr>
        <w:footnoteReference w:id="27"/>
      </w:r>
      <w:r w:rsidR="00F25331" w:rsidRPr="00D22649">
        <w:rPr>
          <w:rFonts w:ascii="Times New Roman" w:hAnsi="Times New Roman" w:cs="Times New Roman"/>
          <w:sz w:val="24"/>
          <w:szCs w:val="24"/>
        </w:rPr>
        <w:t xml:space="preserve">  Much of this potential, I suggest, stems from CEDAW’s partial positioning at the periphery, where space for radical</w:t>
      </w:r>
      <w:r w:rsidR="00181B78" w:rsidRPr="00D22649">
        <w:rPr>
          <w:rFonts w:ascii="Times New Roman" w:hAnsi="Times New Roman" w:cs="Times New Roman"/>
          <w:sz w:val="24"/>
          <w:szCs w:val="24"/>
        </w:rPr>
        <w:t>ly</w:t>
      </w:r>
      <w:r w:rsidR="00F25331" w:rsidRPr="00D22649">
        <w:rPr>
          <w:rFonts w:ascii="Times New Roman" w:hAnsi="Times New Roman" w:cs="Times New Roman"/>
          <w:sz w:val="24"/>
          <w:szCs w:val="24"/>
        </w:rPr>
        <w:t xml:space="preserve"> re-shaping rights is more plentiful.</w:t>
      </w:r>
    </w:p>
    <w:p w14:paraId="3B58AAD7" w14:textId="3F9FDD57" w:rsidR="00F25331" w:rsidRPr="00D22649" w:rsidRDefault="001C538E"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F25331" w:rsidRPr="00D22649">
        <w:rPr>
          <w:rFonts w:ascii="Times New Roman" w:hAnsi="Times New Roman" w:cs="Times New Roman"/>
          <w:sz w:val="24"/>
          <w:szCs w:val="24"/>
        </w:rPr>
        <w:t xml:space="preserve">CEDAW is certainly at the periphery of international human rights in a number of respects, and the charge that it is a second-class treaty is in many ways irresistible.  It is hampered in its work by a number of factors.  Not least of these factors is the ambiguous language in which CEDAW’s guarantees are expressed.  Article 2, for example, enjoins </w:t>
      </w:r>
      <w:r>
        <w:rPr>
          <w:rFonts w:ascii="Times New Roman" w:hAnsi="Times New Roman" w:cs="Times New Roman"/>
          <w:sz w:val="24"/>
          <w:szCs w:val="24"/>
        </w:rPr>
        <w:t>s</w:t>
      </w:r>
      <w:r w:rsidR="00F25331" w:rsidRPr="00D22649">
        <w:rPr>
          <w:rFonts w:ascii="Times New Roman" w:hAnsi="Times New Roman" w:cs="Times New Roman"/>
          <w:sz w:val="24"/>
          <w:szCs w:val="24"/>
        </w:rPr>
        <w:t>tate</w:t>
      </w:r>
      <w:r>
        <w:rPr>
          <w:rFonts w:ascii="Times New Roman" w:hAnsi="Times New Roman" w:cs="Times New Roman"/>
          <w:sz w:val="24"/>
          <w:szCs w:val="24"/>
        </w:rPr>
        <w:t>s</w:t>
      </w:r>
      <w:r w:rsidR="00F25331" w:rsidRPr="00D22649">
        <w:rPr>
          <w:rFonts w:ascii="Times New Roman" w:hAnsi="Times New Roman" w:cs="Times New Roman"/>
          <w:sz w:val="24"/>
          <w:szCs w:val="24"/>
        </w:rPr>
        <w:t xml:space="preserve"> parties to </w:t>
      </w:r>
      <w:r w:rsidR="005273D6" w:rsidRPr="00D22649">
        <w:rPr>
          <w:rFonts w:ascii="Times New Roman" w:hAnsi="Times New Roman" w:cs="Times New Roman"/>
          <w:sz w:val="24"/>
          <w:szCs w:val="24"/>
        </w:rPr>
        <w:t>‘</w:t>
      </w:r>
      <w:r w:rsidR="00F25331" w:rsidRPr="00D22649">
        <w:rPr>
          <w:rFonts w:ascii="Times New Roman" w:hAnsi="Times New Roman" w:cs="Times New Roman"/>
          <w:sz w:val="24"/>
          <w:szCs w:val="24"/>
        </w:rPr>
        <w:t>to pursue by all appropriate means and without delay a policy of eliminati</w:t>
      </w:r>
      <w:r w:rsidR="005273D6" w:rsidRPr="00D22649">
        <w:rPr>
          <w:rFonts w:ascii="Times New Roman" w:hAnsi="Times New Roman" w:cs="Times New Roman"/>
          <w:sz w:val="24"/>
          <w:szCs w:val="24"/>
        </w:rPr>
        <w:t>ng discrimination against women’</w:t>
      </w:r>
      <w:r w:rsidR="00F25331" w:rsidRPr="00D22649">
        <w:rPr>
          <w:rFonts w:ascii="Times New Roman" w:hAnsi="Times New Roman" w:cs="Times New Roman"/>
          <w:sz w:val="24"/>
          <w:szCs w:val="24"/>
        </w:rPr>
        <w:t>.  This fails to match the clarity and precision in which other human righ</w:t>
      </w:r>
      <w:r w:rsidR="00EA145D" w:rsidRPr="00D22649">
        <w:rPr>
          <w:rFonts w:ascii="Times New Roman" w:hAnsi="Times New Roman" w:cs="Times New Roman"/>
          <w:sz w:val="24"/>
          <w:szCs w:val="24"/>
        </w:rPr>
        <w:t>ts instruments are expressed.  As I have detailed above, i</w:t>
      </w:r>
      <w:r w:rsidR="00F25331" w:rsidRPr="00D22649">
        <w:rPr>
          <w:rFonts w:ascii="Times New Roman" w:hAnsi="Times New Roman" w:cs="Times New Roman"/>
          <w:sz w:val="24"/>
          <w:szCs w:val="24"/>
        </w:rPr>
        <w:t xml:space="preserve">t </w:t>
      </w:r>
      <w:r w:rsidR="00403621" w:rsidRPr="00D22649">
        <w:rPr>
          <w:rFonts w:ascii="Times New Roman" w:hAnsi="Times New Roman" w:cs="Times New Roman"/>
          <w:sz w:val="24"/>
          <w:szCs w:val="24"/>
        </w:rPr>
        <w:t>was initially</w:t>
      </w:r>
      <w:r w:rsidR="00F25331" w:rsidRPr="00D22649">
        <w:rPr>
          <w:rFonts w:ascii="Times New Roman" w:hAnsi="Times New Roman" w:cs="Times New Roman"/>
          <w:sz w:val="24"/>
          <w:szCs w:val="24"/>
        </w:rPr>
        <w:t xml:space="preserve"> saddled with relatively weak enforcement mechanisms.  CEDAW’s peripheral position is also indicated by poor compliance with those enforcement mechanisms that exist. </w:t>
      </w:r>
      <w:r w:rsidR="00EA145D" w:rsidRPr="00D22649">
        <w:rPr>
          <w:rFonts w:ascii="Times New Roman" w:hAnsi="Times New Roman" w:cs="Times New Roman"/>
          <w:sz w:val="24"/>
          <w:szCs w:val="24"/>
        </w:rPr>
        <w:t xml:space="preserve"> As</w:t>
      </w:r>
      <w:r w:rsidR="00F25331" w:rsidRPr="00D22649">
        <w:rPr>
          <w:rFonts w:ascii="Times New Roman" w:hAnsi="Times New Roman" w:cs="Times New Roman"/>
          <w:sz w:val="24"/>
          <w:szCs w:val="24"/>
        </w:rPr>
        <w:t xml:space="preserve"> one of the most heavily reserved against of the UN’s core human rights treaties, </w:t>
      </w:r>
      <w:r w:rsidR="00EA145D" w:rsidRPr="00D22649">
        <w:rPr>
          <w:rFonts w:ascii="Times New Roman" w:hAnsi="Times New Roman" w:cs="Times New Roman"/>
          <w:sz w:val="24"/>
          <w:szCs w:val="24"/>
        </w:rPr>
        <w:t xml:space="preserve">CEDAW’s normative impact is </w:t>
      </w:r>
      <w:r w:rsidR="00F25331" w:rsidRPr="00D22649">
        <w:rPr>
          <w:rFonts w:ascii="Times New Roman" w:hAnsi="Times New Roman" w:cs="Times New Roman"/>
          <w:sz w:val="24"/>
          <w:szCs w:val="24"/>
        </w:rPr>
        <w:t xml:space="preserve">greatly </w:t>
      </w:r>
      <w:r w:rsidR="00EA145D" w:rsidRPr="00D22649">
        <w:rPr>
          <w:rFonts w:ascii="Times New Roman" w:hAnsi="Times New Roman" w:cs="Times New Roman"/>
          <w:sz w:val="24"/>
          <w:szCs w:val="24"/>
        </w:rPr>
        <w:t>reduced</w:t>
      </w:r>
      <w:r w:rsidR="00F25331" w:rsidRPr="00D22649">
        <w:rPr>
          <w:rFonts w:ascii="Times New Roman" w:hAnsi="Times New Roman" w:cs="Times New Roman"/>
          <w:sz w:val="24"/>
          <w:szCs w:val="24"/>
        </w:rPr>
        <w:t xml:space="preserve">: States have seemed to take for granted the ‘pick and mix’ nature of its substantive content. </w:t>
      </w:r>
      <w:r w:rsidR="00AD3698" w:rsidRPr="00D22649">
        <w:rPr>
          <w:rFonts w:ascii="Times New Roman" w:hAnsi="Times New Roman" w:cs="Times New Roman"/>
          <w:sz w:val="24"/>
          <w:szCs w:val="24"/>
        </w:rPr>
        <w:t xml:space="preserve"> </w:t>
      </w:r>
      <w:r w:rsidR="00F25331" w:rsidRPr="00D22649">
        <w:rPr>
          <w:rFonts w:ascii="Times New Roman" w:hAnsi="Times New Roman" w:cs="Times New Roman"/>
          <w:sz w:val="24"/>
          <w:szCs w:val="24"/>
        </w:rPr>
        <w:t>And in case there was any danger of the point being missed, the Committee’s isolation from the mainstream was dramatically underlined by the decision, not reversed until 2008, to locate it in New York, away from the UN’s human rights nerve-centre in Geneva</w:t>
      </w:r>
      <w:r w:rsidR="00E651B8" w:rsidRPr="00D22649">
        <w:rPr>
          <w:rFonts w:ascii="Times New Roman" w:hAnsi="Times New Roman" w:cs="Times New Roman"/>
          <w:sz w:val="24"/>
          <w:szCs w:val="24"/>
        </w:rPr>
        <w:t>, where it was cut</w:t>
      </w:r>
      <w:r>
        <w:rPr>
          <w:rFonts w:ascii="Times New Roman" w:hAnsi="Times New Roman" w:cs="Times New Roman"/>
          <w:sz w:val="24"/>
          <w:szCs w:val="24"/>
        </w:rPr>
        <w:t xml:space="preserve"> </w:t>
      </w:r>
      <w:r w:rsidR="00E651B8" w:rsidRPr="00D22649">
        <w:rPr>
          <w:rFonts w:ascii="Times New Roman" w:hAnsi="Times New Roman" w:cs="Times New Roman"/>
          <w:sz w:val="24"/>
          <w:szCs w:val="24"/>
        </w:rPr>
        <w:t xml:space="preserve">off from other </w:t>
      </w:r>
      <w:r>
        <w:rPr>
          <w:rFonts w:ascii="Times New Roman" w:hAnsi="Times New Roman" w:cs="Times New Roman"/>
          <w:sz w:val="24"/>
          <w:szCs w:val="24"/>
        </w:rPr>
        <w:t>‘</w:t>
      </w:r>
      <w:r w:rsidR="00E651B8" w:rsidRPr="00D22649">
        <w:rPr>
          <w:rFonts w:ascii="Times New Roman" w:hAnsi="Times New Roman" w:cs="Times New Roman"/>
          <w:sz w:val="24"/>
          <w:szCs w:val="24"/>
        </w:rPr>
        <w:t xml:space="preserve">human rights bodies </w:t>
      </w:r>
      <w:r w:rsidR="00D86C23" w:rsidRPr="00D22649">
        <w:rPr>
          <w:rFonts w:ascii="Times New Roman" w:hAnsi="Times New Roman" w:cs="Times New Roman"/>
          <w:sz w:val="24"/>
          <w:szCs w:val="24"/>
        </w:rPr>
        <w:t>in physical as well as conceptual terms</w:t>
      </w:r>
      <w:r>
        <w:rPr>
          <w:rFonts w:ascii="Times New Roman" w:hAnsi="Times New Roman" w:cs="Times New Roman"/>
          <w:sz w:val="24"/>
          <w:szCs w:val="24"/>
        </w:rPr>
        <w:t>’</w:t>
      </w:r>
      <w:r w:rsidR="00D86C23" w:rsidRPr="00D22649">
        <w:rPr>
          <w:rFonts w:ascii="Times New Roman" w:hAnsi="Times New Roman" w:cs="Times New Roman"/>
          <w:sz w:val="24"/>
          <w:szCs w:val="24"/>
        </w:rPr>
        <w:t>.</w:t>
      </w:r>
      <w:r w:rsidR="009957CD" w:rsidRPr="00D22649">
        <w:rPr>
          <w:rStyle w:val="FootnoteReference"/>
          <w:rFonts w:ascii="Times New Roman" w:hAnsi="Times New Roman" w:cs="Times New Roman"/>
          <w:sz w:val="24"/>
          <w:szCs w:val="24"/>
        </w:rPr>
        <w:footnoteReference w:id="28"/>
      </w:r>
    </w:p>
    <w:p w14:paraId="0EF0BFB1" w14:textId="77777777" w:rsidR="00F25331" w:rsidRPr="00D22649" w:rsidRDefault="001C538E"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AD3698" w:rsidRPr="00D22649">
        <w:rPr>
          <w:rFonts w:ascii="Times New Roman" w:hAnsi="Times New Roman" w:cs="Times New Roman"/>
          <w:sz w:val="24"/>
          <w:szCs w:val="24"/>
        </w:rPr>
        <w:t>T</w:t>
      </w:r>
      <w:r w:rsidR="00F25331" w:rsidRPr="00D22649">
        <w:rPr>
          <w:rFonts w:ascii="Times New Roman" w:hAnsi="Times New Roman" w:cs="Times New Roman"/>
          <w:sz w:val="24"/>
          <w:szCs w:val="24"/>
        </w:rPr>
        <w:t xml:space="preserve">he description of CEDAW as a peripheral instrument clearly has some </w:t>
      </w:r>
      <w:r w:rsidR="00AD3698" w:rsidRPr="00D22649">
        <w:rPr>
          <w:rFonts w:ascii="Times New Roman" w:hAnsi="Times New Roman" w:cs="Times New Roman"/>
          <w:sz w:val="24"/>
          <w:szCs w:val="24"/>
        </w:rPr>
        <w:t>merit</w:t>
      </w:r>
      <w:r w:rsidR="00F25331" w:rsidRPr="00D22649">
        <w:rPr>
          <w:rFonts w:ascii="Times New Roman" w:hAnsi="Times New Roman" w:cs="Times New Roman"/>
          <w:sz w:val="24"/>
          <w:szCs w:val="24"/>
        </w:rPr>
        <w:t>.  Yet, this is</w:t>
      </w:r>
      <w:r w:rsidR="00AD3698" w:rsidRPr="00D22649">
        <w:rPr>
          <w:rFonts w:ascii="Times New Roman" w:hAnsi="Times New Roman" w:cs="Times New Roman"/>
          <w:sz w:val="24"/>
          <w:szCs w:val="24"/>
        </w:rPr>
        <w:t xml:space="preserve"> not to suggest that </w:t>
      </w:r>
      <w:r w:rsidR="00184E38" w:rsidRPr="00D22649">
        <w:rPr>
          <w:rFonts w:ascii="Times New Roman" w:hAnsi="Times New Roman" w:cs="Times New Roman"/>
          <w:sz w:val="24"/>
          <w:szCs w:val="24"/>
        </w:rPr>
        <w:t>it can be</w:t>
      </w:r>
      <w:r w:rsidR="00AD3698" w:rsidRPr="00D22649">
        <w:rPr>
          <w:rFonts w:ascii="Times New Roman" w:hAnsi="Times New Roman" w:cs="Times New Roman"/>
          <w:sz w:val="24"/>
          <w:szCs w:val="24"/>
        </w:rPr>
        <w:t xml:space="preserve"> </w:t>
      </w:r>
      <w:r w:rsidR="00184E38" w:rsidRPr="00D22649">
        <w:rPr>
          <w:rFonts w:ascii="Times New Roman" w:hAnsi="Times New Roman" w:cs="Times New Roman"/>
          <w:sz w:val="24"/>
          <w:szCs w:val="24"/>
        </w:rPr>
        <w:t xml:space="preserve">dismissed </w:t>
      </w:r>
      <w:r w:rsidR="00F25331" w:rsidRPr="00D22649">
        <w:rPr>
          <w:rFonts w:ascii="Times New Roman" w:hAnsi="Times New Roman" w:cs="Times New Roman"/>
          <w:sz w:val="24"/>
          <w:szCs w:val="24"/>
        </w:rPr>
        <w:t xml:space="preserve">as </w:t>
      </w:r>
      <w:r w:rsidR="00AD3698" w:rsidRPr="00D22649">
        <w:rPr>
          <w:rFonts w:ascii="Times New Roman" w:hAnsi="Times New Roman" w:cs="Times New Roman"/>
          <w:sz w:val="24"/>
          <w:szCs w:val="24"/>
        </w:rPr>
        <w:t xml:space="preserve">an </w:t>
      </w:r>
      <w:r w:rsidR="00F25331" w:rsidRPr="00D22649">
        <w:rPr>
          <w:rFonts w:ascii="Times New Roman" w:hAnsi="Times New Roman" w:cs="Times New Roman"/>
          <w:sz w:val="24"/>
          <w:szCs w:val="24"/>
        </w:rPr>
        <w:t>unimportant</w:t>
      </w:r>
      <w:r w:rsidR="00AD3698" w:rsidRPr="00D22649">
        <w:rPr>
          <w:rFonts w:ascii="Times New Roman" w:hAnsi="Times New Roman" w:cs="Times New Roman"/>
          <w:sz w:val="24"/>
          <w:szCs w:val="24"/>
        </w:rPr>
        <w:t xml:space="preserve"> instrument</w:t>
      </w:r>
      <w:r w:rsidR="00F25331" w:rsidRPr="00D22649">
        <w:rPr>
          <w:rFonts w:ascii="Times New Roman" w:hAnsi="Times New Roman" w:cs="Times New Roman"/>
          <w:sz w:val="24"/>
          <w:szCs w:val="24"/>
        </w:rPr>
        <w:t>; rather,</w:t>
      </w:r>
      <w:r w:rsidR="00AD3698" w:rsidRPr="00D22649">
        <w:rPr>
          <w:rFonts w:ascii="Times New Roman" w:hAnsi="Times New Roman" w:cs="Times New Roman"/>
          <w:sz w:val="24"/>
          <w:szCs w:val="24"/>
        </w:rPr>
        <w:t xml:space="preserve"> concerted</w:t>
      </w:r>
      <w:r w:rsidR="00F25331" w:rsidRPr="00D22649">
        <w:rPr>
          <w:rFonts w:ascii="Times New Roman" w:hAnsi="Times New Roman" w:cs="Times New Roman"/>
          <w:sz w:val="24"/>
          <w:szCs w:val="24"/>
        </w:rPr>
        <w:t xml:space="preserve"> efforts to </w:t>
      </w:r>
      <w:r w:rsidR="00AD3698" w:rsidRPr="00D22649">
        <w:rPr>
          <w:rFonts w:ascii="Times New Roman" w:hAnsi="Times New Roman" w:cs="Times New Roman"/>
          <w:sz w:val="24"/>
          <w:szCs w:val="24"/>
        </w:rPr>
        <w:t>keep</w:t>
      </w:r>
      <w:r w:rsidR="00F25331" w:rsidRPr="00D22649">
        <w:rPr>
          <w:rFonts w:ascii="Times New Roman" w:hAnsi="Times New Roman" w:cs="Times New Roman"/>
          <w:sz w:val="24"/>
          <w:szCs w:val="24"/>
        </w:rPr>
        <w:t xml:space="preserve"> CEDAW in a peripheral position are more likely to be a fearful response to its radical potential.</w:t>
      </w:r>
      <w:r w:rsidR="00AD3698" w:rsidRPr="00D22649">
        <w:rPr>
          <w:rFonts w:ascii="Times New Roman" w:hAnsi="Times New Roman" w:cs="Times New Roman"/>
          <w:sz w:val="24"/>
          <w:szCs w:val="24"/>
        </w:rPr>
        <w:t xml:space="preserve"> </w:t>
      </w:r>
      <w:r w:rsidR="00F25331" w:rsidRPr="00D22649">
        <w:rPr>
          <w:rFonts w:ascii="Times New Roman" w:hAnsi="Times New Roman" w:cs="Times New Roman"/>
          <w:sz w:val="24"/>
          <w:szCs w:val="24"/>
        </w:rPr>
        <w:t xml:space="preserve"> Roth touches on something important when he writes that CEDAW strives for something other than the core of mainstream human rights:</w:t>
      </w:r>
    </w:p>
    <w:p w14:paraId="44F6B281" w14:textId="77777777" w:rsidR="00F25331" w:rsidRPr="00D22649" w:rsidRDefault="00F25331" w:rsidP="00D22649">
      <w:pPr>
        <w:spacing w:after="0" w:line="360" w:lineRule="auto"/>
        <w:jc w:val="both"/>
        <w:rPr>
          <w:rFonts w:ascii="Times New Roman" w:hAnsi="Times New Roman" w:cs="Times New Roman"/>
          <w:sz w:val="24"/>
          <w:szCs w:val="24"/>
        </w:rPr>
      </w:pPr>
    </w:p>
    <w:p w14:paraId="472AEA76" w14:textId="1661125F" w:rsidR="00F25331" w:rsidRPr="005B6796" w:rsidRDefault="00F25331" w:rsidP="00D22649">
      <w:pPr>
        <w:spacing w:after="0" w:line="360" w:lineRule="auto"/>
        <w:ind w:left="720"/>
        <w:jc w:val="both"/>
        <w:rPr>
          <w:rFonts w:ascii="Times New Roman" w:hAnsi="Times New Roman" w:cs="Times New Roman"/>
        </w:rPr>
      </w:pPr>
      <w:r w:rsidRPr="005B6796">
        <w:rPr>
          <w:rFonts w:ascii="Times New Roman" w:hAnsi="Times New Roman" w:cs="Times New Roman"/>
        </w:rPr>
        <w:t xml:space="preserve">It represents a quest for </w:t>
      </w:r>
      <w:r w:rsidR="001C538E">
        <w:rPr>
          <w:rFonts w:ascii="Times New Roman" w:hAnsi="Times New Roman" w:cs="Times New Roman"/>
        </w:rPr>
        <w:t>‘</w:t>
      </w:r>
      <w:r w:rsidRPr="005B6796">
        <w:rPr>
          <w:rFonts w:ascii="Times New Roman" w:hAnsi="Times New Roman" w:cs="Times New Roman"/>
        </w:rPr>
        <w:t>positive liberty</w:t>
      </w:r>
      <w:r w:rsidR="001C538E">
        <w:rPr>
          <w:rFonts w:ascii="Times New Roman" w:hAnsi="Times New Roman" w:cs="Times New Roman"/>
        </w:rPr>
        <w:t>’</w:t>
      </w:r>
      <w:r w:rsidRPr="005B6796">
        <w:rPr>
          <w:rFonts w:ascii="Times New Roman" w:hAnsi="Times New Roman" w:cs="Times New Roman"/>
        </w:rPr>
        <w:t xml:space="preserve"> that calls on the State to undertake a project of social transformation informed by a </w:t>
      </w:r>
      <w:r w:rsidR="001C538E">
        <w:rPr>
          <w:rFonts w:ascii="Times New Roman" w:hAnsi="Times New Roman" w:cs="Times New Roman"/>
        </w:rPr>
        <w:t>‘</w:t>
      </w:r>
      <w:r w:rsidRPr="005B6796">
        <w:rPr>
          <w:rFonts w:ascii="Times New Roman" w:hAnsi="Times New Roman" w:cs="Times New Roman"/>
        </w:rPr>
        <w:t>public truth</w:t>
      </w:r>
      <w:r w:rsidR="001C538E">
        <w:rPr>
          <w:rFonts w:ascii="Times New Roman" w:hAnsi="Times New Roman" w:cs="Times New Roman"/>
        </w:rPr>
        <w:t>’</w:t>
      </w:r>
      <w:r w:rsidRPr="005B6796">
        <w:rPr>
          <w:rFonts w:ascii="Times New Roman" w:hAnsi="Times New Roman" w:cs="Times New Roman"/>
        </w:rPr>
        <w:t xml:space="preserve"> about gender relations, a project in tension with main-current liberal commitments to the priority of negative liberty and to the pursuit of a distributive justice that is </w:t>
      </w:r>
      <w:r w:rsidR="001C538E">
        <w:rPr>
          <w:rFonts w:ascii="Times New Roman" w:hAnsi="Times New Roman" w:cs="Times New Roman"/>
        </w:rPr>
        <w:t>‘</w:t>
      </w:r>
      <w:r w:rsidRPr="005B6796">
        <w:rPr>
          <w:rFonts w:ascii="Times New Roman" w:hAnsi="Times New Roman" w:cs="Times New Roman"/>
        </w:rPr>
        <w:t>neutral</w:t>
      </w:r>
      <w:r w:rsidR="001C538E">
        <w:rPr>
          <w:rFonts w:ascii="Times New Roman" w:hAnsi="Times New Roman" w:cs="Times New Roman"/>
        </w:rPr>
        <w:t>’</w:t>
      </w:r>
      <w:r w:rsidRPr="005B6796">
        <w:rPr>
          <w:rFonts w:ascii="Times New Roman" w:hAnsi="Times New Roman" w:cs="Times New Roman"/>
        </w:rPr>
        <w:t xml:space="preserve"> with respect to diverse conceptions of how life ought to be lived.  Viewed in this way, the CEDAW is a more genuinely collectivist – and therefore more provocative – document than many observers appreciate.</w:t>
      </w:r>
      <w:r w:rsidRPr="005B6796">
        <w:rPr>
          <w:rStyle w:val="FootnoteReference"/>
          <w:rFonts w:ascii="Times New Roman" w:hAnsi="Times New Roman" w:cs="Times New Roman"/>
        </w:rPr>
        <w:footnoteReference w:id="29"/>
      </w:r>
    </w:p>
    <w:p w14:paraId="54718469" w14:textId="77777777" w:rsidR="00F25331" w:rsidRPr="005B6796" w:rsidRDefault="00F25331" w:rsidP="00D22649">
      <w:pPr>
        <w:spacing w:after="0" w:line="360" w:lineRule="auto"/>
        <w:jc w:val="both"/>
        <w:rPr>
          <w:rFonts w:ascii="Times New Roman" w:hAnsi="Times New Roman" w:cs="Times New Roman"/>
        </w:rPr>
      </w:pPr>
    </w:p>
    <w:p w14:paraId="21F19E4B" w14:textId="250A8993" w:rsidR="00F25331" w:rsidRPr="00D22649" w:rsidRDefault="00F25331"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Reilly credits CEDAW’s far-reaching provisions and radical potential with generating the mass of </w:t>
      </w:r>
      <w:r w:rsidR="001C538E">
        <w:rPr>
          <w:rFonts w:ascii="Times New Roman" w:hAnsi="Times New Roman" w:cs="Times New Roman"/>
          <w:sz w:val="24"/>
          <w:szCs w:val="24"/>
        </w:rPr>
        <w:t>s</w:t>
      </w:r>
      <w:r w:rsidRPr="00D22649">
        <w:rPr>
          <w:rFonts w:ascii="Times New Roman" w:hAnsi="Times New Roman" w:cs="Times New Roman"/>
          <w:sz w:val="24"/>
          <w:szCs w:val="24"/>
        </w:rPr>
        <w:t>tate resistance to its normative values and its effective implementation.</w:t>
      </w:r>
      <w:r w:rsidRPr="00D22649">
        <w:rPr>
          <w:rStyle w:val="FootnoteReference"/>
          <w:rFonts w:ascii="Times New Roman" w:hAnsi="Times New Roman" w:cs="Times New Roman"/>
          <w:sz w:val="24"/>
          <w:szCs w:val="24"/>
        </w:rPr>
        <w:footnoteReference w:id="30"/>
      </w:r>
      <w:r w:rsidRPr="00D22649">
        <w:rPr>
          <w:rFonts w:ascii="Times New Roman" w:hAnsi="Times New Roman" w:cs="Times New Roman"/>
          <w:sz w:val="24"/>
          <w:szCs w:val="24"/>
        </w:rPr>
        <w:t xml:space="preserve">  Yet it is </w:t>
      </w:r>
      <w:r w:rsidRPr="00D22649">
        <w:rPr>
          <w:rFonts w:ascii="Times New Roman" w:hAnsi="Times New Roman" w:cs="Times New Roman"/>
          <w:sz w:val="24"/>
          <w:szCs w:val="24"/>
        </w:rPr>
        <w:lastRenderedPageBreak/>
        <w:t xml:space="preserve">clearly stretching a point to suggest that CEDAW is permanently located on the radical fringe of human rights or even women’s rights.  Rather, the instrument has a particularly potent </w:t>
      </w:r>
      <w:r w:rsidR="00F73062" w:rsidRPr="00D22649">
        <w:rPr>
          <w:rFonts w:ascii="Times New Roman" w:hAnsi="Times New Roman" w:cs="Times New Roman"/>
          <w:sz w:val="24"/>
          <w:szCs w:val="24"/>
        </w:rPr>
        <w:t xml:space="preserve">transformative </w:t>
      </w:r>
      <w:r w:rsidRPr="00D22649">
        <w:rPr>
          <w:rFonts w:ascii="Times New Roman" w:hAnsi="Times New Roman" w:cs="Times New Roman"/>
          <w:sz w:val="24"/>
          <w:szCs w:val="24"/>
        </w:rPr>
        <w:t xml:space="preserve">potential, I </w:t>
      </w:r>
      <w:r w:rsidR="007B2BDC" w:rsidRPr="00D22649">
        <w:rPr>
          <w:rFonts w:ascii="Times New Roman" w:hAnsi="Times New Roman" w:cs="Times New Roman"/>
          <w:sz w:val="24"/>
          <w:szCs w:val="24"/>
        </w:rPr>
        <w:t>suggest</w:t>
      </w:r>
      <w:r w:rsidRPr="00D22649">
        <w:rPr>
          <w:rFonts w:ascii="Times New Roman" w:hAnsi="Times New Roman" w:cs="Times New Roman"/>
          <w:sz w:val="24"/>
          <w:szCs w:val="24"/>
        </w:rPr>
        <w:t xml:space="preserve">, because it is capable of shifting fluidly between the human rights centre and the periphery.  </w:t>
      </w:r>
    </w:p>
    <w:p w14:paraId="6AE7081A" w14:textId="6DC5ADFF" w:rsidR="00F25331" w:rsidRPr="00D22649" w:rsidRDefault="001C538E"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F25331" w:rsidRPr="00D22649">
        <w:rPr>
          <w:rFonts w:ascii="Times New Roman" w:hAnsi="Times New Roman" w:cs="Times New Roman"/>
          <w:sz w:val="24"/>
          <w:szCs w:val="24"/>
        </w:rPr>
        <w:t xml:space="preserve">While one function of the Optional Protocol is certainly to place CEDAW on a par with other treaties in terms of enforcement, this is </w:t>
      </w:r>
      <w:r w:rsidR="00DD41F0" w:rsidRPr="00D22649">
        <w:rPr>
          <w:rFonts w:ascii="Times New Roman" w:hAnsi="Times New Roman" w:cs="Times New Roman"/>
          <w:sz w:val="24"/>
          <w:szCs w:val="24"/>
        </w:rPr>
        <w:t>clearly not its sole purpose</w:t>
      </w:r>
      <w:r w:rsidR="00F25331" w:rsidRPr="00D22649">
        <w:rPr>
          <w:rFonts w:ascii="Times New Roman" w:hAnsi="Times New Roman" w:cs="Times New Roman"/>
          <w:sz w:val="24"/>
          <w:szCs w:val="24"/>
        </w:rPr>
        <w:t>.  My interest lies in the possibility of feminist transformation of rights, which minimi</w:t>
      </w:r>
      <w:r>
        <w:rPr>
          <w:rFonts w:ascii="Times New Roman" w:hAnsi="Times New Roman" w:cs="Times New Roman"/>
          <w:sz w:val="24"/>
          <w:szCs w:val="24"/>
        </w:rPr>
        <w:t>z</w:t>
      </w:r>
      <w:r w:rsidR="00F25331" w:rsidRPr="00D22649">
        <w:rPr>
          <w:rFonts w:ascii="Times New Roman" w:hAnsi="Times New Roman" w:cs="Times New Roman"/>
          <w:sz w:val="24"/>
          <w:szCs w:val="24"/>
        </w:rPr>
        <w:t xml:space="preserve">es my </w:t>
      </w:r>
      <w:r w:rsidR="007B2BDC" w:rsidRPr="00D22649">
        <w:rPr>
          <w:rFonts w:ascii="Times New Roman" w:hAnsi="Times New Roman" w:cs="Times New Roman"/>
          <w:sz w:val="24"/>
          <w:szCs w:val="24"/>
        </w:rPr>
        <w:t>attentiveness</w:t>
      </w:r>
      <w:r w:rsidR="00F25331" w:rsidRPr="00D22649">
        <w:rPr>
          <w:rFonts w:ascii="Times New Roman" w:hAnsi="Times New Roman" w:cs="Times New Roman"/>
          <w:sz w:val="24"/>
          <w:szCs w:val="24"/>
        </w:rPr>
        <w:t xml:space="preserve"> </w:t>
      </w:r>
      <w:r w:rsidR="007B2BDC" w:rsidRPr="00D22649">
        <w:rPr>
          <w:rFonts w:ascii="Times New Roman" w:hAnsi="Times New Roman" w:cs="Times New Roman"/>
          <w:sz w:val="24"/>
          <w:szCs w:val="24"/>
        </w:rPr>
        <w:t>to</w:t>
      </w:r>
      <w:r w:rsidR="00F25331" w:rsidRPr="00D22649">
        <w:rPr>
          <w:rFonts w:ascii="Times New Roman" w:hAnsi="Times New Roman" w:cs="Times New Roman"/>
          <w:sz w:val="24"/>
          <w:szCs w:val="24"/>
        </w:rPr>
        <w:t xml:space="preserve"> the improved enforcement of rights as they currently exist.  As a first step, ‘reali</w:t>
      </w:r>
      <w:r>
        <w:rPr>
          <w:rFonts w:ascii="Times New Roman" w:hAnsi="Times New Roman" w:cs="Times New Roman"/>
          <w:sz w:val="24"/>
          <w:szCs w:val="24"/>
        </w:rPr>
        <w:t>z</w:t>
      </w:r>
      <w:r w:rsidR="00F25331" w:rsidRPr="00D22649">
        <w:rPr>
          <w:rFonts w:ascii="Times New Roman" w:hAnsi="Times New Roman" w:cs="Times New Roman"/>
          <w:sz w:val="24"/>
          <w:szCs w:val="24"/>
        </w:rPr>
        <w:t>ing rights’ requires the articulation of</w:t>
      </w:r>
      <w:r w:rsidR="005273D6" w:rsidRPr="00D22649">
        <w:rPr>
          <w:rFonts w:ascii="Times New Roman" w:hAnsi="Times New Roman" w:cs="Times New Roman"/>
          <w:sz w:val="24"/>
          <w:szCs w:val="24"/>
        </w:rPr>
        <w:t xml:space="preserve"> a demand.  As Roth has noted</w:t>
      </w:r>
      <w:r>
        <w:rPr>
          <w:rFonts w:ascii="Times New Roman" w:hAnsi="Times New Roman" w:cs="Times New Roman"/>
          <w:sz w:val="24"/>
          <w:szCs w:val="24"/>
        </w:rPr>
        <w:t>,</w:t>
      </w:r>
      <w:r w:rsidR="005273D6" w:rsidRPr="00D22649">
        <w:rPr>
          <w:rFonts w:ascii="Times New Roman" w:hAnsi="Times New Roman" w:cs="Times New Roman"/>
          <w:sz w:val="24"/>
          <w:szCs w:val="24"/>
        </w:rPr>
        <w:t xml:space="preserve"> ‘</w:t>
      </w:r>
      <w:r w:rsidR="00F25331" w:rsidRPr="00D22649">
        <w:rPr>
          <w:rFonts w:ascii="Times New Roman" w:hAnsi="Times New Roman" w:cs="Times New Roman"/>
          <w:sz w:val="24"/>
          <w:szCs w:val="24"/>
        </w:rPr>
        <w:t>It may well turn out that measures genuinely necessary to the liberation of women entail costs to other interests and values favored by the international human rights system</w:t>
      </w:r>
      <w:r w:rsidR="005273D6" w:rsidRPr="00D22649">
        <w:rPr>
          <w:rFonts w:ascii="Times New Roman" w:hAnsi="Times New Roman" w:cs="Times New Roman"/>
          <w:sz w:val="24"/>
          <w:szCs w:val="24"/>
        </w:rPr>
        <w:t>’</w:t>
      </w:r>
      <w:r>
        <w:rPr>
          <w:rFonts w:ascii="Times New Roman" w:hAnsi="Times New Roman" w:cs="Times New Roman"/>
          <w:sz w:val="24"/>
          <w:szCs w:val="24"/>
        </w:rPr>
        <w:t>.</w:t>
      </w:r>
      <w:r w:rsidR="00F25331" w:rsidRPr="00D22649">
        <w:rPr>
          <w:rStyle w:val="FootnoteReference"/>
          <w:rFonts w:ascii="Times New Roman" w:hAnsi="Times New Roman" w:cs="Times New Roman"/>
          <w:sz w:val="24"/>
          <w:szCs w:val="24"/>
        </w:rPr>
        <w:footnoteReference w:id="31"/>
      </w:r>
      <w:r w:rsidR="00F25331" w:rsidRPr="00D22649">
        <w:rPr>
          <w:rFonts w:ascii="Times New Roman" w:hAnsi="Times New Roman" w:cs="Times New Roman"/>
          <w:sz w:val="24"/>
          <w:szCs w:val="24"/>
        </w:rPr>
        <w:t xml:space="preserve">  The primary question for many feminist scholars is thus whether normative reconstruction of rights can be achieved from CEDAW’s position of inherent ambiguity.  Is the centre-periphery dynamic inevitably oppressive, or might CEDAW be a channel for transformation of the centre through its engagement with peripheral concerns?  Power moves between the two positions, perhaps sometimes violently, but the periphery is certainly at its most potent when it lays bare the centre’s structural biases.  Most feminists</w:t>
      </w:r>
      <w:r w:rsidR="00A7710E" w:rsidRPr="00D22649">
        <w:rPr>
          <w:rFonts w:ascii="Times New Roman" w:hAnsi="Times New Roman" w:cs="Times New Roman"/>
          <w:sz w:val="24"/>
          <w:szCs w:val="24"/>
        </w:rPr>
        <w:t xml:space="preserve"> agree with Reilly’s view that ‘</w:t>
      </w:r>
      <w:r w:rsidR="00F25331" w:rsidRPr="00D22649">
        <w:rPr>
          <w:rFonts w:ascii="Times New Roman" w:hAnsi="Times New Roman" w:cs="Times New Roman"/>
          <w:sz w:val="24"/>
          <w:szCs w:val="24"/>
        </w:rPr>
        <w:t>building bottom-up transformative approaches to human rights – especially from a gender perspective – requires the deconstruction and redefinition of several entrenched modes of thinking and practice that perpetuate the exclusions of ma</w:t>
      </w:r>
      <w:r w:rsidR="00A7710E" w:rsidRPr="00D22649">
        <w:rPr>
          <w:rFonts w:ascii="Times New Roman" w:hAnsi="Times New Roman" w:cs="Times New Roman"/>
          <w:sz w:val="24"/>
          <w:szCs w:val="24"/>
        </w:rPr>
        <w:t>instream human rights discourse’</w:t>
      </w:r>
      <w:r w:rsidR="00F25331" w:rsidRPr="00D22649">
        <w:rPr>
          <w:rFonts w:ascii="Times New Roman" w:hAnsi="Times New Roman" w:cs="Times New Roman"/>
          <w:sz w:val="24"/>
          <w:szCs w:val="24"/>
        </w:rPr>
        <w:t>.</w:t>
      </w:r>
      <w:r w:rsidR="00F25331" w:rsidRPr="00D22649">
        <w:rPr>
          <w:rStyle w:val="FootnoteReference"/>
          <w:rFonts w:ascii="Times New Roman" w:hAnsi="Times New Roman" w:cs="Times New Roman"/>
          <w:sz w:val="24"/>
          <w:szCs w:val="24"/>
        </w:rPr>
        <w:footnoteReference w:id="32"/>
      </w:r>
      <w:r w:rsidR="00F25331" w:rsidRPr="00D22649">
        <w:rPr>
          <w:rFonts w:ascii="Times New Roman" w:hAnsi="Times New Roman" w:cs="Times New Roman"/>
          <w:sz w:val="24"/>
          <w:szCs w:val="24"/>
        </w:rPr>
        <w:t xml:space="preserve">  CEDAW’s occupation of a liminal space, neither fixed at the centre nor wholly peripheral, while leading to considerable criticism and doubts about its efficacy from those who are anxious about its unstable positioning, might prove to be its very strength. </w:t>
      </w:r>
    </w:p>
    <w:p w14:paraId="66CE5681" w14:textId="77777777" w:rsidR="00276FFA" w:rsidRPr="00D22649" w:rsidRDefault="00276FFA" w:rsidP="00D22649">
      <w:pPr>
        <w:spacing w:after="0" w:line="360" w:lineRule="auto"/>
        <w:jc w:val="both"/>
        <w:rPr>
          <w:rFonts w:ascii="Times New Roman" w:hAnsi="Times New Roman" w:cs="Times New Roman"/>
          <w:sz w:val="24"/>
          <w:szCs w:val="24"/>
        </w:rPr>
      </w:pPr>
    </w:p>
    <w:p w14:paraId="14D976D2" w14:textId="4A43A23B" w:rsidR="009C029B" w:rsidRPr="00D22649" w:rsidRDefault="00FF509A" w:rsidP="00D22649">
      <w:pPr>
        <w:spacing w:after="0" w:line="360" w:lineRule="auto"/>
        <w:jc w:val="both"/>
        <w:rPr>
          <w:rFonts w:ascii="Times New Roman" w:hAnsi="Times New Roman" w:cs="Times New Roman"/>
          <w:b/>
          <w:sz w:val="24"/>
          <w:szCs w:val="24"/>
        </w:rPr>
      </w:pPr>
      <w:r w:rsidRPr="00D22649">
        <w:rPr>
          <w:rFonts w:ascii="Times New Roman" w:hAnsi="Times New Roman" w:cs="Times New Roman"/>
          <w:b/>
          <w:sz w:val="24"/>
          <w:szCs w:val="24"/>
        </w:rPr>
        <w:t>4</w:t>
      </w:r>
      <w:r w:rsidRPr="00D22649">
        <w:rPr>
          <w:rFonts w:ascii="Times New Roman" w:hAnsi="Times New Roman" w:cs="Times New Roman"/>
          <w:b/>
          <w:sz w:val="24"/>
          <w:szCs w:val="24"/>
        </w:rPr>
        <w:tab/>
      </w:r>
      <w:r w:rsidR="00CA6C4D" w:rsidRPr="00D22649">
        <w:rPr>
          <w:rFonts w:ascii="Times New Roman" w:hAnsi="Times New Roman" w:cs="Times New Roman"/>
          <w:b/>
          <w:sz w:val="24"/>
          <w:szCs w:val="24"/>
        </w:rPr>
        <w:t xml:space="preserve">The </w:t>
      </w:r>
      <w:r w:rsidR="009C029B" w:rsidRPr="00D22649">
        <w:rPr>
          <w:rFonts w:ascii="Times New Roman" w:hAnsi="Times New Roman" w:cs="Times New Roman"/>
          <w:b/>
          <w:sz w:val="24"/>
          <w:szCs w:val="24"/>
        </w:rPr>
        <w:t>Case</w:t>
      </w:r>
      <w:r w:rsidR="001C538E">
        <w:rPr>
          <w:rFonts w:ascii="Times New Roman" w:hAnsi="Times New Roman" w:cs="Times New Roman"/>
          <w:b/>
          <w:sz w:val="24"/>
          <w:szCs w:val="24"/>
        </w:rPr>
        <w:t xml:space="preserve"> </w:t>
      </w:r>
      <w:r w:rsidR="009C029B" w:rsidRPr="00D22649">
        <w:rPr>
          <w:rFonts w:ascii="Times New Roman" w:hAnsi="Times New Roman" w:cs="Times New Roman"/>
          <w:b/>
          <w:sz w:val="24"/>
          <w:szCs w:val="24"/>
        </w:rPr>
        <w:t>Law</w:t>
      </w:r>
      <w:r w:rsidR="00CA6C4D" w:rsidRPr="00D22649">
        <w:rPr>
          <w:rFonts w:ascii="Times New Roman" w:hAnsi="Times New Roman" w:cs="Times New Roman"/>
          <w:b/>
          <w:sz w:val="24"/>
          <w:szCs w:val="24"/>
        </w:rPr>
        <w:t xml:space="preserve"> of the Women’s Committee</w:t>
      </w:r>
    </w:p>
    <w:p w14:paraId="7F39A170" w14:textId="3677E081" w:rsidR="00A028AE" w:rsidRDefault="00A028AE"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According to its most recent statistics, the Women’s Committee has now adopted decisions </w:t>
      </w:r>
      <w:r w:rsidR="009D1329" w:rsidRPr="00D22649">
        <w:rPr>
          <w:rFonts w:ascii="Times New Roman" w:hAnsi="Times New Roman" w:cs="Times New Roman"/>
          <w:sz w:val="24"/>
          <w:szCs w:val="24"/>
        </w:rPr>
        <w:t xml:space="preserve">on </w:t>
      </w:r>
      <w:r w:rsidRPr="00D22649">
        <w:rPr>
          <w:rFonts w:ascii="Times New Roman" w:hAnsi="Times New Roman" w:cs="Times New Roman"/>
          <w:sz w:val="24"/>
          <w:szCs w:val="24"/>
        </w:rPr>
        <w:t xml:space="preserve">23 individual communications, 12 of which it declared admissible.  </w:t>
      </w:r>
      <w:r w:rsidR="00171401" w:rsidRPr="00D22649">
        <w:rPr>
          <w:rFonts w:ascii="Times New Roman" w:hAnsi="Times New Roman" w:cs="Times New Roman"/>
          <w:sz w:val="24"/>
          <w:szCs w:val="24"/>
        </w:rPr>
        <w:t>T</w:t>
      </w:r>
      <w:r w:rsidRPr="00D22649">
        <w:rPr>
          <w:rFonts w:ascii="Times New Roman" w:hAnsi="Times New Roman" w:cs="Times New Roman"/>
          <w:sz w:val="24"/>
          <w:szCs w:val="24"/>
        </w:rPr>
        <w:t xml:space="preserve">hese </w:t>
      </w:r>
      <w:r w:rsidR="00171401" w:rsidRPr="00D22649">
        <w:rPr>
          <w:rFonts w:ascii="Times New Roman" w:hAnsi="Times New Roman" w:cs="Times New Roman"/>
          <w:sz w:val="24"/>
          <w:szCs w:val="24"/>
        </w:rPr>
        <w:t xml:space="preserve">are </w:t>
      </w:r>
      <w:r w:rsidRPr="00D22649">
        <w:rPr>
          <w:rFonts w:ascii="Times New Roman" w:hAnsi="Times New Roman" w:cs="Times New Roman"/>
          <w:sz w:val="24"/>
          <w:szCs w:val="24"/>
        </w:rPr>
        <w:t>remarkably low numbers</w:t>
      </w:r>
      <w:r w:rsidR="009D1329" w:rsidRPr="00D22649">
        <w:rPr>
          <w:rFonts w:ascii="Times New Roman" w:hAnsi="Times New Roman" w:cs="Times New Roman"/>
          <w:sz w:val="24"/>
          <w:szCs w:val="24"/>
        </w:rPr>
        <w:t>,</w:t>
      </w:r>
      <w:r w:rsidRPr="00D22649">
        <w:rPr>
          <w:rFonts w:ascii="Times New Roman" w:hAnsi="Times New Roman" w:cs="Times New Roman"/>
          <w:sz w:val="24"/>
          <w:szCs w:val="24"/>
        </w:rPr>
        <w:t xml:space="preserve"> </w:t>
      </w:r>
      <w:r w:rsidR="009D1329" w:rsidRPr="00D22649">
        <w:rPr>
          <w:rFonts w:ascii="Times New Roman" w:hAnsi="Times New Roman" w:cs="Times New Roman"/>
          <w:sz w:val="24"/>
          <w:szCs w:val="24"/>
        </w:rPr>
        <w:t>particularly</w:t>
      </w:r>
      <w:r w:rsidRPr="00D22649">
        <w:rPr>
          <w:rFonts w:ascii="Times New Roman" w:hAnsi="Times New Roman" w:cs="Times New Roman"/>
          <w:sz w:val="24"/>
          <w:szCs w:val="24"/>
        </w:rPr>
        <w:t xml:space="preserve"> </w:t>
      </w:r>
      <w:r w:rsidR="009502AF" w:rsidRPr="00D22649">
        <w:rPr>
          <w:rFonts w:ascii="Times New Roman" w:hAnsi="Times New Roman" w:cs="Times New Roman"/>
          <w:sz w:val="24"/>
          <w:szCs w:val="24"/>
        </w:rPr>
        <w:t>as</w:t>
      </w:r>
      <w:r w:rsidRPr="00D22649">
        <w:rPr>
          <w:rFonts w:ascii="Times New Roman" w:hAnsi="Times New Roman" w:cs="Times New Roman"/>
          <w:sz w:val="24"/>
          <w:szCs w:val="24"/>
        </w:rPr>
        <w:t xml:space="preserve"> 104 </w:t>
      </w:r>
      <w:r w:rsidR="001C538E">
        <w:rPr>
          <w:rFonts w:ascii="Times New Roman" w:hAnsi="Times New Roman" w:cs="Times New Roman"/>
          <w:sz w:val="24"/>
          <w:szCs w:val="24"/>
        </w:rPr>
        <w:t>s</w:t>
      </w:r>
      <w:r w:rsidRPr="00D22649">
        <w:rPr>
          <w:rFonts w:ascii="Times New Roman" w:hAnsi="Times New Roman" w:cs="Times New Roman"/>
          <w:sz w:val="24"/>
          <w:szCs w:val="24"/>
        </w:rPr>
        <w:t xml:space="preserve">tates have now ratified the Optional Protocol.  </w:t>
      </w:r>
      <w:r w:rsidR="0003541A" w:rsidRPr="00D22649">
        <w:rPr>
          <w:rFonts w:ascii="Times New Roman" w:hAnsi="Times New Roman" w:cs="Times New Roman"/>
          <w:sz w:val="24"/>
          <w:szCs w:val="24"/>
        </w:rPr>
        <w:t xml:space="preserve">Nonetheless, clear principles have begun to emerge in </w:t>
      </w:r>
      <w:r w:rsidR="00461D94" w:rsidRPr="00D22649">
        <w:rPr>
          <w:rFonts w:ascii="Times New Roman" w:hAnsi="Times New Roman" w:cs="Times New Roman"/>
          <w:sz w:val="24"/>
          <w:szCs w:val="24"/>
        </w:rPr>
        <w:t xml:space="preserve">the Committee’s </w:t>
      </w:r>
      <w:r w:rsidR="0003541A" w:rsidRPr="00D22649">
        <w:rPr>
          <w:rFonts w:ascii="Times New Roman" w:hAnsi="Times New Roman" w:cs="Times New Roman"/>
          <w:sz w:val="24"/>
          <w:szCs w:val="24"/>
        </w:rPr>
        <w:t>jurisprudence</w:t>
      </w:r>
      <w:r w:rsidR="001C538E">
        <w:rPr>
          <w:rFonts w:ascii="Times New Roman" w:hAnsi="Times New Roman" w:cs="Times New Roman"/>
          <w:sz w:val="24"/>
          <w:szCs w:val="24"/>
        </w:rPr>
        <w:t>,</w:t>
      </w:r>
      <w:r w:rsidR="0003541A" w:rsidRPr="00D22649">
        <w:rPr>
          <w:rFonts w:ascii="Times New Roman" w:hAnsi="Times New Roman" w:cs="Times New Roman"/>
          <w:sz w:val="24"/>
          <w:szCs w:val="24"/>
        </w:rPr>
        <w:t xml:space="preserve"> and in </w:t>
      </w:r>
      <w:r w:rsidR="00C73B74" w:rsidRPr="00D22649">
        <w:rPr>
          <w:rFonts w:ascii="Times New Roman" w:hAnsi="Times New Roman" w:cs="Times New Roman"/>
          <w:sz w:val="24"/>
          <w:szCs w:val="24"/>
        </w:rPr>
        <w:t xml:space="preserve">this section I present a brief discussion of </w:t>
      </w:r>
      <w:r w:rsidR="00461D94" w:rsidRPr="00D22649">
        <w:rPr>
          <w:rFonts w:ascii="Times New Roman" w:hAnsi="Times New Roman" w:cs="Times New Roman"/>
          <w:sz w:val="24"/>
          <w:szCs w:val="24"/>
        </w:rPr>
        <w:t xml:space="preserve">its </w:t>
      </w:r>
      <w:r w:rsidR="0003541A" w:rsidRPr="00D22649">
        <w:rPr>
          <w:rFonts w:ascii="Times New Roman" w:hAnsi="Times New Roman" w:cs="Times New Roman"/>
          <w:sz w:val="24"/>
          <w:szCs w:val="24"/>
        </w:rPr>
        <w:t>case</w:t>
      </w:r>
      <w:r w:rsidR="001C538E">
        <w:rPr>
          <w:rFonts w:ascii="Times New Roman" w:hAnsi="Times New Roman" w:cs="Times New Roman"/>
          <w:sz w:val="24"/>
          <w:szCs w:val="24"/>
        </w:rPr>
        <w:t xml:space="preserve"> </w:t>
      </w:r>
      <w:r w:rsidR="0003541A" w:rsidRPr="00D22649">
        <w:rPr>
          <w:rFonts w:ascii="Times New Roman" w:hAnsi="Times New Roman" w:cs="Times New Roman"/>
          <w:sz w:val="24"/>
          <w:szCs w:val="24"/>
        </w:rPr>
        <w:t>law</w:t>
      </w:r>
      <w:r w:rsidR="00C73B74" w:rsidRPr="00D22649">
        <w:rPr>
          <w:rFonts w:ascii="Times New Roman" w:hAnsi="Times New Roman" w:cs="Times New Roman"/>
          <w:sz w:val="24"/>
          <w:szCs w:val="24"/>
        </w:rPr>
        <w:t>, organi</w:t>
      </w:r>
      <w:r w:rsidR="001C538E">
        <w:rPr>
          <w:rFonts w:ascii="Times New Roman" w:hAnsi="Times New Roman" w:cs="Times New Roman"/>
          <w:sz w:val="24"/>
          <w:szCs w:val="24"/>
        </w:rPr>
        <w:t>z</w:t>
      </w:r>
      <w:r w:rsidR="00C73B74" w:rsidRPr="00D22649">
        <w:rPr>
          <w:rFonts w:ascii="Times New Roman" w:hAnsi="Times New Roman" w:cs="Times New Roman"/>
          <w:sz w:val="24"/>
          <w:szCs w:val="24"/>
        </w:rPr>
        <w:t>e</w:t>
      </w:r>
      <w:r w:rsidR="009D1329" w:rsidRPr="00D22649">
        <w:rPr>
          <w:rFonts w:ascii="Times New Roman" w:hAnsi="Times New Roman" w:cs="Times New Roman"/>
          <w:sz w:val="24"/>
          <w:szCs w:val="24"/>
        </w:rPr>
        <w:t>d</w:t>
      </w:r>
      <w:r w:rsidR="00C73B74" w:rsidRPr="00D22649">
        <w:rPr>
          <w:rFonts w:ascii="Times New Roman" w:hAnsi="Times New Roman" w:cs="Times New Roman"/>
          <w:sz w:val="24"/>
          <w:szCs w:val="24"/>
        </w:rPr>
        <w:t xml:space="preserve"> thematically. </w:t>
      </w:r>
      <w:r w:rsidRPr="00D22649">
        <w:rPr>
          <w:rFonts w:ascii="Times New Roman" w:hAnsi="Times New Roman" w:cs="Times New Roman"/>
          <w:sz w:val="24"/>
          <w:szCs w:val="24"/>
        </w:rPr>
        <w:t xml:space="preserve">Given the Committee’s unique composition, </w:t>
      </w:r>
      <w:r w:rsidR="007A0C73" w:rsidRPr="00D22649">
        <w:rPr>
          <w:rFonts w:ascii="Times New Roman" w:hAnsi="Times New Roman" w:cs="Times New Roman"/>
          <w:sz w:val="24"/>
          <w:szCs w:val="24"/>
        </w:rPr>
        <w:t xml:space="preserve">the question posed is whether </w:t>
      </w:r>
      <w:r w:rsidRPr="00D22649">
        <w:rPr>
          <w:rFonts w:ascii="Times New Roman" w:hAnsi="Times New Roman" w:cs="Times New Roman"/>
          <w:sz w:val="24"/>
          <w:szCs w:val="24"/>
        </w:rPr>
        <w:t xml:space="preserve">it </w:t>
      </w:r>
      <w:r w:rsidR="007A0C73" w:rsidRPr="00D22649">
        <w:rPr>
          <w:rFonts w:ascii="Times New Roman" w:hAnsi="Times New Roman" w:cs="Times New Roman"/>
          <w:sz w:val="24"/>
          <w:szCs w:val="24"/>
        </w:rPr>
        <w:t xml:space="preserve">is </w:t>
      </w:r>
      <w:r w:rsidRPr="00D22649">
        <w:rPr>
          <w:rFonts w:ascii="Times New Roman" w:hAnsi="Times New Roman" w:cs="Times New Roman"/>
          <w:sz w:val="24"/>
          <w:szCs w:val="24"/>
        </w:rPr>
        <w:t xml:space="preserve">possible to identify in </w:t>
      </w:r>
      <w:r w:rsidR="00C73B74" w:rsidRPr="00D22649">
        <w:rPr>
          <w:rFonts w:ascii="Times New Roman" w:hAnsi="Times New Roman" w:cs="Times New Roman"/>
          <w:sz w:val="24"/>
          <w:szCs w:val="24"/>
        </w:rPr>
        <w:lastRenderedPageBreak/>
        <w:t>the Committee’s</w:t>
      </w:r>
      <w:r w:rsidRPr="00D22649">
        <w:rPr>
          <w:rFonts w:ascii="Times New Roman" w:hAnsi="Times New Roman" w:cs="Times New Roman"/>
          <w:sz w:val="24"/>
          <w:szCs w:val="24"/>
        </w:rPr>
        <w:t xml:space="preserve"> first few pronouncements on individu</w:t>
      </w:r>
      <w:r w:rsidR="00C73B74" w:rsidRPr="00D22649">
        <w:rPr>
          <w:rFonts w:ascii="Times New Roman" w:hAnsi="Times New Roman" w:cs="Times New Roman"/>
          <w:sz w:val="24"/>
          <w:szCs w:val="24"/>
        </w:rPr>
        <w:t>al cases a distinct perspective on women’s rights</w:t>
      </w:r>
      <w:r w:rsidR="009D1329" w:rsidRPr="00D22649">
        <w:rPr>
          <w:rFonts w:ascii="Times New Roman" w:hAnsi="Times New Roman" w:cs="Times New Roman"/>
          <w:sz w:val="24"/>
          <w:szCs w:val="24"/>
        </w:rPr>
        <w:t>.</w:t>
      </w:r>
    </w:p>
    <w:p w14:paraId="60F3467D" w14:textId="77777777" w:rsidR="001C538E" w:rsidRPr="00D22649" w:rsidRDefault="001C538E" w:rsidP="00D22649">
      <w:pPr>
        <w:spacing w:after="0" w:line="360" w:lineRule="auto"/>
        <w:jc w:val="both"/>
        <w:rPr>
          <w:rFonts w:ascii="Times New Roman" w:hAnsi="Times New Roman" w:cs="Times New Roman"/>
          <w:sz w:val="24"/>
          <w:szCs w:val="24"/>
        </w:rPr>
      </w:pPr>
    </w:p>
    <w:p w14:paraId="1AC1EFE3" w14:textId="2680A182" w:rsidR="009C029B" w:rsidRPr="005B6796" w:rsidRDefault="001C538E" w:rsidP="005B6796">
      <w:pPr>
        <w:pStyle w:val="ListParagraph"/>
        <w:spacing w:after="0" w:line="360" w:lineRule="auto"/>
        <w:ind w:left="0"/>
        <w:jc w:val="both"/>
        <w:rPr>
          <w:rFonts w:ascii="Times New Roman" w:hAnsi="Times New Roman" w:cs="Times New Roman"/>
          <w:b/>
          <w:i/>
          <w:sz w:val="24"/>
          <w:szCs w:val="24"/>
        </w:rPr>
      </w:pPr>
      <w:r w:rsidRPr="005B6796">
        <w:rPr>
          <w:rFonts w:ascii="Times New Roman" w:hAnsi="Times New Roman" w:cs="Times New Roman"/>
          <w:b/>
          <w:i/>
          <w:sz w:val="24"/>
          <w:szCs w:val="24"/>
        </w:rPr>
        <w:t>A</w:t>
      </w:r>
      <w:r w:rsidRPr="005B6796">
        <w:rPr>
          <w:rFonts w:ascii="Times New Roman" w:hAnsi="Times New Roman" w:cs="Times New Roman"/>
          <w:b/>
          <w:i/>
          <w:sz w:val="24"/>
          <w:szCs w:val="24"/>
        </w:rPr>
        <w:tab/>
      </w:r>
      <w:r w:rsidR="00CD703B" w:rsidRPr="005B6796">
        <w:rPr>
          <w:rFonts w:ascii="Times New Roman" w:hAnsi="Times New Roman" w:cs="Times New Roman"/>
          <w:b/>
          <w:i/>
          <w:sz w:val="24"/>
          <w:szCs w:val="24"/>
        </w:rPr>
        <w:t>Spousal/</w:t>
      </w:r>
      <w:r w:rsidRPr="005B6796">
        <w:rPr>
          <w:rFonts w:ascii="Times New Roman" w:hAnsi="Times New Roman" w:cs="Times New Roman"/>
          <w:b/>
          <w:i/>
          <w:sz w:val="24"/>
          <w:szCs w:val="24"/>
        </w:rPr>
        <w:t>P</w:t>
      </w:r>
      <w:r w:rsidR="00CD703B" w:rsidRPr="005B6796">
        <w:rPr>
          <w:rFonts w:ascii="Times New Roman" w:hAnsi="Times New Roman" w:cs="Times New Roman"/>
          <w:b/>
          <w:i/>
          <w:sz w:val="24"/>
          <w:szCs w:val="24"/>
        </w:rPr>
        <w:t xml:space="preserve">artner </w:t>
      </w:r>
      <w:r w:rsidRPr="005B6796">
        <w:rPr>
          <w:rFonts w:ascii="Times New Roman" w:hAnsi="Times New Roman" w:cs="Times New Roman"/>
          <w:b/>
          <w:i/>
          <w:sz w:val="24"/>
          <w:szCs w:val="24"/>
        </w:rPr>
        <w:t>V</w:t>
      </w:r>
      <w:r w:rsidR="00CD703B" w:rsidRPr="005B6796">
        <w:rPr>
          <w:rFonts w:ascii="Times New Roman" w:hAnsi="Times New Roman" w:cs="Times New Roman"/>
          <w:b/>
          <w:i/>
          <w:sz w:val="24"/>
          <w:szCs w:val="24"/>
        </w:rPr>
        <w:t>iolence</w:t>
      </w:r>
    </w:p>
    <w:p w14:paraId="6EE7E4BB" w14:textId="47AA0E6E" w:rsidR="00120A34" w:rsidRPr="00D22649" w:rsidRDefault="00277CBD" w:rsidP="00D22649">
      <w:pPr>
        <w:autoSpaceDE w:val="0"/>
        <w:autoSpaceDN w:val="0"/>
        <w:adjustRightInd w:val="0"/>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Intimate partner violence has been a principal theme in communications to the Committee.  </w:t>
      </w:r>
      <w:r w:rsidRPr="00D22649">
        <w:rPr>
          <w:rFonts w:ascii="Times New Roman" w:hAnsi="Times New Roman" w:cs="Times New Roman"/>
          <w:i/>
          <w:sz w:val="24"/>
          <w:szCs w:val="24"/>
        </w:rPr>
        <w:t>A.T. v</w:t>
      </w:r>
      <w:r w:rsidR="001C538E">
        <w:rPr>
          <w:rFonts w:ascii="Times New Roman" w:hAnsi="Times New Roman" w:cs="Times New Roman"/>
          <w:i/>
          <w:sz w:val="24"/>
          <w:szCs w:val="24"/>
        </w:rPr>
        <w:t>.</w:t>
      </w:r>
      <w:r w:rsidRPr="00D22649">
        <w:rPr>
          <w:rFonts w:ascii="Times New Roman" w:hAnsi="Times New Roman" w:cs="Times New Roman"/>
          <w:i/>
          <w:sz w:val="24"/>
          <w:szCs w:val="24"/>
        </w:rPr>
        <w:t xml:space="preserve"> Hungary</w:t>
      </w:r>
      <w:r w:rsidRPr="00D22649">
        <w:rPr>
          <w:rFonts w:ascii="Times New Roman" w:hAnsi="Times New Roman" w:cs="Times New Roman"/>
          <w:sz w:val="24"/>
          <w:szCs w:val="24"/>
        </w:rPr>
        <w:t>, t</w:t>
      </w:r>
      <w:r w:rsidR="00120A34" w:rsidRPr="00D22649">
        <w:rPr>
          <w:rFonts w:ascii="Times New Roman" w:hAnsi="Times New Roman" w:cs="Times New Roman"/>
          <w:sz w:val="24"/>
          <w:szCs w:val="24"/>
        </w:rPr>
        <w:t>he first admissible communication heard by the Committee</w:t>
      </w:r>
      <w:r w:rsidRPr="00D22649">
        <w:rPr>
          <w:rFonts w:ascii="Times New Roman" w:hAnsi="Times New Roman" w:cs="Times New Roman"/>
          <w:sz w:val="24"/>
          <w:szCs w:val="24"/>
        </w:rPr>
        <w:t>,</w:t>
      </w:r>
      <w:r w:rsidR="00120A34" w:rsidRPr="00D22649">
        <w:rPr>
          <w:rFonts w:ascii="Times New Roman" w:hAnsi="Times New Roman" w:cs="Times New Roman"/>
          <w:sz w:val="24"/>
          <w:szCs w:val="24"/>
        </w:rPr>
        <w:t xml:space="preserve"> concerned </w:t>
      </w:r>
      <w:r w:rsidR="00922E90" w:rsidRPr="00D22649">
        <w:rPr>
          <w:rFonts w:ascii="Times New Roman" w:hAnsi="Times New Roman" w:cs="Times New Roman"/>
          <w:sz w:val="24"/>
          <w:szCs w:val="24"/>
        </w:rPr>
        <w:t xml:space="preserve">an </w:t>
      </w:r>
      <w:r w:rsidR="00AA57E5" w:rsidRPr="00D22649">
        <w:rPr>
          <w:rFonts w:ascii="Times New Roman" w:hAnsi="Times New Roman" w:cs="Times New Roman"/>
          <w:sz w:val="24"/>
          <w:szCs w:val="24"/>
        </w:rPr>
        <w:t>especially</w:t>
      </w:r>
      <w:r w:rsidR="00120A34" w:rsidRPr="00D22649">
        <w:rPr>
          <w:rFonts w:ascii="Times New Roman" w:hAnsi="Times New Roman" w:cs="Times New Roman"/>
          <w:sz w:val="24"/>
          <w:szCs w:val="24"/>
        </w:rPr>
        <w:t xml:space="preserve"> troubling </w:t>
      </w:r>
      <w:r w:rsidR="00922E90" w:rsidRPr="00D22649">
        <w:rPr>
          <w:rFonts w:ascii="Times New Roman" w:hAnsi="Times New Roman" w:cs="Times New Roman"/>
          <w:sz w:val="24"/>
          <w:szCs w:val="24"/>
        </w:rPr>
        <w:t xml:space="preserve">series of </w:t>
      </w:r>
      <w:r w:rsidR="00120A34" w:rsidRPr="00D22649">
        <w:rPr>
          <w:rFonts w:ascii="Times New Roman" w:hAnsi="Times New Roman" w:cs="Times New Roman"/>
          <w:sz w:val="24"/>
          <w:szCs w:val="24"/>
        </w:rPr>
        <w:t>events.</w:t>
      </w:r>
      <w:r w:rsidR="00120A34" w:rsidRPr="00D22649">
        <w:rPr>
          <w:rStyle w:val="FootnoteReference"/>
          <w:rFonts w:ascii="Times New Roman" w:hAnsi="Times New Roman" w:cs="Times New Roman"/>
          <w:sz w:val="24"/>
          <w:szCs w:val="24"/>
        </w:rPr>
        <w:footnoteReference w:id="33"/>
      </w:r>
      <w:r w:rsidR="00120A34" w:rsidRPr="00D22649">
        <w:rPr>
          <w:rFonts w:ascii="Times New Roman" w:hAnsi="Times New Roman" w:cs="Times New Roman"/>
          <w:sz w:val="24"/>
          <w:szCs w:val="24"/>
        </w:rPr>
        <w:t xml:space="preserve">  The author experienced </w:t>
      </w:r>
      <w:r w:rsidR="00AA57E5" w:rsidRPr="00D22649">
        <w:rPr>
          <w:rFonts w:ascii="Times New Roman" w:hAnsi="Times New Roman" w:cs="Times New Roman"/>
          <w:sz w:val="24"/>
          <w:szCs w:val="24"/>
        </w:rPr>
        <w:t>serious</w:t>
      </w:r>
      <w:r w:rsidR="00120A34" w:rsidRPr="00D22649">
        <w:rPr>
          <w:rFonts w:ascii="Times New Roman" w:hAnsi="Times New Roman" w:cs="Times New Roman"/>
          <w:sz w:val="24"/>
          <w:szCs w:val="24"/>
        </w:rPr>
        <w:t xml:space="preserve"> and sustained vi</w:t>
      </w:r>
      <w:r w:rsidRPr="00D22649">
        <w:rPr>
          <w:rFonts w:ascii="Times New Roman" w:hAnsi="Times New Roman" w:cs="Times New Roman"/>
          <w:sz w:val="24"/>
          <w:szCs w:val="24"/>
        </w:rPr>
        <w:t xml:space="preserve">olence at the hands of her partner over a number of years, </w:t>
      </w:r>
      <w:r w:rsidR="00C37ED5" w:rsidRPr="00D22649">
        <w:rPr>
          <w:rFonts w:ascii="Times New Roman" w:hAnsi="Times New Roman" w:cs="Times New Roman"/>
          <w:sz w:val="24"/>
          <w:szCs w:val="24"/>
        </w:rPr>
        <w:t xml:space="preserve">but she </w:t>
      </w:r>
      <w:r w:rsidRPr="00D22649">
        <w:rPr>
          <w:rFonts w:ascii="Times New Roman" w:hAnsi="Times New Roman" w:cs="Times New Roman"/>
          <w:sz w:val="24"/>
          <w:szCs w:val="24"/>
        </w:rPr>
        <w:t>could not be accommodated in a shelter for abused women because she</w:t>
      </w:r>
      <w:r w:rsidR="00120A34" w:rsidRPr="00D22649">
        <w:rPr>
          <w:rFonts w:ascii="Times New Roman" w:hAnsi="Times New Roman" w:cs="Times New Roman"/>
          <w:sz w:val="24"/>
          <w:szCs w:val="24"/>
        </w:rPr>
        <w:t xml:space="preserve"> had a severely disabled child</w:t>
      </w:r>
      <w:r w:rsidRPr="00D22649">
        <w:rPr>
          <w:rFonts w:ascii="Times New Roman" w:hAnsi="Times New Roman" w:cs="Times New Roman"/>
          <w:sz w:val="24"/>
          <w:szCs w:val="24"/>
        </w:rPr>
        <w:t xml:space="preserve">.  Furthermore, Hungarian law did not offer the </w:t>
      </w:r>
      <w:r w:rsidR="00120A34" w:rsidRPr="00D22649">
        <w:rPr>
          <w:rFonts w:ascii="Times New Roman" w:hAnsi="Times New Roman" w:cs="Times New Roman"/>
          <w:sz w:val="24"/>
          <w:szCs w:val="24"/>
        </w:rPr>
        <w:t>poss</w:t>
      </w:r>
      <w:r w:rsidR="00C37ED5" w:rsidRPr="00D22649">
        <w:rPr>
          <w:rFonts w:ascii="Times New Roman" w:hAnsi="Times New Roman" w:cs="Times New Roman"/>
          <w:sz w:val="24"/>
          <w:szCs w:val="24"/>
        </w:rPr>
        <w:t xml:space="preserve">ibility of issuing a protection or </w:t>
      </w:r>
      <w:r w:rsidR="00120A34" w:rsidRPr="00D22649">
        <w:rPr>
          <w:rFonts w:ascii="Times New Roman" w:hAnsi="Times New Roman" w:cs="Times New Roman"/>
          <w:sz w:val="24"/>
          <w:szCs w:val="24"/>
        </w:rPr>
        <w:t>restraining order against her abuser (indeed, nati</w:t>
      </w:r>
      <w:r w:rsidRPr="00D22649">
        <w:rPr>
          <w:rFonts w:ascii="Times New Roman" w:hAnsi="Times New Roman" w:cs="Times New Roman"/>
          <w:sz w:val="24"/>
          <w:szCs w:val="24"/>
        </w:rPr>
        <w:t xml:space="preserve">onal courts confirmed his rights over </w:t>
      </w:r>
      <w:r w:rsidR="00120A34" w:rsidRPr="00D22649">
        <w:rPr>
          <w:rFonts w:ascii="Times New Roman" w:hAnsi="Times New Roman" w:cs="Times New Roman"/>
          <w:sz w:val="24"/>
          <w:szCs w:val="24"/>
        </w:rPr>
        <w:t xml:space="preserve">jointly-owned property).  </w:t>
      </w:r>
      <w:r w:rsidR="00C37ED5" w:rsidRPr="00D22649">
        <w:rPr>
          <w:rFonts w:ascii="Times New Roman" w:hAnsi="Times New Roman" w:cs="Times New Roman"/>
          <w:sz w:val="24"/>
          <w:szCs w:val="24"/>
        </w:rPr>
        <w:t>The author was consequently left vulnerable to continued violence at the hands of her former partner</w:t>
      </w:r>
      <w:r w:rsidR="00C22669" w:rsidRPr="00D22649">
        <w:rPr>
          <w:rFonts w:ascii="Times New Roman" w:hAnsi="Times New Roman" w:cs="Times New Roman"/>
          <w:sz w:val="24"/>
          <w:szCs w:val="24"/>
        </w:rPr>
        <w:t>, in spite of the authorities</w:t>
      </w:r>
      <w:r w:rsidR="0092225E" w:rsidRPr="00D22649">
        <w:rPr>
          <w:rFonts w:ascii="Times New Roman" w:hAnsi="Times New Roman" w:cs="Times New Roman"/>
          <w:sz w:val="24"/>
          <w:szCs w:val="24"/>
        </w:rPr>
        <w:t>’</w:t>
      </w:r>
      <w:r w:rsidR="00C22669" w:rsidRPr="00D22649">
        <w:rPr>
          <w:rFonts w:ascii="Times New Roman" w:hAnsi="Times New Roman" w:cs="Times New Roman"/>
          <w:sz w:val="24"/>
          <w:szCs w:val="24"/>
        </w:rPr>
        <w:t xml:space="preserve"> awareness of the seriousness of her situation</w:t>
      </w:r>
      <w:r w:rsidR="00C37ED5" w:rsidRPr="00D22649">
        <w:rPr>
          <w:rFonts w:ascii="Times New Roman" w:hAnsi="Times New Roman" w:cs="Times New Roman"/>
          <w:sz w:val="24"/>
          <w:szCs w:val="24"/>
        </w:rPr>
        <w:t>.  The Committee</w:t>
      </w:r>
      <w:r w:rsidR="006F28B5" w:rsidRPr="00D22649">
        <w:rPr>
          <w:rFonts w:ascii="Times New Roman" w:hAnsi="Times New Roman" w:cs="Times New Roman"/>
          <w:sz w:val="24"/>
          <w:szCs w:val="24"/>
        </w:rPr>
        <w:t xml:space="preserve">, drawing </w:t>
      </w:r>
      <w:r w:rsidR="000C1E5D" w:rsidRPr="00D22649">
        <w:rPr>
          <w:rFonts w:ascii="Times New Roman" w:hAnsi="Times New Roman" w:cs="Times New Roman"/>
          <w:sz w:val="24"/>
          <w:szCs w:val="24"/>
        </w:rPr>
        <w:t>on</w:t>
      </w:r>
      <w:r w:rsidR="006F28B5" w:rsidRPr="00D22649">
        <w:rPr>
          <w:rFonts w:ascii="Times New Roman" w:hAnsi="Times New Roman" w:cs="Times New Roman"/>
          <w:sz w:val="24"/>
          <w:szCs w:val="24"/>
        </w:rPr>
        <w:t xml:space="preserve"> principles established in its General Recommendation 19 on violence against women, </w:t>
      </w:r>
      <w:r w:rsidR="001C16D1" w:rsidRPr="00D22649">
        <w:rPr>
          <w:rFonts w:ascii="Times New Roman" w:hAnsi="Times New Roman" w:cs="Times New Roman"/>
          <w:sz w:val="24"/>
          <w:szCs w:val="24"/>
        </w:rPr>
        <w:t>confirmed domestic violence</w:t>
      </w:r>
      <w:r w:rsidR="008E7FDB" w:rsidRPr="00D22649">
        <w:rPr>
          <w:rFonts w:ascii="Times New Roman" w:hAnsi="Times New Roman" w:cs="Times New Roman"/>
          <w:sz w:val="24"/>
          <w:szCs w:val="24"/>
        </w:rPr>
        <w:t>’s</w:t>
      </w:r>
      <w:r w:rsidR="001C16D1" w:rsidRPr="00D22649">
        <w:rPr>
          <w:rFonts w:ascii="Times New Roman" w:hAnsi="Times New Roman" w:cs="Times New Roman"/>
          <w:sz w:val="24"/>
          <w:szCs w:val="24"/>
        </w:rPr>
        <w:t xml:space="preserve"> </w:t>
      </w:r>
      <w:r w:rsidR="008E7FDB" w:rsidRPr="00D22649">
        <w:rPr>
          <w:rFonts w:ascii="Times New Roman" w:hAnsi="Times New Roman" w:cs="Times New Roman"/>
          <w:sz w:val="24"/>
          <w:szCs w:val="24"/>
        </w:rPr>
        <w:t>place</w:t>
      </w:r>
      <w:r w:rsidR="001C16D1" w:rsidRPr="00D22649">
        <w:rPr>
          <w:rFonts w:ascii="Times New Roman" w:hAnsi="Times New Roman" w:cs="Times New Roman"/>
          <w:sz w:val="24"/>
          <w:szCs w:val="24"/>
        </w:rPr>
        <w:t xml:space="preserve"> within CEDAW’s framework and </w:t>
      </w:r>
      <w:r w:rsidR="00AA57E5" w:rsidRPr="00D22649">
        <w:rPr>
          <w:rFonts w:ascii="Times New Roman" w:hAnsi="Times New Roman" w:cs="Times New Roman"/>
          <w:sz w:val="24"/>
          <w:szCs w:val="24"/>
        </w:rPr>
        <w:t>found</w:t>
      </w:r>
      <w:r w:rsidR="00C37ED5" w:rsidRPr="00D22649">
        <w:rPr>
          <w:rFonts w:ascii="Times New Roman" w:hAnsi="Times New Roman" w:cs="Times New Roman"/>
          <w:sz w:val="24"/>
          <w:szCs w:val="24"/>
        </w:rPr>
        <w:t xml:space="preserve"> that Hungary </w:t>
      </w:r>
      <w:r w:rsidR="00AA57E5" w:rsidRPr="00D22649">
        <w:rPr>
          <w:rFonts w:ascii="Times New Roman" w:hAnsi="Times New Roman" w:cs="Times New Roman"/>
          <w:sz w:val="24"/>
          <w:szCs w:val="24"/>
        </w:rPr>
        <w:t xml:space="preserve">had </w:t>
      </w:r>
      <w:r w:rsidR="00C37ED5" w:rsidRPr="00D22649">
        <w:rPr>
          <w:rFonts w:ascii="Times New Roman" w:hAnsi="Times New Roman" w:cs="Times New Roman"/>
          <w:sz w:val="24"/>
          <w:szCs w:val="24"/>
        </w:rPr>
        <w:t xml:space="preserve">violated </w:t>
      </w:r>
      <w:r w:rsidR="001C538E">
        <w:rPr>
          <w:rFonts w:ascii="Times New Roman" w:hAnsi="Times New Roman" w:cs="Times New Roman"/>
          <w:sz w:val="24"/>
          <w:szCs w:val="24"/>
        </w:rPr>
        <w:t>A</w:t>
      </w:r>
      <w:r w:rsidR="00C37ED5" w:rsidRPr="00D22649">
        <w:rPr>
          <w:rFonts w:ascii="Times New Roman" w:hAnsi="Times New Roman" w:cs="Times New Roman"/>
          <w:sz w:val="24"/>
          <w:szCs w:val="24"/>
        </w:rPr>
        <w:t>rticle</w:t>
      </w:r>
      <w:r w:rsidR="001C538E">
        <w:rPr>
          <w:rFonts w:ascii="Times New Roman" w:hAnsi="Times New Roman" w:cs="Times New Roman"/>
          <w:sz w:val="24"/>
          <w:szCs w:val="24"/>
        </w:rPr>
        <w:t>s</w:t>
      </w:r>
      <w:r w:rsidR="00C37ED5" w:rsidRPr="00D22649">
        <w:rPr>
          <w:rFonts w:ascii="Times New Roman" w:hAnsi="Times New Roman" w:cs="Times New Roman"/>
          <w:sz w:val="24"/>
          <w:szCs w:val="24"/>
        </w:rPr>
        <w:t xml:space="preserve"> 2, 5</w:t>
      </w:r>
      <w:r w:rsidR="001C538E">
        <w:rPr>
          <w:rFonts w:ascii="Times New Roman" w:hAnsi="Times New Roman" w:cs="Times New Roman"/>
          <w:sz w:val="24"/>
          <w:szCs w:val="24"/>
        </w:rPr>
        <w:t>,</w:t>
      </w:r>
      <w:r w:rsidR="00C37ED5" w:rsidRPr="00D22649">
        <w:rPr>
          <w:rFonts w:ascii="Times New Roman" w:hAnsi="Times New Roman" w:cs="Times New Roman"/>
          <w:sz w:val="24"/>
          <w:szCs w:val="24"/>
        </w:rPr>
        <w:t xml:space="preserve"> and 16 of CEDAW</w:t>
      </w:r>
      <w:r w:rsidR="0092225E" w:rsidRPr="00D22649">
        <w:rPr>
          <w:rFonts w:ascii="Times New Roman" w:hAnsi="Times New Roman" w:cs="Times New Roman"/>
          <w:sz w:val="24"/>
          <w:szCs w:val="24"/>
        </w:rPr>
        <w:t xml:space="preserve"> in failing to meet its due diligence obligations</w:t>
      </w:r>
      <w:r w:rsidR="00120A34" w:rsidRPr="00D22649">
        <w:rPr>
          <w:rFonts w:ascii="Times New Roman" w:hAnsi="Times New Roman" w:cs="Times New Roman"/>
          <w:sz w:val="24"/>
          <w:szCs w:val="24"/>
        </w:rPr>
        <w:t>.</w:t>
      </w:r>
      <w:r w:rsidR="00165463" w:rsidRPr="00D22649">
        <w:rPr>
          <w:rStyle w:val="FootnoteReference"/>
          <w:rFonts w:ascii="Times New Roman" w:hAnsi="Times New Roman" w:cs="Times New Roman"/>
          <w:sz w:val="24"/>
          <w:szCs w:val="24"/>
        </w:rPr>
        <w:footnoteReference w:id="34"/>
      </w:r>
      <w:r w:rsidR="00120A34" w:rsidRPr="00D22649">
        <w:rPr>
          <w:rFonts w:ascii="Times New Roman" w:hAnsi="Times New Roman" w:cs="Times New Roman"/>
          <w:sz w:val="24"/>
          <w:szCs w:val="24"/>
        </w:rPr>
        <w:t xml:space="preserve">  </w:t>
      </w:r>
      <w:r w:rsidR="00E27DE7" w:rsidRPr="00D22649">
        <w:rPr>
          <w:rFonts w:ascii="Times New Roman" w:hAnsi="Times New Roman" w:cs="Times New Roman"/>
          <w:sz w:val="24"/>
          <w:szCs w:val="24"/>
        </w:rPr>
        <w:t xml:space="preserve">The Committee also asserted the important principle that </w:t>
      </w:r>
      <w:r w:rsidR="005273D6" w:rsidRPr="00D22649">
        <w:rPr>
          <w:rFonts w:ascii="Times New Roman" w:hAnsi="Times New Roman" w:cs="Times New Roman"/>
          <w:sz w:val="24"/>
          <w:szCs w:val="24"/>
        </w:rPr>
        <w:t>‘</w:t>
      </w:r>
      <w:r w:rsidR="001C538E">
        <w:rPr>
          <w:rFonts w:ascii="Times New Roman" w:hAnsi="Times New Roman" w:cs="Times New Roman"/>
          <w:sz w:val="24"/>
          <w:szCs w:val="24"/>
        </w:rPr>
        <w:t>[w]</w:t>
      </w:r>
      <w:r w:rsidR="00E27DE7" w:rsidRPr="00D22649">
        <w:rPr>
          <w:rFonts w:ascii="Times New Roman" w:hAnsi="Times New Roman" w:cs="Times New Roman"/>
          <w:sz w:val="24"/>
          <w:szCs w:val="24"/>
        </w:rPr>
        <w:t>omen's human right to life and to physical and mental integrity cannot be superseded by other rights</w:t>
      </w:r>
      <w:r w:rsidR="005273D6" w:rsidRPr="00D22649">
        <w:rPr>
          <w:rFonts w:ascii="Times New Roman" w:hAnsi="Times New Roman" w:cs="Times New Roman"/>
          <w:sz w:val="24"/>
          <w:szCs w:val="24"/>
        </w:rPr>
        <w:t>’</w:t>
      </w:r>
      <w:r w:rsidR="00E27DE7" w:rsidRPr="00D22649">
        <w:rPr>
          <w:rFonts w:ascii="Times New Roman" w:hAnsi="Times New Roman" w:cs="Times New Roman"/>
          <w:sz w:val="24"/>
          <w:szCs w:val="24"/>
        </w:rPr>
        <w:t>.</w:t>
      </w:r>
      <w:r w:rsidR="00E27DE7" w:rsidRPr="00D22649">
        <w:rPr>
          <w:rStyle w:val="FootnoteReference"/>
          <w:rFonts w:ascii="Times New Roman" w:hAnsi="Times New Roman" w:cs="Times New Roman"/>
          <w:sz w:val="24"/>
          <w:szCs w:val="24"/>
        </w:rPr>
        <w:footnoteReference w:id="35"/>
      </w:r>
      <w:r w:rsidR="00E27DE7" w:rsidRPr="00D22649">
        <w:rPr>
          <w:rFonts w:ascii="Times New Roman" w:hAnsi="Times New Roman" w:cs="Times New Roman"/>
          <w:sz w:val="24"/>
          <w:szCs w:val="24"/>
        </w:rPr>
        <w:t xml:space="preserve">  </w:t>
      </w:r>
      <w:r w:rsidR="00E03B16" w:rsidRPr="00D22649">
        <w:rPr>
          <w:rFonts w:ascii="Times New Roman" w:hAnsi="Times New Roman" w:cs="Times New Roman"/>
          <w:sz w:val="24"/>
          <w:szCs w:val="24"/>
        </w:rPr>
        <w:t>Referring to</w:t>
      </w:r>
      <w:r w:rsidR="009E4704" w:rsidRPr="00D22649">
        <w:rPr>
          <w:rFonts w:ascii="Times New Roman" w:hAnsi="Times New Roman" w:cs="Times New Roman"/>
          <w:sz w:val="24"/>
          <w:szCs w:val="24"/>
        </w:rPr>
        <w:t xml:space="preserve"> its previous concluding observations</w:t>
      </w:r>
      <w:r w:rsidR="00C22669" w:rsidRPr="00D22649">
        <w:rPr>
          <w:rFonts w:ascii="Times New Roman" w:hAnsi="Times New Roman" w:cs="Times New Roman"/>
          <w:sz w:val="24"/>
          <w:szCs w:val="24"/>
        </w:rPr>
        <w:t>, the Committee painted a picture of A.T.’s experience that drew not only from the specific facts of her case but also from its general knowledge and understanding of the vulnerability of victims of domestic violence in Hungary</w:t>
      </w:r>
      <w:r w:rsidR="005273D6" w:rsidRPr="00D22649">
        <w:rPr>
          <w:rFonts w:ascii="Times New Roman" w:hAnsi="Times New Roman" w:cs="Times New Roman"/>
          <w:sz w:val="24"/>
          <w:szCs w:val="24"/>
        </w:rPr>
        <w:t>, concluding</w:t>
      </w:r>
      <w:r w:rsidR="003C2195">
        <w:rPr>
          <w:rFonts w:ascii="Times New Roman" w:hAnsi="Times New Roman" w:cs="Times New Roman"/>
          <w:sz w:val="24"/>
          <w:szCs w:val="24"/>
        </w:rPr>
        <w:t>,</w:t>
      </w:r>
      <w:r w:rsidR="005273D6" w:rsidRPr="00D22649">
        <w:rPr>
          <w:rFonts w:ascii="Times New Roman" w:hAnsi="Times New Roman" w:cs="Times New Roman"/>
          <w:sz w:val="24"/>
          <w:szCs w:val="24"/>
        </w:rPr>
        <w:t xml:space="preserve"> ‘</w:t>
      </w:r>
      <w:r w:rsidR="007959F6" w:rsidRPr="00D22649">
        <w:rPr>
          <w:rFonts w:ascii="Times New Roman" w:hAnsi="Times New Roman" w:cs="Times New Roman"/>
          <w:sz w:val="24"/>
          <w:szCs w:val="24"/>
        </w:rPr>
        <w:t>the facts of the communication reveal aspects of the relationships between the sexes and attitudes towards women th</w:t>
      </w:r>
      <w:r w:rsidR="00B512AA" w:rsidRPr="00D22649">
        <w:rPr>
          <w:rFonts w:ascii="Times New Roman" w:hAnsi="Times New Roman" w:cs="Times New Roman"/>
          <w:sz w:val="24"/>
          <w:szCs w:val="24"/>
        </w:rPr>
        <w:t>at the Committee recognized vis</w:t>
      </w:r>
      <w:r w:rsidR="007959F6" w:rsidRPr="00D22649">
        <w:rPr>
          <w:rFonts w:ascii="Times New Roman" w:hAnsi="Times New Roman" w:cs="Times New Roman"/>
          <w:sz w:val="24"/>
          <w:szCs w:val="24"/>
        </w:rPr>
        <w:t>-à-vis the country as a whole</w:t>
      </w:r>
      <w:r w:rsidR="005273D6" w:rsidRPr="00D22649">
        <w:rPr>
          <w:rFonts w:ascii="Times New Roman" w:hAnsi="Times New Roman" w:cs="Times New Roman"/>
          <w:sz w:val="24"/>
          <w:szCs w:val="24"/>
        </w:rPr>
        <w:t>’</w:t>
      </w:r>
      <w:r w:rsidR="007959F6" w:rsidRPr="00D22649">
        <w:rPr>
          <w:rFonts w:ascii="Times New Roman" w:hAnsi="Times New Roman" w:cs="Times New Roman"/>
          <w:sz w:val="24"/>
          <w:szCs w:val="24"/>
        </w:rPr>
        <w:t>.</w:t>
      </w:r>
      <w:r w:rsidR="009A2D24" w:rsidRPr="00D22649">
        <w:rPr>
          <w:rStyle w:val="FootnoteReference"/>
          <w:rFonts w:ascii="Times New Roman" w:hAnsi="Times New Roman" w:cs="Times New Roman"/>
          <w:sz w:val="24"/>
          <w:szCs w:val="24"/>
        </w:rPr>
        <w:footnoteReference w:id="36"/>
      </w:r>
      <w:r w:rsidR="007959F6" w:rsidRPr="00D22649">
        <w:rPr>
          <w:rFonts w:ascii="Times New Roman" w:hAnsi="Times New Roman" w:cs="Times New Roman"/>
          <w:sz w:val="24"/>
          <w:szCs w:val="24"/>
        </w:rPr>
        <w:t xml:space="preserve">  </w:t>
      </w:r>
    </w:p>
    <w:p w14:paraId="73770022" w14:textId="77777777" w:rsidR="00120A34" w:rsidRPr="00D22649" w:rsidRDefault="003C2195"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B512AA" w:rsidRPr="00D22649">
        <w:rPr>
          <w:rFonts w:ascii="Times New Roman" w:hAnsi="Times New Roman" w:cs="Times New Roman"/>
          <w:sz w:val="24"/>
          <w:szCs w:val="24"/>
        </w:rPr>
        <w:t>Two years later the Committee was faced with two cases against Austria</w:t>
      </w:r>
      <w:r w:rsidR="00D004D4" w:rsidRPr="00D22649">
        <w:rPr>
          <w:rFonts w:ascii="Times New Roman" w:hAnsi="Times New Roman" w:cs="Times New Roman"/>
          <w:sz w:val="24"/>
          <w:szCs w:val="24"/>
        </w:rPr>
        <w:t>,</w:t>
      </w:r>
      <w:r w:rsidR="00B512AA" w:rsidRPr="00D22649">
        <w:rPr>
          <w:rFonts w:ascii="Times New Roman" w:hAnsi="Times New Roman" w:cs="Times New Roman"/>
          <w:sz w:val="24"/>
          <w:szCs w:val="24"/>
        </w:rPr>
        <w:t xml:space="preserve"> </w:t>
      </w:r>
      <w:r w:rsidR="00D004D4" w:rsidRPr="00D22649">
        <w:rPr>
          <w:rFonts w:ascii="Times New Roman" w:hAnsi="Times New Roman" w:cs="Times New Roman"/>
          <w:i/>
          <w:sz w:val="24"/>
          <w:szCs w:val="24"/>
        </w:rPr>
        <w:t>Goekce</w:t>
      </w:r>
      <w:r w:rsidR="004700A4" w:rsidRPr="00D22649">
        <w:rPr>
          <w:rStyle w:val="FootnoteReference"/>
          <w:rFonts w:ascii="Times New Roman" w:hAnsi="Times New Roman" w:cs="Times New Roman"/>
          <w:i/>
          <w:sz w:val="24"/>
          <w:szCs w:val="24"/>
        </w:rPr>
        <w:footnoteReference w:id="37"/>
      </w:r>
      <w:r w:rsidR="00D004D4" w:rsidRPr="00D22649">
        <w:rPr>
          <w:rFonts w:ascii="Times New Roman" w:hAnsi="Times New Roman" w:cs="Times New Roman"/>
          <w:sz w:val="24"/>
          <w:szCs w:val="24"/>
        </w:rPr>
        <w:t xml:space="preserve"> and </w:t>
      </w:r>
      <w:r w:rsidR="00D004D4" w:rsidRPr="00D22649">
        <w:rPr>
          <w:rFonts w:ascii="Times New Roman" w:hAnsi="Times New Roman" w:cs="Times New Roman"/>
          <w:i/>
          <w:sz w:val="24"/>
          <w:szCs w:val="24"/>
        </w:rPr>
        <w:t>Yildrim</w:t>
      </w:r>
      <w:r w:rsidR="00D004D4" w:rsidRPr="00D22649">
        <w:rPr>
          <w:rFonts w:ascii="Times New Roman" w:hAnsi="Times New Roman" w:cs="Times New Roman"/>
          <w:sz w:val="24"/>
          <w:szCs w:val="24"/>
        </w:rPr>
        <w:t>,</w:t>
      </w:r>
      <w:r w:rsidR="004700A4" w:rsidRPr="00D22649">
        <w:rPr>
          <w:rStyle w:val="FootnoteReference"/>
          <w:rFonts w:ascii="Times New Roman" w:hAnsi="Times New Roman" w:cs="Times New Roman"/>
          <w:sz w:val="24"/>
          <w:szCs w:val="24"/>
        </w:rPr>
        <w:footnoteReference w:id="38"/>
      </w:r>
      <w:r w:rsidR="00D004D4" w:rsidRPr="00D22649">
        <w:rPr>
          <w:rFonts w:ascii="Times New Roman" w:hAnsi="Times New Roman" w:cs="Times New Roman"/>
          <w:sz w:val="24"/>
          <w:szCs w:val="24"/>
        </w:rPr>
        <w:t xml:space="preserve"> </w:t>
      </w:r>
      <w:r w:rsidR="00B512AA" w:rsidRPr="00D22649">
        <w:rPr>
          <w:rFonts w:ascii="Times New Roman" w:hAnsi="Times New Roman" w:cs="Times New Roman"/>
          <w:sz w:val="24"/>
          <w:szCs w:val="24"/>
        </w:rPr>
        <w:t>which</w:t>
      </w:r>
      <w:r w:rsidR="00120A34" w:rsidRPr="00D22649">
        <w:rPr>
          <w:rFonts w:ascii="Times New Roman" w:hAnsi="Times New Roman" w:cs="Times New Roman"/>
          <w:sz w:val="24"/>
          <w:szCs w:val="24"/>
        </w:rPr>
        <w:t xml:space="preserve"> concerned </w:t>
      </w:r>
      <w:r w:rsidR="00B512AA" w:rsidRPr="00D22649">
        <w:rPr>
          <w:rFonts w:ascii="Times New Roman" w:hAnsi="Times New Roman" w:cs="Times New Roman"/>
          <w:sz w:val="24"/>
          <w:szCs w:val="24"/>
        </w:rPr>
        <w:t>viole</w:t>
      </w:r>
      <w:r w:rsidR="00066A1C" w:rsidRPr="00D22649">
        <w:rPr>
          <w:rFonts w:ascii="Times New Roman" w:hAnsi="Times New Roman" w:cs="Times New Roman"/>
          <w:sz w:val="24"/>
          <w:szCs w:val="24"/>
        </w:rPr>
        <w:t>nce of even greater extremity.</w:t>
      </w:r>
      <w:r w:rsidR="00B57E08" w:rsidRPr="00D22649">
        <w:rPr>
          <w:rStyle w:val="FootnoteReference"/>
          <w:rFonts w:ascii="Times New Roman" w:hAnsi="Times New Roman" w:cs="Times New Roman"/>
          <w:sz w:val="24"/>
          <w:szCs w:val="24"/>
        </w:rPr>
        <w:footnoteReference w:id="39"/>
      </w:r>
      <w:r w:rsidR="00066A1C" w:rsidRPr="00D22649">
        <w:rPr>
          <w:rFonts w:ascii="Times New Roman" w:hAnsi="Times New Roman" w:cs="Times New Roman"/>
          <w:sz w:val="24"/>
          <w:szCs w:val="24"/>
        </w:rPr>
        <w:t xml:space="preserve">  T</w:t>
      </w:r>
      <w:r w:rsidR="00B512AA" w:rsidRPr="00D22649">
        <w:rPr>
          <w:rFonts w:ascii="Times New Roman" w:hAnsi="Times New Roman" w:cs="Times New Roman"/>
          <w:sz w:val="24"/>
          <w:szCs w:val="24"/>
        </w:rPr>
        <w:t xml:space="preserve">he communications, brought </w:t>
      </w:r>
      <w:r w:rsidR="00C13C95" w:rsidRPr="00D22649">
        <w:rPr>
          <w:rFonts w:ascii="Times New Roman" w:hAnsi="Times New Roman" w:cs="Times New Roman"/>
          <w:sz w:val="24"/>
          <w:szCs w:val="24"/>
        </w:rPr>
        <w:t xml:space="preserve">on behalf of the victims’ families </w:t>
      </w:r>
      <w:r w:rsidR="00B512AA" w:rsidRPr="00D22649">
        <w:rPr>
          <w:rFonts w:ascii="Times New Roman" w:hAnsi="Times New Roman" w:cs="Times New Roman"/>
          <w:sz w:val="24"/>
          <w:szCs w:val="24"/>
        </w:rPr>
        <w:t xml:space="preserve">by </w:t>
      </w:r>
      <w:r w:rsidR="00C13C95" w:rsidRPr="00D22649">
        <w:rPr>
          <w:rFonts w:ascii="Times New Roman" w:hAnsi="Times New Roman" w:cs="Times New Roman"/>
          <w:sz w:val="24"/>
          <w:szCs w:val="24"/>
        </w:rPr>
        <w:t>the Vienna Intervention Centre against Domestic Violence and the Association for Women's Access to Justice</w:t>
      </w:r>
      <w:r w:rsidR="00066A1C" w:rsidRPr="00D22649">
        <w:rPr>
          <w:rFonts w:ascii="Times New Roman" w:hAnsi="Times New Roman" w:cs="Times New Roman"/>
          <w:sz w:val="24"/>
          <w:szCs w:val="24"/>
        </w:rPr>
        <w:t>,</w:t>
      </w:r>
      <w:r w:rsidR="00B512AA" w:rsidRPr="00D22649">
        <w:rPr>
          <w:rFonts w:ascii="Times New Roman" w:hAnsi="Times New Roman" w:cs="Times New Roman"/>
          <w:sz w:val="24"/>
          <w:szCs w:val="24"/>
        </w:rPr>
        <w:t xml:space="preserve"> </w:t>
      </w:r>
      <w:r w:rsidR="00066A1C" w:rsidRPr="00D22649">
        <w:rPr>
          <w:rFonts w:ascii="Times New Roman" w:hAnsi="Times New Roman" w:cs="Times New Roman"/>
          <w:sz w:val="24"/>
          <w:szCs w:val="24"/>
        </w:rPr>
        <w:t>concerned</w:t>
      </w:r>
      <w:r w:rsidR="00B512AA" w:rsidRPr="00D22649">
        <w:rPr>
          <w:rFonts w:ascii="Times New Roman" w:hAnsi="Times New Roman" w:cs="Times New Roman"/>
          <w:sz w:val="24"/>
          <w:szCs w:val="24"/>
        </w:rPr>
        <w:t xml:space="preserve"> two </w:t>
      </w:r>
      <w:r w:rsidR="00120A34" w:rsidRPr="00D22649">
        <w:rPr>
          <w:rFonts w:ascii="Times New Roman" w:hAnsi="Times New Roman" w:cs="Times New Roman"/>
          <w:sz w:val="24"/>
          <w:szCs w:val="24"/>
        </w:rPr>
        <w:lastRenderedPageBreak/>
        <w:t>woman kil</w:t>
      </w:r>
      <w:r w:rsidR="00066A1C" w:rsidRPr="00D22649">
        <w:rPr>
          <w:rFonts w:ascii="Times New Roman" w:hAnsi="Times New Roman" w:cs="Times New Roman"/>
          <w:sz w:val="24"/>
          <w:szCs w:val="24"/>
        </w:rPr>
        <w:t xml:space="preserve">led by violent </w:t>
      </w:r>
      <w:r w:rsidR="00726482" w:rsidRPr="00D22649">
        <w:rPr>
          <w:rFonts w:ascii="Times New Roman" w:hAnsi="Times New Roman" w:cs="Times New Roman"/>
          <w:sz w:val="24"/>
          <w:szCs w:val="24"/>
        </w:rPr>
        <w:t>husbands</w:t>
      </w:r>
      <w:r w:rsidR="00066A1C" w:rsidRPr="00D22649">
        <w:rPr>
          <w:rFonts w:ascii="Times New Roman" w:hAnsi="Times New Roman" w:cs="Times New Roman"/>
          <w:sz w:val="24"/>
          <w:szCs w:val="24"/>
        </w:rPr>
        <w:t xml:space="preserve"> </w:t>
      </w:r>
      <w:r w:rsidR="00120A34" w:rsidRPr="00D22649">
        <w:rPr>
          <w:rFonts w:ascii="Times New Roman" w:hAnsi="Times New Roman" w:cs="Times New Roman"/>
          <w:sz w:val="24"/>
          <w:szCs w:val="24"/>
        </w:rPr>
        <w:t>against whom they had made numer</w:t>
      </w:r>
      <w:r w:rsidR="00066A1C" w:rsidRPr="00D22649">
        <w:rPr>
          <w:rFonts w:ascii="Times New Roman" w:hAnsi="Times New Roman" w:cs="Times New Roman"/>
          <w:sz w:val="24"/>
          <w:szCs w:val="24"/>
        </w:rPr>
        <w:t>ous complaints to the police.  In b</w:t>
      </w:r>
      <w:r w:rsidR="00120A34" w:rsidRPr="00D22649">
        <w:rPr>
          <w:rFonts w:ascii="Times New Roman" w:hAnsi="Times New Roman" w:cs="Times New Roman"/>
          <w:sz w:val="24"/>
          <w:szCs w:val="24"/>
        </w:rPr>
        <w:t xml:space="preserve">oth </w:t>
      </w:r>
      <w:r w:rsidR="00066A1C" w:rsidRPr="00D22649">
        <w:rPr>
          <w:rFonts w:ascii="Times New Roman" w:hAnsi="Times New Roman" w:cs="Times New Roman"/>
          <w:sz w:val="24"/>
          <w:szCs w:val="24"/>
        </w:rPr>
        <w:t>cases the men</w:t>
      </w:r>
      <w:r w:rsidR="00120A34" w:rsidRPr="00D22649">
        <w:rPr>
          <w:rFonts w:ascii="Times New Roman" w:hAnsi="Times New Roman" w:cs="Times New Roman"/>
          <w:sz w:val="24"/>
          <w:szCs w:val="24"/>
        </w:rPr>
        <w:t xml:space="preserve"> </w:t>
      </w:r>
      <w:r w:rsidR="003730B0" w:rsidRPr="00D22649">
        <w:rPr>
          <w:rFonts w:ascii="Times New Roman" w:hAnsi="Times New Roman" w:cs="Times New Roman"/>
          <w:sz w:val="24"/>
          <w:szCs w:val="24"/>
        </w:rPr>
        <w:t xml:space="preserve">had been </w:t>
      </w:r>
      <w:r w:rsidR="00120A34" w:rsidRPr="00D22649">
        <w:rPr>
          <w:rFonts w:ascii="Times New Roman" w:hAnsi="Times New Roman" w:cs="Times New Roman"/>
          <w:sz w:val="24"/>
          <w:szCs w:val="24"/>
        </w:rPr>
        <w:t xml:space="preserve">convicted </w:t>
      </w:r>
      <w:r w:rsidR="00066A1C" w:rsidRPr="00D22649">
        <w:rPr>
          <w:rFonts w:ascii="Times New Roman" w:hAnsi="Times New Roman" w:cs="Times New Roman"/>
          <w:sz w:val="24"/>
          <w:szCs w:val="24"/>
        </w:rPr>
        <w:t>of killing their spouse</w:t>
      </w:r>
      <w:r>
        <w:rPr>
          <w:rFonts w:ascii="Times New Roman" w:hAnsi="Times New Roman" w:cs="Times New Roman"/>
          <w:sz w:val="24"/>
          <w:szCs w:val="24"/>
        </w:rPr>
        <w:t>s</w:t>
      </w:r>
      <w:r w:rsidR="00066A1C" w:rsidRPr="00D22649">
        <w:rPr>
          <w:rFonts w:ascii="Times New Roman" w:hAnsi="Times New Roman" w:cs="Times New Roman"/>
          <w:sz w:val="24"/>
          <w:szCs w:val="24"/>
        </w:rPr>
        <w:t xml:space="preserve">, </w:t>
      </w:r>
      <w:r w:rsidR="00120A34" w:rsidRPr="00D22649">
        <w:rPr>
          <w:rFonts w:ascii="Times New Roman" w:hAnsi="Times New Roman" w:cs="Times New Roman"/>
          <w:sz w:val="24"/>
          <w:szCs w:val="24"/>
        </w:rPr>
        <w:t xml:space="preserve">but </w:t>
      </w:r>
      <w:r w:rsidR="00066A1C" w:rsidRPr="00D22649">
        <w:rPr>
          <w:rFonts w:ascii="Times New Roman" w:hAnsi="Times New Roman" w:cs="Times New Roman"/>
          <w:sz w:val="24"/>
          <w:szCs w:val="24"/>
        </w:rPr>
        <w:t xml:space="preserve">the </w:t>
      </w:r>
      <w:r w:rsidR="00120A34" w:rsidRPr="00D22649">
        <w:rPr>
          <w:rFonts w:ascii="Times New Roman" w:hAnsi="Times New Roman" w:cs="Times New Roman"/>
          <w:sz w:val="24"/>
          <w:szCs w:val="24"/>
        </w:rPr>
        <w:t>NGOs</w:t>
      </w:r>
      <w:r w:rsidR="00030429" w:rsidRPr="00D22649">
        <w:rPr>
          <w:rFonts w:ascii="Times New Roman" w:hAnsi="Times New Roman" w:cs="Times New Roman"/>
          <w:sz w:val="24"/>
          <w:szCs w:val="24"/>
        </w:rPr>
        <w:t xml:space="preserve"> pursued</w:t>
      </w:r>
      <w:r w:rsidR="00066A1C" w:rsidRPr="00D22649">
        <w:rPr>
          <w:rFonts w:ascii="Times New Roman" w:hAnsi="Times New Roman" w:cs="Times New Roman"/>
          <w:sz w:val="24"/>
          <w:szCs w:val="24"/>
        </w:rPr>
        <w:t xml:space="preserve"> the cases</w:t>
      </w:r>
      <w:r w:rsidR="00120A34" w:rsidRPr="00D22649">
        <w:rPr>
          <w:rFonts w:ascii="Times New Roman" w:hAnsi="Times New Roman" w:cs="Times New Roman"/>
          <w:sz w:val="24"/>
          <w:szCs w:val="24"/>
        </w:rPr>
        <w:t xml:space="preserve"> </w:t>
      </w:r>
      <w:r w:rsidR="000C1E5D" w:rsidRPr="00D22649">
        <w:rPr>
          <w:rFonts w:ascii="Times New Roman" w:hAnsi="Times New Roman" w:cs="Times New Roman"/>
          <w:sz w:val="24"/>
          <w:szCs w:val="24"/>
        </w:rPr>
        <w:t>in order to engender</w:t>
      </w:r>
      <w:r w:rsidR="001F6355" w:rsidRPr="00D22649">
        <w:rPr>
          <w:rFonts w:ascii="Times New Roman" w:hAnsi="Times New Roman" w:cs="Times New Roman"/>
          <w:sz w:val="24"/>
          <w:szCs w:val="24"/>
        </w:rPr>
        <w:t xml:space="preserve"> </w:t>
      </w:r>
      <w:r w:rsidR="00120A34" w:rsidRPr="00D22649">
        <w:rPr>
          <w:rFonts w:ascii="Times New Roman" w:hAnsi="Times New Roman" w:cs="Times New Roman"/>
          <w:sz w:val="24"/>
          <w:szCs w:val="24"/>
        </w:rPr>
        <w:t xml:space="preserve">structural reforms.  </w:t>
      </w:r>
      <w:r w:rsidR="00066A1C" w:rsidRPr="00D22649">
        <w:rPr>
          <w:rFonts w:ascii="Times New Roman" w:hAnsi="Times New Roman" w:cs="Times New Roman"/>
          <w:sz w:val="24"/>
          <w:szCs w:val="24"/>
        </w:rPr>
        <w:t>Again</w:t>
      </w:r>
      <w:r w:rsidR="00CB68DC" w:rsidRPr="00D22649">
        <w:rPr>
          <w:rFonts w:ascii="Times New Roman" w:hAnsi="Times New Roman" w:cs="Times New Roman"/>
          <w:sz w:val="24"/>
          <w:szCs w:val="24"/>
        </w:rPr>
        <w:t xml:space="preserve"> adopting a gendered approach towards state responsibility,</w:t>
      </w:r>
      <w:r w:rsidR="00066A1C" w:rsidRPr="00D22649">
        <w:rPr>
          <w:rFonts w:ascii="Times New Roman" w:hAnsi="Times New Roman" w:cs="Times New Roman"/>
          <w:sz w:val="24"/>
          <w:szCs w:val="24"/>
        </w:rPr>
        <w:t xml:space="preserve"> the Committee</w:t>
      </w:r>
      <w:r w:rsidR="00120A34" w:rsidRPr="00D22649">
        <w:rPr>
          <w:rFonts w:ascii="Times New Roman" w:hAnsi="Times New Roman" w:cs="Times New Roman"/>
          <w:sz w:val="24"/>
          <w:szCs w:val="24"/>
        </w:rPr>
        <w:t xml:space="preserve"> found systematic failings in the way domestic violence cases were handled</w:t>
      </w:r>
      <w:r w:rsidR="00F60F10" w:rsidRPr="00D22649">
        <w:rPr>
          <w:rFonts w:ascii="Times New Roman" w:hAnsi="Times New Roman" w:cs="Times New Roman"/>
          <w:sz w:val="24"/>
          <w:szCs w:val="24"/>
        </w:rPr>
        <w:t xml:space="preserve"> that </w:t>
      </w:r>
      <w:r w:rsidR="00AD4E98" w:rsidRPr="00D22649">
        <w:rPr>
          <w:rFonts w:ascii="Times New Roman" w:hAnsi="Times New Roman" w:cs="Times New Roman"/>
          <w:sz w:val="24"/>
          <w:szCs w:val="24"/>
        </w:rPr>
        <w:t>fell</w:t>
      </w:r>
      <w:r w:rsidR="00242768" w:rsidRPr="00D22649">
        <w:rPr>
          <w:rFonts w:ascii="Times New Roman" w:hAnsi="Times New Roman" w:cs="Times New Roman"/>
          <w:sz w:val="24"/>
          <w:szCs w:val="24"/>
        </w:rPr>
        <w:t xml:space="preserve"> well</w:t>
      </w:r>
      <w:r w:rsidR="00AD4E98" w:rsidRPr="00D22649">
        <w:rPr>
          <w:rFonts w:ascii="Times New Roman" w:hAnsi="Times New Roman" w:cs="Times New Roman"/>
          <w:sz w:val="24"/>
          <w:szCs w:val="24"/>
        </w:rPr>
        <w:t xml:space="preserve"> short of its due diligence obligations under</w:t>
      </w:r>
      <w:r w:rsidR="00F60F10" w:rsidRPr="00D22649">
        <w:rPr>
          <w:rFonts w:ascii="Times New Roman" w:hAnsi="Times New Roman" w:cs="Times New Roman"/>
          <w:sz w:val="24"/>
          <w:szCs w:val="24"/>
        </w:rPr>
        <w:t xml:space="preserve"> CEDAW</w:t>
      </w:r>
      <w:r w:rsidR="00AD4E98" w:rsidRPr="00D22649">
        <w:rPr>
          <w:rFonts w:ascii="Times New Roman" w:hAnsi="Times New Roman" w:cs="Times New Roman"/>
          <w:sz w:val="24"/>
          <w:szCs w:val="24"/>
        </w:rPr>
        <w:t>.  Indeed, the Committee set</w:t>
      </w:r>
      <w:r w:rsidR="00120A34" w:rsidRPr="00D22649">
        <w:rPr>
          <w:rFonts w:ascii="Times New Roman" w:hAnsi="Times New Roman" w:cs="Times New Roman"/>
          <w:sz w:val="24"/>
          <w:szCs w:val="24"/>
        </w:rPr>
        <w:t xml:space="preserve"> a </w:t>
      </w:r>
      <w:r w:rsidR="00AD4E98" w:rsidRPr="00D22649">
        <w:rPr>
          <w:rFonts w:ascii="Times New Roman" w:hAnsi="Times New Roman" w:cs="Times New Roman"/>
          <w:sz w:val="24"/>
          <w:szCs w:val="24"/>
        </w:rPr>
        <w:t xml:space="preserve">relatively </w:t>
      </w:r>
      <w:r w:rsidR="00120A34" w:rsidRPr="00D22649">
        <w:rPr>
          <w:rFonts w:ascii="Times New Roman" w:hAnsi="Times New Roman" w:cs="Times New Roman"/>
          <w:sz w:val="24"/>
          <w:szCs w:val="24"/>
        </w:rPr>
        <w:t>high standard</w:t>
      </w:r>
      <w:r w:rsidR="000C1E5D" w:rsidRPr="00D22649">
        <w:rPr>
          <w:rFonts w:ascii="Times New Roman" w:hAnsi="Times New Roman" w:cs="Times New Roman"/>
          <w:sz w:val="24"/>
          <w:szCs w:val="24"/>
        </w:rPr>
        <w:t xml:space="preserve"> that took</w:t>
      </w:r>
      <w:r w:rsidR="00120A34" w:rsidRPr="00D22649">
        <w:rPr>
          <w:rFonts w:ascii="Times New Roman" w:hAnsi="Times New Roman" w:cs="Times New Roman"/>
          <w:sz w:val="24"/>
          <w:szCs w:val="24"/>
        </w:rPr>
        <w:t xml:space="preserve"> into account the individual women’s particular vulnerability.</w:t>
      </w:r>
      <w:r w:rsidR="00FC6BDA" w:rsidRPr="00D22649">
        <w:rPr>
          <w:rStyle w:val="FootnoteReference"/>
          <w:rFonts w:ascii="Times New Roman" w:hAnsi="Times New Roman" w:cs="Times New Roman"/>
          <w:sz w:val="24"/>
          <w:szCs w:val="24"/>
        </w:rPr>
        <w:footnoteReference w:id="40"/>
      </w:r>
      <w:r w:rsidR="00120A34" w:rsidRPr="00D22649">
        <w:rPr>
          <w:rFonts w:ascii="Times New Roman" w:hAnsi="Times New Roman" w:cs="Times New Roman"/>
          <w:sz w:val="24"/>
          <w:szCs w:val="24"/>
        </w:rPr>
        <w:t xml:space="preserve">  </w:t>
      </w:r>
      <w:r w:rsidR="00945627" w:rsidRPr="00D22649">
        <w:rPr>
          <w:rFonts w:ascii="Times New Roman" w:hAnsi="Times New Roman" w:cs="Times New Roman"/>
          <w:sz w:val="24"/>
          <w:szCs w:val="24"/>
        </w:rPr>
        <w:t xml:space="preserve">Echoing its decision in </w:t>
      </w:r>
      <w:r w:rsidR="00945627" w:rsidRPr="00D22649">
        <w:rPr>
          <w:rFonts w:ascii="Times New Roman" w:hAnsi="Times New Roman" w:cs="Times New Roman"/>
          <w:i/>
          <w:sz w:val="24"/>
          <w:szCs w:val="24"/>
        </w:rPr>
        <w:t>A.T</w:t>
      </w:r>
      <w:r w:rsidR="00582319" w:rsidRPr="00D22649">
        <w:rPr>
          <w:rFonts w:ascii="Times New Roman" w:hAnsi="Times New Roman" w:cs="Times New Roman"/>
          <w:i/>
          <w:sz w:val="24"/>
          <w:szCs w:val="24"/>
        </w:rPr>
        <w:t>.</w:t>
      </w:r>
      <w:r w:rsidR="00945627" w:rsidRPr="00D22649">
        <w:rPr>
          <w:rFonts w:ascii="Times New Roman" w:hAnsi="Times New Roman" w:cs="Times New Roman"/>
          <w:sz w:val="24"/>
          <w:szCs w:val="24"/>
        </w:rPr>
        <w:t xml:space="preserve">, the Committee asserted </w:t>
      </w:r>
      <w:r w:rsidR="00726482" w:rsidRPr="00D22649">
        <w:rPr>
          <w:rFonts w:ascii="Times New Roman" w:hAnsi="Times New Roman" w:cs="Times New Roman"/>
          <w:sz w:val="24"/>
          <w:szCs w:val="24"/>
        </w:rPr>
        <w:t xml:space="preserve">in both </w:t>
      </w:r>
      <w:r w:rsidR="00726482" w:rsidRPr="00D22649">
        <w:rPr>
          <w:rFonts w:ascii="Times New Roman" w:hAnsi="Times New Roman" w:cs="Times New Roman"/>
          <w:i/>
          <w:sz w:val="24"/>
          <w:szCs w:val="24"/>
        </w:rPr>
        <w:t>Goekce</w:t>
      </w:r>
      <w:r w:rsidR="00726482" w:rsidRPr="00D22649">
        <w:rPr>
          <w:rFonts w:ascii="Times New Roman" w:hAnsi="Times New Roman" w:cs="Times New Roman"/>
          <w:sz w:val="24"/>
          <w:szCs w:val="24"/>
        </w:rPr>
        <w:t xml:space="preserve"> and </w:t>
      </w:r>
      <w:r w:rsidR="00726482" w:rsidRPr="00D22649">
        <w:rPr>
          <w:rFonts w:ascii="Times New Roman" w:hAnsi="Times New Roman" w:cs="Times New Roman"/>
          <w:i/>
          <w:sz w:val="24"/>
          <w:szCs w:val="24"/>
        </w:rPr>
        <w:t>Yildrim</w:t>
      </w:r>
      <w:r w:rsidR="00726482" w:rsidRPr="00D22649">
        <w:rPr>
          <w:rFonts w:ascii="Times New Roman" w:hAnsi="Times New Roman" w:cs="Times New Roman"/>
          <w:sz w:val="24"/>
          <w:szCs w:val="24"/>
        </w:rPr>
        <w:t xml:space="preserve"> </w:t>
      </w:r>
      <w:r w:rsidR="00C318C7" w:rsidRPr="00D22649">
        <w:rPr>
          <w:rFonts w:ascii="Times New Roman" w:hAnsi="Times New Roman" w:cs="Times New Roman"/>
          <w:sz w:val="24"/>
          <w:szCs w:val="24"/>
        </w:rPr>
        <w:t>that ‘</w:t>
      </w:r>
      <w:r w:rsidR="00120A34" w:rsidRPr="00D22649">
        <w:rPr>
          <w:rFonts w:ascii="Times New Roman" w:hAnsi="Times New Roman" w:cs="Times New Roman"/>
          <w:sz w:val="24"/>
          <w:szCs w:val="24"/>
        </w:rPr>
        <w:t>women’s human rights to life an</w:t>
      </w:r>
      <w:r w:rsidR="00C318C7" w:rsidRPr="00D22649">
        <w:rPr>
          <w:rFonts w:ascii="Times New Roman" w:hAnsi="Times New Roman" w:cs="Times New Roman"/>
          <w:sz w:val="24"/>
          <w:szCs w:val="24"/>
        </w:rPr>
        <w:t>d to human and mental integrity’</w:t>
      </w:r>
      <w:r w:rsidR="00945627" w:rsidRPr="00D22649">
        <w:rPr>
          <w:rFonts w:ascii="Times New Roman" w:hAnsi="Times New Roman" w:cs="Times New Roman"/>
          <w:sz w:val="24"/>
          <w:szCs w:val="24"/>
        </w:rPr>
        <w:t xml:space="preserve"> cannot be </w:t>
      </w:r>
      <w:r w:rsidR="00582319" w:rsidRPr="00D22649">
        <w:rPr>
          <w:rFonts w:ascii="Times New Roman" w:hAnsi="Times New Roman" w:cs="Times New Roman"/>
          <w:sz w:val="24"/>
          <w:szCs w:val="24"/>
        </w:rPr>
        <w:t>trumped by the rights of perpetrators</w:t>
      </w:r>
      <w:r w:rsidR="00120A34" w:rsidRPr="00D22649">
        <w:rPr>
          <w:rFonts w:ascii="Times New Roman" w:hAnsi="Times New Roman" w:cs="Times New Roman"/>
          <w:sz w:val="24"/>
          <w:szCs w:val="24"/>
        </w:rPr>
        <w:t>.</w:t>
      </w:r>
      <w:r w:rsidR="00726482" w:rsidRPr="00D22649">
        <w:rPr>
          <w:rStyle w:val="FootnoteReference"/>
          <w:rFonts w:ascii="Times New Roman" w:hAnsi="Times New Roman" w:cs="Times New Roman"/>
          <w:sz w:val="24"/>
          <w:szCs w:val="24"/>
        </w:rPr>
        <w:footnoteReference w:id="41"/>
      </w:r>
      <w:r w:rsidR="00120A34" w:rsidRPr="00D22649">
        <w:rPr>
          <w:rFonts w:ascii="Times New Roman" w:hAnsi="Times New Roman" w:cs="Times New Roman"/>
          <w:sz w:val="24"/>
          <w:szCs w:val="24"/>
        </w:rPr>
        <w:t xml:space="preserve">  </w:t>
      </w:r>
    </w:p>
    <w:p w14:paraId="1F4FE3D4" w14:textId="61F866C7" w:rsidR="00582319" w:rsidRPr="00D22649" w:rsidRDefault="003C2195" w:rsidP="00D2264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582319" w:rsidRPr="00D22649">
        <w:rPr>
          <w:rFonts w:ascii="Times New Roman" w:hAnsi="Times New Roman" w:cs="Times New Roman"/>
          <w:sz w:val="24"/>
          <w:szCs w:val="24"/>
        </w:rPr>
        <w:t xml:space="preserve">In each of these </w:t>
      </w:r>
      <w:r w:rsidR="00360028" w:rsidRPr="00D22649">
        <w:rPr>
          <w:rFonts w:ascii="Times New Roman" w:hAnsi="Times New Roman" w:cs="Times New Roman"/>
          <w:sz w:val="24"/>
          <w:szCs w:val="24"/>
        </w:rPr>
        <w:t xml:space="preserve">three </w:t>
      </w:r>
      <w:r w:rsidR="00582319" w:rsidRPr="00D22649">
        <w:rPr>
          <w:rFonts w:ascii="Times New Roman" w:hAnsi="Times New Roman" w:cs="Times New Roman"/>
          <w:sz w:val="24"/>
          <w:szCs w:val="24"/>
        </w:rPr>
        <w:t xml:space="preserve">cases the Committee </w:t>
      </w:r>
      <w:r w:rsidR="00CC651D" w:rsidRPr="00D22649">
        <w:rPr>
          <w:rFonts w:ascii="Times New Roman" w:hAnsi="Times New Roman" w:cs="Times New Roman"/>
          <w:sz w:val="24"/>
          <w:szCs w:val="24"/>
        </w:rPr>
        <w:t xml:space="preserve">adopted </w:t>
      </w:r>
      <w:r w:rsidR="00582319" w:rsidRPr="00D22649">
        <w:rPr>
          <w:rFonts w:ascii="Times New Roman" w:hAnsi="Times New Roman" w:cs="Times New Roman"/>
          <w:sz w:val="24"/>
          <w:szCs w:val="24"/>
        </w:rPr>
        <w:t xml:space="preserve">comprehensive Recommendations that combined the particular and the general.  In </w:t>
      </w:r>
      <w:r w:rsidR="00582319" w:rsidRPr="00D22649">
        <w:rPr>
          <w:rFonts w:ascii="Times New Roman" w:hAnsi="Times New Roman" w:cs="Times New Roman"/>
          <w:i/>
          <w:sz w:val="24"/>
          <w:szCs w:val="24"/>
        </w:rPr>
        <w:t>A.T.</w:t>
      </w:r>
      <w:r w:rsidR="00582319" w:rsidRPr="00D22649">
        <w:rPr>
          <w:rFonts w:ascii="Times New Roman" w:hAnsi="Times New Roman" w:cs="Times New Roman"/>
          <w:sz w:val="24"/>
          <w:szCs w:val="24"/>
        </w:rPr>
        <w:t xml:space="preserve"> it asked the </w:t>
      </w:r>
      <w:r>
        <w:rPr>
          <w:rFonts w:ascii="Times New Roman" w:hAnsi="Times New Roman" w:cs="Times New Roman"/>
          <w:sz w:val="24"/>
          <w:szCs w:val="24"/>
        </w:rPr>
        <w:t>s</w:t>
      </w:r>
      <w:r w:rsidR="00582319" w:rsidRPr="00D22649">
        <w:rPr>
          <w:rFonts w:ascii="Times New Roman" w:hAnsi="Times New Roman" w:cs="Times New Roman"/>
          <w:sz w:val="24"/>
          <w:szCs w:val="24"/>
        </w:rPr>
        <w:t>tate to ensure the author’s safety, to provide her with housing and financial support, reparation</w:t>
      </w:r>
      <w:r>
        <w:rPr>
          <w:rFonts w:ascii="Times New Roman" w:hAnsi="Times New Roman" w:cs="Times New Roman"/>
          <w:sz w:val="24"/>
          <w:szCs w:val="24"/>
        </w:rPr>
        <w:t>,</w:t>
      </w:r>
      <w:r w:rsidR="00582319" w:rsidRPr="00D22649">
        <w:rPr>
          <w:rFonts w:ascii="Times New Roman" w:hAnsi="Times New Roman" w:cs="Times New Roman"/>
          <w:sz w:val="24"/>
          <w:szCs w:val="24"/>
        </w:rPr>
        <w:t xml:space="preserve"> and legal assistance</w:t>
      </w:r>
      <w:r w:rsidR="00CC651D" w:rsidRPr="00D22649">
        <w:rPr>
          <w:rFonts w:ascii="Times New Roman" w:hAnsi="Times New Roman" w:cs="Times New Roman"/>
          <w:sz w:val="24"/>
          <w:szCs w:val="24"/>
        </w:rPr>
        <w:t>;</w:t>
      </w:r>
      <w:r w:rsidR="00582319" w:rsidRPr="00D22649">
        <w:rPr>
          <w:rFonts w:ascii="Times New Roman" w:hAnsi="Times New Roman" w:cs="Times New Roman"/>
          <w:sz w:val="24"/>
          <w:szCs w:val="24"/>
        </w:rPr>
        <w:t xml:space="preserve"> </w:t>
      </w:r>
      <w:r w:rsidR="00CC651D" w:rsidRPr="00D22649">
        <w:rPr>
          <w:rFonts w:ascii="Times New Roman" w:hAnsi="Times New Roman" w:cs="Times New Roman"/>
          <w:sz w:val="24"/>
          <w:szCs w:val="24"/>
        </w:rPr>
        <w:t xml:space="preserve">it </w:t>
      </w:r>
      <w:r w:rsidR="00A906D3" w:rsidRPr="00D22649">
        <w:rPr>
          <w:rFonts w:ascii="Times New Roman" w:hAnsi="Times New Roman" w:cs="Times New Roman"/>
          <w:sz w:val="24"/>
          <w:szCs w:val="24"/>
        </w:rPr>
        <w:t xml:space="preserve">further </w:t>
      </w:r>
      <w:r w:rsidR="00CC651D" w:rsidRPr="00D22649">
        <w:rPr>
          <w:rFonts w:ascii="Times New Roman" w:hAnsi="Times New Roman" w:cs="Times New Roman"/>
          <w:sz w:val="24"/>
          <w:szCs w:val="24"/>
        </w:rPr>
        <w:t>called</w:t>
      </w:r>
      <w:r w:rsidR="00360028" w:rsidRPr="00D22649">
        <w:rPr>
          <w:rFonts w:ascii="Times New Roman" w:hAnsi="Times New Roman" w:cs="Times New Roman"/>
          <w:sz w:val="24"/>
          <w:szCs w:val="24"/>
        </w:rPr>
        <w:t xml:space="preserve"> </w:t>
      </w:r>
      <w:r w:rsidR="00582319" w:rsidRPr="00D22649">
        <w:rPr>
          <w:rFonts w:ascii="Times New Roman" w:hAnsi="Times New Roman" w:cs="Times New Roman"/>
          <w:sz w:val="24"/>
          <w:szCs w:val="24"/>
        </w:rPr>
        <w:t>for general measures to protect victims of domestic violence, including the introduction of specific law</w:t>
      </w:r>
      <w:r w:rsidR="00360028" w:rsidRPr="00D22649">
        <w:rPr>
          <w:rFonts w:ascii="Times New Roman" w:hAnsi="Times New Roman" w:cs="Times New Roman"/>
          <w:sz w:val="24"/>
          <w:szCs w:val="24"/>
        </w:rPr>
        <w:t xml:space="preserve">s, the </w:t>
      </w:r>
      <w:r w:rsidR="00582319" w:rsidRPr="00D22649">
        <w:rPr>
          <w:rFonts w:ascii="Times New Roman" w:hAnsi="Times New Roman" w:cs="Times New Roman"/>
          <w:sz w:val="24"/>
          <w:szCs w:val="24"/>
        </w:rPr>
        <w:t xml:space="preserve">provision of safe shelters and exclusion orders, </w:t>
      </w:r>
      <w:r w:rsidR="00A906D3" w:rsidRPr="00D22649">
        <w:rPr>
          <w:rFonts w:ascii="Times New Roman" w:hAnsi="Times New Roman" w:cs="Times New Roman"/>
          <w:sz w:val="24"/>
          <w:szCs w:val="24"/>
        </w:rPr>
        <w:t xml:space="preserve">as well as </w:t>
      </w:r>
      <w:r w:rsidR="00582319" w:rsidRPr="00D22649">
        <w:rPr>
          <w:rFonts w:ascii="Times New Roman" w:hAnsi="Times New Roman" w:cs="Times New Roman"/>
          <w:sz w:val="24"/>
          <w:szCs w:val="24"/>
        </w:rPr>
        <w:t>the introduction of rehabilitation programmes for offenders.</w:t>
      </w:r>
      <w:r w:rsidR="00A51B3A" w:rsidRPr="00D22649">
        <w:rPr>
          <w:rFonts w:ascii="Times New Roman" w:hAnsi="Times New Roman" w:cs="Times New Roman"/>
          <w:sz w:val="24"/>
          <w:szCs w:val="24"/>
        </w:rPr>
        <w:t xml:space="preserve">  In </w:t>
      </w:r>
      <w:r w:rsidR="00A51B3A" w:rsidRPr="00D22649">
        <w:rPr>
          <w:rFonts w:ascii="Times New Roman" w:hAnsi="Times New Roman" w:cs="Times New Roman"/>
          <w:i/>
          <w:sz w:val="24"/>
          <w:szCs w:val="24"/>
        </w:rPr>
        <w:t>Goekce</w:t>
      </w:r>
      <w:r w:rsidR="00A51B3A" w:rsidRPr="00D22649">
        <w:rPr>
          <w:rFonts w:ascii="Times New Roman" w:hAnsi="Times New Roman" w:cs="Times New Roman"/>
          <w:sz w:val="24"/>
          <w:szCs w:val="24"/>
        </w:rPr>
        <w:t xml:space="preserve"> and </w:t>
      </w:r>
      <w:r w:rsidR="00A51B3A" w:rsidRPr="00D22649">
        <w:rPr>
          <w:rFonts w:ascii="Times New Roman" w:hAnsi="Times New Roman" w:cs="Times New Roman"/>
          <w:i/>
          <w:sz w:val="24"/>
          <w:szCs w:val="24"/>
        </w:rPr>
        <w:t>Yildrim</w:t>
      </w:r>
      <w:r w:rsidR="00CC651D" w:rsidRPr="00D22649">
        <w:rPr>
          <w:rFonts w:ascii="Times New Roman" w:hAnsi="Times New Roman" w:cs="Times New Roman"/>
          <w:sz w:val="24"/>
          <w:szCs w:val="24"/>
        </w:rPr>
        <w:t xml:space="preserve">, </w:t>
      </w:r>
      <w:r w:rsidR="00832089" w:rsidRPr="00D22649">
        <w:rPr>
          <w:rFonts w:ascii="Times New Roman" w:hAnsi="Times New Roman" w:cs="Times New Roman"/>
          <w:sz w:val="24"/>
          <w:szCs w:val="24"/>
        </w:rPr>
        <w:t>it c</w:t>
      </w:r>
      <w:r w:rsidR="00A51B3A" w:rsidRPr="00D22649">
        <w:rPr>
          <w:rFonts w:ascii="Times New Roman" w:hAnsi="Times New Roman" w:cs="Times New Roman"/>
          <w:sz w:val="24"/>
          <w:szCs w:val="24"/>
        </w:rPr>
        <w:t>all</w:t>
      </w:r>
      <w:r w:rsidR="00D92030" w:rsidRPr="00D22649">
        <w:rPr>
          <w:rFonts w:ascii="Times New Roman" w:hAnsi="Times New Roman" w:cs="Times New Roman"/>
          <w:sz w:val="24"/>
          <w:szCs w:val="24"/>
        </w:rPr>
        <w:t>ed</w:t>
      </w:r>
      <w:r w:rsidR="00A51B3A" w:rsidRPr="00D22649">
        <w:rPr>
          <w:rFonts w:ascii="Times New Roman" w:hAnsi="Times New Roman" w:cs="Times New Roman"/>
          <w:sz w:val="24"/>
          <w:szCs w:val="24"/>
        </w:rPr>
        <w:t xml:space="preserve"> upon Austria to strengthen implementation of </w:t>
      </w:r>
      <w:r w:rsidR="00D92030" w:rsidRPr="00D22649">
        <w:rPr>
          <w:rFonts w:ascii="Times New Roman" w:hAnsi="Times New Roman" w:cs="Times New Roman"/>
          <w:sz w:val="24"/>
          <w:szCs w:val="24"/>
        </w:rPr>
        <w:t>domestic violence</w:t>
      </w:r>
      <w:r w:rsidR="00A906D3" w:rsidRPr="00D22649">
        <w:rPr>
          <w:rFonts w:ascii="Times New Roman" w:hAnsi="Times New Roman" w:cs="Times New Roman"/>
          <w:sz w:val="24"/>
          <w:szCs w:val="24"/>
        </w:rPr>
        <w:t xml:space="preserve"> laws</w:t>
      </w:r>
      <w:r w:rsidR="00D92030" w:rsidRPr="00D22649">
        <w:rPr>
          <w:rFonts w:ascii="Times New Roman" w:hAnsi="Times New Roman" w:cs="Times New Roman"/>
          <w:sz w:val="24"/>
          <w:szCs w:val="24"/>
        </w:rPr>
        <w:t>, to prosecute</w:t>
      </w:r>
      <w:r w:rsidR="00BC75E2" w:rsidRPr="00D22649">
        <w:rPr>
          <w:rFonts w:ascii="Times New Roman" w:hAnsi="Times New Roman" w:cs="Times New Roman"/>
          <w:sz w:val="24"/>
          <w:szCs w:val="24"/>
        </w:rPr>
        <w:t xml:space="preserve"> offenders diligently, to</w:t>
      </w:r>
      <w:r w:rsidR="00A51B3A" w:rsidRPr="00D22649">
        <w:rPr>
          <w:rFonts w:ascii="Times New Roman" w:hAnsi="Times New Roman" w:cs="Times New Roman"/>
          <w:sz w:val="24"/>
          <w:szCs w:val="24"/>
        </w:rPr>
        <w:t xml:space="preserve"> enhance </w:t>
      </w:r>
      <w:r w:rsidR="00AC47D0" w:rsidRPr="00D22649">
        <w:rPr>
          <w:rFonts w:ascii="Times New Roman" w:hAnsi="Times New Roman" w:cs="Times New Roman"/>
          <w:sz w:val="24"/>
          <w:szCs w:val="24"/>
        </w:rPr>
        <w:t xml:space="preserve">the </w:t>
      </w:r>
      <w:r w:rsidR="00A51B3A" w:rsidRPr="00D22649">
        <w:rPr>
          <w:rFonts w:ascii="Times New Roman" w:hAnsi="Times New Roman" w:cs="Times New Roman"/>
          <w:sz w:val="24"/>
          <w:szCs w:val="24"/>
        </w:rPr>
        <w:t>co-ordination of ag</w:t>
      </w:r>
      <w:r w:rsidR="00BC75E2" w:rsidRPr="00D22649">
        <w:rPr>
          <w:rFonts w:ascii="Times New Roman" w:hAnsi="Times New Roman" w:cs="Times New Roman"/>
          <w:sz w:val="24"/>
          <w:szCs w:val="24"/>
        </w:rPr>
        <w:t xml:space="preserve">encies and </w:t>
      </w:r>
      <w:r w:rsidR="00AC47D0" w:rsidRPr="00D22649">
        <w:rPr>
          <w:rFonts w:ascii="Times New Roman" w:hAnsi="Times New Roman" w:cs="Times New Roman"/>
          <w:sz w:val="24"/>
          <w:szCs w:val="24"/>
        </w:rPr>
        <w:t xml:space="preserve">to </w:t>
      </w:r>
      <w:r w:rsidR="00BC75E2" w:rsidRPr="00D22649">
        <w:rPr>
          <w:rFonts w:ascii="Times New Roman" w:hAnsi="Times New Roman" w:cs="Times New Roman"/>
          <w:sz w:val="24"/>
          <w:szCs w:val="24"/>
        </w:rPr>
        <w:t xml:space="preserve">co-operate with </w:t>
      </w:r>
      <w:r w:rsidR="00A906D3" w:rsidRPr="00D22649">
        <w:rPr>
          <w:rFonts w:ascii="Times New Roman" w:hAnsi="Times New Roman" w:cs="Times New Roman"/>
          <w:sz w:val="24"/>
          <w:szCs w:val="24"/>
        </w:rPr>
        <w:t xml:space="preserve">relevant </w:t>
      </w:r>
      <w:r w:rsidR="00BC75E2" w:rsidRPr="00D22649">
        <w:rPr>
          <w:rFonts w:ascii="Times New Roman" w:hAnsi="Times New Roman" w:cs="Times New Roman"/>
          <w:sz w:val="24"/>
          <w:szCs w:val="24"/>
        </w:rPr>
        <w:t xml:space="preserve">NGOs.  All three </w:t>
      </w:r>
      <w:r w:rsidR="00CC651D" w:rsidRPr="00D22649">
        <w:rPr>
          <w:rFonts w:ascii="Times New Roman" w:hAnsi="Times New Roman" w:cs="Times New Roman"/>
          <w:sz w:val="24"/>
          <w:szCs w:val="24"/>
        </w:rPr>
        <w:t xml:space="preserve">decisions </w:t>
      </w:r>
      <w:r w:rsidR="00BC75E2" w:rsidRPr="00D22649">
        <w:rPr>
          <w:rFonts w:ascii="Times New Roman" w:hAnsi="Times New Roman" w:cs="Times New Roman"/>
          <w:sz w:val="24"/>
          <w:szCs w:val="24"/>
        </w:rPr>
        <w:t xml:space="preserve">also called </w:t>
      </w:r>
      <w:r w:rsidR="00F47C27" w:rsidRPr="00D22649">
        <w:rPr>
          <w:rFonts w:ascii="Times New Roman" w:hAnsi="Times New Roman" w:cs="Times New Roman"/>
          <w:sz w:val="24"/>
          <w:szCs w:val="24"/>
        </w:rPr>
        <w:t>for</w:t>
      </w:r>
      <w:r w:rsidR="00BC75E2" w:rsidRPr="00D22649">
        <w:rPr>
          <w:rFonts w:ascii="Times New Roman" w:hAnsi="Times New Roman" w:cs="Times New Roman"/>
          <w:sz w:val="24"/>
          <w:szCs w:val="24"/>
        </w:rPr>
        <w:t xml:space="preserve"> strengthen</w:t>
      </w:r>
      <w:r w:rsidR="00F47C27" w:rsidRPr="00D22649">
        <w:rPr>
          <w:rFonts w:ascii="Times New Roman" w:hAnsi="Times New Roman" w:cs="Times New Roman"/>
          <w:sz w:val="24"/>
          <w:szCs w:val="24"/>
        </w:rPr>
        <w:t>ed</w:t>
      </w:r>
      <w:r w:rsidR="00A51B3A" w:rsidRPr="00D22649">
        <w:rPr>
          <w:rFonts w:ascii="Times New Roman" w:hAnsi="Times New Roman" w:cs="Times New Roman"/>
          <w:sz w:val="24"/>
          <w:szCs w:val="24"/>
        </w:rPr>
        <w:t xml:space="preserve"> tra</w:t>
      </w:r>
      <w:r w:rsidR="00BC75E2" w:rsidRPr="00D22649">
        <w:rPr>
          <w:rFonts w:ascii="Times New Roman" w:hAnsi="Times New Roman" w:cs="Times New Roman"/>
          <w:sz w:val="24"/>
          <w:szCs w:val="24"/>
        </w:rPr>
        <w:t>ining and education on CEDAW among relevant professionals and officials.</w:t>
      </w:r>
    </w:p>
    <w:p w14:paraId="01592719" w14:textId="77777777" w:rsidR="003C2195" w:rsidRDefault="003C2195" w:rsidP="005B6796">
      <w:pPr>
        <w:pStyle w:val="ListParagraph"/>
        <w:spacing w:after="0" w:line="360" w:lineRule="auto"/>
        <w:ind w:left="360"/>
        <w:jc w:val="both"/>
        <w:rPr>
          <w:rFonts w:ascii="Times New Roman" w:hAnsi="Times New Roman" w:cs="Times New Roman"/>
          <w:i/>
          <w:sz w:val="24"/>
          <w:szCs w:val="24"/>
        </w:rPr>
      </w:pPr>
    </w:p>
    <w:p w14:paraId="543D8B59" w14:textId="77777777" w:rsidR="00CD703B" w:rsidRPr="005B6796" w:rsidRDefault="003C2195" w:rsidP="005B6796">
      <w:pPr>
        <w:pStyle w:val="ListParagraph"/>
        <w:spacing w:after="0" w:line="360" w:lineRule="auto"/>
        <w:ind w:left="0"/>
        <w:jc w:val="both"/>
        <w:rPr>
          <w:rFonts w:ascii="Times New Roman" w:hAnsi="Times New Roman" w:cs="Times New Roman"/>
          <w:b/>
          <w:i/>
          <w:sz w:val="24"/>
          <w:szCs w:val="24"/>
        </w:rPr>
      </w:pPr>
      <w:r w:rsidRPr="005B6796">
        <w:rPr>
          <w:rFonts w:ascii="Times New Roman" w:hAnsi="Times New Roman" w:cs="Times New Roman"/>
          <w:b/>
          <w:i/>
          <w:sz w:val="24"/>
          <w:szCs w:val="24"/>
        </w:rPr>
        <w:t xml:space="preserve">B </w:t>
      </w:r>
      <w:r w:rsidRPr="005B6796">
        <w:rPr>
          <w:rFonts w:ascii="Times New Roman" w:hAnsi="Times New Roman" w:cs="Times New Roman"/>
          <w:b/>
          <w:i/>
          <w:sz w:val="24"/>
          <w:szCs w:val="24"/>
        </w:rPr>
        <w:tab/>
      </w:r>
      <w:r w:rsidR="00CD703B" w:rsidRPr="005B6796">
        <w:rPr>
          <w:rFonts w:ascii="Times New Roman" w:hAnsi="Times New Roman" w:cs="Times New Roman"/>
          <w:b/>
          <w:i/>
          <w:sz w:val="24"/>
          <w:szCs w:val="24"/>
        </w:rPr>
        <w:t>Sexual Violence</w:t>
      </w:r>
    </w:p>
    <w:p w14:paraId="5817C80C" w14:textId="3BFCD328" w:rsidR="006F1B84" w:rsidRPr="00D22649" w:rsidRDefault="00097A42"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i/>
          <w:sz w:val="24"/>
          <w:szCs w:val="24"/>
        </w:rPr>
        <w:t>Vertid</w:t>
      </w:r>
      <w:r w:rsidR="002659AE" w:rsidRPr="00D22649">
        <w:rPr>
          <w:rFonts w:ascii="Times New Roman" w:hAnsi="Times New Roman" w:cs="Times New Roman"/>
          <w:i/>
          <w:sz w:val="24"/>
          <w:szCs w:val="24"/>
        </w:rPr>
        <w:t>o v</w:t>
      </w:r>
      <w:r w:rsidR="003C2195">
        <w:rPr>
          <w:rFonts w:ascii="Times New Roman" w:hAnsi="Times New Roman" w:cs="Times New Roman"/>
          <w:i/>
          <w:sz w:val="24"/>
          <w:szCs w:val="24"/>
        </w:rPr>
        <w:t>.</w:t>
      </w:r>
      <w:r w:rsidR="002659AE" w:rsidRPr="00D22649">
        <w:rPr>
          <w:rFonts w:ascii="Times New Roman" w:hAnsi="Times New Roman" w:cs="Times New Roman"/>
          <w:i/>
          <w:sz w:val="24"/>
          <w:szCs w:val="24"/>
        </w:rPr>
        <w:t xml:space="preserve"> Philippines</w:t>
      </w:r>
      <w:r w:rsidR="001D7431" w:rsidRPr="00D22649">
        <w:rPr>
          <w:rStyle w:val="FootnoteReference"/>
          <w:rFonts w:ascii="Times New Roman" w:hAnsi="Times New Roman" w:cs="Times New Roman"/>
          <w:sz w:val="24"/>
          <w:szCs w:val="24"/>
        </w:rPr>
        <w:footnoteReference w:id="42"/>
      </w:r>
      <w:r w:rsidR="002659AE" w:rsidRPr="00D22649">
        <w:rPr>
          <w:rFonts w:ascii="Times New Roman" w:hAnsi="Times New Roman" w:cs="Times New Roman"/>
          <w:sz w:val="24"/>
          <w:szCs w:val="24"/>
        </w:rPr>
        <w:t xml:space="preserve"> </w:t>
      </w:r>
      <w:r w:rsidR="00CC651D" w:rsidRPr="00D22649">
        <w:rPr>
          <w:rFonts w:ascii="Times New Roman" w:hAnsi="Times New Roman" w:cs="Times New Roman"/>
          <w:sz w:val="24"/>
          <w:szCs w:val="24"/>
        </w:rPr>
        <w:t xml:space="preserve">concerned </w:t>
      </w:r>
      <w:r w:rsidR="002659AE" w:rsidRPr="00D22649">
        <w:rPr>
          <w:rFonts w:ascii="Times New Roman" w:hAnsi="Times New Roman" w:cs="Times New Roman"/>
          <w:sz w:val="24"/>
          <w:szCs w:val="24"/>
        </w:rPr>
        <w:t>the author</w:t>
      </w:r>
      <w:r w:rsidR="00CC651D" w:rsidRPr="00D22649">
        <w:rPr>
          <w:rFonts w:ascii="Times New Roman" w:hAnsi="Times New Roman" w:cs="Times New Roman"/>
          <w:sz w:val="24"/>
          <w:szCs w:val="24"/>
        </w:rPr>
        <w:t xml:space="preserve">’s </w:t>
      </w:r>
      <w:r w:rsidR="002659AE" w:rsidRPr="00D22649">
        <w:rPr>
          <w:rFonts w:ascii="Times New Roman" w:hAnsi="Times New Roman" w:cs="Times New Roman"/>
          <w:sz w:val="24"/>
          <w:szCs w:val="24"/>
        </w:rPr>
        <w:t xml:space="preserve">rape by the President of the Chamber of Commerce.  The criminal case brought against </w:t>
      </w:r>
      <w:r w:rsidR="00CC651D" w:rsidRPr="00D22649">
        <w:rPr>
          <w:rFonts w:ascii="Times New Roman" w:hAnsi="Times New Roman" w:cs="Times New Roman"/>
          <w:sz w:val="24"/>
          <w:szCs w:val="24"/>
        </w:rPr>
        <w:t xml:space="preserve">her assailant </w:t>
      </w:r>
      <w:r w:rsidR="002659AE" w:rsidRPr="00D22649">
        <w:rPr>
          <w:rFonts w:ascii="Times New Roman" w:hAnsi="Times New Roman" w:cs="Times New Roman"/>
          <w:sz w:val="24"/>
          <w:szCs w:val="24"/>
        </w:rPr>
        <w:t xml:space="preserve">floundered for eight years and was ultimately unsuccessful, with the trial judge finding that Ms Vertigo’s version of events </w:t>
      </w:r>
      <w:r w:rsidR="000C7479" w:rsidRPr="00D22649">
        <w:rPr>
          <w:rFonts w:ascii="Times New Roman" w:hAnsi="Times New Roman" w:cs="Times New Roman"/>
          <w:sz w:val="24"/>
          <w:szCs w:val="24"/>
        </w:rPr>
        <w:t>was un</w:t>
      </w:r>
      <w:r w:rsidR="006F1B84" w:rsidRPr="00D22649">
        <w:rPr>
          <w:rFonts w:ascii="Times New Roman" w:hAnsi="Times New Roman" w:cs="Times New Roman"/>
          <w:sz w:val="24"/>
          <w:szCs w:val="24"/>
        </w:rPr>
        <w:t>convincing</w:t>
      </w:r>
      <w:r w:rsidR="002659AE" w:rsidRPr="00D22649">
        <w:rPr>
          <w:rFonts w:ascii="Times New Roman" w:hAnsi="Times New Roman" w:cs="Times New Roman"/>
          <w:sz w:val="24"/>
          <w:szCs w:val="24"/>
        </w:rPr>
        <w:t>.  The Committee</w:t>
      </w:r>
      <w:r w:rsidR="00CB6E3A" w:rsidRPr="00D22649">
        <w:rPr>
          <w:rFonts w:ascii="Times New Roman" w:hAnsi="Times New Roman" w:cs="Times New Roman"/>
          <w:sz w:val="24"/>
          <w:szCs w:val="24"/>
        </w:rPr>
        <w:t xml:space="preserve"> in turn</w:t>
      </w:r>
      <w:r w:rsidR="002659AE" w:rsidRPr="00D22649">
        <w:rPr>
          <w:rFonts w:ascii="Times New Roman" w:hAnsi="Times New Roman" w:cs="Times New Roman"/>
          <w:sz w:val="24"/>
          <w:szCs w:val="24"/>
        </w:rPr>
        <w:t xml:space="preserve"> found that </w:t>
      </w:r>
      <w:r w:rsidR="006F1B84" w:rsidRPr="00D22649">
        <w:rPr>
          <w:rFonts w:ascii="Times New Roman" w:hAnsi="Times New Roman" w:cs="Times New Roman"/>
          <w:sz w:val="24"/>
          <w:szCs w:val="24"/>
        </w:rPr>
        <w:t xml:space="preserve">the trial judge had </w:t>
      </w:r>
      <w:r w:rsidR="001D73BF" w:rsidRPr="00D22649">
        <w:rPr>
          <w:rFonts w:ascii="Times New Roman" w:hAnsi="Times New Roman" w:cs="Times New Roman"/>
          <w:sz w:val="24"/>
          <w:szCs w:val="24"/>
        </w:rPr>
        <w:t xml:space="preserve">in her reasoning </w:t>
      </w:r>
      <w:r w:rsidR="006F1B84" w:rsidRPr="00D22649">
        <w:rPr>
          <w:rFonts w:ascii="Times New Roman" w:hAnsi="Times New Roman" w:cs="Times New Roman"/>
          <w:sz w:val="24"/>
          <w:szCs w:val="24"/>
        </w:rPr>
        <w:t xml:space="preserve">applied a number of </w:t>
      </w:r>
      <w:r w:rsidR="00923A75" w:rsidRPr="00D22649">
        <w:rPr>
          <w:rFonts w:ascii="Times New Roman" w:hAnsi="Times New Roman" w:cs="Times New Roman"/>
          <w:sz w:val="24"/>
          <w:szCs w:val="24"/>
        </w:rPr>
        <w:t xml:space="preserve">unsupportable </w:t>
      </w:r>
      <w:r w:rsidR="006F1B84" w:rsidRPr="00D22649">
        <w:rPr>
          <w:rFonts w:ascii="Times New Roman" w:hAnsi="Times New Roman" w:cs="Times New Roman"/>
          <w:sz w:val="24"/>
          <w:szCs w:val="24"/>
        </w:rPr>
        <w:t>stereotypes concerning the behaviour of rape victims and male sexuality</w:t>
      </w:r>
      <w:r w:rsidR="00E26750" w:rsidRPr="00D22649">
        <w:rPr>
          <w:rFonts w:ascii="Times New Roman" w:hAnsi="Times New Roman" w:cs="Times New Roman"/>
          <w:sz w:val="24"/>
          <w:szCs w:val="24"/>
        </w:rPr>
        <w:t>.</w:t>
      </w:r>
      <w:r w:rsidR="00CB6E3A" w:rsidRPr="00D22649">
        <w:rPr>
          <w:rStyle w:val="FootnoteReference"/>
          <w:rFonts w:ascii="Times New Roman" w:hAnsi="Times New Roman" w:cs="Times New Roman"/>
          <w:sz w:val="24"/>
          <w:szCs w:val="24"/>
        </w:rPr>
        <w:footnoteReference w:id="43"/>
      </w:r>
      <w:r w:rsidR="00E26750" w:rsidRPr="00D22649">
        <w:rPr>
          <w:rFonts w:ascii="Times New Roman" w:hAnsi="Times New Roman" w:cs="Times New Roman"/>
          <w:sz w:val="24"/>
          <w:szCs w:val="24"/>
        </w:rPr>
        <w:t xml:space="preserve">  </w:t>
      </w:r>
      <w:r w:rsidR="006F1B84" w:rsidRPr="00D22649">
        <w:rPr>
          <w:rFonts w:ascii="Times New Roman" w:hAnsi="Times New Roman" w:cs="Times New Roman"/>
          <w:sz w:val="24"/>
          <w:szCs w:val="24"/>
        </w:rPr>
        <w:t>Consequently</w:t>
      </w:r>
      <w:r w:rsidR="00923A75" w:rsidRPr="00D22649">
        <w:rPr>
          <w:rFonts w:ascii="Times New Roman" w:hAnsi="Times New Roman" w:cs="Times New Roman"/>
          <w:sz w:val="24"/>
          <w:szCs w:val="24"/>
        </w:rPr>
        <w:t>,</w:t>
      </w:r>
      <w:r w:rsidR="006F1B84" w:rsidRPr="00D22649">
        <w:rPr>
          <w:rFonts w:ascii="Times New Roman" w:hAnsi="Times New Roman" w:cs="Times New Roman"/>
          <w:sz w:val="24"/>
          <w:szCs w:val="24"/>
        </w:rPr>
        <w:t xml:space="preserve"> the Philippines failed </w:t>
      </w:r>
      <w:r w:rsidR="007A4E8E" w:rsidRPr="00D22649">
        <w:rPr>
          <w:rFonts w:ascii="Times New Roman" w:hAnsi="Times New Roman" w:cs="Times New Roman"/>
          <w:sz w:val="24"/>
          <w:szCs w:val="24"/>
        </w:rPr>
        <w:t xml:space="preserve">in its obligation </w:t>
      </w:r>
      <w:r w:rsidR="006F1B84" w:rsidRPr="00D22649">
        <w:rPr>
          <w:rFonts w:ascii="Times New Roman" w:hAnsi="Times New Roman" w:cs="Times New Roman"/>
          <w:sz w:val="24"/>
          <w:szCs w:val="24"/>
        </w:rPr>
        <w:t xml:space="preserve">to ensure that victims of sexual assault </w:t>
      </w:r>
      <w:r w:rsidR="001D73BF" w:rsidRPr="00D22649">
        <w:rPr>
          <w:rFonts w:ascii="Times New Roman" w:hAnsi="Times New Roman" w:cs="Times New Roman"/>
          <w:sz w:val="24"/>
          <w:szCs w:val="24"/>
        </w:rPr>
        <w:t xml:space="preserve">are </w:t>
      </w:r>
      <w:r w:rsidR="006F1B84" w:rsidRPr="00D22649">
        <w:rPr>
          <w:rFonts w:ascii="Times New Roman" w:hAnsi="Times New Roman" w:cs="Times New Roman"/>
          <w:sz w:val="24"/>
          <w:szCs w:val="24"/>
        </w:rPr>
        <w:t>adequately protected by officials (including the judiciary</w:t>
      </w:r>
      <w:r w:rsidR="007A4E8E" w:rsidRPr="00D22649">
        <w:rPr>
          <w:rFonts w:ascii="Times New Roman" w:hAnsi="Times New Roman" w:cs="Times New Roman"/>
          <w:sz w:val="24"/>
          <w:szCs w:val="24"/>
        </w:rPr>
        <w:t>)</w:t>
      </w:r>
      <w:r w:rsidR="00E73D8A" w:rsidRPr="00D22649">
        <w:rPr>
          <w:rFonts w:ascii="Times New Roman" w:hAnsi="Times New Roman" w:cs="Times New Roman"/>
          <w:sz w:val="24"/>
          <w:szCs w:val="24"/>
        </w:rPr>
        <w:t xml:space="preserve">.  So here again the Committee </w:t>
      </w:r>
      <w:r w:rsidR="00C26E09" w:rsidRPr="00D22649">
        <w:rPr>
          <w:rFonts w:ascii="Times New Roman" w:hAnsi="Times New Roman" w:cs="Times New Roman"/>
          <w:sz w:val="24"/>
          <w:szCs w:val="24"/>
        </w:rPr>
        <w:t xml:space="preserve">is seen </w:t>
      </w:r>
      <w:r w:rsidR="00E73D8A" w:rsidRPr="00D22649">
        <w:rPr>
          <w:rFonts w:ascii="Times New Roman" w:hAnsi="Times New Roman" w:cs="Times New Roman"/>
          <w:sz w:val="24"/>
          <w:szCs w:val="24"/>
        </w:rPr>
        <w:t>engaging with the notion of ‘stereotyping’</w:t>
      </w:r>
      <w:r w:rsidR="00577484" w:rsidRPr="00D22649">
        <w:rPr>
          <w:rFonts w:ascii="Times New Roman" w:hAnsi="Times New Roman" w:cs="Times New Roman"/>
          <w:sz w:val="24"/>
          <w:szCs w:val="24"/>
        </w:rPr>
        <w:t>,</w:t>
      </w:r>
      <w:r w:rsidR="00E73D8A" w:rsidRPr="00D22649">
        <w:rPr>
          <w:rFonts w:ascii="Times New Roman" w:hAnsi="Times New Roman" w:cs="Times New Roman"/>
          <w:sz w:val="24"/>
          <w:szCs w:val="24"/>
        </w:rPr>
        <w:t xml:space="preserve"> </w:t>
      </w:r>
      <w:r w:rsidR="001D73BF" w:rsidRPr="00D22649">
        <w:rPr>
          <w:rFonts w:ascii="Times New Roman" w:hAnsi="Times New Roman" w:cs="Times New Roman"/>
          <w:sz w:val="24"/>
          <w:szCs w:val="24"/>
        </w:rPr>
        <w:t xml:space="preserve">both </w:t>
      </w:r>
      <w:r w:rsidR="00E73D8A" w:rsidRPr="00D22649">
        <w:rPr>
          <w:rFonts w:ascii="Times New Roman" w:hAnsi="Times New Roman" w:cs="Times New Roman"/>
          <w:sz w:val="24"/>
          <w:szCs w:val="24"/>
        </w:rPr>
        <w:t xml:space="preserve">shaping </w:t>
      </w:r>
      <w:r w:rsidR="001D73BF" w:rsidRPr="00D22649">
        <w:rPr>
          <w:rFonts w:ascii="Times New Roman" w:hAnsi="Times New Roman" w:cs="Times New Roman"/>
          <w:sz w:val="24"/>
          <w:szCs w:val="24"/>
        </w:rPr>
        <w:t xml:space="preserve">it </w:t>
      </w:r>
      <w:r w:rsidR="00E73D8A" w:rsidRPr="00D22649">
        <w:rPr>
          <w:rFonts w:ascii="Times New Roman" w:hAnsi="Times New Roman" w:cs="Times New Roman"/>
          <w:sz w:val="24"/>
          <w:szCs w:val="24"/>
        </w:rPr>
        <w:t>into a prohibited form of sex</w:t>
      </w:r>
      <w:r w:rsidR="003C2195">
        <w:rPr>
          <w:rFonts w:ascii="Times New Roman" w:hAnsi="Times New Roman" w:cs="Times New Roman"/>
          <w:sz w:val="24"/>
          <w:szCs w:val="24"/>
        </w:rPr>
        <w:t xml:space="preserve"> </w:t>
      </w:r>
      <w:r w:rsidR="00E73D8A" w:rsidRPr="00D22649">
        <w:rPr>
          <w:rFonts w:ascii="Times New Roman" w:hAnsi="Times New Roman" w:cs="Times New Roman"/>
          <w:sz w:val="24"/>
          <w:szCs w:val="24"/>
        </w:rPr>
        <w:t xml:space="preserve">discrimination and </w:t>
      </w:r>
      <w:r w:rsidR="001D73BF" w:rsidRPr="00D22649">
        <w:rPr>
          <w:rFonts w:ascii="Times New Roman" w:hAnsi="Times New Roman" w:cs="Times New Roman"/>
          <w:sz w:val="24"/>
          <w:szCs w:val="24"/>
        </w:rPr>
        <w:t xml:space="preserve">using it </w:t>
      </w:r>
      <w:r w:rsidR="00E73D8A" w:rsidRPr="00D22649">
        <w:rPr>
          <w:rFonts w:ascii="Times New Roman" w:hAnsi="Times New Roman" w:cs="Times New Roman"/>
          <w:sz w:val="24"/>
          <w:szCs w:val="24"/>
        </w:rPr>
        <w:t>as a methodology for labelling and challenging engrained social and legal attitudes that discriminate against women.</w:t>
      </w:r>
      <w:r w:rsidRPr="00D22649">
        <w:rPr>
          <w:rFonts w:ascii="Times New Roman" w:hAnsi="Times New Roman" w:cs="Times New Roman"/>
          <w:sz w:val="24"/>
          <w:szCs w:val="24"/>
        </w:rPr>
        <w:t xml:space="preserve">  </w:t>
      </w:r>
      <w:r w:rsidRPr="00D22649">
        <w:rPr>
          <w:rFonts w:ascii="Times New Roman" w:hAnsi="Times New Roman" w:cs="Times New Roman"/>
          <w:sz w:val="24"/>
          <w:szCs w:val="24"/>
        </w:rPr>
        <w:lastRenderedPageBreak/>
        <w:t xml:space="preserve">Accordingly, its </w:t>
      </w:r>
      <w:r w:rsidR="0037548E" w:rsidRPr="00D22649">
        <w:rPr>
          <w:rFonts w:ascii="Times New Roman" w:hAnsi="Times New Roman" w:cs="Times New Roman"/>
          <w:sz w:val="24"/>
          <w:szCs w:val="24"/>
        </w:rPr>
        <w:t>R</w:t>
      </w:r>
      <w:r w:rsidRPr="00D22649">
        <w:rPr>
          <w:rFonts w:ascii="Times New Roman" w:hAnsi="Times New Roman" w:cs="Times New Roman"/>
          <w:sz w:val="24"/>
          <w:szCs w:val="24"/>
        </w:rPr>
        <w:t>ecommendations ranged from the personal to the genera</w:t>
      </w:r>
      <w:r w:rsidR="001D73BF" w:rsidRPr="00D22649">
        <w:rPr>
          <w:rFonts w:ascii="Times New Roman" w:hAnsi="Times New Roman" w:cs="Times New Roman"/>
          <w:sz w:val="24"/>
          <w:szCs w:val="24"/>
        </w:rPr>
        <w:t xml:space="preserve">l.  It called for the </w:t>
      </w:r>
      <w:r w:rsidR="003C2195">
        <w:rPr>
          <w:rFonts w:ascii="Times New Roman" w:hAnsi="Times New Roman" w:cs="Times New Roman"/>
          <w:sz w:val="24"/>
          <w:szCs w:val="24"/>
        </w:rPr>
        <w:t>s</w:t>
      </w:r>
      <w:r w:rsidR="001D73BF" w:rsidRPr="00D22649">
        <w:rPr>
          <w:rFonts w:ascii="Times New Roman" w:hAnsi="Times New Roman" w:cs="Times New Roman"/>
          <w:sz w:val="24"/>
          <w:szCs w:val="24"/>
        </w:rPr>
        <w:t>tate to</w:t>
      </w:r>
      <w:r w:rsidRPr="00D22649">
        <w:rPr>
          <w:rFonts w:ascii="Times New Roman" w:hAnsi="Times New Roman" w:cs="Times New Roman"/>
          <w:sz w:val="24"/>
          <w:szCs w:val="24"/>
        </w:rPr>
        <w:t>: compensate Ms Vertido</w:t>
      </w:r>
      <w:r w:rsidR="001D73BF" w:rsidRPr="00D22649">
        <w:rPr>
          <w:rFonts w:ascii="Times New Roman" w:hAnsi="Times New Roman" w:cs="Times New Roman"/>
          <w:sz w:val="24"/>
          <w:szCs w:val="24"/>
        </w:rPr>
        <w:t>;</w:t>
      </w:r>
      <w:r w:rsidRPr="00D22649">
        <w:rPr>
          <w:rFonts w:ascii="Times New Roman" w:hAnsi="Times New Roman" w:cs="Times New Roman"/>
          <w:sz w:val="24"/>
          <w:szCs w:val="24"/>
        </w:rPr>
        <w:t xml:space="preserve"> to ensure court proceedings are pursued without undue delay</w:t>
      </w:r>
      <w:r w:rsidR="001D73BF" w:rsidRPr="00D22649">
        <w:rPr>
          <w:rFonts w:ascii="Times New Roman" w:hAnsi="Times New Roman" w:cs="Times New Roman"/>
          <w:sz w:val="24"/>
          <w:szCs w:val="24"/>
        </w:rPr>
        <w:t>;</w:t>
      </w:r>
      <w:r w:rsidRPr="00D22649">
        <w:rPr>
          <w:rFonts w:ascii="Times New Roman" w:hAnsi="Times New Roman" w:cs="Times New Roman"/>
          <w:sz w:val="24"/>
          <w:szCs w:val="24"/>
        </w:rPr>
        <w:t xml:space="preserve"> to ensure </w:t>
      </w:r>
      <w:r w:rsidR="0037548E" w:rsidRPr="00D22649">
        <w:rPr>
          <w:rFonts w:ascii="Times New Roman" w:hAnsi="Times New Roman" w:cs="Times New Roman"/>
          <w:sz w:val="24"/>
          <w:szCs w:val="24"/>
        </w:rPr>
        <w:t xml:space="preserve">rape </w:t>
      </w:r>
      <w:r w:rsidRPr="00D22649">
        <w:rPr>
          <w:rFonts w:ascii="Times New Roman" w:hAnsi="Times New Roman" w:cs="Times New Roman"/>
          <w:sz w:val="24"/>
          <w:szCs w:val="24"/>
        </w:rPr>
        <w:t>trials are fair and not affected by prejudices and stereotypes</w:t>
      </w:r>
      <w:r w:rsidR="001D73BF" w:rsidRPr="00D22649">
        <w:rPr>
          <w:rFonts w:ascii="Times New Roman" w:hAnsi="Times New Roman" w:cs="Times New Roman"/>
          <w:sz w:val="24"/>
          <w:szCs w:val="24"/>
        </w:rPr>
        <w:t>;</w:t>
      </w:r>
      <w:r w:rsidRPr="00D22649">
        <w:rPr>
          <w:rFonts w:ascii="Times New Roman" w:hAnsi="Times New Roman" w:cs="Times New Roman"/>
          <w:sz w:val="24"/>
          <w:szCs w:val="24"/>
        </w:rPr>
        <w:t xml:space="preserve"> to review the definition of rape in domestic law</w:t>
      </w:r>
      <w:r w:rsidR="001D73BF" w:rsidRPr="00D22649">
        <w:rPr>
          <w:rFonts w:ascii="Times New Roman" w:hAnsi="Times New Roman" w:cs="Times New Roman"/>
          <w:sz w:val="24"/>
          <w:szCs w:val="24"/>
        </w:rPr>
        <w:t>;</w:t>
      </w:r>
      <w:r w:rsidRPr="00D22649">
        <w:rPr>
          <w:rFonts w:ascii="Times New Roman" w:hAnsi="Times New Roman" w:cs="Times New Roman"/>
          <w:sz w:val="24"/>
          <w:szCs w:val="24"/>
        </w:rPr>
        <w:t xml:space="preserve"> and to provide adequate training on CEDAW.</w:t>
      </w:r>
    </w:p>
    <w:p w14:paraId="0F9DB256" w14:textId="77777777" w:rsidR="003C2195" w:rsidRDefault="003C2195" w:rsidP="005B6796">
      <w:pPr>
        <w:pStyle w:val="ListParagraph"/>
        <w:spacing w:after="0" w:line="360" w:lineRule="auto"/>
        <w:ind w:left="360"/>
        <w:jc w:val="both"/>
        <w:rPr>
          <w:rFonts w:ascii="Times New Roman" w:hAnsi="Times New Roman" w:cs="Times New Roman"/>
          <w:i/>
          <w:sz w:val="24"/>
          <w:szCs w:val="24"/>
        </w:rPr>
      </w:pPr>
    </w:p>
    <w:p w14:paraId="2FCF540D" w14:textId="77777777" w:rsidR="00CD703B" w:rsidRPr="005B6796" w:rsidRDefault="003C2195" w:rsidP="005B6796">
      <w:pPr>
        <w:pStyle w:val="ListParagraph"/>
        <w:spacing w:after="0" w:line="360" w:lineRule="auto"/>
        <w:ind w:left="0"/>
        <w:jc w:val="both"/>
        <w:rPr>
          <w:rFonts w:ascii="Times New Roman" w:hAnsi="Times New Roman" w:cs="Times New Roman"/>
          <w:b/>
          <w:i/>
          <w:sz w:val="24"/>
          <w:szCs w:val="24"/>
        </w:rPr>
      </w:pPr>
      <w:r w:rsidRPr="005B6796">
        <w:rPr>
          <w:rFonts w:ascii="Times New Roman" w:hAnsi="Times New Roman" w:cs="Times New Roman"/>
          <w:b/>
          <w:i/>
          <w:sz w:val="24"/>
          <w:szCs w:val="24"/>
        </w:rPr>
        <w:t>C</w:t>
      </w:r>
      <w:r w:rsidRPr="005B6796">
        <w:rPr>
          <w:rFonts w:ascii="Times New Roman" w:hAnsi="Times New Roman" w:cs="Times New Roman"/>
          <w:b/>
          <w:i/>
          <w:sz w:val="24"/>
          <w:szCs w:val="24"/>
        </w:rPr>
        <w:tab/>
      </w:r>
      <w:r w:rsidR="00CD703B" w:rsidRPr="005B6796">
        <w:rPr>
          <w:rFonts w:ascii="Times New Roman" w:hAnsi="Times New Roman" w:cs="Times New Roman"/>
          <w:b/>
          <w:i/>
          <w:sz w:val="24"/>
          <w:szCs w:val="24"/>
        </w:rPr>
        <w:t>Reproductive Health</w:t>
      </w:r>
    </w:p>
    <w:p w14:paraId="3FD84326" w14:textId="6D3D8104" w:rsidR="00752D60" w:rsidRPr="00D22649" w:rsidRDefault="006F5547"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The Committee’s engagement with the physical integrity of women has continued in cases </w:t>
      </w:r>
      <w:r w:rsidR="00075E94" w:rsidRPr="00D22649">
        <w:rPr>
          <w:rFonts w:ascii="Times New Roman" w:hAnsi="Times New Roman" w:cs="Times New Roman"/>
          <w:sz w:val="24"/>
          <w:szCs w:val="24"/>
        </w:rPr>
        <w:t xml:space="preserve">addressing </w:t>
      </w:r>
      <w:r w:rsidRPr="00D22649">
        <w:rPr>
          <w:rFonts w:ascii="Times New Roman" w:hAnsi="Times New Roman" w:cs="Times New Roman"/>
          <w:sz w:val="24"/>
          <w:szCs w:val="24"/>
        </w:rPr>
        <w:t xml:space="preserve">reproductive health.  </w:t>
      </w:r>
      <w:r w:rsidR="002C2ED4" w:rsidRPr="00D22649">
        <w:rPr>
          <w:rFonts w:ascii="Times New Roman" w:hAnsi="Times New Roman" w:cs="Times New Roman"/>
          <w:i/>
          <w:sz w:val="24"/>
          <w:szCs w:val="24"/>
        </w:rPr>
        <w:t>A.S. v</w:t>
      </w:r>
      <w:r w:rsidR="003C2195">
        <w:rPr>
          <w:rFonts w:ascii="Times New Roman" w:hAnsi="Times New Roman" w:cs="Times New Roman"/>
          <w:i/>
          <w:sz w:val="24"/>
          <w:szCs w:val="24"/>
        </w:rPr>
        <w:t>.</w:t>
      </w:r>
      <w:r w:rsidR="002C2ED4" w:rsidRPr="00D22649">
        <w:rPr>
          <w:rFonts w:ascii="Times New Roman" w:hAnsi="Times New Roman" w:cs="Times New Roman"/>
          <w:i/>
          <w:sz w:val="24"/>
          <w:szCs w:val="24"/>
        </w:rPr>
        <w:t xml:space="preserve"> Hungary</w:t>
      </w:r>
      <w:r w:rsidR="001B32E1" w:rsidRPr="00D22649">
        <w:rPr>
          <w:rStyle w:val="FootnoteReference"/>
          <w:rFonts w:ascii="Times New Roman" w:hAnsi="Times New Roman" w:cs="Times New Roman"/>
          <w:sz w:val="24"/>
          <w:szCs w:val="24"/>
        </w:rPr>
        <w:footnoteReference w:id="44"/>
      </w:r>
      <w:r w:rsidR="00120A34" w:rsidRPr="00D22649">
        <w:rPr>
          <w:rFonts w:ascii="Times New Roman" w:hAnsi="Times New Roman" w:cs="Times New Roman"/>
          <w:sz w:val="24"/>
          <w:szCs w:val="24"/>
        </w:rPr>
        <w:t xml:space="preserve"> concerned </w:t>
      </w:r>
      <w:r w:rsidR="002C2ED4" w:rsidRPr="00D22649">
        <w:rPr>
          <w:rFonts w:ascii="Times New Roman" w:hAnsi="Times New Roman" w:cs="Times New Roman"/>
          <w:sz w:val="24"/>
          <w:szCs w:val="24"/>
        </w:rPr>
        <w:t>the coerced</w:t>
      </w:r>
      <w:r w:rsidR="00120A34" w:rsidRPr="00D22649">
        <w:rPr>
          <w:rFonts w:ascii="Times New Roman" w:hAnsi="Times New Roman" w:cs="Times New Roman"/>
          <w:sz w:val="24"/>
          <w:szCs w:val="24"/>
        </w:rPr>
        <w:t xml:space="preserve"> sterili</w:t>
      </w:r>
      <w:r w:rsidR="003C2195">
        <w:rPr>
          <w:rFonts w:ascii="Times New Roman" w:hAnsi="Times New Roman" w:cs="Times New Roman"/>
          <w:sz w:val="24"/>
          <w:szCs w:val="24"/>
        </w:rPr>
        <w:t>z</w:t>
      </w:r>
      <w:r w:rsidR="00120A34" w:rsidRPr="00D22649">
        <w:rPr>
          <w:rFonts w:ascii="Times New Roman" w:hAnsi="Times New Roman" w:cs="Times New Roman"/>
          <w:sz w:val="24"/>
          <w:szCs w:val="24"/>
        </w:rPr>
        <w:t xml:space="preserve">ation of </w:t>
      </w:r>
      <w:r w:rsidR="002C2ED4" w:rsidRPr="00D22649">
        <w:rPr>
          <w:rFonts w:ascii="Times New Roman" w:hAnsi="Times New Roman" w:cs="Times New Roman"/>
          <w:sz w:val="24"/>
          <w:szCs w:val="24"/>
        </w:rPr>
        <w:t xml:space="preserve">a </w:t>
      </w:r>
      <w:r w:rsidR="00120A34" w:rsidRPr="00D22649">
        <w:rPr>
          <w:rFonts w:ascii="Times New Roman" w:hAnsi="Times New Roman" w:cs="Times New Roman"/>
          <w:sz w:val="24"/>
          <w:szCs w:val="24"/>
        </w:rPr>
        <w:t>Roma woman</w:t>
      </w:r>
      <w:r w:rsidR="002C2ED4" w:rsidRPr="00D22649">
        <w:rPr>
          <w:rFonts w:ascii="Times New Roman" w:hAnsi="Times New Roman" w:cs="Times New Roman"/>
          <w:sz w:val="24"/>
          <w:szCs w:val="24"/>
        </w:rPr>
        <w:t xml:space="preserve">.  Although the author had </w:t>
      </w:r>
      <w:r w:rsidR="009D6264" w:rsidRPr="00D22649">
        <w:rPr>
          <w:rFonts w:ascii="Times New Roman" w:hAnsi="Times New Roman" w:cs="Times New Roman"/>
          <w:sz w:val="24"/>
          <w:szCs w:val="24"/>
        </w:rPr>
        <w:t xml:space="preserve">ostensibly </w:t>
      </w:r>
      <w:r w:rsidR="002C2ED4" w:rsidRPr="00D22649">
        <w:rPr>
          <w:rFonts w:ascii="Times New Roman" w:hAnsi="Times New Roman" w:cs="Times New Roman"/>
          <w:sz w:val="24"/>
          <w:szCs w:val="24"/>
        </w:rPr>
        <w:t xml:space="preserve">signed a form consenting to the operation, this </w:t>
      </w:r>
      <w:r w:rsidR="00C44404" w:rsidRPr="00D22649">
        <w:rPr>
          <w:rFonts w:ascii="Times New Roman" w:hAnsi="Times New Roman" w:cs="Times New Roman"/>
          <w:sz w:val="24"/>
          <w:szCs w:val="24"/>
        </w:rPr>
        <w:t>was done</w:t>
      </w:r>
      <w:r w:rsidR="002C2ED4" w:rsidRPr="00D22649">
        <w:rPr>
          <w:rFonts w:ascii="Times New Roman" w:hAnsi="Times New Roman" w:cs="Times New Roman"/>
          <w:sz w:val="24"/>
          <w:szCs w:val="24"/>
        </w:rPr>
        <w:t xml:space="preserve"> </w:t>
      </w:r>
      <w:r w:rsidR="00577484" w:rsidRPr="00D22649">
        <w:rPr>
          <w:rFonts w:ascii="Times New Roman" w:hAnsi="Times New Roman" w:cs="Times New Roman"/>
          <w:sz w:val="24"/>
          <w:szCs w:val="24"/>
        </w:rPr>
        <w:t>during</w:t>
      </w:r>
      <w:r w:rsidR="0012779A" w:rsidRPr="00D22649">
        <w:rPr>
          <w:rFonts w:ascii="Times New Roman" w:hAnsi="Times New Roman" w:cs="Times New Roman"/>
          <w:sz w:val="24"/>
          <w:szCs w:val="24"/>
        </w:rPr>
        <w:t xml:space="preserve"> the heat of a medical crisis</w:t>
      </w:r>
      <w:r w:rsidR="00CA0FC4" w:rsidRPr="00D22649">
        <w:rPr>
          <w:rFonts w:ascii="Times New Roman" w:hAnsi="Times New Roman" w:cs="Times New Roman"/>
          <w:sz w:val="24"/>
          <w:szCs w:val="24"/>
        </w:rPr>
        <w:t xml:space="preserve"> </w:t>
      </w:r>
      <w:r w:rsidR="0012779A" w:rsidRPr="00D22649">
        <w:rPr>
          <w:rFonts w:ascii="Times New Roman" w:hAnsi="Times New Roman" w:cs="Times New Roman"/>
          <w:sz w:val="24"/>
          <w:szCs w:val="24"/>
        </w:rPr>
        <w:t xml:space="preserve">and just </w:t>
      </w:r>
      <w:r w:rsidR="002C2ED4" w:rsidRPr="00D22649">
        <w:rPr>
          <w:rFonts w:ascii="Times New Roman" w:hAnsi="Times New Roman" w:cs="Times New Roman"/>
          <w:sz w:val="24"/>
          <w:szCs w:val="24"/>
        </w:rPr>
        <w:t xml:space="preserve">minutes before </w:t>
      </w:r>
      <w:r w:rsidR="0012779A" w:rsidRPr="00D22649">
        <w:rPr>
          <w:rFonts w:ascii="Times New Roman" w:hAnsi="Times New Roman" w:cs="Times New Roman"/>
          <w:sz w:val="24"/>
          <w:szCs w:val="24"/>
        </w:rPr>
        <w:t xml:space="preserve">she underwent </w:t>
      </w:r>
      <w:r w:rsidR="002C2ED4" w:rsidRPr="00D22649">
        <w:rPr>
          <w:rFonts w:ascii="Times New Roman" w:hAnsi="Times New Roman" w:cs="Times New Roman"/>
          <w:sz w:val="24"/>
          <w:szCs w:val="24"/>
        </w:rPr>
        <w:t>an</w:t>
      </w:r>
      <w:r w:rsidR="00120A34" w:rsidRPr="00D22649">
        <w:rPr>
          <w:rFonts w:ascii="Times New Roman" w:hAnsi="Times New Roman" w:cs="Times New Roman"/>
          <w:sz w:val="24"/>
          <w:szCs w:val="24"/>
        </w:rPr>
        <w:t xml:space="preserve"> emergency </w:t>
      </w:r>
      <w:r w:rsidR="002C2ED4" w:rsidRPr="00D22649">
        <w:rPr>
          <w:rFonts w:ascii="Times New Roman" w:hAnsi="Times New Roman" w:cs="Times New Roman"/>
          <w:sz w:val="24"/>
          <w:szCs w:val="24"/>
        </w:rPr>
        <w:t xml:space="preserve">caesarean to remove a dead foetus.  In her communication she was </w:t>
      </w:r>
      <w:r w:rsidR="00DE3CF7" w:rsidRPr="00D22649">
        <w:rPr>
          <w:rFonts w:ascii="Times New Roman" w:hAnsi="Times New Roman" w:cs="Times New Roman"/>
          <w:sz w:val="24"/>
          <w:szCs w:val="24"/>
        </w:rPr>
        <w:t>represented</w:t>
      </w:r>
      <w:r w:rsidR="00120A34" w:rsidRPr="00D22649">
        <w:rPr>
          <w:rFonts w:ascii="Times New Roman" w:hAnsi="Times New Roman" w:cs="Times New Roman"/>
          <w:sz w:val="24"/>
          <w:szCs w:val="24"/>
        </w:rPr>
        <w:t xml:space="preserve"> by </w:t>
      </w:r>
      <w:r w:rsidR="00DE3CF7" w:rsidRPr="00D22649">
        <w:rPr>
          <w:rFonts w:ascii="Times New Roman" w:hAnsi="Times New Roman" w:cs="Times New Roman"/>
          <w:sz w:val="24"/>
          <w:szCs w:val="24"/>
        </w:rPr>
        <w:t xml:space="preserve">two </w:t>
      </w:r>
      <w:r w:rsidR="00120A34" w:rsidRPr="00D22649">
        <w:rPr>
          <w:rFonts w:ascii="Times New Roman" w:hAnsi="Times New Roman" w:cs="Times New Roman"/>
          <w:sz w:val="24"/>
          <w:szCs w:val="24"/>
        </w:rPr>
        <w:t>NGO</w:t>
      </w:r>
      <w:r w:rsidR="00DE3CF7" w:rsidRPr="00D22649">
        <w:rPr>
          <w:rFonts w:ascii="Times New Roman" w:hAnsi="Times New Roman" w:cs="Times New Roman"/>
          <w:sz w:val="24"/>
          <w:szCs w:val="24"/>
        </w:rPr>
        <w:t xml:space="preserve">s, </w:t>
      </w:r>
      <w:r w:rsidR="00DC1312" w:rsidRPr="00D22649">
        <w:rPr>
          <w:rFonts w:ascii="Times New Roman" w:hAnsi="Times New Roman" w:cs="Times New Roman"/>
          <w:sz w:val="24"/>
          <w:szCs w:val="24"/>
        </w:rPr>
        <w:t xml:space="preserve">the Legal Defence Bureau for National and Ethnic Minorities </w:t>
      </w:r>
      <w:r w:rsidR="00DE3CF7" w:rsidRPr="00D22649">
        <w:rPr>
          <w:rFonts w:ascii="Times New Roman" w:hAnsi="Times New Roman" w:cs="Times New Roman"/>
          <w:sz w:val="24"/>
          <w:szCs w:val="24"/>
        </w:rPr>
        <w:t xml:space="preserve">and the European Roma Rights Centre; </w:t>
      </w:r>
      <w:r w:rsidR="002D0998" w:rsidRPr="00D22649">
        <w:rPr>
          <w:rFonts w:ascii="Times New Roman" w:hAnsi="Times New Roman" w:cs="Times New Roman"/>
          <w:sz w:val="24"/>
          <w:szCs w:val="24"/>
        </w:rPr>
        <w:t>an</w:t>
      </w:r>
      <w:r w:rsidR="00DE3CF7" w:rsidRPr="00D22649">
        <w:rPr>
          <w:rFonts w:ascii="Times New Roman" w:hAnsi="Times New Roman" w:cs="Times New Roman"/>
          <w:sz w:val="24"/>
          <w:szCs w:val="24"/>
        </w:rPr>
        <w:t xml:space="preserve"> </w:t>
      </w:r>
      <w:r w:rsidR="00DE3CF7" w:rsidRPr="00D22649">
        <w:rPr>
          <w:rFonts w:ascii="Times New Roman" w:hAnsi="Times New Roman" w:cs="Times New Roman"/>
          <w:i/>
          <w:sz w:val="24"/>
          <w:szCs w:val="24"/>
        </w:rPr>
        <w:t>amicus</w:t>
      </w:r>
      <w:r w:rsidR="00DE3CF7" w:rsidRPr="00D22649">
        <w:rPr>
          <w:rFonts w:ascii="Times New Roman" w:hAnsi="Times New Roman" w:cs="Times New Roman"/>
          <w:sz w:val="24"/>
          <w:szCs w:val="24"/>
        </w:rPr>
        <w:t xml:space="preserve"> </w:t>
      </w:r>
      <w:r w:rsidR="00832089" w:rsidRPr="00D22649">
        <w:rPr>
          <w:rFonts w:ascii="Times New Roman" w:hAnsi="Times New Roman" w:cs="Times New Roman"/>
          <w:i/>
          <w:sz w:val="24"/>
          <w:szCs w:val="24"/>
        </w:rPr>
        <w:t>curiae</w:t>
      </w:r>
      <w:r w:rsidR="00832089" w:rsidRPr="00D22649">
        <w:rPr>
          <w:rFonts w:ascii="Times New Roman" w:hAnsi="Times New Roman" w:cs="Times New Roman"/>
          <w:sz w:val="24"/>
          <w:szCs w:val="24"/>
        </w:rPr>
        <w:t xml:space="preserve"> </w:t>
      </w:r>
      <w:r w:rsidR="00DE3CF7" w:rsidRPr="00D22649">
        <w:rPr>
          <w:rFonts w:ascii="Times New Roman" w:hAnsi="Times New Roman" w:cs="Times New Roman"/>
          <w:sz w:val="24"/>
          <w:szCs w:val="24"/>
        </w:rPr>
        <w:t>brief was also submitted by the Center for Reproductive Rights on the nature of informed consent in international law</w:t>
      </w:r>
      <w:r w:rsidR="002D0998" w:rsidRPr="00D22649">
        <w:rPr>
          <w:rFonts w:ascii="Times New Roman" w:hAnsi="Times New Roman" w:cs="Times New Roman"/>
          <w:sz w:val="24"/>
          <w:szCs w:val="24"/>
        </w:rPr>
        <w:t>, which was</w:t>
      </w:r>
      <w:r w:rsidR="00DE3CF7" w:rsidRPr="00D22649">
        <w:rPr>
          <w:rFonts w:ascii="Times New Roman" w:hAnsi="Times New Roman" w:cs="Times New Roman"/>
          <w:sz w:val="24"/>
          <w:szCs w:val="24"/>
        </w:rPr>
        <w:t xml:space="preserve"> extensively referred to by the Committee</w:t>
      </w:r>
      <w:r w:rsidR="00120A34" w:rsidRPr="00D22649">
        <w:rPr>
          <w:rFonts w:ascii="Times New Roman" w:hAnsi="Times New Roman" w:cs="Times New Roman"/>
          <w:sz w:val="24"/>
          <w:szCs w:val="24"/>
        </w:rPr>
        <w:t xml:space="preserve">.  </w:t>
      </w:r>
      <w:r w:rsidRPr="00D22649">
        <w:rPr>
          <w:rFonts w:ascii="Times New Roman" w:hAnsi="Times New Roman" w:cs="Times New Roman"/>
          <w:sz w:val="24"/>
          <w:szCs w:val="24"/>
        </w:rPr>
        <w:t>Finding a number of violations of the Convention, the Committee called</w:t>
      </w:r>
      <w:r w:rsidR="00120A34" w:rsidRPr="00D22649">
        <w:rPr>
          <w:rFonts w:ascii="Times New Roman" w:hAnsi="Times New Roman" w:cs="Times New Roman"/>
          <w:sz w:val="24"/>
          <w:szCs w:val="24"/>
        </w:rPr>
        <w:t xml:space="preserve"> for extensive training on CEDAW </w:t>
      </w:r>
      <w:r w:rsidRPr="00D22649">
        <w:rPr>
          <w:rFonts w:ascii="Times New Roman" w:hAnsi="Times New Roman" w:cs="Times New Roman"/>
          <w:sz w:val="24"/>
          <w:szCs w:val="24"/>
        </w:rPr>
        <w:t xml:space="preserve">and a </w:t>
      </w:r>
      <w:r w:rsidR="00120A34" w:rsidRPr="00D22649">
        <w:rPr>
          <w:rFonts w:ascii="Times New Roman" w:hAnsi="Times New Roman" w:cs="Times New Roman"/>
          <w:sz w:val="24"/>
          <w:szCs w:val="24"/>
        </w:rPr>
        <w:t xml:space="preserve">review </w:t>
      </w:r>
      <w:r w:rsidRPr="00D22649">
        <w:rPr>
          <w:rFonts w:ascii="Times New Roman" w:hAnsi="Times New Roman" w:cs="Times New Roman"/>
          <w:sz w:val="24"/>
          <w:szCs w:val="24"/>
        </w:rPr>
        <w:t xml:space="preserve">of </w:t>
      </w:r>
      <w:r w:rsidR="00577484" w:rsidRPr="00D22649">
        <w:rPr>
          <w:rFonts w:ascii="Times New Roman" w:hAnsi="Times New Roman" w:cs="Times New Roman"/>
          <w:sz w:val="24"/>
          <w:szCs w:val="24"/>
        </w:rPr>
        <w:t xml:space="preserve">domestic </w:t>
      </w:r>
      <w:r w:rsidRPr="00D22649">
        <w:rPr>
          <w:rFonts w:ascii="Times New Roman" w:hAnsi="Times New Roman" w:cs="Times New Roman"/>
          <w:sz w:val="24"/>
          <w:szCs w:val="24"/>
        </w:rPr>
        <w:t xml:space="preserve">legislation.  </w:t>
      </w:r>
      <w:r w:rsidR="00BE1F7F" w:rsidRPr="00D22649">
        <w:rPr>
          <w:rFonts w:ascii="Times New Roman" w:hAnsi="Times New Roman" w:cs="Times New Roman"/>
          <w:sz w:val="24"/>
          <w:szCs w:val="24"/>
        </w:rPr>
        <w:t>Thus, here again</w:t>
      </w:r>
      <w:r w:rsidRPr="00D22649">
        <w:rPr>
          <w:rFonts w:ascii="Times New Roman" w:hAnsi="Times New Roman" w:cs="Times New Roman"/>
          <w:sz w:val="24"/>
          <w:szCs w:val="24"/>
        </w:rPr>
        <w:t xml:space="preserve"> the Committee </w:t>
      </w:r>
      <w:r w:rsidR="00BE1F7F" w:rsidRPr="00D22649">
        <w:rPr>
          <w:rFonts w:ascii="Times New Roman" w:hAnsi="Times New Roman" w:cs="Times New Roman"/>
          <w:sz w:val="24"/>
          <w:szCs w:val="24"/>
        </w:rPr>
        <w:t>focuss</w:t>
      </w:r>
      <w:r w:rsidR="00CA0FC4" w:rsidRPr="00D22649">
        <w:rPr>
          <w:rFonts w:ascii="Times New Roman" w:hAnsi="Times New Roman" w:cs="Times New Roman"/>
          <w:sz w:val="24"/>
          <w:szCs w:val="24"/>
        </w:rPr>
        <w:t>ed</w:t>
      </w:r>
      <w:r w:rsidR="00BE1F7F" w:rsidRPr="00D22649">
        <w:rPr>
          <w:rFonts w:ascii="Times New Roman" w:hAnsi="Times New Roman" w:cs="Times New Roman"/>
          <w:sz w:val="24"/>
          <w:szCs w:val="24"/>
        </w:rPr>
        <w:t xml:space="preserve"> </w:t>
      </w:r>
      <w:r w:rsidR="00075E94" w:rsidRPr="00D22649">
        <w:rPr>
          <w:rFonts w:ascii="Times New Roman" w:hAnsi="Times New Roman" w:cs="Times New Roman"/>
          <w:sz w:val="24"/>
          <w:szCs w:val="24"/>
        </w:rPr>
        <w:t xml:space="preserve">both on </w:t>
      </w:r>
      <w:r w:rsidRPr="00D22649">
        <w:rPr>
          <w:rFonts w:ascii="Times New Roman" w:hAnsi="Times New Roman" w:cs="Times New Roman"/>
          <w:sz w:val="24"/>
          <w:szCs w:val="24"/>
        </w:rPr>
        <w:t>the</w:t>
      </w:r>
      <w:r w:rsidR="00075E94" w:rsidRPr="00D22649">
        <w:rPr>
          <w:rFonts w:ascii="Times New Roman" w:hAnsi="Times New Roman" w:cs="Times New Roman"/>
          <w:sz w:val="24"/>
          <w:szCs w:val="24"/>
        </w:rPr>
        <w:t xml:space="preserve"> specific violation before it </w:t>
      </w:r>
      <w:r w:rsidR="00075E94" w:rsidRPr="00D22649">
        <w:rPr>
          <w:rFonts w:ascii="Times New Roman" w:hAnsi="Times New Roman" w:cs="Times New Roman"/>
          <w:i/>
          <w:sz w:val="24"/>
          <w:szCs w:val="24"/>
        </w:rPr>
        <w:t>and</w:t>
      </w:r>
      <w:r w:rsidR="00075E94" w:rsidRPr="00D22649">
        <w:rPr>
          <w:rFonts w:ascii="Times New Roman" w:hAnsi="Times New Roman" w:cs="Times New Roman"/>
          <w:sz w:val="24"/>
          <w:szCs w:val="24"/>
        </w:rPr>
        <w:t xml:space="preserve"> its</w:t>
      </w:r>
      <w:r w:rsidRPr="00D22649">
        <w:rPr>
          <w:rFonts w:ascii="Times New Roman" w:hAnsi="Times New Roman" w:cs="Times New Roman"/>
          <w:sz w:val="24"/>
          <w:szCs w:val="24"/>
        </w:rPr>
        <w:t xml:space="preserve"> </w:t>
      </w:r>
      <w:r w:rsidR="00120A34" w:rsidRPr="00D22649">
        <w:rPr>
          <w:rFonts w:ascii="Times New Roman" w:hAnsi="Times New Roman" w:cs="Times New Roman"/>
          <w:sz w:val="24"/>
          <w:szCs w:val="24"/>
        </w:rPr>
        <w:t>systemic nature.</w:t>
      </w:r>
    </w:p>
    <w:p w14:paraId="7A5A1381" w14:textId="6B8B6E56" w:rsidR="00005788" w:rsidRPr="00D22649" w:rsidRDefault="003C2195" w:rsidP="00D22649">
      <w:pPr>
        <w:spacing w:after="0" w:line="360" w:lineRule="auto"/>
        <w:jc w:val="both"/>
        <w:rPr>
          <w:rFonts w:ascii="Times New Roman" w:hAnsi="Times New Roman" w:cs="Times New Roman"/>
          <w:iCs/>
          <w:sz w:val="24"/>
          <w:szCs w:val="24"/>
        </w:rPr>
      </w:pPr>
      <w:r>
        <w:rPr>
          <w:rFonts w:ascii="Times New Roman" w:hAnsi="Times New Roman" w:cs="Times New Roman"/>
          <w:sz w:val="24"/>
          <w:szCs w:val="24"/>
        </w:rPr>
        <w:tab/>
      </w:r>
      <w:r w:rsidR="00505981" w:rsidRPr="00D22649">
        <w:rPr>
          <w:rFonts w:ascii="Times New Roman" w:hAnsi="Times New Roman" w:cs="Times New Roman"/>
          <w:sz w:val="24"/>
          <w:szCs w:val="24"/>
        </w:rPr>
        <w:t>T</w:t>
      </w:r>
      <w:r w:rsidR="00832089" w:rsidRPr="00D22649">
        <w:rPr>
          <w:rFonts w:ascii="Times New Roman" w:hAnsi="Times New Roman" w:cs="Times New Roman"/>
          <w:sz w:val="24"/>
          <w:szCs w:val="24"/>
        </w:rPr>
        <w:t xml:space="preserve">he </w:t>
      </w:r>
      <w:r w:rsidR="006F5547" w:rsidRPr="00D22649">
        <w:rPr>
          <w:rFonts w:ascii="Times New Roman" w:hAnsi="Times New Roman" w:cs="Times New Roman"/>
          <w:sz w:val="24"/>
          <w:szCs w:val="24"/>
        </w:rPr>
        <w:t xml:space="preserve">Committee did not </w:t>
      </w:r>
      <w:r w:rsidR="00752D60" w:rsidRPr="00D22649">
        <w:rPr>
          <w:rFonts w:ascii="Times New Roman" w:hAnsi="Times New Roman" w:cs="Times New Roman"/>
          <w:sz w:val="24"/>
          <w:szCs w:val="24"/>
        </w:rPr>
        <w:t xml:space="preserve">directly </w:t>
      </w:r>
      <w:r w:rsidR="006F5547" w:rsidRPr="00D22649">
        <w:rPr>
          <w:rFonts w:ascii="Times New Roman" w:hAnsi="Times New Roman" w:cs="Times New Roman"/>
          <w:sz w:val="24"/>
          <w:szCs w:val="24"/>
        </w:rPr>
        <w:t xml:space="preserve">address </w:t>
      </w:r>
      <w:r w:rsidR="00505981" w:rsidRPr="00D22649">
        <w:rPr>
          <w:rFonts w:ascii="Times New Roman" w:hAnsi="Times New Roman" w:cs="Times New Roman"/>
          <w:sz w:val="24"/>
          <w:szCs w:val="24"/>
        </w:rPr>
        <w:t xml:space="preserve">the author’s ethnicity in </w:t>
      </w:r>
      <w:r w:rsidR="00505981" w:rsidRPr="00D22649">
        <w:rPr>
          <w:rFonts w:ascii="Times New Roman" w:hAnsi="Times New Roman" w:cs="Times New Roman"/>
          <w:i/>
          <w:sz w:val="24"/>
          <w:szCs w:val="24"/>
        </w:rPr>
        <w:t>A.S.</w:t>
      </w:r>
      <w:r w:rsidR="00111BA1" w:rsidRPr="00D22649">
        <w:rPr>
          <w:rFonts w:ascii="Times New Roman" w:hAnsi="Times New Roman" w:cs="Times New Roman"/>
          <w:sz w:val="24"/>
          <w:szCs w:val="24"/>
        </w:rPr>
        <w:t>, leaving Ravnbøl to conclude that the human rights of women framework</w:t>
      </w:r>
      <w:r w:rsidR="00E75EB2" w:rsidRPr="00D22649">
        <w:rPr>
          <w:rFonts w:ascii="Times New Roman" w:hAnsi="Times New Roman" w:cs="Times New Roman"/>
          <w:sz w:val="24"/>
          <w:szCs w:val="24"/>
        </w:rPr>
        <w:t xml:space="preserve"> ‘</w:t>
      </w:r>
      <w:r w:rsidR="00111BA1" w:rsidRPr="00D22649">
        <w:rPr>
          <w:rFonts w:ascii="Times New Roman" w:hAnsi="Times New Roman" w:cs="Times New Roman"/>
          <w:sz w:val="24"/>
          <w:szCs w:val="24"/>
        </w:rPr>
        <w:t>does not fully include the ethnic dimension necessary to redress sufficiently many other concerns of minority women</w:t>
      </w:r>
      <w:r w:rsidR="00E75EB2" w:rsidRPr="00D22649">
        <w:rPr>
          <w:rFonts w:ascii="Times New Roman" w:hAnsi="Times New Roman" w:cs="Times New Roman"/>
          <w:sz w:val="24"/>
          <w:szCs w:val="24"/>
        </w:rPr>
        <w:t>’</w:t>
      </w:r>
      <w:r w:rsidR="00111BA1" w:rsidRPr="00D22649">
        <w:rPr>
          <w:rFonts w:ascii="Times New Roman" w:hAnsi="Times New Roman" w:cs="Times New Roman"/>
          <w:sz w:val="24"/>
          <w:szCs w:val="24"/>
        </w:rPr>
        <w:t>.</w:t>
      </w:r>
      <w:r w:rsidR="0022550B" w:rsidRPr="00D22649">
        <w:rPr>
          <w:rStyle w:val="FootnoteReference"/>
          <w:rFonts w:ascii="Times New Roman" w:hAnsi="Times New Roman" w:cs="Times New Roman"/>
          <w:sz w:val="24"/>
          <w:szCs w:val="24"/>
        </w:rPr>
        <w:footnoteReference w:id="45"/>
      </w:r>
      <w:r w:rsidR="00111BA1" w:rsidRPr="00D22649">
        <w:rPr>
          <w:rFonts w:ascii="Times New Roman" w:hAnsi="Times New Roman" w:cs="Times New Roman"/>
          <w:sz w:val="24"/>
          <w:szCs w:val="24"/>
        </w:rPr>
        <w:t xml:space="preserve">  F</w:t>
      </w:r>
      <w:r w:rsidR="000C506B" w:rsidRPr="00D22649">
        <w:rPr>
          <w:rFonts w:ascii="Times New Roman" w:hAnsi="Times New Roman" w:cs="Times New Roman"/>
          <w:sz w:val="24"/>
          <w:szCs w:val="24"/>
        </w:rPr>
        <w:t xml:space="preserve">ive years later, </w:t>
      </w:r>
      <w:r w:rsidR="00832089" w:rsidRPr="00D22649">
        <w:rPr>
          <w:rFonts w:ascii="Times New Roman" w:hAnsi="Times New Roman" w:cs="Times New Roman"/>
          <w:sz w:val="24"/>
          <w:szCs w:val="24"/>
        </w:rPr>
        <w:t xml:space="preserve">the Committee seized </w:t>
      </w:r>
      <w:r w:rsidR="00577484" w:rsidRPr="00D22649">
        <w:rPr>
          <w:rFonts w:ascii="Times New Roman" w:hAnsi="Times New Roman" w:cs="Times New Roman"/>
          <w:sz w:val="24"/>
          <w:szCs w:val="24"/>
        </w:rPr>
        <w:t xml:space="preserve">an </w:t>
      </w:r>
      <w:r w:rsidR="000C506B" w:rsidRPr="00D22649">
        <w:rPr>
          <w:rFonts w:ascii="Times New Roman" w:hAnsi="Times New Roman" w:cs="Times New Roman"/>
          <w:sz w:val="24"/>
          <w:szCs w:val="24"/>
        </w:rPr>
        <w:t>opportunity</w:t>
      </w:r>
      <w:r w:rsidR="00A74A2F" w:rsidRPr="00D22649">
        <w:rPr>
          <w:rFonts w:ascii="Times New Roman" w:hAnsi="Times New Roman" w:cs="Times New Roman"/>
          <w:sz w:val="24"/>
          <w:szCs w:val="24"/>
        </w:rPr>
        <w:t xml:space="preserve"> to address multiple </w:t>
      </w:r>
      <w:r w:rsidR="000C6D29" w:rsidRPr="00D22649">
        <w:rPr>
          <w:rFonts w:ascii="Times New Roman" w:hAnsi="Times New Roman" w:cs="Times New Roman"/>
          <w:sz w:val="24"/>
          <w:szCs w:val="24"/>
        </w:rPr>
        <w:t>discrimination</w:t>
      </w:r>
      <w:r w:rsidR="00752D60" w:rsidRPr="00D22649">
        <w:rPr>
          <w:rFonts w:ascii="Times New Roman" w:hAnsi="Times New Roman" w:cs="Times New Roman"/>
          <w:sz w:val="24"/>
          <w:szCs w:val="24"/>
        </w:rPr>
        <w:t xml:space="preserve">.  </w:t>
      </w:r>
      <w:r w:rsidR="00752D60" w:rsidRPr="00D22649">
        <w:rPr>
          <w:rFonts w:ascii="Times New Roman" w:hAnsi="Times New Roman" w:cs="Times New Roman"/>
          <w:i/>
          <w:sz w:val="24"/>
          <w:szCs w:val="24"/>
        </w:rPr>
        <w:t>Alyne da Silva Pimentel</w:t>
      </w:r>
      <w:r w:rsidR="00752D60" w:rsidRPr="00D22649">
        <w:rPr>
          <w:rFonts w:ascii="Times New Roman" w:hAnsi="Times New Roman" w:cs="Times New Roman"/>
          <w:i/>
          <w:iCs/>
          <w:sz w:val="24"/>
          <w:szCs w:val="24"/>
        </w:rPr>
        <w:t xml:space="preserve"> Teixeira (deceased) v. Brazil</w:t>
      </w:r>
      <w:r w:rsidR="001B32E1" w:rsidRPr="00D22649">
        <w:rPr>
          <w:rStyle w:val="FootnoteReference"/>
          <w:rFonts w:ascii="Times New Roman" w:hAnsi="Times New Roman" w:cs="Times New Roman"/>
          <w:iCs/>
          <w:sz w:val="24"/>
          <w:szCs w:val="24"/>
        </w:rPr>
        <w:footnoteReference w:id="46"/>
      </w:r>
      <w:r w:rsidR="00752D60" w:rsidRPr="00D22649">
        <w:rPr>
          <w:rFonts w:ascii="Times New Roman" w:hAnsi="Times New Roman" w:cs="Times New Roman"/>
          <w:iCs/>
          <w:sz w:val="24"/>
          <w:szCs w:val="24"/>
        </w:rPr>
        <w:t xml:space="preserve"> was submitted </w:t>
      </w:r>
      <w:r w:rsidR="001620D3" w:rsidRPr="00D22649">
        <w:rPr>
          <w:rFonts w:ascii="Times New Roman" w:hAnsi="Times New Roman" w:cs="Times New Roman"/>
          <w:iCs/>
          <w:sz w:val="24"/>
          <w:szCs w:val="24"/>
        </w:rPr>
        <w:t xml:space="preserve">by the Center for Reproductive Rights and </w:t>
      </w:r>
      <w:r w:rsidR="001620D3" w:rsidRPr="00D22649">
        <w:rPr>
          <w:rFonts w:ascii="Times New Roman" w:hAnsi="Times New Roman" w:cs="Times New Roman"/>
          <w:i/>
          <w:iCs/>
          <w:sz w:val="24"/>
          <w:szCs w:val="24"/>
        </w:rPr>
        <w:t>Advocacia Cidada pelos Direitos Humanos</w:t>
      </w:r>
      <w:r w:rsidR="001620D3" w:rsidRPr="00D22649">
        <w:rPr>
          <w:rFonts w:ascii="Times New Roman" w:hAnsi="Times New Roman" w:cs="Times New Roman"/>
          <w:iCs/>
          <w:sz w:val="24"/>
          <w:szCs w:val="24"/>
        </w:rPr>
        <w:t xml:space="preserve"> </w:t>
      </w:r>
      <w:r w:rsidR="003451CE" w:rsidRPr="00D22649">
        <w:rPr>
          <w:rFonts w:ascii="Times New Roman" w:hAnsi="Times New Roman" w:cs="Times New Roman"/>
          <w:iCs/>
          <w:sz w:val="24"/>
          <w:szCs w:val="24"/>
        </w:rPr>
        <w:t>on behalf of</w:t>
      </w:r>
      <w:r w:rsidR="00752D60" w:rsidRPr="00D22649">
        <w:rPr>
          <w:rFonts w:ascii="Times New Roman" w:hAnsi="Times New Roman" w:cs="Times New Roman"/>
          <w:iCs/>
          <w:sz w:val="24"/>
          <w:szCs w:val="24"/>
        </w:rPr>
        <w:t xml:space="preserve"> a</w:t>
      </w:r>
      <w:r w:rsidR="003451CE" w:rsidRPr="00D22649">
        <w:rPr>
          <w:rFonts w:ascii="Times New Roman" w:hAnsi="Times New Roman" w:cs="Times New Roman"/>
          <w:iCs/>
          <w:sz w:val="24"/>
          <w:szCs w:val="24"/>
        </w:rPr>
        <w:t>n Afro-</w:t>
      </w:r>
      <w:r w:rsidR="00005788" w:rsidRPr="00D22649">
        <w:rPr>
          <w:rFonts w:ascii="Times New Roman" w:hAnsi="Times New Roman" w:cs="Times New Roman"/>
          <w:iCs/>
          <w:sz w:val="24"/>
          <w:szCs w:val="24"/>
        </w:rPr>
        <w:t>descendant</w:t>
      </w:r>
      <w:r w:rsidR="00752D60" w:rsidRPr="00D22649">
        <w:rPr>
          <w:rFonts w:ascii="Times New Roman" w:hAnsi="Times New Roman" w:cs="Times New Roman"/>
          <w:iCs/>
          <w:sz w:val="24"/>
          <w:szCs w:val="24"/>
        </w:rPr>
        <w:t xml:space="preserve"> </w:t>
      </w:r>
      <w:r w:rsidR="00832089" w:rsidRPr="00D22649">
        <w:rPr>
          <w:rFonts w:ascii="Times New Roman" w:hAnsi="Times New Roman" w:cs="Times New Roman"/>
          <w:iCs/>
          <w:sz w:val="24"/>
          <w:szCs w:val="24"/>
        </w:rPr>
        <w:t xml:space="preserve">Brazilian </w:t>
      </w:r>
      <w:r w:rsidR="00752D60" w:rsidRPr="00D22649">
        <w:rPr>
          <w:rFonts w:ascii="Times New Roman" w:hAnsi="Times New Roman" w:cs="Times New Roman"/>
          <w:iCs/>
          <w:sz w:val="24"/>
          <w:szCs w:val="24"/>
        </w:rPr>
        <w:t xml:space="preserve">woman who had died </w:t>
      </w:r>
      <w:r w:rsidR="000C506B" w:rsidRPr="00D22649">
        <w:rPr>
          <w:rFonts w:ascii="Times New Roman" w:hAnsi="Times New Roman" w:cs="Times New Roman"/>
          <w:iCs/>
          <w:sz w:val="24"/>
          <w:szCs w:val="24"/>
        </w:rPr>
        <w:t>in the</w:t>
      </w:r>
      <w:r w:rsidR="00752D60" w:rsidRPr="00D22649">
        <w:rPr>
          <w:rFonts w:ascii="Times New Roman" w:hAnsi="Times New Roman" w:cs="Times New Roman"/>
          <w:iCs/>
          <w:sz w:val="24"/>
          <w:szCs w:val="24"/>
        </w:rPr>
        <w:t xml:space="preserve"> late stage</w:t>
      </w:r>
      <w:r w:rsidR="000C506B" w:rsidRPr="00D22649">
        <w:rPr>
          <w:rFonts w:ascii="Times New Roman" w:hAnsi="Times New Roman" w:cs="Times New Roman"/>
          <w:iCs/>
          <w:sz w:val="24"/>
          <w:szCs w:val="24"/>
        </w:rPr>
        <w:t>s</w:t>
      </w:r>
      <w:r w:rsidR="00752D60" w:rsidRPr="00D22649">
        <w:rPr>
          <w:rFonts w:ascii="Times New Roman" w:hAnsi="Times New Roman" w:cs="Times New Roman"/>
          <w:iCs/>
          <w:sz w:val="24"/>
          <w:szCs w:val="24"/>
        </w:rPr>
        <w:t xml:space="preserve"> </w:t>
      </w:r>
      <w:r w:rsidR="003451CE" w:rsidRPr="00D22649">
        <w:rPr>
          <w:rFonts w:ascii="Times New Roman" w:hAnsi="Times New Roman" w:cs="Times New Roman"/>
          <w:iCs/>
          <w:sz w:val="24"/>
          <w:szCs w:val="24"/>
        </w:rPr>
        <w:t>of</w:t>
      </w:r>
      <w:r w:rsidR="002F44C1" w:rsidRPr="00D22649">
        <w:rPr>
          <w:rFonts w:ascii="Times New Roman" w:hAnsi="Times New Roman" w:cs="Times New Roman"/>
          <w:iCs/>
          <w:sz w:val="24"/>
          <w:szCs w:val="24"/>
        </w:rPr>
        <w:t xml:space="preserve"> </w:t>
      </w:r>
      <w:r w:rsidR="00752D60" w:rsidRPr="00D22649">
        <w:rPr>
          <w:rFonts w:ascii="Times New Roman" w:hAnsi="Times New Roman" w:cs="Times New Roman"/>
          <w:iCs/>
          <w:sz w:val="24"/>
          <w:szCs w:val="24"/>
        </w:rPr>
        <w:t>pregnancy.</w:t>
      </w:r>
      <w:r w:rsidR="000F0495" w:rsidRPr="00D22649">
        <w:rPr>
          <w:rStyle w:val="FootnoteReference"/>
          <w:rFonts w:ascii="Times New Roman" w:hAnsi="Times New Roman" w:cs="Times New Roman"/>
          <w:iCs/>
          <w:sz w:val="24"/>
          <w:szCs w:val="24"/>
        </w:rPr>
        <w:footnoteReference w:id="47"/>
      </w:r>
      <w:r w:rsidR="000C506B" w:rsidRPr="00D22649">
        <w:rPr>
          <w:rFonts w:ascii="Times New Roman" w:hAnsi="Times New Roman" w:cs="Times New Roman"/>
          <w:iCs/>
          <w:sz w:val="24"/>
          <w:szCs w:val="24"/>
        </w:rPr>
        <w:t xml:space="preserve">  She had </w:t>
      </w:r>
      <w:r w:rsidR="00431F72" w:rsidRPr="00D22649">
        <w:rPr>
          <w:rFonts w:ascii="Times New Roman" w:hAnsi="Times New Roman" w:cs="Times New Roman"/>
          <w:iCs/>
          <w:sz w:val="24"/>
          <w:szCs w:val="24"/>
        </w:rPr>
        <w:t xml:space="preserve">presented herself at a health centre when six months pregnant suffering from severe nausea and abdominal pain; her </w:t>
      </w:r>
      <w:r w:rsidR="005D1D10" w:rsidRPr="00D22649">
        <w:rPr>
          <w:rFonts w:ascii="Times New Roman" w:hAnsi="Times New Roman" w:cs="Times New Roman"/>
          <w:iCs/>
          <w:sz w:val="24"/>
          <w:szCs w:val="24"/>
        </w:rPr>
        <w:t>symptoms were misdiagnosed and</w:t>
      </w:r>
      <w:r w:rsidR="00431F72" w:rsidRPr="00D22649">
        <w:rPr>
          <w:rFonts w:ascii="Times New Roman" w:hAnsi="Times New Roman" w:cs="Times New Roman"/>
          <w:iCs/>
          <w:sz w:val="24"/>
          <w:szCs w:val="24"/>
        </w:rPr>
        <w:t>, following complications arising from the medically</w:t>
      </w:r>
      <w:r w:rsidR="00075E94" w:rsidRPr="00D22649">
        <w:rPr>
          <w:rFonts w:ascii="Times New Roman" w:hAnsi="Times New Roman" w:cs="Times New Roman"/>
          <w:iCs/>
          <w:sz w:val="24"/>
          <w:szCs w:val="24"/>
        </w:rPr>
        <w:t>-</w:t>
      </w:r>
      <w:r w:rsidR="00431F72" w:rsidRPr="00D22649">
        <w:rPr>
          <w:rFonts w:ascii="Times New Roman" w:hAnsi="Times New Roman" w:cs="Times New Roman"/>
          <w:iCs/>
          <w:sz w:val="24"/>
          <w:szCs w:val="24"/>
        </w:rPr>
        <w:t xml:space="preserve">induced delivery of her stillborn foetus, the </w:t>
      </w:r>
      <w:r w:rsidR="005D1D10" w:rsidRPr="00D22649">
        <w:rPr>
          <w:rFonts w:ascii="Times New Roman" w:hAnsi="Times New Roman" w:cs="Times New Roman"/>
          <w:iCs/>
          <w:sz w:val="24"/>
          <w:szCs w:val="24"/>
        </w:rPr>
        <w:t xml:space="preserve">provision of </w:t>
      </w:r>
      <w:r w:rsidR="007E76BF" w:rsidRPr="00D22649">
        <w:rPr>
          <w:rFonts w:ascii="Times New Roman" w:hAnsi="Times New Roman" w:cs="Times New Roman"/>
          <w:iCs/>
          <w:sz w:val="24"/>
          <w:szCs w:val="24"/>
        </w:rPr>
        <w:t xml:space="preserve">the necessary emergency </w:t>
      </w:r>
      <w:r w:rsidR="00431F72" w:rsidRPr="00D22649">
        <w:rPr>
          <w:rFonts w:ascii="Times New Roman" w:hAnsi="Times New Roman" w:cs="Times New Roman"/>
          <w:iCs/>
          <w:sz w:val="24"/>
          <w:szCs w:val="24"/>
        </w:rPr>
        <w:t xml:space="preserve">hospital </w:t>
      </w:r>
      <w:r w:rsidR="007E76BF" w:rsidRPr="00D22649">
        <w:rPr>
          <w:rFonts w:ascii="Times New Roman" w:hAnsi="Times New Roman" w:cs="Times New Roman"/>
          <w:iCs/>
          <w:sz w:val="24"/>
          <w:szCs w:val="24"/>
        </w:rPr>
        <w:t>care</w:t>
      </w:r>
      <w:r w:rsidR="005D1D10" w:rsidRPr="00D22649">
        <w:rPr>
          <w:rFonts w:ascii="Times New Roman" w:hAnsi="Times New Roman" w:cs="Times New Roman"/>
          <w:iCs/>
          <w:sz w:val="24"/>
          <w:szCs w:val="24"/>
        </w:rPr>
        <w:t xml:space="preserve"> was fatally delayed</w:t>
      </w:r>
      <w:r w:rsidR="000C506B" w:rsidRPr="00D22649">
        <w:rPr>
          <w:rFonts w:ascii="Times New Roman" w:hAnsi="Times New Roman" w:cs="Times New Roman"/>
          <w:iCs/>
          <w:sz w:val="24"/>
          <w:szCs w:val="24"/>
        </w:rPr>
        <w:t xml:space="preserve">.  </w:t>
      </w:r>
      <w:r w:rsidR="00C040FD" w:rsidRPr="00D22649">
        <w:rPr>
          <w:rFonts w:ascii="Times New Roman" w:hAnsi="Times New Roman" w:cs="Times New Roman"/>
          <w:sz w:val="24"/>
          <w:szCs w:val="24"/>
        </w:rPr>
        <w:t xml:space="preserve">An </w:t>
      </w:r>
      <w:r w:rsidR="00C040FD" w:rsidRPr="00D22649">
        <w:rPr>
          <w:rFonts w:ascii="Times New Roman" w:hAnsi="Times New Roman" w:cs="Times New Roman"/>
          <w:i/>
          <w:sz w:val="24"/>
          <w:szCs w:val="24"/>
        </w:rPr>
        <w:t>amicus</w:t>
      </w:r>
      <w:r w:rsidR="0022550B" w:rsidRPr="00D22649">
        <w:rPr>
          <w:rFonts w:ascii="Times New Roman" w:hAnsi="Times New Roman" w:cs="Times New Roman"/>
          <w:i/>
          <w:sz w:val="24"/>
          <w:szCs w:val="24"/>
        </w:rPr>
        <w:t xml:space="preserve"> curiae</w:t>
      </w:r>
      <w:r w:rsidR="00C040FD" w:rsidRPr="00D22649">
        <w:rPr>
          <w:rFonts w:ascii="Times New Roman" w:hAnsi="Times New Roman" w:cs="Times New Roman"/>
          <w:sz w:val="24"/>
          <w:szCs w:val="24"/>
        </w:rPr>
        <w:t xml:space="preserve"> brief</w:t>
      </w:r>
      <w:r w:rsidR="00005788" w:rsidRPr="00D22649">
        <w:rPr>
          <w:rFonts w:ascii="Times New Roman" w:hAnsi="Times New Roman" w:cs="Times New Roman"/>
          <w:sz w:val="24"/>
          <w:szCs w:val="24"/>
        </w:rPr>
        <w:t xml:space="preserve"> </w:t>
      </w:r>
      <w:r w:rsidR="0022550B" w:rsidRPr="00D22649">
        <w:rPr>
          <w:rFonts w:ascii="Times New Roman" w:hAnsi="Times New Roman" w:cs="Times New Roman"/>
          <w:sz w:val="24"/>
          <w:szCs w:val="24"/>
        </w:rPr>
        <w:t>submitted</w:t>
      </w:r>
      <w:r w:rsidR="00832089" w:rsidRPr="00D22649">
        <w:rPr>
          <w:rFonts w:ascii="Times New Roman" w:hAnsi="Times New Roman" w:cs="Times New Roman"/>
          <w:sz w:val="24"/>
          <w:szCs w:val="24"/>
        </w:rPr>
        <w:t xml:space="preserve"> to the Committee</w:t>
      </w:r>
      <w:r w:rsidR="0022550B" w:rsidRPr="00D22649">
        <w:rPr>
          <w:rFonts w:ascii="Times New Roman" w:hAnsi="Times New Roman" w:cs="Times New Roman"/>
          <w:sz w:val="24"/>
          <w:szCs w:val="24"/>
        </w:rPr>
        <w:t xml:space="preserve"> by </w:t>
      </w:r>
      <w:r w:rsidR="00C040FD" w:rsidRPr="00D22649">
        <w:rPr>
          <w:rFonts w:ascii="Times New Roman" w:hAnsi="Times New Roman" w:cs="Times New Roman"/>
          <w:sz w:val="24"/>
          <w:szCs w:val="24"/>
        </w:rPr>
        <w:t xml:space="preserve">the </w:t>
      </w:r>
      <w:r w:rsidR="009164EE" w:rsidRPr="00D22649">
        <w:rPr>
          <w:rFonts w:ascii="Times New Roman" w:hAnsi="Times New Roman" w:cs="Times New Roman"/>
          <w:sz w:val="24"/>
          <w:szCs w:val="24"/>
        </w:rPr>
        <w:t>Latin-</w:t>
      </w:r>
      <w:r w:rsidR="009164EE" w:rsidRPr="00D22649">
        <w:rPr>
          <w:rFonts w:ascii="Times New Roman" w:hAnsi="Times New Roman" w:cs="Times New Roman"/>
          <w:sz w:val="24"/>
          <w:szCs w:val="24"/>
        </w:rPr>
        <w:lastRenderedPageBreak/>
        <w:t xml:space="preserve">American and Caribbean Committee for the Defense of Women’s Rights </w:t>
      </w:r>
      <w:r w:rsidR="00F07AB1" w:rsidRPr="00D22649">
        <w:rPr>
          <w:rFonts w:ascii="Times New Roman" w:hAnsi="Times New Roman" w:cs="Times New Roman"/>
          <w:iCs/>
          <w:sz w:val="24"/>
          <w:szCs w:val="24"/>
        </w:rPr>
        <w:t xml:space="preserve">argued that </w:t>
      </w:r>
      <w:r w:rsidR="00577484" w:rsidRPr="00D22649">
        <w:rPr>
          <w:rFonts w:ascii="Times New Roman" w:hAnsi="Times New Roman" w:cs="Times New Roman"/>
          <w:iCs/>
          <w:sz w:val="24"/>
          <w:szCs w:val="24"/>
        </w:rPr>
        <w:t>Ms</w:t>
      </w:r>
      <w:r w:rsidR="00CD1940" w:rsidRPr="00D22649">
        <w:rPr>
          <w:rFonts w:ascii="Times New Roman" w:hAnsi="Times New Roman" w:cs="Times New Roman"/>
          <w:iCs/>
          <w:sz w:val="24"/>
          <w:szCs w:val="24"/>
        </w:rPr>
        <w:t xml:space="preserve"> Pimentel’s </w:t>
      </w:r>
      <w:r w:rsidR="00F07AB1" w:rsidRPr="00D22649">
        <w:rPr>
          <w:rFonts w:ascii="Times New Roman" w:hAnsi="Times New Roman" w:cs="Times New Roman"/>
          <w:iCs/>
          <w:sz w:val="24"/>
          <w:szCs w:val="24"/>
        </w:rPr>
        <w:t xml:space="preserve">case exemplified the appalling lack of maternal care received by economically disadvantaged women in Brazil, a category </w:t>
      </w:r>
      <w:r w:rsidR="00F03B9C" w:rsidRPr="00D22649">
        <w:rPr>
          <w:rFonts w:ascii="Times New Roman" w:hAnsi="Times New Roman" w:cs="Times New Roman"/>
          <w:iCs/>
          <w:sz w:val="24"/>
          <w:szCs w:val="24"/>
        </w:rPr>
        <w:t>encompassing</w:t>
      </w:r>
      <w:r w:rsidR="00F07AB1" w:rsidRPr="00D22649">
        <w:rPr>
          <w:rFonts w:ascii="Times New Roman" w:hAnsi="Times New Roman" w:cs="Times New Roman"/>
          <w:iCs/>
          <w:sz w:val="24"/>
          <w:szCs w:val="24"/>
        </w:rPr>
        <w:t xml:space="preserve"> a disproportionate number of Afro-descendant women.</w:t>
      </w:r>
      <w:r w:rsidR="00F466A2" w:rsidRPr="00D22649">
        <w:rPr>
          <w:rStyle w:val="FootnoteReference"/>
          <w:rFonts w:ascii="Times New Roman" w:hAnsi="Times New Roman" w:cs="Times New Roman"/>
          <w:iCs/>
          <w:sz w:val="24"/>
          <w:szCs w:val="24"/>
        </w:rPr>
        <w:footnoteReference w:id="48"/>
      </w:r>
    </w:p>
    <w:p w14:paraId="7FE16D48" w14:textId="0176CDCA" w:rsidR="00120A34" w:rsidRPr="00D22649" w:rsidRDefault="003C2195" w:rsidP="00D22649">
      <w:pPr>
        <w:autoSpaceDE w:val="0"/>
        <w:autoSpaceDN w:val="0"/>
        <w:adjustRightInd w:val="0"/>
        <w:spacing w:after="0" w:line="360" w:lineRule="auto"/>
        <w:jc w:val="both"/>
        <w:rPr>
          <w:rFonts w:ascii="Times New Roman" w:hAnsi="Times New Roman" w:cs="Times New Roman"/>
          <w:iCs/>
          <w:sz w:val="24"/>
          <w:szCs w:val="24"/>
        </w:rPr>
      </w:pPr>
      <w:r>
        <w:rPr>
          <w:rFonts w:ascii="Times New Roman" w:hAnsi="Times New Roman" w:cs="Times New Roman"/>
          <w:iCs/>
          <w:sz w:val="24"/>
          <w:szCs w:val="24"/>
        </w:rPr>
        <w:tab/>
      </w:r>
      <w:r w:rsidR="003451CE" w:rsidRPr="00D22649">
        <w:rPr>
          <w:rFonts w:ascii="Times New Roman" w:hAnsi="Times New Roman" w:cs="Times New Roman"/>
          <w:iCs/>
          <w:sz w:val="24"/>
          <w:szCs w:val="24"/>
        </w:rPr>
        <w:t xml:space="preserve">The Committee </w:t>
      </w:r>
      <w:r w:rsidR="00DD13D5" w:rsidRPr="00D22649">
        <w:rPr>
          <w:rFonts w:ascii="Times New Roman" w:hAnsi="Times New Roman" w:cs="Times New Roman"/>
          <w:iCs/>
          <w:sz w:val="24"/>
          <w:szCs w:val="24"/>
        </w:rPr>
        <w:t>concluded</w:t>
      </w:r>
      <w:r>
        <w:rPr>
          <w:rFonts w:ascii="Times New Roman" w:hAnsi="Times New Roman" w:cs="Times New Roman"/>
          <w:iCs/>
          <w:sz w:val="24"/>
          <w:szCs w:val="24"/>
        </w:rPr>
        <w:t>,</w:t>
      </w:r>
      <w:r w:rsidR="007E76BF" w:rsidRPr="00D22649">
        <w:rPr>
          <w:rFonts w:ascii="Times New Roman" w:hAnsi="Times New Roman" w:cs="Times New Roman"/>
          <w:iCs/>
          <w:sz w:val="24"/>
          <w:szCs w:val="24"/>
        </w:rPr>
        <w:t xml:space="preserve"> </w:t>
      </w:r>
      <w:r w:rsidR="00CE465F" w:rsidRPr="00D22649">
        <w:rPr>
          <w:rFonts w:ascii="Times New Roman" w:hAnsi="Times New Roman" w:cs="Times New Roman"/>
          <w:iCs/>
          <w:sz w:val="24"/>
          <w:szCs w:val="24"/>
        </w:rPr>
        <w:t>‘</w:t>
      </w:r>
      <w:r w:rsidR="007E76BF" w:rsidRPr="00D22649">
        <w:rPr>
          <w:rFonts w:ascii="Times New Roman" w:hAnsi="Times New Roman" w:cs="Times New Roman"/>
          <w:iCs/>
          <w:sz w:val="24"/>
          <w:szCs w:val="24"/>
        </w:rPr>
        <w:t>it is the duty of States parties to ensure women’s right to safe motherhood and emergency obstetric services, and to allocate to these services the maximu</w:t>
      </w:r>
      <w:r w:rsidR="00CE465F" w:rsidRPr="00D22649">
        <w:rPr>
          <w:rFonts w:ascii="Times New Roman" w:hAnsi="Times New Roman" w:cs="Times New Roman"/>
          <w:iCs/>
          <w:sz w:val="24"/>
          <w:szCs w:val="24"/>
        </w:rPr>
        <w:t>m extent of available resources’</w:t>
      </w:r>
      <w:r w:rsidR="007E76BF" w:rsidRPr="00D22649">
        <w:rPr>
          <w:rFonts w:ascii="Times New Roman" w:hAnsi="Times New Roman" w:cs="Times New Roman"/>
          <w:iCs/>
          <w:sz w:val="24"/>
          <w:szCs w:val="24"/>
        </w:rPr>
        <w:t>.</w:t>
      </w:r>
      <w:r w:rsidR="00CE465F" w:rsidRPr="00D22649">
        <w:rPr>
          <w:rStyle w:val="FootnoteReference"/>
          <w:rFonts w:ascii="Times New Roman" w:hAnsi="Times New Roman" w:cs="Times New Roman"/>
          <w:iCs/>
          <w:sz w:val="24"/>
          <w:szCs w:val="24"/>
        </w:rPr>
        <w:footnoteReference w:id="49"/>
      </w:r>
      <w:r w:rsidR="007E76BF" w:rsidRPr="00D22649">
        <w:rPr>
          <w:rFonts w:ascii="Times New Roman" w:hAnsi="Times New Roman" w:cs="Times New Roman"/>
          <w:iCs/>
          <w:sz w:val="24"/>
          <w:szCs w:val="24"/>
        </w:rPr>
        <w:t xml:space="preserve">  It held the </w:t>
      </w:r>
      <w:r>
        <w:rPr>
          <w:rFonts w:ascii="Times New Roman" w:hAnsi="Times New Roman" w:cs="Times New Roman"/>
          <w:iCs/>
          <w:sz w:val="24"/>
          <w:szCs w:val="24"/>
        </w:rPr>
        <w:t>s</w:t>
      </w:r>
      <w:r w:rsidR="007E76BF" w:rsidRPr="00D22649">
        <w:rPr>
          <w:rFonts w:ascii="Times New Roman" w:hAnsi="Times New Roman" w:cs="Times New Roman"/>
          <w:iCs/>
          <w:sz w:val="24"/>
          <w:szCs w:val="24"/>
        </w:rPr>
        <w:t>tate directly responsible for the failings in this case</w:t>
      </w:r>
      <w:r w:rsidR="00A95A44" w:rsidRPr="00D22649">
        <w:rPr>
          <w:rFonts w:ascii="Times New Roman" w:hAnsi="Times New Roman" w:cs="Times New Roman"/>
          <w:iCs/>
          <w:sz w:val="24"/>
          <w:szCs w:val="24"/>
        </w:rPr>
        <w:t xml:space="preserve"> </w:t>
      </w:r>
      <w:r w:rsidR="007E76BF" w:rsidRPr="00D22649">
        <w:rPr>
          <w:rFonts w:ascii="Times New Roman" w:hAnsi="Times New Roman" w:cs="Times New Roman"/>
          <w:iCs/>
          <w:sz w:val="24"/>
          <w:szCs w:val="24"/>
        </w:rPr>
        <w:t>even though the treatment had been outsourced to a private institution</w:t>
      </w:r>
      <w:r w:rsidR="00A95A44" w:rsidRPr="00D22649">
        <w:rPr>
          <w:rFonts w:ascii="Times New Roman" w:hAnsi="Times New Roman" w:cs="Times New Roman"/>
          <w:iCs/>
          <w:sz w:val="24"/>
          <w:szCs w:val="24"/>
        </w:rPr>
        <w:t>, identifying</w:t>
      </w:r>
      <w:r w:rsidR="007E76BF" w:rsidRPr="00D22649">
        <w:rPr>
          <w:rFonts w:ascii="Times New Roman" w:hAnsi="Times New Roman" w:cs="Times New Roman"/>
          <w:iCs/>
          <w:sz w:val="24"/>
          <w:szCs w:val="24"/>
        </w:rPr>
        <w:t xml:space="preserve"> a continuing due diligence obligation to monitor and regulate private healthcare provision.</w:t>
      </w:r>
      <w:r w:rsidR="00AB66D0" w:rsidRPr="00D22649">
        <w:rPr>
          <w:rStyle w:val="FootnoteReference"/>
          <w:rFonts w:ascii="Times New Roman" w:hAnsi="Times New Roman" w:cs="Times New Roman"/>
          <w:sz w:val="24"/>
          <w:szCs w:val="24"/>
        </w:rPr>
        <w:footnoteReference w:id="50"/>
      </w:r>
      <w:r w:rsidR="003451CE" w:rsidRPr="00D22649">
        <w:rPr>
          <w:rFonts w:ascii="Times New Roman" w:hAnsi="Times New Roman" w:cs="Times New Roman"/>
          <w:iCs/>
          <w:sz w:val="24"/>
          <w:szCs w:val="24"/>
        </w:rPr>
        <w:t xml:space="preserve">  </w:t>
      </w:r>
      <w:r w:rsidR="00187515" w:rsidRPr="00D22649">
        <w:rPr>
          <w:rFonts w:ascii="Times New Roman" w:hAnsi="Times New Roman" w:cs="Times New Roman"/>
          <w:iCs/>
          <w:sz w:val="24"/>
          <w:szCs w:val="24"/>
        </w:rPr>
        <w:t xml:space="preserve">While defining the extent of </w:t>
      </w:r>
      <w:r>
        <w:rPr>
          <w:rFonts w:ascii="Times New Roman" w:hAnsi="Times New Roman" w:cs="Times New Roman"/>
          <w:iCs/>
          <w:sz w:val="24"/>
          <w:szCs w:val="24"/>
        </w:rPr>
        <w:t>s</w:t>
      </w:r>
      <w:r w:rsidR="00187515" w:rsidRPr="00D22649">
        <w:rPr>
          <w:rFonts w:ascii="Times New Roman" w:hAnsi="Times New Roman" w:cs="Times New Roman"/>
          <w:iCs/>
          <w:sz w:val="24"/>
          <w:szCs w:val="24"/>
        </w:rPr>
        <w:t>tates</w:t>
      </w:r>
      <w:r w:rsidR="00BE6971" w:rsidRPr="00D22649">
        <w:rPr>
          <w:rFonts w:ascii="Times New Roman" w:hAnsi="Times New Roman" w:cs="Times New Roman"/>
          <w:iCs/>
          <w:sz w:val="24"/>
          <w:szCs w:val="24"/>
        </w:rPr>
        <w:t>’</w:t>
      </w:r>
      <w:r w:rsidR="00187515" w:rsidRPr="00D22649">
        <w:rPr>
          <w:rFonts w:ascii="Times New Roman" w:hAnsi="Times New Roman" w:cs="Times New Roman"/>
          <w:iCs/>
          <w:sz w:val="24"/>
          <w:szCs w:val="24"/>
        </w:rPr>
        <w:t xml:space="preserve"> obligation</w:t>
      </w:r>
      <w:r w:rsidR="00BE6971" w:rsidRPr="00D22649">
        <w:rPr>
          <w:rFonts w:ascii="Times New Roman" w:hAnsi="Times New Roman" w:cs="Times New Roman"/>
          <w:iCs/>
          <w:sz w:val="24"/>
          <w:szCs w:val="24"/>
        </w:rPr>
        <w:t>s</w:t>
      </w:r>
      <w:r w:rsidR="00187515" w:rsidRPr="00D22649">
        <w:rPr>
          <w:rFonts w:ascii="Times New Roman" w:hAnsi="Times New Roman" w:cs="Times New Roman"/>
          <w:iCs/>
          <w:sz w:val="24"/>
          <w:szCs w:val="24"/>
        </w:rPr>
        <w:t xml:space="preserve"> in relation to healthcare rights is notoriously problematic, the Committee’s focus on discrimination equipped it with a useful analytical tool</w:t>
      </w:r>
      <w:r w:rsidR="00A95A44" w:rsidRPr="00D22649">
        <w:rPr>
          <w:rFonts w:ascii="Times New Roman" w:hAnsi="Times New Roman" w:cs="Times New Roman"/>
          <w:iCs/>
          <w:sz w:val="24"/>
          <w:szCs w:val="24"/>
        </w:rPr>
        <w:t xml:space="preserve"> in approaching this task</w:t>
      </w:r>
      <w:r w:rsidR="00187515" w:rsidRPr="00D22649">
        <w:rPr>
          <w:rFonts w:ascii="Times New Roman" w:hAnsi="Times New Roman" w:cs="Times New Roman"/>
          <w:iCs/>
          <w:sz w:val="24"/>
          <w:szCs w:val="24"/>
        </w:rPr>
        <w:t>.</w:t>
      </w:r>
      <w:r w:rsidR="00187515" w:rsidRPr="00D22649">
        <w:rPr>
          <w:rStyle w:val="FootnoteReference"/>
          <w:rFonts w:ascii="Times New Roman" w:hAnsi="Times New Roman" w:cs="Times New Roman"/>
          <w:sz w:val="24"/>
          <w:szCs w:val="24"/>
        </w:rPr>
        <w:footnoteReference w:id="51"/>
      </w:r>
      <w:r w:rsidR="00187515" w:rsidRPr="00D22649">
        <w:rPr>
          <w:rFonts w:ascii="Times New Roman" w:hAnsi="Times New Roman" w:cs="Times New Roman"/>
          <w:iCs/>
          <w:sz w:val="24"/>
          <w:szCs w:val="24"/>
        </w:rPr>
        <w:t xml:space="preserve">  </w:t>
      </w:r>
      <w:r w:rsidR="005D1D10" w:rsidRPr="00D22649">
        <w:rPr>
          <w:rFonts w:ascii="Times New Roman" w:hAnsi="Times New Roman" w:cs="Times New Roman"/>
          <w:iCs/>
          <w:sz w:val="24"/>
          <w:szCs w:val="24"/>
        </w:rPr>
        <w:t xml:space="preserve">Although Brazil had in place a National Pact for the Reduction of Maternal and Neonatal Mortality </w:t>
      </w:r>
      <w:r w:rsidR="007E76BF" w:rsidRPr="00D22649">
        <w:rPr>
          <w:rFonts w:ascii="Times New Roman" w:hAnsi="Times New Roman" w:cs="Times New Roman"/>
          <w:iCs/>
          <w:sz w:val="24"/>
          <w:szCs w:val="24"/>
        </w:rPr>
        <w:t>Policies</w:t>
      </w:r>
      <w:r w:rsidR="005D1D10" w:rsidRPr="00D22649">
        <w:rPr>
          <w:rFonts w:ascii="Times New Roman" w:hAnsi="Times New Roman" w:cs="Times New Roman"/>
          <w:iCs/>
          <w:sz w:val="24"/>
          <w:szCs w:val="24"/>
        </w:rPr>
        <w:t>, the Committee held that policies</w:t>
      </w:r>
      <w:r w:rsidR="007E76BF" w:rsidRPr="00D22649">
        <w:rPr>
          <w:rFonts w:ascii="Times New Roman" w:hAnsi="Times New Roman" w:cs="Times New Roman"/>
          <w:iCs/>
          <w:sz w:val="24"/>
          <w:szCs w:val="24"/>
        </w:rPr>
        <w:t xml:space="preserve"> need to be result</w:t>
      </w:r>
      <w:r w:rsidR="007D6563" w:rsidRPr="00D22649">
        <w:rPr>
          <w:rFonts w:ascii="Times New Roman" w:hAnsi="Times New Roman" w:cs="Times New Roman"/>
          <w:iCs/>
          <w:sz w:val="24"/>
          <w:szCs w:val="24"/>
        </w:rPr>
        <w:t>-</w:t>
      </w:r>
      <w:r w:rsidR="007E76BF" w:rsidRPr="00D22649">
        <w:rPr>
          <w:rFonts w:ascii="Times New Roman" w:hAnsi="Times New Roman" w:cs="Times New Roman"/>
          <w:iCs/>
          <w:sz w:val="24"/>
          <w:szCs w:val="24"/>
        </w:rPr>
        <w:t xml:space="preserve"> and action-orientated</w:t>
      </w:r>
      <w:r w:rsidR="00DD13D5" w:rsidRPr="00D22649">
        <w:rPr>
          <w:rFonts w:ascii="Times New Roman" w:hAnsi="Times New Roman" w:cs="Times New Roman"/>
          <w:iCs/>
          <w:sz w:val="24"/>
          <w:szCs w:val="24"/>
        </w:rPr>
        <w:t>.  Brazil’s</w:t>
      </w:r>
      <w:r w:rsidR="007E76BF" w:rsidRPr="00D22649">
        <w:rPr>
          <w:rFonts w:ascii="Times New Roman" w:hAnsi="Times New Roman" w:cs="Times New Roman"/>
          <w:iCs/>
          <w:sz w:val="24"/>
          <w:szCs w:val="24"/>
        </w:rPr>
        <w:t xml:space="preserve"> lack of appropriate maternal health services represented a clear violation of </w:t>
      </w:r>
      <w:r>
        <w:rPr>
          <w:rFonts w:ascii="Times New Roman" w:hAnsi="Times New Roman" w:cs="Times New Roman"/>
          <w:iCs/>
          <w:sz w:val="24"/>
          <w:szCs w:val="24"/>
        </w:rPr>
        <w:t>A</w:t>
      </w:r>
      <w:r w:rsidR="007E76BF" w:rsidRPr="00D22649">
        <w:rPr>
          <w:rFonts w:ascii="Times New Roman" w:hAnsi="Times New Roman" w:cs="Times New Roman"/>
          <w:iCs/>
          <w:sz w:val="24"/>
          <w:szCs w:val="24"/>
        </w:rPr>
        <w:t>rticles 2, 12(1)</w:t>
      </w:r>
      <w:r>
        <w:rPr>
          <w:rFonts w:ascii="Times New Roman" w:hAnsi="Times New Roman" w:cs="Times New Roman"/>
          <w:iCs/>
          <w:sz w:val="24"/>
          <w:szCs w:val="24"/>
        </w:rPr>
        <w:t>,</w:t>
      </w:r>
      <w:r w:rsidR="007E76BF" w:rsidRPr="00D22649">
        <w:rPr>
          <w:rFonts w:ascii="Times New Roman" w:hAnsi="Times New Roman" w:cs="Times New Roman"/>
          <w:iCs/>
          <w:sz w:val="24"/>
          <w:szCs w:val="24"/>
        </w:rPr>
        <w:t xml:space="preserve"> and 12(2) of CEDAW.  </w:t>
      </w:r>
      <w:r w:rsidR="003451CE" w:rsidRPr="00D22649">
        <w:rPr>
          <w:rFonts w:ascii="Times New Roman" w:hAnsi="Times New Roman" w:cs="Times New Roman"/>
          <w:iCs/>
          <w:sz w:val="24"/>
          <w:szCs w:val="24"/>
        </w:rPr>
        <w:t xml:space="preserve">Drawing on its General Recommendation 28, the Committee also found that Brazil </w:t>
      </w:r>
      <w:r w:rsidR="00471BBC" w:rsidRPr="00D22649">
        <w:rPr>
          <w:rFonts w:ascii="Times New Roman" w:hAnsi="Times New Roman" w:cs="Times New Roman"/>
          <w:iCs/>
          <w:sz w:val="24"/>
          <w:szCs w:val="24"/>
        </w:rPr>
        <w:t xml:space="preserve">had </w:t>
      </w:r>
      <w:r w:rsidR="003451CE" w:rsidRPr="00D22649">
        <w:rPr>
          <w:rFonts w:ascii="Times New Roman" w:hAnsi="Times New Roman" w:cs="Times New Roman"/>
          <w:iCs/>
          <w:sz w:val="24"/>
          <w:szCs w:val="24"/>
        </w:rPr>
        <w:t xml:space="preserve">discriminated against the author </w:t>
      </w:r>
      <w:r w:rsidR="00CE465F" w:rsidRPr="00D22649">
        <w:rPr>
          <w:rFonts w:ascii="Times New Roman" w:hAnsi="Times New Roman" w:cs="Times New Roman"/>
          <w:iCs/>
          <w:sz w:val="24"/>
          <w:szCs w:val="24"/>
        </w:rPr>
        <w:t>on the basis of ‘</w:t>
      </w:r>
      <w:r w:rsidR="003451CE" w:rsidRPr="00D22649">
        <w:rPr>
          <w:rFonts w:ascii="Times New Roman" w:hAnsi="Times New Roman" w:cs="Times New Roman"/>
          <w:iCs/>
          <w:sz w:val="24"/>
          <w:szCs w:val="24"/>
        </w:rPr>
        <w:t>her status as a woman of African descent and</w:t>
      </w:r>
      <w:r w:rsidR="00CE465F" w:rsidRPr="00D22649">
        <w:rPr>
          <w:rFonts w:ascii="Times New Roman" w:hAnsi="Times New Roman" w:cs="Times New Roman"/>
          <w:iCs/>
          <w:sz w:val="24"/>
          <w:szCs w:val="24"/>
        </w:rPr>
        <w:t xml:space="preserve"> her socio-economic background’</w:t>
      </w:r>
      <w:r w:rsidR="003451CE" w:rsidRPr="00D22649">
        <w:rPr>
          <w:rFonts w:ascii="Times New Roman" w:hAnsi="Times New Roman" w:cs="Times New Roman"/>
          <w:iCs/>
          <w:sz w:val="24"/>
          <w:szCs w:val="24"/>
        </w:rPr>
        <w:t>.</w:t>
      </w:r>
      <w:r w:rsidR="00A95A44" w:rsidRPr="00D22649">
        <w:rPr>
          <w:rStyle w:val="FootnoteReference"/>
          <w:rFonts w:ascii="Times New Roman" w:hAnsi="Times New Roman" w:cs="Times New Roman"/>
          <w:iCs/>
          <w:sz w:val="24"/>
          <w:szCs w:val="24"/>
        </w:rPr>
        <w:footnoteReference w:id="52"/>
      </w:r>
      <w:r w:rsidR="005D1D10" w:rsidRPr="00D22649">
        <w:rPr>
          <w:rFonts w:ascii="Times New Roman" w:hAnsi="Times New Roman" w:cs="Times New Roman"/>
          <w:iCs/>
          <w:sz w:val="24"/>
          <w:szCs w:val="24"/>
        </w:rPr>
        <w:t xml:space="preserve">  Together with recommending reparation</w:t>
      </w:r>
      <w:r w:rsidR="00DD13D5" w:rsidRPr="00D22649">
        <w:rPr>
          <w:rFonts w:ascii="Times New Roman" w:hAnsi="Times New Roman" w:cs="Times New Roman"/>
          <w:iCs/>
          <w:sz w:val="24"/>
          <w:szCs w:val="24"/>
        </w:rPr>
        <w:t>s</w:t>
      </w:r>
      <w:r w:rsidR="005D1D10" w:rsidRPr="00D22649">
        <w:rPr>
          <w:rFonts w:ascii="Times New Roman" w:hAnsi="Times New Roman" w:cs="Times New Roman"/>
          <w:iCs/>
          <w:sz w:val="24"/>
          <w:szCs w:val="24"/>
        </w:rPr>
        <w:t xml:space="preserve"> to the author’s mother, the Committee enjoined Brazil to: </w:t>
      </w:r>
      <w:r w:rsidR="00000CD4" w:rsidRPr="005B6796">
        <w:rPr>
          <w:rFonts w:ascii="Times New Roman" w:hAnsi="Times New Roman" w:cs="Times New Roman"/>
          <w:iCs/>
          <w:sz w:val="24"/>
          <w:szCs w:val="24"/>
        </w:rPr>
        <w:t>ensure</w:t>
      </w:r>
      <w:r w:rsidR="00000CD4" w:rsidRPr="005B6796" w:rsidDel="00000CD4">
        <w:rPr>
          <w:rFonts w:ascii="Times New Roman" w:hAnsi="Times New Roman" w:cs="Times New Roman"/>
          <w:iCs/>
          <w:sz w:val="24"/>
          <w:szCs w:val="24"/>
        </w:rPr>
        <w:t xml:space="preserve"> </w:t>
      </w:r>
      <w:r w:rsidR="00000CD4" w:rsidRPr="005B6796">
        <w:rPr>
          <w:rFonts w:ascii="Times New Roman" w:hAnsi="Times New Roman" w:cs="Times New Roman"/>
          <w:iCs/>
          <w:sz w:val="24"/>
          <w:szCs w:val="24"/>
        </w:rPr>
        <w:t>access</w:t>
      </w:r>
      <w:r w:rsidR="005D1D10" w:rsidRPr="005B6796">
        <w:rPr>
          <w:rFonts w:ascii="Times New Roman" w:hAnsi="Times New Roman" w:cs="Times New Roman"/>
          <w:iCs/>
          <w:sz w:val="24"/>
          <w:szCs w:val="24"/>
        </w:rPr>
        <w:t xml:space="preserve"> to affordable access to adequate obstetric care</w:t>
      </w:r>
      <w:r w:rsidR="005D1D10" w:rsidRPr="00D22649">
        <w:rPr>
          <w:rFonts w:ascii="Times New Roman" w:hAnsi="Times New Roman" w:cs="Times New Roman"/>
          <w:iCs/>
          <w:sz w:val="24"/>
          <w:szCs w:val="24"/>
        </w:rPr>
        <w:t xml:space="preserve">; </w:t>
      </w:r>
      <w:r w:rsidR="00000CD4" w:rsidRPr="00D22649">
        <w:rPr>
          <w:rFonts w:ascii="Times New Roman" w:hAnsi="Times New Roman" w:cs="Times New Roman"/>
          <w:iCs/>
          <w:sz w:val="24"/>
          <w:szCs w:val="24"/>
        </w:rPr>
        <w:t xml:space="preserve">provide </w:t>
      </w:r>
      <w:r w:rsidR="005D1D10" w:rsidRPr="00D22649">
        <w:rPr>
          <w:rFonts w:ascii="Times New Roman" w:hAnsi="Times New Roman" w:cs="Times New Roman"/>
          <w:iCs/>
          <w:sz w:val="24"/>
          <w:szCs w:val="24"/>
        </w:rPr>
        <w:t xml:space="preserve">appropriate training for health workers; have in place adequate remedies and sanctions where health care rights are not met; monitor the provision of private health care; </w:t>
      </w:r>
      <w:bookmarkStart w:id="0" w:name="_GoBack"/>
      <w:bookmarkEnd w:id="0"/>
      <w:r w:rsidR="005D1D10" w:rsidRPr="00D22649">
        <w:rPr>
          <w:rFonts w:ascii="Times New Roman" w:hAnsi="Times New Roman" w:cs="Times New Roman"/>
          <w:iCs/>
          <w:sz w:val="24"/>
          <w:szCs w:val="24"/>
        </w:rPr>
        <w:t xml:space="preserve">implement </w:t>
      </w:r>
      <w:r w:rsidR="00347917" w:rsidRPr="00D22649">
        <w:rPr>
          <w:rFonts w:ascii="Times New Roman" w:hAnsi="Times New Roman" w:cs="Times New Roman"/>
          <w:iCs/>
          <w:sz w:val="24"/>
          <w:szCs w:val="24"/>
        </w:rPr>
        <w:t xml:space="preserve">the </w:t>
      </w:r>
      <w:r w:rsidR="005D1D10" w:rsidRPr="00D22649">
        <w:rPr>
          <w:rFonts w:ascii="Times New Roman" w:hAnsi="Times New Roman" w:cs="Times New Roman"/>
          <w:iCs/>
          <w:sz w:val="24"/>
          <w:szCs w:val="24"/>
        </w:rPr>
        <w:t>National Pact for the Reduction of Maternal Mortality.</w:t>
      </w:r>
    </w:p>
    <w:p w14:paraId="22FED480" w14:textId="77777777" w:rsidR="003C2195" w:rsidRDefault="003C2195" w:rsidP="005B6796">
      <w:pPr>
        <w:pStyle w:val="ListParagraph"/>
        <w:spacing w:after="0" w:line="360" w:lineRule="auto"/>
        <w:ind w:left="360"/>
        <w:jc w:val="both"/>
        <w:rPr>
          <w:rFonts w:ascii="Times New Roman" w:hAnsi="Times New Roman" w:cs="Times New Roman"/>
          <w:i/>
          <w:sz w:val="24"/>
          <w:szCs w:val="24"/>
        </w:rPr>
      </w:pPr>
    </w:p>
    <w:p w14:paraId="252AE9F3" w14:textId="77777777" w:rsidR="00CD703B" w:rsidRPr="005B6796" w:rsidRDefault="007812C3" w:rsidP="005B6796">
      <w:pPr>
        <w:pStyle w:val="ListParagraph"/>
        <w:spacing w:after="0" w:line="360" w:lineRule="auto"/>
        <w:ind w:left="0"/>
        <w:jc w:val="both"/>
        <w:rPr>
          <w:rFonts w:ascii="Times New Roman" w:hAnsi="Times New Roman" w:cs="Times New Roman"/>
          <w:b/>
          <w:i/>
          <w:sz w:val="24"/>
          <w:szCs w:val="24"/>
        </w:rPr>
      </w:pPr>
      <w:r w:rsidRPr="005B6796">
        <w:rPr>
          <w:rFonts w:ascii="Times New Roman" w:hAnsi="Times New Roman" w:cs="Times New Roman"/>
          <w:b/>
          <w:i/>
          <w:sz w:val="24"/>
          <w:szCs w:val="24"/>
        </w:rPr>
        <w:t>D</w:t>
      </w:r>
      <w:r w:rsidRPr="005B6796">
        <w:rPr>
          <w:rFonts w:ascii="Times New Roman" w:hAnsi="Times New Roman" w:cs="Times New Roman"/>
          <w:b/>
          <w:i/>
          <w:sz w:val="24"/>
          <w:szCs w:val="24"/>
        </w:rPr>
        <w:tab/>
      </w:r>
      <w:r w:rsidR="00CD703B" w:rsidRPr="005B6796">
        <w:rPr>
          <w:rFonts w:ascii="Times New Roman" w:hAnsi="Times New Roman" w:cs="Times New Roman"/>
          <w:b/>
          <w:i/>
          <w:sz w:val="24"/>
          <w:szCs w:val="24"/>
        </w:rPr>
        <w:t>State Gender-based Violence</w:t>
      </w:r>
    </w:p>
    <w:p w14:paraId="7C669C5D" w14:textId="2E991518" w:rsidR="00120A34" w:rsidRPr="00D22649" w:rsidRDefault="005B1A33" w:rsidP="00D22649">
      <w:pPr>
        <w:pStyle w:val="ListParagraph"/>
        <w:spacing w:after="0" w:line="360" w:lineRule="auto"/>
        <w:ind w:left="0"/>
        <w:jc w:val="both"/>
        <w:rPr>
          <w:rFonts w:ascii="Times New Roman" w:hAnsi="Times New Roman" w:cs="Times New Roman"/>
          <w:sz w:val="24"/>
          <w:szCs w:val="24"/>
        </w:rPr>
      </w:pPr>
      <w:r w:rsidRPr="00D22649">
        <w:rPr>
          <w:rFonts w:ascii="Times New Roman" w:hAnsi="Times New Roman" w:cs="Times New Roman"/>
          <w:sz w:val="24"/>
          <w:szCs w:val="24"/>
        </w:rPr>
        <w:t xml:space="preserve">While communications </w:t>
      </w:r>
      <w:r w:rsidR="00347917" w:rsidRPr="00D22649">
        <w:rPr>
          <w:rFonts w:ascii="Times New Roman" w:hAnsi="Times New Roman" w:cs="Times New Roman"/>
          <w:sz w:val="24"/>
          <w:szCs w:val="24"/>
        </w:rPr>
        <w:t xml:space="preserve">to the Women’s Committee </w:t>
      </w:r>
      <w:r w:rsidRPr="00D22649">
        <w:rPr>
          <w:rFonts w:ascii="Times New Roman" w:hAnsi="Times New Roman" w:cs="Times New Roman"/>
          <w:sz w:val="24"/>
          <w:szCs w:val="24"/>
        </w:rPr>
        <w:t xml:space="preserve">have </w:t>
      </w:r>
      <w:r w:rsidR="00347917" w:rsidRPr="00D22649">
        <w:rPr>
          <w:rFonts w:ascii="Times New Roman" w:hAnsi="Times New Roman" w:cs="Times New Roman"/>
          <w:sz w:val="24"/>
          <w:szCs w:val="24"/>
        </w:rPr>
        <w:t xml:space="preserve">mostly </w:t>
      </w:r>
      <w:r w:rsidRPr="00D22649">
        <w:rPr>
          <w:rFonts w:ascii="Times New Roman" w:hAnsi="Times New Roman" w:cs="Times New Roman"/>
          <w:sz w:val="24"/>
          <w:szCs w:val="24"/>
        </w:rPr>
        <w:t xml:space="preserve">focused on violence by private actors, </w:t>
      </w:r>
      <w:r w:rsidR="00577484" w:rsidRPr="00D22649">
        <w:rPr>
          <w:rFonts w:ascii="Times New Roman" w:hAnsi="Times New Roman" w:cs="Times New Roman"/>
          <w:i/>
          <w:sz w:val="24"/>
          <w:szCs w:val="24"/>
        </w:rPr>
        <w:t>Abramova v</w:t>
      </w:r>
      <w:r w:rsidR="007812C3">
        <w:rPr>
          <w:rFonts w:ascii="Times New Roman" w:hAnsi="Times New Roman" w:cs="Times New Roman"/>
          <w:i/>
          <w:sz w:val="24"/>
          <w:szCs w:val="24"/>
        </w:rPr>
        <w:t>.</w:t>
      </w:r>
      <w:r w:rsidR="00577484" w:rsidRPr="00D22649">
        <w:rPr>
          <w:rFonts w:ascii="Times New Roman" w:hAnsi="Times New Roman" w:cs="Times New Roman"/>
          <w:i/>
          <w:sz w:val="24"/>
          <w:szCs w:val="24"/>
        </w:rPr>
        <w:t xml:space="preserve"> Belarus</w:t>
      </w:r>
      <w:r w:rsidR="00577484" w:rsidRPr="00D22649">
        <w:rPr>
          <w:rStyle w:val="FootnoteReference"/>
          <w:rFonts w:ascii="Times New Roman" w:hAnsi="Times New Roman" w:cs="Times New Roman"/>
          <w:sz w:val="24"/>
          <w:szCs w:val="24"/>
        </w:rPr>
        <w:footnoteReference w:id="53"/>
      </w:r>
      <w:r w:rsidR="00577484" w:rsidRPr="00D22649" w:rsidDel="00577484">
        <w:rPr>
          <w:rFonts w:ascii="Times New Roman" w:hAnsi="Times New Roman" w:cs="Times New Roman"/>
          <w:sz w:val="24"/>
          <w:szCs w:val="24"/>
        </w:rPr>
        <w:t xml:space="preserve"> </w:t>
      </w:r>
      <w:r w:rsidRPr="00D22649">
        <w:rPr>
          <w:rFonts w:ascii="Times New Roman" w:hAnsi="Times New Roman" w:cs="Times New Roman"/>
          <w:sz w:val="24"/>
          <w:szCs w:val="24"/>
        </w:rPr>
        <w:t xml:space="preserve">directly addressed </w:t>
      </w:r>
      <w:r w:rsidR="00302D58" w:rsidRPr="00D22649">
        <w:rPr>
          <w:rFonts w:ascii="Times New Roman" w:hAnsi="Times New Roman" w:cs="Times New Roman"/>
          <w:sz w:val="24"/>
          <w:szCs w:val="24"/>
        </w:rPr>
        <w:t xml:space="preserve">ill-treatment by state actors.  The author </w:t>
      </w:r>
      <w:r w:rsidR="00AD5EB7" w:rsidRPr="00D22649">
        <w:rPr>
          <w:rFonts w:ascii="Times New Roman" w:hAnsi="Times New Roman" w:cs="Times New Roman"/>
          <w:sz w:val="24"/>
          <w:szCs w:val="24"/>
        </w:rPr>
        <w:t>had been</w:t>
      </w:r>
      <w:r w:rsidR="00302D58" w:rsidRPr="00D22649">
        <w:rPr>
          <w:rFonts w:ascii="Times New Roman" w:hAnsi="Times New Roman" w:cs="Times New Roman"/>
          <w:sz w:val="24"/>
          <w:szCs w:val="24"/>
        </w:rPr>
        <w:t xml:space="preserve"> found guilty of minor hooliganism resulting from her peaceful acts of political protest</w:t>
      </w:r>
      <w:r w:rsidR="00B406B9" w:rsidRPr="00D22649">
        <w:rPr>
          <w:rFonts w:ascii="Times New Roman" w:hAnsi="Times New Roman" w:cs="Times New Roman"/>
          <w:sz w:val="24"/>
          <w:szCs w:val="24"/>
        </w:rPr>
        <w:t xml:space="preserve"> and </w:t>
      </w:r>
      <w:r w:rsidR="0076180E" w:rsidRPr="00D22649">
        <w:rPr>
          <w:rFonts w:ascii="Times New Roman" w:hAnsi="Times New Roman" w:cs="Times New Roman"/>
          <w:sz w:val="24"/>
          <w:szCs w:val="24"/>
        </w:rPr>
        <w:t xml:space="preserve">consequently </w:t>
      </w:r>
      <w:r w:rsidR="00B406B9" w:rsidRPr="00D22649">
        <w:rPr>
          <w:rFonts w:ascii="Times New Roman" w:hAnsi="Times New Roman" w:cs="Times New Roman"/>
          <w:sz w:val="24"/>
          <w:szCs w:val="24"/>
        </w:rPr>
        <w:t>held under administrative arrest</w:t>
      </w:r>
      <w:r w:rsidR="00302D58" w:rsidRPr="00D22649">
        <w:rPr>
          <w:rFonts w:ascii="Times New Roman" w:hAnsi="Times New Roman" w:cs="Times New Roman"/>
          <w:sz w:val="24"/>
          <w:szCs w:val="24"/>
        </w:rPr>
        <w:t xml:space="preserve">.  She </w:t>
      </w:r>
      <w:r w:rsidR="00B406B9" w:rsidRPr="00D22649">
        <w:rPr>
          <w:rFonts w:ascii="Times New Roman" w:hAnsi="Times New Roman" w:cs="Times New Roman"/>
          <w:sz w:val="24"/>
          <w:szCs w:val="24"/>
        </w:rPr>
        <w:t xml:space="preserve">complained to the </w:t>
      </w:r>
      <w:r w:rsidR="00B406B9" w:rsidRPr="00D22649">
        <w:rPr>
          <w:rFonts w:ascii="Times New Roman" w:hAnsi="Times New Roman" w:cs="Times New Roman"/>
          <w:sz w:val="24"/>
          <w:szCs w:val="24"/>
        </w:rPr>
        <w:lastRenderedPageBreak/>
        <w:t xml:space="preserve">Committee that she </w:t>
      </w:r>
      <w:r w:rsidR="00302D58" w:rsidRPr="00D22649">
        <w:rPr>
          <w:rFonts w:ascii="Times New Roman" w:hAnsi="Times New Roman" w:cs="Times New Roman"/>
          <w:sz w:val="24"/>
          <w:szCs w:val="24"/>
        </w:rPr>
        <w:t>was</w:t>
      </w:r>
      <w:r w:rsidR="00B406B9" w:rsidRPr="00D22649">
        <w:rPr>
          <w:rFonts w:ascii="Times New Roman" w:hAnsi="Times New Roman" w:cs="Times New Roman"/>
          <w:sz w:val="24"/>
          <w:szCs w:val="24"/>
        </w:rPr>
        <w:t xml:space="preserve"> </w:t>
      </w:r>
      <w:r w:rsidR="006018C1" w:rsidRPr="00D22649">
        <w:rPr>
          <w:rFonts w:ascii="Times New Roman" w:hAnsi="Times New Roman" w:cs="Times New Roman"/>
          <w:sz w:val="24"/>
          <w:szCs w:val="24"/>
        </w:rPr>
        <w:t>held</w:t>
      </w:r>
      <w:r w:rsidR="00B406B9" w:rsidRPr="00D22649">
        <w:rPr>
          <w:rFonts w:ascii="Times New Roman" w:hAnsi="Times New Roman" w:cs="Times New Roman"/>
          <w:sz w:val="24"/>
          <w:szCs w:val="24"/>
        </w:rPr>
        <w:t xml:space="preserve"> </w:t>
      </w:r>
      <w:r w:rsidR="00302D58" w:rsidRPr="00D22649">
        <w:rPr>
          <w:rFonts w:ascii="Times New Roman" w:hAnsi="Times New Roman" w:cs="Times New Roman"/>
          <w:sz w:val="24"/>
          <w:szCs w:val="24"/>
        </w:rPr>
        <w:t xml:space="preserve">in a facility designed for men, was supervised by male guards only, and </w:t>
      </w:r>
      <w:r w:rsidR="00B406B9" w:rsidRPr="00D22649">
        <w:rPr>
          <w:rFonts w:ascii="Times New Roman" w:hAnsi="Times New Roman" w:cs="Times New Roman"/>
          <w:sz w:val="24"/>
          <w:szCs w:val="24"/>
        </w:rPr>
        <w:t xml:space="preserve">was </w:t>
      </w:r>
      <w:r w:rsidR="00302D58" w:rsidRPr="00D22649">
        <w:rPr>
          <w:rFonts w:ascii="Times New Roman" w:hAnsi="Times New Roman" w:cs="Times New Roman"/>
          <w:sz w:val="24"/>
          <w:szCs w:val="24"/>
        </w:rPr>
        <w:t xml:space="preserve">subjected to humiliating and degrading treatment, including threats of a sexual and physical nature. </w:t>
      </w:r>
      <w:r w:rsidR="00E52F22" w:rsidRPr="00D22649">
        <w:rPr>
          <w:rFonts w:ascii="Times New Roman" w:hAnsi="Times New Roman" w:cs="Times New Roman"/>
          <w:sz w:val="24"/>
          <w:szCs w:val="24"/>
        </w:rPr>
        <w:t xml:space="preserve"> </w:t>
      </w:r>
      <w:r w:rsidR="00302D58" w:rsidRPr="00D22649">
        <w:rPr>
          <w:rFonts w:ascii="Times New Roman" w:hAnsi="Times New Roman" w:cs="Times New Roman"/>
          <w:sz w:val="24"/>
          <w:szCs w:val="24"/>
        </w:rPr>
        <w:t xml:space="preserve">The Committee asserted that sexual harassment is a form of gender-based violence, and found that Belarus’ treatment of </w:t>
      </w:r>
      <w:r w:rsidR="0076180E" w:rsidRPr="00D22649">
        <w:rPr>
          <w:rFonts w:ascii="Times New Roman" w:hAnsi="Times New Roman" w:cs="Times New Roman"/>
          <w:sz w:val="24"/>
          <w:szCs w:val="24"/>
        </w:rPr>
        <w:t xml:space="preserve">Ms </w:t>
      </w:r>
      <w:r w:rsidR="00302D58" w:rsidRPr="00D22649">
        <w:rPr>
          <w:rFonts w:ascii="Times New Roman" w:hAnsi="Times New Roman" w:cs="Times New Roman"/>
          <w:sz w:val="24"/>
          <w:szCs w:val="24"/>
        </w:rPr>
        <w:t xml:space="preserve">Abramova constituted discrimination and sexual harassment in violation of </w:t>
      </w:r>
      <w:r w:rsidR="007812C3">
        <w:rPr>
          <w:rFonts w:ascii="Times New Roman" w:hAnsi="Times New Roman" w:cs="Times New Roman"/>
          <w:sz w:val="24"/>
          <w:szCs w:val="24"/>
        </w:rPr>
        <w:t>A</w:t>
      </w:r>
      <w:r w:rsidR="00302D58" w:rsidRPr="00D22649">
        <w:rPr>
          <w:rFonts w:ascii="Times New Roman" w:hAnsi="Times New Roman" w:cs="Times New Roman"/>
          <w:sz w:val="24"/>
          <w:szCs w:val="24"/>
        </w:rPr>
        <w:t>rticles 2(a)</w:t>
      </w:r>
      <w:r w:rsidR="007812C3">
        <w:rPr>
          <w:rFonts w:ascii="Times New Roman" w:hAnsi="Times New Roman" w:cs="Times New Roman"/>
          <w:sz w:val="24"/>
          <w:szCs w:val="24"/>
        </w:rPr>
        <w:t>–</w:t>
      </w:r>
      <w:r w:rsidR="00302D58" w:rsidRPr="00D22649">
        <w:rPr>
          <w:rFonts w:ascii="Times New Roman" w:hAnsi="Times New Roman" w:cs="Times New Roman"/>
          <w:sz w:val="24"/>
          <w:szCs w:val="24"/>
        </w:rPr>
        <w:t>2(b), 2(e)</w:t>
      </w:r>
      <w:r w:rsidR="007812C3">
        <w:rPr>
          <w:rFonts w:ascii="Times New Roman" w:hAnsi="Times New Roman" w:cs="Times New Roman"/>
          <w:sz w:val="24"/>
          <w:szCs w:val="24"/>
        </w:rPr>
        <w:t>–</w:t>
      </w:r>
      <w:r w:rsidR="00302D58" w:rsidRPr="00D22649">
        <w:rPr>
          <w:rFonts w:ascii="Times New Roman" w:hAnsi="Times New Roman" w:cs="Times New Roman"/>
          <w:sz w:val="24"/>
          <w:szCs w:val="24"/>
        </w:rPr>
        <w:t>2(f), 3</w:t>
      </w:r>
      <w:r w:rsidR="007812C3">
        <w:rPr>
          <w:rFonts w:ascii="Times New Roman" w:hAnsi="Times New Roman" w:cs="Times New Roman"/>
          <w:sz w:val="24"/>
          <w:szCs w:val="24"/>
        </w:rPr>
        <w:t>,</w:t>
      </w:r>
      <w:r w:rsidR="00302D58" w:rsidRPr="00D22649">
        <w:rPr>
          <w:rFonts w:ascii="Times New Roman" w:hAnsi="Times New Roman" w:cs="Times New Roman"/>
          <w:sz w:val="24"/>
          <w:szCs w:val="24"/>
        </w:rPr>
        <w:t xml:space="preserve"> and 5(a) of CEDAW.</w:t>
      </w:r>
      <w:r w:rsidR="00B406B9" w:rsidRPr="00D22649">
        <w:rPr>
          <w:rFonts w:ascii="Times New Roman" w:hAnsi="Times New Roman" w:cs="Times New Roman"/>
          <w:sz w:val="24"/>
          <w:szCs w:val="24"/>
        </w:rPr>
        <w:t xml:space="preserve">  The Committee recommended appropriate reparation, as well as the implementation of a number of measures </w:t>
      </w:r>
      <w:r w:rsidR="00FB47B2" w:rsidRPr="00D22649">
        <w:rPr>
          <w:rFonts w:ascii="Times New Roman" w:hAnsi="Times New Roman" w:cs="Times New Roman"/>
          <w:sz w:val="24"/>
          <w:szCs w:val="24"/>
        </w:rPr>
        <w:t>to safeguard</w:t>
      </w:r>
      <w:r w:rsidR="00B406B9" w:rsidRPr="00D22649">
        <w:rPr>
          <w:rFonts w:ascii="Times New Roman" w:hAnsi="Times New Roman" w:cs="Times New Roman"/>
          <w:sz w:val="24"/>
          <w:szCs w:val="24"/>
        </w:rPr>
        <w:t xml:space="preserve"> female detainees.</w:t>
      </w:r>
    </w:p>
    <w:p w14:paraId="4673FC2C" w14:textId="77777777" w:rsidR="007812C3" w:rsidRDefault="007812C3" w:rsidP="005B6796">
      <w:pPr>
        <w:pStyle w:val="ListParagraph"/>
        <w:spacing w:after="0" w:line="360" w:lineRule="auto"/>
        <w:ind w:left="360"/>
        <w:jc w:val="both"/>
        <w:rPr>
          <w:rFonts w:ascii="Times New Roman" w:hAnsi="Times New Roman" w:cs="Times New Roman"/>
          <w:i/>
          <w:sz w:val="24"/>
          <w:szCs w:val="24"/>
        </w:rPr>
      </w:pPr>
    </w:p>
    <w:p w14:paraId="6A9E0324" w14:textId="77EDAAE1" w:rsidR="00120A34" w:rsidRPr="005B6796" w:rsidRDefault="007812C3" w:rsidP="005B6796">
      <w:pPr>
        <w:pStyle w:val="ListParagraph"/>
        <w:spacing w:after="0" w:line="360" w:lineRule="auto"/>
        <w:ind w:left="0"/>
        <w:jc w:val="both"/>
        <w:rPr>
          <w:rFonts w:ascii="Times New Roman" w:hAnsi="Times New Roman" w:cs="Times New Roman"/>
          <w:b/>
          <w:i/>
          <w:sz w:val="24"/>
          <w:szCs w:val="24"/>
        </w:rPr>
      </w:pPr>
      <w:r w:rsidRPr="005B6796">
        <w:rPr>
          <w:rFonts w:ascii="Times New Roman" w:hAnsi="Times New Roman" w:cs="Times New Roman"/>
          <w:b/>
          <w:i/>
          <w:sz w:val="24"/>
          <w:szCs w:val="24"/>
        </w:rPr>
        <w:t>E</w:t>
      </w:r>
      <w:r w:rsidRPr="005B6796">
        <w:rPr>
          <w:rFonts w:ascii="Times New Roman" w:hAnsi="Times New Roman" w:cs="Times New Roman"/>
          <w:b/>
          <w:i/>
          <w:sz w:val="24"/>
          <w:szCs w:val="24"/>
        </w:rPr>
        <w:tab/>
      </w:r>
      <w:r w:rsidR="00CD703B" w:rsidRPr="005B6796">
        <w:rPr>
          <w:rFonts w:ascii="Times New Roman" w:hAnsi="Times New Roman" w:cs="Times New Roman"/>
          <w:b/>
          <w:i/>
          <w:sz w:val="24"/>
          <w:szCs w:val="24"/>
        </w:rPr>
        <w:t xml:space="preserve">Employment </w:t>
      </w:r>
      <w:r w:rsidR="00FD23D1" w:rsidRPr="005B6796">
        <w:rPr>
          <w:rFonts w:ascii="Times New Roman" w:hAnsi="Times New Roman" w:cs="Times New Roman"/>
          <w:b/>
          <w:i/>
          <w:sz w:val="24"/>
          <w:szCs w:val="24"/>
        </w:rPr>
        <w:t xml:space="preserve">and </w:t>
      </w:r>
      <w:r w:rsidRPr="005B6796">
        <w:rPr>
          <w:rFonts w:ascii="Times New Roman" w:hAnsi="Times New Roman" w:cs="Times New Roman"/>
          <w:b/>
          <w:i/>
          <w:sz w:val="24"/>
          <w:szCs w:val="24"/>
        </w:rPr>
        <w:t>O</w:t>
      </w:r>
      <w:r w:rsidR="00FD23D1" w:rsidRPr="005B6796">
        <w:rPr>
          <w:rFonts w:ascii="Times New Roman" w:hAnsi="Times New Roman" w:cs="Times New Roman"/>
          <w:b/>
          <w:i/>
          <w:sz w:val="24"/>
          <w:szCs w:val="24"/>
        </w:rPr>
        <w:t xml:space="preserve">ther </w:t>
      </w:r>
      <w:r w:rsidRPr="005B6796">
        <w:rPr>
          <w:rFonts w:ascii="Times New Roman" w:hAnsi="Times New Roman" w:cs="Times New Roman"/>
          <w:b/>
          <w:i/>
          <w:sz w:val="24"/>
          <w:szCs w:val="24"/>
        </w:rPr>
        <w:t>E</w:t>
      </w:r>
      <w:r w:rsidR="00DD0E23" w:rsidRPr="005B6796">
        <w:rPr>
          <w:rFonts w:ascii="Times New Roman" w:hAnsi="Times New Roman" w:cs="Times New Roman"/>
          <w:b/>
          <w:i/>
          <w:sz w:val="24"/>
          <w:szCs w:val="24"/>
        </w:rPr>
        <w:t>conomic</w:t>
      </w:r>
      <w:r w:rsidR="00FD23D1" w:rsidRPr="005B6796">
        <w:rPr>
          <w:rFonts w:ascii="Times New Roman" w:hAnsi="Times New Roman" w:cs="Times New Roman"/>
          <w:b/>
          <w:i/>
          <w:sz w:val="24"/>
          <w:szCs w:val="24"/>
        </w:rPr>
        <w:t xml:space="preserve"> </w:t>
      </w:r>
      <w:r w:rsidRPr="005B6796">
        <w:rPr>
          <w:rFonts w:ascii="Times New Roman" w:hAnsi="Times New Roman" w:cs="Times New Roman"/>
          <w:b/>
          <w:i/>
          <w:sz w:val="24"/>
          <w:szCs w:val="24"/>
        </w:rPr>
        <w:t>R</w:t>
      </w:r>
      <w:r w:rsidR="00FD23D1" w:rsidRPr="005B6796">
        <w:rPr>
          <w:rFonts w:ascii="Times New Roman" w:hAnsi="Times New Roman" w:cs="Times New Roman"/>
          <w:b/>
          <w:i/>
          <w:sz w:val="24"/>
          <w:szCs w:val="24"/>
        </w:rPr>
        <w:t>ights</w:t>
      </w:r>
    </w:p>
    <w:p w14:paraId="4539FCC7" w14:textId="73C17358" w:rsidR="00D076AF" w:rsidRPr="00D22649" w:rsidRDefault="00086F5A" w:rsidP="00D22649">
      <w:pPr>
        <w:autoSpaceDE w:val="0"/>
        <w:autoSpaceDN w:val="0"/>
        <w:adjustRightInd w:val="0"/>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If the </w:t>
      </w:r>
      <w:r w:rsidR="0076180E" w:rsidRPr="00D22649">
        <w:rPr>
          <w:rFonts w:ascii="Times New Roman" w:hAnsi="Times New Roman" w:cs="Times New Roman"/>
          <w:sz w:val="24"/>
          <w:szCs w:val="24"/>
        </w:rPr>
        <w:t xml:space="preserve">Women’s </w:t>
      </w:r>
      <w:r w:rsidRPr="00D22649">
        <w:rPr>
          <w:rFonts w:ascii="Times New Roman" w:hAnsi="Times New Roman" w:cs="Times New Roman"/>
          <w:sz w:val="24"/>
          <w:szCs w:val="24"/>
        </w:rPr>
        <w:t xml:space="preserve">Committee has blazed a trail in communications alleging gender-based violence and interferences with women’s physical autonomy, it has been far less sure-footed in </w:t>
      </w:r>
      <w:r w:rsidR="007A503C" w:rsidRPr="00D22649">
        <w:rPr>
          <w:rFonts w:ascii="Times New Roman" w:hAnsi="Times New Roman" w:cs="Times New Roman"/>
          <w:sz w:val="24"/>
          <w:szCs w:val="24"/>
        </w:rPr>
        <w:t>other</w:t>
      </w:r>
      <w:r w:rsidRPr="00D22649">
        <w:rPr>
          <w:rFonts w:ascii="Times New Roman" w:hAnsi="Times New Roman" w:cs="Times New Roman"/>
          <w:sz w:val="24"/>
          <w:szCs w:val="24"/>
        </w:rPr>
        <w:t xml:space="preserve"> areas of discrimination.  </w:t>
      </w:r>
      <w:r w:rsidR="00D076AF" w:rsidRPr="00D22649">
        <w:rPr>
          <w:rFonts w:ascii="Times New Roman" w:hAnsi="Times New Roman" w:cs="Times New Roman"/>
          <w:sz w:val="24"/>
          <w:szCs w:val="24"/>
        </w:rPr>
        <w:t xml:space="preserve">The first communication the Committee </w:t>
      </w:r>
      <w:r w:rsidR="007414DC" w:rsidRPr="00D22649">
        <w:rPr>
          <w:rFonts w:ascii="Times New Roman" w:hAnsi="Times New Roman" w:cs="Times New Roman"/>
          <w:sz w:val="24"/>
          <w:szCs w:val="24"/>
        </w:rPr>
        <w:t xml:space="preserve">delivered views </w:t>
      </w:r>
      <w:r w:rsidR="0076180E" w:rsidRPr="00D22649">
        <w:rPr>
          <w:rFonts w:ascii="Times New Roman" w:hAnsi="Times New Roman" w:cs="Times New Roman"/>
          <w:sz w:val="24"/>
          <w:szCs w:val="24"/>
        </w:rPr>
        <w:t xml:space="preserve">on </w:t>
      </w:r>
      <w:r w:rsidR="00D076AF" w:rsidRPr="00D22649">
        <w:rPr>
          <w:rFonts w:ascii="Times New Roman" w:hAnsi="Times New Roman" w:cs="Times New Roman"/>
          <w:sz w:val="24"/>
          <w:szCs w:val="24"/>
        </w:rPr>
        <w:t xml:space="preserve">was </w:t>
      </w:r>
      <w:r w:rsidR="00D076AF" w:rsidRPr="00D22649">
        <w:rPr>
          <w:rFonts w:ascii="Times New Roman" w:hAnsi="Times New Roman" w:cs="Times New Roman"/>
          <w:i/>
          <w:sz w:val="24"/>
          <w:szCs w:val="24"/>
        </w:rPr>
        <w:t>B.J. v</w:t>
      </w:r>
      <w:r w:rsidR="007812C3">
        <w:rPr>
          <w:rFonts w:ascii="Times New Roman" w:hAnsi="Times New Roman" w:cs="Times New Roman"/>
          <w:i/>
          <w:sz w:val="24"/>
          <w:szCs w:val="24"/>
        </w:rPr>
        <w:t>.</w:t>
      </w:r>
      <w:r w:rsidR="00D076AF" w:rsidRPr="00D22649">
        <w:rPr>
          <w:rFonts w:ascii="Times New Roman" w:hAnsi="Times New Roman" w:cs="Times New Roman"/>
          <w:i/>
          <w:sz w:val="24"/>
          <w:szCs w:val="24"/>
        </w:rPr>
        <w:t xml:space="preserve"> Germany</w:t>
      </w:r>
      <w:r w:rsidR="00D076AF" w:rsidRPr="00D22649">
        <w:rPr>
          <w:rFonts w:ascii="Times New Roman" w:hAnsi="Times New Roman" w:cs="Times New Roman"/>
          <w:sz w:val="24"/>
          <w:szCs w:val="24"/>
        </w:rPr>
        <w:t>,</w:t>
      </w:r>
      <w:r w:rsidR="00CB1892" w:rsidRPr="00D22649">
        <w:rPr>
          <w:rStyle w:val="FootnoteReference"/>
          <w:rFonts w:ascii="Times New Roman" w:hAnsi="Times New Roman" w:cs="Times New Roman"/>
          <w:sz w:val="24"/>
          <w:szCs w:val="24"/>
        </w:rPr>
        <w:t xml:space="preserve"> </w:t>
      </w:r>
      <w:r w:rsidR="00CB1892" w:rsidRPr="00D22649">
        <w:rPr>
          <w:rStyle w:val="FootnoteReference"/>
          <w:rFonts w:ascii="Times New Roman" w:hAnsi="Times New Roman" w:cs="Times New Roman"/>
          <w:sz w:val="24"/>
          <w:szCs w:val="24"/>
        </w:rPr>
        <w:footnoteReference w:id="54"/>
      </w:r>
      <w:r w:rsidR="00D076AF" w:rsidRPr="00D22649">
        <w:rPr>
          <w:rFonts w:ascii="Times New Roman" w:hAnsi="Times New Roman" w:cs="Times New Roman"/>
          <w:sz w:val="24"/>
          <w:szCs w:val="24"/>
        </w:rPr>
        <w:t xml:space="preserve"> in which the </w:t>
      </w:r>
      <w:r w:rsidR="007414DC" w:rsidRPr="00D22649">
        <w:rPr>
          <w:rFonts w:ascii="Times New Roman" w:hAnsi="Times New Roman" w:cs="Times New Roman"/>
          <w:sz w:val="24"/>
          <w:szCs w:val="24"/>
        </w:rPr>
        <w:t>author</w:t>
      </w:r>
      <w:r w:rsidR="00E62D5E" w:rsidRPr="00D22649">
        <w:rPr>
          <w:rFonts w:ascii="Times New Roman" w:hAnsi="Times New Roman" w:cs="Times New Roman"/>
          <w:sz w:val="24"/>
          <w:szCs w:val="24"/>
        </w:rPr>
        <w:t xml:space="preserve"> </w:t>
      </w:r>
      <w:r w:rsidR="00D076AF" w:rsidRPr="00D22649">
        <w:rPr>
          <w:rFonts w:ascii="Times New Roman" w:hAnsi="Times New Roman" w:cs="Times New Roman"/>
          <w:sz w:val="24"/>
          <w:szCs w:val="24"/>
        </w:rPr>
        <w:t xml:space="preserve">complained </w:t>
      </w:r>
      <w:r w:rsidR="009F7483" w:rsidRPr="00D22649">
        <w:rPr>
          <w:rFonts w:ascii="Times New Roman" w:hAnsi="Times New Roman" w:cs="Times New Roman"/>
          <w:sz w:val="24"/>
          <w:szCs w:val="24"/>
        </w:rPr>
        <w:t xml:space="preserve">of </w:t>
      </w:r>
      <w:r w:rsidR="00D076AF" w:rsidRPr="00D22649">
        <w:rPr>
          <w:rFonts w:ascii="Times New Roman" w:hAnsi="Times New Roman" w:cs="Times New Roman"/>
          <w:sz w:val="24"/>
          <w:szCs w:val="24"/>
        </w:rPr>
        <w:t xml:space="preserve">gender-based discrimination under the statutory regulations </w:t>
      </w:r>
      <w:r w:rsidR="00B15FF5" w:rsidRPr="00D22649">
        <w:rPr>
          <w:rFonts w:ascii="Times New Roman" w:hAnsi="Times New Roman" w:cs="Times New Roman"/>
          <w:sz w:val="24"/>
          <w:szCs w:val="24"/>
        </w:rPr>
        <w:t>governing</w:t>
      </w:r>
      <w:r w:rsidR="00D076AF" w:rsidRPr="00D22649">
        <w:rPr>
          <w:rFonts w:ascii="Times New Roman" w:hAnsi="Times New Roman" w:cs="Times New Roman"/>
          <w:sz w:val="24"/>
          <w:szCs w:val="24"/>
        </w:rPr>
        <w:t xml:space="preserve"> the legal consequences of divorce</w:t>
      </w:r>
      <w:r w:rsidR="00E62D5E" w:rsidRPr="00D22649">
        <w:rPr>
          <w:rFonts w:ascii="Times New Roman" w:hAnsi="Times New Roman" w:cs="Times New Roman"/>
          <w:sz w:val="24"/>
          <w:szCs w:val="24"/>
        </w:rPr>
        <w:t xml:space="preserve"> and</w:t>
      </w:r>
      <w:r w:rsidR="00D076AF" w:rsidRPr="00D22649">
        <w:rPr>
          <w:rFonts w:ascii="Times New Roman" w:hAnsi="Times New Roman" w:cs="Times New Roman"/>
          <w:sz w:val="24"/>
          <w:szCs w:val="24"/>
        </w:rPr>
        <w:t xml:space="preserve"> in the reallocation of pension entitlements and maintenance payments</w:t>
      </w:r>
      <w:r w:rsidR="00E62D5E" w:rsidRPr="00D22649">
        <w:rPr>
          <w:rFonts w:ascii="Times New Roman" w:hAnsi="Times New Roman" w:cs="Times New Roman"/>
          <w:sz w:val="24"/>
          <w:szCs w:val="24"/>
        </w:rPr>
        <w:t>.  H</w:t>
      </w:r>
      <w:r w:rsidR="007414DC" w:rsidRPr="00D22649">
        <w:rPr>
          <w:rFonts w:ascii="Times New Roman" w:hAnsi="Times New Roman" w:cs="Times New Roman"/>
          <w:sz w:val="24"/>
          <w:szCs w:val="24"/>
        </w:rPr>
        <w:t xml:space="preserve">aving tried unsuccessfully to resolve her complaints over a number of years </w:t>
      </w:r>
      <w:r w:rsidR="00662FBB" w:rsidRPr="00D22649">
        <w:rPr>
          <w:rFonts w:ascii="Times New Roman" w:hAnsi="Times New Roman" w:cs="Times New Roman"/>
          <w:sz w:val="24"/>
          <w:szCs w:val="24"/>
        </w:rPr>
        <w:t>before</w:t>
      </w:r>
      <w:r w:rsidR="007414DC" w:rsidRPr="00D22649">
        <w:rPr>
          <w:rFonts w:ascii="Times New Roman" w:hAnsi="Times New Roman" w:cs="Times New Roman"/>
          <w:sz w:val="24"/>
          <w:szCs w:val="24"/>
        </w:rPr>
        <w:t xml:space="preserve"> domestic courts, </w:t>
      </w:r>
      <w:r w:rsidR="00E64677" w:rsidRPr="00D22649">
        <w:rPr>
          <w:rFonts w:ascii="Times New Roman" w:hAnsi="Times New Roman" w:cs="Times New Roman"/>
          <w:sz w:val="24"/>
          <w:szCs w:val="24"/>
        </w:rPr>
        <w:t xml:space="preserve">she </w:t>
      </w:r>
      <w:r w:rsidR="007414DC" w:rsidRPr="00D22649">
        <w:rPr>
          <w:rFonts w:ascii="Times New Roman" w:hAnsi="Times New Roman" w:cs="Times New Roman"/>
          <w:sz w:val="24"/>
          <w:szCs w:val="24"/>
        </w:rPr>
        <w:t>further</w:t>
      </w:r>
      <w:r w:rsidR="00D076AF" w:rsidRPr="00D22649">
        <w:rPr>
          <w:rFonts w:ascii="Times New Roman" w:hAnsi="Times New Roman" w:cs="Times New Roman"/>
          <w:sz w:val="24"/>
          <w:szCs w:val="24"/>
        </w:rPr>
        <w:t xml:space="preserve"> </w:t>
      </w:r>
      <w:r w:rsidR="007414DC" w:rsidRPr="00D22649">
        <w:rPr>
          <w:rFonts w:ascii="Times New Roman" w:hAnsi="Times New Roman" w:cs="Times New Roman"/>
          <w:sz w:val="24"/>
          <w:szCs w:val="24"/>
        </w:rPr>
        <w:t>argued</w:t>
      </w:r>
      <w:r w:rsidR="00D076AF" w:rsidRPr="00D22649">
        <w:rPr>
          <w:rFonts w:ascii="Times New Roman" w:hAnsi="Times New Roman" w:cs="Times New Roman"/>
          <w:sz w:val="24"/>
          <w:szCs w:val="24"/>
        </w:rPr>
        <w:t xml:space="preserve"> that the ‘risks and stresses’ </w:t>
      </w:r>
      <w:r w:rsidR="00B15FF5" w:rsidRPr="00D22649">
        <w:rPr>
          <w:rFonts w:ascii="Times New Roman" w:hAnsi="Times New Roman" w:cs="Times New Roman"/>
          <w:sz w:val="24"/>
          <w:szCs w:val="24"/>
        </w:rPr>
        <w:t>of</w:t>
      </w:r>
      <w:r w:rsidR="00D076AF" w:rsidRPr="00D22649">
        <w:rPr>
          <w:rFonts w:ascii="Times New Roman" w:hAnsi="Times New Roman" w:cs="Times New Roman"/>
          <w:sz w:val="24"/>
          <w:szCs w:val="24"/>
        </w:rPr>
        <w:t xml:space="preserve"> </w:t>
      </w:r>
      <w:r w:rsidR="00B15FF5" w:rsidRPr="00D22649">
        <w:rPr>
          <w:rFonts w:ascii="Times New Roman" w:hAnsi="Times New Roman" w:cs="Times New Roman"/>
          <w:sz w:val="24"/>
          <w:szCs w:val="24"/>
        </w:rPr>
        <w:t xml:space="preserve">divorce </w:t>
      </w:r>
      <w:r w:rsidR="00D076AF" w:rsidRPr="00D22649">
        <w:rPr>
          <w:rFonts w:ascii="Times New Roman" w:hAnsi="Times New Roman" w:cs="Times New Roman"/>
          <w:sz w:val="24"/>
          <w:szCs w:val="24"/>
        </w:rPr>
        <w:t xml:space="preserve">proceedings are unilaterally carried by women.  </w:t>
      </w:r>
      <w:r w:rsidR="007414DC" w:rsidRPr="00D22649">
        <w:rPr>
          <w:rFonts w:ascii="Times New Roman" w:hAnsi="Times New Roman" w:cs="Times New Roman"/>
          <w:sz w:val="24"/>
          <w:szCs w:val="24"/>
        </w:rPr>
        <w:t xml:space="preserve">While the communication was held </w:t>
      </w:r>
      <w:r w:rsidR="003B64E0" w:rsidRPr="00D22649">
        <w:rPr>
          <w:rFonts w:ascii="Times New Roman" w:hAnsi="Times New Roman" w:cs="Times New Roman"/>
          <w:sz w:val="24"/>
          <w:szCs w:val="24"/>
        </w:rPr>
        <w:t xml:space="preserve">by the majority </w:t>
      </w:r>
      <w:r w:rsidR="007414DC" w:rsidRPr="00D22649">
        <w:rPr>
          <w:rFonts w:ascii="Times New Roman" w:hAnsi="Times New Roman" w:cs="Times New Roman"/>
          <w:sz w:val="24"/>
          <w:szCs w:val="24"/>
        </w:rPr>
        <w:t>to be i</w:t>
      </w:r>
      <w:r w:rsidR="00D076AF" w:rsidRPr="00D22649">
        <w:rPr>
          <w:rFonts w:ascii="Times New Roman" w:hAnsi="Times New Roman" w:cs="Times New Roman"/>
          <w:sz w:val="24"/>
          <w:szCs w:val="24"/>
        </w:rPr>
        <w:t>n</w:t>
      </w:r>
      <w:r w:rsidR="007414DC" w:rsidRPr="00D22649">
        <w:rPr>
          <w:rFonts w:ascii="Times New Roman" w:hAnsi="Times New Roman" w:cs="Times New Roman"/>
          <w:sz w:val="24"/>
          <w:szCs w:val="24"/>
        </w:rPr>
        <w:t xml:space="preserve">admissible for </w:t>
      </w:r>
      <w:r w:rsidR="00F422FB" w:rsidRPr="00D22649">
        <w:rPr>
          <w:rFonts w:ascii="Times New Roman" w:hAnsi="Times New Roman" w:cs="Times New Roman"/>
          <w:sz w:val="24"/>
          <w:szCs w:val="24"/>
        </w:rPr>
        <w:t xml:space="preserve">failure to demonstrate </w:t>
      </w:r>
      <w:r w:rsidR="007414DC" w:rsidRPr="00D22649">
        <w:rPr>
          <w:rFonts w:ascii="Times New Roman" w:hAnsi="Times New Roman" w:cs="Times New Roman"/>
          <w:sz w:val="24"/>
          <w:szCs w:val="24"/>
        </w:rPr>
        <w:t xml:space="preserve">exhaustion of domestic remedies, </w:t>
      </w:r>
      <w:r w:rsidR="00D076AF" w:rsidRPr="00D22649">
        <w:rPr>
          <w:rFonts w:ascii="Times New Roman" w:hAnsi="Times New Roman" w:cs="Times New Roman"/>
          <w:sz w:val="24"/>
          <w:szCs w:val="24"/>
        </w:rPr>
        <w:t xml:space="preserve">two </w:t>
      </w:r>
      <w:r w:rsidR="00E64677" w:rsidRPr="00D22649">
        <w:rPr>
          <w:rFonts w:ascii="Times New Roman" w:hAnsi="Times New Roman" w:cs="Times New Roman"/>
          <w:sz w:val="24"/>
          <w:szCs w:val="24"/>
        </w:rPr>
        <w:t xml:space="preserve">dissenting </w:t>
      </w:r>
      <w:r w:rsidR="00D076AF" w:rsidRPr="00D22649">
        <w:rPr>
          <w:rFonts w:ascii="Times New Roman" w:hAnsi="Times New Roman" w:cs="Times New Roman"/>
          <w:sz w:val="24"/>
          <w:szCs w:val="24"/>
        </w:rPr>
        <w:t xml:space="preserve">members </w:t>
      </w:r>
      <w:r w:rsidR="00021BFB" w:rsidRPr="00D22649">
        <w:rPr>
          <w:rFonts w:ascii="Times New Roman" w:hAnsi="Times New Roman" w:cs="Times New Roman"/>
          <w:sz w:val="24"/>
          <w:szCs w:val="24"/>
        </w:rPr>
        <w:t xml:space="preserve">considered </w:t>
      </w:r>
      <w:r w:rsidR="007812C3">
        <w:rPr>
          <w:rFonts w:ascii="Times New Roman" w:hAnsi="Times New Roman" w:cs="Times New Roman"/>
          <w:sz w:val="24"/>
          <w:szCs w:val="24"/>
        </w:rPr>
        <w:t xml:space="preserve">that </w:t>
      </w:r>
      <w:r w:rsidR="00D076AF" w:rsidRPr="00D22649">
        <w:rPr>
          <w:rFonts w:ascii="Times New Roman" w:hAnsi="Times New Roman" w:cs="Times New Roman"/>
          <w:sz w:val="24"/>
          <w:szCs w:val="24"/>
        </w:rPr>
        <w:t>judicial proceedings</w:t>
      </w:r>
      <w:r w:rsidR="007414DC" w:rsidRPr="00D22649">
        <w:rPr>
          <w:rFonts w:ascii="Times New Roman" w:hAnsi="Times New Roman" w:cs="Times New Roman"/>
          <w:sz w:val="24"/>
          <w:szCs w:val="24"/>
        </w:rPr>
        <w:t xml:space="preserve"> </w:t>
      </w:r>
      <w:r w:rsidR="00021BFB" w:rsidRPr="00D22649">
        <w:rPr>
          <w:rFonts w:ascii="Times New Roman" w:hAnsi="Times New Roman" w:cs="Times New Roman"/>
          <w:sz w:val="24"/>
          <w:szCs w:val="24"/>
        </w:rPr>
        <w:t>had been unreasonably prolonged</w:t>
      </w:r>
      <w:r w:rsidR="00BF559B" w:rsidRPr="00D22649">
        <w:rPr>
          <w:rFonts w:ascii="Times New Roman" w:hAnsi="Times New Roman" w:cs="Times New Roman"/>
          <w:sz w:val="24"/>
          <w:szCs w:val="24"/>
        </w:rPr>
        <w:t>, recogni</w:t>
      </w:r>
      <w:r w:rsidR="007812C3">
        <w:rPr>
          <w:rFonts w:ascii="Times New Roman" w:hAnsi="Times New Roman" w:cs="Times New Roman"/>
          <w:sz w:val="24"/>
          <w:szCs w:val="24"/>
        </w:rPr>
        <w:t>z</w:t>
      </w:r>
      <w:r w:rsidR="00BF559B" w:rsidRPr="00D22649">
        <w:rPr>
          <w:rFonts w:ascii="Times New Roman" w:hAnsi="Times New Roman" w:cs="Times New Roman"/>
          <w:sz w:val="24"/>
          <w:szCs w:val="24"/>
        </w:rPr>
        <w:t>ing that the author continued to live</w:t>
      </w:r>
      <w:r w:rsidR="00D076AF" w:rsidRPr="00D22649">
        <w:rPr>
          <w:rFonts w:ascii="Times New Roman" w:hAnsi="Times New Roman" w:cs="Times New Roman"/>
          <w:sz w:val="24"/>
          <w:szCs w:val="24"/>
        </w:rPr>
        <w:t xml:space="preserve"> </w:t>
      </w:r>
      <w:r w:rsidR="00BF559B" w:rsidRPr="00D22649">
        <w:rPr>
          <w:rFonts w:ascii="Times New Roman" w:hAnsi="Times New Roman" w:cs="Times New Roman"/>
          <w:sz w:val="24"/>
          <w:szCs w:val="24"/>
        </w:rPr>
        <w:t>‘</w:t>
      </w:r>
      <w:r w:rsidR="00D076AF" w:rsidRPr="00D22649">
        <w:rPr>
          <w:rFonts w:ascii="Times New Roman" w:hAnsi="Times New Roman" w:cs="Times New Roman"/>
          <w:sz w:val="24"/>
          <w:szCs w:val="24"/>
        </w:rPr>
        <w:t>without a regular, reliable income, even five years after the divorce that took place against her will</w:t>
      </w:r>
      <w:r w:rsidR="003A1832" w:rsidRPr="00D22649">
        <w:rPr>
          <w:rFonts w:ascii="Times New Roman" w:hAnsi="Times New Roman" w:cs="Times New Roman"/>
          <w:sz w:val="24"/>
          <w:szCs w:val="24"/>
        </w:rPr>
        <w:t>’</w:t>
      </w:r>
      <w:r w:rsidR="00D076AF" w:rsidRPr="00D22649">
        <w:rPr>
          <w:rFonts w:ascii="Times New Roman" w:hAnsi="Times New Roman" w:cs="Times New Roman"/>
          <w:sz w:val="24"/>
          <w:szCs w:val="24"/>
        </w:rPr>
        <w:t>.</w:t>
      </w:r>
      <w:r w:rsidR="00FF1ADB" w:rsidRPr="00D22649">
        <w:rPr>
          <w:rStyle w:val="FootnoteReference"/>
          <w:rFonts w:ascii="Times New Roman" w:hAnsi="Times New Roman" w:cs="Times New Roman"/>
          <w:sz w:val="24"/>
          <w:szCs w:val="24"/>
        </w:rPr>
        <w:footnoteReference w:id="55"/>
      </w:r>
      <w:r w:rsidR="00601C26" w:rsidRPr="00D22649">
        <w:rPr>
          <w:rFonts w:ascii="Times New Roman" w:hAnsi="Times New Roman" w:cs="Times New Roman"/>
          <w:sz w:val="24"/>
          <w:szCs w:val="24"/>
        </w:rPr>
        <w:t xml:space="preserve">  </w:t>
      </w:r>
      <w:r w:rsidR="007257D3" w:rsidRPr="00D22649">
        <w:rPr>
          <w:rFonts w:ascii="Times New Roman" w:hAnsi="Times New Roman" w:cs="Times New Roman"/>
          <w:sz w:val="24"/>
          <w:szCs w:val="24"/>
        </w:rPr>
        <w:t>Certainly s</w:t>
      </w:r>
      <w:r w:rsidR="00601C26" w:rsidRPr="00D22649">
        <w:rPr>
          <w:rFonts w:ascii="Times New Roman" w:hAnsi="Times New Roman" w:cs="Times New Roman"/>
          <w:sz w:val="24"/>
          <w:szCs w:val="24"/>
        </w:rPr>
        <w:t xml:space="preserve">ome commentators </w:t>
      </w:r>
      <w:r w:rsidR="00E64677" w:rsidRPr="00D22649">
        <w:rPr>
          <w:rFonts w:ascii="Times New Roman" w:hAnsi="Times New Roman" w:cs="Times New Roman"/>
          <w:sz w:val="24"/>
          <w:szCs w:val="24"/>
        </w:rPr>
        <w:t>have expressed</w:t>
      </w:r>
      <w:r w:rsidR="00601C26" w:rsidRPr="00D22649">
        <w:rPr>
          <w:rFonts w:ascii="Times New Roman" w:hAnsi="Times New Roman" w:cs="Times New Roman"/>
          <w:sz w:val="24"/>
          <w:szCs w:val="24"/>
        </w:rPr>
        <w:t xml:space="preserve"> </w:t>
      </w:r>
      <w:r w:rsidR="00F422FB" w:rsidRPr="00D22649">
        <w:rPr>
          <w:rFonts w:ascii="Times New Roman" w:hAnsi="Times New Roman" w:cs="Times New Roman"/>
          <w:sz w:val="24"/>
          <w:szCs w:val="24"/>
        </w:rPr>
        <w:t xml:space="preserve">disappointment </w:t>
      </w:r>
      <w:r w:rsidR="00E64677" w:rsidRPr="00D22649">
        <w:rPr>
          <w:rFonts w:ascii="Times New Roman" w:hAnsi="Times New Roman" w:cs="Times New Roman"/>
          <w:sz w:val="24"/>
          <w:szCs w:val="24"/>
        </w:rPr>
        <w:t xml:space="preserve">in the majority’s failure to </w:t>
      </w:r>
      <w:r w:rsidR="00601C26" w:rsidRPr="00D22649">
        <w:rPr>
          <w:rFonts w:ascii="Times New Roman" w:hAnsi="Times New Roman" w:cs="Times New Roman"/>
          <w:sz w:val="24"/>
          <w:szCs w:val="24"/>
        </w:rPr>
        <w:t xml:space="preserve">adopt a more gendered </w:t>
      </w:r>
      <w:r w:rsidR="00E64677" w:rsidRPr="00D22649">
        <w:rPr>
          <w:rFonts w:ascii="Times New Roman" w:hAnsi="Times New Roman" w:cs="Times New Roman"/>
          <w:sz w:val="24"/>
          <w:szCs w:val="24"/>
        </w:rPr>
        <w:t>approach to admissibility</w:t>
      </w:r>
      <w:r w:rsidR="00601C26" w:rsidRPr="00D22649">
        <w:rPr>
          <w:rFonts w:ascii="Times New Roman" w:hAnsi="Times New Roman" w:cs="Times New Roman"/>
          <w:sz w:val="24"/>
          <w:szCs w:val="24"/>
        </w:rPr>
        <w:t>.</w:t>
      </w:r>
      <w:r w:rsidR="00601C26" w:rsidRPr="00D22649">
        <w:rPr>
          <w:rStyle w:val="FootnoteReference"/>
          <w:rFonts w:ascii="Times New Roman" w:hAnsi="Times New Roman" w:cs="Times New Roman"/>
          <w:sz w:val="24"/>
          <w:szCs w:val="24"/>
        </w:rPr>
        <w:footnoteReference w:id="56"/>
      </w:r>
    </w:p>
    <w:p w14:paraId="7EEC2828" w14:textId="12E5CD78" w:rsidR="00120A34" w:rsidRPr="00D22649" w:rsidRDefault="007812C3" w:rsidP="00D22649">
      <w:pPr>
        <w:pStyle w:val="ListParagraph"/>
        <w:spacing w:after="0" w:line="360" w:lineRule="auto"/>
        <w:ind w:left="0"/>
        <w:jc w:val="both"/>
        <w:rPr>
          <w:rFonts w:ascii="Times New Roman" w:hAnsi="Times New Roman" w:cs="Times New Roman"/>
          <w:i/>
          <w:sz w:val="24"/>
          <w:szCs w:val="24"/>
        </w:rPr>
      </w:pPr>
      <w:r>
        <w:rPr>
          <w:rFonts w:ascii="Times New Roman" w:hAnsi="Times New Roman" w:cs="Times New Roman"/>
          <w:sz w:val="24"/>
          <w:szCs w:val="24"/>
        </w:rPr>
        <w:tab/>
      </w:r>
      <w:r w:rsidR="00E9589B" w:rsidRPr="00D22649">
        <w:rPr>
          <w:rFonts w:ascii="Times New Roman" w:hAnsi="Times New Roman" w:cs="Times New Roman"/>
          <w:sz w:val="24"/>
          <w:szCs w:val="24"/>
        </w:rPr>
        <w:t xml:space="preserve">The author in </w:t>
      </w:r>
      <w:r w:rsidR="00E9589B" w:rsidRPr="00D22649">
        <w:rPr>
          <w:rFonts w:ascii="Times New Roman" w:hAnsi="Times New Roman" w:cs="Times New Roman"/>
          <w:i/>
          <w:sz w:val="24"/>
          <w:szCs w:val="24"/>
        </w:rPr>
        <w:t>Nguyen v</w:t>
      </w:r>
      <w:r>
        <w:rPr>
          <w:rFonts w:ascii="Times New Roman" w:hAnsi="Times New Roman" w:cs="Times New Roman"/>
          <w:i/>
          <w:sz w:val="24"/>
          <w:szCs w:val="24"/>
        </w:rPr>
        <w:t>.</w:t>
      </w:r>
      <w:r w:rsidR="00E9589B" w:rsidRPr="00D22649">
        <w:rPr>
          <w:rFonts w:ascii="Times New Roman" w:hAnsi="Times New Roman" w:cs="Times New Roman"/>
          <w:i/>
          <w:sz w:val="24"/>
          <w:szCs w:val="24"/>
        </w:rPr>
        <w:t xml:space="preserve"> The Netherlands</w:t>
      </w:r>
      <w:r w:rsidR="00D21661" w:rsidRPr="00D22649">
        <w:rPr>
          <w:rStyle w:val="FootnoteReference"/>
          <w:rFonts w:ascii="Times New Roman" w:hAnsi="Times New Roman" w:cs="Times New Roman"/>
          <w:i/>
          <w:sz w:val="24"/>
          <w:szCs w:val="24"/>
        </w:rPr>
        <w:footnoteReference w:id="57"/>
      </w:r>
      <w:r w:rsidR="00E9589B" w:rsidRPr="00D22649">
        <w:rPr>
          <w:rFonts w:ascii="Times New Roman" w:hAnsi="Times New Roman" w:cs="Times New Roman"/>
          <w:sz w:val="24"/>
          <w:szCs w:val="24"/>
        </w:rPr>
        <w:t xml:space="preserve"> complained </w:t>
      </w:r>
      <w:r w:rsidR="00F57526" w:rsidRPr="00D22649">
        <w:rPr>
          <w:rFonts w:ascii="Times New Roman" w:hAnsi="Times New Roman" w:cs="Times New Roman"/>
          <w:sz w:val="24"/>
          <w:szCs w:val="24"/>
        </w:rPr>
        <w:t xml:space="preserve">under </w:t>
      </w:r>
      <w:r>
        <w:rPr>
          <w:rFonts w:ascii="Times New Roman" w:hAnsi="Times New Roman" w:cs="Times New Roman"/>
          <w:sz w:val="24"/>
          <w:szCs w:val="24"/>
        </w:rPr>
        <w:t>A</w:t>
      </w:r>
      <w:r w:rsidR="00F57526" w:rsidRPr="00D22649">
        <w:rPr>
          <w:rFonts w:ascii="Times New Roman" w:hAnsi="Times New Roman" w:cs="Times New Roman"/>
          <w:sz w:val="24"/>
          <w:szCs w:val="24"/>
        </w:rPr>
        <w:t xml:space="preserve">rticle 11(2)(b) </w:t>
      </w:r>
      <w:r w:rsidR="00E9589B" w:rsidRPr="00D22649">
        <w:rPr>
          <w:rFonts w:ascii="Times New Roman" w:hAnsi="Times New Roman" w:cs="Times New Roman"/>
          <w:sz w:val="24"/>
          <w:szCs w:val="24"/>
        </w:rPr>
        <w:t xml:space="preserve">that the </w:t>
      </w:r>
      <w:r w:rsidR="00F57526" w:rsidRPr="00D22649">
        <w:rPr>
          <w:rFonts w:ascii="Times New Roman" w:hAnsi="Times New Roman" w:cs="Times New Roman"/>
          <w:sz w:val="24"/>
          <w:szCs w:val="24"/>
        </w:rPr>
        <w:t>level of maternity leave payment</w:t>
      </w:r>
      <w:r w:rsidR="00120A34" w:rsidRPr="00D22649">
        <w:rPr>
          <w:rFonts w:ascii="Times New Roman" w:hAnsi="Times New Roman" w:cs="Times New Roman"/>
          <w:sz w:val="24"/>
          <w:szCs w:val="24"/>
        </w:rPr>
        <w:t xml:space="preserve"> </w:t>
      </w:r>
      <w:r w:rsidR="00F57526" w:rsidRPr="00D22649">
        <w:rPr>
          <w:rFonts w:ascii="Times New Roman" w:hAnsi="Times New Roman" w:cs="Times New Roman"/>
          <w:sz w:val="24"/>
          <w:szCs w:val="24"/>
        </w:rPr>
        <w:t>awarded to</w:t>
      </w:r>
      <w:r w:rsidR="00120A34" w:rsidRPr="00D22649">
        <w:rPr>
          <w:rFonts w:ascii="Times New Roman" w:hAnsi="Times New Roman" w:cs="Times New Roman"/>
          <w:sz w:val="24"/>
          <w:szCs w:val="24"/>
        </w:rPr>
        <w:t xml:space="preserve"> </w:t>
      </w:r>
      <w:r w:rsidR="00E9589B" w:rsidRPr="00D22649">
        <w:rPr>
          <w:rFonts w:ascii="Times New Roman" w:hAnsi="Times New Roman" w:cs="Times New Roman"/>
          <w:sz w:val="24"/>
          <w:szCs w:val="24"/>
        </w:rPr>
        <w:t xml:space="preserve">women </w:t>
      </w:r>
      <w:r w:rsidR="00F57526" w:rsidRPr="00D22649">
        <w:rPr>
          <w:rFonts w:ascii="Times New Roman" w:hAnsi="Times New Roman" w:cs="Times New Roman"/>
          <w:sz w:val="24"/>
          <w:szCs w:val="24"/>
        </w:rPr>
        <w:t xml:space="preserve">who are </w:t>
      </w:r>
      <w:r w:rsidR="007257D3" w:rsidRPr="00D22649">
        <w:rPr>
          <w:rFonts w:ascii="Times New Roman" w:hAnsi="Times New Roman" w:cs="Times New Roman"/>
          <w:sz w:val="24"/>
          <w:szCs w:val="24"/>
        </w:rPr>
        <w:t>both</w:t>
      </w:r>
      <w:r w:rsidR="0076180E" w:rsidRPr="00D22649">
        <w:rPr>
          <w:rFonts w:ascii="Times New Roman" w:hAnsi="Times New Roman" w:cs="Times New Roman"/>
          <w:sz w:val="24"/>
          <w:szCs w:val="24"/>
        </w:rPr>
        <w:t xml:space="preserve"> </w:t>
      </w:r>
      <w:r w:rsidR="00120A34" w:rsidRPr="00D22649">
        <w:rPr>
          <w:rFonts w:ascii="Times New Roman" w:hAnsi="Times New Roman" w:cs="Times New Roman"/>
          <w:sz w:val="24"/>
          <w:szCs w:val="24"/>
        </w:rPr>
        <w:t xml:space="preserve">self-employed </w:t>
      </w:r>
      <w:r w:rsidR="00E9589B" w:rsidRPr="00D22649">
        <w:rPr>
          <w:rFonts w:ascii="Times New Roman" w:hAnsi="Times New Roman" w:cs="Times New Roman"/>
          <w:sz w:val="24"/>
          <w:szCs w:val="24"/>
        </w:rPr>
        <w:t xml:space="preserve">and </w:t>
      </w:r>
      <w:r w:rsidR="0076180E" w:rsidRPr="00D22649">
        <w:rPr>
          <w:rFonts w:ascii="Times New Roman" w:hAnsi="Times New Roman" w:cs="Times New Roman"/>
          <w:sz w:val="24"/>
          <w:szCs w:val="24"/>
        </w:rPr>
        <w:t xml:space="preserve">also </w:t>
      </w:r>
      <w:r w:rsidR="00E9589B" w:rsidRPr="00D22649">
        <w:rPr>
          <w:rFonts w:ascii="Times New Roman" w:hAnsi="Times New Roman" w:cs="Times New Roman"/>
          <w:sz w:val="24"/>
          <w:szCs w:val="24"/>
        </w:rPr>
        <w:t xml:space="preserve">in part-time </w:t>
      </w:r>
      <w:r w:rsidR="00F57526" w:rsidRPr="00D22649">
        <w:rPr>
          <w:rFonts w:ascii="Times New Roman" w:hAnsi="Times New Roman" w:cs="Times New Roman"/>
          <w:sz w:val="24"/>
          <w:szCs w:val="24"/>
        </w:rPr>
        <w:t xml:space="preserve">salaried </w:t>
      </w:r>
      <w:r w:rsidR="00FF71CA" w:rsidRPr="00D22649">
        <w:rPr>
          <w:rFonts w:ascii="Times New Roman" w:hAnsi="Times New Roman" w:cs="Times New Roman"/>
          <w:sz w:val="24"/>
          <w:szCs w:val="24"/>
        </w:rPr>
        <w:t xml:space="preserve">employment was discriminatory.  In </w:t>
      </w:r>
      <w:r w:rsidR="00502474" w:rsidRPr="00D22649">
        <w:rPr>
          <w:rFonts w:ascii="Times New Roman" w:hAnsi="Times New Roman" w:cs="Times New Roman"/>
          <w:sz w:val="24"/>
          <w:szCs w:val="24"/>
        </w:rPr>
        <w:t>determining</w:t>
      </w:r>
      <w:r w:rsidR="00FF71CA" w:rsidRPr="00D22649">
        <w:rPr>
          <w:rFonts w:ascii="Times New Roman" w:hAnsi="Times New Roman" w:cs="Times New Roman"/>
          <w:sz w:val="24"/>
          <w:szCs w:val="24"/>
        </w:rPr>
        <w:t xml:space="preserve"> that there was no violation of the Convention (the only admissible case in which it has so far done so), the Committee resorted to </w:t>
      </w:r>
      <w:r w:rsidR="00662FBB" w:rsidRPr="00D22649">
        <w:rPr>
          <w:rFonts w:ascii="Times New Roman" w:hAnsi="Times New Roman" w:cs="Times New Roman"/>
          <w:sz w:val="24"/>
          <w:szCs w:val="24"/>
        </w:rPr>
        <w:t>a</w:t>
      </w:r>
      <w:r w:rsidR="00FF71CA" w:rsidRPr="00D22649">
        <w:rPr>
          <w:rFonts w:ascii="Times New Roman" w:hAnsi="Times New Roman" w:cs="Times New Roman"/>
          <w:sz w:val="24"/>
          <w:szCs w:val="24"/>
        </w:rPr>
        <w:t xml:space="preserve"> tool forged by other human rights tribunals to minimi</w:t>
      </w:r>
      <w:r>
        <w:rPr>
          <w:rFonts w:ascii="Times New Roman" w:hAnsi="Times New Roman" w:cs="Times New Roman"/>
          <w:sz w:val="24"/>
          <w:szCs w:val="24"/>
        </w:rPr>
        <w:t>z</w:t>
      </w:r>
      <w:r w:rsidR="00CE465F" w:rsidRPr="00D22649">
        <w:rPr>
          <w:rFonts w:ascii="Times New Roman" w:hAnsi="Times New Roman" w:cs="Times New Roman"/>
          <w:sz w:val="24"/>
          <w:szCs w:val="24"/>
        </w:rPr>
        <w:t xml:space="preserve">e </w:t>
      </w:r>
      <w:r>
        <w:rPr>
          <w:rFonts w:ascii="Times New Roman" w:hAnsi="Times New Roman" w:cs="Times New Roman"/>
          <w:sz w:val="24"/>
          <w:szCs w:val="24"/>
        </w:rPr>
        <w:t>s</w:t>
      </w:r>
      <w:r w:rsidR="00CE465F" w:rsidRPr="00D22649">
        <w:rPr>
          <w:rFonts w:ascii="Times New Roman" w:hAnsi="Times New Roman" w:cs="Times New Roman"/>
          <w:sz w:val="24"/>
          <w:szCs w:val="24"/>
        </w:rPr>
        <w:t>tates parties</w:t>
      </w:r>
      <w:r>
        <w:rPr>
          <w:rFonts w:ascii="Times New Roman" w:hAnsi="Times New Roman" w:cs="Times New Roman"/>
          <w:sz w:val="24"/>
          <w:szCs w:val="24"/>
        </w:rPr>
        <w:t>’</w:t>
      </w:r>
      <w:r w:rsidR="00CE465F" w:rsidRPr="00D22649">
        <w:rPr>
          <w:rFonts w:ascii="Times New Roman" w:hAnsi="Times New Roman" w:cs="Times New Roman"/>
          <w:sz w:val="24"/>
          <w:szCs w:val="24"/>
        </w:rPr>
        <w:t xml:space="preserve"> obligations: ‘</w:t>
      </w:r>
      <w:r>
        <w:rPr>
          <w:rFonts w:ascii="Times New Roman" w:hAnsi="Times New Roman" w:cs="Times New Roman"/>
          <w:sz w:val="24"/>
          <w:szCs w:val="24"/>
        </w:rPr>
        <w:t>t</w:t>
      </w:r>
      <w:r w:rsidR="00F57526" w:rsidRPr="00D22649">
        <w:rPr>
          <w:rFonts w:ascii="Times New Roman" w:hAnsi="Times New Roman" w:cs="Times New Roman"/>
          <w:sz w:val="24"/>
          <w:szCs w:val="24"/>
        </w:rPr>
        <w:t xml:space="preserve">he Convention leaves to States parties a certain margin of discretion to </w:t>
      </w:r>
      <w:r w:rsidR="00F57526" w:rsidRPr="00D22649">
        <w:rPr>
          <w:rFonts w:ascii="Times New Roman" w:hAnsi="Times New Roman" w:cs="Times New Roman"/>
          <w:sz w:val="24"/>
          <w:szCs w:val="24"/>
        </w:rPr>
        <w:lastRenderedPageBreak/>
        <w:t>devise a system of maternity leave benefits to fulfil Convention requirements</w:t>
      </w:r>
      <w:r w:rsidR="00CE465F" w:rsidRPr="00D22649">
        <w:rPr>
          <w:rFonts w:ascii="Times New Roman" w:hAnsi="Times New Roman" w:cs="Times New Roman"/>
          <w:sz w:val="24"/>
          <w:szCs w:val="24"/>
        </w:rPr>
        <w:t>’</w:t>
      </w:r>
      <w:r>
        <w:rPr>
          <w:rFonts w:ascii="Times New Roman" w:hAnsi="Times New Roman" w:cs="Times New Roman"/>
          <w:sz w:val="24"/>
          <w:szCs w:val="24"/>
        </w:rPr>
        <w:t>.</w:t>
      </w:r>
      <w:r w:rsidR="00FD23D1" w:rsidRPr="00D22649">
        <w:rPr>
          <w:rStyle w:val="FootnoteReference"/>
          <w:rFonts w:ascii="Times New Roman" w:hAnsi="Times New Roman" w:cs="Times New Roman"/>
          <w:sz w:val="24"/>
          <w:szCs w:val="24"/>
        </w:rPr>
        <w:footnoteReference w:id="58"/>
      </w:r>
      <w:r w:rsidR="00F57526" w:rsidRPr="00D22649">
        <w:rPr>
          <w:rFonts w:ascii="Times New Roman" w:hAnsi="Times New Roman" w:cs="Times New Roman"/>
          <w:sz w:val="24"/>
          <w:szCs w:val="24"/>
        </w:rPr>
        <w:t xml:space="preserve"> </w:t>
      </w:r>
      <w:r w:rsidR="00FD23D1" w:rsidRPr="00D22649">
        <w:rPr>
          <w:rFonts w:ascii="Times New Roman" w:hAnsi="Times New Roman" w:cs="Times New Roman"/>
          <w:sz w:val="24"/>
          <w:szCs w:val="24"/>
        </w:rPr>
        <w:t xml:space="preserve"> </w:t>
      </w:r>
      <w:r w:rsidR="0011215D" w:rsidRPr="00D22649">
        <w:rPr>
          <w:rFonts w:ascii="Times New Roman" w:hAnsi="Times New Roman" w:cs="Times New Roman"/>
          <w:sz w:val="24"/>
          <w:szCs w:val="24"/>
        </w:rPr>
        <w:t xml:space="preserve">Three dissenting members </w:t>
      </w:r>
      <w:r w:rsidR="004B3323" w:rsidRPr="00D22649">
        <w:rPr>
          <w:rFonts w:ascii="Times New Roman" w:hAnsi="Times New Roman" w:cs="Times New Roman"/>
          <w:sz w:val="24"/>
          <w:szCs w:val="24"/>
        </w:rPr>
        <w:t>argued</w:t>
      </w:r>
      <w:r w:rsidR="00F57526" w:rsidRPr="00D22649">
        <w:rPr>
          <w:rFonts w:ascii="Times New Roman" w:hAnsi="Times New Roman" w:cs="Times New Roman"/>
          <w:sz w:val="24"/>
          <w:szCs w:val="24"/>
        </w:rPr>
        <w:t xml:space="preserve"> </w:t>
      </w:r>
      <w:r w:rsidR="00FD23D1" w:rsidRPr="00D22649">
        <w:rPr>
          <w:rFonts w:ascii="Times New Roman" w:hAnsi="Times New Roman" w:cs="Times New Roman"/>
          <w:sz w:val="24"/>
          <w:szCs w:val="24"/>
        </w:rPr>
        <w:t xml:space="preserve">that </w:t>
      </w:r>
      <w:r w:rsidR="00EE115E" w:rsidRPr="00D22649">
        <w:rPr>
          <w:rFonts w:ascii="Times New Roman" w:hAnsi="Times New Roman" w:cs="Times New Roman"/>
          <w:sz w:val="24"/>
          <w:szCs w:val="24"/>
        </w:rPr>
        <w:t>the complaint</w:t>
      </w:r>
      <w:r w:rsidR="00F57526" w:rsidRPr="00D22649">
        <w:rPr>
          <w:rFonts w:ascii="Times New Roman" w:hAnsi="Times New Roman" w:cs="Times New Roman"/>
          <w:sz w:val="24"/>
          <w:szCs w:val="24"/>
        </w:rPr>
        <w:t xml:space="preserve"> </w:t>
      </w:r>
      <w:r w:rsidR="0011215D" w:rsidRPr="00D22649">
        <w:rPr>
          <w:rFonts w:ascii="Times New Roman" w:hAnsi="Times New Roman" w:cs="Times New Roman"/>
          <w:sz w:val="24"/>
          <w:szCs w:val="24"/>
        </w:rPr>
        <w:t xml:space="preserve">potentially </w:t>
      </w:r>
      <w:r w:rsidR="00EE115E" w:rsidRPr="00D22649">
        <w:rPr>
          <w:rFonts w:ascii="Times New Roman" w:hAnsi="Times New Roman" w:cs="Times New Roman"/>
          <w:sz w:val="24"/>
          <w:szCs w:val="24"/>
        </w:rPr>
        <w:t xml:space="preserve">revealed </w:t>
      </w:r>
      <w:r w:rsidR="00F57526" w:rsidRPr="00D22649">
        <w:rPr>
          <w:rFonts w:ascii="Times New Roman" w:hAnsi="Times New Roman" w:cs="Times New Roman"/>
          <w:sz w:val="24"/>
          <w:szCs w:val="24"/>
        </w:rPr>
        <w:t xml:space="preserve">a form of </w:t>
      </w:r>
      <w:r w:rsidR="00FD23D1" w:rsidRPr="00D22649">
        <w:rPr>
          <w:rFonts w:ascii="Times New Roman" w:hAnsi="Times New Roman" w:cs="Times New Roman"/>
          <w:sz w:val="24"/>
          <w:szCs w:val="24"/>
        </w:rPr>
        <w:t>indirect discrimination</w:t>
      </w:r>
      <w:r w:rsidR="004B3323" w:rsidRPr="00D22649">
        <w:rPr>
          <w:rFonts w:ascii="Times New Roman" w:hAnsi="Times New Roman" w:cs="Times New Roman"/>
          <w:sz w:val="24"/>
          <w:szCs w:val="24"/>
        </w:rPr>
        <w:t>; b</w:t>
      </w:r>
      <w:r w:rsidR="0011215D" w:rsidRPr="00D22649">
        <w:rPr>
          <w:rFonts w:ascii="Times New Roman" w:hAnsi="Times New Roman" w:cs="Times New Roman"/>
          <w:sz w:val="24"/>
          <w:szCs w:val="24"/>
        </w:rPr>
        <w:t>ut in the absence of data</w:t>
      </w:r>
      <w:r w:rsidR="00762838" w:rsidRPr="00D22649">
        <w:rPr>
          <w:rFonts w:ascii="Times New Roman" w:hAnsi="Times New Roman" w:cs="Times New Roman"/>
          <w:sz w:val="24"/>
          <w:szCs w:val="24"/>
        </w:rPr>
        <w:t xml:space="preserve"> demonstrating </w:t>
      </w:r>
      <w:r>
        <w:rPr>
          <w:rFonts w:ascii="Times New Roman" w:hAnsi="Times New Roman" w:cs="Times New Roman"/>
          <w:sz w:val="24"/>
          <w:szCs w:val="24"/>
        </w:rPr>
        <w:t xml:space="preserve">that </w:t>
      </w:r>
      <w:r w:rsidR="00762838" w:rsidRPr="00D22649">
        <w:rPr>
          <w:rFonts w:ascii="Times New Roman" w:hAnsi="Times New Roman" w:cs="Times New Roman"/>
          <w:sz w:val="24"/>
          <w:szCs w:val="24"/>
        </w:rPr>
        <w:t>women are more likely than men to have a mixed income base</w:t>
      </w:r>
      <w:r w:rsidR="0011215D" w:rsidRPr="00D22649">
        <w:rPr>
          <w:rFonts w:ascii="Times New Roman" w:hAnsi="Times New Roman" w:cs="Times New Roman"/>
          <w:sz w:val="24"/>
          <w:szCs w:val="24"/>
        </w:rPr>
        <w:t xml:space="preserve">, the Committee </w:t>
      </w:r>
      <w:r w:rsidR="00EE115E" w:rsidRPr="00D22649">
        <w:rPr>
          <w:rFonts w:ascii="Times New Roman" w:hAnsi="Times New Roman" w:cs="Times New Roman"/>
          <w:sz w:val="24"/>
          <w:szCs w:val="24"/>
        </w:rPr>
        <w:t xml:space="preserve">felt </w:t>
      </w:r>
      <w:r w:rsidR="0011215D" w:rsidRPr="00D22649">
        <w:rPr>
          <w:rFonts w:ascii="Times New Roman" w:hAnsi="Times New Roman" w:cs="Times New Roman"/>
          <w:sz w:val="24"/>
          <w:szCs w:val="24"/>
        </w:rPr>
        <w:t xml:space="preserve">helpless to act. </w:t>
      </w:r>
    </w:p>
    <w:p w14:paraId="18DC8CE5" w14:textId="15081F02" w:rsidR="00BE55E8" w:rsidRPr="00D22649" w:rsidRDefault="007812C3"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B94548" w:rsidRPr="00D22649">
        <w:rPr>
          <w:rFonts w:ascii="Times New Roman" w:hAnsi="Times New Roman" w:cs="Times New Roman"/>
          <w:sz w:val="24"/>
          <w:szCs w:val="24"/>
        </w:rPr>
        <w:t xml:space="preserve">In </w:t>
      </w:r>
      <w:r w:rsidR="00B94548" w:rsidRPr="00D22649">
        <w:rPr>
          <w:rFonts w:ascii="Times New Roman" w:hAnsi="Times New Roman" w:cs="Times New Roman"/>
          <w:i/>
          <w:sz w:val="24"/>
          <w:szCs w:val="24"/>
        </w:rPr>
        <w:t>Kayhan v</w:t>
      </w:r>
      <w:r>
        <w:rPr>
          <w:rFonts w:ascii="Times New Roman" w:hAnsi="Times New Roman" w:cs="Times New Roman"/>
          <w:i/>
          <w:sz w:val="24"/>
          <w:szCs w:val="24"/>
        </w:rPr>
        <w:t>.</w:t>
      </w:r>
      <w:r w:rsidR="00B94548" w:rsidRPr="00D22649">
        <w:rPr>
          <w:rFonts w:ascii="Times New Roman" w:hAnsi="Times New Roman" w:cs="Times New Roman"/>
          <w:i/>
          <w:sz w:val="24"/>
          <w:szCs w:val="24"/>
        </w:rPr>
        <w:t xml:space="preserve"> Turkey</w:t>
      </w:r>
      <w:r w:rsidR="00B94548" w:rsidRPr="00D22649">
        <w:rPr>
          <w:rFonts w:ascii="Times New Roman" w:hAnsi="Times New Roman" w:cs="Times New Roman"/>
          <w:sz w:val="24"/>
          <w:szCs w:val="24"/>
        </w:rPr>
        <w:t>,</w:t>
      </w:r>
      <w:r w:rsidR="00B94548" w:rsidRPr="00D22649">
        <w:rPr>
          <w:rStyle w:val="FootnoteReference"/>
          <w:rFonts w:ascii="Times New Roman" w:hAnsi="Times New Roman" w:cs="Times New Roman"/>
          <w:sz w:val="24"/>
          <w:szCs w:val="24"/>
        </w:rPr>
        <w:footnoteReference w:id="59"/>
      </w:r>
      <w:r w:rsidR="00B94548" w:rsidRPr="00D22649">
        <w:rPr>
          <w:rFonts w:ascii="Times New Roman" w:hAnsi="Times New Roman" w:cs="Times New Roman"/>
          <w:sz w:val="24"/>
          <w:szCs w:val="24"/>
        </w:rPr>
        <w:t xml:space="preserve"> t</w:t>
      </w:r>
      <w:r w:rsidR="00690A2E" w:rsidRPr="00D22649">
        <w:rPr>
          <w:rFonts w:ascii="Times New Roman" w:hAnsi="Times New Roman" w:cs="Times New Roman"/>
          <w:sz w:val="24"/>
          <w:szCs w:val="24"/>
        </w:rPr>
        <w:t xml:space="preserve">he </w:t>
      </w:r>
      <w:r w:rsidR="0028728D" w:rsidRPr="00D22649">
        <w:rPr>
          <w:rFonts w:ascii="Times New Roman" w:hAnsi="Times New Roman" w:cs="Times New Roman"/>
          <w:sz w:val="24"/>
          <w:szCs w:val="24"/>
        </w:rPr>
        <w:t xml:space="preserve">author was </w:t>
      </w:r>
      <w:r w:rsidR="0040639E" w:rsidRPr="00D22649">
        <w:rPr>
          <w:rFonts w:ascii="Times New Roman" w:hAnsi="Times New Roman" w:cs="Times New Roman"/>
          <w:sz w:val="24"/>
          <w:szCs w:val="24"/>
        </w:rPr>
        <w:t>dismissed</w:t>
      </w:r>
      <w:r w:rsidR="0028728D" w:rsidRPr="00D22649">
        <w:rPr>
          <w:rFonts w:ascii="Times New Roman" w:hAnsi="Times New Roman" w:cs="Times New Roman"/>
          <w:sz w:val="24"/>
          <w:szCs w:val="24"/>
        </w:rPr>
        <w:t xml:space="preserve"> from her </w:t>
      </w:r>
      <w:r w:rsidR="0040639E" w:rsidRPr="00D22649">
        <w:rPr>
          <w:rFonts w:ascii="Times New Roman" w:hAnsi="Times New Roman" w:cs="Times New Roman"/>
          <w:sz w:val="24"/>
          <w:szCs w:val="24"/>
        </w:rPr>
        <w:t>teaching position</w:t>
      </w:r>
      <w:r w:rsidR="0028728D" w:rsidRPr="00D22649">
        <w:rPr>
          <w:rFonts w:ascii="Times New Roman" w:hAnsi="Times New Roman" w:cs="Times New Roman"/>
          <w:sz w:val="24"/>
          <w:szCs w:val="24"/>
        </w:rPr>
        <w:t xml:space="preserve"> </w:t>
      </w:r>
      <w:r w:rsidR="0040639E" w:rsidRPr="00D22649">
        <w:rPr>
          <w:rFonts w:ascii="Times New Roman" w:hAnsi="Times New Roman" w:cs="Times New Roman"/>
          <w:sz w:val="24"/>
          <w:szCs w:val="24"/>
        </w:rPr>
        <w:t>because she wore</w:t>
      </w:r>
      <w:r w:rsidR="00120A34" w:rsidRPr="00D22649">
        <w:rPr>
          <w:rFonts w:ascii="Times New Roman" w:hAnsi="Times New Roman" w:cs="Times New Roman"/>
          <w:sz w:val="24"/>
          <w:szCs w:val="24"/>
        </w:rPr>
        <w:t xml:space="preserve"> a headscarf. </w:t>
      </w:r>
      <w:r w:rsidR="0028728D" w:rsidRPr="00D22649">
        <w:rPr>
          <w:rFonts w:ascii="Times New Roman" w:hAnsi="Times New Roman" w:cs="Times New Roman"/>
          <w:sz w:val="24"/>
          <w:szCs w:val="24"/>
        </w:rPr>
        <w:t xml:space="preserve"> It w</w:t>
      </w:r>
      <w:r w:rsidR="00120A34" w:rsidRPr="00D22649">
        <w:rPr>
          <w:rFonts w:ascii="Times New Roman" w:hAnsi="Times New Roman" w:cs="Times New Roman"/>
          <w:sz w:val="24"/>
          <w:szCs w:val="24"/>
        </w:rPr>
        <w:t xml:space="preserve">ould have been fascinating to hear </w:t>
      </w:r>
      <w:r w:rsidR="0028728D" w:rsidRPr="00D22649">
        <w:rPr>
          <w:rFonts w:ascii="Times New Roman" w:hAnsi="Times New Roman" w:cs="Times New Roman"/>
          <w:sz w:val="24"/>
          <w:szCs w:val="24"/>
        </w:rPr>
        <w:t xml:space="preserve">the Committee’s </w:t>
      </w:r>
      <w:r w:rsidR="00120A34" w:rsidRPr="00D22649">
        <w:rPr>
          <w:rFonts w:ascii="Times New Roman" w:hAnsi="Times New Roman" w:cs="Times New Roman"/>
          <w:sz w:val="24"/>
          <w:szCs w:val="24"/>
        </w:rPr>
        <w:t xml:space="preserve">views </w:t>
      </w:r>
      <w:r w:rsidR="0028728D" w:rsidRPr="00D22649">
        <w:rPr>
          <w:rFonts w:ascii="Times New Roman" w:hAnsi="Times New Roman" w:cs="Times New Roman"/>
          <w:sz w:val="24"/>
          <w:szCs w:val="24"/>
        </w:rPr>
        <w:t>on the merits of this communication</w:t>
      </w:r>
      <w:r>
        <w:rPr>
          <w:rFonts w:ascii="Times New Roman" w:hAnsi="Times New Roman" w:cs="Times New Roman"/>
          <w:sz w:val="24"/>
          <w:szCs w:val="24"/>
        </w:rPr>
        <w:t>,</w:t>
      </w:r>
      <w:r w:rsidR="00120A34" w:rsidRPr="00D22649">
        <w:rPr>
          <w:rFonts w:ascii="Times New Roman" w:hAnsi="Times New Roman" w:cs="Times New Roman"/>
          <w:sz w:val="24"/>
          <w:szCs w:val="24"/>
        </w:rPr>
        <w:t xml:space="preserve"> given </w:t>
      </w:r>
      <w:r w:rsidR="0028728D" w:rsidRPr="00D22649">
        <w:rPr>
          <w:rFonts w:ascii="Times New Roman" w:hAnsi="Times New Roman" w:cs="Times New Roman"/>
          <w:sz w:val="24"/>
          <w:szCs w:val="24"/>
        </w:rPr>
        <w:t xml:space="preserve">the approach taken by the European Court of Human Rights in its </w:t>
      </w:r>
      <w:r w:rsidR="0028728D" w:rsidRPr="00D22649">
        <w:rPr>
          <w:rFonts w:ascii="Times New Roman" w:hAnsi="Times New Roman" w:cs="Times New Roman"/>
          <w:i/>
          <w:sz w:val="24"/>
          <w:szCs w:val="24"/>
        </w:rPr>
        <w:t>Leyla Sahin</w:t>
      </w:r>
      <w:r w:rsidR="00EE115E" w:rsidRPr="00D22649">
        <w:rPr>
          <w:rFonts w:ascii="Times New Roman" w:hAnsi="Times New Roman" w:cs="Times New Roman"/>
          <w:i/>
          <w:sz w:val="24"/>
          <w:szCs w:val="24"/>
        </w:rPr>
        <w:t xml:space="preserve"> v</w:t>
      </w:r>
      <w:r>
        <w:rPr>
          <w:rFonts w:ascii="Times New Roman" w:hAnsi="Times New Roman" w:cs="Times New Roman"/>
          <w:i/>
          <w:sz w:val="24"/>
          <w:szCs w:val="24"/>
        </w:rPr>
        <w:t>.</w:t>
      </w:r>
      <w:r w:rsidR="00EE115E" w:rsidRPr="00D22649">
        <w:rPr>
          <w:rFonts w:ascii="Times New Roman" w:hAnsi="Times New Roman" w:cs="Times New Roman"/>
          <w:i/>
          <w:sz w:val="24"/>
          <w:szCs w:val="24"/>
        </w:rPr>
        <w:t xml:space="preserve"> Turkey</w:t>
      </w:r>
      <w:r w:rsidR="00B0557B" w:rsidRPr="00D22649">
        <w:rPr>
          <w:rStyle w:val="FootnoteReference"/>
          <w:rFonts w:ascii="Times New Roman" w:hAnsi="Times New Roman" w:cs="Times New Roman"/>
          <w:i/>
          <w:sz w:val="24"/>
          <w:szCs w:val="24"/>
        </w:rPr>
        <w:footnoteReference w:id="60"/>
      </w:r>
      <w:r w:rsidR="0028728D" w:rsidRPr="00D22649">
        <w:rPr>
          <w:rFonts w:ascii="Times New Roman" w:hAnsi="Times New Roman" w:cs="Times New Roman"/>
          <w:sz w:val="24"/>
          <w:szCs w:val="24"/>
        </w:rPr>
        <w:t xml:space="preserve"> judgment addressing similar facts</w:t>
      </w:r>
      <w:r w:rsidR="00120A34" w:rsidRPr="00D22649">
        <w:rPr>
          <w:rFonts w:ascii="Times New Roman" w:hAnsi="Times New Roman" w:cs="Times New Roman"/>
          <w:sz w:val="24"/>
          <w:szCs w:val="24"/>
        </w:rPr>
        <w:t xml:space="preserve">.  </w:t>
      </w:r>
      <w:r w:rsidR="0040639E" w:rsidRPr="00D22649">
        <w:rPr>
          <w:rFonts w:ascii="Times New Roman" w:hAnsi="Times New Roman" w:cs="Times New Roman"/>
          <w:sz w:val="24"/>
          <w:szCs w:val="24"/>
        </w:rPr>
        <w:t>However</w:t>
      </w:r>
      <w:r w:rsidR="00120A34" w:rsidRPr="00D22649">
        <w:rPr>
          <w:rFonts w:ascii="Times New Roman" w:hAnsi="Times New Roman" w:cs="Times New Roman"/>
          <w:sz w:val="24"/>
          <w:szCs w:val="24"/>
        </w:rPr>
        <w:t xml:space="preserve">, in </w:t>
      </w:r>
      <w:r w:rsidR="00B0679F" w:rsidRPr="00D22649">
        <w:rPr>
          <w:rFonts w:ascii="Times New Roman" w:hAnsi="Times New Roman" w:cs="Times New Roman"/>
          <w:sz w:val="24"/>
          <w:szCs w:val="24"/>
        </w:rPr>
        <w:t xml:space="preserve">perhaps </w:t>
      </w:r>
      <w:r w:rsidR="00EE115E" w:rsidRPr="00D22649">
        <w:rPr>
          <w:rFonts w:ascii="Times New Roman" w:hAnsi="Times New Roman" w:cs="Times New Roman"/>
          <w:sz w:val="24"/>
          <w:szCs w:val="24"/>
        </w:rPr>
        <w:t xml:space="preserve">what is </w:t>
      </w:r>
      <w:r w:rsidR="0040639E" w:rsidRPr="00D22649">
        <w:rPr>
          <w:rFonts w:ascii="Times New Roman" w:hAnsi="Times New Roman" w:cs="Times New Roman"/>
          <w:sz w:val="24"/>
          <w:szCs w:val="24"/>
        </w:rPr>
        <w:t>one of the</w:t>
      </w:r>
      <w:r w:rsidR="00120A34" w:rsidRPr="00D22649">
        <w:rPr>
          <w:rFonts w:ascii="Times New Roman" w:hAnsi="Times New Roman" w:cs="Times New Roman"/>
          <w:sz w:val="24"/>
          <w:szCs w:val="24"/>
        </w:rPr>
        <w:t xml:space="preserve"> Committee’s most disappointing </w:t>
      </w:r>
      <w:r w:rsidR="0040639E" w:rsidRPr="00D22649">
        <w:rPr>
          <w:rFonts w:ascii="Times New Roman" w:hAnsi="Times New Roman" w:cs="Times New Roman"/>
          <w:sz w:val="24"/>
          <w:szCs w:val="24"/>
        </w:rPr>
        <w:t>decisions</w:t>
      </w:r>
      <w:r w:rsidR="00EE115E" w:rsidRPr="00D22649">
        <w:rPr>
          <w:rFonts w:ascii="Times New Roman" w:hAnsi="Times New Roman" w:cs="Times New Roman"/>
          <w:sz w:val="24"/>
          <w:szCs w:val="24"/>
        </w:rPr>
        <w:t xml:space="preserve"> to date</w:t>
      </w:r>
      <w:r w:rsidR="00120A34" w:rsidRPr="00D22649">
        <w:rPr>
          <w:rFonts w:ascii="Times New Roman" w:hAnsi="Times New Roman" w:cs="Times New Roman"/>
          <w:sz w:val="24"/>
          <w:szCs w:val="24"/>
        </w:rPr>
        <w:t xml:space="preserve">, </w:t>
      </w:r>
      <w:r w:rsidR="0040639E" w:rsidRPr="00D22649">
        <w:rPr>
          <w:rFonts w:ascii="Times New Roman" w:hAnsi="Times New Roman" w:cs="Times New Roman"/>
          <w:sz w:val="24"/>
          <w:szCs w:val="24"/>
        </w:rPr>
        <w:t xml:space="preserve">it </w:t>
      </w:r>
      <w:r w:rsidR="00120A34" w:rsidRPr="00D22649">
        <w:rPr>
          <w:rFonts w:ascii="Times New Roman" w:hAnsi="Times New Roman" w:cs="Times New Roman"/>
          <w:sz w:val="24"/>
          <w:szCs w:val="24"/>
        </w:rPr>
        <w:t>declared</w:t>
      </w:r>
      <w:r w:rsidR="0040639E" w:rsidRPr="00D22649">
        <w:rPr>
          <w:rFonts w:ascii="Times New Roman" w:hAnsi="Times New Roman" w:cs="Times New Roman"/>
          <w:sz w:val="24"/>
          <w:szCs w:val="24"/>
        </w:rPr>
        <w:t xml:space="preserve"> the communication</w:t>
      </w:r>
      <w:r w:rsidR="00120A34" w:rsidRPr="00D22649">
        <w:rPr>
          <w:rFonts w:ascii="Times New Roman" w:hAnsi="Times New Roman" w:cs="Times New Roman"/>
          <w:sz w:val="24"/>
          <w:szCs w:val="24"/>
        </w:rPr>
        <w:t xml:space="preserve"> inadmissible </w:t>
      </w:r>
      <w:r w:rsidR="00B0679F" w:rsidRPr="00D22649">
        <w:rPr>
          <w:rFonts w:ascii="Times New Roman" w:hAnsi="Times New Roman" w:cs="Times New Roman"/>
          <w:sz w:val="24"/>
          <w:szCs w:val="24"/>
        </w:rPr>
        <w:t>because</w:t>
      </w:r>
      <w:r w:rsidR="00120A34" w:rsidRPr="00D22649">
        <w:rPr>
          <w:rFonts w:ascii="Times New Roman" w:hAnsi="Times New Roman" w:cs="Times New Roman"/>
          <w:sz w:val="24"/>
          <w:szCs w:val="24"/>
        </w:rPr>
        <w:t xml:space="preserve"> </w:t>
      </w:r>
      <w:r w:rsidR="0040639E" w:rsidRPr="00D22649">
        <w:rPr>
          <w:rFonts w:ascii="Times New Roman" w:hAnsi="Times New Roman" w:cs="Times New Roman"/>
          <w:sz w:val="24"/>
          <w:szCs w:val="24"/>
        </w:rPr>
        <w:t xml:space="preserve">the author had not </w:t>
      </w:r>
      <w:r w:rsidR="00120A34" w:rsidRPr="00D22649">
        <w:rPr>
          <w:rFonts w:ascii="Times New Roman" w:hAnsi="Times New Roman" w:cs="Times New Roman"/>
          <w:sz w:val="24"/>
          <w:szCs w:val="24"/>
        </w:rPr>
        <w:t xml:space="preserve">raised </w:t>
      </w:r>
      <w:r w:rsidR="0040639E" w:rsidRPr="00D22649">
        <w:rPr>
          <w:rFonts w:ascii="Times New Roman" w:hAnsi="Times New Roman" w:cs="Times New Roman"/>
          <w:sz w:val="24"/>
          <w:szCs w:val="24"/>
        </w:rPr>
        <w:t xml:space="preserve">the issue of </w:t>
      </w:r>
      <w:r w:rsidR="00120A34" w:rsidRPr="00D22649">
        <w:rPr>
          <w:rFonts w:ascii="Times New Roman" w:hAnsi="Times New Roman" w:cs="Times New Roman"/>
          <w:sz w:val="24"/>
          <w:szCs w:val="24"/>
        </w:rPr>
        <w:t xml:space="preserve">sex discrimination </w:t>
      </w:r>
      <w:r w:rsidR="0040639E" w:rsidRPr="00D22649">
        <w:rPr>
          <w:rFonts w:ascii="Times New Roman" w:hAnsi="Times New Roman" w:cs="Times New Roman"/>
          <w:sz w:val="24"/>
          <w:szCs w:val="24"/>
        </w:rPr>
        <w:t xml:space="preserve">in relation to her dismissal </w:t>
      </w:r>
      <w:r w:rsidR="00120A34" w:rsidRPr="00D22649">
        <w:rPr>
          <w:rFonts w:ascii="Times New Roman" w:hAnsi="Times New Roman" w:cs="Times New Roman"/>
          <w:sz w:val="24"/>
          <w:szCs w:val="24"/>
        </w:rPr>
        <w:t>before national courts.</w:t>
      </w:r>
      <w:r w:rsidR="00B0679F" w:rsidRPr="00D22649">
        <w:rPr>
          <w:rFonts w:ascii="Times New Roman" w:hAnsi="Times New Roman" w:cs="Times New Roman"/>
          <w:sz w:val="24"/>
          <w:szCs w:val="24"/>
        </w:rPr>
        <w:t xml:space="preserve">  </w:t>
      </w:r>
      <w:r w:rsidR="00F422FB" w:rsidRPr="00D22649">
        <w:rPr>
          <w:rFonts w:ascii="Times New Roman" w:hAnsi="Times New Roman" w:cs="Times New Roman"/>
          <w:sz w:val="24"/>
          <w:szCs w:val="24"/>
        </w:rPr>
        <w:t xml:space="preserve">Facio has argued that </w:t>
      </w:r>
      <w:r w:rsidR="004471F3" w:rsidRPr="00D22649">
        <w:rPr>
          <w:rFonts w:ascii="Times New Roman" w:hAnsi="Times New Roman" w:cs="Times New Roman"/>
          <w:sz w:val="24"/>
          <w:szCs w:val="24"/>
        </w:rPr>
        <w:t>it was ‘quite disconcerting’ for</w:t>
      </w:r>
      <w:r w:rsidR="00F422FB" w:rsidRPr="00D22649">
        <w:rPr>
          <w:rFonts w:ascii="Times New Roman" w:hAnsi="Times New Roman" w:cs="Times New Roman"/>
          <w:sz w:val="24"/>
          <w:szCs w:val="24"/>
        </w:rPr>
        <w:t xml:space="preserve"> the Committee </w:t>
      </w:r>
      <w:r w:rsidR="004471F3" w:rsidRPr="00D22649">
        <w:rPr>
          <w:rFonts w:ascii="Times New Roman" w:hAnsi="Times New Roman" w:cs="Times New Roman"/>
          <w:sz w:val="24"/>
          <w:szCs w:val="24"/>
        </w:rPr>
        <w:t>to base</w:t>
      </w:r>
      <w:r w:rsidR="00F422FB" w:rsidRPr="00D22649">
        <w:rPr>
          <w:rFonts w:ascii="Times New Roman" w:hAnsi="Times New Roman" w:cs="Times New Roman"/>
          <w:sz w:val="24"/>
          <w:szCs w:val="24"/>
        </w:rPr>
        <w:t xml:space="preserve"> its </w:t>
      </w:r>
      <w:r w:rsidR="004471F3" w:rsidRPr="00D22649">
        <w:rPr>
          <w:rFonts w:ascii="Times New Roman" w:hAnsi="Times New Roman" w:cs="Times New Roman"/>
          <w:sz w:val="24"/>
          <w:szCs w:val="24"/>
        </w:rPr>
        <w:t xml:space="preserve">admissibility </w:t>
      </w:r>
      <w:r w:rsidR="00F422FB" w:rsidRPr="00D22649">
        <w:rPr>
          <w:rFonts w:ascii="Times New Roman" w:hAnsi="Times New Roman" w:cs="Times New Roman"/>
          <w:sz w:val="24"/>
          <w:szCs w:val="24"/>
        </w:rPr>
        <w:t xml:space="preserve">decision on an argument not even raised by the </w:t>
      </w:r>
      <w:r>
        <w:rPr>
          <w:rFonts w:ascii="Times New Roman" w:hAnsi="Times New Roman" w:cs="Times New Roman"/>
          <w:sz w:val="24"/>
          <w:szCs w:val="24"/>
        </w:rPr>
        <w:t>s</w:t>
      </w:r>
      <w:r w:rsidR="00F422FB" w:rsidRPr="00D22649">
        <w:rPr>
          <w:rFonts w:ascii="Times New Roman" w:hAnsi="Times New Roman" w:cs="Times New Roman"/>
          <w:sz w:val="24"/>
          <w:szCs w:val="24"/>
        </w:rPr>
        <w:t>tate party.</w:t>
      </w:r>
      <w:r w:rsidR="00F422FB" w:rsidRPr="00D22649">
        <w:rPr>
          <w:rStyle w:val="FootnoteReference"/>
          <w:rFonts w:ascii="Times New Roman" w:hAnsi="Times New Roman" w:cs="Times New Roman"/>
          <w:sz w:val="24"/>
          <w:szCs w:val="24"/>
        </w:rPr>
        <w:footnoteReference w:id="61"/>
      </w:r>
    </w:p>
    <w:p w14:paraId="44F693A9" w14:textId="2D5677D2" w:rsidR="00120A34" w:rsidRPr="00D22649" w:rsidRDefault="007812C3"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BE55E8" w:rsidRPr="00D22649">
        <w:rPr>
          <w:rFonts w:ascii="Times New Roman" w:hAnsi="Times New Roman" w:cs="Times New Roman"/>
          <w:sz w:val="24"/>
          <w:szCs w:val="24"/>
        </w:rPr>
        <w:t>While the</w:t>
      </w:r>
      <w:r w:rsidR="00EE115E" w:rsidRPr="00D22649">
        <w:rPr>
          <w:rFonts w:ascii="Times New Roman" w:hAnsi="Times New Roman" w:cs="Times New Roman"/>
          <w:sz w:val="24"/>
          <w:szCs w:val="24"/>
        </w:rPr>
        <w:t xml:space="preserve"> above</w:t>
      </w:r>
      <w:r w:rsidR="00BE55E8" w:rsidRPr="00D22649">
        <w:rPr>
          <w:rFonts w:ascii="Times New Roman" w:hAnsi="Times New Roman" w:cs="Times New Roman"/>
          <w:sz w:val="24"/>
          <w:szCs w:val="24"/>
        </w:rPr>
        <w:t xml:space="preserve"> cases </w:t>
      </w:r>
      <w:r w:rsidR="00EE115E" w:rsidRPr="00D22649">
        <w:rPr>
          <w:rFonts w:ascii="Times New Roman" w:hAnsi="Times New Roman" w:cs="Times New Roman"/>
          <w:sz w:val="24"/>
          <w:szCs w:val="24"/>
        </w:rPr>
        <w:t>add little, if anything, to our understanding of the economic rights of women,</w:t>
      </w:r>
      <w:r w:rsidR="00EE115E" w:rsidRPr="00D22649" w:rsidDel="00EE115E">
        <w:rPr>
          <w:rFonts w:ascii="Times New Roman" w:hAnsi="Times New Roman" w:cs="Times New Roman"/>
          <w:sz w:val="24"/>
          <w:szCs w:val="24"/>
        </w:rPr>
        <w:t xml:space="preserve"> </w:t>
      </w:r>
      <w:r w:rsidR="00BE55E8" w:rsidRPr="00D22649">
        <w:rPr>
          <w:rFonts w:ascii="Times New Roman" w:hAnsi="Times New Roman" w:cs="Times New Roman"/>
          <w:sz w:val="24"/>
          <w:szCs w:val="24"/>
        </w:rPr>
        <w:t xml:space="preserve">a </w:t>
      </w:r>
      <w:r w:rsidR="00EE115E" w:rsidRPr="00D22649">
        <w:rPr>
          <w:rFonts w:ascii="Times New Roman" w:hAnsi="Times New Roman" w:cs="Times New Roman"/>
          <w:sz w:val="24"/>
          <w:szCs w:val="24"/>
        </w:rPr>
        <w:t xml:space="preserve">more </w:t>
      </w:r>
      <w:r w:rsidR="00BE55E8" w:rsidRPr="00D22649">
        <w:rPr>
          <w:rFonts w:ascii="Times New Roman" w:hAnsi="Times New Roman" w:cs="Times New Roman"/>
          <w:sz w:val="24"/>
          <w:szCs w:val="24"/>
        </w:rPr>
        <w:t>recent decision indicates that the Committee m</w:t>
      </w:r>
      <w:r>
        <w:rPr>
          <w:rFonts w:ascii="Times New Roman" w:hAnsi="Times New Roman" w:cs="Times New Roman"/>
          <w:sz w:val="24"/>
          <w:szCs w:val="24"/>
        </w:rPr>
        <w:t>ay</w:t>
      </w:r>
      <w:r w:rsidR="00BE55E8" w:rsidRPr="00D22649">
        <w:rPr>
          <w:rFonts w:ascii="Times New Roman" w:hAnsi="Times New Roman" w:cs="Times New Roman"/>
          <w:sz w:val="24"/>
          <w:szCs w:val="24"/>
        </w:rPr>
        <w:t xml:space="preserve"> be </w:t>
      </w:r>
      <w:r w:rsidR="00F8750E" w:rsidRPr="00D22649">
        <w:rPr>
          <w:rFonts w:ascii="Times New Roman" w:hAnsi="Times New Roman" w:cs="Times New Roman"/>
          <w:sz w:val="24"/>
          <w:szCs w:val="24"/>
        </w:rPr>
        <w:t>gaining greater confidence</w:t>
      </w:r>
      <w:r w:rsidR="00BE55E8" w:rsidRPr="00D22649">
        <w:rPr>
          <w:rFonts w:ascii="Times New Roman" w:hAnsi="Times New Roman" w:cs="Times New Roman"/>
          <w:sz w:val="24"/>
          <w:szCs w:val="24"/>
        </w:rPr>
        <w:t xml:space="preserve"> </w:t>
      </w:r>
      <w:r w:rsidR="00EE115E" w:rsidRPr="00D22649">
        <w:rPr>
          <w:rFonts w:ascii="Times New Roman" w:hAnsi="Times New Roman" w:cs="Times New Roman"/>
          <w:sz w:val="24"/>
          <w:szCs w:val="24"/>
        </w:rPr>
        <w:t>in</w:t>
      </w:r>
      <w:r w:rsidR="00BE55E8" w:rsidRPr="00D22649">
        <w:rPr>
          <w:rFonts w:ascii="Times New Roman" w:hAnsi="Times New Roman" w:cs="Times New Roman"/>
          <w:sz w:val="24"/>
          <w:szCs w:val="24"/>
        </w:rPr>
        <w:t xml:space="preserve"> </w:t>
      </w:r>
      <w:r w:rsidR="00EE115E" w:rsidRPr="00D22649">
        <w:rPr>
          <w:rFonts w:ascii="Times New Roman" w:hAnsi="Times New Roman" w:cs="Times New Roman"/>
          <w:sz w:val="24"/>
          <w:szCs w:val="24"/>
        </w:rPr>
        <w:t>this area</w:t>
      </w:r>
      <w:r w:rsidR="00BE55E8" w:rsidRPr="00D22649">
        <w:rPr>
          <w:rFonts w:ascii="Times New Roman" w:hAnsi="Times New Roman" w:cs="Times New Roman"/>
          <w:sz w:val="24"/>
          <w:szCs w:val="24"/>
        </w:rPr>
        <w:t xml:space="preserve">.  In </w:t>
      </w:r>
      <w:r w:rsidR="00BE55E8" w:rsidRPr="00D22649">
        <w:rPr>
          <w:rFonts w:ascii="Times New Roman" w:hAnsi="Times New Roman" w:cs="Times New Roman"/>
          <w:i/>
          <w:sz w:val="24"/>
          <w:szCs w:val="24"/>
        </w:rPr>
        <w:t>T.P.F v</w:t>
      </w:r>
      <w:r>
        <w:rPr>
          <w:rFonts w:ascii="Times New Roman" w:hAnsi="Times New Roman" w:cs="Times New Roman"/>
          <w:i/>
          <w:sz w:val="24"/>
          <w:szCs w:val="24"/>
        </w:rPr>
        <w:t>.</w:t>
      </w:r>
      <w:r w:rsidR="00BE55E8" w:rsidRPr="00D22649">
        <w:rPr>
          <w:rFonts w:ascii="Times New Roman" w:hAnsi="Times New Roman" w:cs="Times New Roman"/>
          <w:i/>
          <w:sz w:val="24"/>
          <w:szCs w:val="24"/>
        </w:rPr>
        <w:t xml:space="preserve"> Turkey</w:t>
      </w:r>
      <w:r w:rsidR="00BE55E8" w:rsidRPr="00D22649">
        <w:rPr>
          <w:rFonts w:ascii="Times New Roman" w:hAnsi="Times New Roman" w:cs="Times New Roman"/>
          <w:sz w:val="24"/>
          <w:szCs w:val="24"/>
        </w:rPr>
        <w:t>,</w:t>
      </w:r>
      <w:r w:rsidR="00BE55E8" w:rsidRPr="00D22649">
        <w:rPr>
          <w:rStyle w:val="FootnoteReference"/>
          <w:rFonts w:ascii="Times New Roman" w:hAnsi="Times New Roman" w:cs="Times New Roman"/>
          <w:sz w:val="24"/>
          <w:szCs w:val="24"/>
        </w:rPr>
        <w:footnoteReference w:id="62"/>
      </w:r>
      <w:r w:rsidR="00BE55E8" w:rsidRPr="00D22649">
        <w:rPr>
          <w:rFonts w:ascii="Times New Roman" w:hAnsi="Times New Roman" w:cs="Times New Roman"/>
          <w:sz w:val="24"/>
          <w:szCs w:val="24"/>
        </w:rPr>
        <w:t xml:space="preserve"> the author claimed </w:t>
      </w:r>
      <w:r w:rsidR="00EE115E" w:rsidRPr="00D22649">
        <w:rPr>
          <w:rFonts w:ascii="Times New Roman" w:hAnsi="Times New Roman" w:cs="Times New Roman"/>
          <w:sz w:val="24"/>
          <w:szCs w:val="24"/>
        </w:rPr>
        <w:t xml:space="preserve">that </w:t>
      </w:r>
      <w:r w:rsidR="00BE55E8" w:rsidRPr="00D22649">
        <w:rPr>
          <w:rFonts w:ascii="Times New Roman" w:hAnsi="Times New Roman" w:cs="Times New Roman"/>
          <w:sz w:val="24"/>
          <w:szCs w:val="24"/>
        </w:rPr>
        <w:t xml:space="preserve">she was dismissed </w:t>
      </w:r>
      <w:r>
        <w:rPr>
          <w:rFonts w:ascii="Times New Roman" w:hAnsi="Times New Roman" w:cs="Times New Roman"/>
          <w:sz w:val="24"/>
          <w:szCs w:val="24"/>
        </w:rPr>
        <w:t xml:space="preserve">from her job </w:t>
      </w:r>
      <w:r w:rsidR="00BE55E8" w:rsidRPr="00D22649">
        <w:rPr>
          <w:rFonts w:ascii="Times New Roman" w:hAnsi="Times New Roman" w:cs="Times New Roman"/>
          <w:sz w:val="24"/>
          <w:szCs w:val="24"/>
        </w:rPr>
        <w:t xml:space="preserve">on spurious grounds, ostensibly for ‘inappropriate conduct’.  While her legal claim </w:t>
      </w:r>
      <w:r w:rsidR="00EE115E" w:rsidRPr="00D22649">
        <w:rPr>
          <w:rFonts w:ascii="Times New Roman" w:hAnsi="Times New Roman" w:cs="Times New Roman"/>
          <w:sz w:val="24"/>
          <w:szCs w:val="24"/>
        </w:rPr>
        <w:t xml:space="preserve">before domestic tribunals </w:t>
      </w:r>
      <w:r w:rsidR="00BE55E8" w:rsidRPr="00D22649">
        <w:rPr>
          <w:rFonts w:ascii="Times New Roman" w:hAnsi="Times New Roman" w:cs="Times New Roman"/>
          <w:sz w:val="24"/>
          <w:szCs w:val="24"/>
        </w:rPr>
        <w:t xml:space="preserve">was largely successful, </w:t>
      </w:r>
      <w:r w:rsidR="00EE115E" w:rsidRPr="00D22649">
        <w:rPr>
          <w:rFonts w:ascii="Times New Roman" w:hAnsi="Times New Roman" w:cs="Times New Roman"/>
          <w:sz w:val="24"/>
          <w:szCs w:val="24"/>
        </w:rPr>
        <w:t xml:space="preserve">it </w:t>
      </w:r>
      <w:r w:rsidR="00640598" w:rsidRPr="00D22649">
        <w:rPr>
          <w:rFonts w:ascii="Times New Roman" w:hAnsi="Times New Roman" w:cs="Times New Roman"/>
          <w:sz w:val="24"/>
          <w:szCs w:val="24"/>
        </w:rPr>
        <w:t xml:space="preserve">had not been </w:t>
      </w:r>
      <w:r w:rsidR="00EE115E" w:rsidRPr="00D22649">
        <w:rPr>
          <w:rFonts w:ascii="Times New Roman" w:hAnsi="Times New Roman" w:cs="Times New Roman"/>
          <w:sz w:val="24"/>
          <w:szCs w:val="24"/>
        </w:rPr>
        <w:t>found</w:t>
      </w:r>
      <w:r w:rsidR="00BE55E8" w:rsidRPr="00D22649">
        <w:rPr>
          <w:rFonts w:ascii="Times New Roman" w:hAnsi="Times New Roman" w:cs="Times New Roman"/>
          <w:sz w:val="24"/>
          <w:szCs w:val="24"/>
        </w:rPr>
        <w:t xml:space="preserve"> that she </w:t>
      </w:r>
      <w:r w:rsidR="00640598" w:rsidRPr="00D22649">
        <w:rPr>
          <w:rFonts w:ascii="Times New Roman" w:hAnsi="Times New Roman" w:cs="Times New Roman"/>
          <w:sz w:val="24"/>
          <w:szCs w:val="24"/>
        </w:rPr>
        <w:t>was</w:t>
      </w:r>
      <w:r w:rsidR="00BE55E8" w:rsidRPr="00D22649">
        <w:rPr>
          <w:rFonts w:ascii="Times New Roman" w:hAnsi="Times New Roman" w:cs="Times New Roman"/>
          <w:sz w:val="24"/>
          <w:szCs w:val="24"/>
        </w:rPr>
        <w:t xml:space="preserve"> the subject of sexual discrimination</w:t>
      </w:r>
      <w:r w:rsidR="00EE115E" w:rsidRPr="00D22649">
        <w:rPr>
          <w:rFonts w:ascii="Times New Roman" w:hAnsi="Times New Roman" w:cs="Times New Roman"/>
          <w:sz w:val="24"/>
          <w:szCs w:val="24"/>
        </w:rPr>
        <w:t xml:space="preserve"> in spite of the explicit gender</w:t>
      </w:r>
      <w:r>
        <w:rPr>
          <w:rFonts w:ascii="Times New Roman" w:hAnsi="Times New Roman" w:cs="Times New Roman"/>
          <w:sz w:val="24"/>
          <w:szCs w:val="24"/>
        </w:rPr>
        <w:t xml:space="preserve"> </w:t>
      </w:r>
      <w:r w:rsidR="00EE115E" w:rsidRPr="00D22649">
        <w:rPr>
          <w:rFonts w:ascii="Times New Roman" w:hAnsi="Times New Roman" w:cs="Times New Roman"/>
          <w:sz w:val="24"/>
          <w:szCs w:val="24"/>
        </w:rPr>
        <w:t>dimension to her claim</w:t>
      </w:r>
      <w:r w:rsidR="00BE55E8" w:rsidRPr="00D22649">
        <w:rPr>
          <w:rFonts w:ascii="Times New Roman" w:hAnsi="Times New Roman" w:cs="Times New Roman"/>
          <w:sz w:val="24"/>
          <w:szCs w:val="24"/>
        </w:rPr>
        <w:t xml:space="preserve">.  </w:t>
      </w:r>
      <w:r w:rsidR="00783CE7" w:rsidRPr="00D22649">
        <w:rPr>
          <w:rFonts w:ascii="Times New Roman" w:hAnsi="Times New Roman" w:cs="Times New Roman"/>
          <w:sz w:val="24"/>
          <w:szCs w:val="24"/>
        </w:rPr>
        <w:t xml:space="preserve">In finding that Turkey had violated a number of </w:t>
      </w:r>
      <w:r>
        <w:rPr>
          <w:rFonts w:ascii="Times New Roman" w:hAnsi="Times New Roman" w:cs="Times New Roman"/>
          <w:sz w:val="24"/>
          <w:szCs w:val="24"/>
        </w:rPr>
        <w:t>A</w:t>
      </w:r>
      <w:r w:rsidR="00783CE7" w:rsidRPr="00D22649">
        <w:rPr>
          <w:rFonts w:ascii="Times New Roman" w:hAnsi="Times New Roman" w:cs="Times New Roman"/>
          <w:sz w:val="24"/>
          <w:szCs w:val="24"/>
        </w:rPr>
        <w:t>rticle</w:t>
      </w:r>
      <w:r w:rsidR="004B217E" w:rsidRPr="00D22649">
        <w:rPr>
          <w:rFonts w:ascii="Times New Roman" w:hAnsi="Times New Roman" w:cs="Times New Roman"/>
          <w:sz w:val="24"/>
          <w:szCs w:val="24"/>
        </w:rPr>
        <w:t>s</w:t>
      </w:r>
      <w:r w:rsidR="00783CE7" w:rsidRPr="00D22649">
        <w:rPr>
          <w:rFonts w:ascii="Times New Roman" w:hAnsi="Times New Roman" w:cs="Times New Roman"/>
          <w:sz w:val="24"/>
          <w:szCs w:val="24"/>
        </w:rPr>
        <w:t xml:space="preserve"> of the Convention</w:t>
      </w:r>
      <w:r w:rsidR="002140A1" w:rsidRPr="00D22649">
        <w:rPr>
          <w:rFonts w:ascii="Times New Roman" w:hAnsi="Times New Roman" w:cs="Times New Roman"/>
          <w:sz w:val="24"/>
          <w:szCs w:val="24"/>
        </w:rPr>
        <w:t xml:space="preserve"> and in calling upon it to improve implementation of its labour laws</w:t>
      </w:r>
      <w:r w:rsidR="00783CE7" w:rsidRPr="00D22649">
        <w:rPr>
          <w:rFonts w:ascii="Times New Roman" w:hAnsi="Times New Roman" w:cs="Times New Roman"/>
          <w:sz w:val="24"/>
          <w:szCs w:val="24"/>
        </w:rPr>
        <w:t>, the</w:t>
      </w:r>
      <w:r w:rsidR="00BE55E8" w:rsidRPr="00D22649">
        <w:rPr>
          <w:rFonts w:ascii="Times New Roman" w:hAnsi="Times New Roman" w:cs="Times New Roman"/>
          <w:sz w:val="24"/>
          <w:szCs w:val="24"/>
        </w:rPr>
        <w:t xml:space="preserve"> Committee </w:t>
      </w:r>
      <w:r w:rsidR="00783CE7" w:rsidRPr="00D22649">
        <w:rPr>
          <w:rFonts w:ascii="Times New Roman" w:hAnsi="Times New Roman" w:cs="Times New Roman"/>
          <w:sz w:val="24"/>
          <w:szCs w:val="24"/>
        </w:rPr>
        <w:t xml:space="preserve">reminded </w:t>
      </w:r>
      <w:r>
        <w:rPr>
          <w:rFonts w:ascii="Times New Roman" w:hAnsi="Times New Roman" w:cs="Times New Roman"/>
          <w:sz w:val="24"/>
          <w:szCs w:val="24"/>
        </w:rPr>
        <w:t>s</w:t>
      </w:r>
      <w:r w:rsidR="00783CE7" w:rsidRPr="00D22649">
        <w:rPr>
          <w:rFonts w:ascii="Times New Roman" w:hAnsi="Times New Roman" w:cs="Times New Roman"/>
          <w:sz w:val="24"/>
          <w:szCs w:val="24"/>
        </w:rPr>
        <w:t>tate</w:t>
      </w:r>
      <w:r>
        <w:rPr>
          <w:rFonts w:ascii="Times New Roman" w:hAnsi="Times New Roman" w:cs="Times New Roman"/>
          <w:sz w:val="24"/>
          <w:szCs w:val="24"/>
        </w:rPr>
        <w:t>s</w:t>
      </w:r>
      <w:r w:rsidR="00783CE7" w:rsidRPr="00D22649">
        <w:rPr>
          <w:rFonts w:ascii="Times New Roman" w:hAnsi="Times New Roman" w:cs="Times New Roman"/>
          <w:sz w:val="24"/>
          <w:szCs w:val="24"/>
        </w:rPr>
        <w:t xml:space="preserve"> parties of their obligation to</w:t>
      </w:r>
      <w:r w:rsidR="007A200A" w:rsidRPr="00D22649">
        <w:rPr>
          <w:rFonts w:ascii="Times New Roman" w:hAnsi="Times New Roman" w:cs="Times New Roman"/>
          <w:sz w:val="24"/>
          <w:szCs w:val="24"/>
        </w:rPr>
        <w:t xml:space="preserve"> ‘</w:t>
      </w:r>
      <w:r w:rsidR="00783CE7" w:rsidRPr="00D22649">
        <w:rPr>
          <w:rFonts w:ascii="Times New Roman" w:hAnsi="Times New Roman" w:cs="Times New Roman"/>
          <w:sz w:val="24"/>
          <w:szCs w:val="24"/>
        </w:rPr>
        <w:t>modify and transform gender stereotypes and eliminate wrongful gender stereotyping, a root cause and consequence of discrimination against women</w:t>
      </w:r>
      <w:r w:rsidR="007A200A" w:rsidRPr="00D22649">
        <w:rPr>
          <w:rFonts w:ascii="Times New Roman" w:hAnsi="Times New Roman" w:cs="Times New Roman"/>
          <w:sz w:val="24"/>
          <w:szCs w:val="24"/>
        </w:rPr>
        <w:t>’</w:t>
      </w:r>
      <w:r w:rsidR="00783CE7" w:rsidRPr="00D22649">
        <w:rPr>
          <w:rFonts w:ascii="Times New Roman" w:hAnsi="Times New Roman" w:cs="Times New Roman"/>
          <w:sz w:val="24"/>
          <w:szCs w:val="24"/>
        </w:rPr>
        <w:t>.</w:t>
      </w:r>
      <w:r w:rsidR="00783CE7" w:rsidRPr="00D22649">
        <w:rPr>
          <w:rStyle w:val="FootnoteReference"/>
          <w:rFonts w:ascii="Times New Roman" w:hAnsi="Times New Roman" w:cs="Times New Roman"/>
          <w:sz w:val="24"/>
          <w:szCs w:val="24"/>
        </w:rPr>
        <w:footnoteReference w:id="63"/>
      </w:r>
    </w:p>
    <w:p w14:paraId="7F86362E" w14:textId="77777777" w:rsidR="007812C3" w:rsidRDefault="007812C3" w:rsidP="005B6796">
      <w:pPr>
        <w:pStyle w:val="ListParagraph"/>
        <w:spacing w:after="0" w:line="360" w:lineRule="auto"/>
        <w:ind w:left="360"/>
        <w:jc w:val="both"/>
        <w:rPr>
          <w:rFonts w:ascii="Times New Roman" w:hAnsi="Times New Roman" w:cs="Times New Roman"/>
          <w:i/>
          <w:sz w:val="24"/>
          <w:szCs w:val="24"/>
        </w:rPr>
      </w:pPr>
    </w:p>
    <w:p w14:paraId="5AD98C47" w14:textId="45020913" w:rsidR="00CD703B" w:rsidRPr="005B6796" w:rsidRDefault="007812C3" w:rsidP="005B6796">
      <w:pPr>
        <w:pStyle w:val="ListParagraph"/>
        <w:spacing w:after="0" w:line="360" w:lineRule="auto"/>
        <w:ind w:left="0"/>
        <w:jc w:val="both"/>
        <w:rPr>
          <w:rFonts w:ascii="Times New Roman" w:hAnsi="Times New Roman" w:cs="Times New Roman"/>
          <w:b/>
          <w:i/>
          <w:sz w:val="24"/>
          <w:szCs w:val="24"/>
        </w:rPr>
      </w:pPr>
      <w:r w:rsidRPr="005B6796">
        <w:rPr>
          <w:rFonts w:ascii="Times New Roman" w:hAnsi="Times New Roman" w:cs="Times New Roman"/>
          <w:b/>
          <w:i/>
          <w:sz w:val="24"/>
          <w:szCs w:val="24"/>
        </w:rPr>
        <w:t>F</w:t>
      </w:r>
      <w:r w:rsidRPr="005B6796">
        <w:rPr>
          <w:rFonts w:ascii="Times New Roman" w:hAnsi="Times New Roman" w:cs="Times New Roman"/>
          <w:b/>
          <w:i/>
          <w:sz w:val="24"/>
          <w:szCs w:val="24"/>
        </w:rPr>
        <w:tab/>
      </w:r>
      <w:r w:rsidR="00CD703B" w:rsidRPr="005B6796">
        <w:rPr>
          <w:rFonts w:ascii="Times New Roman" w:hAnsi="Times New Roman" w:cs="Times New Roman"/>
          <w:b/>
          <w:i/>
          <w:sz w:val="24"/>
          <w:szCs w:val="24"/>
        </w:rPr>
        <w:t xml:space="preserve">Asylum and </w:t>
      </w:r>
      <w:r w:rsidRPr="005B6796">
        <w:rPr>
          <w:rFonts w:ascii="Times New Roman" w:hAnsi="Times New Roman" w:cs="Times New Roman"/>
          <w:b/>
          <w:i/>
          <w:sz w:val="24"/>
          <w:szCs w:val="24"/>
        </w:rPr>
        <w:t>R</w:t>
      </w:r>
      <w:r w:rsidR="00CD703B" w:rsidRPr="005B6796">
        <w:rPr>
          <w:rFonts w:ascii="Times New Roman" w:hAnsi="Times New Roman" w:cs="Times New Roman"/>
          <w:b/>
          <w:i/>
          <w:sz w:val="24"/>
          <w:szCs w:val="24"/>
        </w:rPr>
        <w:t xml:space="preserve">efugee </w:t>
      </w:r>
      <w:r w:rsidRPr="005B6796">
        <w:rPr>
          <w:rFonts w:ascii="Times New Roman" w:hAnsi="Times New Roman" w:cs="Times New Roman"/>
          <w:b/>
          <w:i/>
          <w:sz w:val="24"/>
          <w:szCs w:val="24"/>
        </w:rPr>
        <w:t>C</w:t>
      </w:r>
      <w:r w:rsidR="00CD703B" w:rsidRPr="005B6796">
        <w:rPr>
          <w:rFonts w:ascii="Times New Roman" w:hAnsi="Times New Roman" w:cs="Times New Roman"/>
          <w:b/>
          <w:i/>
          <w:sz w:val="24"/>
          <w:szCs w:val="24"/>
        </w:rPr>
        <w:t>ases</w:t>
      </w:r>
    </w:p>
    <w:p w14:paraId="573ACCEF" w14:textId="2C41B1C8" w:rsidR="00AE3FB9" w:rsidRPr="00D22649" w:rsidRDefault="00490841" w:rsidP="00D22649">
      <w:pPr>
        <w:pStyle w:val="ListParagraph"/>
        <w:spacing w:after="0" w:line="360" w:lineRule="auto"/>
        <w:ind w:left="0"/>
        <w:jc w:val="both"/>
        <w:rPr>
          <w:rFonts w:ascii="Times New Roman" w:hAnsi="Times New Roman" w:cs="Times New Roman"/>
          <w:sz w:val="24"/>
          <w:szCs w:val="24"/>
        </w:rPr>
      </w:pPr>
      <w:r w:rsidRPr="00D22649">
        <w:rPr>
          <w:rFonts w:ascii="Times New Roman" w:hAnsi="Times New Roman" w:cs="Times New Roman"/>
          <w:sz w:val="24"/>
          <w:szCs w:val="24"/>
        </w:rPr>
        <w:t>T</w:t>
      </w:r>
      <w:r w:rsidR="00502474" w:rsidRPr="00D22649">
        <w:rPr>
          <w:rFonts w:ascii="Times New Roman" w:hAnsi="Times New Roman" w:cs="Times New Roman"/>
          <w:sz w:val="24"/>
          <w:szCs w:val="24"/>
        </w:rPr>
        <w:t>he Committee has</w:t>
      </w:r>
      <w:r w:rsidRPr="00D22649">
        <w:rPr>
          <w:rFonts w:ascii="Times New Roman" w:hAnsi="Times New Roman" w:cs="Times New Roman"/>
          <w:sz w:val="24"/>
          <w:szCs w:val="24"/>
        </w:rPr>
        <w:t xml:space="preserve"> also so far</w:t>
      </w:r>
      <w:r w:rsidR="00502474" w:rsidRPr="00D22649">
        <w:rPr>
          <w:rFonts w:ascii="Times New Roman" w:hAnsi="Times New Roman" w:cs="Times New Roman"/>
          <w:sz w:val="24"/>
          <w:szCs w:val="24"/>
        </w:rPr>
        <w:t xml:space="preserve"> </w:t>
      </w:r>
      <w:r w:rsidRPr="00D22649">
        <w:rPr>
          <w:rFonts w:ascii="Times New Roman" w:hAnsi="Times New Roman" w:cs="Times New Roman"/>
          <w:sz w:val="24"/>
          <w:szCs w:val="24"/>
        </w:rPr>
        <w:t>been unable to</w:t>
      </w:r>
      <w:r w:rsidR="00502474" w:rsidRPr="00D22649">
        <w:rPr>
          <w:rFonts w:ascii="Times New Roman" w:hAnsi="Times New Roman" w:cs="Times New Roman"/>
          <w:sz w:val="24"/>
          <w:szCs w:val="24"/>
        </w:rPr>
        <w:t xml:space="preserve"> </w:t>
      </w:r>
      <w:r w:rsidR="00B72AD9" w:rsidRPr="00D22649">
        <w:rPr>
          <w:rFonts w:ascii="Times New Roman" w:hAnsi="Times New Roman" w:cs="Times New Roman"/>
          <w:sz w:val="24"/>
          <w:szCs w:val="24"/>
        </w:rPr>
        <w:t xml:space="preserve">establish </w:t>
      </w:r>
      <w:r w:rsidRPr="00D22649">
        <w:rPr>
          <w:rFonts w:ascii="Times New Roman" w:hAnsi="Times New Roman" w:cs="Times New Roman"/>
          <w:sz w:val="24"/>
          <w:szCs w:val="24"/>
        </w:rPr>
        <w:t>much of a</w:t>
      </w:r>
      <w:r w:rsidR="00B72AD9" w:rsidRPr="00D22649">
        <w:rPr>
          <w:rFonts w:ascii="Times New Roman" w:hAnsi="Times New Roman" w:cs="Times New Roman"/>
          <w:sz w:val="24"/>
          <w:szCs w:val="24"/>
        </w:rPr>
        <w:t xml:space="preserve"> voice </w:t>
      </w:r>
      <w:r w:rsidRPr="00D22649">
        <w:rPr>
          <w:rFonts w:ascii="Times New Roman" w:hAnsi="Times New Roman" w:cs="Times New Roman"/>
          <w:sz w:val="24"/>
          <w:szCs w:val="24"/>
        </w:rPr>
        <w:t>on the</w:t>
      </w:r>
      <w:r w:rsidR="00B72AD9" w:rsidRPr="00D22649">
        <w:rPr>
          <w:rFonts w:ascii="Times New Roman" w:hAnsi="Times New Roman" w:cs="Times New Roman"/>
          <w:sz w:val="24"/>
          <w:szCs w:val="24"/>
        </w:rPr>
        <w:t xml:space="preserve"> </w:t>
      </w:r>
      <w:r w:rsidR="00502474" w:rsidRPr="00D22649">
        <w:rPr>
          <w:rFonts w:ascii="Times New Roman" w:hAnsi="Times New Roman" w:cs="Times New Roman"/>
          <w:sz w:val="24"/>
          <w:szCs w:val="24"/>
        </w:rPr>
        <w:t>asylum</w:t>
      </w:r>
      <w:r w:rsidR="00B72AD9" w:rsidRPr="00D22649">
        <w:rPr>
          <w:rFonts w:ascii="Times New Roman" w:hAnsi="Times New Roman" w:cs="Times New Roman"/>
          <w:sz w:val="24"/>
          <w:szCs w:val="24"/>
        </w:rPr>
        <w:t xml:space="preserve"> </w:t>
      </w:r>
      <w:r w:rsidR="004B217E" w:rsidRPr="00D22649">
        <w:rPr>
          <w:rFonts w:ascii="Times New Roman" w:hAnsi="Times New Roman" w:cs="Times New Roman"/>
          <w:sz w:val="24"/>
          <w:szCs w:val="24"/>
        </w:rPr>
        <w:t xml:space="preserve">claims of </w:t>
      </w:r>
      <w:r w:rsidR="00B72AD9" w:rsidRPr="00D22649">
        <w:rPr>
          <w:rFonts w:ascii="Times New Roman" w:hAnsi="Times New Roman" w:cs="Times New Roman"/>
          <w:sz w:val="24"/>
          <w:szCs w:val="24"/>
        </w:rPr>
        <w:t>vulnerable women</w:t>
      </w:r>
      <w:r w:rsidR="00502474" w:rsidRPr="00D22649">
        <w:rPr>
          <w:rFonts w:ascii="Times New Roman" w:hAnsi="Times New Roman" w:cs="Times New Roman"/>
          <w:sz w:val="24"/>
          <w:szCs w:val="24"/>
        </w:rPr>
        <w:t xml:space="preserve">.  </w:t>
      </w:r>
      <w:r w:rsidR="00B72AD9" w:rsidRPr="00D22649">
        <w:rPr>
          <w:rFonts w:ascii="Times New Roman" w:hAnsi="Times New Roman" w:cs="Times New Roman"/>
          <w:sz w:val="24"/>
          <w:szCs w:val="24"/>
        </w:rPr>
        <w:t xml:space="preserve">The author in </w:t>
      </w:r>
      <w:r w:rsidR="00B72AD9" w:rsidRPr="00D22649">
        <w:rPr>
          <w:rFonts w:ascii="Times New Roman" w:hAnsi="Times New Roman" w:cs="Times New Roman"/>
          <w:i/>
          <w:sz w:val="24"/>
          <w:szCs w:val="24"/>
        </w:rPr>
        <w:t>Zheng v</w:t>
      </w:r>
      <w:r w:rsidR="007812C3">
        <w:rPr>
          <w:rFonts w:ascii="Times New Roman" w:hAnsi="Times New Roman" w:cs="Times New Roman"/>
          <w:i/>
          <w:sz w:val="24"/>
          <w:szCs w:val="24"/>
        </w:rPr>
        <w:t>.</w:t>
      </w:r>
      <w:r w:rsidR="00B72AD9" w:rsidRPr="00D22649">
        <w:rPr>
          <w:rFonts w:ascii="Times New Roman" w:hAnsi="Times New Roman" w:cs="Times New Roman"/>
          <w:i/>
          <w:sz w:val="24"/>
          <w:szCs w:val="24"/>
        </w:rPr>
        <w:t xml:space="preserve"> </w:t>
      </w:r>
      <w:r w:rsidR="00120A34" w:rsidRPr="00D22649">
        <w:rPr>
          <w:rFonts w:ascii="Times New Roman" w:hAnsi="Times New Roman" w:cs="Times New Roman"/>
          <w:i/>
          <w:sz w:val="24"/>
          <w:szCs w:val="24"/>
        </w:rPr>
        <w:t>Netherlands</w:t>
      </w:r>
      <w:r w:rsidR="009D217F" w:rsidRPr="00D22649">
        <w:rPr>
          <w:rStyle w:val="FootnoteReference"/>
          <w:rFonts w:ascii="Times New Roman" w:hAnsi="Times New Roman" w:cs="Times New Roman"/>
          <w:i/>
          <w:sz w:val="24"/>
          <w:szCs w:val="24"/>
        </w:rPr>
        <w:footnoteReference w:id="64"/>
      </w:r>
      <w:r w:rsidR="00B72AD9" w:rsidRPr="00D22649">
        <w:rPr>
          <w:rFonts w:ascii="Times New Roman" w:hAnsi="Times New Roman" w:cs="Times New Roman"/>
          <w:sz w:val="24"/>
          <w:szCs w:val="24"/>
        </w:rPr>
        <w:t xml:space="preserve"> was a </w:t>
      </w:r>
      <w:r w:rsidR="00120A34" w:rsidRPr="00D22649">
        <w:rPr>
          <w:rFonts w:ascii="Times New Roman" w:hAnsi="Times New Roman" w:cs="Times New Roman"/>
          <w:sz w:val="24"/>
          <w:szCs w:val="24"/>
        </w:rPr>
        <w:t>Chinese woman trafficked for prostitution</w:t>
      </w:r>
      <w:r w:rsidR="009415AF" w:rsidRPr="00D22649">
        <w:rPr>
          <w:rFonts w:ascii="Times New Roman" w:hAnsi="Times New Roman" w:cs="Times New Roman"/>
          <w:sz w:val="24"/>
          <w:szCs w:val="24"/>
        </w:rPr>
        <w:t xml:space="preserve"> to the Netherlands</w:t>
      </w:r>
      <w:r w:rsidR="00120A34" w:rsidRPr="00D22649">
        <w:rPr>
          <w:rFonts w:ascii="Times New Roman" w:hAnsi="Times New Roman" w:cs="Times New Roman"/>
          <w:sz w:val="24"/>
          <w:szCs w:val="24"/>
        </w:rPr>
        <w:t xml:space="preserve">.  </w:t>
      </w:r>
      <w:r w:rsidR="009415AF" w:rsidRPr="00D22649">
        <w:rPr>
          <w:rFonts w:ascii="Times New Roman" w:hAnsi="Times New Roman" w:cs="Times New Roman"/>
          <w:sz w:val="24"/>
          <w:szCs w:val="24"/>
        </w:rPr>
        <w:t xml:space="preserve">Despite </w:t>
      </w:r>
      <w:r w:rsidR="00A16AB3" w:rsidRPr="00D22649">
        <w:rPr>
          <w:rFonts w:ascii="Times New Roman" w:hAnsi="Times New Roman" w:cs="Times New Roman"/>
          <w:sz w:val="24"/>
          <w:szCs w:val="24"/>
        </w:rPr>
        <w:t>her ordeal</w:t>
      </w:r>
      <w:r w:rsidR="009415AF" w:rsidRPr="00D22649">
        <w:rPr>
          <w:rFonts w:ascii="Times New Roman" w:hAnsi="Times New Roman" w:cs="Times New Roman"/>
          <w:sz w:val="24"/>
          <w:szCs w:val="24"/>
        </w:rPr>
        <w:t>, the vulnerability of her position</w:t>
      </w:r>
      <w:r w:rsidR="00AE3745" w:rsidRPr="00D22649">
        <w:rPr>
          <w:rFonts w:ascii="Times New Roman" w:hAnsi="Times New Roman" w:cs="Times New Roman"/>
          <w:sz w:val="24"/>
          <w:szCs w:val="24"/>
        </w:rPr>
        <w:t>,</w:t>
      </w:r>
      <w:r w:rsidR="009415AF" w:rsidRPr="00D22649">
        <w:rPr>
          <w:rFonts w:ascii="Times New Roman" w:hAnsi="Times New Roman" w:cs="Times New Roman"/>
          <w:sz w:val="24"/>
          <w:szCs w:val="24"/>
        </w:rPr>
        <w:t xml:space="preserve"> and her pregnancy, the author was r</w:t>
      </w:r>
      <w:r w:rsidR="00120A34" w:rsidRPr="00D22649">
        <w:rPr>
          <w:rFonts w:ascii="Times New Roman" w:hAnsi="Times New Roman" w:cs="Times New Roman"/>
          <w:sz w:val="24"/>
          <w:szCs w:val="24"/>
        </w:rPr>
        <w:t xml:space="preserve">efused </w:t>
      </w:r>
      <w:r w:rsidR="009415AF" w:rsidRPr="00D22649">
        <w:rPr>
          <w:rFonts w:ascii="Times New Roman" w:hAnsi="Times New Roman" w:cs="Times New Roman"/>
          <w:sz w:val="24"/>
          <w:szCs w:val="24"/>
        </w:rPr>
        <w:t xml:space="preserve">asylum.  She claimed </w:t>
      </w:r>
      <w:r w:rsidR="007812C3">
        <w:rPr>
          <w:rFonts w:ascii="Times New Roman" w:hAnsi="Times New Roman" w:cs="Times New Roman"/>
          <w:sz w:val="24"/>
          <w:szCs w:val="24"/>
        </w:rPr>
        <w:t xml:space="preserve">that </w:t>
      </w:r>
      <w:r w:rsidR="00AE3745" w:rsidRPr="00D22649">
        <w:rPr>
          <w:rFonts w:ascii="Times New Roman" w:hAnsi="Times New Roman" w:cs="Times New Roman"/>
          <w:sz w:val="24"/>
          <w:szCs w:val="24"/>
        </w:rPr>
        <w:t xml:space="preserve">that </w:t>
      </w:r>
      <w:r w:rsidR="006B6719" w:rsidRPr="00D22649">
        <w:rPr>
          <w:rFonts w:ascii="Times New Roman" w:hAnsi="Times New Roman" w:cs="Times New Roman"/>
          <w:sz w:val="24"/>
          <w:szCs w:val="24"/>
        </w:rPr>
        <w:t xml:space="preserve">refusal </w:t>
      </w:r>
      <w:r w:rsidR="009415AF" w:rsidRPr="00D22649">
        <w:rPr>
          <w:rFonts w:ascii="Times New Roman" w:hAnsi="Times New Roman" w:cs="Times New Roman"/>
          <w:sz w:val="24"/>
          <w:szCs w:val="24"/>
        </w:rPr>
        <w:t xml:space="preserve">amounted to a </w:t>
      </w:r>
      <w:r w:rsidR="009415AF" w:rsidRPr="00D22649">
        <w:rPr>
          <w:rFonts w:ascii="Times New Roman" w:hAnsi="Times New Roman" w:cs="Times New Roman"/>
          <w:sz w:val="24"/>
          <w:szCs w:val="24"/>
        </w:rPr>
        <w:lastRenderedPageBreak/>
        <w:t xml:space="preserve">violation of </w:t>
      </w:r>
      <w:r w:rsidR="007812C3">
        <w:rPr>
          <w:rFonts w:ascii="Times New Roman" w:hAnsi="Times New Roman" w:cs="Times New Roman"/>
          <w:sz w:val="24"/>
          <w:szCs w:val="24"/>
        </w:rPr>
        <w:t>A</w:t>
      </w:r>
      <w:r w:rsidR="009415AF" w:rsidRPr="00D22649">
        <w:rPr>
          <w:rFonts w:ascii="Times New Roman" w:hAnsi="Times New Roman" w:cs="Times New Roman"/>
          <w:sz w:val="24"/>
          <w:szCs w:val="24"/>
        </w:rPr>
        <w:t>rticle 6 of CEDAW</w:t>
      </w:r>
      <w:r w:rsidR="00120A34" w:rsidRPr="00D22649">
        <w:rPr>
          <w:rFonts w:ascii="Times New Roman" w:hAnsi="Times New Roman" w:cs="Times New Roman"/>
          <w:sz w:val="24"/>
          <w:szCs w:val="24"/>
        </w:rPr>
        <w:t xml:space="preserve">.  </w:t>
      </w:r>
      <w:r w:rsidR="009415AF" w:rsidRPr="00D22649">
        <w:rPr>
          <w:rFonts w:ascii="Times New Roman" w:hAnsi="Times New Roman" w:cs="Times New Roman"/>
          <w:sz w:val="24"/>
          <w:szCs w:val="24"/>
        </w:rPr>
        <w:t xml:space="preserve">While the majority held the communication </w:t>
      </w:r>
      <w:r w:rsidR="00AE3745" w:rsidRPr="00D22649">
        <w:rPr>
          <w:rFonts w:ascii="Times New Roman" w:hAnsi="Times New Roman" w:cs="Times New Roman"/>
          <w:sz w:val="24"/>
          <w:szCs w:val="24"/>
        </w:rPr>
        <w:t xml:space="preserve">to be </w:t>
      </w:r>
      <w:r w:rsidR="009415AF" w:rsidRPr="00D22649">
        <w:rPr>
          <w:rFonts w:ascii="Times New Roman" w:hAnsi="Times New Roman" w:cs="Times New Roman"/>
          <w:sz w:val="24"/>
          <w:szCs w:val="24"/>
        </w:rPr>
        <w:t>inadmissible for non-exhaustion of domestic remedies,</w:t>
      </w:r>
      <w:r w:rsidR="00120A34" w:rsidRPr="00D22649">
        <w:rPr>
          <w:rFonts w:ascii="Times New Roman" w:hAnsi="Times New Roman" w:cs="Times New Roman"/>
          <w:sz w:val="24"/>
          <w:szCs w:val="24"/>
        </w:rPr>
        <w:t xml:space="preserve"> three Committee </w:t>
      </w:r>
      <w:r w:rsidR="009415AF" w:rsidRPr="00D22649">
        <w:rPr>
          <w:rFonts w:ascii="Times New Roman" w:hAnsi="Times New Roman" w:cs="Times New Roman"/>
          <w:sz w:val="24"/>
          <w:szCs w:val="24"/>
        </w:rPr>
        <w:t xml:space="preserve">members </w:t>
      </w:r>
      <w:r w:rsidR="000E0A9C" w:rsidRPr="00D22649">
        <w:rPr>
          <w:rFonts w:ascii="Times New Roman" w:hAnsi="Times New Roman" w:cs="Times New Roman"/>
          <w:sz w:val="24"/>
          <w:szCs w:val="24"/>
        </w:rPr>
        <w:t>disagreed</w:t>
      </w:r>
      <w:r w:rsidR="009C7D9F" w:rsidRPr="00D22649">
        <w:rPr>
          <w:rFonts w:ascii="Times New Roman" w:hAnsi="Times New Roman" w:cs="Times New Roman"/>
          <w:sz w:val="24"/>
          <w:szCs w:val="24"/>
        </w:rPr>
        <w:t xml:space="preserve">, calling for a more </w:t>
      </w:r>
      <w:r w:rsidR="000E0A9C" w:rsidRPr="00D22649">
        <w:rPr>
          <w:rFonts w:ascii="Times New Roman" w:hAnsi="Times New Roman" w:cs="Times New Roman"/>
          <w:sz w:val="24"/>
          <w:szCs w:val="24"/>
        </w:rPr>
        <w:t>gender-sensitive</w:t>
      </w:r>
      <w:r w:rsidR="00120A34" w:rsidRPr="00D22649">
        <w:rPr>
          <w:rFonts w:ascii="Times New Roman" w:hAnsi="Times New Roman" w:cs="Times New Roman"/>
          <w:sz w:val="24"/>
          <w:szCs w:val="24"/>
        </w:rPr>
        <w:t xml:space="preserve"> </w:t>
      </w:r>
      <w:r w:rsidR="001D3E2B" w:rsidRPr="00D22649">
        <w:rPr>
          <w:rFonts w:ascii="Times New Roman" w:hAnsi="Times New Roman" w:cs="Times New Roman"/>
          <w:sz w:val="24"/>
          <w:szCs w:val="24"/>
        </w:rPr>
        <w:t xml:space="preserve">approach to </w:t>
      </w:r>
      <w:r w:rsidR="00120A34" w:rsidRPr="00D22649">
        <w:rPr>
          <w:rFonts w:ascii="Times New Roman" w:hAnsi="Times New Roman" w:cs="Times New Roman"/>
          <w:sz w:val="24"/>
          <w:szCs w:val="24"/>
        </w:rPr>
        <w:t>due diligence</w:t>
      </w:r>
      <w:r w:rsidR="009C7D9F" w:rsidRPr="00D22649">
        <w:rPr>
          <w:rFonts w:ascii="Times New Roman" w:hAnsi="Times New Roman" w:cs="Times New Roman"/>
          <w:sz w:val="24"/>
          <w:szCs w:val="24"/>
        </w:rPr>
        <w:t xml:space="preserve"> in the case of trafficked women that demands recognition of their victimhood and particular vulnerability.  </w:t>
      </w:r>
    </w:p>
    <w:p w14:paraId="4E5D7EDC" w14:textId="6F4E0A37" w:rsidR="008C4EED" w:rsidRPr="00D22649" w:rsidRDefault="007812C3" w:rsidP="00D22649">
      <w:pPr>
        <w:pStyle w:val="ListParagraph"/>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ab/>
      </w:r>
      <w:r w:rsidR="00941E64" w:rsidRPr="00D22649">
        <w:rPr>
          <w:rFonts w:ascii="Times New Roman" w:hAnsi="Times New Roman" w:cs="Times New Roman"/>
          <w:sz w:val="24"/>
          <w:szCs w:val="24"/>
        </w:rPr>
        <w:t xml:space="preserve">In </w:t>
      </w:r>
      <w:r w:rsidR="00941E64" w:rsidRPr="00D22649">
        <w:rPr>
          <w:rFonts w:ascii="Times New Roman" w:hAnsi="Times New Roman" w:cs="Times New Roman"/>
          <w:i/>
          <w:sz w:val="24"/>
          <w:szCs w:val="24"/>
        </w:rPr>
        <w:t>N.S.F. v</w:t>
      </w:r>
      <w:r>
        <w:rPr>
          <w:rFonts w:ascii="Times New Roman" w:hAnsi="Times New Roman" w:cs="Times New Roman"/>
          <w:i/>
          <w:sz w:val="24"/>
          <w:szCs w:val="24"/>
        </w:rPr>
        <w:t>.</w:t>
      </w:r>
      <w:r w:rsidR="00941E64" w:rsidRPr="00D22649">
        <w:rPr>
          <w:rFonts w:ascii="Times New Roman" w:hAnsi="Times New Roman" w:cs="Times New Roman"/>
          <w:i/>
          <w:sz w:val="24"/>
          <w:szCs w:val="24"/>
        </w:rPr>
        <w:t xml:space="preserve"> </w:t>
      </w:r>
      <w:r w:rsidR="00D076AF" w:rsidRPr="00D22649">
        <w:rPr>
          <w:rFonts w:ascii="Times New Roman" w:hAnsi="Times New Roman" w:cs="Times New Roman"/>
          <w:i/>
          <w:sz w:val="24"/>
          <w:szCs w:val="24"/>
        </w:rPr>
        <w:t>UK</w:t>
      </w:r>
      <w:r w:rsidR="00941E64" w:rsidRPr="00D22649">
        <w:rPr>
          <w:rFonts w:ascii="Times New Roman" w:hAnsi="Times New Roman" w:cs="Times New Roman"/>
          <w:sz w:val="24"/>
          <w:szCs w:val="24"/>
        </w:rPr>
        <w:t xml:space="preserve">, the author, a woman of Pakistani origin, claimed that the refusal to grant her asylum was a violation of the Convention as she </w:t>
      </w:r>
      <w:r w:rsidR="00AE3745" w:rsidRPr="00D22649">
        <w:rPr>
          <w:rFonts w:ascii="Times New Roman" w:hAnsi="Times New Roman" w:cs="Times New Roman"/>
          <w:sz w:val="24"/>
          <w:szCs w:val="24"/>
        </w:rPr>
        <w:t xml:space="preserve">would be </w:t>
      </w:r>
      <w:r w:rsidR="00941E64" w:rsidRPr="00D22649">
        <w:rPr>
          <w:rFonts w:ascii="Times New Roman" w:hAnsi="Times New Roman" w:cs="Times New Roman"/>
          <w:sz w:val="24"/>
          <w:szCs w:val="24"/>
        </w:rPr>
        <w:t xml:space="preserve">at real risk from </w:t>
      </w:r>
      <w:r w:rsidR="00AE3745" w:rsidRPr="00D22649">
        <w:rPr>
          <w:rFonts w:ascii="Times New Roman" w:hAnsi="Times New Roman" w:cs="Times New Roman"/>
          <w:sz w:val="24"/>
          <w:szCs w:val="24"/>
        </w:rPr>
        <w:t xml:space="preserve">her </w:t>
      </w:r>
      <w:r w:rsidR="00941E64" w:rsidRPr="00D22649">
        <w:rPr>
          <w:rFonts w:ascii="Times New Roman" w:hAnsi="Times New Roman" w:cs="Times New Roman"/>
          <w:sz w:val="24"/>
          <w:szCs w:val="24"/>
        </w:rPr>
        <w:t xml:space="preserve">violent husband </w:t>
      </w:r>
      <w:r w:rsidR="00AE3745" w:rsidRPr="00D22649">
        <w:rPr>
          <w:rFonts w:ascii="Times New Roman" w:hAnsi="Times New Roman" w:cs="Times New Roman"/>
          <w:sz w:val="24"/>
          <w:szCs w:val="24"/>
        </w:rPr>
        <w:t xml:space="preserve">were she </w:t>
      </w:r>
      <w:r w:rsidR="00941E64" w:rsidRPr="00D22649">
        <w:rPr>
          <w:rFonts w:ascii="Times New Roman" w:hAnsi="Times New Roman" w:cs="Times New Roman"/>
          <w:sz w:val="24"/>
          <w:szCs w:val="24"/>
        </w:rPr>
        <w:t xml:space="preserve">returned.  The communication was held to be inadmissible </w:t>
      </w:r>
      <w:r w:rsidR="00CE465F" w:rsidRPr="00D22649">
        <w:rPr>
          <w:rFonts w:ascii="Times New Roman" w:hAnsi="Times New Roman" w:cs="Times New Roman"/>
          <w:sz w:val="24"/>
          <w:szCs w:val="24"/>
        </w:rPr>
        <w:t>because</w:t>
      </w:r>
      <w:r w:rsidR="00941E64" w:rsidRPr="00D22649">
        <w:rPr>
          <w:rFonts w:ascii="Times New Roman" w:hAnsi="Times New Roman" w:cs="Times New Roman"/>
          <w:sz w:val="24"/>
          <w:szCs w:val="24"/>
        </w:rPr>
        <w:t xml:space="preserve"> the issue of sex discrimination had not been raised before a domestic tribunal.  This echoed </w:t>
      </w:r>
      <w:r w:rsidR="00AE3745" w:rsidRPr="00D22649">
        <w:rPr>
          <w:rFonts w:ascii="Times New Roman" w:hAnsi="Times New Roman" w:cs="Times New Roman"/>
          <w:sz w:val="24"/>
          <w:szCs w:val="24"/>
        </w:rPr>
        <w:t xml:space="preserve">an </w:t>
      </w:r>
      <w:r w:rsidR="00941E64" w:rsidRPr="00D22649">
        <w:rPr>
          <w:rFonts w:ascii="Times New Roman" w:hAnsi="Times New Roman" w:cs="Times New Roman"/>
          <w:sz w:val="24"/>
          <w:szCs w:val="24"/>
        </w:rPr>
        <w:t xml:space="preserve">earlier decision of the European Court of Human Rights, to </w:t>
      </w:r>
      <w:r w:rsidR="00C2073D" w:rsidRPr="00D22649">
        <w:rPr>
          <w:rFonts w:ascii="Times New Roman" w:hAnsi="Times New Roman" w:cs="Times New Roman"/>
          <w:sz w:val="24"/>
          <w:szCs w:val="24"/>
        </w:rPr>
        <w:t>which</w:t>
      </w:r>
      <w:r w:rsidR="00941E64" w:rsidRPr="00D22649">
        <w:rPr>
          <w:rFonts w:ascii="Times New Roman" w:hAnsi="Times New Roman" w:cs="Times New Roman"/>
          <w:sz w:val="24"/>
          <w:szCs w:val="24"/>
        </w:rPr>
        <w:t xml:space="preserve"> the author had previously </w:t>
      </w:r>
      <w:r w:rsidR="00AE3745" w:rsidRPr="00D22649">
        <w:rPr>
          <w:rFonts w:ascii="Times New Roman" w:hAnsi="Times New Roman" w:cs="Times New Roman"/>
          <w:sz w:val="24"/>
          <w:szCs w:val="24"/>
        </w:rPr>
        <w:t xml:space="preserve">submitted </w:t>
      </w:r>
      <w:r w:rsidR="00941E64" w:rsidRPr="00D22649">
        <w:rPr>
          <w:rFonts w:ascii="Times New Roman" w:hAnsi="Times New Roman" w:cs="Times New Roman"/>
          <w:sz w:val="24"/>
          <w:szCs w:val="24"/>
        </w:rPr>
        <w:t>an application</w:t>
      </w:r>
      <w:r w:rsidR="00D076AF" w:rsidRPr="00D22649">
        <w:rPr>
          <w:rFonts w:ascii="Times New Roman" w:hAnsi="Times New Roman" w:cs="Times New Roman"/>
          <w:sz w:val="24"/>
          <w:szCs w:val="24"/>
        </w:rPr>
        <w:t>.</w:t>
      </w:r>
      <w:r w:rsidR="007A4F15" w:rsidRPr="00D22649">
        <w:rPr>
          <w:rStyle w:val="FootnoteReference"/>
          <w:rFonts w:ascii="Times New Roman" w:hAnsi="Times New Roman" w:cs="Times New Roman"/>
          <w:sz w:val="24"/>
          <w:szCs w:val="24"/>
        </w:rPr>
        <w:footnoteReference w:id="65"/>
      </w:r>
      <w:r w:rsidR="00AE3FB9" w:rsidRPr="00D22649">
        <w:rPr>
          <w:rFonts w:ascii="Times New Roman" w:hAnsi="Times New Roman" w:cs="Times New Roman"/>
          <w:sz w:val="24"/>
          <w:szCs w:val="24"/>
        </w:rPr>
        <w:t xml:space="preserve">  </w:t>
      </w:r>
      <w:r w:rsidR="008C4EED" w:rsidRPr="00D22649">
        <w:rPr>
          <w:rFonts w:ascii="Times New Roman" w:hAnsi="Times New Roman" w:cs="Times New Roman"/>
          <w:sz w:val="24"/>
          <w:szCs w:val="24"/>
        </w:rPr>
        <w:t>Two further cases were brought by Mexican asylum</w:t>
      </w:r>
      <w:r w:rsidR="00AE3FB9" w:rsidRPr="00D22649">
        <w:rPr>
          <w:rFonts w:ascii="Times New Roman" w:hAnsi="Times New Roman" w:cs="Times New Roman"/>
          <w:sz w:val="24"/>
          <w:szCs w:val="24"/>
        </w:rPr>
        <w:t>-seekers</w:t>
      </w:r>
      <w:r w:rsidR="00A25BD1" w:rsidRPr="00D22649">
        <w:rPr>
          <w:rFonts w:ascii="Times New Roman" w:hAnsi="Times New Roman" w:cs="Times New Roman"/>
          <w:sz w:val="24"/>
          <w:szCs w:val="24"/>
        </w:rPr>
        <w:t xml:space="preserve"> who </w:t>
      </w:r>
      <w:r w:rsidR="00AE3745" w:rsidRPr="00D22649">
        <w:rPr>
          <w:rFonts w:ascii="Times New Roman" w:hAnsi="Times New Roman" w:cs="Times New Roman"/>
          <w:sz w:val="24"/>
          <w:szCs w:val="24"/>
        </w:rPr>
        <w:t xml:space="preserve">alleged </w:t>
      </w:r>
      <w:r w:rsidR="008C4EED" w:rsidRPr="00D22649">
        <w:rPr>
          <w:rFonts w:ascii="Times New Roman" w:hAnsi="Times New Roman" w:cs="Times New Roman"/>
          <w:sz w:val="24"/>
          <w:szCs w:val="24"/>
        </w:rPr>
        <w:t xml:space="preserve">that </w:t>
      </w:r>
      <w:r w:rsidR="003E22BF" w:rsidRPr="00D22649">
        <w:rPr>
          <w:rFonts w:ascii="Times New Roman" w:hAnsi="Times New Roman" w:cs="Times New Roman"/>
          <w:sz w:val="24"/>
          <w:szCs w:val="24"/>
        </w:rPr>
        <w:t xml:space="preserve">a return </w:t>
      </w:r>
      <w:r w:rsidR="008C4EED" w:rsidRPr="00D22649">
        <w:rPr>
          <w:rFonts w:ascii="Times New Roman" w:hAnsi="Times New Roman" w:cs="Times New Roman"/>
          <w:sz w:val="24"/>
          <w:szCs w:val="24"/>
        </w:rPr>
        <w:t xml:space="preserve">to their </w:t>
      </w:r>
      <w:r>
        <w:rPr>
          <w:rFonts w:ascii="Times New Roman" w:hAnsi="Times New Roman" w:cs="Times New Roman"/>
          <w:sz w:val="24"/>
          <w:szCs w:val="24"/>
        </w:rPr>
        <w:t>s</w:t>
      </w:r>
      <w:r w:rsidR="008C4EED" w:rsidRPr="00D22649">
        <w:rPr>
          <w:rFonts w:ascii="Times New Roman" w:hAnsi="Times New Roman" w:cs="Times New Roman"/>
          <w:sz w:val="24"/>
          <w:szCs w:val="24"/>
        </w:rPr>
        <w:t xml:space="preserve">tate of origin </w:t>
      </w:r>
      <w:r w:rsidR="00AE3FB9" w:rsidRPr="00D22649">
        <w:rPr>
          <w:rFonts w:ascii="Times New Roman" w:hAnsi="Times New Roman" w:cs="Times New Roman"/>
          <w:sz w:val="24"/>
          <w:szCs w:val="24"/>
        </w:rPr>
        <w:t xml:space="preserve">from Canada </w:t>
      </w:r>
      <w:r w:rsidR="008C4EED" w:rsidRPr="00D22649">
        <w:rPr>
          <w:rFonts w:ascii="Times New Roman" w:hAnsi="Times New Roman" w:cs="Times New Roman"/>
          <w:sz w:val="24"/>
          <w:szCs w:val="24"/>
        </w:rPr>
        <w:t xml:space="preserve">would expose them to </w:t>
      </w:r>
      <w:r w:rsidR="003E22BF" w:rsidRPr="00D22649">
        <w:rPr>
          <w:rFonts w:ascii="Times New Roman" w:hAnsi="Times New Roman" w:cs="Times New Roman"/>
          <w:sz w:val="24"/>
          <w:szCs w:val="24"/>
        </w:rPr>
        <w:t xml:space="preserve">a </w:t>
      </w:r>
      <w:r w:rsidR="008C4EED" w:rsidRPr="00D22649">
        <w:rPr>
          <w:rFonts w:ascii="Times New Roman" w:hAnsi="Times New Roman" w:cs="Times New Roman"/>
          <w:sz w:val="24"/>
          <w:szCs w:val="24"/>
        </w:rPr>
        <w:t>real risk of spousal violence.</w:t>
      </w:r>
      <w:r w:rsidR="008C4EED" w:rsidRPr="00D22649">
        <w:rPr>
          <w:rStyle w:val="FootnoteReference"/>
          <w:rFonts w:ascii="Times New Roman" w:hAnsi="Times New Roman" w:cs="Times New Roman"/>
          <w:sz w:val="24"/>
          <w:szCs w:val="24"/>
        </w:rPr>
        <w:footnoteReference w:id="66"/>
      </w:r>
      <w:r w:rsidR="008C4EED" w:rsidRPr="00D22649">
        <w:rPr>
          <w:rFonts w:ascii="Times New Roman" w:hAnsi="Times New Roman" w:cs="Times New Roman"/>
          <w:sz w:val="24"/>
          <w:szCs w:val="24"/>
        </w:rPr>
        <w:t xml:space="preserve">  The Committee held </w:t>
      </w:r>
      <w:r w:rsidR="00FA367F">
        <w:rPr>
          <w:rFonts w:ascii="Times New Roman" w:hAnsi="Times New Roman" w:cs="Times New Roman"/>
          <w:sz w:val="24"/>
          <w:szCs w:val="24"/>
        </w:rPr>
        <w:t xml:space="preserve">that </w:t>
      </w:r>
      <w:r w:rsidR="008C4EED" w:rsidRPr="00D22649">
        <w:rPr>
          <w:rFonts w:ascii="Times New Roman" w:hAnsi="Times New Roman" w:cs="Times New Roman"/>
          <w:sz w:val="24"/>
          <w:szCs w:val="24"/>
        </w:rPr>
        <w:t>Guadalupe Herrera Rivera’s communication was inadmissible due to non-exhaustion of domestic remedies</w:t>
      </w:r>
      <w:r w:rsidR="00C51DBF" w:rsidRPr="00D22649">
        <w:rPr>
          <w:rFonts w:ascii="Times New Roman" w:hAnsi="Times New Roman" w:cs="Times New Roman"/>
          <w:sz w:val="24"/>
          <w:szCs w:val="24"/>
        </w:rPr>
        <w:t>;</w:t>
      </w:r>
      <w:r w:rsidR="008C4EED" w:rsidRPr="00D22649">
        <w:rPr>
          <w:rFonts w:ascii="Times New Roman" w:hAnsi="Times New Roman" w:cs="Times New Roman"/>
          <w:sz w:val="24"/>
          <w:szCs w:val="24"/>
        </w:rPr>
        <w:t xml:space="preserve"> the case of M.P.M</w:t>
      </w:r>
      <w:r w:rsidR="00FA367F">
        <w:rPr>
          <w:rFonts w:ascii="Times New Roman" w:hAnsi="Times New Roman" w:cs="Times New Roman"/>
          <w:sz w:val="24"/>
          <w:szCs w:val="24"/>
        </w:rPr>
        <w:t>.</w:t>
      </w:r>
      <w:r w:rsidR="008C4EED" w:rsidRPr="00D22649">
        <w:rPr>
          <w:rFonts w:ascii="Times New Roman" w:hAnsi="Times New Roman" w:cs="Times New Roman"/>
          <w:sz w:val="24"/>
          <w:szCs w:val="24"/>
        </w:rPr>
        <w:t>, who appeared to have voluntarily returned to Mexic</w:t>
      </w:r>
      <w:r w:rsidR="00C51DBF" w:rsidRPr="00D22649">
        <w:rPr>
          <w:rFonts w:ascii="Times New Roman" w:hAnsi="Times New Roman" w:cs="Times New Roman"/>
          <w:sz w:val="24"/>
          <w:szCs w:val="24"/>
        </w:rPr>
        <w:t>o</w:t>
      </w:r>
      <w:r w:rsidR="008C4EED" w:rsidRPr="00D22649">
        <w:rPr>
          <w:rFonts w:ascii="Times New Roman" w:hAnsi="Times New Roman" w:cs="Times New Roman"/>
          <w:sz w:val="24"/>
          <w:szCs w:val="24"/>
        </w:rPr>
        <w:t xml:space="preserve">, </w:t>
      </w:r>
      <w:r w:rsidR="00C51DBF" w:rsidRPr="00D22649">
        <w:rPr>
          <w:rFonts w:ascii="Times New Roman" w:hAnsi="Times New Roman" w:cs="Times New Roman"/>
          <w:sz w:val="24"/>
          <w:szCs w:val="24"/>
        </w:rPr>
        <w:t xml:space="preserve">it found </w:t>
      </w:r>
      <w:r w:rsidR="00C2073D" w:rsidRPr="00D22649">
        <w:rPr>
          <w:rFonts w:ascii="Times New Roman" w:hAnsi="Times New Roman" w:cs="Times New Roman"/>
          <w:sz w:val="24"/>
          <w:szCs w:val="24"/>
        </w:rPr>
        <w:t>to be</w:t>
      </w:r>
      <w:r w:rsidR="008C4EED" w:rsidRPr="00D22649">
        <w:rPr>
          <w:rFonts w:ascii="Times New Roman" w:hAnsi="Times New Roman" w:cs="Times New Roman"/>
          <w:sz w:val="24"/>
          <w:szCs w:val="24"/>
        </w:rPr>
        <w:t xml:space="preserve"> manifestly ill-founded.</w:t>
      </w:r>
    </w:p>
    <w:p w14:paraId="5A22C467" w14:textId="77777777" w:rsidR="00FA367F" w:rsidRDefault="00FA367F" w:rsidP="005B6796">
      <w:pPr>
        <w:pStyle w:val="ListParagraph"/>
        <w:spacing w:after="0" w:line="360" w:lineRule="auto"/>
        <w:ind w:left="360"/>
        <w:jc w:val="both"/>
        <w:rPr>
          <w:rFonts w:ascii="Times New Roman" w:hAnsi="Times New Roman" w:cs="Times New Roman"/>
          <w:i/>
          <w:sz w:val="24"/>
          <w:szCs w:val="24"/>
        </w:rPr>
      </w:pPr>
    </w:p>
    <w:p w14:paraId="02D59025" w14:textId="1FEAC18A" w:rsidR="00CD703B" w:rsidRPr="005B6796" w:rsidRDefault="00FA367F" w:rsidP="005B6796">
      <w:pPr>
        <w:pStyle w:val="ListParagraph"/>
        <w:spacing w:after="0" w:line="360" w:lineRule="auto"/>
        <w:ind w:left="0"/>
        <w:jc w:val="both"/>
        <w:rPr>
          <w:rFonts w:ascii="Times New Roman" w:hAnsi="Times New Roman" w:cs="Times New Roman"/>
          <w:b/>
          <w:i/>
          <w:sz w:val="24"/>
          <w:szCs w:val="24"/>
        </w:rPr>
      </w:pPr>
      <w:r w:rsidRPr="005B6796">
        <w:rPr>
          <w:rFonts w:ascii="Times New Roman" w:hAnsi="Times New Roman" w:cs="Times New Roman"/>
          <w:b/>
          <w:i/>
          <w:sz w:val="24"/>
          <w:szCs w:val="24"/>
        </w:rPr>
        <w:t>G</w:t>
      </w:r>
      <w:r w:rsidRPr="005B6796">
        <w:rPr>
          <w:rFonts w:ascii="Times New Roman" w:hAnsi="Times New Roman" w:cs="Times New Roman"/>
          <w:b/>
          <w:i/>
          <w:sz w:val="24"/>
          <w:szCs w:val="24"/>
        </w:rPr>
        <w:tab/>
      </w:r>
      <w:r w:rsidR="00CD703B" w:rsidRPr="005B6796">
        <w:rPr>
          <w:rFonts w:ascii="Times New Roman" w:hAnsi="Times New Roman" w:cs="Times New Roman"/>
          <w:b/>
          <w:i/>
          <w:sz w:val="24"/>
          <w:szCs w:val="24"/>
        </w:rPr>
        <w:t xml:space="preserve">Identity </w:t>
      </w:r>
      <w:r w:rsidRPr="005B6796">
        <w:rPr>
          <w:rFonts w:ascii="Times New Roman" w:hAnsi="Times New Roman" w:cs="Times New Roman"/>
          <w:b/>
          <w:i/>
          <w:sz w:val="24"/>
          <w:szCs w:val="24"/>
        </w:rPr>
        <w:t>C</w:t>
      </w:r>
      <w:r w:rsidR="00CD703B" w:rsidRPr="005B6796">
        <w:rPr>
          <w:rFonts w:ascii="Times New Roman" w:hAnsi="Times New Roman" w:cs="Times New Roman"/>
          <w:b/>
          <w:i/>
          <w:sz w:val="24"/>
          <w:szCs w:val="24"/>
        </w:rPr>
        <w:t>ases</w:t>
      </w:r>
    </w:p>
    <w:p w14:paraId="787BDC24" w14:textId="0C0F91CB" w:rsidR="009B755F" w:rsidRPr="00D22649" w:rsidRDefault="009B755F" w:rsidP="00D22649">
      <w:pPr>
        <w:spacing w:after="0" w:line="360" w:lineRule="auto"/>
        <w:jc w:val="both"/>
        <w:rPr>
          <w:rFonts w:ascii="Times New Roman" w:hAnsi="Times New Roman" w:cs="Times New Roman"/>
          <w:iCs/>
          <w:sz w:val="24"/>
          <w:szCs w:val="24"/>
        </w:rPr>
      </w:pPr>
      <w:r w:rsidRPr="00D22649">
        <w:rPr>
          <w:rFonts w:ascii="Times New Roman" w:hAnsi="Times New Roman" w:cs="Times New Roman"/>
          <w:sz w:val="24"/>
          <w:szCs w:val="24"/>
        </w:rPr>
        <w:t xml:space="preserve">The significant number of cases </w:t>
      </w:r>
      <w:r w:rsidR="0052494A" w:rsidRPr="00D22649">
        <w:rPr>
          <w:rFonts w:ascii="Times New Roman" w:hAnsi="Times New Roman" w:cs="Times New Roman"/>
          <w:sz w:val="24"/>
          <w:szCs w:val="24"/>
        </w:rPr>
        <w:t>addressing identity rights</w:t>
      </w:r>
      <w:r w:rsidRPr="00D22649">
        <w:rPr>
          <w:rFonts w:ascii="Times New Roman" w:hAnsi="Times New Roman" w:cs="Times New Roman"/>
          <w:sz w:val="24"/>
          <w:szCs w:val="24"/>
        </w:rPr>
        <w:t xml:space="preserve"> suggest</w:t>
      </w:r>
      <w:r w:rsidR="0080009D" w:rsidRPr="00D22649">
        <w:rPr>
          <w:rFonts w:ascii="Times New Roman" w:hAnsi="Times New Roman" w:cs="Times New Roman"/>
          <w:sz w:val="24"/>
          <w:szCs w:val="24"/>
        </w:rPr>
        <w:t>s</w:t>
      </w:r>
      <w:r w:rsidRPr="00D22649">
        <w:rPr>
          <w:rFonts w:ascii="Times New Roman" w:hAnsi="Times New Roman" w:cs="Times New Roman"/>
          <w:sz w:val="24"/>
          <w:szCs w:val="24"/>
        </w:rPr>
        <w:t xml:space="preserve"> </w:t>
      </w:r>
      <w:r w:rsidR="00594809" w:rsidRPr="00D22649">
        <w:rPr>
          <w:rFonts w:ascii="Times New Roman" w:hAnsi="Times New Roman" w:cs="Times New Roman"/>
          <w:sz w:val="24"/>
          <w:szCs w:val="24"/>
        </w:rPr>
        <w:t xml:space="preserve">that </w:t>
      </w:r>
      <w:r w:rsidR="0052494A" w:rsidRPr="00D22649">
        <w:rPr>
          <w:rFonts w:ascii="Times New Roman" w:hAnsi="Times New Roman" w:cs="Times New Roman"/>
          <w:sz w:val="24"/>
          <w:szCs w:val="24"/>
        </w:rPr>
        <w:t xml:space="preserve">it </w:t>
      </w:r>
      <w:r w:rsidR="00594809" w:rsidRPr="00D22649">
        <w:rPr>
          <w:rFonts w:ascii="Times New Roman" w:hAnsi="Times New Roman" w:cs="Times New Roman"/>
          <w:sz w:val="24"/>
          <w:szCs w:val="24"/>
        </w:rPr>
        <w:t xml:space="preserve">is </w:t>
      </w:r>
      <w:r w:rsidR="0052494A" w:rsidRPr="00D22649">
        <w:rPr>
          <w:rFonts w:ascii="Times New Roman" w:hAnsi="Times New Roman" w:cs="Times New Roman"/>
          <w:sz w:val="24"/>
          <w:szCs w:val="24"/>
        </w:rPr>
        <w:t xml:space="preserve">an area </w:t>
      </w:r>
      <w:r w:rsidR="00594809" w:rsidRPr="00D22649">
        <w:rPr>
          <w:rFonts w:ascii="Times New Roman" w:hAnsi="Times New Roman" w:cs="Times New Roman"/>
          <w:sz w:val="24"/>
          <w:szCs w:val="24"/>
        </w:rPr>
        <w:t xml:space="preserve">of considerable importance to women that has largely been overlooked.  Perhaps because it </w:t>
      </w:r>
      <w:r w:rsidR="00AE3745" w:rsidRPr="00D22649">
        <w:rPr>
          <w:rFonts w:ascii="Times New Roman" w:hAnsi="Times New Roman" w:cs="Times New Roman"/>
          <w:sz w:val="24"/>
          <w:szCs w:val="24"/>
        </w:rPr>
        <w:t xml:space="preserve">is </w:t>
      </w:r>
      <w:r w:rsidR="00594809" w:rsidRPr="00D22649">
        <w:rPr>
          <w:rFonts w:ascii="Times New Roman" w:hAnsi="Times New Roman" w:cs="Times New Roman"/>
          <w:sz w:val="24"/>
          <w:szCs w:val="24"/>
        </w:rPr>
        <w:t>an under-theori</w:t>
      </w:r>
      <w:r w:rsidR="00FA367F">
        <w:rPr>
          <w:rFonts w:ascii="Times New Roman" w:hAnsi="Times New Roman" w:cs="Times New Roman"/>
          <w:sz w:val="24"/>
          <w:szCs w:val="24"/>
        </w:rPr>
        <w:t>z</w:t>
      </w:r>
      <w:r w:rsidR="00594809" w:rsidRPr="00D22649">
        <w:rPr>
          <w:rFonts w:ascii="Times New Roman" w:hAnsi="Times New Roman" w:cs="Times New Roman"/>
          <w:sz w:val="24"/>
          <w:szCs w:val="24"/>
        </w:rPr>
        <w:t>ed area,</w:t>
      </w:r>
      <w:r w:rsidR="00A01B47" w:rsidRPr="00D22649">
        <w:rPr>
          <w:rFonts w:ascii="Times New Roman" w:hAnsi="Times New Roman" w:cs="Times New Roman"/>
          <w:sz w:val="24"/>
          <w:szCs w:val="24"/>
        </w:rPr>
        <w:t xml:space="preserve"> </w:t>
      </w:r>
      <w:r w:rsidR="00594809" w:rsidRPr="00D22649">
        <w:rPr>
          <w:rFonts w:ascii="Times New Roman" w:hAnsi="Times New Roman" w:cs="Times New Roman"/>
          <w:sz w:val="24"/>
          <w:szCs w:val="24"/>
        </w:rPr>
        <w:t>the Committee</w:t>
      </w:r>
      <w:r w:rsidR="00FA367F">
        <w:rPr>
          <w:rFonts w:ascii="Times New Roman" w:hAnsi="Times New Roman" w:cs="Times New Roman"/>
          <w:sz w:val="24"/>
          <w:szCs w:val="24"/>
        </w:rPr>
        <w:t>’s</w:t>
      </w:r>
      <w:r w:rsidR="00594809" w:rsidRPr="00D22649">
        <w:rPr>
          <w:rFonts w:ascii="Times New Roman" w:hAnsi="Times New Roman" w:cs="Times New Roman"/>
          <w:sz w:val="24"/>
          <w:szCs w:val="24"/>
        </w:rPr>
        <w:t xml:space="preserve"> contribution to </w:t>
      </w:r>
      <w:r w:rsidR="00A01B47" w:rsidRPr="00D22649">
        <w:rPr>
          <w:rFonts w:ascii="Times New Roman" w:hAnsi="Times New Roman" w:cs="Times New Roman"/>
          <w:sz w:val="24"/>
          <w:szCs w:val="24"/>
        </w:rPr>
        <w:t>it</w:t>
      </w:r>
      <w:r w:rsidR="0052494A" w:rsidRPr="00D22649">
        <w:rPr>
          <w:rFonts w:ascii="Times New Roman" w:hAnsi="Times New Roman" w:cs="Times New Roman"/>
          <w:sz w:val="24"/>
          <w:szCs w:val="24"/>
        </w:rPr>
        <w:t xml:space="preserve"> has been limited</w:t>
      </w:r>
      <w:r w:rsidR="00594809" w:rsidRPr="00D22649">
        <w:rPr>
          <w:rFonts w:ascii="Times New Roman" w:hAnsi="Times New Roman" w:cs="Times New Roman"/>
          <w:sz w:val="24"/>
          <w:szCs w:val="24"/>
        </w:rPr>
        <w:t>.</w:t>
      </w:r>
      <w:r w:rsidRPr="00D22649">
        <w:rPr>
          <w:rFonts w:ascii="Times New Roman" w:hAnsi="Times New Roman" w:cs="Times New Roman"/>
          <w:iCs/>
          <w:sz w:val="24"/>
          <w:szCs w:val="24"/>
        </w:rPr>
        <w:t xml:space="preserve">  </w:t>
      </w:r>
    </w:p>
    <w:p w14:paraId="590B98F0" w14:textId="78F4A097" w:rsidR="00456C15" w:rsidRPr="00D22649" w:rsidRDefault="00FA367F" w:rsidP="00D22649">
      <w:pPr>
        <w:spacing w:after="0" w:line="360" w:lineRule="auto"/>
        <w:jc w:val="both"/>
        <w:rPr>
          <w:rFonts w:ascii="Times New Roman" w:hAnsi="Times New Roman" w:cs="Times New Roman"/>
          <w:sz w:val="24"/>
          <w:szCs w:val="24"/>
        </w:rPr>
      </w:pPr>
      <w:r>
        <w:rPr>
          <w:rFonts w:ascii="Times New Roman" w:hAnsi="Times New Roman" w:cs="Times New Roman"/>
          <w:iCs/>
          <w:sz w:val="24"/>
          <w:szCs w:val="24"/>
        </w:rPr>
        <w:tab/>
      </w:r>
      <w:r w:rsidR="005F10A6" w:rsidRPr="00D22649">
        <w:rPr>
          <w:rFonts w:ascii="Times New Roman" w:hAnsi="Times New Roman" w:cs="Times New Roman"/>
          <w:iCs/>
          <w:sz w:val="24"/>
          <w:szCs w:val="24"/>
        </w:rPr>
        <w:t xml:space="preserve">In </w:t>
      </w:r>
      <w:r w:rsidR="005F10A6" w:rsidRPr="00D22649">
        <w:rPr>
          <w:rFonts w:ascii="Times New Roman" w:hAnsi="Times New Roman" w:cs="Times New Roman"/>
          <w:i/>
          <w:iCs/>
          <w:sz w:val="24"/>
          <w:szCs w:val="24"/>
        </w:rPr>
        <w:t>Cristina Muñoz-Vargas y Sainz de Vicuña v</w:t>
      </w:r>
      <w:r w:rsidR="005F10A6" w:rsidRPr="00D22649">
        <w:rPr>
          <w:rFonts w:ascii="Times New Roman" w:hAnsi="Times New Roman" w:cs="Times New Roman"/>
          <w:iCs/>
          <w:sz w:val="24"/>
          <w:szCs w:val="24"/>
        </w:rPr>
        <w:t xml:space="preserve">. </w:t>
      </w:r>
      <w:r w:rsidR="005F10A6" w:rsidRPr="00D22649">
        <w:rPr>
          <w:rFonts w:ascii="Times New Roman" w:hAnsi="Times New Roman" w:cs="Times New Roman"/>
          <w:i/>
          <w:iCs/>
          <w:sz w:val="24"/>
          <w:szCs w:val="24"/>
        </w:rPr>
        <w:t>Spain</w:t>
      </w:r>
      <w:r w:rsidR="005F10A6" w:rsidRPr="00D22649">
        <w:rPr>
          <w:rFonts w:ascii="Times New Roman" w:hAnsi="Times New Roman" w:cs="Times New Roman"/>
          <w:iCs/>
          <w:sz w:val="24"/>
          <w:szCs w:val="24"/>
        </w:rPr>
        <w:t>,</w:t>
      </w:r>
      <w:r w:rsidR="00D21661" w:rsidRPr="00D22649">
        <w:rPr>
          <w:rStyle w:val="FootnoteReference"/>
          <w:rFonts w:ascii="Times New Roman" w:hAnsi="Times New Roman" w:cs="Times New Roman"/>
          <w:iCs/>
          <w:sz w:val="24"/>
          <w:szCs w:val="24"/>
        </w:rPr>
        <w:footnoteReference w:id="67"/>
      </w:r>
      <w:r w:rsidR="005F10A6" w:rsidRPr="00D22649">
        <w:rPr>
          <w:rFonts w:ascii="Times New Roman" w:hAnsi="Times New Roman" w:cs="Times New Roman"/>
          <w:iCs/>
          <w:sz w:val="24"/>
          <w:szCs w:val="24"/>
        </w:rPr>
        <w:t xml:space="preserve"> the author sought the abolition of laws establishing male primacy in the order of succession to titles of nobility</w:t>
      </w:r>
      <w:r w:rsidR="00AC1664" w:rsidRPr="00D22649">
        <w:rPr>
          <w:rFonts w:ascii="Times New Roman" w:hAnsi="Times New Roman" w:cs="Times New Roman"/>
          <w:iCs/>
          <w:sz w:val="24"/>
          <w:szCs w:val="24"/>
        </w:rPr>
        <w:t xml:space="preserve">, claiming </w:t>
      </w:r>
      <w:r>
        <w:rPr>
          <w:rFonts w:ascii="Times New Roman" w:hAnsi="Times New Roman" w:cs="Times New Roman"/>
          <w:iCs/>
          <w:sz w:val="24"/>
          <w:szCs w:val="24"/>
        </w:rPr>
        <w:t xml:space="preserve">that </w:t>
      </w:r>
      <w:r w:rsidR="00AC1664" w:rsidRPr="00D22649">
        <w:rPr>
          <w:rFonts w:ascii="Times New Roman" w:hAnsi="Times New Roman" w:cs="Times New Roman"/>
          <w:iCs/>
          <w:sz w:val="24"/>
          <w:szCs w:val="24"/>
        </w:rPr>
        <w:t xml:space="preserve">they violated </w:t>
      </w:r>
      <w:r>
        <w:rPr>
          <w:rFonts w:ascii="Times New Roman" w:hAnsi="Times New Roman" w:cs="Times New Roman"/>
          <w:iCs/>
          <w:sz w:val="24"/>
          <w:szCs w:val="24"/>
        </w:rPr>
        <w:t>A</w:t>
      </w:r>
      <w:r w:rsidR="00AC1664" w:rsidRPr="00D22649">
        <w:rPr>
          <w:rFonts w:ascii="Times New Roman" w:hAnsi="Times New Roman" w:cs="Times New Roman"/>
          <w:iCs/>
          <w:sz w:val="24"/>
          <w:szCs w:val="24"/>
        </w:rPr>
        <w:t>rticle 2(c) and (f) of CEDAW</w:t>
      </w:r>
      <w:r w:rsidR="005F10A6" w:rsidRPr="00D22649">
        <w:rPr>
          <w:rFonts w:ascii="Times New Roman" w:hAnsi="Times New Roman" w:cs="Times New Roman"/>
          <w:iCs/>
          <w:sz w:val="24"/>
          <w:szCs w:val="24"/>
        </w:rPr>
        <w:t>.</w:t>
      </w:r>
      <w:r w:rsidR="005F10A6" w:rsidRPr="00D22649">
        <w:rPr>
          <w:rFonts w:ascii="Times New Roman" w:hAnsi="Times New Roman" w:cs="Times New Roman"/>
          <w:color w:val="000000"/>
          <w:sz w:val="24"/>
          <w:szCs w:val="24"/>
        </w:rPr>
        <w:t xml:space="preserve">  </w:t>
      </w:r>
      <w:r w:rsidR="005A2B2A" w:rsidRPr="00D22649">
        <w:rPr>
          <w:rFonts w:ascii="Times New Roman" w:hAnsi="Times New Roman" w:cs="Times New Roman"/>
          <w:sz w:val="24"/>
          <w:szCs w:val="24"/>
        </w:rPr>
        <w:t>While the majority held the communication to be i</w:t>
      </w:r>
      <w:r w:rsidR="003D6D07" w:rsidRPr="00D22649">
        <w:rPr>
          <w:rFonts w:ascii="Times New Roman" w:hAnsi="Times New Roman" w:cs="Times New Roman"/>
          <w:sz w:val="24"/>
          <w:szCs w:val="24"/>
        </w:rPr>
        <w:t xml:space="preserve">nadmissible </w:t>
      </w:r>
      <w:r w:rsidR="003D6D07" w:rsidRPr="00D22649">
        <w:rPr>
          <w:rFonts w:ascii="Times New Roman" w:hAnsi="Times New Roman" w:cs="Times New Roman"/>
          <w:i/>
          <w:sz w:val="24"/>
          <w:szCs w:val="24"/>
        </w:rPr>
        <w:t>ratione temporis</w:t>
      </w:r>
      <w:r w:rsidR="005A2B2A" w:rsidRPr="00D22649">
        <w:rPr>
          <w:rFonts w:ascii="Times New Roman" w:hAnsi="Times New Roman" w:cs="Times New Roman"/>
          <w:sz w:val="24"/>
          <w:szCs w:val="24"/>
        </w:rPr>
        <w:t xml:space="preserve">, eight Committee members held that it was inadmissible </w:t>
      </w:r>
      <w:r w:rsidR="005A2B2A" w:rsidRPr="00D22649">
        <w:rPr>
          <w:rFonts w:ascii="Times New Roman" w:hAnsi="Times New Roman" w:cs="Times New Roman"/>
          <w:i/>
          <w:sz w:val="24"/>
          <w:szCs w:val="24"/>
        </w:rPr>
        <w:t>ratione materiae</w:t>
      </w:r>
      <w:r w:rsidR="00AC1664" w:rsidRPr="00D22649">
        <w:rPr>
          <w:rFonts w:ascii="Times New Roman" w:hAnsi="Times New Roman" w:cs="Times New Roman"/>
          <w:sz w:val="24"/>
          <w:szCs w:val="24"/>
        </w:rPr>
        <w:t xml:space="preserve">, as the author’s complaint </w:t>
      </w:r>
      <w:r w:rsidR="005A2B2A" w:rsidRPr="00D22649">
        <w:rPr>
          <w:rFonts w:ascii="Times New Roman" w:hAnsi="Times New Roman" w:cs="Times New Roman"/>
          <w:sz w:val="24"/>
          <w:szCs w:val="24"/>
        </w:rPr>
        <w:t>did not disclose a violation of any right</w:t>
      </w:r>
      <w:r w:rsidR="00AC1664" w:rsidRPr="00D22649">
        <w:rPr>
          <w:rFonts w:ascii="Times New Roman" w:hAnsi="Times New Roman" w:cs="Times New Roman"/>
          <w:sz w:val="24"/>
          <w:szCs w:val="24"/>
        </w:rPr>
        <w:t>s</w:t>
      </w:r>
      <w:r w:rsidR="005A2B2A" w:rsidRPr="00D22649">
        <w:rPr>
          <w:rFonts w:ascii="Times New Roman" w:hAnsi="Times New Roman" w:cs="Times New Roman"/>
          <w:sz w:val="24"/>
          <w:szCs w:val="24"/>
        </w:rPr>
        <w:t xml:space="preserve"> protected under CEDAW</w:t>
      </w:r>
      <w:r w:rsidR="003D6D07" w:rsidRPr="00D22649">
        <w:rPr>
          <w:rFonts w:ascii="Times New Roman" w:hAnsi="Times New Roman" w:cs="Times New Roman"/>
          <w:sz w:val="24"/>
          <w:szCs w:val="24"/>
        </w:rPr>
        <w:t>.</w:t>
      </w:r>
      <w:r w:rsidR="00940BB7" w:rsidRPr="00D22649">
        <w:rPr>
          <w:rFonts w:ascii="Times New Roman" w:hAnsi="Times New Roman" w:cs="Times New Roman"/>
          <w:sz w:val="24"/>
          <w:szCs w:val="24"/>
        </w:rPr>
        <w:t xml:space="preserve">  </w:t>
      </w:r>
      <w:r w:rsidR="00394AE3" w:rsidRPr="00D22649">
        <w:rPr>
          <w:rFonts w:ascii="Times New Roman" w:hAnsi="Times New Roman" w:cs="Times New Roman"/>
          <w:sz w:val="24"/>
          <w:szCs w:val="24"/>
        </w:rPr>
        <w:t>I</w:t>
      </w:r>
      <w:r w:rsidR="00940BB7" w:rsidRPr="00D22649">
        <w:rPr>
          <w:rFonts w:ascii="Times New Roman" w:hAnsi="Times New Roman" w:cs="Times New Roman"/>
          <w:sz w:val="24"/>
          <w:szCs w:val="24"/>
        </w:rPr>
        <w:t xml:space="preserve">t seems </w:t>
      </w:r>
      <w:r w:rsidR="0015557C" w:rsidRPr="00D22649">
        <w:rPr>
          <w:rFonts w:ascii="Times New Roman" w:hAnsi="Times New Roman" w:cs="Times New Roman"/>
          <w:sz w:val="24"/>
          <w:szCs w:val="24"/>
        </w:rPr>
        <w:t xml:space="preserve">surprising </w:t>
      </w:r>
      <w:r w:rsidR="00940BB7" w:rsidRPr="00D22649">
        <w:rPr>
          <w:rFonts w:ascii="Times New Roman" w:hAnsi="Times New Roman" w:cs="Times New Roman"/>
          <w:sz w:val="24"/>
          <w:szCs w:val="24"/>
        </w:rPr>
        <w:t>that a name – even one given as a</w:t>
      </w:r>
      <w:r w:rsidR="007849D5" w:rsidRPr="00D22649">
        <w:rPr>
          <w:rFonts w:ascii="Times New Roman" w:hAnsi="Times New Roman" w:cs="Times New Roman"/>
          <w:sz w:val="24"/>
          <w:szCs w:val="24"/>
        </w:rPr>
        <w:t>n</w:t>
      </w:r>
      <w:r w:rsidR="00940BB7" w:rsidRPr="00D22649">
        <w:rPr>
          <w:rFonts w:ascii="Times New Roman" w:hAnsi="Times New Roman" w:cs="Times New Roman"/>
          <w:sz w:val="24"/>
          <w:szCs w:val="24"/>
        </w:rPr>
        <w:t xml:space="preserve"> honorary title – was not </w:t>
      </w:r>
      <w:r w:rsidR="0015557C" w:rsidRPr="00D22649">
        <w:rPr>
          <w:rFonts w:ascii="Times New Roman" w:hAnsi="Times New Roman" w:cs="Times New Roman"/>
          <w:sz w:val="24"/>
          <w:szCs w:val="24"/>
        </w:rPr>
        <w:t>recogni</w:t>
      </w:r>
      <w:r>
        <w:rPr>
          <w:rFonts w:ascii="Times New Roman" w:hAnsi="Times New Roman" w:cs="Times New Roman"/>
          <w:sz w:val="24"/>
          <w:szCs w:val="24"/>
        </w:rPr>
        <w:t>z</w:t>
      </w:r>
      <w:r w:rsidR="0015557C" w:rsidRPr="00D22649">
        <w:rPr>
          <w:rFonts w:ascii="Times New Roman" w:hAnsi="Times New Roman" w:cs="Times New Roman"/>
          <w:sz w:val="24"/>
          <w:szCs w:val="24"/>
        </w:rPr>
        <w:t xml:space="preserve">ed </w:t>
      </w:r>
      <w:r w:rsidR="00940BB7" w:rsidRPr="00D22649">
        <w:rPr>
          <w:rFonts w:ascii="Times New Roman" w:hAnsi="Times New Roman" w:cs="Times New Roman"/>
          <w:sz w:val="24"/>
          <w:szCs w:val="24"/>
        </w:rPr>
        <w:t xml:space="preserve">by so many Committee members </w:t>
      </w:r>
      <w:r w:rsidR="0015557C" w:rsidRPr="00D22649">
        <w:rPr>
          <w:rFonts w:ascii="Times New Roman" w:hAnsi="Times New Roman" w:cs="Times New Roman"/>
          <w:sz w:val="24"/>
          <w:szCs w:val="24"/>
        </w:rPr>
        <w:t xml:space="preserve">as comprising </w:t>
      </w:r>
      <w:r w:rsidR="00940BB7" w:rsidRPr="00D22649">
        <w:rPr>
          <w:rFonts w:ascii="Times New Roman" w:hAnsi="Times New Roman" w:cs="Times New Roman"/>
          <w:sz w:val="24"/>
          <w:szCs w:val="24"/>
        </w:rPr>
        <w:t xml:space="preserve">an important part of </w:t>
      </w:r>
      <w:r w:rsidR="0015557C" w:rsidRPr="00D22649">
        <w:rPr>
          <w:rFonts w:ascii="Times New Roman" w:hAnsi="Times New Roman" w:cs="Times New Roman"/>
          <w:sz w:val="24"/>
          <w:szCs w:val="24"/>
        </w:rPr>
        <w:t xml:space="preserve">a woman’s </w:t>
      </w:r>
      <w:r w:rsidR="00940BB7" w:rsidRPr="00D22649">
        <w:rPr>
          <w:rFonts w:ascii="Times New Roman" w:hAnsi="Times New Roman" w:cs="Times New Roman"/>
          <w:sz w:val="24"/>
          <w:szCs w:val="24"/>
        </w:rPr>
        <w:t>identity.</w:t>
      </w:r>
      <w:r w:rsidR="007849D5" w:rsidRPr="00D22649">
        <w:rPr>
          <w:rFonts w:ascii="Times New Roman" w:hAnsi="Times New Roman" w:cs="Times New Roman"/>
          <w:sz w:val="24"/>
          <w:szCs w:val="24"/>
        </w:rPr>
        <w:t xml:space="preserve">  </w:t>
      </w:r>
      <w:r w:rsidR="00456C15" w:rsidRPr="00D22649">
        <w:rPr>
          <w:rFonts w:ascii="Times New Roman" w:hAnsi="Times New Roman" w:cs="Times New Roman"/>
          <w:sz w:val="24"/>
          <w:szCs w:val="24"/>
        </w:rPr>
        <w:t>A subsequent case against the UK concern</w:t>
      </w:r>
      <w:r>
        <w:rPr>
          <w:rFonts w:ascii="Times New Roman" w:hAnsi="Times New Roman" w:cs="Times New Roman"/>
          <w:sz w:val="24"/>
          <w:szCs w:val="24"/>
        </w:rPr>
        <w:t>ing</w:t>
      </w:r>
      <w:r w:rsidR="00456C15" w:rsidRPr="00D22649">
        <w:rPr>
          <w:rFonts w:ascii="Times New Roman" w:hAnsi="Times New Roman" w:cs="Times New Roman"/>
          <w:sz w:val="24"/>
          <w:szCs w:val="24"/>
        </w:rPr>
        <w:t xml:space="preserve"> </w:t>
      </w:r>
      <w:r>
        <w:rPr>
          <w:rFonts w:ascii="Times New Roman" w:hAnsi="Times New Roman" w:cs="Times New Roman"/>
          <w:sz w:val="24"/>
          <w:szCs w:val="24"/>
        </w:rPr>
        <w:t>a</w:t>
      </w:r>
      <w:r w:rsidR="00456C15" w:rsidRPr="00D22649">
        <w:rPr>
          <w:rFonts w:ascii="Times New Roman" w:hAnsi="Times New Roman" w:cs="Times New Roman"/>
          <w:sz w:val="24"/>
          <w:szCs w:val="24"/>
        </w:rPr>
        <w:t xml:space="preserve"> British author’s son, born in 1954 in Colombia to </w:t>
      </w:r>
      <w:r w:rsidR="001E075A" w:rsidRPr="00D22649">
        <w:rPr>
          <w:rFonts w:ascii="Times New Roman" w:hAnsi="Times New Roman" w:cs="Times New Roman"/>
          <w:sz w:val="24"/>
          <w:szCs w:val="24"/>
        </w:rPr>
        <w:t xml:space="preserve">a </w:t>
      </w:r>
      <w:r w:rsidR="00456C15" w:rsidRPr="00D22649">
        <w:rPr>
          <w:rFonts w:ascii="Times New Roman" w:hAnsi="Times New Roman" w:cs="Times New Roman"/>
          <w:sz w:val="24"/>
          <w:szCs w:val="24"/>
        </w:rPr>
        <w:t xml:space="preserve">Colombian father, to whom she could not pass on </w:t>
      </w:r>
      <w:r w:rsidR="00456C15" w:rsidRPr="00D22649">
        <w:rPr>
          <w:rFonts w:ascii="Times New Roman" w:hAnsi="Times New Roman" w:cs="Times New Roman"/>
          <w:sz w:val="24"/>
          <w:szCs w:val="24"/>
        </w:rPr>
        <w:lastRenderedPageBreak/>
        <w:t xml:space="preserve">her British nationality was </w:t>
      </w:r>
      <w:r w:rsidR="00532492" w:rsidRPr="00D22649">
        <w:rPr>
          <w:rFonts w:ascii="Times New Roman" w:hAnsi="Times New Roman" w:cs="Times New Roman"/>
          <w:sz w:val="24"/>
          <w:szCs w:val="24"/>
        </w:rPr>
        <w:t xml:space="preserve">also </w:t>
      </w:r>
      <w:r w:rsidR="00456C15" w:rsidRPr="00D22649">
        <w:rPr>
          <w:rFonts w:ascii="Times New Roman" w:hAnsi="Times New Roman" w:cs="Times New Roman"/>
          <w:sz w:val="24"/>
          <w:szCs w:val="24"/>
        </w:rPr>
        <w:t>held to be inadmissible</w:t>
      </w:r>
      <w:r w:rsidR="00532492" w:rsidRPr="00D22649">
        <w:rPr>
          <w:rFonts w:ascii="Times New Roman" w:hAnsi="Times New Roman" w:cs="Times New Roman"/>
          <w:sz w:val="24"/>
          <w:szCs w:val="24"/>
        </w:rPr>
        <w:t>, in this case</w:t>
      </w:r>
      <w:r w:rsidR="00456C15" w:rsidRPr="00D22649">
        <w:rPr>
          <w:rFonts w:ascii="Times New Roman" w:hAnsi="Times New Roman" w:cs="Times New Roman"/>
          <w:sz w:val="24"/>
          <w:szCs w:val="24"/>
        </w:rPr>
        <w:t xml:space="preserve"> for non-exhaustion of domestic remedies.</w:t>
      </w:r>
      <w:r w:rsidR="00C271B7" w:rsidRPr="00D22649">
        <w:rPr>
          <w:rStyle w:val="FootnoteReference"/>
          <w:rFonts w:ascii="Times New Roman" w:hAnsi="Times New Roman" w:cs="Times New Roman"/>
          <w:sz w:val="24"/>
          <w:szCs w:val="24"/>
        </w:rPr>
        <w:footnoteReference w:id="68"/>
      </w:r>
    </w:p>
    <w:p w14:paraId="1EF3A2C2" w14:textId="00DE1C7E" w:rsidR="001C1AE9" w:rsidRPr="00D22649" w:rsidRDefault="00FA367F"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7849D5" w:rsidRPr="00D22649">
        <w:rPr>
          <w:rFonts w:ascii="Times New Roman" w:hAnsi="Times New Roman" w:cs="Times New Roman"/>
          <w:sz w:val="24"/>
          <w:szCs w:val="24"/>
        </w:rPr>
        <w:t xml:space="preserve">The significance of </w:t>
      </w:r>
      <w:r w:rsidR="0019437B" w:rsidRPr="00D22649">
        <w:rPr>
          <w:rFonts w:ascii="Times New Roman" w:hAnsi="Times New Roman" w:cs="Times New Roman"/>
          <w:sz w:val="24"/>
          <w:szCs w:val="24"/>
        </w:rPr>
        <w:t xml:space="preserve">identity </w:t>
      </w:r>
      <w:r w:rsidR="001E075A" w:rsidRPr="00D22649">
        <w:rPr>
          <w:rFonts w:ascii="Times New Roman" w:hAnsi="Times New Roman" w:cs="Times New Roman"/>
          <w:sz w:val="24"/>
          <w:szCs w:val="24"/>
        </w:rPr>
        <w:t>issue</w:t>
      </w:r>
      <w:r w:rsidR="0019437B" w:rsidRPr="00D22649">
        <w:rPr>
          <w:rFonts w:ascii="Times New Roman" w:hAnsi="Times New Roman" w:cs="Times New Roman"/>
          <w:sz w:val="24"/>
          <w:szCs w:val="24"/>
        </w:rPr>
        <w:t>s</w:t>
      </w:r>
      <w:r w:rsidR="007849D5" w:rsidRPr="00D22649">
        <w:rPr>
          <w:rFonts w:ascii="Times New Roman" w:hAnsi="Times New Roman" w:cs="Times New Roman"/>
          <w:sz w:val="24"/>
          <w:szCs w:val="24"/>
        </w:rPr>
        <w:t xml:space="preserve"> was brought home in two cases which concerned laws that insisted individuals retain their father’s family name, even where </w:t>
      </w:r>
      <w:r w:rsidR="00B51F49" w:rsidRPr="00D22649">
        <w:rPr>
          <w:rFonts w:ascii="Times New Roman" w:hAnsi="Times New Roman" w:cs="Times New Roman"/>
          <w:sz w:val="24"/>
          <w:szCs w:val="24"/>
        </w:rPr>
        <w:t>that</w:t>
      </w:r>
      <w:r w:rsidR="007849D5" w:rsidRPr="00D22649">
        <w:rPr>
          <w:rFonts w:ascii="Times New Roman" w:hAnsi="Times New Roman" w:cs="Times New Roman"/>
          <w:sz w:val="24"/>
          <w:szCs w:val="24"/>
        </w:rPr>
        <w:t xml:space="preserve"> father had been absent from their lives.  The cases were brought </w:t>
      </w:r>
      <w:r>
        <w:rPr>
          <w:rFonts w:ascii="Times New Roman" w:hAnsi="Times New Roman" w:cs="Times New Roman"/>
          <w:sz w:val="24"/>
          <w:szCs w:val="24"/>
        </w:rPr>
        <w:t xml:space="preserve">both </w:t>
      </w:r>
      <w:r w:rsidR="007849D5" w:rsidRPr="00D22649">
        <w:rPr>
          <w:rFonts w:ascii="Times New Roman" w:hAnsi="Times New Roman" w:cs="Times New Roman"/>
          <w:sz w:val="24"/>
          <w:szCs w:val="24"/>
        </w:rPr>
        <w:t xml:space="preserve">by mothers on behalf of their children and by adults seeking to change their own </w:t>
      </w:r>
      <w:r w:rsidR="00226C02" w:rsidRPr="00D22649">
        <w:rPr>
          <w:rFonts w:ascii="Times New Roman" w:hAnsi="Times New Roman" w:cs="Times New Roman"/>
          <w:sz w:val="24"/>
          <w:szCs w:val="24"/>
        </w:rPr>
        <w:t xml:space="preserve">family </w:t>
      </w:r>
      <w:r w:rsidR="007849D5" w:rsidRPr="00D22649">
        <w:rPr>
          <w:rFonts w:ascii="Times New Roman" w:hAnsi="Times New Roman" w:cs="Times New Roman"/>
          <w:sz w:val="24"/>
          <w:szCs w:val="24"/>
        </w:rPr>
        <w:t xml:space="preserve">names.  </w:t>
      </w:r>
      <w:r w:rsidR="009E4AB2" w:rsidRPr="00D22649">
        <w:rPr>
          <w:rFonts w:ascii="Times New Roman" w:hAnsi="Times New Roman" w:cs="Times New Roman"/>
          <w:sz w:val="24"/>
          <w:szCs w:val="24"/>
        </w:rPr>
        <w:t xml:space="preserve">In </w:t>
      </w:r>
      <w:r w:rsidR="009E4AB2" w:rsidRPr="00D22649">
        <w:rPr>
          <w:rFonts w:ascii="Times New Roman" w:hAnsi="Times New Roman" w:cs="Times New Roman"/>
          <w:i/>
          <w:sz w:val="24"/>
          <w:szCs w:val="24"/>
        </w:rPr>
        <w:t>G.D and S.F. v</w:t>
      </w:r>
      <w:r>
        <w:rPr>
          <w:rFonts w:ascii="Times New Roman" w:hAnsi="Times New Roman" w:cs="Times New Roman"/>
          <w:i/>
          <w:sz w:val="24"/>
          <w:szCs w:val="24"/>
        </w:rPr>
        <w:t>.</w:t>
      </w:r>
      <w:r w:rsidR="009E4AB2" w:rsidRPr="00D22649">
        <w:rPr>
          <w:rFonts w:ascii="Times New Roman" w:hAnsi="Times New Roman" w:cs="Times New Roman"/>
          <w:i/>
          <w:sz w:val="24"/>
          <w:szCs w:val="24"/>
        </w:rPr>
        <w:t xml:space="preserve"> France</w:t>
      </w:r>
      <w:r w:rsidR="009E4AB2" w:rsidRPr="00D22649">
        <w:rPr>
          <w:rFonts w:ascii="Times New Roman" w:hAnsi="Times New Roman" w:cs="Times New Roman"/>
          <w:sz w:val="24"/>
          <w:szCs w:val="24"/>
        </w:rPr>
        <w:t>,</w:t>
      </w:r>
      <w:r w:rsidR="009E4AB2" w:rsidRPr="00D22649">
        <w:rPr>
          <w:rStyle w:val="FootnoteReference"/>
          <w:rFonts w:ascii="Times New Roman" w:hAnsi="Times New Roman" w:cs="Times New Roman"/>
          <w:sz w:val="24"/>
          <w:szCs w:val="24"/>
        </w:rPr>
        <w:footnoteReference w:id="69"/>
      </w:r>
      <w:r w:rsidR="009E4AB2" w:rsidRPr="00D22649">
        <w:rPr>
          <w:rFonts w:ascii="Times New Roman" w:hAnsi="Times New Roman" w:cs="Times New Roman"/>
          <w:sz w:val="24"/>
          <w:szCs w:val="24"/>
        </w:rPr>
        <w:t xml:space="preserve"> a </w:t>
      </w:r>
      <w:r w:rsidR="0026235D" w:rsidRPr="00D22649">
        <w:rPr>
          <w:rFonts w:ascii="Times New Roman" w:hAnsi="Times New Roman" w:cs="Times New Roman"/>
          <w:sz w:val="24"/>
          <w:szCs w:val="24"/>
        </w:rPr>
        <w:t xml:space="preserve">majority of the </w:t>
      </w:r>
      <w:r w:rsidR="00226C02" w:rsidRPr="00D22649">
        <w:rPr>
          <w:rFonts w:ascii="Times New Roman" w:hAnsi="Times New Roman" w:cs="Times New Roman"/>
          <w:sz w:val="24"/>
          <w:szCs w:val="24"/>
        </w:rPr>
        <w:t xml:space="preserve">Committee found the communications </w:t>
      </w:r>
      <w:r w:rsidR="002306B0" w:rsidRPr="00D22649">
        <w:rPr>
          <w:rFonts w:ascii="Times New Roman" w:hAnsi="Times New Roman" w:cs="Times New Roman"/>
          <w:sz w:val="24"/>
          <w:szCs w:val="24"/>
        </w:rPr>
        <w:t xml:space="preserve">brought by </w:t>
      </w:r>
      <w:r w:rsidR="0093520B" w:rsidRPr="00D22649">
        <w:rPr>
          <w:rFonts w:ascii="Times New Roman" w:hAnsi="Times New Roman" w:cs="Times New Roman"/>
          <w:sz w:val="24"/>
          <w:szCs w:val="24"/>
        </w:rPr>
        <w:t>childless single women</w:t>
      </w:r>
      <w:r w:rsidR="002306B0" w:rsidRPr="00D22649">
        <w:rPr>
          <w:rFonts w:ascii="Times New Roman" w:hAnsi="Times New Roman" w:cs="Times New Roman"/>
          <w:sz w:val="24"/>
          <w:szCs w:val="24"/>
        </w:rPr>
        <w:t xml:space="preserve"> wishing to change their own names </w:t>
      </w:r>
      <w:r w:rsidR="00226C02" w:rsidRPr="00D22649">
        <w:rPr>
          <w:rFonts w:ascii="Times New Roman" w:hAnsi="Times New Roman" w:cs="Times New Roman"/>
          <w:sz w:val="24"/>
          <w:szCs w:val="24"/>
        </w:rPr>
        <w:t>to be inadmissible</w:t>
      </w:r>
      <w:r w:rsidR="002306B0" w:rsidRPr="00D22649">
        <w:rPr>
          <w:rFonts w:ascii="Times New Roman" w:hAnsi="Times New Roman" w:cs="Times New Roman"/>
          <w:sz w:val="24"/>
          <w:szCs w:val="24"/>
        </w:rPr>
        <w:t xml:space="preserve"> </w:t>
      </w:r>
      <w:r w:rsidR="00B51F49" w:rsidRPr="00D22649">
        <w:rPr>
          <w:rFonts w:ascii="Times New Roman" w:hAnsi="Times New Roman" w:cs="Times New Roman"/>
          <w:i/>
          <w:sz w:val="24"/>
          <w:szCs w:val="24"/>
        </w:rPr>
        <w:t>ratio materiae</w:t>
      </w:r>
      <w:r w:rsidR="00785198" w:rsidRPr="00D22649">
        <w:rPr>
          <w:rFonts w:ascii="Times New Roman" w:hAnsi="Times New Roman" w:cs="Times New Roman"/>
          <w:sz w:val="24"/>
          <w:szCs w:val="24"/>
        </w:rPr>
        <w:t>, holding</w:t>
      </w:r>
      <w:r w:rsidR="00AF5B84" w:rsidRPr="00D22649">
        <w:rPr>
          <w:rFonts w:ascii="Times New Roman" w:hAnsi="Times New Roman" w:cs="Times New Roman"/>
          <w:sz w:val="24"/>
          <w:szCs w:val="24"/>
        </w:rPr>
        <w:t xml:space="preserve"> </w:t>
      </w:r>
      <w:r>
        <w:rPr>
          <w:rFonts w:ascii="Times New Roman" w:hAnsi="Times New Roman" w:cs="Times New Roman"/>
          <w:sz w:val="24"/>
          <w:szCs w:val="24"/>
        </w:rPr>
        <w:t>that A</w:t>
      </w:r>
      <w:r w:rsidR="00785198" w:rsidRPr="00D22649">
        <w:rPr>
          <w:rFonts w:ascii="Times New Roman" w:hAnsi="Times New Roman" w:cs="Times New Roman"/>
          <w:sz w:val="24"/>
          <w:szCs w:val="24"/>
        </w:rPr>
        <w:t xml:space="preserve">rticle </w:t>
      </w:r>
      <w:r w:rsidR="004927F6" w:rsidRPr="00D22649">
        <w:rPr>
          <w:rFonts w:ascii="Times New Roman" w:hAnsi="Times New Roman" w:cs="Times New Roman"/>
          <w:sz w:val="24"/>
          <w:szCs w:val="24"/>
        </w:rPr>
        <w:t>16</w:t>
      </w:r>
      <w:r w:rsidR="0019437B" w:rsidRPr="00D22649">
        <w:rPr>
          <w:rFonts w:ascii="Times New Roman" w:hAnsi="Times New Roman" w:cs="Times New Roman"/>
          <w:sz w:val="24"/>
          <w:szCs w:val="24"/>
        </w:rPr>
        <w:t>(</w:t>
      </w:r>
      <w:r w:rsidR="004927F6" w:rsidRPr="00D22649">
        <w:rPr>
          <w:rFonts w:ascii="Times New Roman" w:hAnsi="Times New Roman" w:cs="Times New Roman"/>
          <w:sz w:val="24"/>
          <w:szCs w:val="24"/>
        </w:rPr>
        <w:t>1</w:t>
      </w:r>
      <w:r w:rsidR="0019437B" w:rsidRPr="00D22649">
        <w:rPr>
          <w:rFonts w:ascii="Times New Roman" w:hAnsi="Times New Roman" w:cs="Times New Roman"/>
          <w:sz w:val="24"/>
          <w:szCs w:val="24"/>
        </w:rPr>
        <w:t>)</w:t>
      </w:r>
      <w:r w:rsidR="004927F6" w:rsidRPr="00D22649">
        <w:rPr>
          <w:rFonts w:ascii="Times New Roman" w:hAnsi="Times New Roman" w:cs="Times New Roman"/>
          <w:sz w:val="24"/>
          <w:szCs w:val="24"/>
        </w:rPr>
        <w:t xml:space="preserve">(g) </w:t>
      </w:r>
      <w:r w:rsidR="00C902B2" w:rsidRPr="00D22649">
        <w:rPr>
          <w:rFonts w:ascii="Times New Roman" w:hAnsi="Times New Roman" w:cs="Times New Roman"/>
          <w:sz w:val="24"/>
          <w:szCs w:val="24"/>
        </w:rPr>
        <w:t>applies</w:t>
      </w:r>
      <w:r w:rsidR="004927F6" w:rsidRPr="00D22649">
        <w:rPr>
          <w:rFonts w:ascii="Times New Roman" w:hAnsi="Times New Roman" w:cs="Times New Roman"/>
          <w:sz w:val="24"/>
          <w:szCs w:val="24"/>
        </w:rPr>
        <w:t xml:space="preserve"> only </w:t>
      </w:r>
      <w:r>
        <w:rPr>
          <w:rFonts w:ascii="Times New Roman" w:hAnsi="Times New Roman" w:cs="Times New Roman"/>
          <w:sz w:val="24"/>
          <w:szCs w:val="24"/>
        </w:rPr>
        <w:t xml:space="preserve">to </w:t>
      </w:r>
      <w:r w:rsidR="004927F6" w:rsidRPr="00D22649">
        <w:rPr>
          <w:rFonts w:ascii="Times New Roman" w:hAnsi="Times New Roman" w:cs="Times New Roman"/>
          <w:sz w:val="24"/>
          <w:szCs w:val="24"/>
        </w:rPr>
        <w:t xml:space="preserve">married women, women living in </w:t>
      </w:r>
      <w:r w:rsidR="004927F6" w:rsidRPr="005B6796">
        <w:rPr>
          <w:rFonts w:ascii="Times New Roman" w:hAnsi="Times New Roman" w:cs="Times New Roman"/>
          <w:i/>
          <w:sz w:val="24"/>
          <w:szCs w:val="24"/>
        </w:rPr>
        <w:t>de facto</w:t>
      </w:r>
      <w:r w:rsidR="004927F6" w:rsidRPr="00D22649">
        <w:rPr>
          <w:rFonts w:ascii="Times New Roman" w:hAnsi="Times New Roman" w:cs="Times New Roman"/>
          <w:sz w:val="24"/>
          <w:szCs w:val="24"/>
        </w:rPr>
        <w:t xml:space="preserve"> union</w:t>
      </w:r>
      <w:r w:rsidR="00C902B2" w:rsidRPr="00D22649">
        <w:rPr>
          <w:rFonts w:ascii="Times New Roman" w:hAnsi="Times New Roman" w:cs="Times New Roman"/>
          <w:sz w:val="24"/>
          <w:szCs w:val="24"/>
        </w:rPr>
        <w:t>s</w:t>
      </w:r>
      <w:r w:rsidR="0019437B" w:rsidRPr="00D22649">
        <w:rPr>
          <w:rFonts w:ascii="Times New Roman" w:hAnsi="Times New Roman" w:cs="Times New Roman"/>
          <w:sz w:val="24"/>
          <w:szCs w:val="24"/>
        </w:rPr>
        <w:t>,</w:t>
      </w:r>
      <w:r w:rsidR="004927F6" w:rsidRPr="00D22649">
        <w:rPr>
          <w:rFonts w:ascii="Times New Roman" w:hAnsi="Times New Roman" w:cs="Times New Roman"/>
          <w:sz w:val="24"/>
          <w:szCs w:val="24"/>
        </w:rPr>
        <w:t xml:space="preserve"> and mothers.</w:t>
      </w:r>
      <w:r w:rsidR="007C756B" w:rsidRPr="00D22649">
        <w:rPr>
          <w:rStyle w:val="FootnoteReference"/>
          <w:rFonts w:ascii="Times New Roman" w:hAnsi="Times New Roman" w:cs="Times New Roman"/>
          <w:sz w:val="24"/>
          <w:szCs w:val="24"/>
        </w:rPr>
        <w:t xml:space="preserve"> </w:t>
      </w:r>
      <w:r w:rsidR="007C756B" w:rsidRPr="00D22649">
        <w:rPr>
          <w:rStyle w:val="FootnoteReference"/>
          <w:rFonts w:ascii="Times New Roman" w:hAnsi="Times New Roman" w:cs="Times New Roman"/>
          <w:sz w:val="24"/>
          <w:szCs w:val="24"/>
        </w:rPr>
        <w:footnoteReference w:id="70"/>
      </w:r>
      <w:r w:rsidR="00C902B2" w:rsidRPr="00D22649">
        <w:rPr>
          <w:rFonts w:ascii="Times New Roman" w:hAnsi="Times New Roman" w:cs="Times New Roman"/>
          <w:sz w:val="24"/>
          <w:szCs w:val="24"/>
        </w:rPr>
        <w:t xml:space="preserve">  </w:t>
      </w:r>
      <w:r w:rsidR="000D507F" w:rsidRPr="00D22649">
        <w:rPr>
          <w:rFonts w:ascii="Times New Roman" w:hAnsi="Times New Roman" w:cs="Times New Roman"/>
          <w:sz w:val="24"/>
          <w:szCs w:val="24"/>
        </w:rPr>
        <w:t>The majority further dismissed</w:t>
      </w:r>
      <w:r w:rsidR="0026235D" w:rsidRPr="00D22649">
        <w:rPr>
          <w:rFonts w:ascii="Times New Roman" w:hAnsi="Times New Roman" w:cs="Times New Roman"/>
          <w:sz w:val="24"/>
          <w:szCs w:val="24"/>
        </w:rPr>
        <w:t xml:space="preserve"> </w:t>
      </w:r>
      <w:r w:rsidR="000D507F" w:rsidRPr="00D22649">
        <w:rPr>
          <w:rFonts w:ascii="Times New Roman" w:hAnsi="Times New Roman" w:cs="Times New Roman"/>
          <w:sz w:val="24"/>
          <w:szCs w:val="24"/>
        </w:rPr>
        <w:t xml:space="preserve">all </w:t>
      </w:r>
      <w:r>
        <w:rPr>
          <w:rFonts w:ascii="Times New Roman" w:hAnsi="Times New Roman" w:cs="Times New Roman"/>
          <w:sz w:val="24"/>
          <w:szCs w:val="24"/>
        </w:rPr>
        <w:t>A</w:t>
      </w:r>
      <w:r w:rsidR="0026235D" w:rsidRPr="00D22649">
        <w:rPr>
          <w:rFonts w:ascii="Times New Roman" w:hAnsi="Times New Roman" w:cs="Times New Roman"/>
          <w:sz w:val="24"/>
          <w:szCs w:val="24"/>
        </w:rPr>
        <w:t>rticle 2 complaint</w:t>
      </w:r>
      <w:r w:rsidR="000D507F" w:rsidRPr="00D22649">
        <w:rPr>
          <w:rFonts w:ascii="Times New Roman" w:hAnsi="Times New Roman" w:cs="Times New Roman"/>
          <w:sz w:val="24"/>
          <w:szCs w:val="24"/>
        </w:rPr>
        <w:t>s</w:t>
      </w:r>
      <w:r w:rsidR="0026235D" w:rsidRPr="00D22649">
        <w:rPr>
          <w:rFonts w:ascii="Times New Roman" w:hAnsi="Times New Roman" w:cs="Times New Roman"/>
          <w:sz w:val="24"/>
          <w:szCs w:val="24"/>
        </w:rPr>
        <w:t xml:space="preserve">, </w:t>
      </w:r>
      <w:r w:rsidR="000D507F" w:rsidRPr="00D22649">
        <w:rPr>
          <w:rFonts w:ascii="Times New Roman" w:hAnsi="Times New Roman" w:cs="Times New Roman"/>
          <w:sz w:val="24"/>
          <w:szCs w:val="24"/>
        </w:rPr>
        <w:t>holding</w:t>
      </w:r>
      <w:r w:rsidR="00793990" w:rsidRPr="00D22649">
        <w:rPr>
          <w:rFonts w:ascii="Times New Roman" w:hAnsi="Times New Roman" w:cs="Times New Roman"/>
          <w:sz w:val="24"/>
          <w:szCs w:val="24"/>
        </w:rPr>
        <w:t xml:space="preserve"> that </w:t>
      </w:r>
      <w:r w:rsidR="000D507F" w:rsidRPr="00D22649">
        <w:rPr>
          <w:rFonts w:ascii="Times New Roman" w:hAnsi="Times New Roman" w:cs="Times New Roman"/>
          <w:sz w:val="24"/>
          <w:szCs w:val="24"/>
        </w:rPr>
        <w:t xml:space="preserve">all </w:t>
      </w:r>
      <w:r w:rsidR="0026235D" w:rsidRPr="00D22649">
        <w:rPr>
          <w:rFonts w:ascii="Times New Roman" w:hAnsi="Times New Roman" w:cs="Times New Roman"/>
          <w:sz w:val="24"/>
          <w:szCs w:val="24"/>
        </w:rPr>
        <w:t>authors</w:t>
      </w:r>
      <w:r w:rsidR="00793990" w:rsidRPr="00D22649">
        <w:rPr>
          <w:rFonts w:ascii="Times New Roman" w:hAnsi="Times New Roman" w:cs="Times New Roman"/>
          <w:sz w:val="24"/>
          <w:szCs w:val="24"/>
        </w:rPr>
        <w:t xml:space="preserve"> would have been given their fathers</w:t>
      </w:r>
      <w:r>
        <w:rPr>
          <w:rFonts w:ascii="Times New Roman" w:hAnsi="Times New Roman" w:cs="Times New Roman"/>
          <w:sz w:val="24"/>
          <w:szCs w:val="24"/>
        </w:rPr>
        <w:t>’</w:t>
      </w:r>
      <w:r w:rsidR="00793990" w:rsidRPr="00D22649">
        <w:rPr>
          <w:rFonts w:ascii="Times New Roman" w:hAnsi="Times New Roman" w:cs="Times New Roman"/>
          <w:sz w:val="24"/>
          <w:szCs w:val="24"/>
        </w:rPr>
        <w:t xml:space="preserve"> name</w:t>
      </w:r>
      <w:r>
        <w:rPr>
          <w:rFonts w:ascii="Times New Roman" w:hAnsi="Times New Roman" w:cs="Times New Roman"/>
          <w:sz w:val="24"/>
          <w:szCs w:val="24"/>
        </w:rPr>
        <w:t>s</w:t>
      </w:r>
      <w:r w:rsidR="00793990" w:rsidRPr="00D22649">
        <w:rPr>
          <w:rFonts w:ascii="Times New Roman" w:hAnsi="Times New Roman" w:cs="Times New Roman"/>
          <w:sz w:val="24"/>
          <w:szCs w:val="24"/>
        </w:rPr>
        <w:t xml:space="preserve"> regardless of their own sex.  </w:t>
      </w:r>
      <w:r w:rsidR="0093520B" w:rsidRPr="00D22649">
        <w:rPr>
          <w:rFonts w:ascii="Times New Roman" w:hAnsi="Times New Roman" w:cs="Times New Roman"/>
          <w:sz w:val="24"/>
          <w:szCs w:val="24"/>
        </w:rPr>
        <w:t xml:space="preserve">The reasoning was applied also in </w:t>
      </w:r>
      <w:r w:rsidR="0093520B" w:rsidRPr="00D22649">
        <w:rPr>
          <w:rFonts w:ascii="Times New Roman" w:hAnsi="Times New Roman" w:cs="Times New Roman"/>
          <w:i/>
          <w:sz w:val="24"/>
          <w:szCs w:val="24"/>
        </w:rPr>
        <w:t>Dayras et al</w:t>
      </w:r>
      <w:r>
        <w:rPr>
          <w:rFonts w:ascii="Times New Roman" w:hAnsi="Times New Roman" w:cs="Times New Roman"/>
          <w:i/>
          <w:sz w:val="24"/>
          <w:szCs w:val="24"/>
        </w:rPr>
        <w:t>.</w:t>
      </w:r>
      <w:r w:rsidR="009B755F" w:rsidRPr="00D22649">
        <w:rPr>
          <w:rFonts w:ascii="Times New Roman" w:hAnsi="Times New Roman" w:cs="Times New Roman"/>
          <w:i/>
          <w:sz w:val="24"/>
          <w:szCs w:val="24"/>
        </w:rPr>
        <w:t xml:space="preserve"> v</w:t>
      </w:r>
      <w:r>
        <w:rPr>
          <w:rFonts w:ascii="Times New Roman" w:hAnsi="Times New Roman" w:cs="Times New Roman"/>
          <w:i/>
          <w:sz w:val="24"/>
          <w:szCs w:val="24"/>
        </w:rPr>
        <w:t>.</w:t>
      </w:r>
      <w:r w:rsidR="009B755F" w:rsidRPr="00D22649">
        <w:rPr>
          <w:rFonts w:ascii="Times New Roman" w:hAnsi="Times New Roman" w:cs="Times New Roman"/>
          <w:i/>
          <w:sz w:val="24"/>
          <w:szCs w:val="24"/>
        </w:rPr>
        <w:t xml:space="preserve"> France</w:t>
      </w:r>
      <w:r w:rsidR="0093520B" w:rsidRPr="00D22649">
        <w:rPr>
          <w:rFonts w:ascii="Times New Roman" w:hAnsi="Times New Roman" w:cs="Times New Roman"/>
          <w:sz w:val="24"/>
          <w:szCs w:val="24"/>
        </w:rPr>
        <w:t>,</w:t>
      </w:r>
      <w:r w:rsidR="004C69E8" w:rsidRPr="00D22649">
        <w:rPr>
          <w:rStyle w:val="FootnoteReference"/>
          <w:rFonts w:ascii="Times New Roman" w:hAnsi="Times New Roman" w:cs="Times New Roman"/>
          <w:sz w:val="24"/>
          <w:szCs w:val="24"/>
        </w:rPr>
        <w:footnoteReference w:id="71"/>
      </w:r>
      <w:r w:rsidR="0093520B" w:rsidRPr="00D22649">
        <w:rPr>
          <w:rFonts w:ascii="Times New Roman" w:hAnsi="Times New Roman" w:cs="Times New Roman"/>
          <w:sz w:val="24"/>
          <w:szCs w:val="24"/>
        </w:rPr>
        <w:t xml:space="preserve"> although the Committee additionally held that complaints brought on behalf of the authors’ adult children were inadmissible </w:t>
      </w:r>
      <w:r w:rsidR="0093520B" w:rsidRPr="00D22649">
        <w:rPr>
          <w:rFonts w:ascii="Times New Roman" w:hAnsi="Times New Roman" w:cs="Times New Roman"/>
          <w:i/>
          <w:sz w:val="24"/>
          <w:szCs w:val="24"/>
        </w:rPr>
        <w:t>ratione temporis</w:t>
      </w:r>
      <w:r w:rsidR="0093520B" w:rsidRPr="00D22649">
        <w:rPr>
          <w:rFonts w:ascii="Times New Roman" w:hAnsi="Times New Roman" w:cs="Times New Roman"/>
          <w:sz w:val="24"/>
          <w:szCs w:val="24"/>
        </w:rPr>
        <w:t xml:space="preserve"> and that </w:t>
      </w:r>
      <w:r w:rsidR="00532492" w:rsidRPr="00D22649">
        <w:rPr>
          <w:rFonts w:ascii="Times New Roman" w:hAnsi="Times New Roman" w:cs="Times New Roman"/>
          <w:sz w:val="24"/>
          <w:szCs w:val="24"/>
        </w:rPr>
        <w:t xml:space="preserve">a complaint </w:t>
      </w:r>
      <w:r w:rsidR="0093520B" w:rsidRPr="00D22649">
        <w:rPr>
          <w:rFonts w:ascii="Times New Roman" w:hAnsi="Times New Roman" w:cs="Times New Roman"/>
          <w:sz w:val="24"/>
          <w:szCs w:val="24"/>
        </w:rPr>
        <w:t xml:space="preserve">made on behalf of a minor was inadmissible for non-exhaustion of domestic remedies.  </w:t>
      </w:r>
    </w:p>
    <w:p w14:paraId="36A583A2" w14:textId="77777777" w:rsidR="007A6483" w:rsidRPr="00D22649" w:rsidRDefault="007A6483" w:rsidP="00D22649">
      <w:pPr>
        <w:spacing w:after="0" w:line="360" w:lineRule="auto"/>
        <w:jc w:val="both"/>
        <w:rPr>
          <w:rFonts w:ascii="Times New Roman" w:hAnsi="Times New Roman" w:cs="Times New Roman"/>
          <w:sz w:val="24"/>
          <w:szCs w:val="24"/>
        </w:rPr>
      </w:pPr>
    </w:p>
    <w:p w14:paraId="06B7A809" w14:textId="63F7B735" w:rsidR="009C029B" w:rsidRPr="00D22649" w:rsidRDefault="00FF509A" w:rsidP="00D22649">
      <w:pPr>
        <w:spacing w:after="0" w:line="360" w:lineRule="auto"/>
        <w:jc w:val="both"/>
        <w:rPr>
          <w:rFonts w:ascii="Times New Roman" w:hAnsi="Times New Roman" w:cs="Times New Roman"/>
          <w:b/>
          <w:sz w:val="24"/>
          <w:szCs w:val="24"/>
        </w:rPr>
      </w:pPr>
      <w:r w:rsidRPr="00D22649">
        <w:rPr>
          <w:rFonts w:ascii="Times New Roman" w:hAnsi="Times New Roman" w:cs="Times New Roman"/>
          <w:b/>
          <w:sz w:val="24"/>
          <w:szCs w:val="24"/>
        </w:rPr>
        <w:t>5</w:t>
      </w:r>
      <w:r w:rsidRPr="00D22649">
        <w:rPr>
          <w:rFonts w:ascii="Times New Roman" w:hAnsi="Times New Roman" w:cs="Times New Roman"/>
          <w:b/>
          <w:sz w:val="24"/>
          <w:szCs w:val="24"/>
        </w:rPr>
        <w:tab/>
      </w:r>
      <w:r w:rsidR="009C029B" w:rsidRPr="00D22649">
        <w:rPr>
          <w:rFonts w:ascii="Times New Roman" w:hAnsi="Times New Roman" w:cs="Times New Roman"/>
          <w:b/>
          <w:sz w:val="24"/>
          <w:szCs w:val="24"/>
        </w:rPr>
        <w:t>A Unique Contribution?</w:t>
      </w:r>
    </w:p>
    <w:p w14:paraId="394400B3" w14:textId="19D37426" w:rsidR="00CF341F" w:rsidRPr="00D22649" w:rsidRDefault="0030176E"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Early assessment of the Committee’s practice under the Optional Protocol </w:t>
      </w:r>
      <w:r w:rsidR="00AB61E1" w:rsidRPr="00D22649">
        <w:rPr>
          <w:rFonts w:ascii="Times New Roman" w:hAnsi="Times New Roman" w:cs="Times New Roman"/>
          <w:sz w:val="24"/>
          <w:szCs w:val="24"/>
        </w:rPr>
        <w:t xml:space="preserve">has </w:t>
      </w:r>
      <w:r w:rsidRPr="00D22649">
        <w:rPr>
          <w:rFonts w:ascii="Times New Roman" w:hAnsi="Times New Roman" w:cs="Times New Roman"/>
          <w:sz w:val="24"/>
          <w:szCs w:val="24"/>
        </w:rPr>
        <w:t>been mu</w:t>
      </w:r>
      <w:r w:rsidR="00E63FC0" w:rsidRPr="00D22649">
        <w:rPr>
          <w:rFonts w:ascii="Times New Roman" w:hAnsi="Times New Roman" w:cs="Times New Roman"/>
          <w:sz w:val="24"/>
          <w:szCs w:val="24"/>
        </w:rPr>
        <w:t xml:space="preserve">ted.  Flinterman describes </w:t>
      </w:r>
      <w:r w:rsidR="00ED4024" w:rsidRPr="00D22649">
        <w:rPr>
          <w:rFonts w:ascii="Times New Roman" w:hAnsi="Times New Roman" w:cs="Times New Roman"/>
          <w:sz w:val="24"/>
          <w:szCs w:val="24"/>
        </w:rPr>
        <w:t>the Optional Protocol</w:t>
      </w:r>
      <w:r w:rsidR="00E63FC0" w:rsidRPr="00D22649">
        <w:rPr>
          <w:rFonts w:ascii="Times New Roman" w:hAnsi="Times New Roman" w:cs="Times New Roman"/>
          <w:sz w:val="24"/>
          <w:szCs w:val="24"/>
        </w:rPr>
        <w:t xml:space="preserve"> as </w:t>
      </w:r>
      <w:r w:rsidR="00FA367F">
        <w:rPr>
          <w:rFonts w:ascii="Times New Roman" w:hAnsi="Times New Roman" w:cs="Times New Roman"/>
          <w:sz w:val="24"/>
          <w:szCs w:val="24"/>
        </w:rPr>
        <w:t xml:space="preserve">a </w:t>
      </w:r>
      <w:r w:rsidRPr="00D22649">
        <w:rPr>
          <w:rFonts w:ascii="Times New Roman" w:hAnsi="Times New Roman" w:cs="Times New Roman"/>
          <w:sz w:val="24"/>
          <w:szCs w:val="24"/>
        </w:rPr>
        <w:t>‘strong framework’</w:t>
      </w:r>
      <w:r w:rsidR="00E63FC0" w:rsidRPr="00D22649">
        <w:rPr>
          <w:rStyle w:val="FootnoteReference"/>
          <w:rFonts w:ascii="Times New Roman" w:hAnsi="Times New Roman" w:cs="Times New Roman"/>
          <w:sz w:val="24"/>
          <w:szCs w:val="24"/>
        </w:rPr>
        <w:footnoteReference w:id="72"/>
      </w:r>
      <w:r w:rsidRPr="00D22649">
        <w:rPr>
          <w:rFonts w:ascii="Times New Roman" w:hAnsi="Times New Roman" w:cs="Times New Roman"/>
          <w:sz w:val="24"/>
          <w:szCs w:val="24"/>
        </w:rPr>
        <w:t xml:space="preserve"> that has</w:t>
      </w:r>
      <w:r w:rsidR="003B1AB2" w:rsidRPr="00D22649">
        <w:rPr>
          <w:rFonts w:ascii="Times New Roman" w:hAnsi="Times New Roman" w:cs="Times New Roman"/>
          <w:sz w:val="24"/>
          <w:szCs w:val="24"/>
        </w:rPr>
        <w:t>, at least in respect of admissibility,</w:t>
      </w:r>
      <w:r w:rsidRPr="00D22649">
        <w:rPr>
          <w:rFonts w:ascii="Times New Roman" w:hAnsi="Times New Roman" w:cs="Times New Roman"/>
          <w:sz w:val="24"/>
          <w:szCs w:val="24"/>
        </w:rPr>
        <w:t xml:space="preserve"> been used ‘cautiously’.</w:t>
      </w:r>
      <w:r w:rsidR="00E63FC0" w:rsidRPr="00D22649">
        <w:rPr>
          <w:rStyle w:val="FootnoteReference"/>
          <w:rFonts w:ascii="Times New Roman" w:hAnsi="Times New Roman" w:cs="Times New Roman"/>
          <w:sz w:val="24"/>
          <w:szCs w:val="24"/>
        </w:rPr>
        <w:footnoteReference w:id="73"/>
      </w:r>
      <w:r w:rsidRPr="00D22649">
        <w:rPr>
          <w:rFonts w:ascii="Times New Roman" w:hAnsi="Times New Roman" w:cs="Times New Roman"/>
          <w:sz w:val="24"/>
          <w:szCs w:val="24"/>
        </w:rPr>
        <w:t xml:space="preserve">  He enjoins the Committee to be more </w:t>
      </w:r>
      <w:r w:rsidR="003B1AB2" w:rsidRPr="00D22649">
        <w:rPr>
          <w:rFonts w:ascii="Times New Roman" w:hAnsi="Times New Roman" w:cs="Times New Roman"/>
          <w:sz w:val="24"/>
          <w:szCs w:val="24"/>
        </w:rPr>
        <w:t>‘</w:t>
      </w:r>
      <w:r w:rsidRPr="00D22649">
        <w:rPr>
          <w:rFonts w:ascii="Times New Roman" w:hAnsi="Times New Roman" w:cs="Times New Roman"/>
          <w:sz w:val="24"/>
          <w:szCs w:val="24"/>
        </w:rPr>
        <w:t xml:space="preserve">creative </w:t>
      </w:r>
      <w:r w:rsidR="003B1AB2" w:rsidRPr="00D22649">
        <w:rPr>
          <w:rFonts w:ascii="Times New Roman" w:hAnsi="Times New Roman" w:cs="Times New Roman"/>
          <w:sz w:val="24"/>
          <w:szCs w:val="24"/>
        </w:rPr>
        <w:t xml:space="preserve">and </w:t>
      </w:r>
      <w:r w:rsidRPr="00D22649">
        <w:rPr>
          <w:rFonts w:ascii="Times New Roman" w:hAnsi="Times New Roman" w:cs="Times New Roman"/>
          <w:sz w:val="24"/>
          <w:szCs w:val="24"/>
        </w:rPr>
        <w:t>assertive</w:t>
      </w:r>
      <w:r w:rsidR="003B1AB2" w:rsidRPr="00D22649">
        <w:rPr>
          <w:rFonts w:ascii="Times New Roman" w:hAnsi="Times New Roman" w:cs="Times New Roman"/>
          <w:sz w:val="24"/>
          <w:szCs w:val="24"/>
        </w:rPr>
        <w:t>’</w:t>
      </w:r>
      <w:r w:rsidRPr="00D22649">
        <w:rPr>
          <w:rFonts w:ascii="Times New Roman" w:hAnsi="Times New Roman" w:cs="Times New Roman"/>
          <w:sz w:val="24"/>
          <w:szCs w:val="24"/>
        </w:rPr>
        <w:t xml:space="preserve"> if its wishes to reali</w:t>
      </w:r>
      <w:r w:rsidR="00FA367F">
        <w:rPr>
          <w:rFonts w:ascii="Times New Roman" w:hAnsi="Times New Roman" w:cs="Times New Roman"/>
          <w:sz w:val="24"/>
          <w:szCs w:val="24"/>
        </w:rPr>
        <w:t>z</w:t>
      </w:r>
      <w:r w:rsidRPr="00D22649">
        <w:rPr>
          <w:rFonts w:ascii="Times New Roman" w:hAnsi="Times New Roman" w:cs="Times New Roman"/>
          <w:sz w:val="24"/>
          <w:szCs w:val="24"/>
        </w:rPr>
        <w:t xml:space="preserve">e </w:t>
      </w:r>
      <w:r w:rsidR="003B1AB2" w:rsidRPr="00D22649">
        <w:rPr>
          <w:rFonts w:ascii="Times New Roman" w:hAnsi="Times New Roman" w:cs="Times New Roman"/>
          <w:sz w:val="24"/>
          <w:szCs w:val="24"/>
        </w:rPr>
        <w:t>its</w:t>
      </w:r>
      <w:r w:rsidRPr="00D22649">
        <w:rPr>
          <w:rFonts w:ascii="Times New Roman" w:hAnsi="Times New Roman" w:cs="Times New Roman"/>
          <w:sz w:val="24"/>
          <w:szCs w:val="24"/>
        </w:rPr>
        <w:t xml:space="preserve"> po</w:t>
      </w:r>
      <w:r w:rsidR="003B1AB2" w:rsidRPr="00D22649">
        <w:rPr>
          <w:rFonts w:ascii="Times New Roman" w:hAnsi="Times New Roman" w:cs="Times New Roman"/>
          <w:sz w:val="24"/>
          <w:szCs w:val="24"/>
        </w:rPr>
        <w:t>tential.</w:t>
      </w:r>
      <w:r w:rsidR="00ED4024" w:rsidRPr="00D22649">
        <w:rPr>
          <w:rStyle w:val="FootnoteReference"/>
          <w:rFonts w:ascii="Times New Roman" w:hAnsi="Times New Roman" w:cs="Times New Roman"/>
          <w:sz w:val="24"/>
          <w:szCs w:val="24"/>
        </w:rPr>
        <w:footnoteReference w:id="74"/>
      </w:r>
      <w:r w:rsidR="003B1AB2" w:rsidRPr="00D22649">
        <w:rPr>
          <w:rFonts w:ascii="Times New Roman" w:hAnsi="Times New Roman" w:cs="Times New Roman"/>
          <w:sz w:val="24"/>
          <w:szCs w:val="24"/>
        </w:rPr>
        <w:t xml:space="preserve"> </w:t>
      </w:r>
      <w:r w:rsidR="00A103AB" w:rsidRPr="00D22649">
        <w:rPr>
          <w:rFonts w:ascii="Times New Roman" w:hAnsi="Times New Roman" w:cs="Times New Roman"/>
          <w:sz w:val="24"/>
          <w:szCs w:val="24"/>
        </w:rPr>
        <w:t xml:space="preserve"> </w:t>
      </w:r>
      <w:r w:rsidR="00B51F49" w:rsidRPr="00D22649">
        <w:rPr>
          <w:rFonts w:ascii="Times New Roman" w:hAnsi="Times New Roman" w:cs="Times New Roman"/>
          <w:sz w:val="24"/>
          <w:szCs w:val="24"/>
        </w:rPr>
        <w:t xml:space="preserve">In a recent provocative article </w:t>
      </w:r>
      <w:r w:rsidR="00664E68" w:rsidRPr="00D22649">
        <w:rPr>
          <w:rFonts w:ascii="Times New Roman" w:hAnsi="Times New Roman" w:cs="Times New Roman"/>
          <w:sz w:val="24"/>
          <w:szCs w:val="24"/>
        </w:rPr>
        <w:t xml:space="preserve">Murdoch </w:t>
      </w:r>
      <w:r w:rsidR="00B51F49" w:rsidRPr="00D22649">
        <w:rPr>
          <w:rFonts w:ascii="Times New Roman" w:hAnsi="Times New Roman" w:cs="Times New Roman"/>
          <w:sz w:val="24"/>
          <w:szCs w:val="24"/>
        </w:rPr>
        <w:t>concludes</w:t>
      </w:r>
      <w:r w:rsidR="000C0DFD" w:rsidRPr="00D22649">
        <w:rPr>
          <w:rFonts w:ascii="Times New Roman" w:hAnsi="Times New Roman" w:cs="Times New Roman"/>
          <w:sz w:val="24"/>
          <w:szCs w:val="24"/>
        </w:rPr>
        <w:t xml:space="preserve"> that the Committee’s approach to admissibility </w:t>
      </w:r>
      <w:r w:rsidR="00664E68" w:rsidRPr="00D22649">
        <w:rPr>
          <w:rFonts w:ascii="Times New Roman" w:hAnsi="Times New Roman" w:cs="Times New Roman"/>
          <w:sz w:val="24"/>
          <w:szCs w:val="24"/>
        </w:rPr>
        <w:t>is ‘erratic’ and</w:t>
      </w:r>
      <w:r w:rsidR="000C0DFD" w:rsidRPr="00D22649">
        <w:rPr>
          <w:rFonts w:ascii="Times New Roman" w:hAnsi="Times New Roman" w:cs="Times New Roman"/>
          <w:sz w:val="24"/>
          <w:szCs w:val="24"/>
        </w:rPr>
        <w:t xml:space="preserve"> ‘potentially unsatisfactory’, dismiss</w:t>
      </w:r>
      <w:r w:rsidR="00B51F49" w:rsidRPr="00D22649">
        <w:rPr>
          <w:rFonts w:ascii="Times New Roman" w:hAnsi="Times New Roman" w:cs="Times New Roman"/>
          <w:sz w:val="24"/>
          <w:szCs w:val="24"/>
        </w:rPr>
        <w:t>es</w:t>
      </w:r>
      <w:r w:rsidR="00664E68" w:rsidRPr="00D22649">
        <w:rPr>
          <w:rFonts w:ascii="Times New Roman" w:hAnsi="Times New Roman" w:cs="Times New Roman"/>
          <w:sz w:val="24"/>
          <w:szCs w:val="24"/>
        </w:rPr>
        <w:t xml:space="preserve"> the hope that the Committee m</w:t>
      </w:r>
      <w:r w:rsidR="00FA367F">
        <w:rPr>
          <w:rFonts w:ascii="Times New Roman" w:hAnsi="Times New Roman" w:cs="Times New Roman"/>
          <w:sz w:val="24"/>
          <w:szCs w:val="24"/>
        </w:rPr>
        <w:t>ay</w:t>
      </w:r>
      <w:r w:rsidR="00664E68" w:rsidRPr="00D22649">
        <w:rPr>
          <w:rFonts w:ascii="Times New Roman" w:hAnsi="Times New Roman" w:cs="Times New Roman"/>
          <w:sz w:val="24"/>
          <w:szCs w:val="24"/>
        </w:rPr>
        <w:t xml:space="preserve"> develop new standards in discrimination law as merely a ‘theoretical possibility’, detect</w:t>
      </w:r>
      <w:r w:rsidR="00B51F49" w:rsidRPr="00D22649">
        <w:rPr>
          <w:rFonts w:ascii="Times New Roman" w:hAnsi="Times New Roman" w:cs="Times New Roman"/>
          <w:sz w:val="24"/>
          <w:szCs w:val="24"/>
        </w:rPr>
        <w:t>s</w:t>
      </w:r>
      <w:r w:rsidR="00664E68" w:rsidRPr="00D22649">
        <w:rPr>
          <w:rFonts w:ascii="Times New Roman" w:hAnsi="Times New Roman" w:cs="Times New Roman"/>
          <w:sz w:val="24"/>
          <w:szCs w:val="24"/>
        </w:rPr>
        <w:t xml:space="preserve"> no signs of any ‘add-on’ value</w:t>
      </w:r>
      <w:r w:rsidR="000C0DFD" w:rsidRPr="00D22649">
        <w:rPr>
          <w:rFonts w:ascii="Times New Roman" w:hAnsi="Times New Roman" w:cs="Times New Roman"/>
          <w:sz w:val="24"/>
          <w:szCs w:val="24"/>
        </w:rPr>
        <w:t>,</w:t>
      </w:r>
      <w:r w:rsidR="00664E68" w:rsidRPr="00D22649">
        <w:rPr>
          <w:rFonts w:ascii="Times New Roman" w:hAnsi="Times New Roman" w:cs="Times New Roman"/>
          <w:sz w:val="24"/>
          <w:szCs w:val="24"/>
        </w:rPr>
        <w:t xml:space="preserve"> and doubt</w:t>
      </w:r>
      <w:r w:rsidR="00B51F49" w:rsidRPr="00D22649">
        <w:rPr>
          <w:rFonts w:ascii="Times New Roman" w:hAnsi="Times New Roman" w:cs="Times New Roman"/>
          <w:sz w:val="24"/>
          <w:szCs w:val="24"/>
        </w:rPr>
        <w:t>s</w:t>
      </w:r>
      <w:r w:rsidR="00664E68" w:rsidRPr="00D22649">
        <w:rPr>
          <w:rFonts w:ascii="Times New Roman" w:hAnsi="Times New Roman" w:cs="Times New Roman"/>
          <w:sz w:val="24"/>
          <w:szCs w:val="24"/>
        </w:rPr>
        <w:t xml:space="preserve"> whether </w:t>
      </w:r>
      <w:r w:rsidR="000C0DFD" w:rsidRPr="00D22649">
        <w:rPr>
          <w:rFonts w:ascii="Times New Roman" w:hAnsi="Times New Roman" w:cs="Times New Roman"/>
          <w:sz w:val="24"/>
          <w:szCs w:val="24"/>
        </w:rPr>
        <w:t>CEDAW</w:t>
      </w:r>
      <w:r w:rsidR="00664E68" w:rsidRPr="00D22649">
        <w:rPr>
          <w:rFonts w:ascii="Times New Roman" w:hAnsi="Times New Roman" w:cs="Times New Roman"/>
          <w:sz w:val="24"/>
          <w:szCs w:val="24"/>
        </w:rPr>
        <w:t xml:space="preserve"> is </w:t>
      </w:r>
      <w:r w:rsidR="000C0DFD" w:rsidRPr="00D22649">
        <w:rPr>
          <w:rFonts w:ascii="Times New Roman" w:hAnsi="Times New Roman" w:cs="Times New Roman"/>
          <w:sz w:val="24"/>
          <w:szCs w:val="24"/>
        </w:rPr>
        <w:t xml:space="preserve">anyway </w:t>
      </w:r>
      <w:r w:rsidR="00664E68" w:rsidRPr="00D22649">
        <w:rPr>
          <w:rFonts w:ascii="Times New Roman" w:hAnsi="Times New Roman" w:cs="Times New Roman"/>
          <w:sz w:val="24"/>
          <w:szCs w:val="24"/>
        </w:rPr>
        <w:t>the most appropriate mechanism for achieving ‘authoritative determinations’ tackling issues of sex equality.</w:t>
      </w:r>
      <w:r w:rsidR="00F76F5A" w:rsidRPr="00D22649">
        <w:rPr>
          <w:rStyle w:val="FootnoteReference"/>
          <w:rFonts w:ascii="Times New Roman" w:hAnsi="Times New Roman" w:cs="Times New Roman"/>
          <w:sz w:val="24"/>
          <w:szCs w:val="24"/>
        </w:rPr>
        <w:footnoteReference w:id="75"/>
      </w:r>
      <w:r w:rsidR="00664E68" w:rsidRPr="00D22649">
        <w:rPr>
          <w:rFonts w:ascii="Times New Roman" w:hAnsi="Times New Roman" w:cs="Times New Roman"/>
          <w:sz w:val="24"/>
          <w:szCs w:val="24"/>
        </w:rPr>
        <w:t xml:space="preserve">  </w:t>
      </w:r>
      <w:r w:rsidR="00B51F49" w:rsidRPr="00D22649">
        <w:rPr>
          <w:rFonts w:ascii="Times New Roman" w:hAnsi="Times New Roman" w:cs="Times New Roman"/>
          <w:sz w:val="24"/>
          <w:szCs w:val="24"/>
        </w:rPr>
        <w:t>While</w:t>
      </w:r>
      <w:r w:rsidR="00664E68" w:rsidRPr="00D22649">
        <w:rPr>
          <w:rFonts w:ascii="Times New Roman" w:hAnsi="Times New Roman" w:cs="Times New Roman"/>
          <w:sz w:val="24"/>
          <w:szCs w:val="24"/>
        </w:rPr>
        <w:t xml:space="preserve"> CEDAW has </w:t>
      </w:r>
      <w:r w:rsidR="00B51F49" w:rsidRPr="00D22649">
        <w:rPr>
          <w:rFonts w:ascii="Times New Roman" w:hAnsi="Times New Roman" w:cs="Times New Roman"/>
          <w:sz w:val="24"/>
          <w:szCs w:val="24"/>
        </w:rPr>
        <w:t xml:space="preserve">clearly </w:t>
      </w:r>
      <w:r w:rsidR="00664E68" w:rsidRPr="00D22649">
        <w:rPr>
          <w:rFonts w:ascii="Times New Roman" w:hAnsi="Times New Roman" w:cs="Times New Roman"/>
          <w:sz w:val="24"/>
          <w:szCs w:val="24"/>
        </w:rPr>
        <w:t>not demonstrated consistency in its case</w:t>
      </w:r>
      <w:r w:rsidR="00FA367F">
        <w:rPr>
          <w:rFonts w:ascii="Times New Roman" w:hAnsi="Times New Roman" w:cs="Times New Roman"/>
          <w:sz w:val="24"/>
          <w:szCs w:val="24"/>
        </w:rPr>
        <w:t xml:space="preserve"> </w:t>
      </w:r>
      <w:r w:rsidR="00664E68" w:rsidRPr="00D22649">
        <w:rPr>
          <w:rFonts w:ascii="Times New Roman" w:hAnsi="Times New Roman" w:cs="Times New Roman"/>
          <w:sz w:val="24"/>
          <w:szCs w:val="24"/>
        </w:rPr>
        <w:t xml:space="preserve">law, I would </w:t>
      </w:r>
      <w:r w:rsidR="00B51F49" w:rsidRPr="00D22649">
        <w:rPr>
          <w:rFonts w:ascii="Times New Roman" w:hAnsi="Times New Roman" w:cs="Times New Roman"/>
          <w:sz w:val="24"/>
          <w:szCs w:val="24"/>
        </w:rPr>
        <w:t xml:space="preserve">respectfully </w:t>
      </w:r>
      <w:r w:rsidR="00664E68" w:rsidRPr="00D22649">
        <w:rPr>
          <w:rFonts w:ascii="Times New Roman" w:hAnsi="Times New Roman" w:cs="Times New Roman"/>
          <w:sz w:val="24"/>
          <w:szCs w:val="24"/>
        </w:rPr>
        <w:t xml:space="preserve">disagree that </w:t>
      </w:r>
      <w:r w:rsidR="00664E68" w:rsidRPr="00D22649">
        <w:rPr>
          <w:rFonts w:ascii="Times New Roman" w:hAnsi="Times New Roman" w:cs="Times New Roman"/>
          <w:sz w:val="24"/>
          <w:szCs w:val="24"/>
        </w:rPr>
        <w:lastRenderedPageBreak/>
        <w:t xml:space="preserve">this signals its failure.  </w:t>
      </w:r>
      <w:r w:rsidR="00CF15C4" w:rsidRPr="00D22649">
        <w:rPr>
          <w:rFonts w:ascii="Times New Roman" w:hAnsi="Times New Roman" w:cs="Times New Roman"/>
          <w:sz w:val="24"/>
          <w:szCs w:val="24"/>
        </w:rPr>
        <w:t xml:space="preserve">CEDAW </w:t>
      </w:r>
      <w:r w:rsidR="005E62DD" w:rsidRPr="00D22649">
        <w:rPr>
          <w:rFonts w:ascii="Times New Roman" w:hAnsi="Times New Roman" w:cs="Times New Roman"/>
          <w:sz w:val="24"/>
          <w:szCs w:val="24"/>
        </w:rPr>
        <w:t>neither</w:t>
      </w:r>
      <w:r w:rsidR="00CF15C4" w:rsidRPr="00D22649">
        <w:rPr>
          <w:rFonts w:ascii="Times New Roman" w:hAnsi="Times New Roman" w:cs="Times New Roman"/>
          <w:sz w:val="24"/>
          <w:szCs w:val="24"/>
        </w:rPr>
        <w:t xml:space="preserve"> consistently</w:t>
      </w:r>
      <w:r w:rsidR="005E62DD" w:rsidRPr="00D22649">
        <w:rPr>
          <w:rFonts w:ascii="Times New Roman" w:hAnsi="Times New Roman" w:cs="Times New Roman"/>
          <w:sz w:val="24"/>
          <w:szCs w:val="24"/>
        </w:rPr>
        <w:t xml:space="preserve"> occupies the radical edge nor is it</w:t>
      </w:r>
      <w:r w:rsidR="00CF15C4" w:rsidRPr="00D22649">
        <w:rPr>
          <w:rFonts w:ascii="Times New Roman" w:hAnsi="Times New Roman" w:cs="Times New Roman"/>
          <w:sz w:val="24"/>
          <w:szCs w:val="24"/>
        </w:rPr>
        <w:t xml:space="preserve"> stuck, behemoth-like, at the </w:t>
      </w:r>
      <w:r w:rsidR="005E62DD" w:rsidRPr="00D22649">
        <w:rPr>
          <w:rFonts w:ascii="Times New Roman" w:hAnsi="Times New Roman" w:cs="Times New Roman"/>
          <w:sz w:val="24"/>
          <w:szCs w:val="24"/>
        </w:rPr>
        <w:t>centre of human rights</w:t>
      </w:r>
      <w:r w:rsidR="00CF15C4" w:rsidRPr="00D22649">
        <w:rPr>
          <w:rFonts w:ascii="Times New Roman" w:hAnsi="Times New Roman" w:cs="Times New Roman"/>
          <w:sz w:val="24"/>
          <w:szCs w:val="24"/>
        </w:rPr>
        <w:t xml:space="preserve"> power</w:t>
      </w:r>
      <w:r w:rsidR="005E62DD" w:rsidRPr="00D22649">
        <w:rPr>
          <w:rFonts w:ascii="Times New Roman" w:hAnsi="Times New Roman" w:cs="Times New Roman"/>
          <w:sz w:val="24"/>
          <w:szCs w:val="24"/>
        </w:rPr>
        <w:t xml:space="preserve">: </w:t>
      </w:r>
      <w:r w:rsidR="00CF15C4" w:rsidRPr="00D22649">
        <w:rPr>
          <w:rFonts w:ascii="Times New Roman" w:hAnsi="Times New Roman" w:cs="Times New Roman"/>
          <w:sz w:val="24"/>
          <w:szCs w:val="24"/>
        </w:rPr>
        <w:t>rather, it</w:t>
      </w:r>
      <w:r w:rsidR="005E62DD" w:rsidRPr="00D22649">
        <w:rPr>
          <w:rFonts w:ascii="Times New Roman" w:hAnsi="Times New Roman" w:cs="Times New Roman"/>
          <w:sz w:val="24"/>
          <w:szCs w:val="24"/>
        </w:rPr>
        <w:t xml:space="preserve"> shifts between the centre and periphery</w:t>
      </w:r>
      <w:r w:rsidR="00CF15C4" w:rsidRPr="00D22649">
        <w:rPr>
          <w:rFonts w:ascii="Times New Roman" w:hAnsi="Times New Roman" w:cs="Times New Roman"/>
          <w:sz w:val="24"/>
          <w:szCs w:val="24"/>
        </w:rPr>
        <w:t>.  There is great potential in this</w:t>
      </w:r>
      <w:r w:rsidR="00664E68" w:rsidRPr="00D22649">
        <w:rPr>
          <w:rFonts w:ascii="Times New Roman" w:hAnsi="Times New Roman" w:cs="Times New Roman"/>
          <w:sz w:val="24"/>
          <w:szCs w:val="24"/>
        </w:rPr>
        <w:t xml:space="preserve"> flux</w:t>
      </w:r>
      <w:r w:rsidR="00CF15C4" w:rsidRPr="00D22649">
        <w:rPr>
          <w:rFonts w:ascii="Times New Roman" w:hAnsi="Times New Roman" w:cs="Times New Roman"/>
          <w:sz w:val="24"/>
          <w:szCs w:val="24"/>
        </w:rPr>
        <w:t xml:space="preserve">, but it is a potential that must be consciously </w:t>
      </w:r>
      <w:r w:rsidR="00DD0E23" w:rsidRPr="00D22649">
        <w:rPr>
          <w:rFonts w:ascii="Times New Roman" w:hAnsi="Times New Roman" w:cs="Times New Roman"/>
          <w:sz w:val="24"/>
          <w:szCs w:val="24"/>
        </w:rPr>
        <w:t>harnessed</w:t>
      </w:r>
      <w:r w:rsidR="00664E68" w:rsidRPr="00D22649">
        <w:rPr>
          <w:rFonts w:ascii="Times New Roman" w:hAnsi="Times New Roman" w:cs="Times New Roman"/>
          <w:sz w:val="24"/>
          <w:szCs w:val="24"/>
        </w:rPr>
        <w:t xml:space="preserve"> </w:t>
      </w:r>
      <w:r w:rsidR="00E145F6" w:rsidRPr="00D22649">
        <w:rPr>
          <w:rFonts w:ascii="Times New Roman" w:hAnsi="Times New Roman" w:cs="Times New Roman"/>
          <w:sz w:val="24"/>
          <w:szCs w:val="24"/>
        </w:rPr>
        <w:t xml:space="preserve">if </w:t>
      </w:r>
      <w:r w:rsidR="00664E68" w:rsidRPr="00D22649">
        <w:rPr>
          <w:rFonts w:ascii="Times New Roman" w:hAnsi="Times New Roman" w:cs="Times New Roman"/>
          <w:sz w:val="24"/>
          <w:szCs w:val="24"/>
        </w:rPr>
        <w:t>women’s rights are to be advanced</w:t>
      </w:r>
      <w:r w:rsidR="00CF15C4" w:rsidRPr="00D22649">
        <w:rPr>
          <w:rFonts w:ascii="Times New Roman" w:hAnsi="Times New Roman" w:cs="Times New Roman"/>
          <w:sz w:val="24"/>
          <w:szCs w:val="24"/>
        </w:rPr>
        <w:t>.  The greatest loss</w:t>
      </w:r>
      <w:r w:rsidR="00807C29" w:rsidRPr="00D22649">
        <w:rPr>
          <w:rFonts w:ascii="Times New Roman" w:hAnsi="Times New Roman" w:cs="Times New Roman"/>
          <w:sz w:val="24"/>
          <w:szCs w:val="24"/>
        </w:rPr>
        <w:t>es</w:t>
      </w:r>
      <w:r w:rsidR="00CF15C4" w:rsidRPr="00D22649">
        <w:rPr>
          <w:rFonts w:ascii="Times New Roman" w:hAnsi="Times New Roman" w:cs="Times New Roman"/>
          <w:sz w:val="24"/>
          <w:szCs w:val="24"/>
        </w:rPr>
        <w:t xml:space="preserve"> </w:t>
      </w:r>
      <w:r w:rsidR="00807C29" w:rsidRPr="00D22649">
        <w:rPr>
          <w:rFonts w:ascii="Times New Roman" w:hAnsi="Times New Roman" w:cs="Times New Roman"/>
          <w:sz w:val="24"/>
          <w:szCs w:val="24"/>
        </w:rPr>
        <w:t>occur</w:t>
      </w:r>
      <w:r w:rsidR="00CF15C4" w:rsidRPr="00D22649">
        <w:rPr>
          <w:rFonts w:ascii="Times New Roman" w:hAnsi="Times New Roman" w:cs="Times New Roman"/>
          <w:sz w:val="24"/>
          <w:szCs w:val="24"/>
        </w:rPr>
        <w:t xml:space="preserve"> </w:t>
      </w:r>
      <w:r w:rsidR="00E124B3" w:rsidRPr="00D22649">
        <w:rPr>
          <w:rFonts w:ascii="Times New Roman" w:hAnsi="Times New Roman" w:cs="Times New Roman"/>
          <w:sz w:val="24"/>
          <w:szCs w:val="24"/>
        </w:rPr>
        <w:t xml:space="preserve">where </w:t>
      </w:r>
      <w:r w:rsidR="00CF15C4" w:rsidRPr="00D22649">
        <w:rPr>
          <w:rFonts w:ascii="Times New Roman" w:hAnsi="Times New Roman" w:cs="Times New Roman"/>
          <w:sz w:val="24"/>
          <w:szCs w:val="24"/>
        </w:rPr>
        <w:t xml:space="preserve">positions </w:t>
      </w:r>
      <w:r w:rsidR="00E124B3" w:rsidRPr="00D22649">
        <w:rPr>
          <w:rFonts w:ascii="Times New Roman" w:hAnsi="Times New Roman" w:cs="Times New Roman"/>
          <w:sz w:val="24"/>
          <w:szCs w:val="24"/>
        </w:rPr>
        <w:t>are shifted</w:t>
      </w:r>
      <w:r w:rsidR="00FA367F">
        <w:rPr>
          <w:rFonts w:ascii="Times New Roman" w:hAnsi="Times New Roman" w:cs="Times New Roman"/>
          <w:sz w:val="24"/>
          <w:szCs w:val="24"/>
        </w:rPr>
        <w:t xml:space="preserve"> </w:t>
      </w:r>
      <w:r w:rsidR="00E124B3" w:rsidRPr="00D22649">
        <w:rPr>
          <w:rFonts w:ascii="Times New Roman" w:hAnsi="Times New Roman" w:cs="Times New Roman"/>
          <w:sz w:val="24"/>
          <w:szCs w:val="24"/>
        </w:rPr>
        <w:t xml:space="preserve">between </w:t>
      </w:r>
      <w:r w:rsidR="00CF15C4" w:rsidRPr="00D22649">
        <w:rPr>
          <w:rFonts w:ascii="Times New Roman" w:hAnsi="Times New Roman" w:cs="Times New Roman"/>
          <w:sz w:val="24"/>
          <w:szCs w:val="24"/>
        </w:rPr>
        <w:t>without awareness</w:t>
      </w:r>
      <w:r w:rsidR="00E145F6" w:rsidRPr="00D22649">
        <w:rPr>
          <w:rFonts w:ascii="Times New Roman" w:hAnsi="Times New Roman" w:cs="Times New Roman"/>
          <w:sz w:val="24"/>
          <w:szCs w:val="24"/>
        </w:rPr>
        <w:t xml:space="preserve"> </w:t>
      </w:r>
      <w:r w:rsidR="00CF15C4" w:rsidRPr="00D22649">
        <w:rPr>
          <w:rFonts w:ascii="Times New Roman" w:hAnsi="Times New Roman" w:cs="Times New Roman"/>
          <w:sz w:val="24"/>
          <w:szCs w:val="24"/>
        </w:rPr>
        <w:t>and without</w:t>
      </w:r>
      <w:r w:rsidR="00664E68" w:rsidRPr="00D22649">
        <w:rPr>
          <w:rFonts w:ascii="Times New Roman" w:hAnsi="Times New Roman" w:cs="Times New Roman"/>
          <w:sz w:val="24"/>
          <w:szCs w:val="24"/>
        </w:rPr>
        <w:t xml:space="preserve"> the potential for</w:t>
      </w:r>
      <w:r w:rsidR="00CF15C4" w:rsidRPr="00D22649">
        <w:rPr>
          <w:rFonts w:ascii="Times New Roman" w:hAnsi="Times New Roman" w:cs="Times New Roman"/>
          <w:sz w:val="24"/>
          <w:szCs w:val="24"/>
        </w:rPr>
        <w:t xml:space="preserve"> transformation in mind.  </w:t>
      </w:r>
      <w:r w:rsidR="00807C29" w:rsidRPr="00D22649">
        <w:rPr>
          <w:rFonts w:ascii="Times New Roman" w:hAnsi="Times New Roman" w:cs="Times New Roman"/>
          <w:sz w:val="24"/>
          <w:szCs w:val="24"/>
        </w:rPr>
        <w:t>As</w:t>
      </w:r>
      <w:r w:rsidR="00CF341F" w:rsidRPr="00D22649">
        <w:rPr>
          <w:rFonts w:ascii="Times New Roman" w:hAnsi="Times New Roman" w:cs="Times New Roman"/>
          <w:sz w:val="24"/>
          <w:szCs w:val="24"/>
        </w:rPr>
        <w:t xml:space="preserve"> Lacey states, for CEDAW’s more radical leanings to have effect requires not only</w:t>
      </w:r>
      <w:r w:rsidR="00EA4F61" w:rsidRPr="00D22649">
        <w:rPr>
          <w:rFonts w:ascii="Times New Roman" w:hAnsi="Times New Roman" w:cs="Times New Roman"/>
          <w:sz w:val="24"/>
          <w:szCs w:val="24"/>
        </w:rPr>
        <w:t xml:space="preserve"> focus, but active resistance: ‘</w:t>
      </w:r>
      <w:r w:rsidR="00FA367F">
        <w:rPr>
          <w:rFonts w:ascii="Times New Roman" w:hAnsi="Times New Roman" w:cs="Times New Roman"/>
          <w:sz w:val="24"/>
          <w:szCs w:val="24"/>
        </w:rPr>
        <w:t>[t]</w:t>
      </w:r>
      <w:r w:rsidR="00CF341F" w:rsidRPr="00D22649">
        <w:rPr>
          <w:rFonts w:ascii="Times New Roman" w:hAnsi="Times New Roman" w:cs="Times New Roman"/>
          <w:sz w:val="24"/>
          <w:szCs w:val="24"/>
        </w:rPr>
        <w:t>he critical dialogue potentially set up by CEDAW is, inevitably, distorted at every turn by the realities of political, cultural and economic power</w:t>
      </w:r>
      <w:r w:rsidR="00EA4F61" w:rsidRPr="00D22649">
        <w:rPr>
          <w:rFonts w:ascii="Times New Roman" w:hAnsi="Times New Roman" w:cs="Times New Roman"/>
          <w:sz w:val="24"/>
          <w:szCs w:val="24"/>
        </w:rPr>
        <w:t>’</w:t>
      </w:r>
      <w:r w:rsidR="00FA367F">
        <w:rPr>
          <w:rFonts w:ascii="Times New Roman" w:hAnsi="Times New Roman" w:cs="Times New Roman"/>
          <w:sz w:val="24"/>
          <w:szCs w:val="24"/>
        </w:rPr>
        <w:t>.</w:t>
      </w:r>
      <w:r w:rsidR="00CF341F" w:rsidRPr="00D22649">
        <w:rPr>
          <w:rStyle w:val="FootnoteReference"/>
          <w:rFonts w:ascii="Times New Roman" w:hAnsi="Times New Roman" w:cs="Times New Roman"/>
          <w:sz w:val="24"/>
          <w:szCs w:val="24"/>
        </w:rPr>
        <w:footnoteReference w:id="76"/>
      </w:r>
    </w:p>
    <w:p w14:paraId="0489A916" w14:textId="601B90D9" w:rsidR="00DE7FC1" w:rsidRPr="00D22649" w:rsidRDefault="00FA367F"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3E4779" w:rsidRPr="00D22649">
        <w:rPr>
          <w:rFonts w:ascii="Times New Roman" w:hAnsi="Times New Roman" w:cs="Times New Roman"/>
          <w:sz w:val="24"/>
          <w:szCs w:val="24"/>
        </w:rPr>
        <w:t>It</w:t>
      </w:r>
      <w:r w:rsidR="00017027" w:rsidRPr="00D22649">
        <w:rPr>
          <w:rFonts w:ascii="Times New Roman" w:hAnsi="Times New Roman" w:cs="Times New Roman"/>
          <w:sz w:val="24"/>
          <w:szCs w:val="24"/>
        </w:rPr>
        <w:t xml:space="preserve"> is right to be startled by the fact that </w:t>
      </w:r>
      <w:r w:rsidR="00DD0E23" w:rsidRPr="00D22649">
        <w:rPr>
          <w:rFonts w:ascii="Times New Roman" w:hAnsi="Times New Roman" w:cs="Times New Roman"/>
          <w:sz w:val="24"/>
          <w:szCs w:val="24"/>
        </w:rPr>
        <w:t xml:space="preserve">nearly </w:t>
      </w:r>
      <w:r w:rsidR="00017027" w:rsidRPr="00D22649">
        <w:rPr>
          <w:rFonts w:ascii="Times New Roman" w:hAnsi="Times New Roman" w:cs="Times New Roman"/>
          <w:sz w:val="24"/>
          <w:szCs w:val="24"/>
        </w:rPr>
        <w:t xml:space="preserve">all Communications </w:t>
      </w:r>
      <w:r w:rsidR="00A103AB" w:rsidRPr="00D22649">
        <w:rPr>
          <w:rFonts w:ascii="Times New Roman" w:hAnsi="Times New Roman" w:cs="Times New Roman"/>
          <w:sz w:val="24"/>
          <w:szCs w:val="24"/>
        </w:rPr>
        <w:t xml:space="preserve">outlined </w:t>
      </w:r>
      <w:r w:rsidR="00017027" w:rsidRPr="00D22649">
        <w:rPr>
          <w:rFonts w:ascii="Times New Roman" w:hAnsi="Times New Roman" w:cs="Times New Roman"/>
          <w:sz w:val="24"/>
          <w:szCs w:val="24"/>
        </w:rPr>
        <w:t>concerned Council of Europe states</w:t>
      </w:r>
      <w:r w:rsidR="0096015F" w:rsidRPr="00D22649">
        <w:rPr>
          <w:rFonts w:ascii="Times New Roman" w:hAnsi="Times New Roman" w:cs="Times New Roman"/>
          <w:sz w:val="24"/>
          <w:szCs w:val="24"/>
        </w:rPr>
        <w:t>, but that</w:t>
      </w:r>
      <w:r w:rsidR="000C0DFD" w:rsidRPr="00D22649">
        <w:rPr>
          <w:rFonts w:ascii="Times New Roman" w:hAnsi="Times New Roman" w:cs="Times New Roman"/>
          <w:sz w:val="24"/>
          <w:szCs w:val="24"/>
        </w:rPr>
        <w:t xml:space="preserve"> position is </w:t>
      </w:r>
      <w:r w:rsidR="0096015F" w:rsidRPr="00D22649">
        <w:rPr>
          <w:rFonts w:ascii="Times New Roman" w:hAnsi="Times New Roman" w:cs="Times New Roman"/>
          <w:sz w:val="24"/>
          <w:szCs w:val="24"/>
        </w:rPr>
        <w:t>gradually changing</w:t>
      </w:r>
      <w:r w:rsidR="003E4779" w:rsidRPr="00D22649">
        <w:rPr>
          <w:rFonts w:ascii="Times New Roman" w:hAnsi="Times New Roman" w:cs="Times New Roman"/>
          <w:sz w:val="24"/>
          <w:szCs w:val="24"/>
        </w:rPr>
        <w:t>.</w:t>
      </w:r>
      <w:r w:rsidR="002015C4" w:rsidRPr="00D22649">
        <w:rPr>
          <w:rFonts w:ascii="Times New Roman" w:hAnsi="Times New Roman" w:cs="Times New Roman"/>
          <w:sz w:val="24"/>
          <w:szCs w:val="24"/>
        </w:rPr>
        <w:t xml:space="preserve"> </w:t>
      </w:r>
      <w:r w:rsidR="0096015F" w:rsidRPr="00D22649">
        <w:rPr>
          <w:rFonts w:ascii="Times New Roman" w:hAnsi="Times New Roman" w:cs="Times New Roman"/>
          <w:sz w:val="24"/>
          <w:szCs w:val="24"/>
        </w:rPr>
        <w:t xml:space="preserve"> </w:t>
      </w:r>
      <w:r w:rsidR="000D458A" w:rsidRPr="00D22649">
        <w:rPr>
          <w:rFonts w:ascii="Times New Roman" w:hAnsi="Times New Roman" w:cs="Times New Roman"/>
          <w:sz w:val="24"/>
          <w:szCs w:val="24"/>
        </w:rPr>
        <w:t>While i</w:t>
      </w:r>
      <w:r w:rsidR="00DE7FC1" w:rsidRPr="00D22649">
        <w:rPr>
          <w:rFonts w:ascii="Times New Roman" w:hAnsi="Times New Roman" w:cs="Times New Roman"/>
          <w:sz w:val="24"/>
          <w:szCs w:val="24"/>
        </w:rPr>
        <w:t xml:space="preserve">t is </w:t>
      </w:r>
      <w:r w:rsidR="0096015F" w:rsidRPr="00D22649">
        <w:rPr>
          <w:rFonts w:ascii="Times New Roman" w:hAnsi="Times New Roman" w:cs="Times New Roman"/>
          <w:sz w:val="24"/>
          <w:szCs w:val="24"/>
        </w:rPr>
        <w:t xml:space="preserve">also </w:t>
      </w:r>
      <w:r w:rsidR="00DE7FC1" w:rsidRPr="00D22649">
        <w:rPr>
          <w:rFonts w:ascii="Times New Roman" w:hAnsi="Times New Roman" w:cs="Times New Roman"/>
          <w:sz w:val="24"/>
          <w:szCs w:val="24"/>
        </w:rPr>
        <w:t xml:space="preserve">troubling that </w:t>
      </w:r>
      <w:r w:rsidR="002D0E02" w:rsidRPr="00D22649">
        <w:rPr>
          <w:rFonts w:ascii="Times New Roman" w:hAnsi="Times New Roman" w:cs="Times New Roman"/>
          <w:sz w:val="24"/>
          <w:szCs w:val="24"/>
        </w:rPr>
        <w:t xml:space="preserve">a number of powerful countries, including the US and China, </w:t>
      </w:r>
      <w:r w:rsidR="00DE7FC1" w:rsidRPr="00D22649">
        <w:rPr>
          <w:rFonts w:ascii="Times New Roman" w:hAnsi="Times New Roman" w:cs="Times New Roman"/>
          <w:sz w:val="24"/>
          <w:szCs w:val="24"/>
        </w:rPr>
        <w:t xml:space="preserve">have not </w:t>
      </w:r>
      <w:r w:rsidR="00AB61E1" w:rsidRPr="00D22649">
        <w:rPr>
          <w:rFonts w:ascii="Times New Roman" w:hAnsi="Times New Roman" w:cs="Times New Roman"/>
          <w:sz w:val="24"/>
          <w:szCs w:val="24"/>
        </w:rPr>
        <w:t>ratified the Optional Protocol</w:t>
      </w:r>
      <w:r w:rsidR="000D458A" w:rsidRPr="00D22649">
        <w:rPr>
          <w:rFonts w:ascii="Times New Roman" w:hAnsi="Times New Roman" w:cs="Times New Roman"/>
          <w:sz w:val="24"/>
          <w:szCs w:val="24"/>
        </w:rPr>
        <w:t xml:space="preserve">, </w:t>
      </w:r>
      <w:r w:rsidR="00DE7FC1" w:rsidRPr="00D22649">
        <w:rPr>
          <w:rFonts w:ascii="Times New Roman" w:hAnsi="Times New Roman" w:cs="Times New Roman"/>
          <w:sz w:val="24"/>
          <w:szCs w:val="24"/>
        </w:rPr>
        <w:t xml:space="preserve">it is not fatal to CEDAW’s activities.  </w:t>
      </w:r>
      <w:r w:rsidR="0096015F" w:rsidRPr="00D22649">
        <w:rPr>
          <w:rFonts w:ascii="Times New Roman" w:hAnsi="Times New Roman" w:cs="Times New Roman"/>
          <w:sz w:val="24"/>
          <w:szCs w:val="24"/>
        </w:rPr>
        <w:t>In fact, it m</w:t>
      </w:r>
      <w:r>
        <w:rPr>
          <w:rFonts w:ascii="Times New Roman" w:hAnsi="Times New Roman" w:cs="Times New Roman"/>
          <w:sz w:val="24"/>
          <w:szCs w:val="24"/>
        </w:rPr>
        <w:t>ay</w:t>
      </w:r>
      <w:r w:rsidR="0096015F" w:rsidRPr="00D22649">
        <w:rPr>
          <w:rFonts w:ascii="Times New Roman" w:hAnsi="Times New Roman" w:cs="Times New Roman"/>
          <w:sz w:val="24"/>
          <w:szCs w:val="24"/>
        </w:rPr>
        <w:t xml:space="preserve"> mean</w:t>
      </w:r>
      <w:r w:rsidR="000D458A" w:rsidRPr="00D22649">
        <w:rPr>
          <w:rFonts w:ascii="Times New Roman" w:hAnsi="Times New Roman" w:cs="Times New Roman"/>
          <w:sz w:val="24"/>
          <w:szCs w:val="24"/>
        </w:rPr>
        <w:t xml:space="preserve"> that a</w:t>
      </w:r>
      <w:r w:rsidR="00DE7FC1" w:rsidRPr="00D22649">
        <w:rPr>
          <w:rFonts w:ascii="Times New Roman" w:hAnsi="Times New Roman" w:cs="Times New Roman"/>
          <w:sz w:val="24"/>
          <w:szCs w:val="24"/>
        </w:rPr>
        <w:t xml:space="preserve"> space has been created in which human rights norms can be developed</w:t>
      </w:r>
      <w:r w:rsidR="00425E70" w:rsidRPr="00D22649">
        <w:rPr>
          <w:rFonts w:ascii="Times New Roman" w:hAnsi="Times New Roman" w:cs="Times New Roman"/>
          <w:sz w:val="24"/>
          <w:szCs w:val="24"/>
        </w:rPr>
        <w:t xml:space="preserve"> in the absence</w:t>
      </w:r>
      <w:r w:rsidR="00DE7FC1" w:rsidRPr="00D22649">
        <w:rPr>
          <w:rFonts w:ascii="Times New Roman" w:hAnsi="Times New Roman" w:cs="Times New Roman"/>
          <w:sz w:val="24"/>
          <w:szCs w:val="24"/>
        </w:rPr>
        <w:t xml:space="preserve"> of </w:t>
      </w:r>
      <w:r w:rsidR="0047216A" w:rsidRPr="00D22649">
        <w:rPr>
          <w:rFonts w:ascii="Times New Roman" w:hAnsi="Times New Roman" w:cs="Times New Roman"/>
          <w:sz w:val="24"/>
          <w:szCs w:val="24"/>
        </w:rPr>
        <w:t xml:space="preserve">hegemonic </w:t>
      </w:r>
      <w:r w:rsidR="00DE7FC1" w:rsidRPr="00D22649">
        <w:rPr>
          <w:rFonts w:ascii="Times New Roman" w:hAnsi="Times New Roman" w:cs="Times New Roman"/>
          <w:sz w:val="24"/>
          <w:szCs w:val="24"/>
        </w:rPr>
        <w:t>players</w:t>
      </w:r>
      <w:r w:rsidR="000D458A" w:rsidRPr="00D22649">
        <w:rPr>
          <w:rFonts w:ascii="Times New Roman" w:hAnsi="Times New Roman" w:cs="Times New Roman"/>
          <w:sz w:val="24"/>
          <w:szCs w:val="24"/>
        </w:rPr>
        <w:t xml:space="preserve"> whose contribution to expansive interpretation of women’s rights </w:t>
      </w:r>
      <w:r w:rsidR="0096015F" w:rsidRPr="00D22649">
        <w:rPr>
          <w:rFonts w:ascii="Times New Roman" w:hAnsi="Times New Roman" w:cs="Times New Roman"/>
          <w:sz w:val="24"/>
          <w:szCs w:val="24"/>
        </w:rPr>
        <w:t>has</w:t>
      </w:r>
      <w:r w:rsidR="000D458A" w:rsidRPr="00D22649">
        <w:rPr>
          <w:rFonts w:ascii="Times New Roman" w:hAnsi="Times New Roman" w:cs="Times New Roman"/>
          <w:sz w:val="24"/>
          <w:szCs w:val="24"/>
        </w:rPr>
        <w:t xml:space="preserve"> often be</w:t>
      </w:r>
      <w:r w:rsidR="0096015F" w:rsidRPr="00D22649">
        <w:rPr>
          <w:rFonts w:ascii="Times New Roman" w:hAnsi="Times New Roman" w:cs="Times New Roman"/>
          <w:sz w:val="24"/>
          <w:szCs w:val="24"/>
        </w:rPr>
        <w:t>en</w:t>
      </w:r>
      <w:r w:rsidR="000D458A" w:rsidRPr="00D22649">
        <w:rPr>
          <w:rFonts w:ascii="Times New Roman" w:hAnsi="Times New Roman" w:cs="Times New Roman"/>
          <w:sz w:val="24"/>
          <w:szCs w:val="24"/>
        </w:rPr>
        <w:t xml:space="preserve"> limited</w:t>
      </w:r>
      <w:r w:rsidR="00DE7FC1" w:rsidRPr="00D22649">
        <w:rPr>
          <w:rFonts w:ascii="Times New Roman" w:hAnsi="Times New Roman" w:cs="Times New Roman"/>
          <w:sz w:val="24"/>
          <w:szCs w:val="24"/>
        </w:rPr>
        <w:t xml:space="preserve">.  </w:t>
      </w:r>
    </w:p>
    <w:p w14:paraId="1807F3C0" w14:textId="558052D2" w:rsidR="003F02B3" w:rsidRPr="00D22649" w:rsidRDefault="00FA367F"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CB6EED" w:rsidRPr="00D22649">
        <w:rPr>
          <w:rFonts w:ascii="Times New Roman" w:hAnsi="Times New Roman" w:cs="Times New Roman"/>
          <w:sz w:val="24"/>
          <w:szCs w:val="24"/>
        </w:rPr>
        <w:t>CEDAW’s continued low</w:t>
      </w:r>
      <w:r>
        <w:rPr>
          <w:rFonts w:ascii="Times New Roman" w:hAnsi="Times New Roman" w:cs="Times New Roman"/>
          <w:sz w:val="24"/>
          <w:szCs w:val="24"/>
        </w:rPr>
        <w:t xml:space="preserve"> </w:t>
      </w:r>
      <w:r w:rsidR="00CB6EED" w:rsidRPr="00D22649">
        <w:rPr>
          <w:rFonts w:ascii="Times New Roman" w:hAnsi="Times New Roman" w:cs="Times New Roman"/>
          <w:sz w:val="24"/>
          <w:szCs w:val="24"/>
        </w:rPr>
        <w:t xml:space="preserve">profile is </w:t>
      </w:r>
      <w:r w:rsidR="0047216A" w:rsidRPr="00D22649">
        <w:rPr>
          <w:rFonts w:ascii="Times New Roman" w:hAnsi="Times New Roman" w:cs="Times New Roman"/>
          <w:sz w:val="24"/>
          <w:szCs w:val="24"/>
        </w:rPr>
        <w:t xml:space="preserve">certainly </w:t>
      </w:r>
      <w:r w:rsidR="00CB6EED" w:rsidRPr="00D22649">
        <w:rPr>
          <w:rFonts w:ascii="Times New Roman" w:hAnsi="Times New Roman" w:cs="Times New Roman"/>
          <w:sz w:val="24"/>
          <w:szCs w:val="24"/>
        </w:rPr>
        <w:t xml:space="preserve">disappointing, especially given the publicity requirements </w:t>
      </w:r>
      <w:r w:rsidR="00B522BC" w:rsidRPr="00D22649">
        <w:rPr>
          <w:rFonts w:ascii="Times New Roman" w:hAnsi="Times New Roman" w:cs="Times New Roman"/>
          <w:sz w:val="24"/>
          <w:szCs w:val="24"/>
        </w:rPr>
        <w:t xml:space="preserve">contained in </w:t>
      </w:r>
      <w:r>
        <w:rPr>
          <w:rFonts w:ascii="Times New Roman" w:hAnsi="Times New Roman" w:cs="Times New Roman"/>
          <w:sz w:val="24"/>
          <w:szCs w:val="24"/>
        </w:rPr>
        <w:t>A</w:t>
      </w:r>
      <w:r w:rsidR="00B522BC" w:rsidRPr="00D22649">
        <w:rPr>
          <w:rFonts w:ascii="Times New Roman" w:hAnsi="Times New Roman" w:cs="Times New Roman"/>
          <w:sz w:val="24"/>
          <w:szCs w:val="24"/>
        </w:rPr>
        <w:t xml:space="preserve">rticle </w:t>
      </w:r>
      <w:r w:rsidR="0047216A" w:rsidRPr="00D22649">
        <w:rPr>
          <w:rFonts w:ascii="Times New Roman" w:hAnsi="Times New Roman" w:cs="Times New Roman"/>
          <w:sz w:val="24"/>
          <w:szCs w:val="24"/>
        </w:rPr>
        <w:t xml:space="preserve">13 </w:t>
      </w:r>
      <w:r w:rsidR="00CB6EED" w:rsidRPr="00D22649">
        <w:rPr>
          <w:rFonts w:ascii="Times New Roman" w:hAnsi="Times New Roman" w:cs="Times New Roman"/>
          <w:sz w:val="24"/>
          <w:szCs w:val="24"/>
        </w:rPr>
        <w:t>of the Optional Protocol</w:t>
      </w:r>
      <w:r w:rsidR="007A1638" w:rsidRPr="00D22649">
        <w:rPr>
          <w:rFonts w:ascii="Times New Roman" w:hAnsi="Times New Roman" w:cs="Times New Roman"/>
          <w:sz w:val="24"/>
          <w:szCs w:val="24"/>
        </w:rPr>
        <w:t xml:space="preserve">. </w:t>
      </w:r>
      <w:r w:rsidR="00DC51F3" w:rsidRPr="00D22649">
        <w:rPr>
          <w:rFonts w:ascii="Times New Roman" w:hAnsi="Times New Roman" w:cs="Times New Roman"/>
          <w:sz w:val="24"/>
          <w:szCs w:val="24"/>
        </w:rPr>
        <w:t xml:space="preserve"> </w:t>
      </w:r>
      <w:r w:rsidR="009220C4" w:rsidRPr="00D22649">
        <w:rPr>
          <w:rFonts w:ascii="Times New Roman" w:hAnsi="Times New Roman" w:cs="Times New Roman"/>
          <w:sz w:val="24"/>
          <w:szCs w:val="24"/>
        </w:rPr>
        <w:t xml:space="preserve">However, </w:t>
      </w:r>
      <w:r w:rsidR="007A1638" w:rsidRPr="00D22649">
        <w:rPr>
          <w:rFonts w:ascii="Times New Roman" w:hAnsi="Times New Roman" w:cs="Times New Roman"/>
          <w:sz w:val="24"/>
          <w:szCs w:val="24"/>
        </w:rPr>
        <w:t xml:space="preserve">there are signs that NGOs </w:t>
      </w:r>
      <w:r w:rsidR="00DC51F3" w:rsidRPr="00D22649">
        <w:rPr>
          <w:rFonts w:ascii="Times New Roman" w:hAnsi="Times New Roman" w:cs="Times New Roman"/>
          <w:sz w:val="24"/>
          <w:szCs w:val="24"/>
        </w:rPr>
        <w:t xml:space="preserve">are </w:t>
      </w:r>
      <w:r w:rsidR="001B4667" w:rsidRPr="00D22649">
        <w:rPr>
          <w:rFonts w:ascii="Times New Roman" w:hAnsi="Times New Roman" w:cs="Times New Roman"/>
          <w:sz w:val="24"/>
          <w:szCs w:val="24"/>
        </w:rPr>
        <w:t>recogni</w:t>
      </w:r>
      <w:r>
        <w:rPr>
          <w:rFonts w:ascii="Times New Roman" w:hAnsi="Times New Roman" w:cs="Times New Roman"/>
          <w:sz w:val="24"/>
          <w:szCs w:val="24"/>
        </w:rPr>
        <w:t>z</w:t>
      </w:r>
      <w:r w:rsidR="00DC51F3" w:rsidRPr="00D22649">
        <w:rPr>
          <w:rFonts w:ascii="Times New Roman" w:hAnsi="Times New Roman" w:cs="Times New Roman"/>
          <w:sz w:val="24"/>
          <w:szCs w:val="24"/>
        </w:rPr>
        <w:t>ing</w:t>
      </w:r>
      <w:r w:rsidR="001B4667" w:rsidRPr="00D22649">
        <w:rPr>
          <w:rFonts w:ascii="Times New Roman" w:hAnsi="Times New Roman" w:cs="Times New Roman"/>
          <w:sz w:val="24"/>
          <w:szCs w:val="24"/>
        </w:rPr>
        <w:t xml:space="preserve"> the possibilities</w:t>
      </w:r>
      <w:r w:rsidR="007A1638" w:rsidRPr="00D22649">
        <w:rPr>
          <w:rFonts w:ascii="Times New Roman" w:hAnsi="Times New Roman" w:cs="Times New Roman"/>
          <w:sz w:val="24"/>
          <w:szCs w:val="24"/>
        </w:rPr>
        <w:t xml:space="preserve"> </w:t>
      </w:r>
      <w:r w:rsidR="00DC51F3" w:rsidRPr="00D22649">
        <w:rPr>
          <w:rFonts w:ascii="Times New Roman" w:hAnsi="Times New Roman" w:cs="Times New Roman"/>
          <w:sz w:val="24"/>
          <w:szCs w:val="24"/>
        </w:rPr>
        <w:t xml:space="preserve">it </w:t>
      </w:r>
      <w:r w:rsidR="007A1638" w:rsidRPr="00D22649">
        <w:rPr>
          <w:rFonts w:ascii="Times New Roman" w:hAnsi="Times New Roman" w:cs="Times New Roman"/>
          <w:sz w:val="24"/>
          <w:szCs w:val="24"/>
        </w:rPr>
        <w:t>offer</w:t>
      </w:r>
      <w:r w:rsidR="00DC51F3" w:rsidRPr="00D22649">
        <w:rPr>
          <w:rFonts w:ascii="Times New Roman" w:hAnsi="Times New Roman" w:cs="Times New Roman"/>
          <w:sz w:val="24"/>
          <w:szCs w:val="24"/>
        </w:rPr>
        <w:t>s</w:t>
      </w:r>
      <w:r w:rsidR="001B4667" w:rsidRPr="00D22649">
        <w:rPr>
          <w:rFonts w:ascii="Times New Roman" w:hAnsi="Times New Roman" w:cs="Times New Roman"/>
          <w:sz w:val="24"/>
          <w:szCs w:val="24"/>
        </w:rPr>
        <w:t xml:space="preserve">.  </w:t>
      </w:r>
      <w:r w:rsidR="00E47031" w:rsidRPr="00D22649">
        <w:rPr>
          <w:rFonts w:ascii="Times New Roman" w:hAnsi="Times New Roman" w:cs="Times New Roman"/>
          <w:sz w:val="24"/>
          <w:szCs w:val="24"/>
        </w:rPr>
        <w:t>NGOs were formally involved as applicant, representative</w:t>
      </w:r>
      <w:r>
        <w:rPr>
          <w:rFonts w:ascii="Times New Roman" w:hAnsi="Times New Roman" w:cs="Times New Roman"/>
          <w:sz w:val="24"/>
          <w:szCs w:val="24"/>
        </w:rPr>
        <w:t>,</w:t>
      </w:r>
      <w:r w:rsidR="00E47031" w:rsidRPr="00D22649">
        <w:rPr>
          <w:rFonts w:ascii="Times New Roman" w:hAnsi="Times New Roman" w:cs="Times New Roman"/>
          <w:sz w:val="24"/>
          <w:szCs w:val="24"/>
        </w:rPr>
        <w:t xml:space="preserve"> or intervener in seven of the 23 individual cases brought before the Women’s Committee at the time of writing.  The Committee’s openness to their involvement is </w:t>
      </w:r>
      <w:r w:rsidR="00DC51F3" w:rsidRPr="00D22649">
        <w:rPr>
          <w:rFonts w:ascii="Times New Roman" w:hAnsi="Times New Roman" w:cs="Times New Roman"/>
          <w:sz w:val="24"/>
          <w:szCs w:val="24"/>
        </w:rPr>
        <w:t xml:space="preserve">certainly </w:t>
      </w:r>
      <w:r w:rsidR="00E47031" w:rsidRPr="00D22649">
        <w:rPr>
          <w:rFonts w:ascii="Times New Roman" w:hAnsi="Times New Roman" w:cs="Times New Roman"/>
          <w:sz w:val="24"/>
          <w:szCs w:val="24"/>
        </w:rPr>
        <w:t xml:space="preserve">a nod to the periphery.  </w:t>
      </w:r>
      <w:r w:rsidR="001B4667" w:rsidRPr="00D22649">
        <w:rPr>
          <w:rFonts w:ascii="Times New Roman" w:hAnsi="Times New Roman" w:cs="Times New Roman"/>
          <w:sz w:val="24"/>
          <w:szCs w:val="24"/>
        </w:rPr>
        <w:t>Forging</w:t>
      </w:r>
      <w:r w:rsidR="007A1638" w:rsidRPr="00D22649">
        <w:rPr>
          <w:rFonts w:ascii="Times New Roman" w:hAnsi="Times New Roman" w:cs="Times New Roman"/>
          <w:sz w:val="24"/>
          <w:szCs w:val="24"/>
        </w:rPr>
        <w:t xml:space="preserve"> connections with grassroots communities is essential to CEDAW’s success </w:t>
      </w:r>
      <w:r>
        <w:rPr>
          <w:rFonts w:ascii="Times New Roman" w:hAnsi="Times New Roman" w:cs="Times New Roman"/>
          <w:sz w:val="24"/>
          <w:szCs w:val="24"/>
        </w:rPr>
        <w:t>–</w:t>
      </w:r>
      <w:r w:rsidR="00DC51F3" w:rsidRPr="00D22649">
        <w:rPr>
          <w:rFonts w:ascii="Times New Roman" w:hAnsi="Times New Roman" w:cs="Times New Roman"/>
          <w:sz w:val="24"/>
          <w:szCs w:val="24"/>
        </w:rPr>
        <w:t xml:space="preserve"> </w:t>
      </w:r>
      <w:r w:rsidR="007A1638" w:rsidRPr="00D22649">
        <w:rPr>
          <w:rFonts w:ascii="Times New Roman" w:hAnsi="Times New Roman" w:cs="Times New Roman"/>
          <w:sz w:val="24"/>
          <w:szCs w:val="24"/>
        </w:rPr>
        <w:t xml:space="preserve">by which I mean its capacity to articulate an alternative conception of women’s rights. </w:t>
      </w:r>
    </w:p>
    <w:p w14:paraId="2A97949E" w14:textId="1DEC29C5" w:rsidR="0046707E" w:rsidRPr="00D22649" w:rsidRDefault="00FA367F"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7A1638" w:rsidRPr="00D22649">
        <w:rPr>
          <w:rFonts w:ascii="Times New Roman" w:hAnsi="Times New Roman" w:cs="Times New Roman"/>
          <w:sz w:val="24"/>
          <w:szCs w:val="24"/>
        </w:rPr>
        <w:t xml:space="preserve">One function </w:t>
      </w:r>
      <w:r w:rsidR="00C07272" w:rsidRPr="00D22649">
        <w:rPr>
          <w:rFonts w:ascii="Times New Roman" w:hAnsi="Times New Roman" w:cs="Times New Roman"/>
          <w:sz w:val="24"/>
          <w:szCs w:val="24"/>
        </w:rPr>
        <w:t>of</w:t>
      </w:r>
      <w:r w:rsidR="007A1638" w:rsidRPr="00D22649">
        <w:rPr>
          <w:rFonts w:ascii="Times New Roman" w:hAnsi="Times New Roman" w:cs="Times New Roman"/>
          <w:sz w:val="24"/>
          <w:szCs w:val="24"/>
        </w:rPr>
        <w:t xml:space="preserve"> NGOs is to provide information about human rights violations.  </w:t>
      </w:r>
      <w:r w:rsidR="003F02B3" w:rsidRPr="00D22649">
        <w:rPr>
          <w:rFonts w:ascii="Times New Roman" w:hAnsi="Times New Roman" w:cs="Times New Roman"/>
          <w:sz w:val="24"/>
          <w:szCs w:val="24"/>
        </w:rPr>
        <w:t>T</w:t>
      </w:r>
      <w:r w:rsidR="007A1638" w:rsidRPr="00D22649">
        <w:rPr>
          <w:rFonts w:ascii="Times New Roman" w:hAnsi="Times New Roman" w:cs="Times New Roman"/>
          <w:sz w:val="24"/>
          <w:szCs w:val="24"/>
        </w:rPr>
        <w:t>hey can also draw attention to violations of treaties such as CEDAW and strive to mobili</w:t>
      </w:r>
      <w:r>
        <w:rPr>
          <w:rFonts w:ascii="Times New Roman" w:hAnsi="Times New Roman" w:cs="Times New Roman"/>
          <w:sz w:val="24"/>
          <w:szCs w:val="24"/>
        </w:rPr>
        <w:t>z</w:t>
      </w:r>
      <w:r w:rsidR="007A1638" w:rsidRPr="00D22649">
        <w:rPr>
          <w:rFonts w:ascii="Times New Roman" w:hAnsi="Times New Roman" w:cs="Times New Roman"/>
          <w:sz w:val="24"/>
          <w:szCs w:val="24"/>
        </w:rPr>
        <w:t xml:space="preserve">e shame and public pressure to improve the situation of women.  Given the notoriously weak enforcement of human rights treaties, </w:t>
      </w:r>
      <w:r w:rsidR="00C07272" w:rsidRPr="00D22649">
        <w:rPr>
          <w:rFonts w:ascii="Times New Roman" w:hAnsi="Times New Roman" w:cs="Times New Roman"/>
          <w:sz w:val="24"/>
          <w:szCs w:val="24"/>
        </w:rPr>
        <w:t xml:space="preserve">that </w:t>
      </w:r>
      <w:r w:rsidR="007A1638" w:rsidRPr="00D22649">
        <w:rPr>
          <w:rFonts w:ascii="Times New Roman" w:hAnsi="Times New Roman" w:cs="Times New Roman"/>
          <w:sz w:val="24"/>
          <w:szCs w:val="24"/>
        </w:rPr>
        <w:t xml:space="preserve">is no small task.  But </w:t>
      </w:r>
      <w:r w:rsidR="00F7359D" w:rsidRPr="00D22649">
        <w:rPr>
          <w:rFonts w:ascii="Times New Roman" w:hAnsi="Times New Roman" w:cs="Times New Roman"/>
          <w:sz w:val="24"/>
          <w:szCs w:val="24"/>
        </w:rPr>
        <w:t>perhaps</w:t>
      </w:r>
      <w:r w:rsidR="007A1638" w:rsidRPr="00D22649">
        <w:rPr>
          <w:rFonts w:ascii="Times New Roman" w:hAnsi="Times New Roman" w:cs="Times New Roman"/>
          <w:sz w:val="24"/>
          <w:szCs w:val="24"/>
        </w:rPr>
        <w:t xml:space="preserve"> their most significant role is </w:t>
      </w:r>
      <w:r w:rsidR="00F7359D" w:rsidRPr="00D22649">
        <w:rPr>
          <w:rFonts w:ascii="Times New Roman" w:hAnsi="Times New Roman" w:cs="Times New Roman"/>
          <w:sz w:val="24"/>
          <w:szCs w:val="24"/>
        </w:rPr>
        <w:t>to draw</w:t>
      </w:r>
      <w:r w:rsidR="007A1638" w:rsidRPr="00D22649">
        <w:rPr>
          <w:rFonts w:ascii="Times New Roman" w:hAnsi="Times New Roman" w:cs="Times New Roman"/>
          <w:sz w:val="24"/>
          <w:szCs w:val="24"/>
        </w:rPr>
        <w:t xml:space="preserve"> the Committee’s </w:t>
      </w:r>
      <w:r w:rsidR="003F02B3" w:rsidRPr="00D22649">
        <w:rPr>
          <w:rFonts w:ascii="Times New Roman" w:hAnsi="Times New Roman" w:cs="Times New Roman"/>
          <w:sz w:val="24"/>
          <w:szCs w:val="24"/>
        </w:rPr>
        <w:t>attention back to the periphery and</w:t>
      </w:r>
      <w:r w:rsidR="007A1638" w:rsidRPr="00D22649">
        <w:rPr>
          <w:rFonts w:ascii="Times New Roman" w:hAnsi="Times New Roman" w:cs="Times New Roman"/>
          <w:sz w:val="24"/>
          <w:szCs w:val="24"/>
        </w:rPr>
        <w:t xml:space="preserve"> remind</w:t>
      </w:r>
      <w:r w:rsidR="00F7359D" w:rsidRPr="00D22649">
        <w:rPr>
          <w:rFonts w:ascii="Times New Roman" w:hAnsi="Times New Roman" w:cs="Times New Roman"/>
          <w:sz w:val="24"/>
          <w:szCs w:val="24"/>
        </w:rPr>
        <w:t xml:space="preserve"> it </w:t>
      </w:r>
      <w:r w:rsidR="007A1638" w:rsidRPr="00D22649">
        <w:rPr>
          <w:rFonts w:ascii="Times New Roman" w:hAnsi="Times New Roman" w:cs="Times New Roman"/>
          <w:sz w:val="24"/>
          <w:szCs w:val="24"/>
        </w:rPr>
        <w:t xml:space="preserve">of its radical potential.  Reilly has suggested </w:t>
      </w:r>
      <w:r>
        <w:rPr>
          <w:rFonts w:ascii="Times New Roman" w:hAnsi="Times New Roman" w:cs="Times New Roman"/>
          <w:sz w:val="24"/>
          <w:szCs w:val="24"/>
        </w:rPr>
        <w:t xml:space="preserve">that </w:t>
      </w:r>
      <w:r w:rsidR="007A1638" w:rsidRPr="00D22649">
        <w:rPr>
          <w:rFonts w:ascii="Times New Roman" w:hAnsi="Times New Roman" w:cs="Times New Roman"/>
          <w:sz w:val="24"/>
          <w:szCs w:val="24"/>
        </w:rPr>
        <w:t>the key role played by NGOs in the Committee case</w:t>
      </w:r>
      <w:r>
        <w:rPr>
          <w:rFonts w:ascii="Times New Roman" w:hAnsi="Times New Roman" w:cs="Times New Roman"/>
          <w:sz w:val="24"/>
          <w:szCs w:val="24"/>
        </w:rPr>
        <w:t xml:space="preserve"> </w:t>
      </w:r>
      <w:r w:rsidR="007A1638" w:rsidRPr="00D22649">
        <w:rPr>
          <w:rFonts w:ascii="Times New Roman" w:hAnsi="Times New Roman" w:cs="Times New Roman"/>
          <w:sz w:val="24"/>
          <w:szCs w:val="24"/>
        </w:rPr>
        <w:t>law unde</w:t>
      </w:r>
      <w:r w:rsidR="00EA4F61" w:rsidRPr="00D22649">
        <w:rPr>
          <w:rFonts w:ascii="Times New Roman" w:hAnsi="Times New Roman" w:cs="Times New Roman"/>
          <w:sz w:val="24"/>
          <w:szCs w:val="24"/>
        </w:rPr>
        <w:t>rlines the Optional Protocol’s ‘</w:t>
      </w:r>
      <w:r w:rsidR="007A1638" w:rsidRPr="00D22649">
        <w:rPr>
          <w:rFonts w:ascii="Times New Roman" w:hAnsi="Times New Roman" w:cs="Times New Roman"/>
          <w:sz w:val="24"/>
          <w:szCs w:val="24"/>
        </w:rPr>
        <w:t xml:space="preserve">potential not only as a redress route for particular individuals but also as a focus for wider mobilization around </w:t>
      </w:r>
      <w:r w:rsidR="00EA4F61" w:rsidRPr="00D22649">
        <w:rPr>
          <w:rFonts w:ascii="Times New Roman" w:hAnsi="Times New Roman" w:cs="Times New Roman"/>
          <w:sz w:val="24"/>
          <w:szCs w:val="24"/>
        </w:rPr>
        <w:t xml:space="preserve">needed legal and policy </w:t>
      </w:r>
      <w:r w:rsidR="00EA4F61" w:rsidRPr="00D22649">
        <w:rPr>
          <w:rFonts w:ascii="Times New Roman" w:hAnsi="Times New Roman" w:cs="Times New Roman"/>
          <w:sz w:val="24"/>
          <w:szCs w:val="24"/>
        </w:rPr>
        <w:lastRenderedPageBreak/>
        <w:t>reforms’</w:t>
      </w:r>
      <w:r w:rsidR="007A1638" w:rsidRPr="00D22649">
        <w:rPr>
          <w:rFonts w:ascii="Times New Roman" w:hAnsi="Times New Roman" w:cs="Times New Roman"/>
          <w:sz w:val="24"/>
          <w:szCs w:val="24"/>
        </w:rPr>
        <w:t>.</w:t>
      </w:r>
      <w:r w:rsidR="007A1638" w:rsidRPr="00D22649">
        <w:rPr>
          <w:rStyle w:val="FootnoteReference"/>
          <w:rFonts w:ascii="Times New Roman" w:hAnsi="Times New Roman" w:cs="Times New Roman"/>
          <w:sz w:val="24"/>
          <w:szCs w:val="24"/>
        </w:rPr>
        <w:footnoteReference w:id="77"/>
      </w:r>
      <w:r w:rsidR="007A1638" w:rsidRPr="00D22649">
        <w:rPr>
          <w:rFonts w:ascii="Times New Roman" w:hAnsi="Times New Roman" w:cs="Times New Roman"/>
          <w:sz w:val="24"/>
          <w:szCs w:val="24"/>
        </w:rPr>
        <w:t xml:space="preserve"> </w:t>
      </w:r>
      <w:r w:rsidR="003F02B3" w:rsidRPr="00D22649">
        <w:rPr>
          <w:rFonts w:ascii="Times New Roman" w:hAnsi="Times New Roman" w:cs="Times New Roman"/>
          <w:sz w:val="24"/>
          <w:szCs w:val="24"/>
        </w:rPr>
        <w:t xml:space="preserve"> </w:t>
      </w:r>
      <w:r w:rsidR="007A1638" w:rsidRPr="00D22649">
        <w:rPr>
          <w:rFonts w:ascii="Times New Roman" w:hAnsi="Times New Roman" w:cs="Times New Roman"/>
          <w:sz w:val="24"/>
          <w:szCs w:val="24"/>
        </w:rPr>
        <w:t xml:space="preserve">While one would not wish to overstate the importance of this, it does go some way towards articulating a vision of a global law, distinct from the state-centricism of mainstream International Law, into which a multitude of perspectives </w:t>
      </w:r>
      <w:r w:rsidR="00C109C2" w:rsidRPr="00D22649">
        <w:rPr>
          <w:rFonts w:ascii="Times New Roman" w:hAnsi="Times New Roman" w:cs="Times New Roman"/>
          <w:sz w:val="24"/>
          <w:szCs w:val="24"/>
        </w:rPr>
        <w:t>are brought to bear</w:t>
      </w:r>
      <w:r w:rsidR="007A1638" w:rsidRPr="00D22649">
        <w:rPr>
          <w:rFonts w:ascii="Times New Roman" w:hAnsi="Times New Roman" w:cs="Times New Roman"/>
          <w:sz w:val="24"/>
          <w:szCs w:val="24"/>
        </w:rPr>
        <w:t xml:space="preserve">.  </w:t>
      </w:r>
      <w:r w:rsidR="0046707E" w:rsidRPr="00D22649">
        <w:rPr>
          <w:rFonts w:ascii="Times New Roman" w:hAnsi="Times New Roman" w:cs="Times New Roman"/>
          <w:sz w:val="24"/>
          <w:szCs w:val="24"/>
        </w:rPr>
        <w:t>NGOs can provide a vital bridge to women on the periphery and introduce their concerns to the human rights centre.  As much as the core can be transformed through its encounter with marginal actors, so women are transformed as they construct themselves as rights bearers.  As Engle Merry has written</w:t>
      </w:r>
      <w:r w:rsidR="003F02B3" w:rsidRPr="00D22649">
        <w:rPr>
          <w:rFonts w:ascii="Times New Roman" w:hAnsi="Times New Roman" w:cs="Times New Roman"/>
          <w:sz w:val="24"/>
          <w:szCs w:val="24"/>
        </w:rPr>
        <w:t>,</w:t>
      </w:r>
      <w:r w:rsidR="0046707E" w:rsidRPr="00D22649">
        <w:rPr>
          <w:rFonts w:ascii="Times New Roman" w:hAnsi="Times New Roman" w:cs="Times New Roman"/>
          <w:sz w:val="24"/>
          <w:szCs w:val="24"/>
        </w:rPr>
        <w:t xml:space="preserve"> women’s articulation of rights claims requires a shift to new</w:t>
      </w:r>
      <w:r w:rsidR="00C318C7" w:rsidRPr="00D22649">
        <w:rPr>
          <w:rFonts w:ascii="Times New Roman" w:hAnsi="Times New Roman" w:cs="Times New Roman"/>
          <w:sz w:val="24"/>
          <w:szCs w:val="24"/>
        </w:rPr>
        <w:t xml:space="preserve"> subjectivity</w:t>
      </w:r>
      <w:r w:rsidR="008067BB">
        <w:rPr>
          <w:rFonts w:ascii="Times New Roman" w:hAnsi="Times New Roman" w:cs="Times New Roman"/>
          <w:sz w:val="24"/>
          <w:szCs w:val="24"/>
        </w:rPr>
        <w:t>,</w:t>
      </w:r>
      <w:r w:rsidR="00C318C7" w:rsidRPr="00D22649">
        <w:rPr>
          <w:rFonts w:ascii="Times New Roman" w:hAnsi="Times New Roman" w:cs="Times New Roman"/>
          <w:sz w:val="24"/>
          <w:szCs w:val="24"/>
        </w:rPr>
        <w:t xml:space="preserve"> and thus women’s ‘</w:t>
      </w:r>
      <w:r w:rsidR="0046707E" w:rsidRPr="00D22649">
        <w:rPr>
          <w:rFonts w:ascii="Times New Roman" w:hAnsi="Times New Roman" w:cs="Times New Roman"/>
          <w:sz w:val="24"/>
          <w:szCs w:val="24"/>
        </w:rPr>
        <w:t>initial forays into the legal arena require experiences of support from participants in that arena as they struggle to redefine a self between the obligations of the good wife and the enti</w:t>
      </w:r>
      <w:r w:rsidR="00C318C7" w:rsidRPr="00D22649">
        <w:rPr>
          <w:rFonts w:ascii="Times New Roman" w:hAnsi="Times New Roman" w:cs="Times New Roman"/>
          <w:sz w:val="24"/>
          <w:szCs w:val="24"/>
        </w:rPr>
        <w:t>tlements of the autonomous self’</w:t>
      </w:r>
      <w:r w:rsidR="0046707E" w:rsidRPr="00D22649">
        <w:rPr>
          <w:rFonts w:ascii="Times New Roman" w:hAnsi="Times New Roman" w:cs="Times New Roman"/>
          <w:sz w:val="24"/>
          <w:szCs w:val="24"/>
        </w:rPr>
        <w:t>.</w:t>
      </w:r>
      <w:r w:rsidR="0046707E" w:rsidRPr="00D22649">
        <w:rPr>
          <w:rStyle w:val="FootnoteReference"/>
          <w:rFonts w:ascii="Times New Roman" w:hAnsi="Times New Roman" w:cs="Times New Roman"/>
          <w:sz w:val="24"/>
          <w:szCs w:val="24"/>
        </w:rPr>
        <w:footnoteReference w:id="78"/>
      </w:r>
      <w:r w:rsidR="0046707E" w:rsidRPr="00D22649">
        <w:rPr>
          <w:rFonts w:ascii="Times New Roman" w:hAnsi="Times New Roman" w:cs="Times New Roman"/>
          <w:sz w:val="24"/>
          <w:szCs w:val="24"/>
        </w:rPr>
        <w:t xml:space="preserve">  That the two victims of spousal violence died before their claims could be heard by the Committee</w:t>
      </w:r>
      <w:r w:rsidR="000A7583" w:rsidRPr="00D22649">
        <w:rPr>
          <w:rFonts w:ascii="Times New Roman" w:hAnsi="Times New Roman" w:cs="Times New Roman"/>
          <w:sz w:val="24"/>
          <w:szCs w:val="24"/>
        </w:rPr>
        <w:t xml:space="preserve"> </w:t>
      </w:r>
      <w:r w:rsidR="0046707E" w:rsidRPr="00D22649">
        <w:rPr>
          <w:rFonts w:ascii="Times New Roman" w:hAnsi="Times New Roman" w:cs="Times New Roman"/>
          <w:sz w:val="24"/>
          <w:szCs w:val="24"/>
        </w:rPr>
        <w:t xml:space="preserve">suggests that this shift in subjectivity </w:t>
      </w:r>
      <w:r w:rsidR="000A7583" w:rsidRPr="00D22649">
        <w:rPr>
          <w:rFonts w:ascii="Times New Roman" w:hAnsi="Times New Roman" w:cs="Times New Roman"/>
          <w:sz w:val="24"/>
          <w:szCs w:val="24"/>
        </w:rPr>
        <w:t>is</w:t>
      </w:r>
      <w:r w:rsidR="0046707E" w:rsidRPr="00D22649">
        <w:rPr>
          <w:rFonts w:ascii="Times New Roman" w:hAnsi="Times New Roman" w:cs="Times New Roman"/>
          <w:sz w:val="24"/>
          <w:szCs w:val="24"/>
        </w:rPr>
        <w:t xml:space="preserve"> </w:t>
      </w:r>
      <w:r w:rsidR="00B774FE" w:rsidRPr="00D22649">
        <w:rPr>
          <w:rFonts w:ascii="Times New Roman" w:hAnsi="Times New Roman" w:cs="Times New Roman"/>
          <w:sz w:val="24"/>
          <w:szCs w:val="24"/>
        </w:rPr>
        <w:t>an urgent challenge</w:t>
      </w:r>
      <w:r w:rsidR="0046707E" w:rsidRPr="00D22649">
        <w:rPr>
          <w:rFonts w:ascii="Times New Roman" w:hAnsi="Times New Roman" w:cs="Times New Roman"/>
          <w:sz w:val="24"/>
          <w:szCs w:val="24"/>
        </w:rPr>
        <w:t xml:space="preserve">.  </w:t>
      </w:r>
    </w:p>
    <w:p w14:paraId="28EFC1CB" w14:textId="30805BA8" w:rsidR="00600218" w:rsidRPr="00D22649" w:rsidRDefault="008067B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3F02B3" w:rsidRPr="00D22649">
        <w:rPr>
          <w:rFonts w:ascii="Times New Roman" w:hAnsi="Times New Roman" w:cs="Times New Roman"/>
          <w:sz w:val="24"/>
          <w:szCs w:val="24"/>
        </w:rPr>
        <w:t>CEDAW’s</w:t>
      </w:r>
      <w:r w:rsidR="003E4779" w:rsidRPr="00D22649">
        <w:rPr>
          <w:rFonts w:ascii="Times New Roman" w:hAnsi="Times New Roman" w:cs="Times New Roman"/>
          <w:sz w:val="24"/>
          <w:szCs w:val="24"/>
        </w:rPr>
        <w:t xml:space="preserve"> reported decisions give </w:t>
      </w:r>
      <w:r w:rsidR="00F81A2D" w:rsidRPr="00D22649">
        <w:rPr>
          <w:rFonts w:ascii="Times New Roman" w:hAnsi="Times New Roman" w:cs="Times New Roman"/>
          <w:sz w:val="24"/>
          <w:szCs w:val="24"/>
        </w:rPr>
        <w:t>considerable</w:t>
      </w:r>
      <w:r w:rsidR="003E4779" w:rsidRPr="00D22649">
        <w:rPr>
          <w:rFonts w:ascii="Times New Roman" w:hAnsi="Times New Roman" w:cs="Times New Roman"/>
          <w:sz w:val="24"/>
          <w:szCs w:val="24"/>
        </w:rPr>
        <w:t xml:space="preserve"> space to the arguments of the parties</w:t>
      </w:r>
      <w:r w:rsidR="005679E2" w:rsidRPr="00D22649">
        <w:rPr>
          <w:rFonts w:ascii="Times New Roman" w:hAnsi="Times New Roman" w:cs="Times New Roman"/>
          <w:sz w:val="24"/>
          <w:szCs w:val="24"/>
        </w:rPr>
        <w:t>,</w:t>
      </w:r>
      <w:r w:rsidR="003E4779" w:rsidRPr="00D22649">
        <w:rPr>
          <w:rFonts w:ascii="Times New Roman" w:hAnsi="Times New Roman" w:cs="Times New Roman"/>
          <w:sz w:val="24"/>
          <w:szCs w:val="24"/>
        </w:rPr>
        <w:t xml:space="preserve"> thus</w:t>
      </w:r>
      <w:r w:rsidR="005679E2" w:rsidRPr="00D22649">
        <w:rPr>
          <w:rFonts w:ascii="Times New Roman" w:hAnsi="Times New Roman" w:cs="Times New Roman"/>
          <w:sz w:val="24"/>
          <w:szCs w:val="24"/>
        </w:rPr>
        <w:t xml:space="preserve"> avoiding </w:t>
      </w:r>
      <w:r w:rsidR="00AC26B6" w:rsidRPr="00D22649">
        <w:rPr>
          <w:rFonts w:ascii="Times New Roman" w:hAnsi="Times New Roman" w:cs="Times New Roman"/>
          <w:sz w:val="24"/>
          <w:szCs w:val="24"/>
        </w:rPr>
        <w:t>privileging the C</w:t>
      </w:r>
      <w:r w:rsidR="003E4779" w:rsidRPr="00D22649">
        <w:rPr>
          <w:rFonts w:ascii="Times New Roman" w:hAnsi="Times New Roman" w:cs="Times New Roman"/>
          <w:sz w:val="24"/>
          <w:szCs w:val="24"/>
        </w:rPr>
        <w:t xml:space="preserve">ommittee as </w:t>
      </w:r>
      <w:r w:rsidR="004A5F77" w:rsidRPr="00D22649">
        <w:rPr>
          <w:rFonts w:ascii="Times New Roman" w:hAnsi="Times New Roman" w:cs="Times New Roman"/>
          <w:sz w:val="24"/>
          <w:szCs w:val="24"/>
        </w:rPr>
        <w:t>a</w:t>
      </w:r>
      <w:r w:rsidR="003E4779" w:rsidRPr="00D22649">
        <w:rPr>
          <w:rFonts w:ascii="Times New Roman" w:hAnsi="Times New Roman" w:cs="Times New Roman"/>
          <w:sz w:val="24"/>
          <w:szCs w:val="24"/>
        </w:rPr>
        <w:t xml:space="preserve"> final arbiter of law.  </w:t>
      </w:r>
      <w:r w:rsidR="005679E2" w:rsidRPr="00D22649">
        <w:rPr>
          <w:rFonts w:ascii="Times New Roman" w:hAnsi="Times New Roman" w:cs="Times New Roman"/>
          <w:sz w:val="24"/>
          <w:szCs w:val="24"/>
        </w:rPr>
        <w:t>The</w:t>
      </w:r>
      <w:r w:rsidR="00F81A2D" w:rsidRPr="00D22649">
        <w:rPr>
          <w:rFonts w:ascii="Times New Roman" w:hAnsi="Times New Roman" w:cs="Times New Roman"/>
          <w:sz w:val="24"/>
          <w:szCs w:val="24"/>
        </w:rPr>
        <w:t xml:space="preserve"> </w:t>
      </w:r>
      <w:r w:rsidR="004A5F77" w:rsidRPr="00D22649">
        <w:rPr>
          <w:rFonts w:ascii="Times New Roman" w:hAnsi="Times New Roman" w:cs="Times New Roman"/>
          <w:sz w:val="24"/>
          <w:szCs w:val="24"/>
        </w:rPr>
        <w:t xml:space="preserve">task </w:t>
      </w:r>
      <w:r w:rsidR="005F3A52" w:rsidRPr="00D22649">
        <w:rPr>
          <w:rFonts w:ascii="Times New Roman" w:hAnsi="Times New Roman" w:cs="Times New Roman"/>
          <w:sz w:val="24"/>
          <w:szCs w:val="24"/>
        </w:rPr>
        <w:t xml:space="preserve">of delivering opinions </w:t>
      </w:r>
      <w:r w:rsidR="005679E2" w:rsidRPr="00D22649">
        <w:rPr>
          <w:rFonts w:ascii="Times New Roman" w:hAnsi="Times New Roman" w:cs="Times New Roman"/>
          <w:sz w:val="24"/>
          <w:szCs w:val="24"/>
        </w:rPr>
        <w:t xml:space="preserve">is treated </w:t>
      </w:r>
      <w:r w:rsidR="004A5F77" w:rsidRPr="00D22649">
        <w:rPr>
          <w:rFonts w:ascii="Times New Roman" w:hAnsi="Times New Roman" w:cs="Times New Roman"/>
          <w:sz w:val="24"/>
          <w:szCs w:val="24"/>
        </w:rPr>
        <w:t xml:space="preserve">as a co-operative </w:t>
      </w:r>
      <w:r w:rsidR="005F3A52" w:rsidRPr="00D22649">
        <w:rPr>
          <w:rFonts w:ascii="Times New Roman" w:hAnsi="Times New Roman" w:cs="Times New Roman"/>
          <w:sz w:val="24"/>
          <w:szCs w:val="24"/>
        </w:rPr>
        <w:t>one</w:t>
      </w:r>
      <w:r w:rsidR="00DD5FF2" w:rsidRPr="00D22649">
        <w:rPr>
          <w:rFonts w:ascii="Times New Roman" w:hAnsi="Times New Roman" w:cs="Times New Roman"/>
          <w:sz w:val="24"/>
          <w:szCs w:val="24"/>
        </w:rPr>
        <w:t>,</w:t>
      </w:r>
      <w:r w:rsidR="004A5F77" w:rsidRPr="00D22649">
        <w:rPr>
          <w:rFonts w:ascii="Times New Roman" w:hAnsi="Times New Roman" w:cs="Times New Roman"/>
          <w:sz w:val="24"/>
          <w:szCs w:val="24"/>
        </w:rPr>
        <w:t xml:space="preserve"> in which </w:t>
      </w:r>
      <w:r w:rsidR="00DD5FF2" w:rsidRPr="00D22649">
        <w:rPr>
          <w:rFonts w:ascii="Times New Roman" w:hAnsi="Times New Roman" w:cs="Times New Roman"/>
          <w:sz w:val="24"/>
          <w:szCs w:val="24"/>
        </w:rPr>
        <w:t>a multitude of perspectives are brought to bear</w:t>
      </w:r>
      <w:r w:rsidR="004A5F77" w:rsidRPr="00D22649">
        <w:rPr>
          <w:rFonts w:ascii="Times New Roman" w:hAnsi="Times New Roman" w:cs="Times New Roman"/>
          <w:sz w:val="24"/>
          <w:szCs w:val="24"/>
        </w:rPr>
        <w:t xml:space="preserve">.  </w:t>
      </w:r>
      <w:r w:rsidR="00E246C5" w:rsidRPr="00D22649">
        <w:rPr>
          <w:rFonts w:ascii="Times New Roman" w:hAnsi="Times New Roman" w:cs="Times New Roman"/>
          <w:sz w:val="24"/>
          <w:szCs w:val="24"/>
        </w:rPr>
        <w:t>It</w:t>
      </w:r>
      <w:r w:rsidR="004A5F77" w:rsidRPr="00D22649">
        <w:rPr>
          <w:rFonts w:ascii="Times New Roman" w:hAnsi="Times New Roman" w:cs="Times New Roman"/>
          <w:sz w:val="24"/>
          <w:szCs w:val="24"/>
        </w:rPr>
        <w:t xml:space="preserve"> model</w:t>
      </w:r>
      <w:r w:rsidR="00E246C5" w:rsidRPr="00D22649">
        <w:rPr>
          <w:rFonts w:ascii="Times New Roman" w:hAnsi="Times New Roman" w:cs="Times New Roman"/>
          <w:sz w:val="24"/>
          <w:szCs w:val="24"/>
        </w:rPr>
        <w:t>s</w:t>
      </w:r>
      <w:r w:rsidR="004A5F77" w:rsidRPr="00D22649">
        <w:rPr>
          <w:rFonts w:ascii="Times New Roman" w:hAnsi="Times New Roman" w:cs="Times New Roman"/>
          <w:sz w:val="24"/>
          <w:szCs w:val="24"/>
        </w:rPr>
        <w:t xml:space="preserve"> </w:t>
      </w:r>
      <w:r w:rsidR="00E246C5" w:rsidRPr="00D22649">
        <w:rPr>
          <w:rFonts w:ascii="Times New Roman" w:hAnsi="Times New Roman" w:cs="Times New Roman"/>
          <w:sz w:val="24"/>
          <w:szCs w:val="24"/>
        </w:rPr>
        <w:t>an</w:t>
      </w:r>
      <w:r w:rsidR="004A5F77" w:rsidRPr="00D22649">
        <w:rPr>
          <w:rFonts w:ascii="Times New Roman" w:hAnsi="Times New Roman" w:cs="Times New Roman"/>
          <w:sz w:val="24"/>
          <w:szCs w:val="24"/>
        </w:rPr>
        <w:t xml:space="preserve"> </w:t>
      </w:r>
      <w:r w:rsidR="003E4779" w:rsidRPr="00D22649">
        <w:rPr>
          <w:rFonts w:ascii="Times New Roman" w:hAnsi="Times New Roman" w:cs="Times New Roman"/>
          <w:sz w:val="24"/>
          <w:szCs w:val="24"/>
        </w:rPr>
        <w:t>approach</w:t>
      </w:r>
      <w:r w:rsidR="004A5F77" w:rsidRPr="00D22649">
        <w:rPr>
          <w:rFonts w:ascii="Times New Roman" w:hAnsi="Times New Roman" w:cs="Times New Roman"/>
          <w:sz w:val="24"/>
          <w:szCs w:val="24"/>
        </w:rPr>
        <w:t xml:space="preserve"> that is</w:t>
      </w:r>
      <w:r w:rsidR="003E4779" w:rsidRPr="00D22649">
        <w:rPr>
          <w:rFonts w:ascii="Times New Roman" w:hAnsi="Times New Roman" w:cs="Times New Roman"/>
          <w:sz w:val="24"/>
          <w:szCs w:val="24"/>
        </w:rPr>
        <w:t xml:space="preserve"> based </w:t>
      </w:r>
      <w:r w:rsidR="004A5F77" w:rsidRPr="00D22649">
        <w:rPr>
          <w:rFonts w:ascii="Times New Roman" w:hAnsi="Times New Roman" w:cs="Times New Roman"/>
          <w:sz w:val="24"/>
          <w:szCs w:val="24"/>
        </w:rPr>
        <w:t>on coo</w:t>
      </w:r>
      <w:r w:rsidR="005F3A52" w:rsidRPr="00D22649">
        <w:rPr>
          <w:rFonts w:ascii="Times New Roman" w:hAnsi="Times New Roman" w:cs="Times New Roman"/>
          <w:sz w:val="24"/>
          <w:szCs w:val="24"/>
        </w:rPr>
        <w:t xml:space="preserve">peration and </w:t>
      </w:r>
      <w:r w:rsidR="003F02B3" w:rsidRPr="00D22649">
        <w:rPr>
          <w:rFonts w:ascii="Times New Roman" w:hAnsi="Times New Roman" w:cs="Times New Roman"/>
          <w:sz w:val="24"/>
          <w:szCs w:val="24"/>
        </w:rPr>
        <w:t>a commitment</w:t>
      </w:r>
      <w:r w:rsidR="005F3A52" w:rsidRPr="00D22649">
        <w:rPr>
          <w:rFonts w:ascii="Times New Roman" w:hAnsi="Times New Roman" w:cs="Times New Roman"/>
          <w:sz w:val="24"/>
          <w:szCs w:val="24"/>
        </w:rPr>
        <w:t xml:space="preserve"> to</w:t>
      </w:r>
      <w:r w:rsidR="004A5F77" w:rsidRPr="00D22649">
        <w:rPr>
          <w:rFonts w:ascii="Times New Roman" w:hAnsi="Times New Roman" w:cs="Times New Roman"/>
          <w:sz w:val="24"/>
          <w:szCs w:val="24"/>
        </w:rPr>
        <w:t xml:space="preserve"> resolution</w:t>
      </w:r>
      <w:r w:rsidR="005F3A52" w:rsidRPr="00D22649">
        <w:rPr>
          <w:rFonts w:ascii="Times New Roman" w:hAnsi="Times New Roman" w:cs="Times New Roman"/>
          <w:sz w:val="24"/>
          <w:szCs w:val="24"/>
        </w:rPr>
        <w:t>-finding</w:t>
      </w:r>
      <w:r w:rsidR="00923238" w:rsidRPr="00D22649">
        <w:rPr>
          <w:rFonts w:ascii="Times New Roman" w:hAnsi="Times New Roman" w:cs="Times New Roman"/>
          <w:sz w:val="24"/>
          <w:szCs w:val="24"/>
        </w:rPr>
        <w:t xml:space="preserve">, </w:t>
      </w:r>
      <w:r w:rsidR="00E246C5" w:rsidRPr="00D22649">
        <w:rPr>
          <w:rFonts w:ascii="Times New Roman" w:hAnsi="Times New Roman" w:cs="Times New Roman"/>
          <w:sz w:val="24"/>
          <w:szCs w:val="24"/>
        </w:rPr>
        <w:t xml:space="preserve">echoing </w:t>
      </w:r>
      <w:r w:rsidR="004A5F77" w:rsidRPr="00D22649">
        <w:rPr>
          <w:rFonts w:ascii="Times New Roman" w:hAnsi="Times New Roman" w:cs="Times New Roman"/>
          <w:sz w:val="24"/>
          <w:szCs w:val="24"/>
        </w:rPr>
        <w:t>Gilligan’s notion of a uniquely feminine ethic of care.</w:t>
      </w:r>
      <w:r w:rsidR="00BA2E5E" w:rsidRPr="00D22649">
        <w:rPr>
          <w:rStyle w:val="FootnoteReference"/>
          <w:rFonts w:ascii="Times New Roman" w:hAnsi="Times New Roman" w:cs="Times New Roman"/>
          <w:sz w:val="24"/>
          <w:szCs w:val="24"/>
        </w:rPr>
        <w:footnoteReference w:id="79"/>
      </w:r>
      <w:r w:rsidR="00600218" w:rsidRPr="00D22649">
        <w:rPr>
          <w:rFonts w:ascii="Times New Roman" w:hAnsi="Times New Roman" w:cs="Times New Roman"/>
          <w:sz w:val="24"/>
          <w:szCs w:val="24"/>
        </w:rPr>
        <w:t xml:space="preserve">  </w:t>
      </w:r>
      <w:r w:rsidR="00F3203C" w:rsidRPr="00D22649">
        <w:rPr>
          <w:rFonts w:ascii="Times New Roman" w:hAnsi="Times New Roman" w:cs="Times New Roman"/>
          <w:sz w:val="24"/>
          <w:szCs w:val="24"/>
        </w:rPr>
        <w:t>T</w:t>
      </w:r>
      <w:r w:rsidR="00600218" w:rsidRPr="00D22649">
        <w:rPr>
          <w:rFonts w:ascii="Times New Roman" w:hAnsi="Times New Roman" w:cs="Times New Roman"/>
          <w:sz w:val="24"/>
          <w:szCs w:val="24"/>
        </w:rPr>
        <w:t>he Committee</w:t>
      </w:r>
      <w:r w:rsidR="007F2AB6" w:rsidRPr="00D22649">
        <w:rPr>
          <w:rFonts w:ascii="Times New Roman" w:hAnsi="Times New Roman" w:cs="Times New Roman"/>
          <w:sz w:val="24"/>
          <w:szCs w:val="24"/>
        </w:rPr>
        <w:t xml:space="preserve"> </w:t>
      </w:r>
      <w:r w:rsidR="00F3203C" w:rsidRPr="00D22649">
        <w:rPr>
          <w:rFonts w:ascii="Times New Roman" w:hAnsi="Times New Roman" w:cs="Times New Roman"/>
          <w:sz w:val="24"/>
          <w:szCs w:val="24"/>
        </w:rPr>
        <w:t xml:space="preserve">also </w:t>
      </w:r>
      <w:r w:rsidR="00600218" w:rsidRPr="00D22649">
        <w:rPr>
          <w:rFonts w:ascii="Times New Roman" w:hAnsi="Times New Roman" w:cs="Times New Roman"/>
          <w:sz w:val="24"/>
          <w:szCs w:val="24"/>
        </w:rPr>
        <w:t xml:space="preserve">uses a feminist methodology </w:t>
      </w:r>
      <w:r w:rsidR="007F2AB6" w:rsidRPr="00D22649">
        <w:rPr>
          <w:rFonts w:ascii="Times New Roman" w:hAnsi="Times New Roman" w:cs="Times New Roman"/>
          <w:sz w:val="24"/>
          <w:szCs w:val="24"/>
        </w:rPr>
        <w:t>that</w:t>
      </w:r>
      <w:r w:rsidR="00600218" w:rsidRPr="00D22649">
        <w:rPr>
          <w:rFonts w:ascii="Times New Roman" w:hAnsi="Times New Roman" w:cs="Times New Roman"/>
          <w:sz w:val="24"/>
          <w:szCs w:val="24"/>
        </w:rPr>
        <w:t xml:space="preserve"> focus</w:t>
      </w:r>
      <w:r w:rsidR="007F2AB6" w:rsidRPr="00D22649">
        <w:rPr>
          <w:rFonts w:ascii="Times New Roman" w:hAnsi="Times New Roman" w:cs="Times New Roman"/>
          <w:sz w:val="24"/>
          <w:szCs w:val="24"/>
        </w:rPr>
        <w:t>es</w:t>
      </w:r>
      <w:r w:rsidR="00600218" w:rsidRPr="00D22649">
        <w:rPr>
          <w:rFonts w:ascii="Times New Roman" w:hAnsi="Times New Roman" w:cs="Times New Roman"/>
          <w:sz w:val="24"/>
          <w:szCs w:val="24"/>
        </w:rPr>
        <w:t xml:space="preserve"> on impact rather than intent</w:t>
      </w:r>
      <w:r w:rsidR="007F2AB6" w:rsidRPr="00D22649">
        <w:rPr>
          <w:rFonts w:ascii="Times New Roman" w:hAnsi="Times New Roman" w:cs="Times New Roman"/>
          <w:sz w:val="24"/>
          <w:szCs w:val="24"/>
        </w:rPr>
        <w:t xml:space="preserve">. </w:t>
      </w:r>
      <w:r w:rsidR="00ED4024" w:rsidRPr="00D22649">
        <w:rPr>
          <w:rFonts w:ascii="Times New Roman" w:hAnsi="Times New Roman" w:cs="Times New Roman"/>
          <w:sz w:val="24"/>
          <w:szCs w:val="24"/>
        </w:rPr>
        <w:t xml:space="preserve"> </w:t>
      </w:r>
      <w:r w:rsidR="00600218" w:rsidRPr="00D22649">
        <w:rPr>
          <w:rFonts w:ascii="Times New Roman" w:hAnsi="Times New Roman" w:cs="Times New Roman"/>
          <w:sz w:val="24"/>
          <w:szCs w:val="24"/>
        </w:rPr>
        <w:t xml:space="preserve">In short, </w:t>
      </w:r>
      <w:r w:rsidR="00F3203C" w:rsidRPr="00D22649">
        <w:rPr>
          <w:rFonts w:ascii="Times New Roman" w:hAnsi="Times New Roman" w:cs="Times New Roman"/>
          <w:sz w:val="24"/>
          <w:szCs w:val="24"/>
        </w:rPr>
        <w:t>its</w:t>
      </w:r>
      <w:r w:rsidR="00600218" w:rsidRPr="00D22649">
        <w:rPr>
          <w:rFonts w:ascii="Times New Roman" w:hAnsi="Times New Roman" w:cs="Times New Roman"/>
          <w:sz w:val="24"/>
          <w:szCs w:val="24"/>
        </w:rPr>
        <w:t xml:space="preserve"> reasoning is rooted in the effect of </w:t>
      </w:r>
      <w:r>
        <w:rPr>
          <w:rFonts w:ascii="Times New Roman" w:hAnsi="Times New Roman" w:cs="Times New Roman"/>
          <w:sz w:val="24"/>
          <w:szCs w:val="24"/>
        </w:rPr>
        <w:t>s</w:t>
      </w:r>
      <w:r w:rsidR="00600218" w:rsidRPr="00D22649">
        <w:rPr>
          <w:rFonts w:ascii="Times New Roman" w:hAnsi="Times New Roman" w:cs="Times New Roman"/>
          <w:sz w:val="24"/>
          <w:szCs w:val="24"/>
        </w:rPr>
        <w:t>tates’ (in)actions in the real world of concrete experiences.  The purpose of the Committee’s analysis is not, in the words of Binion, to find a ‘malevolent offender’</w:t>
      </w:r>
      <w:r>
        <w:rPr>
          <w:rFonts w:ascii="Times New Roman" w:hAnsi="Times New Roman" w:cs="Times New Roman"/>
          <w:sz w:val="24"/>
          <w:szCs w:val="24"/>
        </w:rPr>
        <w:t>;</w:t>
      </w:r>
      <w:r w:rsidR="00600218" w:rsidRPr="00D22649">
        <w:rPr>
          <w:rFonts w:ascii="Times New Roman" w:hAnsi="Times New Roman" w:cs="Times New Roman"/>
          <w:sz w:val="24"/>
          <w:szCs w:val="24"/>
        </w:rPr>
        <w:t xml:space="preserve"> rather it is solution-focussed and holistic.</w:t>
      </w:r>
      <w:r w:rsidR="00600218" w:rsidRPr="00D22649">
        <w:rPr>
          <w:rStyle w:val="FootnoteReference"/>
          <w:rFonts w:ascii="Times New Roman" w:hAnsi="Times New Roman" w:cs="Times New Roman"/>
          <w:sz w:val="24"/>
          <w:szCs w:val="24"/>
        </w:rPr>
        <w:footnoteReference w:id="80"/>
      </w:r>
      <w:r w:rsidR="007F2AB6" w:rsidRPr="00D22649">
        <w:rPr>
          <w:rFonts w:ascii="Times New Roman" w:hAnsi="Times New Roman" w:cs="Times New Roman"/>
          <w:sz w:val="24"/>
          <w:szCs w:val="24"/>
        </w:rPr>
        <w:t xml:space="preserve">  These characteristics, I suggest, render it uniquely ‘influential in the creation of a women’s human rights jurisprudence’.</w:t>
      </w:r>
      <w:r w:rsidR="007F2AB6" w:rsidRPr="00D22649">
        <w:rPr>
          <w:rStyle w:val="FootnoteReference"/>
          <w:rFonts w:ascii="Times New Roman" w:hAnsi="Times New Roman" w:cs="Times New Roman"/>
          <w:sz w:val="24"/>
          <w:szCs w:val="24"/>
        </w:rPr>
        <w:footnoteReference w:id="81"/>
      </w:r>
      <w:r w:rsidR="007F2AB6" w:rsidRPr="00D22649">
        <w:rPr>
          <w:rFonts w:ascii="Times New Roman" w:hAnsi="Times New Roman" w:cs="Times New Roman"/>
          <w:sz w:val="24"/>
          <w:szCs w:val="24"/>
        </w:rPr>
        <w:t xml:space="preserve">  </w:t>
      </w:r>
    </w:p>
    <w:p w14:paraId="0A9FB88F" w14:textId="113F9596" w:rsidR="004356E2" w:rsidRPr="00D22649" w:rsidRDefault="008067B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7A1638" w:rsidRPr="00D22649">
        <w:rPr>
          <w:rFonts w:ascii="Times New Roman" w:hAnsi="Times New Roman" w:cs="Times New Roman"/>
          <w:sz w:val="24"/>
          <w:szCs w:val="24"/>
        </w:rPr>
        <w:t xml:space="preserve">Yet </w:t>
      </w:r>
      <w:r w:rsidR="004C2700" w:rsidRPr="00D22649">
        <w:rPr>
          <w:rFonts w:ascii="Times New Roman" w:hAnsi="Times New Roman" w:cs="Times New Roman"/>
          <w:sz w:val="24"/>
          <w:szCs w:val="24"/>
        </w:rPr>
        <w:t xml:space="preserve">CEDAW remains embedded in </w:t>
      </w:r>
      <w:r w:rsidR="007D09A9" w:rsidRPr="00D22649">
        <w:rPr>
          <w:rFonts w:ascii="Times New Roman" w:hAnsi="Times New Roman" w:cs="Times New Roman"/>
          <w:sz w:val="24"/>
          <w:szCs w:val="24"/>
        </w:rPr>
        <w:t>a</w:t>
      </w:r>
      <w:r w:rsidR="004C2700" w:rsidRPr="00D22649">
        <w:rPr>
          <w:rFonts w:ascii="Times New Roman" w:hAnsi="Times New Roman" w:cs="Times New Roman"/>
          <w:sz w:val="24"/>
          <w:szCs w:val="24"/>
        </w:rPr>
        <w:t xml:space="preserve"> state-centric model of International Law.  </w:t>
      </w:r>
      <w:r w:rsidR="00B7186F" w:rsidRPr="00D22649">
        <w:rPr>
          <w:rFonts w:ascii="Times New Roman" w:hAnsi="Times New Roman" w:cs="Times New Roman"/>
          <w:sz w:val="24"/>
          <w:szCs w:val="24"/>
        </w:rPr>
        <w:t xml:space="preserve">It is striking that </w:t>
      </w:r>
      <w:r w:rsidR="00140955" w:rsidRPr="00D22649">
        <w:rPr>
          <w:rFonts w:ascii="Times New Roman" w:hAnsi="Times New Roman" w:cs="Times New Roman"/>
          <w:sz w:val="24"/>
          <w:szCs w:val="24"/>
        </w:rPr>
        <w:t xml:space="preserve">in each </w:t>
      </w:r>
      <w:r w:rsidR="00B7186F" w:rsidRPr="00D22649">
        <w:rPr>
          <w:rFonts w:ascii="Times New Roman" w:hAnsi="Times New Roman" w:cs="Times New Roman"/>
          <w:sz w:val="24"/>
          <w:szCs w:val="24"/>
        </w:rPr>
        <w:t>of the three communications before it that had previously been declared inadmissible by the European Court of Human Rights (</w:t>
      </w:r>
      <w:r w:rsidR="00B7186F" w:rsidRPr="00D22649">
        <w:rPr>
          <w:rFonts w:ascii="Times New Roman" w:hAnsi="Times New Roman" w:cs="Times New Roman"/>
          <w:i/>
          <w:sz w:val="24"/>
          <w:szCs w:val="24"/>
        </w:rPr>
        <w:t>N.S.F v</w:t>
      </w:r>
      <w:r>
        <w:rPr>
          <w:rFonts w:ascii="Times New Roman" w:hAnsi="Times New Roman" w:cs="Times New Roman"/>
          <w:i/>
          <w:sz w:val="24"/>
          <w:szCs w:val="24"/>
        </w:rPr>
        <w:t>.</w:t>
      </w:r>
      <w:r w:rsidR="00B7186F" w:rsidRPr="00D22649">
        <w:rPr>
          <w:rFonts w:ascii="Times New Roman" w:hAnsi="Times New Roman" w:cs="Times New Roman"/>
          <w:i/>
          <w:sz w:val="24"/>
          <w:szCs w:val="24"/>
        </w:rPr>
        <w:t xml:space="preserve"> UK</w:t>
      </w:r>
      <w:r w:rsidR="00B7186F" w:rsidRPr="00D22649">
        <w:rPr>
          <w:rFonts w:ascii="Times New Roman" w:hAnsi="Times New Roman" w:cs="Times New Roman"/>
          <w:sz w:val="24"/>
          <w:szCs w:val="24"/>
        </w:rPr>
        <w:t>,</w:t>
      </w:r>
      <w:r w:rsidR="00B7186F" w:rsidRPr="00D22649">
        <w:rPr>
          <w:rStyle w:val="FootnoteReference"/>
          <w:rFonts w:ascii="Times New Roman" w:hAnsi="Times New Roman" w:cs="Times New Roman"/>
          <w:sz w:val="24"/>
          <w:szCs w:val="24"/>
        </w:rPr>
        <w:footnoteReference w:id="82"/>
      </w:r>
      <w:r w:rsidR="00B7186F" w:rsidRPr="00D22649">
        <w:rPr>
          <w:rFonts w:ascii="Times New Roman" w:hAnsi="Times New Roman" w:cs="Times New Roman"/>
          <w:sz w:val="24"/>
          <w:szCs w:val="24"/>
        </w:rPr>
        <w:t xml:space="preserve"> </w:t>
      </w:r>
      <w:r w:rsidR="00B7186F" w:rsidRPr="00D22649">
        <w:rPr>
          <w:rFonts w:ascii="Times New Roman" w:hAnsi="Times New Roman" w:cs="Times New Roman"/>
          <w:i/>
          <w:sz w:val="24"/>
          <w:szCs w:val="24"/>
        </w:rPr>
        <w:t>Mukhina v</w:t>
      </w:r>
      <w:r>
        <w:rPr>
          <w:rFonts w:ascii="Times New Roman" w:hAnsi="Times New Roman" w:cs="Times New Roman"/>
          <w:i/>
          <w:sz w:val="24"/>
          <w:szCs w:val="24"/>
        </w:rPr>
        <w:t>.</w:t>
      </w:r>
      <w:r w:rsidR="00B7186F" w:rsidRPr="00D22649">
        <w:rPr>
          <w:rFonts w:ascii="Times New Roman" w:hAnsi="Times New Roman" w:cs="Times New Roman"/>
          <w:i/>
          <w:sz w:val="24"/>
          <w:szCs w:val="24"/>
        </w:rPr>
        <w:t xml:space="preserve"> Italy</w:t>
      </w:r>
      <w:r w:rsidR="00B7186F" w:rsidRPr="00D22649">
        <w:rPr>
          <w:rFonts w:ascii="Times New Roman" w:hAnsi="Times New Roman" w:cs="Times New Roman"/>
          <w:sz w:val="24"/>
          <w:szCs w:val="24"/>
        </w:rPr>
        <w:t>,</w:t>
      </w:r>
      <w:r w:rsidR="00221612" w:rsidRPr="00D22649">
        <w:rPr>
          <w:rStyle w:val="FootnoteReference"/>
          <w:rFonts w:ascii="Times New Roman" w:hAnsi="Times New Roman" w:cs="Times New Roman"/>
          <w:sz w:val="24"/>
          <w:szCs w:val="24"/>
        </w:rPr>
        <w:footnoteReference w:id="83"/>
      </w:r>
      <w:r w:rsidR="00B7186F" w:rsidRPr="00D22649">
        <w:rPr>
          <w:rFonts w:ascii="Times New Roman" w:hAnsi="Times New Roman" w:cs="Times New Roman"/>
          <w:sz w:val="24"/>
          <w:szCs w:val="24"/>
        </w:rPr>
        <w:t xml:space="preserve"> </w:t>
      </w:r>
      <w:r w:rsidR="00B7186F" w:rsidRPr="00D22649">
        <w:rPr>
          <w:rFonts w:ascii="Times New Roman" w:hAnsi="Times New Roman" w:cs="Times New Roman"/>
          <w:i/>
          <w:sz w:val="24"/>
          <w:szCs w:val="24"/>
        </w:rPr>
        <w:t>Dayras v</w:t>
      </w:r>
      <w:r>
        <w:rPr>
          <w:rFonts w:ascii="Times New Roman" w:hAnsi="Times New Roman" w:cs="Times New Roman"/>
          <w:i/>
          <w:sz w:val="24"/>
          <w:szCs w:val="24"/>
        </w:rPr>
        <w:t>.</w:t>
      </w:r>
      <w:r w:rsidR="00B7186F" w:rsidRPr="00D22649">
        <w:rPr>
          <w:rFonts w:ascii="Times New Roman" w:hAnsi="Times New Roman" w:cs="Times New Roman"/>
          <w:i/>
          <w:sz w:val="24"/>
          <w:szCs w:val="24"/>
        </w:rPr>
        <w:t xml:space="preserve"> France</w:t>
      </w:r>
      <w:r w:rsidR="007A0BAA" w:rsidRPr="00D22649">
        <w:rPr>
          <w:rStyle w:val="FootnoteReference"/>
          <w:rFonts w:ascii="Times New Roman" w:hAnsi="Times New Roman" w:cs="Times New Roman"/>
          <w:i/>
          <w:sz w:val="24"/>
          <w:szCs w:val="24"/>
        </w:rPr>
        <w:footnoteReference w:id="84"/>
      </w:r>
      <w:r w:rsidR="00B7186F" w:rsidRPr="00D22649">
        <w:rPr>
          <w:rFonts w:ascii="Times New Roman" w:hAnsi="Times New Roman" w:cs="Times New Roman"/>
          <w:sz w:val="24"/>
          <w:szCs w:val="24"/>
        </w:rPr>
        <w:t xml:space="preserve">), the Committee followed </w:t>
      </w:r>
      <w:r w:rsidR="00AE160C" w:rsidRPr="00D22649">
        <w:rPr>
          <w:rFonts w:ascii="Times New Roman" w:hAnsi="Times New Roman" w:cs="Times New Roman"/>
          <w:sz w:val="24"/>
          <w:szCs w:val="24"/>
        </w:rPr>
        <w:t xml:space="preserve">that tribunal’s </w:t>
      </w:r>
      <w:r w:rsidR="00B7186F" w:rsidRPr="00D22649">
        <w:rPr>
          <w:rFonts w:ascii="Times New Roman" w:hAnsi="Times New Roman" w:cs="Times New Roman"/>
          <w:sz w:val="24"/>
          <w:szCs w:val="24"/>
        </w:rPr>
        <w:t xml:space="preserve">reasoning.  </w:t>
      </w:r>
      <w:r w:rsidR="002078DF" w:rsidRPr="00D22649">
        <w:rPr>
          <w:rFonts w:ascii="Times New Roman" w:hAnsi="Times New Roman" w:cs="Times New Roman"/>
          <w:sz w:val="24"/>
          <w:szCs w:val="24"/>
        </w:rPr>
        <w:t>The</w:t>
      </w:r>
      <w:r w:rsidR="005F3A52" w:rsidRPr="00D22649">
        <w:rPr>
          <w:rFonts w:ascii="Times New Roman" w:hAnsi="Times New Roman" w:cs="Times New Roman"/>
          <w:sz w:val="24"/>
          <w:szCs w:val="24"/>
        </w:rPr>
        <w:t xml:space="preserve"> Committee’s urgent task is to ensure that its </w:t>
      </w:r>
      <w:r w:rsidR="00BA2E5E" w:rsidRPr="00D22649">
        <w:rPr>
          <w:rFonts w:ascii="Times New Roman" w:hAnsi="Times New Roman" w:cs="Times New Roman"/>
          <w:sz w:val="24"/>
          <w:szCs w:val="24"/>
        </w:rPr>
        <w:t>inevitable association</w:t>
      </w:r>
      <w:r w:rsidR="005F3A52" w:rsidRPr="00D22649">
        <w:rPr>
          <w:rFonts w:ascii="Times New Roman" w:hAnsi="Times New Roman" w:cs="Times New Roman"/>
          <w:sz w:val="24"/>
          <w:szCs w:val="24"/>
        </w:rPr>
        <w:t xml:space="preserve"> with the human rights centre does not </w:t>
      </w:r>
      <w:r w:rsidR="005F3A52" w:rsidRPr="00D22649">
        <w:rPr>
          <w:rFonts w:ascii="Times New Roman" w:hAnsi="Times New Roman" w:cs="Times New Roman"/>
          <w:sz w:val="24"/>
          <w:szCs w:val="24"/>
        </w:rPr>
        <w:lastRenderedPageBreak/>
        <w:t>become a permanent fixation that leaves it voiceless.</w:t>
      </w:r>
      <w:r w:rsidR="004356E2" w:rsidRPr="00D22649">
        <w:rPr>
          <w:rFonts w:ascii="Times New Roman" w:hAnsi="Times New Roman" w:cs="Times New Roman"/>
          <w:sz w:val="24"/>
          <w:szCs w:val="24"/>
        </w:rPr>
        <w:t xml:space="preserve">  Viewed from a periphery</w:t>
      </w:r>
      <w:r>
        <w:rPr>
          <w:rFonts w:ascii="Times New Roman" w:hAnsi="Times New Roman" w:cs="Times New Roman"/>
          <w:sz w:val="24"/>
          <w:szCs w:val="24"/>
        </w:rPr>
        <w:t>–</w:t>
      </w:r>
      <w:r w:rsidR="004356E2" w:rsidRPr="00D22649">
        <w:rPr>
          <w:rFonts w:ascii="Times New Roman" w:hAnsi="Times New Roman" w:cs="Times New Roman"/>
          <w:sz w:val="24"/>
          <w:szCs w:val="24"/>
        </w:rPr>
        <w:t>centre dynamic, one question raised is whether the periphery simply serves to legitimi</w:t>
      </w:r>
      <w:r>
        <w:rPr>
          <w:rFonts w:ascii="Times New Roman" w:hAnsi="Times New Roman" w:cs="Times New Roman"/>
          <w:sz w:val="24"/>
          <w:szCs w:val="24"/>
        </w:rPr>
        <w:t>z</w:t>
      </w:r>
      <w:r w:rsidR="004356E2" w:rsidRPr="00D22649">
        <w:rPr>
          <w:rFonts w:ascii="Times New Roman" w:hAnsi="Times New Roman" w:cs="Times New Roman"/>
          <w:sz w:val="24"/>
          <w:szCs w:val="24"/>
        </w:rPr>
        <w:t>e and entrench core power dynamics within human rights law.  In short, does the very existence of CEDAW simply</w:t>
      </w:r>
      <w:r w:rsidR="00EA4F61" w:rsidRPr="00D22649">
        <w:rPr>
          <w:rFonts w:ascii="Times New Roman" w:hAnsi="Times New Roman" w:cs="Times New Roman"/>
          <w:sz w:val="24"/>
          <w:szCs w:val="24"/>
        </w:rPr>
        <w:t xml:space="preserve"> serve, as Otto has suggested, </w:t>
      </w:r>
      <w:r w:rsidR="00730237" w:rsidRPr="00D22649">
        <w:rPr>
          <w:rFonts w:ascii="Times New Roman" w:hAnsi="Times New Roman" w:cs="Times New Roman"/>
          <w:sz w:val="24"/>
          <w:szCs w:val="24"/>
        </w:rPr>
        <w:t xml:space="preserve">to </w:t>
      </w:r>
      <w:r w:rsidR="00EA4F61" w:rsidRPr="00D22649">
        <w:rPr>
          <w:rFonts w:ascii="Times New Roman" w:hAnsi="Times New Roman" w:cs="Times New Roman"/>
          <w:sz w:val="24"/>
          <w:szCs w:val="24"/>
        </w:rPr>
        <w:t>‘</w:t>
      </w:r>
      <w:r w:rsidR="004356E2" w:rsidRPr="00D22649">
        <w:rPr>
          <w:rFonts w:ascii="Times New Roman" w:hAnsi="Times New Roman" w:cs="Times New Roman"/>
          <w:sz w:val="24"/>
          <w:szCs w:val="24"/>
        </w:rPr>
        <w:t xml:space="preserve">strengthen the props that produce protecting, defending, civilising and rescuing forms </w:t>
      </w:r>
      <w:r w:rsidR="00EA4F61" w:rsidRPr="00D22649">
        <w:rPr>
          <w:rFonts w:ascii="Times New Roman" w:hAnsi="Times New Roman" w:cs="Times New Roman"/>
          <w:sz w:val="24"/>
          <w:szCs w:val="24"/>
        </w:rPr>
        <w:t>of masculinity as the universal’</w:t>
      </w:r>
      <w:r w:rsidR="004356E2" w:rsidRPr="00D22649">
        <w:rPr>
          <w:rFonts w:ascii="Times New Roman" w:hAnsi="Times New Roman" w:cs="Times New Roman"/>
          <w:sz w:val="24"/>
          <w:szCs w:val="24"/>
        </w:rPr>
        <w:t>?</w:t>
      </w:r>
      <w:r w:rsidR="004356E2" w:rsidRPr="00D22649">
        <w:rPr>
          <w:rStyle w:val="FootnoteReference"/>
          <w:rFonts w:ascii="Times New Roman" w:hAnsi="Times New Roman" w:cs="Times New Roman"/>
          <w:sz w:val="24"/>
          <w:szCs w:val="24"/>
        </w:rPr>
        <w:footnoteReference w:id="85"/>
      </w:r>
      <w:r w:rsidR="004356E2" w:rsidRPr="00D22649">
        <w:rPr>
          <w:rFonts w:ascii="Times New Roman" w:hAnsi="Times New Roman" w:cs="Times New Roman"/>
          <w:sz w:val="24"/>
          <w:szCs w:val="24"/>
        </w:rPr>
        <w:t xml:space="preserve">  Certainly, CEDAW, when understood </w:t>
      </w:r>
      <w:r w:rsidR="00B36321" w:rsidRPr="00D22649">
        <w:rPr>
          <w:rFonts w:ascii="Times New Roman" w:hAnsi="Times New Roman" w:cs="Times New Roman"/>
          <w:sz w:val="24"/>
          <w:szCs w:val="24"/>
        </w:rPr>
        <w:t xml:space="preserve">solely </w:t>
      </w:r>
      <w:r w:rsidR="004356E2" w:rsidRPr="00D22649">
        <w:rPr>
          <w:rFonts w:ascii="Times New Roman" w:hAnsi="Times New Roman" w:cs="Times New Roman"/>
          <w:sz w:val="24"/>
          <w:szCs w:val="24"/>
        </w:rPr>
        <w:t>as a peripheral instrument, performs the marginali</w:t>
      </w:r>
      <w:r>
        <w:rPr>
          <w:rFonts w:ascii="Times New Roman" w:hAnsi="Times New Roman" w:cs="Times New Roman"/>
          <w:sz w:val="24"/>
          <w:szCs w:val="24"/>
        </w:rPr>
        <w:t>z</w:t>
      </w:r>
      <w:r w:rsidR="004356E2" w:rsidRPr="00D22649">
        <w:rPr>
          <w:rFonts w:ascii="Times New Roman" w:hAnsi="Times New Roman" w:cs="Times New Roman"/>
          <w:sz w:val="24"/>
          <w:szCs w:val="24"/>
        </w:rPr>
        <w:t xml:space="preserve">ation of women’s rights.  The ‘women’s ghetto’ imagined by Chinkin and Charlesworth is condemned to be a place of frustration, where </w:t>
      </w:r>
      <w:r w:rsidR="00140955" w:rsidRPr="00D22649">
        <w:rPr>
          <w:rFonts w:ascii="Times New Roman" w:hAnsi="Times New Roman" w:cs="Times New Roman"/>
          <w:sz w:val="24"/>
          <w:szCs w:val="24"/>
        </w:rPr>
        <w:t xml:space="preserve">women </w:t>
      </w:r>
      <w:r w:rsidR="004356E2" w:rsidRPr="00D22649">
        <w:rPr>
          <w:rFonts w:ascii="Times New Roman" w:hAnsi="Times New Roman" w:cs="Times New Roman"/>
          <w:sz w:val="24"/>
          <w:szCs w:val="24"/>
        </w:rPr>
        <w:t>yearn for, yet are excluded from, human rights’ centre of power.</w:t>
      </w:r>
      <w:r w:rsidR="00B36321" w:rsidRPr="00D22649">
        <w:rPr>
          <w:rFonts w:ascii="Times New Roman" w:hAnsi="Times New Roman" w:cs="Times New Roman"/>
          <w:sz w:val="24"/>
          <w:szCs w:val="24"/>
        </w:rPr>
        <w:t xml:space="preserve">  Yet I have suggested here that its marginali</w:t>
      </w:r>
      <w:r>
        <w:rPr>
          <w:rFonts w:ascii="Times New Roman" w:hAnsi="Times New Roman" w:cs="Times New Roman"/>
          <w:sz w:val="24"/>
          <w:szCs w:val="24"/>
        </w:rPr>
        <w:t>z</w:t>
      </w:r>
      <w:r w:rsidR="00B36321" w:rsidRPr="00D22649">
        <w:rPr>
          <w:rFonts w:ascii="Times New Roman" w:hAnsi="Times New Roman" w:cs="Times New Roman"/>
          <w:sz w:val="24"/>
          <w:szCs w:val="24"/>
        </w:rPr>
        <w:t>ation is far from complete.</w:t>
      </w:r>
    </w:p>
    <w:p w14:paraId="14648CC8" w14:textId="32B40079" w:rsidR="000B47C9" w:rsidRPr="00D22649" w:rsidRDefault="008067B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2865F9" w:rsidRPr="00D22649">
        <w:rPr>
          <w:rFonts w:ascii="Times New Roman" w:hAnsi="Times New Roman" w:cs="Times New Roman"/>
          <w:sz w:val="24"/>
          <w:szCs w:val="24"/>
        </w:rPr>
        <w:t>A Committee member has argued that the Committee ‘has long forced the limits of its mandate to allow an ever-expanding range of women’s human rights to find their way into the Convention’.</w:t>
      </w:r>
      <w:r w:rsidR="00C6025B" w:rsidRPr="00D22649">
        <w:rPr>
          <w:rStyle w:val="FootnoteReference"/>
          <w:rFonts w:ascii="Times New Roman" w:hAnsi="Times New Roman" w:cs="Times New Roman"/>
          <w:sz w:val="24"/>
          <w:szCs w:val="24"/>
        </w:rPr>
        <w:footnoteReference w:id="86"/>
      </w:r>
      <w:r w:rsidR="002865F9" w:rsidRPr="00D22649">
        <w:rPr>
          <w:rFonts w:ascii="Times New Roman" w:hAnsi="Times New Roman" w:cs="Times New Roman"/>
          <w:sz w:val="24"/>
          <w:szCs w:val="24"/>
        </w:rPr>
        <w:t xml:space="preserve">  While that </w:t>
      </w:r>
      <w:r w:rsidR="00C6025B" w:rsidRPr="00D22649">
        <w:rPr>
          <w:rFonts w:ascii="Times New Roman" w:hAnsi="Times New Roman" w:cs="Times New Roman"/>
          <w:sz w:val="24"/>
          <w:szCs w:val="24"/>
        </w:rPr>
        <w:t xml:space="preserve">reflection </w:t>
      </w:r>
      <w:r w:rsidR="002865F9" w:rsidRPr="00D22649">
        <w:rPr>
          <w:rFonts w:ascii="Times New Roman" w:hAnsi="Times New Roman" w:cs="Times New Roman"/>
          <w:sz w:val="24"/>
          <w:szCs w:val="24"/>
        </w:rPr>
        <w:t>m</w:t>
      </w:r>
      <w:r>
        <w:rPr>
          <w:rFonts w:ascii="Times New Roman" w:hAnsi="Times New Roman" w:cs="Times New Roman"/>
          <w:sz w:val="24"/>
          <w:szCs w:val="24"/>
        </w:rPr>
        <w:t>ay</w:t>
      </w:r>
      <w:r w:rsidR="002865F9" w:rsidRPr="00D22649">
        <w:rPr>
          <w:rFonts w:ascii="Times New Roman" w:hAnsi="Times New Roman" w:cs="Times New Roman"/>
          <w:sz w:val="24"/>
          <w:szCs w:val="24"/>
        </w:rPr>
        <w:t xml:space="preserve"> </w:t>
      </w:r>
      <w:r w:rsidR="00C6025B" w:rsidRPr="00D22649">
        <w:rPr>
          <w:rFonts w:ascii="Times New Roman" w:hAnsi="Times New Roman" w:cs="Times New Roman"/>
          <w:sz w:val="24"/>
          <w:szCs w:val="24"/>
        </w:rPr>
        <w:t>be somewhat complacent</w:t>
      </w:r>
      <w:r w:rsidR="002865F9" w:rsidRPr="00D22649">
        <w:rPr>
          <w:rFonts w:ascii="Times New Roman" w:hAnsi="Times New Roman" w:cs="Times New Roman"/>
          <w:sz w:val="24"/>
          <w:szCs w:val="24"/>
        </w:rPr>
        <w:t>, t</w:t>
      </w:r>
      <w:r w:rsidR="005F3A52" w:rsidRPr="00D22649">
        <w:rPr>
          <w:rFonts w:ascii="Times New Roman" w:hAnsi="Times New Roman" w:cs="Times New Roman"/>
          <w:sz w:val="24"/>
          <w:szCs w:val="24"/>
        </w:rPr>
        <w:t>here is</w:t>
      </w:r>
      <w:r w:rsidR="00C6025B" w:rsidRPr="00D22649">
        <w:rPr>
          <w:rFonts w:ascii="Times New Roman" w:hAnsi="Times New Roman" w:cs="Times New Roman"/>
          <w:sz w:val="24"/>
          <w:szCs w:val="24"/>
        </w:rPr>
        <w:t xml:space="preserve"> certainly</w:t>
      </w:r>
      <w:r w:rsidR="005F3A52" w:rsidRPr="00D22649">
        <w:rPr>
          <w:rFonts w:ascii="Times New Roman" w:hAnsi="Times New Roman" w:cs="Times New Roman"/>
          <w:sz w:val="24"/>
          <w:szCs w:val="24"/>
        </w:rPr>
        <w:t xml:space="preserve"> much that </w:t>
      </w:r>
      <w:r w:rsidR="009E651E" w:rsidRPr="00D22649">
        <w:rPr>
          <w:rFonts w:ascii="Times New Roman" w:hAnsi="Times New Roman" w:cs="Times New Roman"/>
          <w:sz w:val="24"/>
          <w:szCs w:val="24"/>
        </w:rPr>
        <w:t>can</w:t>
      </w:r>
      <w:r w:rsidR="005F3A52" w:rsidRPr="00D22649">
        <w:rPr>
          <w:rFonts w:ascii="Times New Roman" w:hAnsi="Times New Roman" w:cs="Times New Roman"/>
          <w:sz w:val="24"/>
          <w:szCs w:val="24"/>
        </w:rPr>
        <w:t xml:space="preserve"> be achieved </w:t>
      </w:r>
      <w:r w:rsidR="00600218" w:rsidRPr="00D22649">
        <w:rPr>
          <w:rFonts w:ascii="Times New Roman" w:hAnsi="Times New Roman" w:cs="Times New Roman"/>
          <w:sz w:val="24"/>
          <w:szCs w:val="24"/>
        </w:rPr>
        <w:t xml:space="preserve">in the future </w:t>
      </w:r>
      <w:r w:rsidR="005F3A52" w:rsidRPr="00D22649">
        <w:rPr>
          <w:rFonts w:ascii="Times New Roman" w:hAnsi="Times New Roman" w:cs="Times New Roman"/>
          <w:sz w:val="24"/>
          <w:szCs w:val="24"/>
        </w:rPr>
        <w:t xml:space="preserve">if CEDAW keeps its eye to the periphery and its ears open to the voices </w:t>
      </w:r>
      <w:r w:rsidR="004356E2" w:rsidRPr="00D22649">
        <w:rPr>
          <w:rFonts w:ascii="Times New Roman" w:hAnsi="Times New Roman" w:cs="Times New Roman"/>
          <w:sz w:val="24"/>
          <w:szCs w:val="24"/>
        </w:rPr>
        <w:t xml:space="preserve">that address it </w:t>
      </w:r>
      <w:r w:rsidR="005F3A52" w:rsidRPr="00D22649">
        <w:rPr>
          <w:rFonts w:ascii="Times New Roman" w:hAnsi="Times New Roman" w:cs="Times New Roman"/>
          <w:sz w:val="24"/>
          <w:szCs w:val="24"/>
        </w:rPr>
        <w:t xml:space="preserve">from there.  </w:t>
      </w:r>
      <w:r w:rsidR="004356E2" w:rsidRPr="00D22649">
        <w:rPr>
          <w:rFonts w:ascii="Times New Roman" w:hAnsi="Times New Roman" w:cs="Times New Roman"/>
          <w:sz w:val="24"/>
          <w:szCs w:val="24"/>
        </w:rPr>
        <w:t>For example,</w:t>
      </w:r>
      <w:r w:rsidR="007D09A9" w:rsidRPr="00D22649">
        <w:rPr>
          <w:rFonts w:ascii="Times New Roman" w:hAnsi="Times New Roman" w:cs="Times New Roman"/>
          <w:sz w:val="24"/>
          <w:szCs w:val="24"/>
        </w:rPr>
        <w:t xml:space="preserve"> m</w:t>
      </w:r>
      <w:r w:rsidR="004C2700" w:rsidRPr="00D22649">
        <w:rPr>
          <w:rFonts w:ascii="Times New Roman" w:hAnsi="Times New Roman" w:cs="Times New Roman"/>
          <w:sz w:val="24"/>
          <w:szCs w:val="24"/>
        </w:rPr>
        <w:t xml:space="preserve">any individual cases </w:t>
      </w:r>
      <w:r w:rsidR="00B36321" w:rsidRPr="00D22649">
        <w:rPr>
          <w:rFonts w:ascii="Times New Roman" w:hAnsi="Times New Roman" w:cs="Times New Roman"/>
          <w:sz w:val="24"/>
          <w:szCs w:val="24"/>
        </w:rPr>
        <w:t>before</w:t>
      </w:r>
      <w:r w:rsidR="007D09A9" w:rsidRPr="00D22649">
        <w:rPr>
          <w:rFonts w:ascii="Times New Roman" w:hAnsi="Times New Roman" w:cs="Times New Roman"/>
          <w:sz w:val="24"/>
          <w:szCs w:val="24"/>
        </w:rPr>
        <w:t xml:space="preserve"> the Committee </w:t>
      </w:r>
      <w:r w:rsidR="004C2700" w:rsidRPr="00D22649">
        <w:rPr>
          <w:rFonts w:ascii="Times New Roman" w:hAnsi="Times New Roman" w:cs="Times New Roman"/>
          <w:sz w:val="24"/>
          <w:szCs w:val="24"/>
        </w:rPr>
        <w:t xml:space="preserve">have </w:t>
      </w:r>
      <w:r w:rsidR="007D09A9" w:rsidRPr="00D22649">
        <w:rPr>
          <w:rFonts w:ascii="Times New Roman" w:hAnsi="Times New Roman" w:cs="Times New Roman"/>
          <w:sz w:val="24"/>
          <w:szCs w:val="24"/>
        </w:rPr>
        <w:t>concerned</w:t>
      </w:r>
      <w:r w:rsidR="004C2700" w:rsidRPr="00D22649">
        <w:rPr>
          <w:rFonts w:ascii="Times New Roman" w:hAnsi="Times New Roman" w:cs="Times New Roman"/>
          <w:sz w:val="24"/>
          <w:szCs w:val="24"/>
        </w:rPr>
        <w:t xml:space="preserve"> </w:t>
      </w:r>
      <w:r w:rsidR="007D09A9" w:rsidRPr="00D22649">
        <w:rPr>
          <w:rFonts w:ascii="Times New Roman" w:hAnsi="Times New Roman" w:cs="Times New Roman"/>
          <w:sz w:val="24"/>
          <w:szCs w:val="24"/>
        </w:rPr>
        <w:t xml:space="preserve">violence meted </w:t>
      </w:r>
      <w:r>
        <w:rPr>
          <w:rFonts w:ascii="Times New Roman" w:hAnsi="Times New Roman" w:cs="Times New Roman"/>
          <w:sz w:val="24"/>
          <w:szCs w:val="24"/>
        </w:rPr>
        <w:t xml:space="preserve">out </w:t>
      </w:r>
      <w:r w:rsidR="007D09A9" w:rsidRPr="00D22649">
        <w:rPr>
          <w:rFonts w:ascii="Times New Roman" w:hAnsi="Times New Roman" w:cs="Times New Roman"/>
          <w:sz w:val="24"/>
          <w:szCs w:val="24"/>
        </w:rPr>
        <w:t xml:space="preserve">by </w:t>
      </w:r>
      <w:r w:rsidR="004C2700" w:rsidRPr="00D22649">
        <w:rPr>
          <w:rFonts w:ascii="Times New Roman" w:hAnsi="Times New Roman" w:cs="Times New Roman"/>
          <w:sz w:val="24"/>
          <w:szCs w:val="24"/>
        </w:rPr>
        <w:t xml:space="preserve">private actors, suggesting that </w:t>
      </w:r>
      <w:r w:rsidR="00B36321" w:rsidRPr="00D22649">
        <w:rPr>
          <w:rFonts w:ascii="Times New Roman" w:hAnsi="Times New Roman" w:cs="Times New Roman"/>
          <w:sz w:val="24"/>
          <w:szCs w:val="24"/>
        </w:rPr>
        <w:t>it</w:t>
      </w:r>
      <w:r w:rsidR="004C2700" w:rsidRPr="00D22649">
        <w:rPr>
          <w:rFonts w:ascii="Times New Roman" w:hAnsi="Times New Roman" w:cs="Times New Roman"/>
          <w:sz w:val="24"/>
          <w:szCs w:val="24"/>
        </w:rPr>
        <w:t xml:space="preserve"> is well positioned to challenge the public</w:t>
      </w:r>
      <w:r>
        <w:rPr>
          <w:rFonts w:ascii="Times New Roman" w:hAnsi="Times New Roman" w:cs="Times New Roman"/>
          <w:sz w:val="24"/>
          <w:szCs w:val="24"/>
        </w:rPr>
        <w:t>–</w:t>
      </w:r>
      <w:r w:rsidR="004C2700" w:rsidRPr="00D22649">
        <w:rPr>
          <w:rFonts w:ascii="Times New Roman" w:hAnsi="Times New Roman" w:cs="Times New Roman"/>
          <w:sz w:val="24"/>
          <w:szCs w:val="24"/>
        </w:rPr>
        <w:t xml:space="preserve">private divide that remains entrenched in mainstream International Law.  Similarly, the Committee is </w:t>
      </w:r>
      <w:r w:rsidR="004356E2" w:rsidRPr="00D22649">
        <w:rPr>
          <w:rFonts w:ascii="Times New Roman" w:hAnsi="Times New Roman" w:cs="Times New Roman"/>
          <w:sz w:val="24"/>
          <w:szCs w:val="24"/>
        </w:rPr>
        <w:t>well</w:t>
      </w:r>
      <w:r>
        <w:rPr>
          <w:rFonts w:ascii="Times New Roman" w:hAnsi="Times New Roman" w:cs="Times New Roman"/>
          <w:sz w:val="24"/>
          <w:szCs w:val="24"/>
        </w:rPr>
        <w:t xml:space="preserve"> </w:t>
      </w:r>
      <w:r w:rsidR="004356E2" w:rsidRPr="00D22649">
        <w:rPr>
          <w:rFonts w:ascii="Times New Roman" w:hAnsi="Times New Roman" w:cs="Times New Roman"/>
          <w:sz w:val="24"/>
          <w:szCs w:val="24"/>
        </w:rPr>
        <w:t>positioned</w:t>
      </w:r>
      <w:r w:rsidR="004C2700" w:rsidRPr="00D22649">
        <w:rPr>
          <w:rFonts w:ascii="Times New Roman" w:hAnsi="Times New Roman" w:cs="Times New Roman"/>
          <w:sz w:val="24"/>
          <w:szCs w:val="24"/>
        </w:rPr>
        <w:t xml:space="preserve"> to articulate the nature and extent of </w:t>
      </w:r>
      <w:r>
        <w:rPr>
          <w:rFonts w:ascii="Times New Roman" w:hAnsi="Times New Roman" w:cs="Times New Roman"/>
          <w:sz w:val="24"/>
          <w:szCs w:val="24"/>
        </w:rPr>
        <w:t>s</w:t>
      </w:r>
      <w:r w:rsidR="004C2700" w:rsidRPr="00D22649">
        <w:rPr>
          <w:rFonts w:ascii="Times New Roman" w:hAnsi="Times New Roman" w:cs="Times New Roman"/>
          <w:sz w:val="24"/>
          <w:szCs w:val="24"/>
        </w:rPr>
        <w:t>tates’ positive obligations under human rights treaties.</w:t>
      </w:r>
      <w:r w:rsidR="007D09A9" w:rsidRPr="00D22649">
        <w:rPr>
          <w:rFonts w:ascii="Times New Roman" w:hAnsi="Times New Roman" w:cs="Times New Roman"/>
          <w:sz w:val="24"/>
          <w:szCs w:val="24"/>
        </w:rPr>
        <w:t xml:space="preserve">  </w:t>
      </w:r>
      <w:r w:rsidR="004356E2" w:rsidRPr="00D22649">
        <w:rPr>
          <w:rFonts w:ascii="Times New Roman" w:hAnsi="Times New Roman" w:cs="Times New Roman"/>
          <w:sz w:val="24"/>
          <w:szCs w:val="24"/>
        </w:rPr>
        <w:t xml:space="preserve">While its performance in </w:t>
      </w:r>
      <w:r w:rsidR="00AD29DB" w:rsidRPr="00D22649">
        <w:rPr>
          <w:rFonts w:ascii="Times New Roman" w:hAnsi="Times New Roman" w:cs="Times New Roman"/>
          <w:sz w:val="24"/>
          <w:szCs w:val="24"/>
        </w:rPr>
        <w:t xml:space="preserve">the </w:t>
      </w:r>
      <w:r w:rsidR="004356E2" w:rsidRPr="00D22649">
        <w:rPr>
          <w:rFonts w:ascii="Times New Roman" w:hAnsi="Times New Roman" w:cs="Times New Roman"/>
          <w:sz w:val="24"/>
          <w:szCs w:val="24"/>
        </w:rPr>
        <w:t>area of economic rights has so far been underwhelming, the Co</w:t>
      </w:r>
      <w:r w:rsidR="002015C4" w:rsidRPr="00D22649">
        <w:rPr>
          <w:rFonts w:ascii="Times New Roman" w:hAnsi="Times New Roman" w:cs="Times New Roman"/>
          <w:sz w:val="24"/>
          <w:szCs w:val="24"/>
        </w:rPr>
        <w:t xml:space="preserve">mmittee </w:t>
      </w:r>
      <w:r w:rsidR="004356E2" w:rsidRPr="00D22649">
        <w:rPr>
          <w:rFonts w:ascii="Times New Roman" w:hAnsi="Times New Roman" w:cs="Times New Roman"/>
          <w:sz w:val="24"/>
          <w:szCs w:val="24"/>
        </w:rPr>
        <w:t>has a real opportunity to position</w:t>
      </w:r>
      <w:r w:rsidR="002015C4" w:rsidRPr="00D22649">
        <w:rPr>
          <w:rFonts w:ascii="Times New Roman" w:hAnsi="Times New Roman" w:cs="Times New Roman"/>
          <w:sz w:val="24"/>
          <w:szCs w:val="24"/>
        </w:rPr>
        <w:t xml:space="preserve"> itself </w:t>
      </w:r>
      <w:r w:rsidR="000B47C9" w:rsidRPr="00D22649">
        <w:rPr>
          <w:rFonts w:ascii="Times New Roman" w:hAnsi="Times New Roman" w:cs="Times New Roman"/>
          <w:sz w:val="24"/>
          <w:szCs w:val="24"/>
        </w:rPr>
        <w:t xml:space="preserve">to </w:t>
      </w:r>
      <w:r w:rsidR="00D40676" w:rsidRPr="00D22649">
        <w:rPr>
          <w:rFonts w:ascii="Times New Roman" w:hAnsi="Times New Roman" w:cs="Times New Roman"/>
          <w:sz w:val="24"/>
          <w:szCs w:val="24"/>
        </w:rPr>
        <w:t xml:space="preserve">assert the interdependence of rights and </w:t>
      </w:r>
      <w:r w:rsidR="00AD29DB" w:rsidRPr="00D22649">
        <w:rPr>
          <w:rFonts w:ascii="Times New Roman" w:hAnsi="Times New Roman" w:cs="Times New Roman"/>
          <w:sz w:val="24"/>
          <w:szCs w:val="24"/>
        </w:rPr>
        <w:t>address</w:t>
      </w:r>
      <w:r w:rsidR="000B47C9" w:rsidRPr="00D22649">
        <w:rPr>
          <w:rFonts w:ascii="Times New Roman" w:hAnsi="Times New Roman" w:cs="Times New Roman"/>
          <w:sz w:val="24"/>
          <w:szCs w:val="24"/>
        </w:rPr>
        <w:t xml:space="preserve"> economic issues of vital importance to women. </w:t>
      </w:r>
      <w:r w:rsidR="004C2700" w:rsidRPr="00D22649">
        <w:rPr>
          <w:rFonts w:ascii="Times New Roman" w:hAnsi="Times New Roman" w:cs="Times New Roman"/>
          <w:sz w:val="24"/>
          <w:szCs w:val="24"/>
        </w:rPr>
        <w:t xml:space="preserve"> </w:t>
      </w:r>
      <w:r w:rsidR="004356E2" w:rsidRPr="00D22649">
        <w:rPr>
          <w:rFonts w:ascii="Times New Roman" w:hAnsi="Times New Roman" w:cs="Times New Roman"/>
          <w:sz w:val="24"/>
          <w:szCs w:val="24"/>
        </w:rPr>
        <w:t xml:space="preserve">It could be argued that in </w:t>
      </w:r>
      <w:r w:rsidR="002F7F4D" w:rsidRPr="00D22649">
        <w:rPr>
          <w:rFonts w:ascii="Times New Roman" w:hAnsi="Times New Roman" w:cs="Times New Roman"/>
          <w:i/>
          <w:sz w:val="24"/>
          <w:szCs w:val="24"/>
        </w:rPr>
        <w:t>T.P.F</w:t>
      </w:r>
      <w:r>
        <w:rPr>
          <w:rFonts w:ascii="Times New Roman" w:hAnsi="Times New Roman" w:cs="Times New Roman"/>
          <w:i/>
          <w:sz w:val="24"/>
          <w:szCs w:val="24"/>
        </w:rPr>
        <w:t>.</w:t>
      </w:r>
      <w:r w:rsidR="002F7F4D" w:rsidRPr="00D22649">
        <w:rPr>
          <w:rFonts w:ascii="Times New Roman" w:hAnsi="Times New Roman" w:cs="Times New Roman"/>
          <w:i/>
          <w:sz w:val="24"/>
          <w:szCs w:val="24"/>
        </w:rPr>
        <w:t xml:space="preserve"> v</w:t>
      </w:r>
      <w:r>
        <w:rPr>
          <w:rFonts w:ascii="Times New Roman" w:hAnsi="Times New Roman" w:cs="Times New Roman"/>
          <w:i/>
          <w:sz w:val="24"/>
          <w:szCs w:val="24"/>
        </w:rPr>
        <w:t>.</w:t>
      </w:r>
      <w:r w:rsidR="002F7F4D" w:rsidRPr="00D22649">
        <w:rPr>
          <w:rFonts w:ascii="Times New Roman" w:hAnsi="Times New Roman" w:cs="Times New Roman"/>
          <w:i/>
          <w:sz w:val="24"/>
          <w:szCs w:val="24"/>
        </w:rPr>
        <w:t xml:space="preserve"> Turkey</w:t>
      </w:r>
      <w:r w:rsidR="002F7F4D" w:rsidRPr="00D22649">
        <w:rPr>
          <w:rFonts w:ascii="Times New Roman" w:hAnsi="Times New Roman" w:cs="Times New Roman"/>
          <w:sz w:val="24"/>
          <w:szCs w:val="24"/>
        </w:rPr>
        <w:t>,</w:t>
      </w:r>
      <w:r w:rsidR="002F7F4D" w:rsidRPr="00D22649">
        <w:rPr>
          <w:rStyle w:val="FootnoteReference"/>
          <w:rFonts w:ascii="Times New Roman" w:hAnsi="Times New Roman" w:cs="Times New Roman"/>
          <w:sz w:val="24"/>
          <w:szCs w:val="24"/>
        </w:rPr>
        <w:footnoteReference w:id="87"/>
      </w:r>
      <w:r w:rsidR="004356E2" w:rsidRPr="00D22649">
        <w:rPr>
          <w:rFonts w:ascii="Times New Roman" w:hAnsi="Times New Roman" w:cs="Times New Roman"/>
          <w:sz w:val="24"/>
          <w:szCs w:val="24"/>
        </w:rPr>
        <w:t xml:space="preserve"> </w:t>
      </w:r>
      <w:r w:rsidR="002F7F4D" w:rsidRPr="00D22649">
        <w:rPr>
          <w:rFonts w:ascii="Times New Roman" w:hAnsi="Times New Roman" w:cs="Times New Roman"/>
          <w:sz w:val="24"/>
          <w:szCs w:val="24"/>
        </w:rPr>
        <w:t xml:space="preserve">the Committee signposted its willingness to take on this role.  </w:t>
      </w:r>
      <w:r w:rsidR="004C2700" w:rsidRPr="00D22649">
        <w:rPr>
          <w:rFonts w:ascii="Times New Roman" w:hAnsi="Times New Roman" w:cs="Times New Roman"/>
          <w:sz w:val="24"/>
          <w:szCs w:val="24"/>
        </w:rPr>
        <w:t>Thus, CEDAW’s individual communications point to the possibility of challenging the liberal values that prioriti</w:t>
      </w:r>
      <w:r>
        <w:rPr>
          <w:rFonts w:ascii="Times New Roman" w:hAnsi="Times New Roman" w:cs="Times New Roman"/>
          <w:sz w:val="24"/>
          <w:szCs w:val="24"/>
        </w:rPr>
        <w:t>z</w:t>
      </w:r>
      <w:r w:rsidR="004C2700" w:rsidRPr="00D22649">
        <w:rPr>
          <w:rFonts w:ascii="Times New Roman" w:hAnsi="Times New Roman" w:cs="Times New Roman"/>
          <w:sz w:val="24"/>
          <w:szCs w:val="24"/>
        </w:rPr>
        <w:t>e the protection of narrowly-defined civil and political r</w:t>
      </w:r>
      <w:r w:rsidR="008425B0" w:rsidRPr="00D22649">
        <w:rPr>
          <w:rFonts w:ascii="Times New Roman" w:hAnsi="Times New Roman" w:cs="Times New Roman"/>
          <w:sz w:val="24"/>
          <w:szCs w:val="24"/>
        </w:rPr>
        <w:t>ights.</w:t>
      </w:r>
    </w:p>
    <w:p w14:paraId="034F8C1B" w14:textId="3E82F7E6" w:rsidR="008A0F45" w:rsidRPr="00D22649" w:rsidRDefault="008067B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5E62DD" w:rsidRPr="00D22649">
        <w:rPr>
          <w:rFonts w:ascii="Times New Roman" w:hAnsi="Times New Roman" w:cs="Times New Roman"/>
          <w:sz w:val="24"/>
          <w:szCs w:val="24"/>
        </w:rPr>
        <w:t xml:space="preserve">CEDAW is </w:t>
      </w:r>
      <w:r w:rsidR="002F7F4D" w:rsidRPr="00D22649">
        <w:rPr>
          <w:rFonts w:ascii="Times New Roman" w:hAnsi="Times New Roman" w:cs="Times New Roman"/>
          <w:sz w:val="24"/>
          <w:szCs w:val="24"/>
        </w:rPr>
        <w:t>also beginning to respond</w:t>
      </w:r>
      <w:r w:rsidR="005E62DD" w:rsidRPr="00D22649">
        <w:rPr>
          <w:rFonts w:ascii="Times New Roman" w:hAnsi="Times New Roman" w:cs="Times New Roman"/>
          <w:sz w:val="24"/>
          <w:szCs w:val="24"/>
        </w:rPr>
        <w:t xml:space="preserve"> to the challenge of ensuring equality for differently-situated subjects.  </w:t>
      </w:r>
      <w:r w:rsidR="008A0F45" w:rsidRPr="00D22649">
        <w:rPr>
          <w:rFonts w:ascii="Times New Roman" w:hAnsi="Times New Roman" w:cs="Times New Roman"/>
          <w:sz w:val="24"/>
          <w:szCs w:val="24"/>
        </w:rPr>
        <w:t>CEDAW’s case</w:t>
      </w:r>
      <w:r>
        <w:rPr>
          <w:rFonts w:ascii="Times New Roman" w:hAnsi="Times New Roman" w:cs="Times New Roman"/>
          <w:sz w:val="24"/>
          <w:szCs w:val="24"/>
        </w:rPr>
        <w:t xml:space="preserve"> </w:t>
      </w:r>
      <w:r w:rsidR="008A0F45" w:rsidRPr="00D22649">
        <w:rPr>
          <w:rFonts w:ascii="Times New Roman" w:hAnsi="Times New Roman" w:cs="Times New Roman"/>
          <w:sz w:val="24"/>
          <w:szCs w:val="24"/>
        </w:rPr>
        <w:t xml:space="preserve">law </w:t>
      </w:r>
      <w:r w:rsidR="002F7F4D" w:rsidRPr="00D22649">
        <w:rPr>
          <w:rFonts w:ascii="Times New Roman" w:hAnsi="Times New Roman" w:cs="Times New Roman"/>
          <w:sz w:val="24"/>
          <w:szCs w:val="24"/>
        </w:rPr>
        <w:t xml:space="preserve">certainly </w:t>
      </w:r>
      <w:r w:rsidR="008A0F45" w:rsidRPr="00D22649">
        <w:rPr>
          <w:rFonts w:ascii="Times New Roman" w:hAnsi="Times New Roman" w:cs="Times New Roman"/>
          <w:sz w:val="24"/>
          <w:szCs w:val="24"/>
        </w:rPr>
        <w:t xml:space="preserve">has the potential to broaden our understanding of discrimination and equality, particularly in the realm of indirect discrimination and </w:t>
      </w:r>
      <w:r w:rsidR="008A0F45" w:rsidRPr="00D22649">
        <w:rPr>
          <w:rFonts w:ascii="Times New Roman" w:hAnsi="Times New Roman" w:cs="Times New Roman"/>
          <w:i/>
          <w:sz w:val="24"/>
          <w:szCs w:val="24"/>
        </w:rPr>
        <w:t>de facto</w:t>
      </w:r>
      <w:r w:rsidR="008A0F45" w:rsidRPr="00D22649">
        <w:rPr>
          <w:rFonts w:ascii="Times New Roman" w:hAnsi="Times New Roman" w:cs="Times New Roman"/>
          <w:sz w:val="24"/>
          <w:szCs w:val="24"/>
        </w:rPr>
        <w:t xml:space="preserve"> equality.  </w:t>
      </w:r>
      <w:r w:rsidR="00DA5AD6" w:rsidRPr="00D22649">
        <w:rPr>
          <w:rFonts w:ascii="Times New Roman" w:hAnsi="Times New Roman" w:cs="Times New Roman"/>
          <w:sz w:val="24"/>
          <w:szCs w:val="24"/>
        </w:rPr>
        <w:t xml:space="preserve">Charlesworth and Chinkin have suggested that the approach of other tribunals to discrimination, exemplified by the Human Rights Committee’s </w:t>
      </w:r>
      <w:r w:rsidR="00DA5AD6" w:rsidRPr="00D22649">
        <w:rPr>
          <w:rFonts w:ascii="Times New Roman" w:hAnsi="Times New Roman" w:cs="Times New Roman"/>
          <w:sz w:val="24"/>
          <w:szCs w:val="24"/>
        </w:rPr>
        <w:lastRenderedPageBreak/>
        <w:t xml:space="preserve">decision in </w:t>
      </w:r>
      <w:r w:rsidR="00EF3CAA" w:rsidRPr="00D22649">
        <w:rPr>
          <w:rFonts w:ascii="Times New Roman" w:hAnsi="Times New Roman" w:cs="Times New Roman"/>
          <w:i/>
          <w:sz w:val="24"/>
          <w:szCs w:val="24"/>
        </w:rPr>
        <w:t xml:space="preserve">Hendrika S. </w:t>
      </w:r>
      <w:r w:rsidR="00DA5AD6" w:rsidRPr="00D22649">
        <w:rPr>
          <w:rFonts w:ascii="Times New Roman" w:hAnsi="Times New Roman" w:cs="Times New Roman"/>
          <w:i/>
          <w:sz w:val="24"/>
          <w:szCs w:val="24"/>
        </w:rPr>
        <w:t>Vos v</w:t>
      </w:r>
      <w:r>
        <w:rPr>
          <w:rFonts w:ascii="Times New Roman" w:hAnsi="Times New Roman" w:cs="Times New Roman"/>
          <w:i/>
          <w:sz w:val="24"/>
          <w:szCs w:val="24"/>
        </w:rPr>
        <w:t>.</w:t>
      </w:r>
      <w:r w:rsidR="00DA5AD6" w:rsidRPr="00D22649">
        <w:rPr>
          <w:rFonts w:ascii="Times New Roman" w:hAnsi="Times New Roman" w:cs="Times New Roman"/>
          <w:i/>
          <w:sz w:val="24"/>
          <w:szCs w:val="24"/>
        </w:rPr>
        <w:t xml:space="preserve"> Netherlands</w:t>
      </w:r>
      <w:r w:rsidR="00DA5AD6" w:rsidRPr="00D22649">
        <w:rPr>
          <w:rFonts w:ascii="Times New Roman" w:hAnsi="Times New Roman" w:cs="Times New Roman"/>
          <w:sz w:val="24"/>
          <w:szCs w:val="24"/>
        </w:rPr>
        <w:t>,</w:t>
      </w:r>
      <w:r w:rsidR="00EF3CAA" w:rsidRPr="00D22649">
        <w:rPr>
          <w:rStyle w:val="FootnoteReference"/>
          <w:rFonts w:ascii="Times New Roman" w:hAnsi="Times New Roman" w:cs="Times New Roman"/>
          <w:sz w:val="24"/>
          <w:szCs w:val="24"/>
        </w:rPr>
        <w:footnoteReference w:id="88"/>
      </w:r>
      <w:r w:rsidR="00DA5AD6" w:rsidRPr="00D22649">
        <w:rPr>
          <w:rFonts w:ascii="Times New Roman" w:hAnsi="Times New Roman" w:cs="Times New Roman"/>
          <w:sz w:val="24"/>
          <w:szCs w:val="24"/>
        </w:rPr>
        <w:t xml:space="preserve"> is too narrowly focussed on direct discrimination,</w:t>
      </w:r>
      <w:r w:rsidR="00EF3CAA" w:rsidRPr="00D22649">
        <w:rPr>
          <w:rStyle w:val="FootnoteReference"/>
          <w:rFonts w:ascii="Times New Roman" w:hAnsi="Times New Roman" w:cs="Times New Roman"/>
          <w:sz w:val="24"/>
          <w:szCs w:val="24"/>
        </w:rPr>
        <w:footnoteReference w:id="89"/>
      </w:r>
      <w:r w:rsidR="00DA5AD6" w:rsidRPr="00D22649">
        <w:rPr>
          <w:rFonts w:ascii="Times New Roman" w:hAnsi="Times New Roman" w:cs="Times New Roman"/>
          <w:sz w:val="24"/>
          <w:szCs w:val="24"/>
        </w:rPr>
        <w:t xml:space="preserve"> leaving the Women’s Committee with a significant role in expanding our understanding of the indirect discrimination faced by women.</w:t>
      </w:r>
    </w:p>
    <w:p w14:paraId="35F5FE92" w14:textId="117859BC" w:rsidR="00107777" w:rsidRPr="00D22649" w:rsidRDefault="008067BB" w:rsidP="00D22649">
      <w:pPr>
        <w:widowControl w:val="0"/>
        <w:autoSpaceDE w:val="0"/>
        <w:autoSpaceDN w:val="0"/>
        <w:adjustRightInd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rPr>
        <w:tab/>
      </w:r>
      <w:r w:rsidR="00107777" w:rsidRPr="00D22649">
        <w:rPr>
          <w:rFonts w:ascii="Times New Roman" w:hAnsi="Times New Roman" w:cs="Times New Roman"/>
          <w:sz w:val="24"/>
          <w:szCs w:val="24"/>
        </w:rPr>
        <w:t xml:space="preserve">A number of </w:t>
      </w:r>
      <w:r w:rsidR="009B411B" w:rsidRPr="00D22649">
        <w:rPr>
          <w:rFonts w:ascii="Times New Roman" w:hAnsi="Times New Roman" w:cs="Times New Roman"/>
          <w:sz w:val="24"/>
          <w:szCs w:val="24"/>
        </w:rPr>
        <w:t xml:space="preserve">rights </w:t>
      </w:r>
      <w:r w:rsidR="00107777" w:rsidRPr="00D22649">
        <w:rPr>
          <w:rFonts w:ascii="Times New Roman" w:hAnsi="Times New Roman" w:cs="Times New Roman"/>
          <w:sz w:val="24"/>
          <w:szCs w:val="24"/>
        </w:rPr>
        <w:t xml:space="preserve">critics have suggested that rights </w:t>
      </w:r>
      <w:r w:rsidR="00B92EA0" w:rsidRPr="00D22649">
        <w:rPr>
          <w:rFonts w:ascii="Times New Roman" w:hAnsi="Times New Roman" w:cs="Times New Roman"/>
          <w:sz w:val="24"/>
          <w:szCs w:val="24"/>
        </w:rPr>
        <w:t xml:space="preserve">themselves </w:t>
      </w:r>
      <w:r w:rsidR="00107777" w:rsidRPr="00D22649">
        <w:rPr>
          <w:rFonts w:ascii="Times New Roman" w:hAnsi="Times New Roman" w:cs="Times New Roman"/>
          <w:sz w:val="24"/>
          <w:szCs w:val="24"/>
        </w:rPr>
        <w:t>are too narrow; yet, as I have argued, looking at the communications before the Committee tends to confirm Patricia Williams’ view that it is not with rights themselves that the problem lies</w:t>
      </w:r>
      <w:r>
        <w:rPr>
          <w:rFonts w:ascii="Times New Roman" w:hAnsi="Times New Roman" w:cs="Times New Roman"/>
          <w:sz w:val="24"/>
          <w:szCs w:val="24"/>
        </w:rPr>
        <w:t>;</w:t>
      </w:r>
      <w:r w:rsidR="00351DEF" w:rsidRPr="00D22649">
        <w:rPr>
          <w:rFonts w:ascii="Times New Roman" w:hAnsi="Times New Roman" w:cs="Times New Roman"/>
          <w:sz w:val="24"/>
          <w:szCs w:val="24"/>
        </w:rPr>
        <w:t xml:space="preserve"> rather it lies with the fact that ri</w:t>
      </w:r>
      <w:r w:rsidR="00C318C7" w:rsidRPr="00D22649">
        <w:rPr>
          <w:rFonts w:ascii="Times New Roman" w:hAnsi="Times New Roman" w:cs="Times New Roman"/>
          <w:sz w:val="24"/>
          <w:szCs w:val="24"/>
        </w:rPr>
        <w:t>ghts discourse exists within a ‘</w:t>
      </w:r>
      <w:r w:rsidR="00351DEF" w:rsidRPr="00D22649">
        <w:rPr>
          <w:rFonts w:ascii="Times New Roman" w:hAnsi="Times New Roman" w:cs="Times New Roman"/>
          <w:sz w:val="24"/>
          <w:szCs w:val="24"/>
        </w:rPr>
        <w:t>c</w:t>
      </w:r>
      <w:r w:rsidR="00C318C7" w:rsidRPr="00D22649">
        <w:rPr>
          <w:rFonts w:ascii="Times New Roman" w:hAnsi="Times New Roman" w:cs="Times New Roman"/>
          <w:sz w:val="24"/>
          <w:szCs w:val="24"/>
        </w:rPr>
        <w:t>onstricted referential universe’</w:t>
      </w:r>
      <w:r w:rsidR="00351DEF" w:rsidRPr="00D22649">
        <w:rPr>
          <w:rFonts w:ascii="Times New Roman" w:hAnsi="Times New Roman" w:cs="Times New Roman"/>
          <w:sz w:val="24"/>
          <w:szCs w:val="24"/>
        </w:rPr>
        <w:t>.</w:t>
      </w:r>
      <w:r w:rsidR="00351DEF" w:rsidRPr="00D22649">
        <w:rPr>
          <w:rStyle w:val="FootnoteReference"/>
          <w:rFonts w:ascii="Times New Roman" w:hAnsi="Times New Roman" w:cs="Times New Roman"/>
          <w:sz w:val="24"/>
          <w:szCs w:val="24"/>
          <w:lang w:val="en-US"/>
        </w:rPr>
        <w:footnoteReference w:id="90"/>
      </w:r>
      <w:r w:rsidR="00351DEF" w:rsidRPr="00D22649">
        <w:rPr>
          <w:rFonts w:ascii="Times New Roman" w:hAnsi="Times New Roman" w:cs="Times New Roman"/>
          <w:sz w:val="24"/>
          <w:szCs w:val="24"/>
        </w:rPr>
        <w:t xml:space="preserve">  </w:t>
      </w:r>
      <w:r w:rsidR="00CA266A" w:rsidRPr="00D22649">
        <w:rPr>
          <w:rFonts w:ascii="Times New Roman" w:hAnsi="Times New Roman" w:cs="Times New Roman"/>
          <w:sz w:val="24"/>
          <w:szCs w:val="24"/>
        </w:rPr>
        <w:t xml:space="preserve">As Upendra Baxi has suggested, </w:t>
      </w:r>
      <w:r w:rsidR="000E2B6E" w:rsidRPr="00D22649">
        <w:rPr>
          <w:rFonts w:ascii="Times New Roman" w:hAnsi="Times New Roman" w:cs="Times New Roman"/>
          <w:sz w:val="24"/>
          <w:szCs w:val="24"/>
        </w:rPr>
        <w:t xml:space="preserve">an expanded referential universe </w:t>
      </w:r>
      <w:r w:rsidR="00CA266A" w:rsidRPr="00D22649">
        <w:rPr>
          <w:rFonts w:ascii="Times New Roman" w:hAnsi="Times New Roman" w:cs="Times New Roman"/>
          <w:sz w:val="24"/>
          <w:szCs w:val="24"/>
        </w:rPr>
        <w:t xml:space="preserve">might </w:t>
      </w:r>
      <w:r w:rsidR="000E2B6E" w:rsidRPr="00D22649">
        <w:rPr>
          <w:rFonts w:ascii="Times New Roman" w:hAnsi="Times New Roman" w:cs="Times New Roman"/>
          <w:sz w:val="24"/>
          <w:szCs w:val="24"/>
        </w:rPr>
        <w:t>serve</w:t>
      </w:r>
      <w:r w:rsidR="00CA266A" w:rsidRPr="00D22649">
        <w:rPr>
          <w:rFonts w:ascii="Times New Roman" w:hAnsi="Times New Roman" w:cs="Times New Roman"/>
          <w:sz w:val="24"/>
          <w:szCs w:val="24"/>
        </w:rPr>
        <w:t xml:space="preserve"> to connect the concept of human rights with an understanding of human suffering: ‘the statist human rights discourse in its enunciations of human rights does not relate to languages of human pain and social suffering’.</w:t>
      </w:r>
      <w:r w:rsidR="00CA266A" w:rsidRPr="00D22649">
        <w:rPr>
          <w:rStyle w:val="FootnoteReference"/>
          <w:rFonts w:ascii="Times New Roman" w:hAnsi="Times New Roman" w:cs="Times New Roman"/>
          <w:sz w:val="24"/>
          <w:szCs w:val="24"/>
          <w:lang w:val="en-US"/>
        </w:rPr>
        <w:footnoteReference w:id="91"/>
      </w:r>
      <w:r w:rsidR="00CA266A" w:rsidRPr="00D22649">
        <w:rPr>
          <w:rFonts w:ascii="Times New Roman" w:hAnsi="Times New Roman" w:cs="Times New Roman"/>
          <w:sz w:val="24"/>
          <w:szCs w:val="24"/>
        </w:rPr>
        <w:t xml:space="preserve">  </w:t>
      </w:r>
      <w:r w:rsidR="00351DEF" w:rsidRPr="00D22649">
        <w:rPr>
          <w:rFonts w:ascii="Times New Roman" w:hAnsi="Times New Roman" w:cs="Times New Roman"/>
          <w:sz w:val="24"/>
          <w:szCs w:val="24"/>
        </w:rPr>
        <w:t>Thus, the task for the Committee</w:t>
      </w:r>
      <w:r w:rsidR="000E2B6E" w:rsidRPr="00D22649">
        <w:rPr>
          <w:rFonts w:ascii="Times New Roman" w:hAnsi="Times New Roman" w:cs="Times New Roman"/>
          <w:sz w:val="24"/>
          <w:szCs w:val="24"/>
        </w:rPr>
        <w:t>, I suggest,</w:t>
      </w:r>
      <w:r w:rsidR="00351DEF" w:rsidRPr="00D22649">
        <w:rPr>
          <w:rFonts w:ascii="Times New Roman" w:hAnsi="Times New Roman" w:cs="Times New Roman"/>
          <w:sz w:val="24"/>
          <w:szCs w:val="24"/>
        </w:rPr>
        <w:t xml:space="preserve"> is to use its voyages to the periphery in order to expand its frame of reference.  </w:t>
      </w:r>
      <w:r w:rsidR="003419C7" w:rsidRPr="00D22649">
        <w:rPr>
          <w:rFonts w:ascii="Times New Roman" w:hAnsi="Times New Roman" w:cs="Times New Roman"/>
          <w:sz w:val="24"/>
          <w:szCs w:val="24"/>
        </w:rPr>
        <w:t>It is only through such an undertaking that women’s rights law may be appropriately connected to a wider understanding of women’s rights, not only as legal expectations but as expressions of empathy with and compassion for the suffering of the powerless.</w:t>
      </w:r>
    </w:p>
    <w:p w14:paraId="1BC1E186" w14:textId="03673510" w:rsidR="00C26006" w:rsidRPr="00D22649" w:rsidRDefault="008067B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0E2B6E" w:rsidRPr="00D22649">
        <w:rPr>
          <w:rFonts w:ascii="Times New Roman" w:hAnsi="Times New Roman" w:cs="Times New Roman"/>
          <w:sz w:val="24"/>
          <w:szCs w:val="24"/>
        </w:rPr>
        <w:t>The Committee has addressed a</w:t>
      </w:r>
      <w:r w:rsidR="009B411B" w:rsidRPr="00D22649">
        <w:rPr>
          <w:rFonts w:ascii="Times New Roman" w:hAnsi="Times New Roman" w:cs="Times New Roman"/>
          <w:sz w:val="24"/>
          <w:szCs w:val="24"/>
        </w:rPr>
        <w:t xml:space="preserve"> wide range of issues of central importance to European women in </w:t>
      </w:r>
      <w:r w:rsidR="000F6E04" w:rsidRPr="00D22649">
        <w:rPr>
          <w:rFonts w:ascii="Times New Roman" w:hAnsi="Times New Roman" w:cs="Times New Roman"/>
          <w:sz w:val="24"/>
          <w:szCs w:val="24"/>
        </w:rPr>
        <w:t>the 21</w:t>
      </w:r>
      <w:r w:rsidR="000F6E04" w:rsidRPr="005B6796">
        <w:rPr>
          <w:rFonts w:ascii="Times New Roman" w:hAnsi="Times New Roman" w:cs="Times New Roman"/>
          <w:sz w:val="24"/>
          <w:szCs w:val="24"/>
        </w:rPr>
        <w:t>st</w:t>
      </w:r>
      <w:r w:rsidR="000F6E04" w:rsidRPr="00D22649">
        <w:rPr>
          <w:rFonts w:ascii="Times New Roman" w:hAnsi="Times New Roman" w:cs="Times New Roman"/>
          <w:sz w:val="24"/>
          <w:szCs w:val="24"/>
        </w:rPr>
        <w:t xml:space="preserve"> Century that have bee</w:t>
      </w:r>
      <w:r w:rsidR="000C695E" w:rsidRPr="00D22649">
        <w:rPr>
          <w:rFonts w:ascii="Times New Roman" w:hAnsi="Times New Roman" w:cs="Times New Roman"/>
          <w:sz w:val="24"/>
          <w:szCs w:val="24"/>
        </w:rPr>
        <w:t>n largely overlooked by other international human rights tribunals: v</w:t>
      </w:r>
      <w:r w:rsidR="000F6E04" w:rsidRPr="00D22649">
        <w:rPr>
          <w:rFonts w:ascii="Times New Roman" w:hAnsi="Times New Roman" w:cs="Times New Roman"/>
          <w:sz w:val="24"/>
          <w:szCs w:val="24"/>
        </w:rPr>
        <w:t>iolence</w:t>
      </w:r>
      <w:r w:rsidR="000C695E" w:rsidRPr="00D22649">
        <w:rPr>
          <w:rFonts w:ascii="Times New Roman" w:hAnsi="Times New Roman" w:cs="Times New Roman"/>
          <w:sz w:val="24"/>
          <w:szCs w:val="24"/>
        </w:rPr>
        <w:t xml:space="preserve"> against women</w:t>
      </w:r>
      <w:r w:rsidR="000F6E04" w:rsidRPr="00D22649">
        <w:rPr>
          <w:rFonts w:ascii="Times New Roman" w:hAnsi="Times New Roman" w:cs="Times New Roman"/>
          <w:sz w:val="24"/>
          <w:szCs w:val="24"/>
        </w:rPr>
        <w:t>; human trafficking; reproductive rights; women’s e</w:t>
      </w:r>
      <w:r w:rsidR="009B411B" w:rsidRPr="00D22649">
        <w:rPr>
          <w:rFonts w:ascii="Times New Roman" w:hAnsi="Times New Roman" w:cs="Times New Roman"/>
          <w:sz w:val="24"/>
          <w:szCs w:val="24"/>
        </w:rPr>
        <w:t xml:space="preserve">conomic vulnerability.  </w:t>
      </w:r>
      <w:r w:rsidR="00A328B7" w:rsidRPr="00D22649">
        <w:rPr>
          <w:rFonts w:ascii="Times New Roman" w:hAnsi="Times New Roman" w:cs="Times New Roman"/>
          <w:sz w:val="24"/>
          <w:szCs w:val="24"/>
        </w:rPr>
        <w:t>In short, its</w:t>
      </w:r>
      <w:r w:rsidR="00800CDA" w:rsidRPr="00D22649">
        <w:rPr>
          <w:rFonts w:ascii="Times New Roman" w:hAnsi="Times New Roman" w:cs="Times New Roman"/>
          <w:sz w:val="24"/>
          <w:szCs w:val="24"/>
        </w:rPr>
        <w:t xml:space="preserve"> views adopt</w:t>
      </w:r>
      <w:r w:rsidR="002D7455" w:rsidRPr="00D22649">
        <w:rPr>
          <w:rFonts w:ascii="Times New Roman" w:hAnsi="Times New Roman" w:cs="Times New Roman"/>
          <w:sz w:val="24"/>
          <w:szCs w:val="24"/>
        </w:rPr>
        <w:t>ed under the Optional Protocol ‘</w:t>
      </w:r>
      <w:r w:rsidR="00800CDA" w:rsidRPr="00D22649">
        <w:rPr>
          <w:rFonts w:ascii="Times New Roman" w:hAnsi="Times New Roman" w:cs="Times New Roman"/>
          <w:sz w:val="24"/>
          <w:szCs w:val="24"/>
        </w:rPr>
        <w:t>have been influential in the creation of a woman’s human rights jurisprudence</w:t>
      </w:r>
      <w:r w:rsidR="002D7455" w:rsidRPr="00D22649">
        <w:rPr>
          <w:rFonts w:ascii="Times New Roman" w:hAnsi="Times New Roman" w:cs="Times New Roman"/>
          <w:sz w:val="24"/>
          <w:szCs w:val="24"/>
        </w:rPr>
        <w:t>’</w:t>
      </w:r>
      <w:r w:rsidR="00800CDA" w:rsidRPr="00D22649">
        <w:rPr>
          <w:rFonts w:ascii="Times New Roman" w:hAnsi="Times New Roman" w:cs="Times New Roman"/>
          <w:sz w:val="24"/>
          <w:szCs w:val="24"/>
        </w:rPr>
        <w:t>.</w:t>
      </w:r>
      <w:r w:rsidR="00800CDA" w:rsidRPr="00D22649">
        <w:rPr>
          <w:rStyle w:val="FootnoteReference"/>
          <w:rFonts w:ascii="Times New Roman" w:hAnsi="Times New Roman" w:cs="Times New Roman"/>
          <w:sz w:val="24"/>
          <w:szCs w:val="24"/>
        </w:rPr>
        <w:footnoteReference w:id="92"/>
      </w:r>
      <w:r w:rsidR="00800CDA" w:rsidRPr="00D22649">
        <w:rPr>
          <w:rFonts w:ascii="Times New Roman" w:hAnsi="Times New Roman" w:cs="Times New Roman"/>
          <w:sz w:val="24"/>
          <w:szCs w:val="24"/>
        </w:rPr>
        <w:t xml:space="preserve"> </w:t>
      </w:r>
      <w:r w:rsidR="00877AA2" w:rsidRPr="00D22649">
        <w:rPr>
          <w:rFonts w:ascii="Times New Roman" w:hAnsi="Times New Roman" w:cs="Times New Roman"/>
          <w:sz w:val="24"/>
          <w:szCs w:val="24"/>
        </w:rPr>
        <w:t xml:space="preserve">  </w:t>
      </w:r>
      <w:r w:rsidR="00546818" w:rsidRPr="00D22649">
        <w:rPr>
          <w:rFonts w:ascii="Times New Roman" w:hAnsi="Times New Roman" w:cs="Times New Roman"/>
          <w:sz w:val="24"/>
          <w:szCs w:val="24"/>
        </w:rPr>
        <w:t>Although r</w:t>
      </w:r>
      <w:r w:rsidR="002C2723" w:rsidRPr="00D22649">
        <w:rPr>
          <w:rFonts w:ascii="Times New Roman" w:hAnsi="Times New Roman" w:cs="Times New Roman"/>
          <w:sz w:val="24"/>
          <w:szCs w:val="24"/>
        </w:rPr>
        <w:t>ights</w:t>
      </w:r>
      <w:r w:rsidR="00546818" w:rsidRPr="00D22649">
        <w:rPr>
          <w:rFonts w:ascii="Times New Roman" w:hAnsi="Times New Roman" w:cs="Times New Roman"/>
          <w:sz w:val="24"/>
          <w:szCs w:val="24"/>
        </w:rPr>
        <w:t xml:space="preserve"> as commonly understood</w:t>
      </w:r>
      <w:r w:rsidR="002C2723" w:rsidRPr="00D22649">
        <w:rPr>
          <w:rFonts w:ascii="Times New Roman" w:hAnsi="Times New Roman" w:cs="Times New Roman"/>
          <w:sz w:val="24"/>
          <w:szCs w:val="24"/>
        </w:rPr>
        <w:t xml:space="preserve"> are masculinist</w:t>
      </w:r>
      <w:r w:rsidR="00546818" w:rsidRPr="00D22649">
        <w:rPr>
          <w:rFonts w:ascii="Times New Roman" w:hAnsi="Times New Roman" w:cs="Times New Roman"/>
          <w:sz w:val="24"/>
          <w:szCs w:val="24"/>
        </w:rPr>
        <w:t>,</w:t>
      </w:r>
      <w:r w:rsidR="002C2723" w:rsidRPr="00D22649">
        <w:rPr>
          <w:rFonts w:ascii="Times New Roman" w:hAnsi="Times New Roman" w:cs="Times New Roman"/>
          <w:sz w:val="24"/>
          <w:szCs w:val="24"/>
        </w:rPr>
        <w:t xml:space="preserve"> </w:t>
      </w:r>
      <w:r w:rsidR="00005AA7" w:rsidRPr="00D22649">
        <w:rPr>
          <w:rFonts w:ascii="Times New Roman" w:hAnsi="Times New Roman" w:cs="Times New Roman"/>
          <w:sz w:val="24"/>
          <w:szCs w:val="24"/>
        </w:rPr>
        <w:t>f</w:t>
      </w:r>
      <w:r w:rsidR="00DA5AD6" w:rsidRPr="00D22649">
        <w:rPr>
          <w:rFonts w:ascii="Times New Roman" w:hAnsi="Times New Roman" w:cs="Times New Roman"/>
          <w:sz w:val="24"/>
          <w:szCs w:val="24"/>
        </w:rPr>
        <w:t xml:space="preserve">eminists have been reluctant to reject </w:t>
      </w:r>
      <w:r w:rsidR="00546818" w:rsidRPr="00D22649">
        <w:rPr>
          <w:rFonts w:ascii="Times New Roman" w:hAnsi="Times New Roman" w:cs="Times New Roman"/>
          <w:sz w:val="24"/>
          <w:szCs w:val="24"/>
        </w:rPr>
        <w:t>them</w:t>
      </w:r>
      <w:r w:rsidR="00DA5AD6" w:rsidRPr="00D22649">
        <w:rPr>
          <w:rFonts w:ascii="Times New Roman" w:hAnsi="Times New Roman" w:cs="Times New Roman"/>
          <w:sz w:val="24"/>
          <w:szCs w:val="24"/>
        </w:rPr>
        <w:t xml:space="preserve">.  </w:t>
      </w:r>
      <w:r w:rsidR="00696958" w:rsidRPr="00D22649">
        <w:rPr>
          <w:rFonts w:ascii="Times New Roman" w:hAnsi="Times New Roman" w:cs="Times New Roman"/>
          <w:sz w:val="24"/>
          <w:szCs w:val="24"/>
        </w:rPr>
        <w:t>T</w:t>
      </w:r>
      <w:r w:rsidR="003E4779" w:rsidRPr="00D22649">
        <w:rPr>
          <w:rFonts w:ascii="Times New Roman" w:hAnsi="Times New Roman" w:cs="Times New Roman"/>
          <w:sz w:val="24"/>
          <w:szCs w:val="24"/>
        </w:rPr>
        <w:t>he Committee’s insistence that women’s rights cannot be subordinated to those of men</w:t>
      </w:r>
      <w:r w:rsidR="006300AA" w:rsidRPr="00D22649">
        <w:rPr>
          <w:rFonts w:ascii="Times New Roman" w:hAnsi="Times New Roman" w:cs="Times New Roman"/>
          <w:sz w:val="24"/>
          <w:szCs w:val="24"/>
        </w:rPr>
        <w:t xml:space="preserve"> or triviali</w:t>
      </w:r>
      <w:r>
        <w:rPr>
          <w:rFonts w:ascii="Times New Roman" w:hAnsi="Times New Roman" w:cs="Times New Roman"/>
          <w:sz w:val="24"/>
          <w:szCs w:val="24"/>
        </w:rPr>
        <w:t>z</w:t>
      </w:r>
      <w:r w:rsidR="006300AA" w:rsidRPr="00D22649">
        <w:rPr>
          <w:rFonts w:ascii="Times New Roman" w:hAnsi="Times New Roman" w:cs="Times New Roman"/>
          <w:sz w:val="24"/>
          <w:szCs w:val="24"/>
        </w:rPr>
        <w:t>ed</w:t>
      </w:r>
      <w:r w:rsidR="00005AA7" w:rsidRPr="00D22649">
        <w:rPr>
          <w:rFonts w:ascii="Times New Roman" w:hAnsi="Times New Roman" w:cs="Times New Roman"/>
          <w:sz w:val="24"/>
          <w:szCs w:val="24"/>
        </w:rPr>
        <w:t xml:space="preserve"> certainly points to the possibility of an alternative multi-dimensional conception of human rights in which masculine concerns are not prioriti</w:t>
      </w:r>
      <w:r>
        <w:rPr>
          <w:rFonts w:ascii="Times New Roman" w:hAnsi="Times New Roman" w:cs="Times New Roman"/>
          <w:sz w:val="24"/>
          <w:szCs w:val="24"/>
        </w:rPr>
        <w:t>z</w:t>
      </w:r>
      <w:r w:rsidR="00005AA7" w:rsidRPr="00D22649">
        <w:rPr>
          <w:rFonts w:ascii="Times New Roman" w:hAnsi="Times New Roman" w:cs="Times New Roman"/>
          <w:sz w:val="24"/>
          <w:szCs w:val="24"/>
        </w:rPr>
        <w:t>ed</w:t>
      </w:r>
      <w:r w:rsidR="003E4779" w:rsidRPr="00D22649">
        <w:rPr>
          <w:rFonts w:ascii="Times New Roman" w:hAnsi="Times New Roman" w:cs="Times New Roman"/>
          <w:sz w:val="24"/>
          <w:szCs w:val="24"/>
        </w:rPr>
        <w:t xml:space="preserve">. </w:t>
      </w:r>
      <w:r w:rsidR="00005AA7" w:rsidRPr="00D22649">
        <w:rPr>
          <w:rFonts w:ascii="Times New Roman" w:hAnsi="Times New Roman" w:cs="Times New Roman"/>
          <w:sz w:val="24"/>
          <w:szCs w:val="24"/>
        </w:rPr>
        <w:t xml:space="preserve"> </w:t>
      </w:r>
      <w:r w:rsidR="00C94A95" w:rsidRPr="00D22649">
        <w:rPr>
          <w:rFonts w:ascii="Times New Roman" w:hAnsi="Times New Roman" w:cs="Times New Roman"/>
          <w:sz w:val="24"/>
          <w:szCs w:val="24"/>
        </w:rPr>
        <w:t xml:space="preserve">As Charlotte Bunch has argued, if </w:t>
      </w:r>
      <w:r w:rsidR="006300AA" w:rsidRPr="00D22649">
        <w:rPr>
          <w:rFonts w:ascii="Times New Roman" w:hAnsi="Times New Roman" w:cs="Times New Roman"/>
          <w:sz w:val="24"/>
          <w:szCs w:val="24"/>
        </w:rPr>
        <w:t>CEDAW</w:t>
      </w:r>
      <w:r w:rsidR="00C94A95" w:rsidRPr="00D22649">
        <w:rPr>
          <w:rFonts w:ascii="Times New Roman" w:hAnsi="Times New Roman" w:cs="Times New Roman"/>
          <w:sz w:val="24"/>
          <w:szCs w:val="24"/>
        </w:rPr>
        <w:t>’s</w:t>
      </w:r>
      <w:r w:rsidR="006300AA" w:rsidRPr="00D22649">
        <w:rPr>
          <w:rFonts w:ascii="Times New Roman" w:hAnsi="Times New Roman" w:cs="Times New Roman"/>
          <w:sz w:val="24"/>
          <w:szCs w:val="24"/>
        </w:rPr>
        <w:t xml:space="preserve"> articulation of a human rights agenda for women </w:t>
      </w:r>
      <w:r w:rsidR="00C94A95" w:rsidRPr="00D22649">
        <w:rPr>
          <w:rFonts w:ascii="Times New Roman" w:hAnsi="Times New Roman" w:cs="Times New Roman"/>
          <w:sz w:val="24"/>
          <w:szCs w:val="24"/>
        </w:rPr>
        <w:t>were to be taken seriously, this would mark a</w:t>
      </w:r>
      <w:r w:rsidR="00E43429" w:rsidRPr="00D22649">
        <w:rPr>
          <w:rFonts w:ascii="Times New Roman" w:hAnsi="Times New Roman" w:cs="Times New Roman"/>
          <w:sz w:val="24"/>
          <w:szCs w:val="24"/>
        </w:rPr>
        <w:t>n</w:t>
      </w:r>
      <w:r w:rsidR="00C318C7" w:rsidRPr="00D22649">
        <w:rPr>
          <w:rFonts w:ascii="Times New Roman" w:hAnsi="Times New Roman" w:cs="Times New Roman"/>
          <w:sz w:val="24"/>
          <w:szCs w:val="24"/>
        </w:rPr>
        <w:t xml:space="preserve"> ‘enormous step forward’</w:t>
      </w:r>
      <w:r w:rsidR="00C94A95" w:rsidRPr="00D22649">
        <w:rPr>
          <w:rFonts w:ascii="Times New Roman" w:hAnsi="Times New Roman" w:cs="Times New Roman"/>
          <w:sz w:val="24"/>
          <w:szCs w:val="24"/>
        </w:rPr>
        <w:t>.</w:t>
      </w:r>
      <w:r w:rsidR="00C94A95" w:rsidRPr="00D22649">
        <w:rPr>
          <w:rStyle w:val="FootnoteReference"/>
          <w:rFonts w:ascii="Times New Roman" w:hAnsi="Times New Roman" w:cs="Times New Roman"/>
          <w:sz w:val="24"/>
          <w:szCs w:val="24"/>
        </w:rPr>
        <w:footnoteReference w:id="93"/>
      </w:r>
      <w:r w:rsidR="006300AA" w:rsidRPr="00D22649">
        <w:rPr>
          <w:rFonts w:ascii="Times New Roman" w:hAnsi="Times New Roman" w:cs="Times New Roman"/>
          <w:sz w:val="24"/>
          <w:szCs w:val="24"/>
        </w:rPr>
        <w:t xml:space="preserve"> </w:t>
      </w:r>
    </w:p>
    <w:p w14:paraId="2383245E" w14:textId="0DEC923D" w:rsidR="00DC31CA" w:rsidRPr="00D22649" w:rsidRDefault="008067BB" w:rsidP="00D2264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166DB6" w:rsidRPr="00D22649">
        <w:rPr>
          <w:rFonts w:ascii="Times New Roman" w:hAnsi="Times New Roman" w:cs="Times New Roman"/>
          <w:sz w:val="24"/>
          <w:szCs w:val="24"/>
        </w:rPr>
        <w:t xml:space="preserve">While </w:t>
      </w:r>
      <w:r w:rsidR="00E43429" w:rsidRPr="00D22649">
        <w:rPr>
          <w:rFonts w:ascii="Times New Roman" w:hAnsi="Times New Roman" w:cs="Times New Roman"/>
          <w:sz w:val="24"/>
          <w:szCs w:val="24"/>
        </w:rPr>
        <w:t xml:space="preserve">I have suggested that </w:t>
      </w:r>
      <w:r w:rsidR="00166DB6" w:rsidRPr="00D22649">
        <w:rPr>
          <w:rFonts w:ascii="Times New Roman" w:hAnsi="Times New Roman" w:cs="Times New Roman"/>
          <w:sz w:val="24"/>
          <w:szCs w:val="24"/>
        </w:rPr>
        <w:t>human rights might be disrupted</w:t>
      </w:r>
      <w:r w:rsidR="00E43429" w:rsidRPr="00D22649">
        <w:rPr>
          <w:rFonts w:ascii="Times New Roman" w:hAnsi="Times New Roman" w:cs="Times New Roman"/>
          <w:sz w:val="24"/>
          <w:szCs w:val="24"/>
        </w:rPr>
        <w:t xml:space="preserve"> through taking the Women’s Committee seriously</w:t>
      </w:r>
      <w:r w:rsidR="00166DB6" w:rsidRPr="00D22649">
        <w:rPr>
          <w:rFonts w:ascii="Times New Roman" w:hAnsi="Times New Roman" w:cs="Times New Roman"/>
          <w:sz w:val="24"/>
          <w:szCs w:val="24"/>
        </w:rPr>
        <w:t xml:space="preserve">, </w:t>
      </w:r>
      <w:r w:rsidR="00E43429" w:rsidRPr="00D22649">
        <w:rPr>
          <w:rFonts w:ascii="Times New Roman" w:hAnsi="Times New Roman" w:cs="Times New Roman"/>
          <w:sz w:val="24"/>
          <w:szCs w:val="24"/>
        </w:rPr>
        <w:t>is the same true of womanhood?  In short, c</w:t>
      </w:r>
      <w:r w:rsidR="00166DB6" w:rsidRPr="00D22649">
        <w:rPr>
          <w:rFonts w:ascii="Times New Roman" w:hAnsi="Times New Roman" w:cs="Times New Roman"/>
          <w:sz w:val="24"/>
          <w:szCs w:val="24"/>
        </w:rPr>
        <w:t xml:space="preserve">an </w:t>
      </w:r>
      <w:r w:rsidR="00E43429" w:rsidRPr="00D22649">
        <w:rPr>
          <w:rFonts w:ascii="Times New Roman" w:hAnsi="Times New Roman" w:cs="Times New Roman"/>
          <w:sz w:val="24"/>
          <w:szCs w:val="24"/>
        </w:rPr>
        <w:t xml:space="preserve">the </w:t>
      </w:r>
      <w:r w:rsidR="00166DB6" w:rsidRPr="00D22649">
        <w:rPr>
          <w:rFonts w:ascii="Times New Roman" w:hAnsi="Times New Roman" w:cs="Times New Roman"/>
          <w:sz w:val="24"/>
          <w:szCs w:val="24"/>
        </w:rPr>
        <w:t>category ‘woman’ be disrupted</w:t>
      </w:r>
      <w:r w:rsidR="00E43429" w:rsidRPr="00D22649">
        <w:rPr>
          <w:rFonts w:ascii="Times New Roman" w:hAnsi="Times New Roman" w:cs="Times New Roman"/>
          <w:sz w:val="24"/>
          <w:szCs w:val="24"/>
        </w:rPr>
        <w:t xml:space="preserve"> through a rights-based approach, or is </w:t>
      </w:r>
      <w:r w:rsidR="00183AE2" w:rsidRPr="00D22649">
        <w:rPr>
          <w:rFonts w:ascii="Times New Roman" w:hAnsi="Times New Roman" w:cs="Times New Roman"/>
          <w:sz w:val="24"/>
          <w:szCs w:val="24"/>
        </w:rPr>
        <w:t xml:space="preserve">this an example of a project that </w:t>
      </w:r>
      <w:r w:rsidR="00183AE2" w:rsidRPr="00D22649">
        <w:rPr>
          <w:rFonts w:ascii="Times New Roman" w:hAnsi="Times New Roman" w:cs="Times New Roman"/>
          <w:sz w:val="24"/>
          <w:szCs w:val="24"/>
        </w:rPr>
        <w:lastRenderedPageBreak/>
        <w:t xml:space="preserve">falls into the ultimately anti-feminist trap </w:t>
      </w:r>
      <w:r w:rsidR="00423B17" w:rsidRPr="00D22649">
        <w:rPr>
          <w:rFonts w:ascii="Times New Roman" w:hAnsi="Times New Roman" w:cs="Times New Roman"/>
          <w:sz w:val="24"/>
          <w:szCs w:val="24"/>
        </w:rPr>
        <w:t>of</w:t>
      </w:r>
      <w:r w:rsidR="00166DB6" w:rsidRPr="00D22649">
        <w:rPr>
          <w:rFonts w:ascii="Times New Roman" w:hAnsi="Times New Roman" w:cs="Times New Roman"/>
          <w:sz w:val="24"/>
          <w:szCs w:val="24"/>
        </w:rPr>
        <w:t xml:space="preserve"> </w:t>
      </w:r>
      <w:r w:rsidR="00183AE2" w:rsidRPr="00D22649">
        <w:rPr>
          <w:rFonts w:ascii="Times New Roman" w:hAnsi="Times New Roman" w:cs="Times New Roman"/>
          <w:sz w:val="24"/>
          <w:szCs w:val="24"/>
        </w:rPr>
        <w:t xml:space="preserve">reproducing </w:t>
      </w:r>
      <w:r w:rsidR="00C318C7" w:rsidRPr="00D22649">
        <w:rPr>
          <w:rFonts w:ascii="Times New Roman" w:hAnsi="Times New Roman" w:cs="Times New Roman"/>
          <w:sz w:val="24"/>
          <w:szCs w:val="24"/>
        </w:rPr>
        <w:t>‘</w:t>
      </w:r>
      <w:r w:rsidR="00166DB6" w:rsidRPr="00D22649">
        <w:rPr>
          <w:rFonts w:ascii="Times New Roman" w:hAnsi="Times New Roman" w:cs="Times New Roman"/>
          <w:sz w:val="24"/>
          <w:szCs w:val="24"/>
        </w:rPr>
        <w:t xml:space="preserve">discursive structures that require there to be women, </w:t>
      </w:r>
      <w:r w:rsidR="00C318C7" w:rsidRPr="00D22649">
        <w:rPr>
          <w:rFonts w:ascii="Times New Roman" w:hAnsi="Times New Roman" w:cs="Times New Roman"/>
          <w:sz w:val="24"/>
          <w:szCs w:val="24"/>
        </w:rPr>
        <w:t>and the feminine and femininity’</w:t>
      </w:r>
      <w:r w:rsidR="00E43429" w:rsidRPr="00D22649">
        <w:rPr>
          <w:rFonts w:ascii="Times New Roman" w:hAnsi="Times New Roman" w:cs="Times New Roman"/>
          <w:sz w:val="24"/>
          <w:szCs w:val="24"/>
        </w:rPr>
        <w:t>?</w:t>
      </w:r>
      <w:r w:rsidR="00166DB6" w:rsidRPr="00D22649">
        <w:rPr>
          <w:rStyle w:val="FootnoteReference"/>
          <w:rFonts w:ascii="Times New Roman" w:hAnsi="Times New Roman" w:cs="Times New Roman"/>
          <w:sz w:val="24"/>
          <w:szCs w:val="24"/>
        </w:rPr>
        <w:footnoteReference w:id="94"/>
      </w:r>
      <w:r w:rsidR="00166DB6" w:rsidRPr="00D22649">
        <w:rPr>
          <w:rFonts w:ascii="Times New Roman" w:hAnsi="Times New Roman" w:cs="Times New Roman"/>
          <w:sz w:val="24"/>
          <w:szCs w:val="24"/>
        </w:rPr>
        <w:t xml:space="preserve">  </w:t>
      </w:r>
      <w:r w:rsidR="00423B17" w:rsidRPr="00D22649">
        <w:rPr>
          <w:rFonts w:ascii="Times New Roman" w:hAnsi="Times New Roman" w:cs="Times New Roman"/>
          <w:sz w:val="24"/>
          <w:szCs w:val="24"/>
        </w:rPr>
        <w:t xml:space="preserve">In </w:t>
      </w:r>
      <w:r w:rsidR="00AB7A5B" w:rsidRPr="00D22649">
        <w:rPr>
          <w:rFonts w:ascii="Times New Roman" w:hAnsi="Times New Roman" w:cs="Times New Roman"/>
          <w:i/>
          <w:sz w:val="24"/>
          <w:szCs w:val="24"/>
        </w:rPr>
        <w:t>A.S. v</w:t>
      </w:r>
      <w:r>
        <w:rPr>
          <w:rFonts w:ascii="Times New Roman" w:hAnsi="Times New Roman" w:cs="Times New Roman"/>
          <w:i/>
          <w:sz w:val="24"/>
          <w:szCs w:val="24"/>
        </w:rPr>
        <w:t>.</w:t>
      </w:r>
      <w:r w:rsidR="00AB7A5B" w:rsidRPr="00D22649">
        <w:rPr>
          <w:rFonts w:ascii="Times New Roman" w:hAnsi="Times New Roman" w:cs="Times New Roman"/>
          <w:i/>
          <w:sz w:val="24"/>
          <w:szCs w:val="24"/>
        </w:rPr>
        <w:t xml:space="preserve"> Hungary</w:t>
      </w:r>
      <w:r w:rsidR="00423B17" w:rsidRPr="00D22649">
        <w:rPr>
          <w:rFonts w:ascii="Times New Roman" w:hAnsi="Times New Roman" w:cs="Times New Roman"/>
          <w:sz w:val="24"/>
          <w:szCs w:val="24"/>
        </w:rPr>
        <w:t>,</w:t>
      </w:r>
      <w:r w:rsidR="009B411B" w:rsidRPr="00D22649">
        <w:rPr>
          <w:rFonts w:ascii="Times New Roman" w:hAnsi="Times New Roman" w:cs="Times New Roman"/>
          <w:sz w:val="24"/>
          <w:szCs w:val="24"/>
        </w:rPr>
        <w:t xml:space="preserve"> </w:t>
      </w:r>
      <w:r w:rsidR="00325BF0" w:rsidRPr="00D22649">
        <w:rPr>
          <w:rFonts w:ascii="Times New Roman" w:hAnsi="Times New Roman" w:cs="Times New Roman"/>
          <w:sz w:val="24"/>
          <w:szCs w:val="24"/>
        </w:rPr>
        <w:t xml:space="preserve">the Committee </w:t>
      </w:r>
      <w:r w:rsidR="00AB7A5B" w:rsidRPr="00D22649">
        <w:rPr>
          <w:rFonts w:ascii="Times New Roman" w:hAnsi="Times New Roman" w:cs="Times New Roman"/>
          <w:sz w:val="24"/>
          <w:szCs w:val="24"/>
        </w:rPr>
        <w:t>failed</w:t>
      </w:r>
      <w:r w:rsidR="009B411B" w:rsidRPr="00D22649">
        <w:rPr>
          <w:rFonts w:ascii="Times New Roman" w:hAnsi="Times New Roman" w:cs="Times New Roman"/>
          <w:sz w:val="24"/>
          <w:szCs w:val="24"/>
        </w:rPr>
        <w:t xml:space="preserve"> to address </w:t>
      </w:r>
      <w:r w:rsidR="00423B17" w:rsidRPr="00D22649">
        <w:rPr>
          <w:rFonts w:ascii="Times New Roman" w:hAnsi="Times New Roman" w:cs="Times New Roman"/>
          <w:sz w:val="24"/>
          <w:szCs w:val="24"/>
        </w:rPr>
        <w:t>the intersectional implications</w:t>
      </w:r>
      <w:r w:rsidR="009B411B" w:rsidRPr="00D22649">
        <w:rPr>
          <w:rFonts w:ascii="Times New Roman" w:hAnsi="Times New Roman" w:cs="Times New Roman"/>
          <w:sz w:val="24"/>
          <w:szCs w:val="24"/>
        </w:rPr>
        <w:t xml:space="preserve"> of </w:t>
      </w:r>
      <w:r w:rsidR="00D211AF" w:rsidRPr="00D22649">
        <w:rPr>
          <w:rFonts w:ascii="Times New Roman" w:hAnsi="Times New Roman" w:cs="Times New Roman"/>
          <w:sz w:val="24"/>
          <w:szCs w:val="24"/>
        </w:rPr>
        <w:t>the coerced sterili</w:t>
      </w:r>
      <w:r>
        <w:rPr>
          <w:rFonts w:ascii="Times New Roman" w:hAnsi="Times New Roman" w:cs="Times New Roman"/>
          <w:sz w:val="24"/>
          <w:szCs w:val="24"/>
        </w:rPr>
        <w:t>z</w:t>
      </w:r>
      <w:r w:rsidR="00D211AF" w:rsidRPr="00D22649">
        <w:rPr>
          <w:rFonts w:ascii="Times New Roman" w:hAnsi="Times New Roman" w:cs="Times New Roman"/>
          <w:sz w:val="24"/>
          <w:szCs w:val="24"/>
        </w:rPr>
        <w:t>ation of a Roma woman</w:t>
      </w:r>
      <w:r w:rsidR="009B411B" w:rsidRPr="00D22649">
        <w:rPr>
          <w:rFonts w:ascii="Times New Roman" w:hAnsi="Times New Roman" w:cs="Times New Roman"/>
          <w:sz w:val="24"/>
          <w:szCs w:val="24"/>
        </w:rPr>
        <w:t>.</w:t>
      </w:r>
      <w:r w:rsidR="00423B17" w:rsidRPr="00D22649">
        <w:rPr>
          <w:rFonts w:ascii="Times New Roman" w:hAnsi="Times New Roman" w:cs="Times New Roman"/>
          <w:sz w:val="24"/>
          <w:szCs w:val="24"/>
        </w:rPr>
        <w:t xml:space="preserve">  This was unhelpful</w:t>
      </w:r>
      <w:r>
        <w:rPr>
          <w:rFonts w:ascii="Times New Roman" w:hAnsi="Times New Roman" w:cs="Times New Roman"/>
          <w:sz w:val="24"/>
          <w:szCs w:val="24"/>
        </w:rPr>
        <w:t>,</w:t>
      </w:r>
      <w:r w:rsidR="00423B17" w:rsidRPr="00D22649">
        <w:rPr>
          <w:rFonts w:ascii="Times New Roman" w:hAnsi="Times New Roman" w:cs="Times New Roman"/>
          <w:sz w:val="24"/>
          <w:szCs w:val="24"/>
        </w:rPr>
        <w:t xml:space="preserve"> given the obvious </w:t>
      </w:r>
      <w:r w:rsidR="00AB7A5B" w:rsidRPr="00D22649">
        <w:rPr>
          <w:rFonts w:ascii="Times New Roman" w:hAnsi="Times New Roman" w:cs="Times New Roman"/>
          <w:sz w:val="24"/>
          <w:szCs w:val="24"/>
        </w:rPr>
        <w:t>connection between</w:t>
      </w:r>
      <w:r w:rsidR="00423B17" w:rsidRPr="00D22649">
        <w:rPr>
          <w:rFonts w:ascii="Times New Roman" w:hAnsi="Times New Roman" w:cs="Times New Roman"/>
          <w:sz w:val="24"/>
          <w:szCs w:val="24"/>
        </w:rPr>
        <w:t xml:space="preserve"> her</w:t>
      </w:r>
      <w:r w:rsidR="007C6804" w:rsidRPr="00D22649">
        <w:rPr>
          <w:rFonts w:ascii="Times New Roman" w:hAnsi="Times New Roman" w:cs="Times New Roman"/>
          <w:sz w:val="24"/>
          <w:szCs w:val="24"/>
        </w:rPr>
        <w:t xml:space="preserve"> </w:t>
      </w:r>
      <w:r w:rsidR="000A088C" w:rsidRPr="00D22649">
        <w:rPr>
          <w:rFonts w:ascii="Times New Roman" w:hAnsi="Times New Roman" w:cs="Times New Roman"/>
          <w:sz w:val="24"/>
          <w:szCs w:val="24"/>
        </w:rPr>
        <w:t xml:space="preserve">ethnicity and her treatment.  </w:t>
      </w:r>
      <w:r w:rsidR="00AB7A5B" w:rsidRPr="00D22649">
        <w:rPr>
          <w:rFonts w:ascii="Times New Roman" w:hAnsi="Times New Roman" w:cs="Times New Roman"/>
          <w:sz w:val="24"/>
          <w:szCs w:val="24"/>
        </w:rPr>
        <w:t xml:space="preserve">However, in </w:t>
      </w:r>
      <w:r w:rsidR="007C6804" w:rsidRPr="00D22649">
        <w:rPr>
          <w:rFonts w:ascii="Times New Roman" w:hAnsi="Times New Roman" w:cs="Times New Roman"/>
          <w:i/>
          <w:sz w:val="24"/>
          <w:szCs w:val="24"/>
        </w:rPr>
        <w:t>Kell v</w:t>
      </w:r>
      <w:r>
        <w:rPr>
          <w:rFonts w:ascii="Times New Roman" w:hAnsi="Times New Roman" w:cs="Times New Roman"/>
          <w:i/>
          <w:sz w:val="24"/>
          <w:szCs w:val="24"/>
        </w:rPr>
        <w:t>.</w:t>
      </w:r>
      <w:r w:rsidR="007C6804" w:rsidRPr="00D22649">
        <w:rPr>
          <w:rFonts w:ascii="Times New Roman" w:hAnsi="Times New Roman" w:cs="Times New Roman"/>
          <w:i/>
          <w:sz w:val="24"/>
          <w:szCs w:val="24"/>
        </w:rPr>
        <w:t xml:space="preserve"> Canada</w:t>
      </w:r>
      <w:r w:rsidR="007C6804" w:rsidRPr="00D22649">
        <w:rPr>
          <w:rFonts w:ascii="Times New Roman" w:hAnsi="Times New Roman" w:cs="Times New Roman"/>
          <w:sz w:val="24"/>
          <w:szCs w:val="24"/>
        </w:rPr>
        <w:t>, the Committee held that</w:t>
      </w:r>
      <w:r>
        <w:rPr>
          <w:rFonts w:ascii="Times New Roman" w:hAnsi="Times New Roman" w:cs="Times New Roman"/>
          <w:sz w:val="24"/>
          <w:szCs w:val="24"/>
        </w:rPr>
        <w:t>,</w:t>
      </w:r>
      <w:r w:rsidR="00C318C7" w:rsidRPr="00D22649">
        <w:rPr>
          <w:rFonts w:ascii="Times New Roman" w:hAnsi="Times New Roman" w:cs="Times New Roman"/>
          <w:sz w:val="24"/>
          <w:szCs w:val="24"/>
        </w:rPr>
        <w:t xml:space="preserve"> ‘</w:t>
      </w:r>
      <w:r>
        <w:rPr>
          <w:rFonts w:ascii="Times New Roman" w:hAnsi="Times New Roman" w:cs="Times New Roman"/>
          <w:sz w:val="24"/>
          <w:szCs w:val="24"/>
        </w:rPr>
        <w:t>[a]</w:t>
      </w:r>
      <w:r w:rsidR="007C6804" w:rsidRPr="00D22649">
        <w:rPr>
          <w:rFonts w:ascii="Times New Roman" w:hAnsi="Times New Roman" w:cs="Times New Roman"/>
          <w:sz w:val="24"/>
          <w:szCs w:val="24"/>
        </w:rPr>
        <w:t>s the author is an aboriginal woman who is in a vulnerable position, the State party is obliged to ensure the effective elimination of intersectional discrimination</w:t>
      </w:r>
      <w:r w:rsidR="00C318C7" w:rsidRPr="00D22649">
        <w:rPr>
          <w:rFonts w:ascii="Times New Roman" w:hAnsi="Times New Roman" w:cs="Times New Roman"/>
          <w:sz w:val="24"/>
          <w:szCs w:val="24"/>
        </w:rPr>
        <w:t>’</w:t>
      </w:r>
      <w:r>
        <w:rPr>
          <w:rFonts w:ascii="Times New Roman" w:hAnsi="Times New Roman" w:cs="Times New Roman"/>
          <w:sz w:val="24"/>
          <w:szCs w:val="24"/>
        </w:rPr>
        <w:t>.</w:t>
      </w:r>
      <w:r w:rsidR="007C6804" w:rsidRPr="00D22649">
        <w:rPr>
          <w:rStyle w:val="FootnoteReference"/>
          <w:rFonts w:ascii="Times New Roman" w:hAnsi="Times New Roman" w:cs="Times New Roman"/>
          <w:sz w:val="24"/>
          <w:szCs w:val="24"/>
        </w:rPr>
        <w:footnoteReference w:id="95"/>
      </w:r>
      <w:r w:rsidR="00DC31CA" w:rsidRPr="00D22649">
        <w:rPr>
          <w:rFonts w:ascii="Times New Roman" w:hAnsi="Times New Roman" w:cs="Times New Roman"/>
          <w:sz w:val="24"/>
          <w:szCs w:val="24"/>
        </w:rPr>
        <w:t xml:space="preserve">  This shifts seems to stem from the Committee’s growing confidence in condemning dominant stereotypes of womanhood.</w:t>
      </w:r>
    </w:p>
    <w:p w14:paraId="7D74D277" w14:textId="77777777" w:rsidR="00600218" w:rsidRPr="00D22649" w:rsidRDefault="00600218" w:rsidP="00D22649">
      <w:pPr>
        <w:spacing w:after="0" w:line="360" w:lineRule="auto"/>
        <w:jc w:val="both"/>
        <w:rPr>
          <w:rFonts w:ascii="Times New Roman" w:hAnsi="Times New Roman" w:cs="Times New Roman"/>
          <w:sz w:val="24"/>
          <w:szCs w:val="24"/>
        </w:rPr>
      </w:pPr>
    </w:p>
    <w:p w14:paraId="05BB2189" w14:textId="47B2DE90" w:rsidR="002014A9" w:rsidRPr="00D22649" w:rsidRDefault="00FF509A" w:rsidP="00D22649">
      <w:pPr>
        <w:spacing w:after="0" w:line="360" w:lineRule="auto"/>
        <w:jc w:val="both"/>
        <w:rPr>
          <w:rFonts w:ascii="Times New Roman" w:hAnsi="Times New Roman" w:cs="Times New Roman"/>
          <w:b/>
          <w:sz w:val="24"/>
          <w:szCs w:val="24"/>
        </w:rPr>
      </w:pPr>
      <w:r w:rsidRPr="00D22649">
        <w:rPr>
          <w:rFonts w:ascii="Times New Roman" w:hAnsi="Times New Roman" w:cs="Times New Roman"/>
          <w:b/>
          <w:sz w:val="24"/>
          <w:szCs w:val="24"/>
        </w:rPr>
        <w:t>6</w:t>
      </w:r>
      <w:r w:rsidRPr="00D22649">
        <w:rPr>
          <w:rFonts w:ascii="Times New Roman" w:hAnsi="Times New Roman" w:cs="Times New Roman"/>
          <w:b/>
          <w:sz w:val="24"/>
          <w:szCs w:val="24"/>
        </w:rPr>
        <w:tab/>
      </w:r>
      <w:r w:rsidR="002014A9" w:rsidRPr="00D22649">
        <w:rPr>
          <w:rFonts w:ascii="Times New Roman" w:hAnsi="Times New Roman" w:cs="Times New Roman"/>
          <w:b/>
          <w:sz w:val="24"/>
          <w:szCs w:val="24"/>
        </w:rPr>
        <w:t>Conclusion</w:t>
      </w:r>
    </w:p>
    <w:p w14:paraId="2A7CA2D6" w14:textId="36767529" w:rsidR="008425B0" w:rsidRPr="00D22649" w:rsidRDefault="002014A9"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 xml:space="preserve">CEDAW </w:t>
      </w:r>
      <w:r w:rsidR="005D1969" w:rsidRPr="00D22649">
        <w:rPr>
          <w:rFonts w:ascii="Times New Roman" w:hAnsi="Times New Roman" w:cs="Times New Roman"/>
          <w:sz w:val="24"/>
          <w:szCs w:val="24"/>
        </w:rPr>
        <w:t>has the potential to assert itself as a major voice contributing to the re-shaping of women’s rights</w:t>
      </w:r>
      <w:r w:rsidRPr="00D22649">
        <w:rPr>
          <w:rFonts w:ascii="Times New Roman" w:hAnsi="Times New Roman" w:cs="Times New Roman"/>
          <w:sz w:val="24"/>
          <w:szCs w:val="24"/>
        </w:rPr>
        <w:t xml:space="preserve">.  </w:t>
      </w:r>
      <w:r w:rsidR="00A0531C" w:rsidRPr="00D22649">
        <w:rPr>
          <w:rFonts w:ascii="Times New Roman" w:hAnsi="Times New Roman" w:cs="Times New Roman"/>
          <w:sz w:val="24"/>
          <w:szCs w:val="24"/>
        </w:rPr>
        <w:t xml:space="preserve">At present, I suggest the particular contribution that CEDAW is likely to make appears to be in the </w:t>
      </w:r>
      <w:r w:rsidR="0042385A" w:rsidRPr="00D22649">
        <w:rPr>
          <w:rFonts w:ascii="Times New Roman" w:hAnsi="Times New Roman" w:cs="Times New Roman"/>
          <w:sz w:val="24"/>
          <w:szCs w:val="24"/>
        </w:rPr>
        <w:t xml:space="preserve">following </w:t>
      </w:r>
      <w:r w:rsidR="00A0531C" w:rsidRPr="00D22649">
        <w:rPr>
          <w:rFonts w:ascii="Times New Roman" w:hAnsi="Times New Roman" w:cs="Times New Roman"/>
          <w:sz w:val="24"/>
          <w:szCs w:val="24"/>
        </w:rPr>
        <w:t>area</w:t>
      </w:r>
      <w:r w:rsidR="0042385A" w:rsidRPr="00D22649">
        <w:rPr>
          <w:rFonts w:ascii="Times New Roman" w:hAnsi="Times New Roman" w:cs="Times New Roman"/>
          <w:sz w:val="24"/>
          <w:szCs w:val="24"/>
        </w:rPr>
        <w:t>s</w:t>
      </w:r>
      <w:r w:rsidR="00A0531C" w:rsidRPr="00D22649">
        <w:rPr>
          <w:rFonts w:ascii="Times New Roman" w:hAnsi="Times New Roman" w:cs="Times New Roman"/>
          <w:sz w:val="24"/>
          <w:szCs w:val="24"/>
        </w:rPr>
        <w:t xml:space="preserve">: non-state actors’ participation in norm creation; articulating </w:t>
      </w:r>
      <w:r w:rsidR="00FE07A5">
        <w:rPr>
          <w:rFonts w:ascii="Times New Roman" w:hAnsi="Times New Roman" w:cs="Times New Roman"/>
          <w:sz w:val="24"/>
          <w:szCs w:val="24"/>
        </w:rPr>
        <w:t>s</w:t>
      </w:r>
      <w:r w:rsidR="00A0531C" w:rsidRPr="00D22649">
        <w:rPr>
          <w:rFonts w:ascii="Times New Roman" w:hAnsi="Times New Roman" w:cs="Times New Roman"/>
          <w:sz w:val="24"/>
          <w:szCs w:val="24"/>
        </w:rPr>
        <w:t xml:space="preserve">tates’ positive obligations under human rights treaties; addressing systemic </w:t>
      </w:r>
      <w:r w:rsidR="00A0531C" w:rsidRPr="005B6796">
        <w:rPr>
          <w:rFonts w:ascii="Times New Roman" w:hAnsi="Times New Roman" w:cs="Times New Roman"/>
          <w:sz w:val="24"/>
          <w:szCs w:val="24"/>
        </w:rPr>
        <w:t>violations of women’s rights</w:t>
      </w:r>
      <w:r w:rsidR="00A0531C" w:rsidRPr="00D22649">
        <w:rPr>
          <w:rFonts w:ascii="Times New Roman" w:hAnsi="Times New Roman" w:cs="Times New Roman"/>
          <w:sz w:val="24"/>
          <w:szCs w:val="24"/>
        </w:rPr>
        <w:t xml:space="preserve">; addressing intersectional discrimination; condemning gender stereotypes.  To these areas I would argue that the Committee could have much to add in the coming years. But the possibilities are effectively limitless. </w:t>
      </w:r>
      <w:r w:rsidR="008425B0" w:rsidRPr="00D22649">
        <w:rPr>
          <w:rFonts w:ascii="Times New Roman" w:hAnsi="Times New Roman" w:cs="Times New Roman"/>
          <w:sz w:val="24"/>
          <w:szCs w:val="24"/>
        </w:rPr>
        <w:t xml:space="preserve">I would concur with Reilly’s view </w:t>
      </w:r>
      <w:r w:rsidR="00BB4835" w:rsidRPr="00D22649">
        <w:rPr>
          <w:rFonts w:ascii="Times New Roman" w:hAnsi="Times New Roman" w:cs="Times New Roman"/>
          <w:sz w:val="24"/>
          <w:szCs w:val="24"/>
        </w:rPr>
        <w:t>of its disruptive potential</w:t>
      </w:r>
      <w:r w:rsidR="008425B0" w:rsidRPr="00D22649">
        <w:rPr>
          <w:rFonts w:ascii="Times New Roman" w:hAnsi="Times New Roman" w:cs="Times New Roman"/>
          <w:sz w:val="24"/>
          <w:szCs w:val="24"/>
        </w:rPr>
        <w:t xml:space="preserve">: </w:t>
      </w:r>
    </w:p>
    <w:p w14:paraId="0A7FC07D" w14:textId="77777777" w:rsidR="008425B0" w:rsidRPr="00D22649" w:rsidRDefault="008425B0" w:rsidP="00D22649">
      <w:pPr>
        <w:spacing w:after="0" w:line="360" w:lineRule="auto"/>
        <w:jc w:val="both"/>
        <w:rPr>
          <w:rFonts w:ascii="Times New Roman" w:hAnsi="Times New Roman" w:cs="Times New Roman"/>
          <w:sz w:val="24"/>
          <w:szCs w:val="24"/>
        </w:rPr>
      </w:pPr>
    </w:p>
    <w:p w14:paraId="62083F98" w14:textId="77777777" w:rsidR="008425B0" w:rsidRPr="005B6796" w:rsidRDefault="008425B0" w:rsidP="00D22649">
      <w:pPr>
        <w:spacing w:after="0" w:line="360" w:lineRule="auto"/>
        <w:ind w:left="720"/>
        <w:jc w:val="both"/>
        <w:rPr>
          <w:rFonts w:ascii="Times New Roman" w:hAnsi="Times New Roman" w:cs="Times New Roman"/>
        </w:rPr>
      </w:pPr>
      <w:r w:rsidRPr="005B6796">
        <w:rPr>
          <w:rFonts w:ascii="Times New Roman" w:hAnsi="Times New Roman" w:cs="Times New Roman"/>
        </w:rPr>
        <w:t>While the overall trajectory of international human rights discourse since the inception of the UN…has been deeply shaped by hegemonic Western, neo-liberal, male biases, the account of feminist intervention presented here demonstrates the potential to disrupt this trajectory and create spaces where usually marginalized actors can achieve meaningful shifts in the exercise of power.</w:t>
      </w:r>
      <w:r w:rsidRPr="005B6796">
        <w:rPr>
          <w:rStyle w:val="FootnoteReference"/>
          <w:rFonts w:ascii="Times New Roman" w:hAnsi="Times New Roman" w:cs="Times New Roman"/>
        </w:rPr>
        <w:footnoteReference w:id="96"/>
      </w:r>
    </w:p>
    <w:p w14:paraId="717C8F4B" w14:textId="77777777" w:rsidR="008425B0" w:rsidRPr="005B6796" w:rsidRDefault="008425B0" w:rsidP="00D22649">
      <w:pPr>
        <w:spacing w:after="0" w:line="360" w:lineRule="auto"/>
        <w:jc w:val="both"/>
        <w:rPr>
          <w:rFonts w:ascii="Times New Roman" w:hAnsi="Times New Roman" w:cs="Times New Roman"/>
        </w:rPr>
      </w:pPr>
    </w:p>
    <w:p w14:paraId="529231B9" w14:textId="4313D5BE" w:rsidR="00017027" w:rsidRPr="00D22649" w:rsidRDefault="00BB4835" w:rsidP="00D22649">
      <w:pPr>
        <w:spacing w:after="0" w:line="360" w:lineRule="auto"/>
        <w:jc w:val="both"/>
        <w:rPr>
          <w:rFonts w:ascii="Times New Roman" w:hAnsi="Times New Roman" w:cs="Times New Roman"/>
          <w:sz w:val="24"/>
          <w:szCs w:val="24"/>
        </w:rPr>
      </w:pPr>
      <w:r w:rsidRPr="00D22649">
        <w:rPr>
          <w:rFonts w:ascii="Times New Roman" w:hAnsi="Times New Roman" w:cs="Times New Roman"/>
          <w:sz w:val="24"/>
          <w:szCs w:val="24"/>
        </w:rPr>
        <w:t>Yet I have suggested here that in order for CEDAW to play its part in this process of re-imaging women’s rights</w:t>
      </w:r>
      <w:r w:rsidR="00A0531C" w:rsidRPr="00D22649">
        <w:rPr>
          <w:rFonts w:ascii="Times New Roman" w:hAnsi="Times New Roman" w:cs="Times New Roman"/>
          <w:sz w:val="24"/>
          <w:szCs w:val="24"/>
        </w:rPr>
        <w:t xml:space="preserve"> requires it</w:t>
      </w:r>
      <w:r w:rsidRPr="00D22649">
        <w:rPr>
          <w:rFonts w:ascii="Times New Roman" w:hAnsi="Times New Roman" w:cs="Times New Roman"/>
          <w:sz w:val="24"/>
          <w:szCs w:val="24"/>
        </w:rPr>
        <w:t xml:space="preserve"> self-consciously </w:t>
      </w:r>
      <w:r w:rsidR="00FE07A5">
        <w:rPr>
          <w:rFonts w:ascii="Times New Roman" w:hAnsi="Times New Roman" w:cs="Times New Roman"/>
          <w:sz w:val="24"/>
          <w:szCs w:val="24"/>
        </w:rPr>
        <w:t xml:space="preserve">to </w:t>
      </w:r>
      <w:r w:rsidRPr="00D22649">
        <w:rPr>
          <w:rFonts w:ascii="Times New Roman" w:hAnsi="Times New Roman" w:cs="Times New Roman"/>
          <w:sz w:val="24"/>
          <w:szCs w:val="24"/>
        </w:rPr>
        <w:t>travel to the periphery of rights and empathically engage with marginal actors.  CEDAW is not confined to the centre of human rights power, although, importantly, it has a place there.  What CEDAW must avoid, if it is to voice women’s agenda for rights, is being too respectful of</w:t>
      </w:r>
      <w:r w:rsidR="000D0069" w:rsidRPr="00D22649">
        <w:rPr>
          <w:rFonts w:ascii="Times New Roman" w:hAnsi="Times New Roman" w:cs="Times New Roman"/>
          <w:sz w:val="24"/>
          <w:szCs w:val="24"/>
        </w:rPr>
        <w:t>,</w:t>
      </w:r>
      <w:r w:rsidRPr="00D22649">
        <w:rPr>
          <w:rFonts w:ascii="Times New Roman" w:hAnsi="Times New Roman" w:cs="Times New Roman"/>
          <w:sz w:val="24"/>
          <w:szCs w:val="24"/>
        </w:rPr>
        <w:t xml:space="preserve"> and ambitious for</w:t>
      </w:r>
      <w:r w:rsidR="000D0069" w:rsidRPr="00D22649">
        <w:rPr>
          <w:rFonts w:ascii="Times New Roman" w:hAnsi="Times New Roman" w:cs="Times New Roman"/>
          <w:sz w:val="24"/>
          <w:szCs w:val="24"/>
        </w:rPr>
        <w:t>,</w:t>
      </w:r>
      <w:r w:rsidRPr="00D22649">
        <w:rPr>
          <w:rFonts w:ascii="Times New Roman" w:hAnsi="Times New Roman" w:cs="Times New Roman"/>
          <w:sz w:val="24"/>
          <w:szCs w:val="24"/>
        </w:rPr>
        <w:t xml:space="preserve"> the centre of human rights power.  Engaging </w:t>
      </w:r>
      <w:r w:rsidR="00E420B6" w:rsidRPr="00D22649">
        <w:rPr>
          <w:rFonts w:ascii="Times New Roman" w:hAnsi="Times New Roman" w:cs="Times New Roman"/>
          <w:sz w:val="24"/>
          <w:szCs w:val="24"/>
        </w:rPr>
        <w:t xml:space="preserve">more actively </w:t>
      </w:r>
      <w:r w:rsidRPr="00D22649">
        <w:rPr>
          <w:rFonts w:ascii="Times New Roman" w:hAnsi="Times New Roman" w:cs="Times New Roman"/>
          <w:sz w:val="24"/>
          <w:szCs w:val="24"/>
        </w:rPr>
        <w:t xml:space="preserve">with the periphery would open CEDAW to the </w:t>
      </w:r>
      <w:r w:rsidR="00A0531C" w:rsidRPr="00D22649">
        <w:rPr>
          <w:rFonts w:ascii="Times New Roman" w:hAnsi="Times New Roman" w:cs="Times New Roman"/>
          <w:sz w:val="24"/>
          <w:szCs w:val="24"/>
        </w:rPr>
        <w:lastRenderedPageBreak/>
        <w:t xml:space="preserve">rich </w:t>
      </w:r>
      <w:r w:rsidRPr="00D22649">
        <w:rPr>
          <w:rFonts w:ascii="Times New Roman" w:hAnsi="Times New Roman" w:cs="Times New Roman"/>
          <w:sz w:val="24"/>
          <w:szCs w:val="24"/>
        </w:rPr>
        <w:t>possibilities offered by women’s rights</w:t>
      </w:r>
      <w:r w:rsidR="00A0531C" w:rsidRPr="00D22649">
        <w:rPr>
          <w:rFonts w:ascii="Times New Roman" w:hAnsi="Times New Roman" w:cs="Times New Roman"/>
          <w:sz w:val="24"/>
          <w:szCs w:val="24"/>
        </w:rPr>
        <w:t xml:space="preserve"> and enable it to</w:t>
      </w:r>
      <w:r w:rsidR="000D0069" w:rsidRPr="00D22649">
        <w:rPr>
          <w:rFonts w:ascii="Times New Roman" w:hAnsi="Times New Roman" w:cs="Times New Roman"/>
          <w:sz w:val="24"/>
          <w:szCs w:val="24"/>
        </w:rPr>
        <w:t xml:space="preserve"> become a lioness with a roar that resonates.</w:t>
      </w:r>
    </w:p>
    <w:sectPr w:rsidR="00017027" w:rsidRPr="00D22649" w:rsidSect="00CF7386">
      <w:footerReference w:type="even" r:id="rId8"/>
      <w:footerReference w:type="default" r:id="rId9"/>
      <w:pgSz w:w="11900" w:h="1682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EC3A70" w14:textId="77777777" w:rsidR="00D81556" w:rsidRDefault="00D81556" w:rsidP="00592ADD">
      <w:pPr>
        <w:spacing w:after="0" w:line="240" w:lineRule="auto"/>
      </w:pPr>
      <w:r>
        <w:separator/>
      </w:r>
    </w:p>
  </w:endnote>
  <w:endnote w:type="continuationSeparator" w:id="0">
    <w:p w14:paraId="5D47F032" w14:textId="77777777" w:rsidR="00D81556" w:rsidRDefault="00D81556" w:rsidP="00592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0B8C8" w14:textId="77777777" w:rsidR="00085586" w:rsidRDefault="00085586" w:rsidP="0010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8DA601" w14:textId="77777777" w:rsidR="00085586" w:rsidRDefault="00085586" w:rsidP="002F7F4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F5C27" w14:textId="77777777" w:rsidR="00085586" w:rsidRDefault="00085586" w:rsidP="0010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B6796">
      <w:rPr>
        <w:rStyle w:val="PageNumber"/>
        <w:noProof/>
      </w:rPr>
      <w:t>22</w:t>
    </w:r>
    <w:r>
      <w:rPr>
        <w:rStyle w:val="PageNumber"/>
      </w:rPr>
      <w:fldChar w:fldCharType="end"/>
    </w:r>
  </w:p>
  <w:p w14:paraId="3AEF0761" w14:textId="77777777" w:rsidR="00085586" w:rsidRDefault="00085586" w:rsidP="002F7F4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1A5A6" w14:textId="77777777" w:rsidR="00D81556" w:rsidRDefault="00D81556" w:rsidP="00592ADD">
      <w:pPr>
        <w:spacing w:after="0" w:line="240" w:lineRule="auto"/>
      </w:pPr>
      <w:r>
        <w:separator/>
      </w:r>
    </w:p>
  </w:footnote>
  <w:footnote w:type="continuationSeparator" w:id="0">
    <w:p w14:paraId="44A6A57F" w14:textId="77777777" w:rsidR="00D81556" w:rsidRDefault="00D81556" w:rsidP="00592ADD">
      <w:pPr>
        <w:spacing w:after="0" w:line="240" w:lineRule="auto"/>
      </w:pPr>
      <w:r>
        <w:continuationSeparator/>
      </w:r>
    </w:p>
  </w:footnote>
  <w:footnote w:id="1">
    <w:p w14:paraId="3BE9C47B" w14:textId="33478014" w:rsidR="00085586" w:rsidRDefault="00085586" w:rsidP="005B6796">
      <w:pPr>
        <w:spacing w:after="0" w:line="360" w:lineRule="auto"/>
        <w:rPr>
          <w:rFonts w:ascii="Times New Roman" w:hAnsi="Times New Roman" w:cs="Times New Roman"/>
          <w:sz w:val="24"/>
          <w:szCs w:val="24"/>
        </w:rPr>
      </w:pPr>
      <w:r>
        <w:rPr>
          <w:rStyle w:val="FootnoteReference"/>
        </w:rPr>
        <w:t>*</w:t>
      </w:r>
      <w:r>
        <w:t xml:space="preserve"> Senior </w:t>
      </w:r>
      <w:r w:rsidRPr="005B6796">
        <w:rPr>
          <w:rFonts w:ascii="Times New Roman" w:hAnsi="Times New Roman" w:cs="Times New Roman"/>
          <w:sz w:val="20"/>
          <w:szCs w:val="20"/>
        </w:rPr>
        <w:t>Lecturer in Law, School of Law, University of Leicester. Email: lch8@le.ac.uk.</w:t>
      </w:r>
    </w:p>
    <w:p w14:paraId="12236AD8" w14:textId="77777777" w:rsidR="00085586" w:rsidRDefault="00085586">
      <w:pPr>
        <w:pStyle w:val="FootnoteText"/>
      </w:pPr>
    </w:p>
  </w:footnote>
  <w:footnote w:id="2">
    <w:p w14:paraId="73C690DF" w14:textId="6E20631A" w:rsidR="00085586" w:rsidRDefault="00085586" w:rsidP="00DA2794">
      <w:pPr>
        <w:pStyle w:val="FootnoteText"/>
        <w:jc w:val="both"/>
      </w:pPr>
      <w:r>
        <w:rPr>
          <w:rStyle w:val="FootnoteReference"/>
        </w:rPr>
        <w:footnoteRef/>
      </w:r>
      <w:r>
        <w:t xml:space="preserve"> Chinkin, Wright, and Charlesworth, ‘Feminist Approaches to International Law: Reflections from Another Century’, in D.</w:t>
      </w:r>
      <w:r w:rsidRPr="00DA2794">
        <w:t xml:space="preserve"> </w:t>
      </w:r>
      <w:r>
        <w:t>B</w:t>
      </w:r>
      <w:r w:rsidRPr="00DA2794">
        <w:t xml:space="preserve">uss and </w:t>
      </w:r>
      <w:r>
        <w:t>A.</w:t>
      </w:r>
      <w:r w:rsidRPr="00DA2794">
        <w:t xml:space="preserve"> </w:t>
      </w:r>
      <w:r>
        <w:t xml:space="preserve">Manji (eds), </w:t>
      </w:r>
      <w:r>
        <w:rPr>
          <w:i/>
        </w:rPr>
        <w:t>International L</w:t>
      </w:r>
      <w:r w:rsidRPr="00DA2794">
        <w:rPr>
          <w:i/>
        </w:rPr>
        <w:t>aw: Modern Feminist Approaches</w:t>
      </w:r>
      <w:r>
        <w:t xml:space="preserve"> (2005), at 17, 26.</w:t>
      </w:r>
    </w:p>
  </w:footnote>
  <w:footnote w:id="3">
    <w:p w14:paraId="23B0A1E4" w14:textId="35C575B6" w:rsidR="00085586" w:rsidRDefault="00085586" w:rsidP="00AF032D">
      <w:pPr>
        <w:pStyle w:val="FootnoteText"/>
        <w:jc w:val="both"/>
      </w:pPr>
      <w:r>
        <w:rPr>
          <w:rStyle w:val="FootnoteReference"/>
        </w:rPr>
        <w:footnoteRef/>
      </w:r>
      <w:r>
        <w:t xml:space="preserve"> Cook, ‘Reservations to the Convention on the Elimination of all Forms of Discrimination against Women’, 30 </w:t>
      </w:r>
      <w:r w:rsidRPr="00DA52DA">
        <w:rPr>
          <w:i/>
        </w:rPr>
        <w:t>Virginia J Int</w:t>
      </w:r>
      <w:r>
        <w:rPr>
          <w:i/>
        </w:rPr>
        <w:t>’</w:t>
      </w:r>
      <w:r w:rsidRPr="00DA52DA">
        <w:rPr>
          <w:i/>
        </w:rPr>
        <w:t xml:space="preserve">l L </w:t>
      </w:r>
      <w:r>
        <w:t>(1990) 643, at 643.</w:t>
      </w:r>
    </w:p>
  </w:footnote>
  <w:footnote w:id="4">
    <w:p w14:paraId="4A3F6A70" w14:textId="4555F06E" w:rsidR="00085586" w:rsidRDefault="00085586">
      <w:pPr>
        <w:pStyle w:val="FootnoteText"/>
      </w:pPr>
      <w:r>
        <w:rPr>
          <w:rStyle w:val="FootnoteReference"/>
        </w:rPr>
        <w:footnoteRef/>
      </w:r>
      <w:r>
        <w:t xml:space="preserve"> </w:t>
      </w:r>
      <w:r>
        <w:rPr>
          <w:lang w:val="en-US"/>
        </w:rPr>
        <w:t>GA Res. 34/180 of 18 Dec. 1979.</w:t>
      </w:r>
    </w:p>
  </w:footnote>
  <w:footnote w:id="5">
    <w:p w14:paraId="7DE336E1" w14:textId="47BCB58A" w:rsidR="00085586" w:rsidRPr="009C467B" w:rsidRDefault="00085586" w:rsidP="00AF032D">
      <w:pPr>
        <w:autoSpaceDE w:val="0"/>
        <w:autoSpaceDN w:val="0"/>
        <w:adjustRightInd w:val="0"/>
        <w:spacing w:after="0" w:line="240" w:lineRule="auto"/>
        <w:jc w:val="both"/>
        <w:rPr>
          <w:rFonts w:ascii="Times New Roman" w:eastAsia="Times New Roman" w:hAnsi="Times New Roman" w:cs="Times New Roman"/>
          <w:sz w:val="20"/>
          <w:szCs w:val="20"/>
        </w:rPr>
      </w:pPr>
      <w:r w:rsidRPr="00DC2C8C">
        <w:rPr>
          <w:rStyle w:val="FootnoteReference"/>
          <w:rFonts w:ascii="Times New Roman" w:hAnsi="Times New Roman" w:cs="Times New Roman"/>
        </w:rPr>
        <w:footnoteRef/>
      </w:r>
      <w:r>
        <w:t xml:space="preserve"> </w:t>
      </w:r>
      <w:r w:rsidRPr="00340927">
        <w:rPr>
          <w:rFonts w:ascii="Times New Roman" w:eastAsia="Times New Roman" w:hAnsi="Times New Roman" w:cs="Times New Roman"/>
          <w:sz w:val="20"/>
          <w:szCs w:val="20"/>
        </w:rPr>
        <w:t xml:space="preserve">Meron, </w:t>
      </w:r>
      <w:r>
        <w:rPr>
          <w:rFonts w:ascii="Times New Roman" w:eastAsia="Times New Roman" w:hAnsi="Times New Roman" w:cs="Times New Roman"/>
          <w:sz w:val="20"/>
          <w:szCs w:val="20"/>
        </w:rPr>
        <w:t>‘</w:t>
      </w:r>
      <w:r w:rsidRPr="00340927">
        <w:rPr>
          <w:rFonts w:ascii="Times New Roman" w:eastAsia="Times New Roman" w:hAnsi="Times New Roman" w:cs="Times New Roman"/>
          <w:sz w:val="20"/>
          <w:szCs w:val="20"/>
        </w:rPr>
        <w:t>Enhancing the Effectiveness of the Prohibition of Discrimination Ag</w:t>
      </w:r>
      <w:r>
        <w:rPr>
          <w:rFonts w:ascii="Times New Roman" w:eastAsia="Times New Roman" w:hAnsi="Times New Roman" w:cs="Times New Roman"/>
          <w:sz w:val="20"/>
          <w:szCs w:val="20"/>
        </w:rPr>
        <w:t>ainst Women’,</w:t>
      </w:r>
      <w:r w:rsidRPr="00340927">
        <w:rPr>
          <w:rFonts w:ascii="Times New Roman" w:eastAsia="Times New Roman" w:hAnsi="Times New Roman" w:cs="Times New Roman"/>
          <w:sz w:val="20"/>
          <w:szCs w:val="20"/>
        </w:rPr>
        <w:t xml:space="preserve"> 84 </w:t>
      </w:r>
      <w:r w:rsidRPr="00340927">
        <w:rPr>
          <w:rFonts w:ascii="Times New Roman" w:eastAsia="Times New Roman" w:hAnsi="Times New Roman" w:cs="Times New Roman"/>
          <w:i/>
          <w:sz w:val="20"/>
          <w:szCs w:val="20"/>
        </w:rPr>
        <w:t>AJIL</w:t>
      </w:r>
      <w:r w:rsidRPr="0034092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(1990) 213.  See also Connors, ‘Optional Protocol’, in M. Freeman, C. Chinkin, and B. Rudolf (eds), </w:t>
      </w:r>
      <w:r w:rsidRPr="00206E01">
        <w:rPr>
          <w:rFonts w:ascii="Times New Roman" w:eastAsia="Times New Roman" w:hAnsi="Times New Roman" w:cs="Times New Roman"/>
          <w:i/>
          <w:sz w:val="20"/>
          <w:szCs w:val="20"/>
        </w:rPr>
        <w:t>The UN Convention on the Elimination of All Forms of Discrimination Against Women: A Commentary</w:t>
      </w:r>
      <w:r>
        <w:rPr>
          <w:rFonts w:ascii="Times New Roman" w:eastAsia="Times New Roman" w:hAnsi="Times New Roman" w:cs="Times New Roman"/>
          <w:i/>
          <w:sz w:val="20"/>
          <w:szCs w:val="20"/>
        </w:rPr>
        <w:t xml:space="preserve"> </w:t>
      </w:r>
      <w:r w:rsidRPr="00206E01">
        <w:rPr>
          <w:rFonts w:ascii="Times New Roman" w:eastAsia="Times New Roman" w:hAnsi="Times New Roman" w:cs="Times New Roman"/>
          <w:sz w:val="20"/>
          <w:szCs w:val="20"/>
        </w:rPr>
        <w:t>(2012)</w:t>
      </w:r>
      <w:r>
        <w:rPr>
          <w:rFonts w:ascii="Times New Roman" w:eastAsia="Times New Roman" w:hAnsi="Times New Roman" w:cs="Times New Roman"/>
          <w:sz w:val="20"/>
          <w:szCs w:val="20"/>
        </w:rPr>
        <w:t>, at</w:t>
      </w:r>
      <w:r w:rsidRPr="00206E01">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607, 609.</w:t>
      </w:r>
    </w:p>
  </w:footnote>
  <w:footnote w:id="6">
    <w:p w14:paraId="10BD6108" w14:textId="6A906E88" w:rsidR="00085586" w:rsidRDefault="00085586" w:rsidP="00AF032D">
      <w:pPr>
        <w:pStyle w:val="FootnoteText"/>
        <w:jc w:val="both"/>
      </w:pPr>
      <w:r>
        <w:rPr>
          <w:rStyle w:val="FootnoteReference"/>
        </w:rPr>
        <w:footnoteRef/>
      </w:r>
      <w:r>
        <w:t xml:space="preserve"> Byrnes and Connor, ‘Enforcing the Human Rights of Women: A Complaints Procedure for the Women’s Convention?’, 21 </w:t>
      </w:r>
      <w:r w:rsidRPr="000156A5">
        <w:rPr>
          <w:i/>
        </w:rPr>
        <w:t>Brooklyn J Int</w:t>
      </w:r>
      <w:r>
        <w:rPr>
          <w:i/>
        </w:rPr>
        <w:t>’</w:t>
      </w:r>
      <w:r w:rsidRPr="000156A5">
        <w:rPr>
          <w:i/>
        </w:rPr>
        <w:t>l L</w:t>
      </w:r>
      <w:r>
        <w:t xml:space="preserve"> (1996) 679, at 684.</w:t>
      </w:r>
    </w:p>
  </w:footnote>
  <w:footnote w:id="7">
    <w:p w14:paraId="4C403D28" w14:textId="3F61FC94" w:rsidR="00085586" w:rsidRDefault="00085586" w:rsidP="00CF3360">
      <w:pPr>
        <w:pStyle w:val="FootnoteText"/>
        <w:jc w:val="both"/>
      </w:pPr>
      <w:r>
        <w:rPr>
          <w:rStyle w:val="FootnoteReference"/>
        </w:rPr>
        <w:footnoteRef/>
      </w:r>
      <w:r>
        <w:t xml:space="preserve"> For a first-hand account of the difficulties faced by the Women’s Committee in enforcing the Convention in its early years see Evatt, ‘Finding a Voice for Women’s Rights: The Early Days of CEDAW’, 34 </w:t>
      </w:r>
      <w:r w:rsidRPr="00CF3360">
        <w:rPr>
          <w:i/>
        </w:rPr>
        <w:t>George Washington Int</w:t>
      </w:r>
      <w:r>
        <w:rPr>
          <w:i/>
        </w:rPr>
        <w:t>’</w:t>
      </w:r>
      <w:r w:rsidRPr="00CF3360">
        <w:rPr>
          <w:i/>
        </w:rPr>
        <w:t>l L Rev</w:t>
      </w:r>
      <w:r>
        <w:t xml:space="preserve"> (2002) 515.</w:t>
      </w:r>
    </w:p>
  </w:footnote>
  <w:footnote w:id="8">
    <w:p w14:paraId="57770BC9" w14:textId="2D2390E9" w:rsidR="00085586" w:rsidRPr="00206E01" w:rsidRDefault="00085586" w:rsidP="00206E01">
      <w:pPr>
        <w:pStyle w:val="FootnoteText"/>
        <w:jc w:val="both"/>
        <w:rPr>
          <w:lang w:val="en-US"/>
        </w:rPr>
      </w:pPr>
      <w:r>
        <w:rPr>
          <w:rStyle w:val="FootnoteReference"/>
        </w:rPr>
        <w:footnoteRef/>
      </w:r>
      <w:r>
        <w:t xml:space="preserve"> Chinkin, ‘Violence Against Women’, in Freeman, Chinkin, and Rudolf, </w:t>
      </w:r>
      <w:r w:rsidRPr="00DC2C8C">
        <w:rPr>
          <w:i/>
        </w:rPr>
        <w:t>supra</w:t>
      </w:r>
      <w:r>
        <w:t xml:space="preserve"> note 4, at 443, 473.</w:t>
      </w:r>
    </w:p>
  </w:footnote>
  <w:footnote w:id="9">
    <w:p w14:paraId="0D0BF936" w14:textId="60D93CB1" w:rsidR="00085586" w:rsidRPr="00FD7715" w:rsidRDefault="00085586" w:rsidP="00FB4B53">
      <w:pPr>
        <w:pStyle w:val="FootnoteText"/>
        <w:jc w:val="both"/>
        <w:rPr>
          <w:lang w:val="en-US"/>
        </w:rPr>
      </w:pPr>
      <w:r>
        <w:rPr>
          <w:rStyle w:val="FootnoteReference"/>
        </w:rPr>
        <w:footnoteRef/>
      </w:r>
      <w:r>
        <w:t xml:space="preserve"> </w:t>
      </w:r>
      <w:r>
        <w:rPr>
          <w:lang w:val="en-US"/>
        </w:rPr>
        <w:t>Byrnes, ‘The “Other” Human Rights Treaty Body: The Work of the Committee on the Elimination of All Forms of Discrimination Against Women’, 14</w:t>
      </w:r>
      <w:r w:rsidRPr="0082303E">
        <w:rPr>
          <w:i/>
          <w:lang w:val="en-US"/>
        </w:rPr>
        <w:t xml:space="preserve"> Yale J Int</w:t>
      </w:r>
      <w:r>
        <w:rPr>
          <w:i/>
          <w:lang w:val="en-US"/>
        </w:rPr>
        <w:t>’</w:t>
      </w:r>
      <w:r w:rsidRPr="0082303E">
        <w:rPr>
          <w:i/>
          <w:lang w:val="en-US"/>
        </w:rPr>
        <w:t>l L</w:t>
      </w:r>
      <w:r>
        <w:rPr>
          <w:lang w:val="en-US"/>
        </w:rPr>
        <w:t xml:space="preserve"> (1989) 1.</w:t>
      </w:r>
    </w:p>
  </w:footnote>
  <w:footnote w:id="10">
    <w:p w14:paraId="1F644245" w14:textId="5B8CB519" w:rsidR="00085586" w:rsidRPr="00206E01" w:rsidRDefault="00085586">
      <w:pPr>
        <w:pStyle w:val="FootnoteText"/>
        <w:rPr>
          <w:lang w:val="en-US"/>
        </w:rPr>
      </w:pPr>
      <w:r>
        <w:rPr>
          <w:rStyle w:val="FootnoteReference"/>
        </w:rPr>
        <w:footnoteRef/>
      </w:r>
      <w:r>
        <w:t xml:space="preserve"> See GA Res. A/C.3/62/L.20/Rev.1, adopted on 27 Nov. 2007.</w:t>
      </w:r>
    </w:p>
  </w:footnote>
  <w:footnote w:id="11">
    <w:p w14:paraId="644F06A3" w14:textId="77777777" w:rsidR="00085586" w:rsidRDefault="00085586" w:rsidP="00FB4B53">
      <w:pPr>
        <w:pStyle w:val="FootnoteText"/>
        <w:jc w:val="both"/>
      </w:pPr>
      <w:r>
        <w:rPr>
          <w:rStyle w:val="FootnoteReference"/>
        </w:rPr>
        <w:footnoteRef/>
      </w:r>
      <w:r>
        <w:t xml:space="preserve"> Cook, </w:t>
      </w:r>
      <w:r w:rsidRPr="00174597">
        <w:rPr>
          <w:i/>
        </w:rPr>
        <w:t>supra</w:t>
      </w:r>
      <w:r>
        <w:t xml:space="preserve"> note 2, at 644.</w:t>
      </w:r>
    </w:p>
  </w:footnote>
  <w:footnote w:id="12">
    <w:p w14:paraId="46BE968C" w14:textId="77777777" w:rsidR="00085586" w:rsidRPr="00206E01" w:rsidRDefault="00085586">
      <w:pPr>
        <w:pStyle w:val="FootnoteText"/>
        <w:rPr>
          <w:lang w:val="en-US"/>
        </w:rPr>
      </w:pPr>
      <w:r>
        <w:rPr>
          <w:rStyle w:val="FootnoteReference"/>
        </w:rPr>
        <w:footnoteRef/>
      </w:r>
      <w:r>
        <w:t xml:space="preserve"> </w:t>
      </w:r>
      <w:r w:rsidRPr="00CC6B01">
        <w:t xml:space="preserve">General Recommendation 28 on the Core Obligations of States Parties under Article 2 of CEDAW, </w:t>
      </w:r>
      <w:r>
        <w:t xml:space="preserve">at </w:t>
      </w:r>
      <w:r w:rsidRPr="00CC6B01">
        <w:t>para. 2</w:t>
      </w:r>
      <w:r w:rsidRPr="00206E01">
        <w:t xml:space="preserve"> (CEDAW/C/GC/28, 16 Dec. 2010)</w:t>
      </w:r>
      <w:r w:rsidRPr="00CC6B01">
        <w:t>.</w:t>
      </w:r>
    </w:p>
  </w:footnote>
  <w:footnote w:id="13">
    <w:p w14:paraId="18A251F4" w14:textId="72C62A20" w:rsidR="00085586" w:rsidRPr="00206E01" w:rsidRDefault="00085586" w:rsidP="00206E01">
      <w:pPr>
        <w:pStyle w:val="FootnoteText"/>
        <w:jc w:val="both"/>
        <w:rPr>
          <w:lang w:val="en-US"/>
        </w:rPr>
      </w:pPr>
      <w:r w:rsidRPr="00CC6B01">
        <w:rPr>
          <w:rStyle w:val="FootnoteReference"/>
        </w:rPr>
        <w:footnoteRef/>
      </w:r>
      <w:r w:rsidRPr="00CC6B01">
        <w:t xml:space="preserve"> </w:t>
      </w:r>
      <w:r>
        <w:t xml:space="preserve">E.g., </w:t>
      </w:r>
      <w:r w:rsidRPr="00CC6B01">
        <w:rPr>
          <w:lang w:val="en-US"/>
        </w:rPr>
        <w:t>General Recommendation 19 on Violence Against Women</w:t>
      </w:r>
      <w:r>
        <w:rPr>
          <w:lang w:val="en-US"/>
        </w:rPr>
        <w:t xml:space="preserve"> (11</w:t>
      </w:r>
      <w:r w:rsidRPr="00206E01">
        <w:rPr>
          <w:vertAlign w:val="superscript"/>
          <w:lang w:val="en-US"/>
        </w:rPr>
        <w:t>th</w:t>
      </w:r>
      <w:r>
        <w:rPr>
          <w:lang w:val="en-US"/>
        </w:rPr>
        <w:t xml:space="preserve"> Session, 1992).  For a discussion see </w:t>
      </w:r>
      <w:r>
        <w:t xml:space="preserve">Chinkin and Freeman, ‘Introduction’, in Freeman, Chinkin, and Rudolf, </w:t>
      </w:r>
      <w:r>
        <w:rPr>
          <w:i/>
        </w:rPr>
        <w:t xml:space="preserve">supra </w:t>
      </w:r>
      <w:r w:rsidRPr="00DC2C8C">
        <w:t>note 4,</w:t>
      </w:r>
      <w:r w:rsidRPr="00E26547">
        <w:t xml:space="preserve"> </w:t>
      </w:r>
      <w:r>
        <w:t>at 1;</w:t>
      </w:r>
      <w:r>
        <w:rPr>
          <w:lang w:val="en-US"/>
        </w:rPr>
        <w:t xml:space="preserve"> Cartwright, ‘Personal Reflection: Interpreting the Convention’, in </w:t>
      </w:r>
      <w:r>
        <w:t xml:space="preserve">H.B. Schöpp-Schilling (ed.), </w:t>
      </w:r>
      <w:r w:rsidRPr="00562818">
        <w:rPr>
          <w:i/>
        </w:rPr>
        <w:t>The Circle of Empowerment: Twenty-Five Years of the UN Committee on the Elimination of Discrimination Against Women</w:t>
      </w:r>
      <w:r>
        <w:t xml:space="preserve"> (2007), at 30.</w:t>
      </w:r>
    </w:p>
  </w:footnote>
  <w:footnote w:id="14">
    <w:p w14:paraId="262EAFFF" w14:textId="1C01F2CC" w:rsidR="00085586" w:rsidRPr="00B868F5" w:rsidRDefault="00085586" w:rsidP="00B868F5">
      <w:pPr>
        <w:autoSpaceDE w:val="0"/>
        <w:autoSpaceDN w:val="0"/>
        <w:adjustRightInd w:val="0"/>
        <w:spacing w:after="0" w:line="240" w:lineRule="auto"/>
        <w:jc w:val="both"/>
        <w:rPr>
          <w:rFonts w:ascii="Times New Roman" w:hAnsi="Times New Roman" w:cs="Times New Roman"/>
          <w:sz w:val="20"/>
          <w:szCs w:val="20"/>
          <w:lang w:val="en-US"/>
        </w:rPr>
      </w:pPr>
      <w:r>
        <w:rPr>
          <w:rStyle w:val="FootnoteReference"/>
        </w:rPr>
        <w:footnoteRef/>
      </w:r>
      <w:r>
        <w:t xml:space="preserve"> </w:t>
      </w:r>
      <w:r>
        <w:rPr>
          <w:rFonts w:ascii="Times New Roman" w:hAnsi="Times New Roman" w:cs="Times New Roman"/>
          <w:sz w:val="20"/>
          <w:szCs w:val="20"/>
          <w:lang w:val="en-US"/>
        </w:rPr>
        <w:t xml:space="preserve">GA Res. 121, UN GAOR, 48th Sess., Supp. No. 49, UN </w:t>
      </w:r>
      <w:r w:rsidRPr="00B868F5">
        <w:rPr>
          <w:rFonts w:ascii="Times New Roman" w:hAnsi="Times New Roman" w:cs="Times New Roman"/>
          <w:sz w:val="20"/>
          <w:szCs w:val="20"/>
          <w:lang w:val="en-US"/>
        </w:rPr>
        <w:t>Doc. A/121 (199</w:t>
      </w:r>
      <w:r>
        <w:rPr>
          <w:rFonts w:ascii="Times New Roman" w:hAnsi="Times New Roman" w:cs="Times New Roman"/>
          <w:sz w:val="20"/>
          <w:szCs w:val="20"/>
          <w:lang w:val="en-US"/>
        </w:rPr>
        <w:t xml:space="preserve">4), at </w:t>
      </w:r>
      <w:r w:rsidRPr="00B868F5">
        <w:rPr>
          <w:rFonts w:ascii="Times New Roman" w:hAnsi="Times New Roman" w:cs="Times New Roman"/>
          <w:sz w:val="20"/>
          <w:szCs w:val="20"/>
          <w:lang w:val="en-US"/>
        </w:rPr>
        <w:t>para. 40.</w:t>
      </w:r>
    </w:p>
  </w:footnote>
  <w:footnote w:id="15">
    <w:p w14:paraId="68227F82" w14:textId="62E3986D" w:rsidR="00085586" w:rsidRDefault="00085586" w:rsidP="003100DD">
      <w:pPr>
        <w:autoSpaceDE w:val="0"/>
        <w:autoSpaceDN w:val="0"/>
        <w:adjustRightInd w:val="0"/>
        <w:spacing w:after="0" w:line="240" w:lineRule="auto"/>
      </w:pPr>
      <w:r>
        <w:rPr>
          <w:rStyle w:val="FootnoteReference"/>
        </w:rPr>
        <w:footnoteRef/>
      </w:r>
      <w:r>
        <w:t xml:space="preserve"> </w:t>
      </w:r>
      <w:r>
        <w:rPr>
          <w:rFonts w:ascii="Times New Roman" w:hAnsi="Times New Roman" w:cs="Times New Roman"/>
          <w:sz w:val="20"/>
          <w:szCs w:val="20"/>
          <w:lang w:val="en-US"/>
        </w:rPr>
        <w:t>Beijing Declaration and Platform for Action, UN Doc. No. A/CONF.177/20, 17 Oct. 1997, at 97, para. 230(k).</w:t>
      </w:r>
    </w:p>
  </w:footnote>
  <w:footnote w:id="16">
    <w:p w14:paraId="0E828F12" w14:textId="2D7506B9" w:rsidR="00085586" w:rsidRPr="00673685" w:rsidRDefault="00085586" w:rsidP="00673685">
      <w:pPr>
        <w:autoSpaceDE w:val="0"/>
        <w:autoSpaceDN w:val="0"/>
        <w:adjustRightInd w:val="0"/>
        <w:spacing w:after="0" w:line="240" w:lineRule="auto"/>
        <w:jc w:val="both"/>
        <w:rPr>
          <w:rFonts w:ascii="Times New Roman" w:hAnsi="Times New Roman" w:cs="Times New Roman"/>
          <w:sz w:val="20"/>
          <w:szCs w:val="20"/>
          <w:lang w:val="en-US"/>
        </w:rPr>
      </w:pPr>
      <w:r w:rsidRPr="00DC2C8C">
        <w:rPr>
          <w:rStyle w:val="FootnoteReference"/>
          <w:rFonts w:ascii="Times New Roman" w:hAnsi="Times New Roman" w:cs="Times New Roman"/>
        </w:rPr>
        <w:footnoteRef/>
      </w:r>
      <w:r w:rsidRPr="00DC2C8C">
        <w:rPr>
          <w:rFonts w:ascii="Times New Roman" w:hAnsi="Times New Roman" w:cs="Times New Roman"/>
        </w:rPr>
        <w:t xml:space="preserve"> </w:t>
      </w:r>
      <w:r>
        <w:rPr>
          <w:rFonts w:ascii="Times New Roman" w:hAnsi="Times New Roman" w:cs="Times New Roman"/>
          <w:sz w:val="20"/>
          <w:szCs w:val="20"/>
          <w:lang w:val="en-US"/>
        </w:rPr>
        <w:t>Isa, ‘</w:t>
      </w:r>
      <w:r w:rsidRPr="004C3444">
        <w:rPr>
          <w:rFonts w:ascii="Times New Roman" w:hAnsi="Times New Roman" w:cs="Times New Roman"/>
          <w:sz w:val="20"/>
          <w:szCs w:val="20"/>
          <w:lang w:val="en-US"/>
        </w:rPr>
        <w:t xml:space="preserve">The Optional Protocol </w:t>
      </w:r>
      <w:r>
        <w:rPr>
          <w:rFonts w:ascii="Times New Roman" w:hAnsi="Times New Roman" w:cs="Times New Roman"/>
          <w:sz w:val="20"/>
          <w:szCs w:val="20"/>
          <w:lang w:val="en-US"/>
        </w:rPr>
        <w:t>for the</w:t>
      </w:r>
      <w:r w:rsidRPr="004C3444">
        <w:rPr>
          <w:rFonts w:ascii="Times New Roman" w:hAnsi="Times New Roman" w:cs="Times New Roman"/>
          <w:sz w:val="20"/>
          <w:szCs w:val="20"/>
          <w:lang w:val="en-US"/>
        </w:rPr>
        <w:t xml:space="preserve"> Convention </w:t>
      </w:r>
      <w:r>
        <w:rPr>
          <w:rFonts w:ascii="Times New Roman" w:hAnsi="Times New Roman" w:cs="Times New Roman"/>
          <w:sz w:val="20"/>
          <w:szCs w:val="20"/>
          <w:lang w:val="en-US"/>
        </w:rPr>
        <w:t>on</w:t>
      </w:r>
      <w:r w:rsidRPr="004C3444">
        <w:rPr>
          <w:rFonts w:ascii="Times New Roman" w:hAnsi="Times New Roman" w:cs="Times New Roman"/>
          <w:sz w:val="20"/>
          <w:szCs w:val="20"/>
          <w:lang w:val="en-US"/>
        </w:rPr>
        <w:t xml:space="preserve"> </w:t>
      </w:r>
      <w:r>
        <w:rPr>
          <w:rFonts w:ascii="Times New Roman" w:hAnsi="Times New Roman" w:cs="Times New Roman"/>
          <w:sz w:val="20"/>
          <w:szCs w:val="20"/>
          <w:lang w:val="en-US"/>
        </w:rPr>
        <w:t>the Elimination of All Forms of Discrimination a</w:t>
      </w:r>
      <w:r w:rsidRPr="004C3444">
        <w:rPr>
          <w:rFonts w:ascii="Times New Roman" w:hAnsi="Times New Roman" w:cs="Times New Roman"/>
          <w:sz w:val="20"/>
          <w:szCs w:val="20"/>
          <w:lang w:val="en-US"/>
        </w:rPr>
        <w:t>gainst</w:t>
      </w:r>
      <w:r>
        <w:rPr>
          <w:rFonts w:ascii="Times New Roman" w:hAnsi="Times New Roman" w:cs="Times New Roman"/>
          <w:sz w:val="20"/>
          <w:szCs w:val="20"/>
          <w:lang w:val="en-US"/>
        </w:rPr>
        <w:t xml:space="preserve"> Women: Strengthening t</w:t>
      </w:r>
      <w:r w:rsidRPr="004C3444">
        <w:rPr>
          <w:rFonts w:ascii="Times New Roman" w:hAnsi="Times New Roman" w:cs="Times New Roman"/>
          <w:sz w:val="20"/>
          <w:szCs w:val="20"/>
          <w:lang w:val="en-US"/>
        </w:rPr>
        <w:t>he Protection Mechanisms</w:t>
      </w:r>
      <w:r>
        <w:rPr>
          <w:rFonts w:ascii="Times New Roman" w:hAnsi="Times New Roman" w:cs="Times New Roman"/>
          <w:sz w:val="20"/>
          <w:szCs w:val="20"/>
          <w:lang w:val="en-US"/>
        </w:rPr>
        <w:t xml:space="preserve"> o</w:t>
      </w:r>
      <w:r w:rsidRPr="004C3444">
        <w:rPr>
          <w:rFonts w:ascii="Times New Roman" w:hAnsi="Times New Roman" w:cs="Times New Roman"/>
          <w:sz w:val="20"/>
          <w:szCs w:val="20"/>
          <w:lang w:val="en-US"/>
        </w:rPr>
        <w:t>f</w:t>
      </w:r>
      <w:r>
        <w:rPr>
          <w:rFonts w:ascii="Times New Roman" w:hAnsi="Times New Roman" w:cs="Times New Roman"/>
          <w:sz w:val="20"/>
          <w:szCs w:val="20"/>
          <w:lang w:val="en-US"/>
        </w:rPr>
        <w:t xml:space="preserve"> </w:t>
      </w:r>
      <w:r w:rsidRPr="004C3444">
        <w:rPr>
          <w:rFonts w:ascii="Times New Roman" w:hAnsi="Times New Roman" w:cs="Times New Roman"/>
          <w:sz w:val="20"/>
          <w:szCs w:val="20"/>
          <w:lang w:val="en-US"/>
        </w:rPr>
        <w:t>Women's Human Rights</w:t>
      </w:r>
      <w:r>
        <w:rPr>
          <w:rFonts w:ascii="Times New Roman" w:hAnsi="Times New Roman" w:cs="Times New Roman"/>
          <w:sz w:val="20"/>
          <w:szCs w:val="20"/>
          <w:lang w:val="en-US"/>
        </w:rPr>
        <w:t xml:space="preserve">’, </w:t>
      </w:r>
      <w:r w:rsidRPr="00B868F5">
        <w:rPr>
          <w:rFonts w:ascii="Times New Roman" w:hAnsi="Times New Roman" w:cs="Times New Roman"/>
          <w:sz w:val="20"/>
          <w:szCs w:val="20"/>
          <w:lang w:val="en-US"/>
        </w:rPr>
        <w:t xml:space="preserve">20 </w:t>
      </w:r>
      <w:r w:rsidRPr="00284B3F">
        <w:rPr>
          <w:rFonts w:ascii="Times New Roman" w:hAnsi="Times New Roman" w:cs="Times New Roman"/>
          <w:i/>
          <w:sz w:val="20"/>
          <w:szCs w:val="20"/>
          <w:lang w:val="en-US"/>
        </w:rPr>
        <w:t>Arizona J Int</w:t>
      </w:r>
      <w:r>
        <w:rPr>
          <w:rFonts w:ascii="Times New Roman" w:hAnsi="Times New Roman" w:cs="Times New Roman"/>
          <w:i/>
          <w:sz w:val="20"/>
          <w:szCs w:val="20"/>
          <w:lang w:val="en-US"/>
        </w:rPr>
        <w:t>’</w:t>
      </w:r>
      <w:r w:rsidRPr="00284B3F">
        <w:rPr>
          <w:rFonts w:ascii="Times New Roman" w:hAnsi="Times New Roman" w:cs="Times New Roman"/>
          <w:i/>
          <w:sz w:val="20"/>
          <w:szCs w:val="20"/>
          <w:lang w:val="en-US"/>
        </w:rPr>
        <w:t xml:space="preserve">l </w:t>
      </w:r>
      <w:r>
        <w:rPr>
          <w:rFonts w:ascii="Times New Roman" w:hAnsi="Times New Roman" w:cs="Times New Roman"/>
          <w:i/>
          <w:sz w:val="20"/>
          <w:szCs w:val="20"/>
          <w:lang w:val="en-US"/>
        </w:rPr>
        <w:t>&amp;</w:t>
      </w:r>
      <w:r w:rsidRPr="00284B3F">
        <w:rPr>
          <w:rFonts w:ascii="Times New Roman" w:hAnsi="Times New Roman" w:cs="Times New Roman"/>
          <w:i/>
          <w:sz w:val="20"/>
          <w:szCs w:val="20"/>
          <w:lang w:val="en-US"/>
        </w:rPr>
        <w:t xml:space="preserve"> Comp L</w:t>
      </w:r>
      <w:r>
        <w:rPr>
          <w:rFonts w:ascii="Times New Roman" w:hAnsi="Times New Roman" w:cs="Times New Roman"/>
          <w:sz w:val="20"/>
          <w:szCs w:val="20"/>
          <w:lang w:val="en-US"/>
        </w:rPr>
        <w:t xml:space="preserve"> (</w:t>
      </w:r>
      <w:r w:rsidRPr="00B868F5">
        <w:rPr>
          <w:rFonts w:ascii="Times New Roman" w:hAnsi="Times New Roman" w:cs="Times New Roman"/>
          <w:sz w:val="20"/>
          <w:szCs w:val="20"/>
          <w:lang w:val="en-US"/>
        </w:rPr>
        <w:t>2003</w:t>
      </w:r>
      <w:r>
        <w:rPr>
          <w:rFonts w:ascii="Times New Roman" w:hAnsi="Times New Roman" w:cs="Times New Roman"/>
          <w:sz w:val="20"/>
          <w:szCs w:val="20"/>
          <w:lang w:val="en-US"/>
        </w:rPr>
        <w:t>) 291,</w:t>
      </w:r>
      <w:r w:rsidRPr="00673685">
        <w:rPr>
          <w:rFonts w:ascii="Times New Roman" w:hAnsi="Times New Roman" w:cs="Times New Roman"/>
          <w:sz w:val="20"/>
          <w:szCs w:val="20"/>
          <w:lang w:val="en-US"/>
        </w:rPr>
        <w:t xml:space="preserve"> at 309.</w:t>
      </w:r>
    </w:p>
  </w:footnote>
  <w:footnote w:id="17">
    <w:p w14:paraId="41B76E25" w14:textId="77777777" w:rsidR="00085586" w:rsidRPr="008935F3" w:rsidRDefault="00085586" w:rsidP="00DF4AE9">
      <w:pPr>
        <w:autoSpaceDE w:val="0"/>
        <w:autoSpaceDN w:val="0"/>
        <w:adjustRightInd w:val="0"/>
        <w:spacing w:after="0" w:line="240" w:lineRule="auto"/>
        <w:jc w:val="both"/>
        <w:rPr>
          <w:rFonts w:ascii="Times New Roman" w:hAnsi="Times New Roman" w:cs="Times New Roman"/>
          <w:sz w:val="20"/>
          <w:szCs w:val="20"/>
          <w:lang w:val="en-US"/>
        </w:rPr>
      </w:pPr>
      <w:r w:rsidRPr="00DC2C8C">
        <w:rPr>
          <w:rStyle w:val="FootnoteReference"/>
          <w:rFonts w:ascii="Times New Roman" w:hAnsi="Times New Roman" w:cs="Times New Roman"/>
        </w:rPr>
        <w:footnoteRef/>
      </w:r>
      <w:r>
        <w:t xml:space="preserve"> </w:t>
      </w:r>
      <w:r w:rsidRPr="00B27618">
        <w:rPr>
          <w:rFonts w:ascii="Times New Roman" w:hAnsi="Times New Roman" w:cs="Times New Roman"/>
          <w:i/>
          <w:sz w:val="20"/>
          <w:szCs w:val="20"/>
          <w:lang w:val="en-US"/>
        </w:rPr>
        <w:t>Ibid.</w:t>
      </w:r>
      <w:r>
        <w:rPr>
          <w:rFonts w:ascii="Times New Roman" w:hAnsi="Times New Roman" w:cs="Times New Roman"/>
          <w:i/>
          <w:sz w:val="20"/>
          <w:szCs w:val="20"/>
          <w:lang w:val="en-US"/>
        </w:rPr>
        <w:t>,</w:t>
      </w:r>
      <w:r w:rsidRPr="00DF4AE9">
        <w:rPr>
          <w:rFonts w:ascii="Times New Roman" w:hAnsi="Times New Roman" w:cs="Times New Roman"/>
          <w:sz w:val="20"/>
          <w:szCs w:val="20"/>
          <w:lang w:val="en-US"/>
        </w:rPr>
        <w:t xml:space="preserve"> at 310.</w:t>
      </w:r>
    </w:p>
  </w:footnote>
  <w:footnote w:id="18">
    <w:p w14:paraId="35095BA8" w14:textId="77777777" w:rsidR="00085586" w:rsidRPr="00206E01" w:rsidRDefault="00085586">
      <w:pPr>
        <w:pStyle w:val="FootnoteText"/>
        <w:rPr>
          <w:lang w:val="en-US"/>
        </w:rPr>
      </w:pPr>
      <w:r>
        <w:rPr>
          <w:rStyle w:val="FootnoteReference"/>
        </w:rPr>
        <w:footnoteRef/>
      </w:r>
      <w:r>
        <w:t xml:space="preserve"> </w:t>
      </w:r>
      <w:r>
        <w:rPr>
          <w:lang w:val="en-US"/>
        </w:rPr>
        <w:t xml:space="preserve">Connors, </w:t>
      </w:r>
      <w:r w:rsidRPr="00206E01">
        <w:rPr>
          <w:i/>
          <w:lang w:val="en-US"/>
        </w:rPr>
        <w:t>supra</w:t>
      </w:r>
      <w:r>
        <w:rPr>
          <w:lang w:val="en-US"/>
        </w:rPr>
        <w:t xml:space="preserve"> note 4, at 621.</w:t>
      </w:r>
    </w:p>
  </w:footnote>
  <w:footnote w:id="19">
    <w:p w14:paraId="430E0A2E" w14:textId="7D8FAB8A" w:rsidR="00085586" w:rsidRPr="00D55F34" w:rsidRDefault="00085586" w:rsidP="0064101E">
      <w:pPr>
        <w:pStyle w:val="FootnoteText"/>
        <w:jc w:val="both"/>
        <w:rPr>
          <w:lang w:val="en-US"/>
        </w:rPr>
      </w:pPr>
      <w:r>
        <w:rPr>
          <w:rStyle w:val="FootnoteReference"/>
        </w:rPr>
        <w:footnoteRef/>
      </w:r>
      <w:r>
        <w:t xml:space="preserve"> </w:t>
      </w:r>
      <w:r>
        <w:rPr>
          <w:lang w:val="en-US"/>
        </w:rPr>
        <w:t xml:space="preserve">Isa, </w:t>
      </w:r>
      <w:r w:rsidRPr="00B27618">
        <w:rPr>
          <w:i/>
          <w:lang w:val="en-US"/>
        </w:rPr>
        <w:t>supra</w:t>
      </w:r>
      <w:r>
        <w:rPr>
          <w:lang w:val="en-US"/>
        </w:rPr>
        <w:t xml:space="preserve"> note 15, at 312.</w:t>
      </w:r>
    </w:p>
  </w:footnote>
  <w:footnote w:id="20">
    <w:p w14:paraId="0CA971DD" w14:textId="0BB4C027" w:rsidR="00085586" w:rsidRDefault="00085586" w:rsidP="00C52A08">
      <w:pPr>
        <w:pStyle w:val="FootnoteText"/>
        <w:jc w:val="both"/>
      </w:pPr>
      <w:r>
        <w:rPr>
          <w:rStyle w:val="FootnoteReference"/>
        </w:rPr>
        <w:footnoteRef/>
      </w:r>
      <w:r>
        <w:t xml:space="preserve"> The states concerned are Bangladesh, Belize, Colombia, and Cuba.</w:t>
      </w:r>
    </w:p>
  </w:footnote>
  <w:footnote w:id="21">
    <w:p w14:paraId="5B81D505" w14:textId="13265684" w:rsidR="00085586" w:rsidRDefault="00085586" w:rsidP="00276FFA">
      <w:pPr>
        <w:pStyle w:val="FootnoteText"/>
        <w:jc w:val="both"/>
      </w:pPr>
      <w:r>
        <w:rPr>
          <w:rStyle w:val="FootnoteReference"/>
        </w:rPr>
        <w:footnoteRef/>
      </w:r>
      <w:r>
        <w:t xml:space="preserve"> N. Reilly, </w:t>
      </w:r>
      <w:r w:rsidRPr="00486798">
        <w:rPr>
          <w:i/>
        </w:rPr>
        <w:t>Women’s Human Rights: Seeking Gender Justice in a Globalizing Age</w:t>
      </w:r>
      <w:r>
        <w:t xml:space="preserve"> (2009), at 37–38.</w:t>
      </w:r>
    </w:p>
  </w:footnote>
  <w:footnote w:id="22">
    <w:p w14:paraId="1ED60154" w14:textId="5E52C081" w:rsidR="00085586" w:rsidRDefault="00085586" w:rsidP="00F25331">
      <w:pPr>
        <w:pStyle w:val="FootnoteText"/>
        <w:jc w:val="both"/>
      </w:pPr>
      <w:r>
        <w:rPr>
          <w:rStyle w:val="FootnoteReference"/>
        </w:rPr>
        <w:footnoteRef/>
      </w:r>
      <w:r>
        <w:t xml:space="preserve"> Hoq, ‘The Women’s Convention and its Optional Protocol: Empowering Women to Claim their Internationally Protected Rights’, 32 </w:t>
      </w:r>
      <w:r w:rsidRPr="00E77A3D">
        <w:rPr>
          <w:i/>
        </w:rPr>
        <w:t>Columbia Hmn Rts L Rev</w:t>
      </w:r>
      <w:r>
        <w:t xml:space="preserve"> (2001) 677.  See also Afsharipour, ‘Empowering Ourselves: The Role of Women’s NGOs in the Enforcement of the Women’s Convention’, 99 </w:t>
      </w:r>
      <w:r w:rsidRPr="00591815">
        <w:rPr>
          <w:i/>
        </w:rPr>
        <w:t>Columbia L Rev</w:t>
      </w:r>
      <w:r>
        <w:t xml:space="preserve"> (1999) 129.</w:t>
      </w:r>
    </w:p>
  </w:footnote>
  <w:footnote w:id="23">
    <w:p w14:paraId="12FDA532" w14:textId="307B7F7B" w:rsidR="00085586" w:rsidRDefault="00085586" w:rsidP="00F25331">
      <w:pPr>
        <w:pStyle w:val="FootnoteText"/>
        <w:jc w:val="both"/>
      </w:pPr>
      <w:r>
        <w:rPr>
          <w:rStyle w:val="FootnoteReference"/>
        </w:rPr>
        <w:footnoteRef/>
      </w:r>
      <w:r>
        <w:t xml:space="preserve"> Sokhi-Bulley, ‘The Optional Protocol to CEDAW: First Steps’, 6 </w:t>
      </w:r>
      <w:r w:rsidRPr="003A3563">
        <w:rPr>
          <w:i/>
        </w:rPr>
        <w:t>Hmn Rts L Rev</w:t>
      </w:r>
      <w:r>
        <w:t xml:space="preserve"> (2006) 143, at 143.</w:t>
      </w:r>
    </w:p>
  </w:footnote>
  <w:footnote w:id="24">
    <w:p w14:paraId="27B7330D" w14:textId="192422A3" w:rsidR="00085586" w:rsidRDefault="00085586" w:rsidP="00A24271">
      <w:pPr>
        <w:pStyle w:val="FootnoteText"/>
        <w:jc w:val="both"/>
      </w:pPr>
      <w:r>
        <w:rPr>
          <w:rStyle w:val="FootnoteReference"/>
        </w:rPr>
        <w:footnoteRef/>
      </w:r>
      <w:r>
        <w:t xml:space="preserve"> H. Charlesworth and C. Chinkin, </w:t>
      </w:r>
      <w:r w:rsidRPr="00F02741">
        <w:rPr>
          <w:i/>
        </w:rPr>
        <w:t xml:space="preserve">The Boundaries of International Law: A Feminist Analysis </w:t>
      </w:r>
      <w:r>
        <w:t>(2000), at 218.</w:t>
      </w:r>
    </w:p>
  </w:footnote>
  <w:footnote w:id="25">
    <w:p w14:paraId="3A2E42EE" w14:textId="06D24D75" w:rsidR="00085586" w:rsidRDefault="00085586" w:rsidP="00A24271">
      <w:pPr>
        <w:pStyle w:val="FootnoteText"/>
        <w:jc w:val="both"/>
      </w:pPr>
      <w:r>
        <w:rPr>
          <w:rStyle w:val="FootnoteReference"/>
        </w:rPr>
        <w:footnoteRef/>
      </w:r>
      <w:r>
        <w:t xml:space="preserve"> For a discussion see, e.g., Binion, ‘Human Rights: A Feminist Perspective’, 17 </w:t>
      </w:r>
      <w:r w:rsidRPr="00544DD9">
        <w:rPr>
          <w:i/>
        </w:rPr>
        <w:t>Hmn Rts Q</w:t>
      </w:r>
      <w:r>
        <w:t xml:space="preserve"> (1995) 509.</w:t>
      </w:r>
    </w:p>
  </w:footnote>
  <w:footnote w:id="26">
    <w:p w14:paraId="1BCA69B2" w14:textId="2313DB62" w:rsidR="00085586" w:rsidRDefault="00085586" w:rsidP="00A24271">
      <w:pPr>
        <w:pStyle w:val="FootnoteText"/>
        <w:jc w:val="both"/>
      </w:pPr>
      <w:r>
        <w:rPr>
          <w:rStyle w:val="FootnoteReference"/>
        </w:rPr>
        <w:footnoteRef/>
      </w:r>
      <w:r>
        <w:t xml:space="preserve"> Lacey, ‘Feminist Legal Theory and the Rights of Women’, in K. Knop (ed.), </w:t>
      </w:r>
      <w:r w:rsidRPr="00203B55">
        <w:rPr>
          <w:i/>
        </w:rPr>
        <w:t>Gender and Human Rights</w:t>
      </w:r>
      <w:r>
        <w:t xml:space="preserve"> (2004), at 13, 22.</w:t>
      </w:r>
    </w:p>
  </w:footnote>
  <w:footnote w:id="27">
    <w:p w14:paraId="3F45A536" w14:textId="4BD401BD" w:rsidR="00085586" w:rsidRDefault="00085586" w:rsidP="00F25331">
      <w:pPr>
        <w:pStyle w:val="FootnoteText"/>
      </w:pPr>
      <w:r>
        <w:rPr>
          <w:rStyle w:val="FootnoteReference"/>
        </w:rPr>
        <w:footnoteRef/>
      </w:r>
      <w:r>
        <w:t xml:space="preserve"> Reilly, </w:t>
      </w:r>
      <w:r w:rsidRPr="003405EC">
        <w:rPr>
          <w:i/>
        </w:rPr>
        <w:t>supra</w:t>
      </w:r>
      <w:r>
        <w:t xml:space="preserve"> note 20, at 45.</w:t>
      </w:r>
    </w:p>
  </w:footnote>
  <w:footnote w:id="28">
    <w:p w14:paraId="6DDFD065" w14:textId="77777777" w:rsidR="00085586" w:rsidRPr="00206E01" w:rsidRDefault="00085586" w:rsidP="00206E01">
      <w:pPr>
        <w:pStyle w:val="FootnoteText"/>
        <w:jc w:val="both"/>
        <w:rPr>
          <w:lang w:val="en-US"/>
        </w:rPr>
      </w:pPr>
      <w:r>
        <w:rPr>
          <w:rStyle w:val="FootnoteReference"/>
        </w:rPr>
        <w:footnoteRef/>
      </w:r>
      <w:r>
        <w:t xml:space="preserve"> Chinkin and Freeman, </w:t>
      </w:r>
      <w:r>
        <w:rPr>
          <w:i/>
        </w:rPr>
        <w:t xml:space="preserve">supra </w:t>
      </w:r>
      <w:r w:rsidRPr="00DC2C8C">
        <w:t>note 12</w:t>
      </w:r>
      <w:r>
        <w:t>, at 25.</w:t>
      </w:r>
    </w:p>
  </w:footnote>
  <w:footnote w:id="29">
    <w:p w14:paraId="3E4AB358" w14:textId="55F81D37" w:rsidR="00085586" w:rsidRDefault="00085586" w:rsidP="00F25331">
      <w:pPr>
        <w:pStyle w:val="FootnoteText"/>
        <w:jc w:val="both"/>
      </w:pPr>
      <w:r>
        <w:rPr>
          <w:rStyle w:val="FootnoteReference"/>
        </w:rPr>
        <w:footnoteRef/>
      </w:r>
      <w:r>
        <w:t xml:space="preserve"> Roth, ‘The CEDAW as a Collective Approach to Women’s Rights’, 24 </w:t>
      </w:r>
      <w:r w:rsidRPr="00312FD5">
        <w:rPr>
          <w:i/>
        </w:rPr>
        <w:t>Michigan J Int</w:t>
      </w:r>
      <w:r>
        <w:rPr>
          <w:i/>
        </w:rPr>
        <w:t>’</w:t>
      </w:r>
      <w:r w:rsidRPr="00312FD5">
        <w:rPr>
          <w:i/>
        </w:rPr>
        <w:t>l L</w:t>
      </w:r>
      <w:r>
        <w:t xml:space="preserve"> (2002) 187, at 189–190.</w:t>
      </w:r>
    </w:p>
  </w:footnote>
  <w:footnote w:id="30">
    <w:p w14:paraId="52CF0C29" w14:textId="2A85AC36" w:rsidR="00085586" w:rsidRDefault="00085586" w:rsidP="00F25331">
      <w:pPr>
        <w:pStyle w:val="FootnoteText"/>
        <w:jc w:val="both"/>
      </w:pPr>
      <w:r>
        <w:rPr>
          <w:rStyle w:val="FootnoteReference"/>
        </w:rPr>
        <w:footnoteRef/>
      </w:r>
      <w:r>
        <w:t xml:space="preserve"> Reilly, </w:t>
      </w:r>
      <w:r>
        <w:rPr>
          <w:i/>
        </w:rPr>
        <w:t xml:space="preserve">supra </w:t>
      </w:r>
      <w:r>
        <w:t>note 20, at 44.</w:t>
      </w:r>
    </w:p>
  </w:footnote>
  <w:footnote w:id="31">
    <w:p w14:paraId="6C126EE3" w14:textId="652C564D" w:rsidR="00085586" w:rsidRDefault="00085586" w:rsidP="00F25331">
      <w:pPr>
        <w:pStyle w:val="FootnoteText"/>
        <w:jc w:val="both"/>
      </w:pPr>
      <w:r>
        <w:rPr>
          <w:rStyle w:val="FootnoteReference"/>
        </w:rPr>
        <w:footnoteRef/>
      </w:r>
      <w:r>
        <w:t xml:space="preserve"> Roth, </w:t>
      </w:r>
      <w:r w:rsidRPr="00C56A45">
        <w:rPr>
          <w:i/>
        </w:rPr>
        <w:t>supra</w:t>
      </w:r>
      <w:r>
        <w:t xml:space="preserve"> note 28, at 194.</w:t>
      </w:r>
    </w:p>
  </w:footnote>
  <w:footnote w:id="32">
    <w:p w14:paraId="1A34ED2F" w14:textId="6AD30E85" w:rsidR="00085586" w:rsidRDefault="00085586" w:rsidP="00F25331">
      <w:pPr>
        <w:pStyle w:val="FootnoteText"/>
      </w:pPr>
      <w:r>
        <w:rPr>
          <w:rStyle w:val="FootnoteReference"/>
        </w:rPr>
        <w:footnoteRef/>
      </w:r>
      <w:r>
        <w:t xml:space="preserve"> Reilly, </w:t>
      </w:r>
      <w:r>
        <w:rPr>
          <w:i/>
        </w:rPr>
        <w:t xml:space="preserve">supra </w:t>
      </w:r>
      <w:r>
        <w:t>note 20, at 29–30.</w:t>
      </w:r>
    </w:p>
  </w:footnote>
  <w:footnote w:id="33">
    <w:p w14:paraId="7B7BDB25" w14:textId="3DE0F83B" w:rsidR="00085586" w:rsidRPr="00123007" w:rsidRDefault="00085586" w:rsidP="00120A34">
      <w:pPr>
        <w:autoSpaceDE w:val="0"/>
        <w:autoSpaceDN w:val="0"/>
        <w:adjustRightInd w:val="0"/>
        <w:spacing w:after="0" w:line="240" w:lineRule="auto"/>
        <w:rPr>
          <w:rFonts w:ascii="Times New Roman" w:eastAsia="Times New Roman" w:hAnsi="Times New Roman" w:cs="Times New Roman"/>
          <w:sz w:val="20"/>
          <w:szCs w:val="20"/>
        </w:rPr>
      </w:pPr>
      <w:r>
        <w:rPr>
          <w:rStyle w:val="FootnoteReference"/>
        </w:rPr>
        <w:footnoteRef/>
      </w:r>
      <w:r>
        <w:t xml:space="preserve"> </w:t>
      </w:r>
      <w:r w:rsidRPr="00680E0A">
        <w:rPr>
          <w:rFonts w:ascii="Times New Roman" w:eastAsia="Times New Roman" w:hAnsi="Times New Roman" w:cs="Times New Roman"/>
          <w:i/>
          <w:sz w:val="20"/>
          <w:szCs w:val="20"/>
        </w:rPr>
        <w:t>A.T. v</w:t>
      </w:r>
      <w:r>
        <w:rPr>
          <w:rFonts w:ascii="Times New Roman" w:eastAsia="Times New Roman" w:hAnsi="Times New Roman" w:cs="Times New Roman"/>
          <w:i/>
          <w:sz w:val="20"/>
          <w:szCs w:val="20"/>
        </w:rPr>
        <w:t>.</w:t>
      </w:r>
      <w:r w:rsidRPr="00680E0A">
        <w:rPr>
          <w:rFonts w:ascii="Times New Roman" w:eastAsia="Times New Roman" w:hAnsi="Times New Roman" w:cs="Times New Roman"/>
          <w:i/>
          <w:sz w:val="20"/>
          <w:szCs w:val="20"/>
        </w:rPr>
        <w:t xml:space="preserve"> Hungary</w:t>
      </w:r>
      <w:r w:rsidRPr="00680E0A">
        <w:rPr>
          <w:rFonts w:ascii="Times New Roman" w:eastAsia="Times New Roman" w:hAnsi="Times New Roman" w:cs="Times New Roman"/>
          <w:sz w:val="20"/>
          <w:szCs w:val="20"/>
        </w:rPr>
        <w:t xml:space="preserve">, </w:t>
      </w:r>
      <w:r w:rsidRPr="00123007">
        <w:rPr>
          <w:rFonts w:ascii="Times New Roman" w:eastAsia="Times New Roman" w:hAnsi="Times New Roman" w:cs="Times New Roman"/>
          <w:sz w:val="20"/>
          <w:szCs w:val="20"/>
        </w:rPr>
        <w:t>Communication No. 2/2003, UN Doc. CEDAW/C/32/D/2/2003 (26 Jan</w:t>
      </w:r>
      <w:r>
        <w:rPr>
          <w:rFonts w:ascii="Times New Roman" w:eastAsia="Times New Roman" w:hAnsi="Times New Roman" w:cs="Times New Roman"/>
          <w:sz w:val="20"/>
          <w:szCs w:val="20"/>
        </w:rPr>
        <w:t>.</w:t>
      </w:r>
      <w:r w:rsidRPr="00123007">
        <w:rPr>
          <w:rFonts w:ascii="Times New Roman" w:eastAsia="Times New Roman" w:hAnsi="Times New Roman" w:cs="Times New Roman"/>
          <w:sz w:val="20"/>
          <w:szCs w:val="20"/>
        </w:rPr>
        <w:t xml:space="preserve"> 2005)</w:t>
      </w:r>
      <w:r>
        <w:rPr>
          <w:rFonts w:ascii="Times New Roman" w:eastAsia="Times New Roman" w:hAnsi="Times New Roman" w:cs="Times New Roman"/>
          <w:sz w:val="20"/>
          <w:szCs w:val="20"/>
        </w:rPr>
        <w:t>.</w:t>
      </w:r>
    </w:p>
  </w:footnote>
  <w:footnote w:id="34">
    <w:p w14:paraId="599307B0" w14:textId="7A9FC945" w:rsidR="00085586" w:rsidRPr="00DC2C8C" w:rsidRDefault="00085586">
      <w:pPr>
        <w:pStyle w:val="FootnoteText"/>
        <w:rPr>
          <w:lang w:val="es-ES_tradnl"/>
        </w:rPr>
      </w:pPr>
      <w:r>
        <w:rPr>
          <w:rStyle w:val="FootnoteReference"/>
        </w:rPr>
        <w:footnoteRef/>
      </w:r>
      <w:r w:rsidRPr="00DC2C8C">
        <w:rPr>
          <w:lang w:val="es-ES_tradnl"/>
        </w:rPr>
        <w:t xml:space="preserve"> </w:t>
      </w:r>
      <w:r>
        <w:rPr>
          <w:i/>
          <w:lang w:val="es-ES_tradnl"/>
        </w:rPr>
        <w:t xml:space="preserve">Ibid., </w:t>
      </w:r>
      <w:r>
        <w:rPr>
          <w:lang w:val="es-ES_tradnl"/>
        </w:rPr>
        <w:t>at p</w:t>
      </w:r>
      <w:r w:rsidRPr="00DC2C8C">
        <w:rPr>
          <w:lang w:val="es-ES_tradnl"/>
        </w:rPr>
        <w:t>ara. 9.3.</w:t>
      </w:r>
    </w:p>
  </w:footnote>
  <w:footnote w:id="35">
    <w:p w14:paraId="789ABE7B" w14:textId="5EF9541A" w:rsidR="00085586" w:rsidRPr="00DC2C8C" w:rsidRDefault="00085586" w:rsidP="00E27DE7">
      <w:pPr>
        <w:pStyle w:val="FootnoteText"/>
        <w:rPr>
          <w:lang w:val="es-ES_tradnl"/>
        </w:rPr>
      </w:pPr>
      <w:r>
        <w:rPr>
          <w:rStyle w:val="FootnoteReference"/>
        </w:rPr>
        <w:footnoteRef/>
      </w:r>
      <w:r w:rsidRPr="00DC2C8C">
        <w:rPr>
          <w:lang w:val="es-ES_tradnl"/>
        </w:rPr>
        <w:t xml:space="preserve"> </w:t>
      </w:r>
      <w:r>
        <w:rPr>
          <w:i/>
          <w:lang w:val="es-ES_tradnl"/>
        </w:rPr>
        <w:t>Ibid.</w:t>
      </w:r>
    </w:p>
  </w:footnote>
  <w:footnote w:id="36">
    <w:p w14:paraId="638A62D4" w14:textId="1E1C42FD" w:rsidR="00085586" w:rsidRPr="00DC2C8C" w:rsidRDefault="00085586">
      <w:pPr>
        <w:pStyle w:val="FootnoteText"/>
        <w:rPr>
          <w:lang w:val="es-ES_tradnl"/>
        </w:rPr>
      </w:pPr>
      <w:r>
        <w:rPr>
          <w:rStyle w:val="FootnoteReference"/>
        </w:rPr>
        <w:footnoteRef/>
      </w:r>
      <w:r w:rsidRPr="00DC2C8C">
        <w:rPr>
          <w:lang w:val="es-ES_tradnl"/>
        </w:rPr>
        <w:t xml:space="preserve"> </w:t>
      </w:r>
      <w:r>
        <w:rPr>
          <w:i/>
          <w:lang w:val="es-ES_tradnl"/>
        </w:rPr>
        <w:t xml:space="preserve">Ibid., </w:t>
      </w:r>
      <w:r w:rsidRPr="005B6796">
        <w:rPr>
          <w:lang w:val="es-ES_tradnl"/>
        </w:rPr>
        <w:t>at p</w:t>
      </w:r>
      <w:r w:rsidRPr="00DC2C8C">
        <w:rPr>
          <w:lang w:val="es-ES_tradnl"/>
        </w:rPr>
        <w:t>ara. 9.4.</w:t>
      </w:r>
    </w:p>
  </w:footnote>
  <w:footnote w:id="37">
    <w:p w14:paraId="4EFE3974" w14:textId="3D4299B6" w:rsidR="00085586" w:rsidRDefault="00085586">
      <w:pPr>
        <w:pStyle w:val="FootnoteText"/>
      </w:pPr>
      <w:r>
        <w:rPr>
          <w:rStyle w:val="FootnoteReference"/>
        </w:rPr>
        <w:footnoteRef/>
      </w:r>
      <w:r w:rsidRPr="00DC2C8C">
        <w:rPr>
          <w:lang w:val="es-ES_tradnl"/>
        </w:rPr>
        <w:t xml:space="preserve"> </w:t>
      </w:r>
      <w:r w:rsidRPr="00DC2C8C">
        <w:rPr>
          <w:color w:val="000000"/>
          <w:lang w:val="es-ES_tradnl"/>
        </w:rPr>
        <w:t xml:space="preserve">Communication No. 5/2005, UN Doc. </w:t>
      </w:r>
      <w:r>
        <w:rPr>
          <w:color w:val="000000"/>
        </w:rPr>
        <w:t>CEDAW/C/39/D/5/2005 (6 Aug. 2007).</w:t>
      </w:r>
    </w:p>
  </w:footnote>
  <w:footnote w:id="38">
    <w:p w14:paraId="09EEFA33" w14:textId="3F0F9EA1" w:rsidR="00085586" w:rsidRDefault="00085586">
      <w:pPr>
        <w:pStyle w:val="FootnoteText"/>
      </w:pPr>
      <w:r>
        <w:rPr>
          <w:rStyle w:val="FootnoteReference"/>
        </w:rPr>
        <w:footnoteRef/>
      </w:r>
      <w:r>
        <w:t xml:space="preserve"> </w:t>
      </w:r>
      <w:r>
        <w:rPr>
          <w:color w:val="000000"/>
        </w:rPr>
        <w:t>Communication No. 6/2005, UN Doc. CEDAW/C/39/D/6/2005 (1 Oct. 2007).</w:t>
      </w:r>
    </w:p>
  </w:footnote>
  <w:footnote w:id="39">
    <w:p w14:paraId="30012EF3" w14:textId="3652556B" w:rsidR="00085586" w:rsidRDefault="00085586" w:rsidP="00B57E08">
      <w:pPr>
        <w:pStyle w:val="FootnoteText"/>
        <w:jc w:val="both"/>
      </w:pPr>
      <w:r>
        <w:rPr>
          <w:rStyle w:val="FootnoteReference"/>
        </w:rPr>
        <w:footnoteRef/>
      </w:r>
      <w:r>
        <w:t xml:space="preserve"> For a detailed discussion of these cases see Byrnes and Bath, ‘</w:t>
      </w:r>
      <w:r w:rsidRPr="00B57E08">
        <w:t xml:space="preserve">Violence against Women, the Obligation of Due Diligence, and the Optional Protocol to the Convention on the Elimination of All Forms </w:t>
      </w:r>
      <w:r>
        <w:t xml:space="preserve">of Discrimination against Women: </w:t>
      </w:r>
      <w:r w:rsidRPr="00B57E08">
        <w:t>Recent Developments</w:t>
      </w:r>
      <w:r>
        <w:t xml:space="preserve">’, 8 </w:t>
      </w:r>
      <w:r w:rsidRPr="00B57E08">
        <w:rPr>
          <w:i/>
        </w:rPr>
        <w:t>Hmn Rts L Rev</w:t>
      </w:r>
      <w:r w:rsidRPr="00B57E08">
        <w:t xml:space="preserve"> (2008)</w:t>
      </w:r>
      <w:r>
        <w:t xml:space="preserve"> 517</w:t>
      </w:r>
      <w:r w:rsidRPr="00B57E08">
        <w:t>.</w:t>
      </w:r>
    </w:p>
  </w:footnote>
  <w:footnote w:id="40">
    <w:p w14:paraId="3872F180" w14:textId="0FA3CAC2" w:rsidR="00085586" w:rsidRPr="00206E01" w:rsidRDefault="00085586">
      <w:pPr>
        <w:pStyle w:val="FootnoteText"/>
        <w:rPr>
          <w:lang w:val="en-US"/>
        </w:rPr>
      </w:pPr>
      <w:r>
        <w:rPr>
          <w:rStyle w:val="FootnoteReference"/>
        </w:rPr>
        <w:footnoteRef/>
      </w:r>
      <w:r>
        <w:t xml:space="preserve"> </w:t>
      </w:r>
      <w:r>
        <w:rPr>
          <w:i/>
        </w:rPr>
        <w:t xml:space="preserve">Supra </w:t>
      </w:r>
      <w:r>
        <w:t>notes 36 and 37, at p</w:t>
      </w:r>
      <w:r>
        <w:rPr>
          <w:lang w:val="en-US"/>
        </w:rPr>
        <w:t>ara. 12.1.4 in both decisions.</w:t>
      </w:r>
    </w:p>
  </w:footnote>
  <w:footnote w:id="41">
    <w:p w14:paraId="2CA79172" w14:textId="19A622A3" w:rsidR="00085586" w:rsidRPr="005E59EA" w:rsidRDefault="00085586">
      <w:pPr>
        <w:pStyle w:val="FootnoteText"/>
        <w:rPr>
          <w:lang w:val="en-US"/>
        </w:rPr>
      </w:pPr>
      <w:r>
        <w:rPr>
          <w:rStyle w:val="FootnoteReference"/>
        </w:rPr>
        <w:footnoteRef/>
      </w:r>
      <w:r>
        <w:t xml:space="preserve"> </w:t>
      </w:r>
      <w:r>
        <w:rPr>
          <w:i/>
        </w:rPr>
        <w:t xml:space="preserve">Ibid., </w:t>
      </w:r>
      <w:r>
        <w:t>at p</w:t>
      </w:r>
      <w:r>
        <w:rPr>
          <w:lang w:val="en-US"/>
        </w:rPr>
        <w:t>ara. 12.1.5 in both decisions.</w:t>
      </w:r>
    </w:p>
  </w:footnote>
  <w:footnote w:id="42">
    <w:p w14:paraId="33838301" w14:textId="158B767F" w:rsidR="00085586" w:rsidRDefault="00085586">
      <w:pPr>
        <w:pStyle w:val="FootnoteText"/>
      </w:pPr>
      <w:r>
        <w:rPr>
          <w:rStyle w:val="FootnoteReference"/>
        </w:rPr>
        <w:footnoteRef/>
      </w:r>
      <w:r>
        <w:t xml:space="preserve"> </w:t>
      </w:r>
      <w:r>
        <w:rPr>
          <w:color w:val="000000"/>
        </w:rPr>
        <w:t>Communication No. 18/2008, UN Doc. CEDAW/C/46/D/18/2008 (22 Sept. 2010).</w:t>
      </w:r>
    </w:p>
  </w:footnote>
  <w:footnote w:id="43">
    <w:p w14:paraId="574586DE" w14:textId="224DB138" w:rsidR="00085586" w:rsidRDefault="00085586">
      <w:pPr>
        <w:pStyle w:val="FootnoteText"/>
      </w:pPr>
      <w:r>
        <w:rPr>
          <w:rStyle w:val="FootnoteReference"/>
        </w:rPr>
        <w:footnoteRef/>
      </w:r>
      <w:r>
        <w:t xml:space="preserve"> </w:t>
      </w:r>
      <w:r>
        <w:rPr>
          <w:i/>
        </w:rPr>
        <w:t xml:space="preserve">Ibid., </w:t>
      </w:r>
      <w:r>
        <w:t>at para. 8.5.</w:t>
      </w:r>
    </w:p>
  </w:footnote>
  <w:footnote w:id="44">
    <w:p w14:paraId="2153D3C2" w14:textId="199464F9" w:rsidR="00085586" w:rsidRPr="001B32E1" w:rsidRDefault="00085586" w:rsidP="001B32E1">
      <w:pPr>
        <w:pStyle w:val="FootnoteText"/>
      </w:pPr>
      <w:r>
        <w:rPr>
          <w:rStyle w:val="FootnoteReference"/>
        </w:rPr>
        <w:footnoteRef/>
      </w:r>
      <w:r w:rsidRPr="001B32E1">
        <w:rPr>
          <w:rStyle w:val="FootnoteReference"/>
        </w:rPr>
        <w:t xml:space="preserve"> </w:t>
      </w:r>
      <w:r w:rsidRPr="001B32E1">
        <w:t>Communication No. 4/2004, UN Doc. CEDAW/C/36/D/4/2004 (29 Aug</w:t>
      </w:r>
      <w:r>
        <w:t>.</w:t>
      </w:r>
      <w:r w:rsidRPr="001B32E1">
        <w:t xml:space="preserve"> 2006)</w:t>
      </w:r>
      <w:r>
        <w:t>.</w:t>
      </w:r>
    </w:p>
  </w:footnote>
  <w:footnote w:id="45">
    <w:p w14:paraId="27EF7C8A" w14:textId="778FAAC0" w:rsidR="00085586" w:rsidRPr="0022550B" w:rsidRDefault="00085586" w:rsidP="00A24271">
      <w:pPr>
        <w:autoSpaceDE w:val="0"/>
        <w:autoSpaceDN w:val="0"/>
        <w:adjustRightInd w:val="0"/>
        <w:spacing w:after="0" w:line="240" w:lineRule="auto"/>
        <w:jc w:val="both"/>
        <w:rPr>
          <w:rFonts w:ascii="Times New Roman" w:eastAsia="Times New Roman" w:hAnsi="Times New Roman" w:cs="Times New Roman"/>
          <w:sz w:val="20"/>
          <w:szCs w:val="20"/>
        </w:rPr>
      </w:pPr>
      <w:r>
        <w:rPr>
          <w:rStyle w:val="FootnoteReference"/>
        </w:rPr>
        <w:footnoteRef/>
      </w:r>
      <w:r>
        <w:t xml:space="preserve"> </w:t>
      </w:r>
      <w:r w:rsidRPr="0022550B">
        <w:rPr>
          <w:rFonts w:ascii="Times New Roman" w:eastAsia="Times New Roman" w:hAnsi="Times New Roman" w:cs="Times New Roman"/>
          <w:sz w:val="20"/>
          <w:szCs w:val="20"/>
        </w:rPr>
        <w:t>Ravnbøl</w:t>
      </w:r>
      <w:r>
        <w:rPr>
          <w:rFonts w:ascii="Times New Roman" w:eastAsia="Times New Roman" w:hAnsi="Times New Roman" w:cs="Times New Roman"/>
          <w:sz w:val="20"/>
          <w:szCs w:val="20"/>
        </w:rPr>
        <w:t>,</w:t>
      </w:r>
      <w:r w:rsidRPr="0022550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22550B">
        <w:rPr>
          <w:rFonts w:ascii="Times New Roman" w:eastAsia="Times New Roman" w:hAnsi="Times New Roman" w:cs="Times New Roman"/>
          <w:sz w:val="20"/>
          <w:szCs w:val="20"/>
        </w:rPr>
        <w:t>The Human Rights of Minority Women: Romani Women’s Rights from a Perspective on International Human Rights Law and Politics</w:t>
      </w:r>
      <w:r>
        <w:rPr>
          <w:rFonts w:ascii="Times New Roman" w:eastAsia="Times New Roman" w:hAnsi="Times New Roman" w:cs="Times New Roman"/>
          <w:sz w:val="20"/>
          <w:szCs w:val="20"/>
        </w:rPr>
        <w:t>’,</w:t>
      </w:r>
      <w:r w:rsidRPr="0022550B">
        <w:rPr>
          <w:rFonts w:ascii="Times New Roman" w:eastAsia="Times New Roman" w:hAnsi="Times New Roman" w:cs="Times New Roman"/>
          <w:sz w:val="20"/>
          <w:szCs w:val="20"/>
        </w:rPr>
        <w:t xml:space="preserve"> 17 </w:t>
      </w:r>
      <w:r w:rsidRPr="0022550B">
        <w:rPr>
          <w:rFonts w:ascii="Times New Roman" w:eastAsia="Times New Roman" w:hAnsi="Times New Roman" w:cs="Times New Roman"/>
          <w:i/>
          <w:sz w:val="20"/>
          <w:szCs w:val="20"/>
        </w:rPr>
        <w:t>Int</w:t>
      </w:r>
      <w:r>
        <w:rPr>
          <w:rFonts w:ascii="Times New Roman" w:eastAsia="Times New Roman" w:hAnsi="Times New Roman" w:cs="Times New Roman"/>
          <w:i/>
          <w:sz w:val="20"/>
          <w:szCs w:val="20"/>
        </w:rPr>
        <w:t>’</w:t>
      </w:r>
      <w:r w:rsidRPr="0022550B">
        <w:rPr>
          <w:rFonts w:ascii="Times New Roman" w:eastAsia="Times New Roman" w:hAnsi="Times New Roman" w:cs="Times New Roman"/>
          <w:i/>
          <w:sz w:val="20"/>
          <w:szCs w:val="20"/>
        </w:rPr>
        <w:t>l J on Minority and Group Rts</w:t>
      </w:r>
      <w:r w:rsidRPr="0022550B">
        <w:rPr>
          <w:rFonts w:ascii="Times New Roman" w:eastAsia="Times New Roman" w:hAnsi="Times New Roman" w:cs="Times New Roman"/>
          <w:sz w:val="20"/>
          <w:szCs w:val="20"/>
        </w:rPr>
        <w:t xml:space="preserve"> (2010) </w:t>
      </w:r>
      <w:r>
        <w:rPr>
          <w:rFonts w:ascii="Times New Roman" w:eastAsia="Times New Roman" w:hAnsi="Times New Roman" w:cs="Times New Roman"/>
          <w:sz w:val="20"/>
          <w:szCs w:val="20"/>
        </w:rPr>
        <w:t>1, at 26.</w:t>
      </w:r>
    </w:p>
  </w:footnote>
  <w:footnote w:id="46">
    <w:p w14:paraId="2989836A" w14:textId="5D96731F" w:rsidR="00085586" w:rsidRPr="001B32E1" w:rsidRDefault="00085586" w:rsidP="00A24271">
      <w:pPr>
        <w:pStyle w:val="FootnoteText"/>
        <w:jc w:val="both"/>
      </w:pPr>
      <w:r>
        <w:rPr>
          <w:rStyle w:val="FootnoteReference"/>
        </w:rPr>
        <w:footnoteRef/>
      </w:r>
      <w:r>
        <w:t xml:space="preserve"> </w:t>
      </w:r>
      <w:r w:rsidRPr="001B32E1">
        <w:t>Communication No. 17/2008, UN Doc. CEDAW/C/49/D/17/2008 (27 Sept</w:t>
      </w:r>
      <w:r>
        <w:t>.</w:t>
      </w:r>
      <w:r w:rsidRPr="001B32E1">
        <w:t xml:space="preserve"> 2011)</w:t>
      </w:r>
      <w:r>
        <w:t>.</w:t>
      </w:r>
    </w:p>
  </w:footnote>
  <w:footnote w:id="47">
    <w:p w14:paraId="1B8345B6" w14:textId="1BD7D4E4" w:rsidR="00085586" w:rsidRDefault="00085586" w:rsidP="00A24271">
      <w:pPr>
        <w:pStyle w:val="FootnoteText"/>
        <w:jc w:val="both"/>
      </w:pPr>
      <w:r w:rsidRPr="001B32E1">
        <w:rPr>
          <w:rStyle w:val="FootnoteReference"/>
        </w:rPr>
        <w:footnoteRef/>
      </w:r>
      <w:r w:rsidRPr="001B32E1">
        <w:rPr>
          <w:rStyle w:val="FootnoteReference"/>
        </w:rPr>
        <w:t xml:space="preserve"> </w:t>
      </w:r>
      <w:r w:rsidRPr="000F0495">
        <w:t xml:space="preserve">For a detailed discussion of this case see Cook and </w:t>
      </w:r>
      <w:r>
        <w:t xml:space="preserve">Dickens, ‘Upholding Pregnant Women’s Right to Life’, 117 </w:t>
      </w:r>
      <w:r w:rsidRPr="00476F29">
        <w:rPr>
          <w:i/>
        </w:rPr>
        <w:t>Int</w:t>
      </w:r>
      <w:r>
        <w:rPr>
          <w:i/>
        </w:rPr>
        <w:t>’</w:t>
      </w:r>
      <w:r w:rsidRPr="00476F29">
        <w:rPr>
          <w:i/>
        </w:rPr>
        <w:t>l J Gynecology and Obstetrics</w:t>
      </w:r>
      <w:r>
        <w:t xml:space="preserve"> </w:t>
      </w:r>
      <w:r w:rsidRPr="000F0495">
        <w:t>(2012)</w:t>
      </w:r>
      <w:r>
        <w:t xml:space="preserve"> 90.</w:t>
      </w:r>
    </w:p>
  </w:footnote>
  <w:footnote w:id="48">
    <w:p w14:paraId="1616268B" w14:textId="50FB3146" w:rsidR="00085586" w:rsidRDefault="00085586" w:rsidP="00F466A2">
      <w:pPr>
        <w:pStyle w:val="FootnoteText"/>
      </w:pPr>
      <w:r>
        <w:rPr>
          <w:rStyle w:val="FootnoteReference"/>
        </w:rPr>
        <w:footnoteRef/>
      </w:r>
      <w:r>
        <w:t xml:space="preserve"> </w:t>
      </w:r>
      <w:r w:rsidRPr="005B6796">
        <w:t>Latin-American and Caribbean Committee for the Defense of Women’s Rights</w:t>
      </w:r>
      <w:r w:rsidRPr="005B6796" w:rsidDel="004A4852">
        <w:t xml:space="preserve"> </w:t>
      </w:r>
      <w:r w:rsidRPr="005B6796">
        <w:rPr>
          <w:i/>
        </w:rPr>
        <w:t>amicus curiae</w:t>
      </w:r>
      <w:r w:rsidRPr="005B6796">
        <w:t xml:space="preserve"> brief</w:t>
      </w:r>
      <w:r>
        <w:t xml:space="preserve"> submitted in the Alyne da Silva Pimentel case, at 7. Available at: </w:t>
      </w:r>
      <w:r w:rsidRPr="004A4852">
        <w:t xml:space="preserve">http://opcedaw.files.wordpress.com/2012/01/alyne-da-silva-v-brazil-cladem-amicus-curiae-brief.pdf </w:t>
      </w:r>
      <w:r w:rsidRPr="005B6796">
        <w:t>(accessed 16 March 2014)</w:t>
      </w:r>
      <w:r>
        <w:t>.</w:t>
      </w:r>
    </w:p>
  </w:footnote>
  <w:footnote w:id="49">
    <w:p w14:paraId="6AD16AA6" w14:textId="4F9E270A" w:rsidR="00085586" w:rsidRPr="00DC2C8C" w:rsidRDefault="00085586">
      <w:pPr>
        <w:pStyle w:val="FootnoteText"/>
        <w:rPr>
          <w:lang w:val="es-ES_tradnl"/>
        </w:rPr>
      </w:pPr>
      <w:r>
        <w:rPr>
          <w:rStyle w:val="FootnoteReference"/>
        </w:rPr>
        <w:footnoteRef/>
      </w:r>
      <w:r w:rsidRPr="00DC2C8C">
        <w:rPr>
          <w:lang w:val="es-ES_tradnl"/>
        </w:rPr>
        <w:t xml:space="preserve"> </w:t>
      </w:r>
      <w:r>
        <w:rPr>
          <w:i/>
          <w:lang w:val="es-ES_tradnl"/>
        </w:rPr>
        <w:t xml:space="preserve">Supra </w:t>
      </w:r>
      <w:r>
        <w:rPr>
          <w:lang w:val="es-ES_tradnl"/>
        </w:rPr>
        <w:t>note 45, at p</w:t>
      </w:r>
      <w:r w:rsidRPr="00DC2C8C">
        <w:rPr>
          <w:lang w:val="es-ES_tradnl"/>
        </w:rPr>
        <w:t>ara. 7.3.</w:t>
      </w:r>
    </w:p>
  </w:footnote>
  <w:footnote w:id="50">
    <w:p w14:paraId="7EF55F6E" w14:textId="014C97F5" w:rsidR="00085586" w:rsidRPr="00DC2C8C" w:rsidRDefault="00085586">
      <w:pPr>
        <w:pStyle w:val="FootnoteText"/>
        <w:rPr>
          <w:lang w:val="es-ES_tradnl"/>
        </w:rPr>
      </w:pPr>
      <w:r>
        <w:rPr>
          <w:rStyle w:val="FootnoteReference"/>
        </w:rPr>
        <w:footnoteRef/>
      </w:r>
      <w:r w:rsidRPr="00DC2C8C">
        <w:rPr>
          <w:lang w:val="es-ES_tradnl"/>
        </w:rPr>
        <w:t xml:space="preserve"> </w:t>
      </w:r>
      <w:r>
        <w:rPr>
          <w:i/>
          <w:lang w:val="es-ES_tradnl"/>
        </w:rPr>
        <w:t xml:space="preserve">Ibid., </w:t>
      </w:r>
      <w:r>
        <w:rPr>
          <w:lang w:val="es-ES_tradnl"/>
        </w:rPr>
        <w:t>at p</w:t>
      </w:r>
      <w:r w:rsidRPr="00DC2C8C">
        <w:rPr>
          <w:lang w:val="es-ES_tradnl"/>
        </w:rPr>
        <w:t>ara. 7.5.</w:t>
      </w:r>
    </w:p>
  </w:footnote>
  <w:footnote w:id="51">
    <w:p w14:paraId="265B0C5A" w14:textId="726E4600" w:rsidR="00085586" w:rsidRPr="00DC2C8C" w:rsidRDefault="00085586">
      <w:pPr>
        <w:pStyle w:val="FootnoteText"/>
        <w:rPr>
          <w:lang w:val="es-ES_tradnl"/>
        </w:rPr>
      </w:pPr>
      <w:r>
        <w:rPr>
          <w:rStyle w:val="FootnoteReference"/>
        </w:rPr>
        <w:footnoteRef/>
      </w:r>
      <w:r w:rsidRPr="00DC2C8C">
        <w:rPr>
          <w:lang w:val="es-ES_tradnl"/>
        </w:rPr>
        <w:t xml:space="preserve"> </w:t>
      </w:r>
      <w:r>
        <w:rPr>
          <w:i/>
          <w:lang w:val="es-ES_tradnl"/>
        </w:rPr>
        <w:t xml:space="preserve">Ibid., </w:t>
      </w:r>
      <w:r>
        <w:rPr>
          <w:lang w:val="es-ES_tradnl"/>
        </w:rPr>
        <w:t>at p</w:t>
      </w:r>
      <w:r w:rsidRPr="00DC2C8C">
        <w:rPr>
          <w:lang w:val="es-ES_tradnl"/>
        </w:rPr>
        <w:t>ara.7.6.</w:t>
      </w:r>
    </w:p>
  </w:footnote>
  <w:footnote w:id="52">
    <w:p w14:paraId="0DF5A93F" w14:textId="0B807074" w:rsidR="00085586" w:rsidRPr="00DC2C8C" w:rsidRDefault="00085586">
      <w:pPr>
        <w:pStyle w:val="FootnoteText"/>
        <w:rPr>
          <w:lang w:val="es-ES_tradnl"/>
        </w:rPr>
      </w:pPr>
      <w:r>
        <w:rPr>
          <w:rStyle w:val="FootnoteReference"/>
        </w:rPr>
        <w:footnoteRef/>
      </w:r>
      <w:r w:rsidRPr="00DC2C8C">
        <w:rPr>
          <w:lang w:val="es-ES_tradnl"/>
        </w:rPr>
        <w:t xml:space="preserve"> </w:t>
      </w:r>
      <w:r>
        <w:rPr>
          <w:i/>
          <w:lang w:val="es-ES_tradnl"/>
        </w:rPr>
        <w:t xml:space="preserve">Ibid., </w:t>
      </w:r>
      <w:r>
        <w:rPr>
          <w:lang w:val="es-ES_tradnl"/>
        </w:rPr>
        <w:t>at p</w:t>
      </w:r>
      <w:r w:rsidRPr="00DC2C8C">
        <w:rPr>
          <w:lang w:val="es-ES_tradnl"/>
        </w:rPr>
        <w:t>ara. 7.7.</w:t>
      </w:r>
    </w:p>
  </w:footnote>
  <w:footnote w:id="53">
    <w:p w14:paraId="246A937B" w14:textId="5966DA4C" w:rsidR="00085586" w:rsidRDefault="00085586" w:rsidP="00577484">
      <w:pPr>
        <w:pStyle w:val="FootnoteText"/>
      </w:pPr>
      <w:r>
        <w:rPr>
          <w:rStyle w:val="FootnoteReference"/>
        </w:rPr>
        <w:footnoteRef/>
      </w:r>
      <w:r w:rsidRPr="00DC2C8C">
        <w:rPr>
          <w:lang w:val="es-ES_tradnl"/>
        </w:rPr>
        <w:t xml:space="preserve"> </w:t>
      </w:r>
      <w:r w:rsidRPr="00DC2C8C">
        <w:rPr>
          <w:color w:val="000000"/>
          <w:lang w:val="es-ES_tradnl"/>
        </w:rPr>
        <w:t xml:space="preserve">Communication No. 23/2009, UN Doc. </w:t>
      </w:r>
      <w:r>
        <w:rPr>
          <w:color w:val="000000"/>
        </w:rPr>
        <w:t>CEDAW/C/49/23/2009 (27 Sept. 2011).</w:t>
      </w:r>
    </w:p>
  </w:footnote>
  <w:footnote w:id="54">
    <w:p w14:paraId="27A89500" w14:textId="77777777" w:rsidR="00085586" w:rsidRPr="00EC4B86" w:rsidRDefault="00085586" w:rsidP="00CB1892">
      <w:pPr>
        <w:pStyle w:val="FootnoteText"/>
      </w:pPr>
      <w:r w:rsidRPr="00EC4B86">
        <w:rPr>
          <w:rStyle w:val="FootnoteReference"/>
        </w:rPr>
        <w:footnoteRef/>
      </w:r>
      <w:r w:rsidRPr="00EC4B86">
        <w:rPr>
          <w:rStyle w:val="FootnoteReference"/>
        </w:rPr>
        <w:t xml:space="preserve"> </w:t>
      </w:r>
      <w:r w:rsidRPr="00EC4B86">
        <w:t>Communication No. 1/2003, UN Doc. CEDAW/C/36/D/1/2003 (14 July 2004)</w:t>
      </w:r>
      <w:r>
        <w:t>.</w:t>
      </w:r>
    </w:p>
  </w:footnote>
  <w:footnote w:id="55">
    <w:p w14:paraId="0968E723" w14:textId="77777777" w:rsidR="00085586" w:rsidRPr="00206E01" w:rsidRDefault="00085586">
      <w:pPr>
        <w:pStyle w:val="FootnoteText"/>
        <w:rPr>
          <w:lang w:val="en-US"/>
        </w:rPr>
      </w:pPr>
      <w:r>
        <w:rPr>
          <w:rStyle w:val="FootnoteReference"/>
        </w:rPr>
        <w:footnoteRef/>
      </w:r>
      <w:r>
        <w:t xml:space="preserve"> </w:t>
      </w:r>
      <w:r>
        <w:rPr>
          <w:lang w:val="en-US"/>
        </w:rPr>
        <w:t>Dissenting opinion by Krisztina Morvai and Meriem Belmihoub-Zerdani.</w:t>
      </w:r>
    </w:p>
  </w:footnote>
  <w:footnote w:id="56">
    <w:p w14:paraId="1877DDCB" w14:textId="77777777" w:rsidR="00085586" w:rsidRPr="00206E01" w:rsidRDefault="00085586">
      <w:pPr>
        <w:pStyle w:val="FootnoteText"/>
        <w:rPr>
          <w:lang w:val="en-US"/>
        </w:rPr>
      </w:pPr>
      <w:r>
        <w:rPr>
          <w:rStyle w:val="FootnoteReference"/>
        </w:rPr>
        <w:footnoteRef/>
      </w:r>
      <w:r>
        <w:rPr>
          <w:lang w:val="en-US"/>
        </w:rPr>
        <w:t xml:space="preserve"> Connors, </w:t>
      </w:r>
      <w:r w:rsidRPr="005B6796">
        <w:rPr>
          <w:i/>
          <w:lang w:val="en-US"/>
        </w:rPr>
        <w:t>supra</w:t>
      </w:r>
      <w:r>
        <w:rPr>
          <w:lang w:val="en-US"/>
        </w:rPr>
        <w:t xml:space="preserve"> note 4, at 639.  See also A. Facio, </w:t>
      </w:r>
      <w:r w:rsidRPr="00206E01">
        <w:rPr>
          <w:i/>
          <w:lang w:val="en-US"/>
        </w:rPr>
        <w:t>The Optional Protocol as a Mechanisms for Implementing Women’s Human Rights: An Analysis of the First Five Cases Under the Communications Procedure of OP-CEDAW</w:t>
      </w:r>
      <w:r>
        <w:rPr>
          <w:lang w:val="en-US"/>
        </w:rPr>
        <w:t>,</w:t>
      </w:r>
      <w:r w:rsidRPr="00206E01">
        <w:rPr>
          <w:i/>
          <w:lang w:val="en-US"/>
        </w:rPr>
        <w:t xml:space="preserve"> </w:t>
      </w:r>
      <w:r>
        <w:rPr>
          <w:lang w:val="en-US"/>
        </w:rPr>
        <w:t xml:space="preserve">IWRAW Asia Pacific Occasional Papers Series No. 12 (2008).  </w:t>
      </w:r>
    </w:p>
  </w:footnote>
  <w:footnote w:id="57">
    <w:p w14:paraId="49847170" w14:textId="59D16C60" w:rsidR="00085586" w:rsidRDefault="00085586">
      <w:pPr>
        <w:pStyle w:val="FootnoteText"/>
      </w:pPr>
      <w:r>
        <w:rPr>
          <w:rStyle w:val="FootnoteReference"/>
        </w:rPr>
        <w:footnoteRef/>
      </w:r>
      <w:r>
        <w:t xml:space="preserve"> </w:t>
      </w:r>
      <w:r>
        <w:rPr>
          <w:color w:val="000000"/>
        </w:rPr>
        <w:t>Communication No. 3/2004, UN Doc. CEDAW/C/36/D/3/2004 (29 Aug. 2006).</w:t>
      </w:r>
    </w:p>
  </w:footnote>
  <w:footnote w:id="58">
    <w:p w14:paraId="7900B478" w14:textId="523785C0" w:rsidR="00085586" w:rsidRDefault="00085586">
      <w:pPr>
        <w:pStyle w:val="FootnoteText"/>
      </w:pPr>
      <w:r>
        <w:rPr>
          <w:rStyle w:val="FootnoteReference"/>
        </w:rPr>
        <w:footnoteRef/>
      </w:r>
      <w:r>
        <w:t xml:space="preserve"> </w:t>
      </w:r>
      <w:r>
        <w:rPr>
          <w:i/>
        </w:rPr>
        <w:t xml:space="preserve">Ibid., </w:t>
      </w:r>
      <w:r>
        <w:t>at para. 10.2.</w:t>
      </w:r>
    </w:p>
  </w:footnote>
  <w:footnote w:id="59">
    <w:p w14:paraId="2B18572E" w14:textId="77777777" w:rsidR="00085586" w:rsidRDefault="00085586" w:rsidP="00B94548">
      <w:pPr>
        <w:pStyle w:val="FootnoteText"/>
      </w:pPr>
      <w:r w:rsidRPr="00B0557B">
        <w:rPr>
          <w:rStyle w:val="FootnoteReference"/>
        </w:rPr>
        <w:footnoteRef/>
      </w:r>
      <w:r w:rsidRPr="00B0557B">
        <w:rPr>
          <w:rStyle w:val="FootnoteReference"/>
        </w:rPr>
        <w:t xml:space="preserve"> </w:t>
      </w:r>
      <w:r w:rsidRPr="00B0557B">
        <w:t>Communication No. 8/2005, UN Doc. CEDAW/C/34/D/8/2005 (2006)</w:t>
      </w:r>
      <w:r>
        <w:t>.</w:t>
      </w:r>
    </w:p>
  </w:footnote>
  <w:footnote w:id="60">
    <w:p w14:paraId="5FD555A7" w14:textId="550CF0C6" w:rsidR="00085586" w:rsidRDefault="00085586" w:rsidP="00F25331">
      <w:pPr>
        <w:widowControl w:val="0"/>
        <w:autoSpaceDE w:val="0"/>
        <w:autoSpaceDN w:val="0"/>
        <w:adjustRightInd w:val="0"/>
        <w:spacing w:after="0" w:line="240" w:lineRule="auto"/>
      </w:pPr>
      <w:r>
        <w:rPr>
          <w:rStyle w:val="FootnoteReference"/>
        </w:rPr>
        <w:footnoteRef/>
      </w:r>
      <w:r>
        <w:t xml:space="preserve"> </w:t>
      </w:r>
      <w:r>
        <w:rPr>
          <w:rFonts w:ascii="Times New Roman" w:hAnsi="Times New Roman" w:cs="Times New Roman"/>
          <w:sz w:val="20"/>
          <w:szCs w:val="20"/>
        </w:rPr>
        <w:t xml:space="preserve">App.No. 44774/98, </w:t>
      </w:r>
      <w:r w:rsidRPr="00203203">
        <w:rPr>
          <w:rFonts w:ascii="Times New Roman" w:eastAsia="Times New Roman" w:hAnsi="Times New Roman" w:cs="Times New Roman"/>
          <w:i/>
          <w:sz w:val="20"/>
          <w:szCs w:val="20"/>
        </w:rPr>
        <w:t>Leyla Sahin v</w:t>
      </w:r>
      <w:r>
        <w:rPr>
          <w:rFonts w:ascii="Times New Roman" w:eastAsia="Times New Roman" w:hAnsi="Times New Roman" w:cs="Times New Roman"/>
          <w:i/>
          <w:sz w:val="20"/>
          <w:szCs w:val="20"/>
        </w:rPr>
        <w:t>.</w:t>
      </w:r>
      <w:r w:rsidRPr="00203203">
        <w:rPr>
          <w:rFonts w:ascii="Times New Roman" w:eastAsia="Times New Roman" w:hAnsi="Times New Roman" w:cs="Times New Roman"/>
          <w:i/>
          <w:sz w:val="20"/>
          <w:szCs w:val="20"/>
        </w:rPr>
        <w:t xml:space="preserve"> Turkey</w:t>
      </w:r>
      <w:r w:rsidRPr="00203203">
        <w:rPr>
          <w:rFonts w:ascii="Times New Roman" w:eastAsia="Times New Roman" w:hAnsi="Times New Roman" w:cs="Times New Roman"/>
          <w:sz w:val="20"/>
          <w:szCs w:val="20"/>
        </w:rPr>
        <w:t>, Judgment of 10 Nov</w:t>
      </w:r>
      <w:r>
        <w:rPr>
          <w:rFonts w:ascii="Times New Roman" w:eastAsia="Times New Roman" w:hAnsi="Times New Roman" w:cs="Times New Roman"/>
          <w:sz w:val="20"/>
          <w:szCs w:val="20"/>
        </w:rPr>
        <w:t>.</w:t>
      </w:r>
      <w:r w:rsidRPr="00203203">
        <w:rPr>
          <w:rFonts w:ascii="Times New Roman" w:eastAsia="Times New Roman" w:hAnsi="Times New Roman" w:cs="Times New Roman"/>
          <w:sz w:val="20"/>
          <w:szCs w:val="20"/>
        </w:rPr>
        <w:t xml:space="preserve"> 2005 (2007) 44 EHRR 5 (Grand Chamber). </w:t>
      </w:r>
    </w:p>
  </w:footnote>
  <w:footnote w:id="61">
    <w:p w14:paraId="1643CE9F" w14:textId="6C7DB684" w:rsidR="00085586" w:rsidRPr="00206E01" w:rsidRDefault="00085586">
      <w:pPr>
        <w:pStyle w:val="FootnoteText"/>
        <w:rPr>
          <w:lang w:val="en-US"/>
        </w:rPr>
      </w:pPr>
      <w:r>
        <w:rPr>
          <w:rStyle w:val="FootnoteReference"/>
        </w:rPr>
        <w:footnoteRef/>
      </w:r>
      <w:r>
        <w:t xml:space="preserve"> </w:t>
      </w:r>
      <w:r>
        <w:rPr>
          <w:lang w:val="en-US"/>
        </w:rPr>
        <w:t xml:space="preserve">Facio, </w:t>
      </w:r>
      <w:r w:rsidRPr="00206E01">
        <w:rPr>
          <w:i/>
          <w:lang w:val="en-US"/>
        </w:rPr>
        <w:t>supra</w:t>
      </w:r>
      <w:r>
        <w:rPr>
          <w:lang w:val="en-US"/>
        </w:rPr>
        <w:t xml:space="preserve"> note 55, at 40.</w:t>
      </w:r>
    </w:p>
  </w:footnote>
  <w:footnote w:id="62">
    <w:p w14:paraId="425A7344" w14:textId="2DCFD6F2" w:rsidR="00085586" w:rsidRPr="00BE55E8" w:rsidRDefault="00085586" w:rsidP="00BE55E8">
      <w:pPr>
        <w:pStyle w:val="FootnoteText"/>
      </w:pPr>
      <w:r w:rsidRPr="00BE55E8">
        <w:rPr>
          <w:rStyle w:val="FootnoteReference"/>
        </w:rPr>
        <w:footnoteRef/>
      </w:r>
      <w:r w:rsidRPr="00BE55E8">
        <w:rPr>
          <w:rStyle w:val="FootnoteReference"/>
        </w:rPr>
        <w:t xml:space="preserve"> </w:t>
      </w:r>
      <w:r w:rsidRPr="00BE55E8">
        <w:t>Communication No. 28/2010, UN Doc. CEDAW/C/51/D/28/2010 (13 Apr</w:t>
      </w:r>
      <w:r>
        <w:t>.</w:t>
      </w:r>
      <w:r w:rsidRPr="00BE55E8">
        <w:t xml:space="preserve"> 2012)</w:t>
      </w:r>
      <w:r>
        <w:t>.</w:t>
      </w:r>
    </w:p>
  </w:footnote>
  <w:footnote w:id="63">
    <w:p w14:paraId="2304D8D0" w14:textId="1975D875" w:rsidR="00085586" w:rsidRDefault="00085586">
      <w:pPr>
        <w:pStyle w:val="FootnoteText"/>
      </w:pPr>
      <w:r>
        <w:rPr>
          <w:rStyle w:val="FootnoteReference"/>
        </w:rPr>
        <w:footnoteRef/>
      </w:r>
      <w:r>
        <w:t xml:space="preserve"> </w:t>
      </w:r>
      <w:r>
        <w:rPr>
          <w:i/>
        </w:rPr>
        <w:t xml:space="preserve">Ibid., </w:t>
      </w:r>
      <w:r>
        <w:t>at para. 8.8.</w:t>
      </w:r>
    </w:p>
  </w:footnote>
  <w:footnote w:id="64">
    <w:p w14:paraId="0BFE66A0" w14:textId="58FDD279" w:rsidR="00085586" w:rsidRPr="009D217F" w:rsidRDefault="00085586">
      <w:pPr>
        <w:pStyle w:val="FootnoteText"/>
      </w:pPr>
      <w:r>
        <w:rPr>
          <w:rStyle w:val="FootnoteReference"/>
        </w:rPr>
        <w:footnoteRef/>
      </w:r>
      <w:r>
        <w:t xml:space="preserve"> </w:t>
      </w:r>
      <w:r w:rsidRPr="009D217F">
        <w:rPr>
          <w:bCs/>
        </w:rPr>
        <w:t>Communication No. 15/2007, UN Doc. CEDAW/C/42/D/15/2007 (26 Oct</w:t>
      </w:r>
      <w:r>
        <w:rPr>
          <w:bCs/>
        </w:rPr>
        <w:t>.</w:t>
      </w:r>
      <w:r w:rsidRPr="009D217F">
        <w:rPr>
          <w:bCs/>
        </w:rPr>
        <w:t xml:space="preserve"> 2009)</w:t>
      </w:r>
      <w:r>
        <w:t>.</w:t>
      </w:r>
    </w:p>
  </w:footnote>
  <w:footnote w:id="65">
    <w:p w14:paraId="39B3D168" w14:textId="77777777" w:rsidR="00085586" w:rsidRPr="00F25331" w:rsidRDefault="00085586" w:rsidP="00DE5975">
      <w:pPr>
        <w:pStyle w:val="FootnoteText"/>
        <w:jc w:val="both"/>
      </w:pPr>
      <w:r>
        <w:rPr>
          <w:rStyle w:val="FootnoteReference"/>
        </w:rPr>
        <w:footnoteRef/>
      </w:r>
      <w:r>
        <w:t xml:space="preserve"> </w:t>
      </w:r>
      <w:r>
        <w:rPr>
          <w:color w:val="000000"/>
        </w:rPr>
        <w:t>Communication No. 10/2005, UN Doc. CEDAW/C/38/D/10/2005 (12 June 2007), at para. 2.13.</w:t>
      </w:r>
    </w:p>
  </w:footnote>
  <w:footnote w:id="66">
    <w:p w14:paraId="42754EFC" w14:textId="041E8574" w:rsidR="00085586" w:rsidRPr="00A175C2" w:rsidRDefault="00085586" w:rsidP="00DE5975">
      <w:pPr>
        <w:pStyle w:val="FootnoteText"/>
        <w:jc w:val="both"/>
      </w:pPr>
      <w:r>
        <w:rPr>
          <w:rStyle w:val="FootnoteReference"/>
        </w:rPr>
        <w:footnoteRef/>
      </w:r>
      <w:r>
        <w:t xml:space="preserve"> </w:t>
      </w:r>
      <w:r w:rsidRPr="00D656AA">
        <w:rPr>
          <w:i/>
          <w:iCs/>
        </w:rPr>
        <w:t>Guadalupe Herrera Rivera v</w:t>
      </w:r>
      <w:r>
        <w:rPr>
          <w:i/>
          <w:iCs/>
        </w:rPr>
        <w:t>.</w:t>
      </w:r>
      <w:r w:rsidRPr="00D656AA">
        <w:rPr>
          <w:i/>
          <w:iCs/>
        </w:rPr>
        <w:t xml:space="preserve"> Canada</w:t>
      </w:r>
      <w:r>
        <w:rPr>
          <w:i/>
          <w:iCs/>
        </w:rPr>
        <w:t>,</w:t>
      </w:r>
      <w:r w:rsidRPr="00D656AA">
        <w:rPr>
          <w:i/>
          <w:iCs/>
        </w:rPr>
        <w:t xml:space="preserve"> </w:t>
      </w:r>
      <w:r w:rsidRPr="00D656AA">
        <w:t>Communication No. 26/2010</w:t>
      </w:r>
      <w:r>
        <w:t>, UN Doc. CEDAW/C/50/D/26/2010 (</w:t>
      </w:r>
      <w:r w:rsidRPr="00D656AA">
        <w:t>30 Nov</w:t>
      </w:r>
      <w:r>
        <w:t>.</w:t>
      </w:r>
      <w:r w:rsidRPr="00D656AA">
        <w:t xml:space="preserve"> 2011), </w:t>
      </w:r>
      <w:r w:rsidRPr="00D656AA">
        <w:rPr>
          <w:i/>
        </w:rPr>
        <w:t>M.P.M. v</w:t>
      </w:r>
      <w:r>
        <w:rPr>
          <w:i/>
        </w:rPr>
        <w:t>.</w:t>
      </w:r>
      <w:r w:rsidRPr="00D656AA">
        <w:rPr>
          <w:i/>
        </w:rPr>
        <w:t xml:space="preserve"> Canada</w:t>
      </w:r>
      <w:r>
        <w:rPr>
          <w:i/>
        </w:rPr>
        <w:t>,</w:t>
      </w:r>
      <w:r w:rsidRPr="00D656AA">
        <w:t xml:space="preserve"> Communication No. 25/201</w:t>
      </w:r>
      <w:r>
        <w:t xml:space="preserve">0, UN Doc. CEDAW/C/51/D/25/2010 </w:t>
      </w:r>
      <w:r w:rsidRPr="00D656AA">
        <w:t>(13 Apr</w:t>
      </w:r>
      <w:r>
        <w:t>.</w:t>
      </w:r>
      <w:r w:rsidRPr="00D656AA">
        <w:t xml:space="preserve"> 2012)</w:t>
      </w:r>
      <w:r w:rsidRPr="00D656AA">
        <w:rPr>
          <w:bCs/>
        </w:rPr>
        <w:t>.</w:t>
      </w:r>
    </w:p>
  </w:footnote>
  <w:footnote w:id="67">
    <w:p w14:paraId="2963E8F9" w14:textId="21F25A08" w:rsidR="00085586" w:rsidRDefault="00085586">
      <w:pPr>
        <w:pStyle w:val="FootnoteText"/>
      </w:pPr>
      <w:r>
        <w:rPr>
          <w:rStyle w:val="FootnoteReference"/>
        </w:rPr>
        <w:footnoteRef/>
      </w:r>
      <w:r>
        <w:t xml:space="preserve"> </w:t>
      </w:r>
      <w:r>
        <w:rPr>
          <w:color w:val="000000"/>
        </w:rPr>
        <w:t>Communication No. 7/2005, UN Doc. CEDAW/C/39/D/7/2005 (9 Aug. 2007).</w:t>
      </w:r>
    </w:p>
  </w:footnote>
  <w:footnote w:id="68">
    <w:p w14:paraId="78ED609C" w14:textId="6974A2CB" w:rsidR="00085586" w:rsidRPr="00206E01" w:rsidRDefault="00085586">
      <w:pPr>
        <w:pStyle w:val="FootnoteText"/>
        <w:rPr>
          <w:lang w:val="en-US"/>
        </w:rPr>
      </w:pPr>
      <w:r>
        <w:rPr>
          <w:rStyle w:val="FootnoteReference"/>
        </w:rPr>
        <w:footnoteRef/>
      </w:r>
      <w:r>
        <w:t xml:space="preserve"> </w:t>
      </w:r>
      <w:r w:rsidRPr="00206E01">
        <w:rPr>
          <w:i/>
        </w:rPr>
        <w:t>Salgado v</w:t>
      </w:r>
      <w:r>
        <w:rPr>
          <w:i/>
        </w:rPr>
        <w:t>.</w:t>
      </w:r>
      <w:r w:rsidRPr="00206E01">
        <w:rPr>
          <w:i/>
        </w:rPr>
        <w:t xml:space="preserve"> UK</w:t>
      </w:r>
      <w:r>
        <w:t>, Communication No. 11/2006, UN Doc. CEDAW/C/37/D/11/2006 (22 Jan. 2007).</w:t>
      </w:r>
    </w:p>
  </w:footnote>
  <w:footnote w:id="69">
    <w:p w14:paraId="45A03DCD" w14:textId="3A96474C" w:rsidR="00085586" w:rsidRPr="009E4AB2" w:rsidRDefault="00085586" w:rsidP="005E59EA">
      <w:pPr>
        <w:pStyle w:val="FootnoteText"/>
        <w:rPr>
          <w:bCs/>
        </w:rPr>
      </w:pPr>
      <w:r w:rsidRPr="00D21661">
        <w:rPr>
          <w:rStyle w:val="FootnoteReference"/>
        </w:rPr>
        <w:footnoteRef/>
      </w:r>
      <w:r>
        <w:t xml:space="preserve"> </w:t>
      </w:r>
      <w:r w:rsidRPr="009E4AB2">
        <w:rPr>
          <w:bCs/>
        </w:rPr>
        <w:t>Communication No. 12/2007, UN Doc. CEDAW/C/44/D/12/2007 (4 Aug</w:t>
      </w:r>
      <w:r>
        <w:rPr>
          <w:bCs/>
        </w:rPr>
        <w:t>.</w:t>
      </w:r>
      <w:r w:rsidRPr="009E4AB2">
        <w:rPr>
          <w:bCs/>
        </w:rPr>
        <w:t xml:space="preserve"> 2009)</w:t>
      </w:r>
      <w:r>
        <w:rPr>
          <w:bCs/>
        </w:rPr>
        <w:t>.</w:t>
      </w:r>
    </w:p>
  </w:footnote>
  <w:footnote w:id="70">
    <w:p w14:paraId="2F6FC880" w14:textId="323A0A9F" w:rsidR="00085586" w:rsidRDefault="00085586" w:rsidP="007C756B">
      <w:pPr>
        <w:pStyle w:val="FootnoteText"/>
      </w:pPr>
      <w:r>
        <w:rPr>
          <w:rStyle w:val="FootnoteReference"/>
        </w:rPr>
        <w:footnoteRef/>
      </w:r>
      <w:r>
        <w:t xml:space="preserve"> </w:t>
      </w:r>
      <w:r>
        <w:rPr>
          <w:i/>
        </w:rPr>
        <w:t xml:space="preserve">Ibid., </w:t>
      </w:r>
      <w:r>
        <w:t>at para. 11.10.</w:t>
      </w:r>
    </w:p>
  </w:footnote>
  <w:footnote w:id="71">
    <w:p w14:paraId="6E6BA6F8" w14:textId="77B651B2" w:rsidR="00085586" w:rsidRDefault="00085586">
      <w:pPr>
        <w:pStyle w:val="FootnoteText"/>
      </w:pPr>
      <w:r>
        <w:rPr>
          <w:rStyle w:val="FootnoteReference"/>
        </w:rPr>
        <w:footnoteRef/>
      </w:r>
      <w:r>
        <w:t xml:space="preserve"> </w:t>
      </w:r>
      <w:r>
        <w:rPr>
          <w:color w:val="000000"/>
        </w:rPr>
        <w:t>Communication No. 13/2007, UN Doc. CEDAW/C/44/D/13/2007 (4 Aug. 2009).</w:t>
      </w:r>
    </w:p>
  </w:footnote>
  <w:footnote w:id="72">
    <w:p w14:paraId="32F17B72" w14:textId="286914FF" w:rsidR="00085586" w:rsidRPr="00206E01" w:rsidRDefault="00085586">
      <w:pPr>
        <w:pStyle w:val="FootnoteText"/>
        <w:rPr>
          <w:lang w:val="en-US"/>
        </w:rPr>
      </w:pPr>
      <w:r>
        <w:rPr>
          <w:rStyle w:val="FootnoteReference"/>
        </w:rPr>
        <w:footnoteRef/>
      </w:r>
      <w:r>
        <w:t xml:space="preserve"> Flinterman, ‘Strengthening Women’s Human Rights Through Individual Complaints’, </w:t>
      </w:r>
      <w:r>
        <w:rPr>
          <w:lang w:val="en-US"/>
        </w:rPr>
        <w:t xml:space="preserve">in </w:t>
      </w:r>
      <w:r>
        <w:t xml:space="preserve">Schöpp-Schilling, </w:t>
      </w:r>
      <w:r w:rsidRPr="008B4091">
        <w:rPr>
          <w:i/>
        </w:rPr>
        <w:t>supra</w:t>
      </w:r>
      <w:r>
        <w:t xml:space="preserve"> note 12, at 286, 290.</w:t>
      </w:r>
    </w:p>
  </w:footnote>
  <w:footnote w:id="73">
    <w:p w14:paraId="751987EC" w14:textId="77777777" w:rsidR="00085586" w:rsidRPr="00206E01" w:rsidRDefault="00085586">
      <w:pPr>
        <w:pStyle w:val="FootnoteText"/>
        <w:rPr>
          <w:lang w:val="en-US"/>
        </w:rPr>
      </w:pPr>
      <w:r>
        <w:rPr>
          <w:rStyle w:val="FootnoteReference"/>
        </w:rPr>
        <w:footnoteRef/>
      </w:r>
      <w:r>
        <w:t xml:space="preserve"> </w:t>
      </w:r>
      <w:r w:rsidRPr="005B6796">
        <w:rPr>
          <w:i/>
        </w:rPr>
        <w:t>Ibid</w:t>
      </w:r>
      <w:r>
        <w:t>., at 292.</w:t>
      </w:r>
    </w:p>
  </w:footnote>
  <w:footnote w:id="74">
    <w:p w14:paraId="6F805BD2" w14:textId="77777777" w:rsidR="00085586" w:rsidRPr="00206E01" w:rsidRDefault="00085586">
      <w:pPr>
        <w:pStyle w:val="FootnoteText"/>
        <w:rPr>
          <w:lang w:val="en-US"/>
        </w:rPr>
      </w:pPr>
      <w:r>
        <w:rPr>
          <w:rStyle w:val="FootnoteReference"/>
        </w:rPr>
        <w:footnoteRef/>
      </w:r>
      <w:r>
        <w:t xml:space="preserve"> </w:t>
      </w:r>
      <w:r w:rsidRPr="005B6796">
        <w:rPr>
          <w:i/>
        </w:rPr>
        <w:t>Ibid</w:t>
      </w:r>
      <w:r>
        <w:t>., at 297.</w:t>
      </w:r>
    </w:p>
  </w:footnote>
  <w:footnote w:id="75">
    <w:p w14:paraId="2A4F877E" w14:textId="13D6A15A" w:rsidR="00085586" w:rsidRPr="00F76F5A" w:rsidRDefault="00085586" w:rsidP="00DE5975">
      <w:pPr>
        <w:pStyle w:val="FootnoteText"/>
        <w:jc w:val="both"/>
      </w:pPr>
      <w:r>
        <w:rPr>
          <w:rStyle w:val="FootnoteReference"/>
        </w:rPr>
        <w:footnoteRef/>
      </w:r>
      <w:r>
        <w:t xml:space="preserve"> Murdoch, ‘</w:t>
      </w:r>
      <w:r w:rsidRPr="00F76F5A">
        <w:t xml:space="preserve">Unfulfilled expectations: </w:t>
      </w:r>
      <w:proofErr w:type="gramStart"/>
      <w:r w:rsidRPr="00F76F5A">
        <w:t>the</w:t>
      </w:r>
      <w:proofErr w:type="gramEnd"/>
      <w:r w:rsidRPr="00F76F5A">
        <w:t xml:space="preserve"> Optional Protocol to the Convention on the Elimination of All Forms of Discrimination against Women</w:t>
      </w:r>
      <w:r>
        <w:t xml:space="preserve">’, 1 </w:t>
      </w:r>
      <w:r w:rsidRPr="00F76F5A">
        <w:rPr>
          <w:i/>
        </w:rPr>
        <w:t>European Hmn Rts L Rev</w:t>
      </w:r>
      <w:r>
        <w:t xml:space="preserve"> (2010) 26.</w:t>
      </w:r>
    </w:p>
  </w:footnote>
  <w:footnote w:id="76">
    <w:p w14:paraId="480DBE85" w14:textId="2BF8AAB3" w:rsidR="00085586" w:rsidRDefault="00085586" w:rsidP="00DE5975">
      <w:pPr>
        <w:pStyle w:val="FootnoteText"/>
        <w:jc w:val="both"/>
      </w:pPr>
      <w:r>
        <w:rPr>
          <w:rStyle w:val="FootnoteReference"/>
        </w:rPr>
        <w:footnoteRef/>
      </w:r>
      <w:r>
        <w:t xml:space="preserve"> Lacey, </w:t>
      </w:r>
      <w:r w:rsidRPr="008D5BC9">
        <w:rPr>
          <w:i/>
        </w:rPr>
        <w:t>supra</w:t>
      </w:r>
      <w:r>
        <w:t xml:space="preserve"> note 25, at 54.</w:t>
      </w:r>
    </w:p>
  </w:footnote>
  <w:footnote w:id="77">
    <w:p w14:paraId="5252D4AC" w14:textId="7DB966EC" w:rsidR="00085586" w:rsidRDefault="00085586" w:rsidP="007A1638">
      <w:pPr>
        <w:pStyle w:val="FootnoteText"/>
      </w:pPr>
      <w:r>
        <w:rPr>
          <w:rStyle w:val="FootnoteReference"/>
        </w:rPr>
        <w:footnoteRef/>
      </w:r>
      <w:r>
        <w:t xml:space="preserve"> Reilly, </w:t>
      </w:r>
      <w:r>
        <w:rPr>
          <w:i/>
        </w:rPr>
        <w:t xml:space="preserve">supra </w:t>
      </w:r>
      <w:r w:rsidRPr="00DE5975">
        <w:t xml:space="preserve">note </w:t>
      </w:r>
      <w:r>
        <w:t>20</w:t>
      </w:r>
      <w:r w:rsidRPr="00DE5975">
        <w:t xml:space="preserve">, </w:t>
      </w:r>
      <w:r>
        <w:t>at 65.</w:t>
      </w:r>
    </w:p>
  </w:footnote>
  <w:footnote w:id="78">
    <w:p w14:paraId="4EB5BAF3" w14:textId="2DFEEC72" w:rsidR="00085586" w:rsidRDefault="00085586" w:rsidP="0046707E">
      <w:pPr>
        <w:pStyle w:val="FootnoteText"/>
      </w:pPr>
      <w:r>
        <w:rPr>
          <w:rStyle w:val="FootnoteReference"/>
        </w:rPr>
        <w:footnoteRef/>
      </w:r>
      <w:r>
        <w:t xml:space="preserve"> Engle Merry, ‘Rights Talk and the Experience of Law: Implementing Women’s Human Rights to Protection from Violence’, 25 </w:t>
      </w:r>
      <w:r w:rsidRPr="00E519D2">
        <w:rPr>
          <w:i/>
        </w:rPr>
        <w:t>Hmn Rts Q</w:t>
      </w:r>
      <w:r>
        <w:t xml:space="preserve"> (2003) 343, at 381.</w:t>
      </w:r>
    </w:p>
  </w:footnote>
  <w:footnote w:id="79">
    <w:p w14:paraId="2CD1EEC5" w14:textId="27C1AB8E" w:rsidR="00085586" w:rsidRPr="00BA2E5E" w:rsidRDefault="00085586">
      <w:pPr>
        <w:pStyle w:val="FootnoteText"/>
        <w:rPr>
          <w:lang w:val="en-US"/>
        </w:rPr>
      </w:pPr>
      <w:r>
        <w:rPr>
          <w:rStyle w:val="FootnoteReference"/>
        </w:rPr>
        <w:footnoteRef/>
      </w:r>
      <w:r>
        <w:t xml:space="preserve"> </w:t>
      </w:r>
      <w:r>
        <w:rPr>
          <w:lang w:val="en-US"/>
        </w:rPr>
        <w:t xml:space="preserve">C. Gilligan, </w:t>
      </w:r>
      <w:r w:rsidRPr="009D2C4D">
        <w:rPr>
          <w:i/>
          <w:lang w:val="en-US"/>
        </w:rPr>
        <w:t>In a Different Voice: Psychological Theory and Women’s Development</w:t>
      </w:r>
      <w:r>
        <w:rPr>
          <w:lang w:val="en-US"/>
        </w:rPr>
        <w:t xml:space="preserve"> (1982; 1990 resissue).</w:t>
      </w:r>
    </w:p>
  </w:footnote>
  <w:footnote w:id="80">
    <w:p w14:paraId="0CC1C407" w14:textId="4BDF2DC4" w:rsidR="00085586" w:rsidRDefault="00085586" w:rsidP="00600218">
      <w:pPr>
        <w:pStyle w:val="FootnoteText"/>
      </w:pPr>
      <w:r>
        <w:rPr>
          <w:rStyle w:val="FootnoteReference"/>
        </w:rPr>
        <w:footnoteRef/>
      </w:r>
      <w:r>
        <w:t xml:space="preserve"> Binion, </w:t>
      </w:r>
      <w:r w:rsidRPr="00A24271">
        <w:rPr>
          <w:i/>
        </w:rPr>
        <w:t>supra</w:t>
      </w:r>
      <w:r>
        <w:t xml:space="preserve"> note 24, at 525.</w:t>
      </w:r>
    </w:p>
  </w:footnote>
  <w:footnote w:id="81">
    <w:p w14:paraId="0089E676" w14:textId="77777777" w:rsidR="00085586" w:rsidRPr="00F712DD" w:rsidRDefault="00085586" w:rsidP="007F2AB6">
      <w:pPr>
        <w:pStyle w:val="FootnoteText"/>
        <w:rPr>
          <w:lang w:val="en-US"/>
        </w:rPr>
      </w:pPr>
      <w:r>
        <w:rPr>
          <w:rStyle w:val="FootnoteReference"/>
        </w:rPr>
        <w:footnoteRef/>
      </w:r>
      <w:r>
        <w:t xml:space="preserve"> </w:t>
      </w:r>
      <w:r>
        <w:rPr>
          <w:lang w:val="en-US"/>
        </w:rPr>
        <w:t xml:space="preserve">Connors, </w:t>
      </w:r>
      <w:r w:rsidRPr="00DC2C8C">
        <w:rPr>
          <w:i/>
          <w:lang w:val="en-US"/>
        </w:rPr>
        <w:t>supra</w:t>
      </w:r>
      <w:r>
        <w:rPr>
          <w:lang w:val="en-US"/>
        </w:rPr>
        <w:t xml:space="preserve"> note 4, at 618.</w:t>
      </w:r>
    </w:p>
  </w:footnote>
  <w:footnote w:id="82">
    <w:p w14:paraId="455AECE5" w14:textId="77777777" w:rsidR="00085586" w:rsidRDefault="00085586" w:rsidP="00CB7C35">
      <w:pPr>
        <w:pStyle w:val="FootnoteText"/>
        <w:jc w:val="both"/>
      </w:pPr>
      <w:r>
        <w:rPr>
          <w:rStyle w:val="FootnoteReference"/>
        </w:rPr>
        <w:footnoteRef/>
      </w:r>
      <w:r>
        <w:t xml:space="preserve"> </w:t>
      </w:r>
      <w:r>
        <w:rPr>
          <w:color w:val="000000"/>
        </w:rPr>
        <w:t>Communication No. 10/2005, UN Doc. CEDAW/C/38/D/10/2005 (12 June 2007), at para. 2.13.</w:t>
      </w:r>
    </w:p>
  </w:footnote>
  <w:footnote w:id="83">
    <w:p w14:paraId="4C3EF797" w14:textId="4BEBA779" w:rsidR="00085586" w:rsidRDefault="00085586" w:rsidP="00CB7C35">
      <w:pPr>
        <w:pStyle w:val="FootnoteText"/>
        <w:jc w:val="both"/>
      </w:pPr>
      <w:r>
        <w:rPr>
          <w:rStyle w:val="FootnoteReference"/>
        </w:rPr>
        <w:footnoteRef/>
      </w:r>
      <w:r>
        <w:t xml:space="preserve"> </w:t>
      </w:r>
      <w:r>
        <w:rPr>
          <w:color w:val="000000"/>
        </w:rPr>
        <w:t>Communication No. 27/2010, UN Doc. CEDAW/C/50/D/27/2010 (30 Nov. 2011), at para. 2.3.</w:t>
      </w:r>
    </w:p>
  </w:footnote>
  <w:footnote w:id="84">
    <w:p w14:paraId="26AD3E77" w14:textId="2A849CAF" w:rsidR="00085586" w:rsidRDefault="00085586" w:rsidP="00440910">
      <w:pPr>
        <w:pStyle w:val="FootnoteText"/>
        <w:jc w:val="both"/>
      </w:pPr>
      <w:r>
        <w:rPr>
          <w:rStyle w:val="FootnoteReference"/>
        </w:rPr>
        <w:footnoteRef/>
      </w:r>
      <w:r>
        <w:t xml:space="preserve"> </w:t>
      </w:r>
      <w:r>
        <w:rPr>
          <w:color w:val="000000"/>
        </w:rPr>
        <w:t>Communication No. 13/2007, UN Doc. CEDAW/C/44/D/13/2007 (4 Aug. 2009), at para. 3.4.</w:t>
      </w:r>
    </w:p>
  </w:footnote>
  <w:footnote w:id="85">
    <w:p w14:paraId="5F421034" w14:textId="6E3247CE" w:rsidR="00085586" w:rsidRDefault="00085586" w:rsidP="004356E2">
      <w:pPr>
        <w:pStyle w:val="FootnoteText"/>
        <w:jc w:val="both"/>
      </w:pPr>
      <w:r>
        <w:rPr>
          <w:rStyle w:val="FootnoteReference"/>
        </w:rPr>
        <w:footnoteRef/>
      </w:r>
      <w:r>
        <w:t xml:space="preserve"> Otto, ‘Disconcerting “Masculinities”: Reinventing the Gendered Subject(s) of International Human Rights Law’, in Buss and Manji, </w:t>
      </w:r>
      <w:r>
        <w:rPr>
          <w:i/>
        </w:rPr>
        <w:t xml:space="preserve">supra </w:t>
      </w:r>
      <w:r w:rsidRPr="00C74DA9">
        <w:t>note 1</w:t>
      </w:r>
      <w:r>
        <w:rPr>
          <w:i/>
        </w:rPr>
        <w:t xml:space="preserve">, </w:t>
      </w:r>
      <w:r>
        <w:t>at 105, 124.</w:t>
      </w:r>
    </w:p>
  </w:footnote>
  <w:footnote w:id="86">
    <w:p w14:paraId="047484D8" w14:textId="19F99237" w:rsidR="00085586" w:rsidRPr="00206E01" w:rsidRDefault="00085586" w:rsidP="00206E01">
      <w:pPr>
        <w:pStyle w:val="FootnoteText"/>
        <w:jc w:val="both"/>
        <w:rPr>
          <w:lang w:val="en-US"/>
        </w:rPr>
      </w:pPr>
      <w:r>
        <w:rPr>
          <w:rStyle w:val="FootnoteReference"/>
        </w:rPr>
        <w:footnoteRef/>
      </w:r>
      <w:r>
        <w:t xml:space="preserve"> </w:t>
      </w:r>
      <w:r>
        <w:rPr>
          <w:lang w:val="en-US"/>
        </w:rPr>
        <w:t xml:space="preserve">Acar, ‘Personal Reflections: Thoughts on the Committee’s Past, </w:t>
      </w:r>
      <w:proofErr w:type="gramStart"/>
      <w:r>
        <w:rPr>
          <w:lang w:val="en-US"/>
        </w:rPr>
        <w:t>Hopes</w:t>
      </w:r>
      <w:proofErr w:type="gramEnd"/>
      <w:r>
        <w:rPr>
          <w:lang w:val="en-US"/>
        </w:rPr>
        <w:t xml:space="preserve"> for its Future’, in </w:t>
      </w:r>
      <w:r>
        <w:t xml:space="preserve">Schöpp-Schilling, </w:t>
      </w:r>
      <w:r w:rsidRPr="00DC2C8C">
        <w:rPr>
          <w:i/>
        </w:rPr>
        <w:t>supra</w:t>
      </w:r>
      <w:r>
        <w:t xml:space="preserve"> note 12, at 340, 342.</w:t>
      </w:r>
    </w:p>
  </w:footnote>
  <w:footnote w:id="87">
    <w:p w14:paraId="0518FFCE" w14:textId="166AFC82" w:rsidR="00085586" w:rsidRPr="00BE55E8" w:rsidRDefault="00085586" w:rsidP="002F7F4D">
      <w:pPr>
        <w:pStyle w:val="FootnoteText"/>
      </w:pPr>
      <w:r w:rsidRPr="00BE55E8">
        <w:rPr>
          <w:rStyle w:val="FootnoteReference"/>
        </w:rPr>
        <w:footnoteRef/>
      </w:r>
      <w:r w:rsidRPr="00BE55E8">
        <w:rPr>
          <w:rStyle w:val="FootnoteReference"/>
        </w:rPr>
        <w:t xml:space="preserve"> </w:t>
      </w:r>
      <w:r w:rsidRPr="00BE55E8">
        <w:t>Communication No. 28/2010, UN Doc. CEDAW/C/51/D/28/2010 (13 Apr</w:t>
      </w:r>
      <w:r>
        <w:t>.</w:t>
      </w:r>
      <w:r w:rsidRPr="00BE55E8">
        <w:t xml:space="preserve"> 2012)</w:t>
      </w:r>
      <w:r>
        <w:t>.</w:t>
      </w:r>
    </w:p>
  </w:footnote>
  <w:footnote w:id="88">
    <w:p w14:paraId="2B1A3131" w14:textId="77777777" w:rsidR="00085586" w:rsidRPr="00EF3CAA" w:rsidRDefault="00085586" w:rsidP="00EF3CAA">
      <w:pPr>
        <w:pStyle w:val="doccite1"/>
        <w:rPr>
          <w:lang w:val="en-GB"/>
        </w:rPr>
      </w:pPr>
      <w:r>
        <w:rPr>
          <w:rStyle w:val="FootnoteReference"/>
        </w:rPr>
        <w:footnoteRef/>
      </w:r>
      <w:r>
        <w:t xml:space="preserve"> </w:t>
      </w:r>
      <w:r w:rsidRPr="00EF3CAA">
        <w:rPr>
          <w:lang w:val="en-GB"/>
        </w:rPr>
        <w:t>Communication No. 218/1986, UN Doc. Supp. No. 40 (A/44/40) at 232 (1989).</w:t>
      </w:r>
    </w:p>
  </w:footnote>
  <w:footnote w:id="89">
    <w:p w14:paraId="26DDF6D9" w14:textId="2165C75E" w:rsidR="00085586" w:rsidRDefault="00085586">
      <w:pPr>
        <w:pStyle w:val="FootnoteText"/>
      </w:pPr>
      <w:r>
        <w:rPr>
          <w:rStyle w:val="FootnoteReference"/>
        </w:rPr>
        <w:footnoteRef/>
      </w:r>
      <w:r>
        <w:t xml:space="preserve"> Charlesworth and Chinkin, </w:t>
      </w:r>
      <w:r>
        <w:rPr>
          <w:i/>
        </w:rPr>
        <w:t xml:space="preserve">supra </w:t>
      </w:r>
      <w:r>
        <w:t>note 23, at 215.</w:t>
      </w:r>
    </w:p>
  </w:footnote>
  <w:footnote w:id="90">
    <w:p w14:paraId="2C53B8B4" w14:textId="77777777" w:rsidR="00085586" w:rsidRPr="00A85C4C" w:rsidRDefault="00085586" w:rsidP="00A85C4C">
      <w:pPr>
        <w:pStyle w:val="doccite1"/>
        <w:rPr>
          <w:lang w:val="en-GB"/>
        </w:rPr>
      </w:pPr>
      <w:r>
        <w:rPr>
          <w:rStyle w:val="FootnoteReference"/>
        </w:rPr>
        <w:footnoteRef/>
      </w:r>
      <w:r>
        <w:t xml:space="preserve"> </w:t>
      </w:r>
      <w:r w:rsidRPr="00A85C4C">
        <w:rPr>
          <w:lang w:val="en-GB"/>
        </w:rPr>
        <w:t>P</w:t>
      </w:r>
      <w:r>
        <w:rPr>
          <w:lang w:val="en-GB"/>
        </w:rPr>
        <w:t>.</w:t>
      </w:r>
      <w:r w:rsidRPr="00A85C4C">
        <w:rPr>
          <w:lang w:val="en-GB"/>
        </w:rPr>
        <w:t>J</w:t>
      </w:r>
      <w:r>
        <w:rPr>
          <w:lang w:val="en-GB"/>
        </w:rPr>
        <w:t>.</w:t>
      </w:r>
      <w:r w:rsidRPr="00A85C4C">
        <w:rPr>
          <w:lang w:val="en-GB"/>
        </w:rPr>
        <w:t xml:space="preserve"> Williams, </w:t>
      </w:r>
      <w:r w:rsidRPr="00A85C4C">
        <w:rPr>
          <w:i/>
          <w:lang w:val="en-GB"/>
        </w:rPr>
        <w:t>The Alchemy of Race and Rights</w:t>
      </w:r>
      <w:r w:rsidRPr="00A85C4C">
        <w:rPr>
          <w:lang w:val="en-GB"/>
        </w:rPr>
        <w:t xml:space="preserve"> (</w:t>
      </w:r>
      <w:r>
        <w:rPr>
          <w:lang w:val="en-GB"/>
        </w:rPr>
        <w:t xml:space="preserve">1993), at </w:t>
      </w:r>
      <w:r w:rsidRPr="00A85C4C">
        <w:rPr>
          <w:lang w:val="en-GB"/>
        </w:rPr>
        <w:t>159.</w:t>
      </w:r>
    </w:p>
  </w:footnote>
  <w:footnote w:id="91">
    <w:p w14:paraId="22E18B03" w14:textId="589E2735" w:rsidR="00085586" w:rsidRPr="00A85C4C" w:rsidRDefault="00085586" w:rsidP="00A85C4C">
      <w:pPr>
        <w:pStyle w:val="doccite1"/>
        <w:rPr>
          <w:lang w:val="en-GB"/>
        </w:rPr>
      </w:pPr>
      <w:r w:rsidRPr="00A85C4C">
        <w:rPr>
          <w:rStyle w:val="FootnoteReference"/>
          <w:lang w:val="en-GB"/>
        </w:rPr>
        <w:footnoteRef/>
      </w:r>
      <w:r w:rsidRPr="00A85C4C">
        <w:rPr>
          <w:lang w:val="en-GB"/>
        </w:rPr>
        <w:t xml:space="preserve"> U</w:t>
      </w:r>
      <w:r>
        <w:rPr>
          <w:lang w:val="en-GB"/>
        </w:rPr>
        <w:t>.</w:t>
      </w:r>
      <w:r w:rsidRPr="00A85C4C">
        <w:rPr>
          <w:lang w:val="en-GB"/>
        </w:rPr>
        <w:t xml:space="preserve"> Baxi, </w:t>
      </w:r>
      <w:r w:rsidRPr="00A85C4C">
        <w:rPr>
          <w:i/>
          <w:lang w:val="en-GB"/>
        </w:rPr>
        <w:t>The Future of Human Rights</w:t>
      </w:r>
      <w:r w:rsidRPr="00A85C4C">
        <w:rPr>
          <w:lang w:val="en-GB"/>
        </w:rPr>
        <w:t xml:space="preserve"> (2002)</w:t>
      </w:r>
      <w:r>
        <w:rPr>
          <w:lang w:val="en-GB"/>
        </w:rPr>
        <w:t>, at</w:t>
      </w:r>
      <w:r w:rsidRPr="00A85C4C">
        <w:rPr>
          <w:lang w:val="en-GB"/>
        </w:rPr>
        <w:t xml:space="preserve"> 17.</w:t>
      </w:r>
    </w:p>
  </w:footnote>
  <w:footnote w:id="92">
    <w:p w14:paraId="419EBFB7" w14:textId="77777777" w:rsidR="00085586" w:rsidRPr="00206E01" w:rsidRDefault="00085586">
      <w:pPr>
        <w:pStyle w:val="FootnoteText"/>
        <w:rPr>
          <w:lang w:val="en-US"/>
        </w:rPr>
      </w:pPr>
      <w:r>
        <w:rPr>
          <w:rStyle w:val="FootnoteReference"/>
        </w:rPr>
        <w:footnoteRef/>
      </w:r>
      <w:r>
        <w:t xml:space="preserve"> </w:t>
      </w:r>
      <w:r>
        <w:rPr>
          <w:lang w:val="en-US"/>
        </w:rPr>
        <w:t xml:space="preserve">Connors, </w:t>
      </w:r>
      <w:r w:rsidRPr="00206E01">
        <w:rPr>
          <w:i/>
          <w:lang w:val="en-US"/>
        </w:rPr>
        <w:t>supra</w:t>
      </w:r>
      <w:r>
        <w:rPr>
          <w:lang w:val="en-US"/>
        </w:rPr>
        <w:t xml:space="preserve"> note 4, at 618.</w:t>
      </w:r>
    </w:p>
  </w:footnote>
  <w:footnote w:id="93">
    <w:p w14:paraId="022DB038" w14:textId="46AB5DED" w:rsidR="00085586" w:rsidRDefault="00085586">
      <w:pPr>
        <w:pStyle w:val="FootnoteText"/>
      </w:pPr>
      <w:r>
        <w:rPr>
          <w:rStyle w:val="FootnoteReference"/>
        </w:rPr>
        <w:footnoteRef/>
      </w:r>
      <w:r>
        <w:t xml:space="preserve"> Bunch, ‘Women’s Rights as Human Rights: Towards a Re-Vision of Human Rights’, 12 </w:t>
      </w:r>
      <w:r w:rsidRPr="00C94A95">
        <w:rPr>
          <w:i/>
        </w:rPr>
        <w:t>Hmn Rts Q</w:t>
      </w:r>
      <w:r>
        <w:t xml:space="preserve"> (1990) 486, at 496.</w:t>
      </w:r>
    </w:p>
  </w:footnote>
  <w:footnote w:id="94">
    <w:p w14:paraId="2DCDF490" w14:textId="0E74C377" w:rsidR="00085586" w:rsidRDefault="00085586">
      <w:pPr>
        <w:pStyle w:val="FootnoteText"/>
      </w:pPr>
      <w:r>
        <w:rPr>
          <w:rStyle w:val="FootnoteReference"/>
        </w:rPr>
        <w:footnoteRef/>
      </w:r>
      <w:r>
        <w:t xml:space="preserve"> </w:t>
      </w:r>
      <w:r w:rsidRPr="00183AE2">
        <w:t>Halley, ‘Take a Break from Feminism?’</w:t>
      </w:r>
      <w:r>
        <w:t>,</w:t>
      </w:r>
      <w:r w:rsidRPr="00183AE2">
        <w:t xml:space="preserve"> in </w:t>
      </w:r>
      <w:r>
        <w:t xml:space="preserve">Knop, </w:t>
      </w:r>
      <w:r>
        <w:rPr>
          <w:i/>
        </w:rPr>
        <w:t xml:space="preserve">supra </w:t>
      </w:r>
      <w:r w:rsidRPr="008D5BC9">
        <w:t xml:space="preserve">note </w:t>
      </w:r>
      <w:r>
        <w:t>25</w:t>
      </w:r>
      <w:r w:rsidRPr="008D5BC9">
        <w:t>,</w:t>
      </w:r>
      <w:r w:rsidRPr="00183AE2">
        <w:t xml:space="preserve"> at 67.</w:t>
      </w:r>
    </w:p>
  </w:footnote>
  <w:footnote w:id="95">
    <w:p w14:paraId="512C1633" w14:textId="307B5AE9" w:rsidR="00085586" w:rsidRPr="007C6804" w:rsidRDefault="00085586">
      <w:pPr>
        <w:pStyle w:val="FootnoteText"/>
        <w:rPr>
          <w:lang w:val="en-US"/>
        </w:rPr>
      </w:pPr>
      <w:r>
        <w:rPr>
          <w:rStyle w:val="FootnoteReference"/>
        </w:rPr>
        <w:footnoteRef/>
      </w:r>
      <w:r>
        <w:t xml:space="preserve"> </w:t>
      </w:r>
      <w:r w:rsidRPr="005B6796">
        <w:t>Communication No. 19/2008, UN Doc. CEDAW/C/51/D/19/2008 (26 April 2012)</w:t>
      </w:r>
      <w:r>
        <w:t xml:space="preserve">, at </w:t>
      </w:r>
      <w:r w:rsidRPr="005B6796">
        <w:t>p</w:t>
      </w:r>
      <w:r w:rsidRPr="005B6796">
        <w:rPr>
          <w:lang w:val="en-US"/>
        </w:rPr>
        <w:t>ara. 10.3</w:t>
      </w:r>
      <w:r>
        <w:rPr>
          <w:lang w:val="en-US"/>
        </w:rPr>
        <w:t>.</w:t>
      </w:r>
    </w:p>
  </w:footnote>
  <w:footnote w:id="96">
    <w:p w14:paraId="235C83DC" w14:textId="075B7CB5" w:rsidR="00085586" w:rsidRDefault="00085586">
      <w:pPr>
        <w:pStyle w:val="FootnoteText"/>
      </w:pPr>
      <w:r>
        <w:rPr>
          <w:rStyle w:val="FootnoteReference"/>
        </w:rPr>
        <w:footnoteRef/>
      </w:r>
      <w:r>
        <w:t xml:space="preserve"> Reilly, </w:t>
      </w:r>
      <w:r>
        <w:rPr>
          <w:i/>
        </w:rPr>
        <w:t xml:space="preserve">supra </w:t>
      </w:r>
      <w:r>
        <w:t>note 20, at 66.</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A25B8"/>
    <w:multiLevelType w:val="hybridMultilevel"/>
    <w:tmpl w:val="82462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630B0D"/>
    <w:multiLevelType w:val="hybridMultilevel"/>
    <w:tmpl w:val="378C7D80"/>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F073A50"/>
    <w:multiLevelType w:val="hybridMultilevel"/>
    <w:tmpl w:val="262A72E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9F"/>
    <w:rsid w:val="0000082A"/>
    <w:rsid w:val="00000CD4"/>
    <w:rsid w:val="000042AB"/>
    <w:rsid w:val="00005788"/>
    <w:rsid w:val="00005AA7"/>
    <w:rsid w:val="000153F7"/>
    <w:rsid w:val="000156A5"/>
    <w:rsid w:val="00015E03"/>
    <w:rsid w:val="00016BA2"/>
    <w:rsid w:val="00017027"/>
    <w:rsid w:val="0002066C"/>
    <w:rsid w:val="00021BFB"/>
    <w:rsid w:val="00030429"/>
    <w:rsid w:val="00031BC7"/>
    <w:rsid w:val="00031F8C"/>
    <w:rsid w:val="00033C35"/>
    <w:rsid w:val="0003541A"/>
    <w:rsid w:val="0003617C"/>
    <w:rsid w:val="00040DB9"/>
    <w:rsid w:val="00046C90"/>
    <w:rsid w:val="00055951"/>
    <w:rsid w:val="0005617D"/>
    <w:rsid w:val="00057153"/>
    <w:rsid w:val="00057E67"/>
    <w:rsid w:val="00060367"/>
    <w:rsid w:val="00065981"/>
    <w:rsid w:val="00066A1C"/>
    <w:rsid w:val="00070433"/>
    <w:rsid w:val="00071770"/>
    <w:rsid w:val="00073820"/>
    <w:rsid w:val="00075E94"/>
    <w:rsid w:val="00077890"/>
    <w:rsid w:val="00085586"/>
    <w:rsid w:val="00086982"/>
    <w:rsid w:val="00086F5A"/>
    <w:rsid w:val="00092155"/>
    <w:rsid w:val="00094AF7"/>
    <w:rsid w:val="00097A42"/>
    <w:rsid w:val="000A088C"/>
    <w:rsid w:val="000A0AB5"/>
    <w:rsid w:val="000A12D9"/>
    <w:rsid w:val="000A72AD"/>
    <w:rsid w:val="000A7583"/>
    <w:rsid w:val="000B02E9"/>
    <w:rsid w:val="000B47C9"/>
    <w:rsid w:val="000B514A"/>
    <w:rsid w:val="000B55C1"/>
    <w:rsid w:val="000B691A"/>
    <w:rsid w:val="000C0DFD"/>
    <w:rsid w:val="000C1E5D"/>
    <w:rsid w:val="000C506B"/>
    <w:rsid w:val="000C695E"/>
    <w:rsid w:val="000C6D29"/>
    <w:rsid w:val="000C7479"/>
    <w:rsid w:val="000D0069"/>
    <w:rsid w:val="000D111E"/>
    <w:rsid w:val="000D458A"/>
    <w:rsid w:val="000D4D2F"/>
    <w:rsid w:val="000D507F"/>
    <w:rsid w:val="000D5414"/>
    <w:rsid w:val="000E0A9C"/>
    <w:rsid w:val="000E0CD1"/>
    <w:rsid w:val="000E2B6E"/>
    <w:rsid w:val="000E30D5"/>
    <w:rsid w:val="000E3F21"/>
    <w:rsid w:val="000E5F64"/>
    <w:rsid w:val="000E7CD3"/>
    <w:rsid w:val="000F0495"/>
    <w:rsid w:val="000F2546"/>
    <w:rsid w:val="000F2CC9"/>
    <w:rsid w:val="000F6E04"/>
    <w:rsid w:val="00107777"/>
    <w:rsid w:val="00111BA1"/>
    <w:rsid w:val="0011215D"/>
    <w:rsid w:val="00113072"/>
    <w:rsid w:val="00120A34"/>
    <w:rsid w:val="001226A2"/>
    <w:rsid w:val="00123007"/>
    <w:rsid w:val="0012779A"/>
    <w:rsid w:val="00140421"/>
    <w:rsid w:val="00140955"/>
    <w:rsid w:val="00141116"/>
    <w:rsid w:val="00141BC5"/>
    <w:rsid w:val="001427F7"/>
    <w:rsid w:val="00143FFA"/>
    <w:rsid w:val="00144384"/>
    <w:rsid w:val="00146603"/>
    <w:rsid w:val="00152849"/>
    <w:rsid w:val="0015557C"/>
    <w:rsid w:val="0016022F"/>
    <w:rsid w:val="001620D3"/>
    <w:rsid w:val="001637C9"/>
    <w:rsid w:val="00165463"/>
    <w:rsid w:val="00165B0E"/>
    <w:rsid w:val="00166DB6"/>
    <w:rsid w:val="00171401"/>
    <w:rsid w:val="00173F32"/>
    <w:rsid w:val="00174597"/>
    <w:rsid w:val="00175F18"/>
    <w:rsid w:val="00181B78"/>
    <w:rsid w:val="001832E2"/>
    <w:rsid w:val="00183AE2"/>
    <w:rsid w:val="00183DCA"/>
    <w:rsid w:val="00184E38"/>
    <w:rsid w:val="00186A9E"/>
    <w:rsid w:val="00187515"/>
    <w:rsid w:val="001912AC"/>
    <w:rsid w:val="001935D8"/>
    <w:rsid w:val="0019437B"/>
    <w:rsid w:val="001948AA"/>
    <w:rsid w:val="001A6DD6"/>
    <w:rsid w:val="001A7B3A"/>
    <w:rsid w:val="001B32E1"/>
    <w:rsid w:val="001B39F2"/>
    <w:rsid w:val="001B4667"/>
    <w:rsid w:val="001B4F95"/>
    <w:rsid w:val="001C16D1"/>
    <w:rsid w:val="001C1AE9"/>
    <w:rsid w:val="001C495E"/>
    <w:rsid w:val="001C538E"/>
    <w:rsid w:val="001C6C0B"/>
    <w:rsid w:val="001C6C39"/>
    <w:rsid w:val="001D06D4"/>
    <w:rsid w:val="001D3E2B"/>
    <w:rsid w:val="001D73BF"/>
    <w:rsid w:val="001D7431"/>
    <w:rsid w:val="001E075A"/>
    <w:rsid w:val="001F5AFF"/>
    <w:rsid w:val="001F6355"/>
    <w:rsid w:val="001F6497"/>
    <w:rsid w:val="002014A9"/>
    <w:rsid w:val="002015C4"/>
    <w:rsid w:val="00202936"/>
    <w:rsid w:val="00203203"/>
    <w:rsid w:val="00203B55"/>
    <w:rsid w:val="00205736"/>
    <w:rsid w:val="00206E01"/>
    <w:rsid w:val="002071CD"/>
    <w:rsid w:val="002078DF"/>
    <w:rsid w:val="00211C17"/>
    <w:rsid w:val="00213E2B"/>
    <w:rsid w:val="002140A1"/>
    <w:rsid w:val="00220A02"/>
    <w:rsid w:val="00220F0B"/>
    <w:rsid w:val="00221612"/>
    <w:rsid w:val="00224895"/>
    <w:rsid w:val="0022550B"/>
    <w:rsid w:val="00226C02"/>
    <w:rsid w:val="002302C7"/>
    <w:rsid w:val="002306B0"/>
    <w:rsid w:val="002342C7"/>
    <w:rsid w:val="00235576"/>
    <w:rsid w:val="00235582"/>
    <w:rsid w:val="00236157"/>
    <w:rsid w:val="0023668A"/>
    <w:rsid w:val="00242768"/>
    <w:rsid w:val="00245D31"/>
    <w:rsid w:val="00250418"/>
    <w:rsid w:val="00250C44"/>
    <w:rsid w:val="00253B1B"/>
    <w:rsid w:val="002561DE"/>
    <w:rsid w:val="0026235D"/>
    <w:rsid w:val="0026333F"/>
    <w:rsid w:val="002659AE"/>
    <w:rsid w:val="0026633D"/>
    <w:rsid w:val="00276FFA"/>
    <w:rsid w:val="00277CBD"/>
    <w:rsid w:val="00284B3F"/>
    <w:rsid w:val="002859EA"/>
    <w:rsid w:val="002865F9"/>
    <w:rsid w:val="0028728D"/>
    <w:rsid w:val="002A473E"/>
    <w:rsid w:val="002A5E9C"/>
    <w:rsid w:val="002B1B7E"/>
    <w:rsid w:val="002B1E52"/>
    <w:rsid w:val="002B5FBC"/>
    <w:rsid w:val="002C1BA7"/>
    <w:rsid w:val="002C2723"/>
    <w:rsid w:val="002C2ED4"/>
    <w:rsid w:val="002C5A36"/>
    <w:rsid w:val="002D0889"/>
    <w:rsid w:val="002D0998"/>
    <w:rsid w:val="002D0E02"/>
    <w:rsid w:val="002D1B35"/>
    <w:rsid w:val="002D4D5E"/>
    <w:rsid w:val="002D50A7"/>
    <w:rsid w:val="002D5C30"/>
    <w:rsid w:val="002D63E7"/>
    <w:rsid w:val="002D7455"/>
    <w:rsid w:val="002E795A"/>
    <w:rsid w:val="002F33B7"/>
    <w:rsid w:val="002F3DF0"/>
    <w:rsid w:val="002F418E"/>
    <w:rsid w:val="002F44C1"/>
    <w:rsid w:val="002F516D"/>
    <w:rsid w:val="002F7474"/>
    <w:rsid w:val="002F7F4D"/>
    <w:rsid w:val="0030021A"/>
    <w:rsid w:val="00300977"/>
    <w:rsid w:val="0030176E"/>
    <w:rsid w:val="00302D58"/>
    <w:rsid w:val="003051E3"/>
    <w:rsid w:val="003052EF"/>
    <w:rsid w:val="003100DD"/>
    <w:rsid w:val="00312FD5"/>
    <w:rsid w:val="00315420"/>
    <w:rsid w:val="00325BF0"/>
    <w:rsid w:val="00326D1A"/>
    <w:rsid w:val="00327425"/>
    <w:rsid w:val="00333A53"/>
    <w:rsid w:val="00335CB2"/>
    <w:rsid w:val="003405EC"/>
    <w:rsid w:val="00340927"/>
    <w:rsid w:val="003419C7"/>
    <w:rsid w:val="003451CE"/>
    <w:rsid w:val="00347917"/>
    <w:rsid w:val="00351DEF"/>
    <w:rsid w:val="00352EC0"/>
    <w:rsid w:val="00354E57"/>
    <w:rsid w:val="00355075"/>
    <w:rsid w:val="00356F0F"/>
    <w:rsid w:val="00360028"/>
    <w:rsid w:val="00361A14"/>
    <w:rsid w:val="00362686"/>
    <w:rsid w:val="00371960"/>
    <w:rsid w:val="003730B0"/>
    <w:rsid w:val="0037548E"/>
    <w:rsid w:val="00382B9B"/>
    <w:rsid w:val="00383D9C"/>
    <w:rsid w:val="00392B48"/>
    <w:rsid w:val="0039374D"/>
    <w:rsid w:val="00394AE3"/>
    <w:rsid w:val="003A1832"/>
    <w:rsid w:val="003A3563"/>
    <w:rsid w:val="003B083A"/>
    <w:rsid w:val="003B1AB2"/>
    <w:rsid w:val="003B56FF"/>
    <w:rsid w:val="003B5C45"/>
    <w:rsid w:val="003B64E0"/>
    <w:rsid w:val="003B66E1"/>
    <w:rsid w:val="003B70A0"/>
    <w:rsid w:val="003C06F1"/>
    <w:rsid w:val="003C0994"/>
    <w:rsid w:val="003C2195"/>
    <w:rsid w:val="003C68FF"/>
    <w:rsid w:val="003D16DF"/>
    <w:rsid w:val="003D2C33"/>
    <w:rsid w:val="003D6116"/>
    <w:rsid w:val="003D6420"/>
    <w:rsid w:val="003D6D07"/>
    <w:rsid w:val="003E22BF"/>
    <w:rsid w:val="003E4746"/>
    <w:rsid w:val="003E4779"/>
    <w:rsid w:val="003E5254"/>
    <w:rsid w:val="003E6A16"/>
    <w:rsid w:val="003F02B3"/>
    <w:rsid w:val="003F0B58"/>
    <w:rsid w:val="003F128C"/>
    <w:rsid w:val="003F3E5E"/>
    <w:rsid w:val="003F4803"/>
    <w:rsid w:val="003F581F"/>
    <w:rsid w:val="0040216C"/>
    <w:rsid w:val="00403621"/>
    <w:rsid w:val="0040639E"/>
    <w:rsid w:val="004067AE"/>
    <w:rsid w:val="004113D7"/>
    <w:rsid w:val="00412540"/>
    <w:rsid w:val="0041470A"/>
    <w:rsid w:val="00423093"/>
    <w:rsid w:val="0042385A"/>
    <w:rsid w:val="00423B17"/>
    <w:rsid w:val="004247CF"/>
    <w:rsid w:val="00425E70"/>
    <w:rsid w:val="00426E69"/>
    <w:rsid w:val="00431F72"/>
    <w:rsid w:val="00432F3B"/>
    <w:rsid w:val="00434FA5"/>
    <w:rsid w:val="004356E2"/>
    <w:rsid w:val="00437712"/>
    <w:rsid w:val="00440910"/>
    <w:rsid w:val="00440E0C"/>
    <w:rsid w:val="00441572"/>
    <w:rsid w:val="00446F69"/>
    <w:rsid w:val="004471F3"/>
    <w:rsid w:val="00454189"/>
    <w:rsid w:val="0045458F"/>
    <w:rsid w:val="00454C22"/>
    <w:rsid w:val="00455DE9"/>
    <w:rsid w:val="004567A1"/>
    <w:rsid w:val="00456C15"/>
    <w:rsid w:val="00457ADC"/>
    <w:rsid w:val="00457DE7"/>
    <w:rsid w:val="0046043A"/>
    <w:rsid w:val="00461D94"/>
    <w:rsid w:val="0046707E"/>
    <w:rsid w:val="004700A4"/>
    <w:rsid w:val="00471BBC"/>
    <w:rsid w:val="0047216A"/>
    <w:rsid w:val="00473483"/>
    <w:rsid w:val="00474FD9"/>
    <w:rsid w:val="00476F29"/>
    <w:rsid w:val="00477433"/>
    <w:rsid w:val="00486798"/>
    <w:rsid w:val="00490841"/>
    <w:rsid w:val="00490EDC"/>
    <w:rsid w:val="004927F6"/>
    <w:rsid w:val="004932FE"/>
    <w:rsid w:val="004A10CD"/>
    <w:rsid w:val="004A4852"/>
    <w:rsid w:val="004A5AF6"/>
    <w:rsid w:val="004A5F77"/>
    <w:rsid w:val="004B217E"/>
    <w:rsid w:val="004B3323"/>
    <w:rsid w:val="004B34C4"/>
    <w:rsid w:val="004B3F5B"/>
    <w:rsid w:val="004B7DA2"/>
    <w:rsid w:val="004C1152"/>
    <w:rsid w:val="004C2700"/>
    <w:rsid w:val="004C3444"/>
    <w:rsid w:val="004C536F"/>
    <w:rsid w:val="004C5783"/>
    <w:rsid w:val="004C69E8"/>
    <w:rsid w:val="004D7997"/>
    <w:rsid w:val="004E4685"/>
    <w:rsid w:val="004E7266"/>
    <w:rsid w:val="004E742D"/>
    <w:rsid w:val="004F77A5"/>
    <w:rsid w:val="0050155A"/>
    <w:rsid w:val="00502474"/>
    <w:rsid w:val="00505152"/>
    <w:rsid w:val="00505981"/>
    <w:rsid w:val="00505E35"/>
    <w:rsid w:val="0050685B"/>
    <w:rsid w:val="00511BF1"/>
    <w:rsid w:val="00511E00"/>
    <w:rsid w:val="0052494A"/>
    <w:rsid w:val="005273D6"/>
    <w:rsid w:val="00532492"/>
    <w:rsid w:val="005325DD"/>
    <w:rsid w:val="0053645A"/>
    <w:rsid w:val="0054157B"/>
    <w:rsid w:val="005441DC"/>
    <w:rsid w:val="00544DD9"/>
    <w:rsid w:val="00545229"/>
    <w:rsid w:val="005456ED"/>
    <w:rsid w:val="00546818"/>
    <w:rsid w:val="0055196B"/>
    <w:rsid w:val="00554C4D"/>
    <w:rsid w:val="005552AD"/>
    <w:rsid w:val="00560CBF"/>
    <w:rsid w:val="0056128D"/>
    <w:rsid w:val="005679E2"/>
    <w:rsid w:val="00567DED"/>
    <w:rsid w:val="005712FB"/>
    <w:rsid w:val="00577484"/>
    <w:rsid w:val="005806D9"/>
    <w:rsid w:val="00582319"/>
    <w:rsid w:val="00584307"/>
    <w:rsid w:val="00591815"/>
    <w:rsid w:val="00592ADD"/>
    <w:rsid w:val="00594809"/>
    <w:rsid w:val="00594A01"/>
    <w:rsid w:val="00597A48"/>
    <w:rsid w:val="005A083D"/>
    <w:rsid w:val="005A1920"/>
    <w:rsid w:val="005A2B2A"/>
    <w:rsid w:val="005A6AAF"/>
    <w:rsid w:val="005B1A33"/>
    <w:rsid w:val="005B3FDD"/>
    <w:rsid w:val="005B4D2A"/>
    <w:rsid w:val="005B4D4F"/>
    <w:rsid w:val="005B5683"/>
    <w:rsid w:val="005B6796"/>
    <w:rsid w:val="005C12A9"/>
    <w:rsid w:val="005C44A8"/>
    <w:rsid w:val="005C7D26"/>
    <w:rsid w:val="005D1969"/>
    <w:rsid w:val="005D1D10"/>
    <w:rsid w:val="005D4279"/>
    <w:rsid w:val="005E02F9"/>
    <w:rsid w:val="005E04FD"/>
    <w:rsid w:val="005E18C7"/>
    <w:rsid w:val="005E3FF7"/>
    <w:rsid w:val="005E59EA"/>
    <w:rsid w:val="005E62DD"/>
    <w:rsid w:val="005F10A6"/>
    <w:rsid w:val="005F3A52"/>
    <w:rsid w:val="005F5A03"/>
    <w:rsid w:val="005F5C24"/>
    <w:rsid w:val="00600218"/>
    <w:rsid w:val="006018C1"/>
    <w:rsid w:val="00601C26"/>
    <w:rsid w:val="006061B4"/>
    <w:rsid w:val="006100BD"/>
    <w:rsid w:val="00611FE5"/>
    <w:rsid w:val="006140AA"/>
    <w:rsid w:val="0062067C"/>
    <w:rsid w:val="00622F3E"/>
    <w:rsid w:val="006300AA"/>
    <w:rsid w:val="00632359"/>
    <w:rsid w:val="00632515"/>
    <w:rsid w:val="006336DE"/>
    <w:rsid w:val="00633FEF"/>
    <w:rsid w:val="0063501D"/>
    <w:rsid w:val="0064044F"/>
    <w:rsid w:val="00640598"/>
    <w:rsid w:val="0064101E"/>
    <w:rsid w:val="00650A66"/>
    <w:rsid w:val="00653FBF"/>
    <w:rsid w:val="006547E4"/>
    <w:rsid w:val="00661589"/>
    <w:rsid w:val="00662FBB"/>
    <w:rsid w:val="006634C7"/>
    <w:rsid w:val="00664E68"/>
    <w:rsid w:val="00673685"/>
    <w:rsid w:val="00674F67"/>
    <w:rsid w:val="00676B2D"/>
    <w:rsid w:val="00680E0A"/>
    <w:rsid w:val="00683518"/>
    <w:rsid w:val="00687549"/>
    <w:rsid w:val="0069077E"/>
    <w:rsid w:val="00690A2E"/>
    <w:rsid w:val="00696958"/>
    <w:rsid w:val="0069748D"/>
    <w:rsid w:val="006A51A4"/>
    <w:rsid w:val="006B079F"/>
    <w:rsid w:val="006B0CE3"/>
    <w:rsid w:val="006B28B7"/>
    <w:rsid w:val="006B6719"/>
    <w:rsid w:val="006B6F86"/>
    <w:rsid w:val="006C49F8"/>
    <w:rsid w:val="006D2C49"/>
    <w:rsid w:val="006D2F29"/>
    <w:rsid w:val="006D351E"/>
    <w:rsid w:val="006D5235"/>
    <w:rsid w:val="006D524C"/>
    <w:rsid w:val="006D6144"/>
    <w:rsid w:val="006F1B84"/>
    <w:rsid w:val="006F28B5"/>
    <w:rsid w:val="006F380C"/>
    <w:rsid w:val="006F5547"/>
    <w:rsid w:val="006F6508"/>
    <w:rsid w:val="007045D5"/>
    <w:rsid w:val="0070600F"/>
    <w:rsid w:val="0070695D"/>
    <w:rsid w:val="00710E75"/>
    <w:rsid w:val="00714D1A"/>
    <w:rsid w:val="007257D3"/>
    <w:rsid w:val="00726482"/>
    <w:rsid w:val="00727E6F"/>
    <w:rsid w:val="00730237"/>
    <w:rsid w:val="00731BB7"/>
    <w:rsid w:val="00735107"/>
    <w:rsid w:val="007414DC"/>
    <w:rsid w:val="007422BF"/>
    <w:rsid w:val="007475A6"/>
    <w:rsid w:val="00747A28"/>
    <w:rsid w:val="00752D60"/>
    <w:rsid w:val="00755955"/>
    <w:rsid w:val="0076180E"/>
    <w:rsid w:val="007621EF"/>
    <w:rsid w:val="00762838"/>
    <w:rsid w:val="0076747D"/>
    <w:rsid w:val="007812C3"/>
    <w:rsid w:val="00783436"/>
    <w:rsid w:val="00783953"/>
    <w:rsid w:val="00783CE7"/>
    <w:rsid w:val="00784540"/>
    <w:rsid w:val="007849D5"/>
    <w:rsid w:val="00785198"/>
    <w:rsid w:val="00785A14"/>
    <w:rsid w:val="00785C96"/>
    <w:rsid w:val="00786405"/>
    <w:rsid w:val="00786BB0"/>
    <w:rsid w:val="00792F74"/>
    <w:rsid w:val="007931CD"/>
    <w:rsid w:val="00793241"/>
    <w:rsid w:val="00793990"/>
    <w:rsid w:val="007959F6"/>
    <w:rsid w:val="007973B0"/>
    <w:rsid w:val="007A0BAA"/>
    <w:rsid w:val="007A0C73"/>
    <w:rsid w:val="007A1638"/>
    <w:rsid w:val="007A200A"/>
    <w:rsid w:val="007A4E8E"/>
    <w:rsid w:val="007A4F15"/>
    <w:rsid w:val="007A503C"/>
    <w:rsid w:val="007A6371"/>
    <w:rsid w:val="007A6483"/>
    <w:rsid w:val="007A71D8"/>
    <w:rsid w:val="007A7C5C"/>
    <w:rsid w:val="007B10DE"/>
    <w:rsid w:val="007B25B1"/>
    <w:rsid w:val="007B2BDC"/>
    <w:rsid w:val="007B4F40"/>
    <w:rsid w:val="007C03F9"/>
    <w:rsid w:val="007C56EA"/>
    <w:rsid w:val="007C6804"/>
    <w:rsid w:val="007C756B"/>
    <w:rsid w:val="007D09A9"/>
    <w:rsid w:val="007D4082"/>
    <w:rsid w:val="007D6563"/>
    <w:rsid w:val="007E01F2"/>
    <w:rsid w:val="007E0714"/>
    <w:rsid w:val="007E504A"/>
    <w:rsid w:val="007E76BF"/>
    <w:rsid w:val="007F2AB6"/>
    <w:rsid w:val="007F6CAB"/>
    <w:rsid w:val="0080009D"/>
    <w:rsid w:val="00800CDA"/>
    <w:rsid w:val="008014A8"/>
    <w:rsid w:val="00804D86"/>
    <w:rsid w:val="008067BB"/>
    <w:rsid w:val="00807C29"/>
    <w:rsid w:val="00807FB3"/>
    <w:rsid w:val="00817FB6"/>
    <w:rsid w:val="00822FE1"/>
    <w:rsid w:val="0082303E"/>
    <w:rsid w:val="008267CA"/>
    <w:rsid w:val="008304D1"/>
    <w:rsid w:val="00832089"/>
    <w:rsid w:val="00834E2C"/>
    <w:rsid w:val="0084068F"/>
    <w:rsid w:val="008425B0"/>
    <w:rsid w:val="00843F37"/>
    <w:rsid w:val="00856FD6"/>
    <w:rsid w:val="0086709D"/>
    <w:rsid w:val="00877AA2"/>
    <w:rsid w:val="00877CEA"/>
    <w:rsid w:val="00884805"/>
    <w:rsid w:val="008935F3"/>
    <w:rsid w:val="008A0F45"/>
    <w:rsid w:val="008B4091"/>
    <w:rsid w:val="008C061E"/>
    <w:rsid w:val="008C0850"/>
    <w:rsid w:val="008C2AF1"/>
    <w:rsid w:val="008C4EED"/>
    <w:rsid w:val="008D21ED"/>
    <w:rsid w:val="008D49F3"/>
    <w:rsid w:val="008D5447"/>
    <w:rsid w:val="008D5BC9"/>
    <w:rsid w:val="008E45A3"/>
    <w:rsid w:val="008E7474"/>
    <w:rsid w:val="008E7FDB"/>
    <w:rsid w:val="008F1148"/>
    <w:rsid w:val="009000D3"/>
    <w:rsid w:val="00902DE5"/>
    <w:rsid w:val="009049BC"/>
    <w:rsid w:val="00904D3E"/>
    <w:rsid w:val="009055A5"/>
    <w:rsid w:val="009164EE"/>
    <w:rsid w:val="009204A5"/>
    <w:rsid w:val="009220C4"/>
    <w:rsid w:val="0092225E"/>
    <w:rsid w:val="00922E90"/>
    <w:rsid w:val="00923238"/>
    <w:rsid w:val="00923A75"/>
    <w:rsid w:val="00931770"/>
    <w:rsid w:val="009339DC"/>
    <w:rsid w:val="00934CFB"/>
    <w:rsid w:val="0093520B"/>
    <w:rsid w:val="00936133"/>
    <w:rsid w:val="0093708D"/>
    <w:rsid w:val="009402B8"/>
    <w:rsid w:val="00940BB7"/>
    <w:rsid w:val="009415AF"/>
    <w:rsid w:val="00941B03"/>
    <w:rsid w:val="00941E64"/>
    <w:rsid w:val="00945627"/>
    <w:rsid w:val="00945D77"/>
    <w:rsid w:val="009502AF"/>
    <w:rsid w:val="0095168A"/>
    <w:rsid w:val="0095494D"/>
    <w:rsid w:val="0095627D"/>
    <w:rsid w:val="0096015F"/>
    <w:rsid w:val="0096030E"/>
    <w:rsid w:val="00963669"/>
    <w:rsid w:val="009957CD"/>
    <w:rsid w:val="009A0CF4"/>
    <w:rsid w:val="009A2D24"/>
    <w:rsid w:val="009A7ED2"/>
    <w:rsid w:val="009B1729"/>
    <w:rsid w:val="009B411B"/>
    <w:rsid w:val="009B5D24"/>
    <w:rsid w:val="009B755F"/>
    <w:rsid w:val="009B7C52"/>
    <w:rsid w:val="009C029B"/>
    <w:rsid w:val="009C0BF3"/>
    <w:rsid w:val="009C4668"/>
    <w:rsid w:val="009C467B"/>
    <w:rsid w:val="009C7D9F"/>
    <w:rsid w:val="009D1329"/>
    <w:rsid w:val="009D217F"/>
    <w:rsid w:val="009D2C4D"/>
    <w:rsid w:val="009D3905"/>
    <w:rsid w:val="009D6264"/>
    <w:rsid w:val="009E32D4"/>
    <w:rsid w:val="009E4704"/>
    <w:rsid w:val="009E4AB2"/>
    <w:rsid w:val="009E4C41"/>
    <w:rsid w:val="009E651E"/>
    <w:rsid w:val="009E6B67"/>
    <w:rsid w:val="009E6C5A"/>
    <w:rsid w:val="009F7483"/>
    <w:rsid w:val="00A0146C"/>
    <w:rsid w:val="00A01B47"/>
    <w:rsid w:val="00A024C3"/>
    <w:rsid w:val="00A028AE"/>
    <w:rsid w:val="00A04899"/>
    <w:rsid w:val="00A0531C"/>
    <w:rsid w:val="00A053D7"/>
    <w:rsid w:val="00A103AB"/>
    <w:rsid w:val="00A12383"/>
    <w:rsid w:val="00A16AB3"/>
    <w:rsid w:val="00A175C2"/>
    <w:rsid w:val="00A2284F"/>
    <w:rsid w:val="00A24271"/>
    <w:rsid w:val="00A251D1"/>
    <w:rsid w:val="00A25BD1"/>
    <w:rsid w:val="00A30590"/>
    <w:rsid w:val="00A313EB"/>
    <w:rsid w:val="00A328B7"/>
    <w:rsid w:val="00A33482"/>
    <w:rsid w:val="00A346C0"/>
    <w:rsid w:val="00A375C2"/>
    <w:rsid w:val="00A50271"/>
    <w:rsid w:val="00A51B3A"/>
    <w:rsid w:val="00A53E00"/>
    <w:rsid w:val="00A548D1"/>
    <w:rsid w:val="00A61F4C"/>
    <w:rsid w:val="00A62FD1"/>
    <w:rsid w:val="00A7499F"/>
    <w:rsid w:val="00A74A2F"/>
    <w:rsid w:val="00A75752"/>
    <w:rsid w:val="00A7710E"/>
    <w:rsid w:val="00A85174"/>
    <w:rsid w:val="00A85C4C"/>
    <w:rsid w:val="00A873FB"/>
    <w:rsid w:val="00A906D3"/>
    <w:rsid w:val="00A916A6"/>
    <w:rsid w:val="00A92563"/>
    <w:rsid w:val="00A93111"/>
    <w:rsid w:val="00A94E6F"/>
    <w:rsid w:val="00A95A44"/>
    <w:rsid w:val="00AA57E5"/>
    <w:rsid w:val="00AB1D71"/>
    <w:rsid w:val="00AB2F7E"/>
    <w:rsid w:val="00AB51B1"/>
    <w:rsid w:val="00AB61E1"/>
    <w:rsid w:val="00AB66D0"/>
    <w:rsid w:val="00AB7A5B"/>
    <w:rsid w:val="00AB7F30"/>
    <w:rsid w:val="00AC1664"/>
    <w:rsid w:val="00AC26B6"/>
    <w:rsid w:val="00AC47D0"/>
    <w:rsid w:val="00AD29DB"/>
    <w:rsid w:val="00AD2BE3"/>
    <w:rsid w:val="00AD2D42"/>
    <w:rsid w:val="00AD3698"/>
    <w:rsid w:val="00AD4E98"/>
    <w:rsid w:val="00AD5EB7"/>
    <w:rsid w:val="00AD6078"/>
    <w:rsid w:val="00AD66BC"/>
    <w:rsid w:val="00AD7540"/>
    <w:rsid w:val="00AE0EBB"/>
    <w:rsid w:val="00AE160C"/>
    <w:rsid w:val="00AE2733"/>
    <w:rsid w:val="00AE3745"/>
    <w:rsid w:val="00AE3FB9"/>
    <w:rsid w:val="00AE58D2"/>
    <w:rsid w:val="00AE6384"/>
    <w:rsid w:val="00AF032D"/>
    <w:rsid w:val="00AF0CAB"/>
    <w:rsid w:val="00AF5B84"/>
    <w:rsid w:val="00AF689D"/>
    <w:rsid w:val="00B0557B"/>
    <w:rsid w:val="00B0679F"/>
    <w:rsid w:val="00B11231"/>
    <w:rsid w:val="00B13E1D"/>
    <w:rsid w:val="00B15187"/>
    <w:rsid w:val="00B15FF5"/>
    <w:rsid w:val="00B17382"/>
    <w:rsid w:val="00B220C7"/>
    <w:rsid w:val="00B272D3"/>
    <w:rsid w:val="00B27618"/>
    <w:rsid w:val="00B3384E"/>
    <w:rsid w:val="00B33B90"/>
    <w:rsid w:val="00B36321"/>
    <w:rsid w:val="00B367B2"/>
    <w:rsid w:val="00B406B9"/>
    <w:rsid w:val="00B43024"/>
    <w:rsid w:val="00B467FC"/>
    <w:rsid w:val="00B472D5"/>
    <w:rsid w:val="00B512AA"/>
    <w:rsid w:val="00B51F49"/>
    <w:rsid w:val="00B52240"/>
    <w:rsid w:val="00B522BC"/>
    <w:rsid w:val="00B52868"/>
    <w:rsid w:val="00B5453B"/>
    <w:rsid w:val="00B54B18"/>
    <w:rsid w:val="00B57E08"/>
    <w:rsid w:val="00B60E4B"/>
    <w:rsid w:val="00B6305D"/>
    <w:rsid w:val="00B66E2F"/>
    <w:rsid w:val="00B7114A"/>
    <w:rsid w:val="00B7186F"/>
    <w:rsid w:val="00B718F7"/>
    <w:rsid w:val="00B72AD9"/>
    <w:rsid w:val="00B77389"/>
    <w:rsid w:val="00B774FE"/>
    <w:rsid w:val="00B83611"/>
    <w:rsid w:val="00B8385B"/>
    <w:rsid w:val="00B84EB4"/>
    <w:rsid w:val="00B868F5"/>
    <w:rsid w:val="00B87D9C"/>
    <w:rsid w:val="00B90A99"/>
    <w:rsid w:val="00B91A5B"/>
    <w:rsid w:val="00B92EA0"/>
    <w:rsid w:val="00B94548"/>
    <w:rsid w:val="00B972F1"/>
    <w:rsid w:val="00BA2E5E"/>
    <w:rsid w:val="00BA3AC6"/>
    <w:rsid w:val="00BA5859"/>
    <w:rsid w:val="00BB09B2"/>
    <w:rsid w:val="00BB2707"/>
    <w:rsid w:val="00BB2B2F"/>
    <w:rsid w:val="00BB4183"/>
    <w:rsid w:val="00BB4835"/>
    <w:rsid w:val="00BC0D68"/>
    <w:rsid w:val="00BC0D90"/>
    <w:rsid w:val="00BC3441"/>
    <w:rsid w:val="00BC7047"/>
    <w:rsid w:val="00BC75E2"/>
    <w:rsid w:val="00BD0435"/>
    <w:rsid w:val="00BD7A16"/>
    <w:rsid w:val="00BE0327"/>
    <w:rsid w:val="00BE1F7F"/>
    <w:rsid w:val="00BE55E8"/>
    <w:rsid w:val="00BE5920"/>
    <w:rsid w:val="00BE6971"/>
    <w:rsid w:val="00BF006B"/>
    <w:rsid w:val="00BF10CA"/>
    <w:rsid w:val="00BF140B"/>
    <w:rsid w:val="00BF14B5"/>
    <w:rsid w:val="00BF47A6"/>
    <w:rsid w:val="00BF559B"/>
    <w:rsid w:val="00BF7872"/>
    <w:rsid w:val="00C040FD"/>
    <w:rsid w:val="00C04BDD"/>
    <w:rsid w:val="00C05E75"/>
    <w:rsid w:val="00C07272"/>
    <w:rsid w:val="00C109C2"/>
    <w:rsid w:val="00C13C95"/>
    <w:rsid w:val="00C2073D"/>
    <w:rsid w:val="00C20966"/>
    <w:rsid w:val="00C21A2F"/>
    <w:rsid w:val="00C2264A"/>
    <w:rsid w:val="00C22669"/>
    <w:rsid w:val="00C22A06"/>
    <w:rsid w:val="00C22DFD"/>
    <w:rsid w:val="00C26006"/>
    <w:rsid w:val="00C26E09"/>
    <w:rsid w:val="00C271B7"/>
    <w:rsid w:val="00C2754B"/>
    <w:rsid w:val="00C2761F"/>
    <w:rsid w:val="00C30365"/>
    <w:rsid w:val="00C318C7"/>
    <w:rsid w:val="00C31D95"/>
    <w:rsid w:val="00C37ED5"/>
    <w:rsid w:val="00C44404"/>
    <w:rsid w:val="00C44809"/>
    <w:rsid w:val="00C45D6B"/>
    <w:rsid w:val="00C51DBF"/>
    <w:rsid w:val="00C52A08"/>
    <w:rsid w:val="00C534E1"/>
    <w:rsid w:val="00C56A45"/>
    <w:rsid w:val="00C6025B"/>
    <w:rsid w:val="00C64D52"/>
    <w:rsid w:val="00C7229B"/>
    <w:rsid w:val="00C73B74"/>
    <w:rsid w:val="00C74DA9"/>
    <w:rsid w:val="00C765B3"/>
    <w:rsid w:val="00C77E9C"/>
    <w:rsid w:val="00C801D3"/>
    <w:rsid w:val="00C80274"/>
    <w:rsid w:val="00C81637"/>
    <w:rsid w:val="00C8679B"/>
    <w:rsid w:val="00C87D72"/>
    <w:rsid w:val="00C902B2"/>
    <w:rsid w:val="00C94A95"/>
    <w:rsid w:val="00CA0FC4"/>
    <w:rsid w:val="00CA1E2B"/>
    <w:rsid w:val="00CA2105"/>
    <w:rsid w:val="00CA266A"/>
    <w:rsid w:val="00CA6C4D"/>
    <w:rsid w:val="00CB01F9"/>
    <w:rsid w:val="00CB0927"/>
    <w:rsid w:val="00CB1892"/>
    <w:rsid w:val="00CB20FB"/>
    <w:rsid w:val="00CB68DC"/>
    <w:rsid w:val="00CB6E3A"/>
    <w:rsid w:val="00CB6EED"/>
    <w:rsid w:val="00CB7C35"/>
    <w:rsid w:val="00CC15A8"/>
    <w:rsid w:val="00CC4292"/>
    <w:rsid w:val="00CC60F1"/>
    <w:rsid w:val="00CC651D"/>
    <w:rsid w:val="00CC6616"/>
    <w:rsid w:val="00CC6B01"/>
    <w:rsid w:val="00CC7F8D"/>
    <w:rsid w:val="00CD164C"/>
    <w:rsid w:val="00CD1940"/>
    <w:rsid w:val="00CD27C0"/>
    <w:rsid w:val="00CD2C5A"/>
    <w:rsid w:val="00CD39D5"/>
    <w:rsid w:val="00CD693D"/>
    <w:rsid w:val="00CD703B"/>
    <w:rsid w:val="00CE00A5"/>
    <w:rsid w:val="00CE01B7"/>
    <w:rsid w:val="00CE465F"/>
    <w:rsid w:val="00CE7571"/>
    <w:rsid w:val="00CF15C4"/>
    <w:rsid w:val="00CF3360"/>
    <w:rsid w:val="00CF341F"/>
    <w:rsid w:val="00CF7386"/>
    <w:rsid w:val="00D004D4"/>
    <w:rsid w:val="00D012DD"/>
    <w:rsid w:val="00D01EDB"/>
    <w:rsid w:val="00D01EE7"/>
    <w:rsid w:val="00D0381D"/>
    <w:rsid w:val="00D076AF"/>
    <w:rsid w:val="00D117E7"/>
    <w:rsid w:val="00D211AF"/>
    <w:rsid w:val="00D21661"/>
    <w:rsid w:val="00D22649"/>
    <w:rsid w:val="00D24D13"/>
    <w:rsid w:val="00D40676"/>
    <w:rsid w:val="00D522FF"/>
    <w:rsid w:val="00D54805"/>
    <w:rsid w:val="00D55F34"/>
    <w:rsid w:val="00D602A1"/>
    <w:rsid w:val="00D61F1C"/>
    <w:rsid w:val="00D656AA"/>
    <w:rsid w:val="00D67232"/>
    <w:rsid w:val="00D745D7"/>
    <w:rsid w:val="00D7469A"/>
    <w:rsid w:val="00D74750"/>
    <w:rsid w:val="00D76C7E"/>
    <w:rsid w:val="00D80FC5"/>
    <w:rsid w:val="00D81556"/>
    <w:rsid w:val="00D85A7D"/>
    <w:rsid w:val="00D86968"/>
    <w:rsid w:val="00D86C23"/>
    <w:rsid w:val="00D92030"/>
    <w:rsid w:val="00D94449"/>
    <w:rsid w:val="00D94FAE"/>
    <w:rsid w:val="00D97DA7"/>
    <w:rsid w:val="00DA1DE4"/>
    <w:rsid w:val="00DA2794"/>
    <w:rsid w:val="00DA2A43"/>
    <w:rsid w:val="00DA484C"/>
    <w:rsid w:val="00DA52DA"/>
    <w:rsid w:val="00DA5AD6"/>
    <w:rsid w:val="00DC0839"/>
    <w:rsid w:val="00DC1312"/>
    <w:rsid w:val="00DC2C8C"/>
    <w:rsid w:val="00DC31CA"/>
    <w:rsid w:val="00DC51F3"/>
    <w:rsid w:val="00DD0E23"/>
    <w:rsid w:val="00DD13D5"/>
    <w:rsid w:val="00DD26E2"/>
    <w:rsid w:val="00DD365E"/>
    <w:rsid w:val="00DD41F0"/>
    <w:rsid w:val="00DD5FF2"/>
    <w:rsid w:val="00DD745A"/>
    <w:rsid w:val="00DE2629"/>
    <w:rsid w:val="00DE3CF7"/>
    <w:rsid w:val="00DE5975"/>
    <w:rsid w:val="00DE7FC1"/>
    <w:rsid w:val="00DF38CE"/>
    <w:rsid w:val="00DF4AE9"/>
    <w:rsid w:val="00DF77FC"/>
    <w:rsid w:val="00E01935"/>
    <w:rsid w:val="00E03B16"/>
    <w:rsid w:val="00E048EA"/>
    <w:rsid w:val="00E124B3"/>
    <w:rsid w:val="00E13ACA"/>
    <w:rsid w:val="00E145F6"/>
    <w:rsid w:val="00E17A40"/>
    <w:rsid w:val="00E246C5"/>
    <w:rsid w:val="00E26547"/>
    <w:rsid w:val="00E26750"/>
    <w:rsid w:val="00E27DE7"/>
    <w:rsid w:val="00E33D48"/>
    <w:rsid w:val="00E420B6"/>
    <w:rsid w:val="00E4231C"/>
    <w:rsid w:val="00E43429"/>
    <w:rsid w:val="00E450ED"/>
    <w:rsid w:val="00E4579A"/>
    <w:rsid w:val="00E47031"/>
    <w:rsid w:val="00E519D2"/>
    <w:rsid w:val="00E52F22"/>
    <w:rsid w:val="00E56319"/>
    <w:rsid w:val="00E61C23"/>
    <w:rsid w:val="00E62D5E"/>
    <w:rsid w:val="00E63FC0"/>
    <w:rsid w:val="00E64677"/>
    <w:rsid w:val="00E651B8"/>
    <w:rsid w:val="00E7116E"/>
    <w:rsid w:val="00E71D72"/>
    <w:rsid w:val="00E73D8A"/>
    <w:rsid w:val="00E75EB2"/>
    <w:rsid w:val="00E766F2"/>
    <w:rsid w:val="00E77A3D"/>
    <w:rsid w:val="00E90008"/>
    <w:rsid w:val="00E92A53"/>
    <w:rsid w:val="00E9589B"/>
    <w:rsid w:val="00E9619E"/>
    <w:rsid w:val="00EA145D"/>
    <w:rsid w:val="00EA2099"/>
    <w:rsid w:val="00EA4F61"/>
    <w:rsid w:val="00EA68F5"/>
    <w:rsid w:val="00EB4C01"/>
    <w:rsid w:val="00EC3B8F"/>
    <w:rsid w:val="00EC4B86"/>
    <w:rsid w:val="00EC5118"/>
    <w:rsid w:val="00EC7384"/>
    <w:rsid w:val="00ED1ED7"/>
    <w:rsid w:val="00ED4024"/>
    <w:rsid w:val="00EE0311"/>
    <w:rsid w:val="00EE115E"/>
    <w:rsid w:val="00EE1F9E"/>
    <w:rsid w:val="00EE6B80"/>
    <w:rsid w:val="00EE7443"/>
    <w:rsid w:val="00EF034A"/>
    <w:rsid w:val="00EF13DF"/>
    <w:rsid w:val="00EF1F32"/>
    <w:rsid w:val="00EF3CAA"/>
    <w:rsid w:val="00EF6AC8"/>
    <w:rsid w:val="00F0096E"/>
    <w:rsid w:val="00F02741"/>
    <w:rsid w:val="00F03B9C"/>
    <w:rsid w:val="00F05907"/>
    <w:rsid w:val="00F07AB1"/>
    <w:rsid w:val="00F13137"/>
    <w:rsid w:val="00F155D6"/>
    <w:rsid w:val="00F16803"/>
    <w:rsid w:val="00F1742E"/>
    <w:rsid w:val="00F174F3"/>
    <w:rsid w:val="00F17BFE"/>
    <w:rsid w:val="00F20A9F"/>
    <w:rsid w:val="00F22B0B"/>
    <w:rsid w:val="00F23655"/>
    <w:rsid w:val="00F250CD"/>
    <w:rsid w:val="00F25331"/>
    <w:rsid w:val="00F270D0"/>
    <w:rsid w:val="00F312D2"/>
    <w:rsid w:val="00F3203C"/>
    <w:rsid w:val="00F34AD6"/>
    <w:rsid w:val="00F37FF0"/>
    <w:rsid w:val="00F422FB"/>
    <w:rsid w:val="00F466A2"/>
    <w:rsid w:val="00F47C27"/>
    <w:rsid w:val="00F549A6"/>
    <w:rsid w:val="00F54D21"/>
    <w:rsid w:val="00F55AA9"/>
    <w:rsid w:val="00F57526"/>
    <w:rsid w:val="00F60F10"/>
    <w:rsid w:val="00F66B62"/>
    <w:rsid w:val="00F70BCE"/>
    <w:rsid w:val="00F73062"/>
    <w:rsid w:val="00F7359D"/>
    <w:rsid w:val="00F76F5A"/>
    <w:rsid w:val="00F77540"/>
    <w:rsid w:val="00F81A2D"/>
    <w:rsid w:val="00F84548"/>
    <w:rsid w:val="00F84621"/>
    <w:rsid w:val="00F8478D"/>
    <w:rsid w:val="00F8750E"/>
    <w:rsid w:val="00F87D55"/>
    <w:rsid w:val="00F90B2D"/>
    <w:rsid w:val="00F96B13"/>
    <w:rsid w:val="00FA1235"/>
    <w:rsid w:val="00FA3430"/>
    <w:rsid w:val="00FA367F"/>
    <w:rsid w:val="00FA3877"/>
    <w:rsid w:val="00FA771C"/>
    <w:rsid w:val="00FB47B2"/>
    <w:rsid w:val="00FB4B53"/>
    <w:rsid w:val="00FC03D6"/>
    <w:rsid w:val="00FC213C"/>
    <w:rsid w:val="00FC4173"/>
    <w:rsid w:val="00FC6BDA"/>
    <w:rsid w:val="00FC78BD"/>
    <w:rsid w:val="00FD1700"/>
    <w:rsid w:val="00FD23D1"/>
    <w:rsid w:val="00FD37D9"/>
    <w:rsid w:val="00FD3F3B"/>
    <w:rsid w:val="00FD5846"/>
    <w:rsid w:val="00FD6C6B"/>
    <w:rsid w:val="00FD7715"/>
    <w:rsid w:val="00FE07A5"/>
    <w:rsid w:val="00FE4072"/>
    <w:rsid w:val="00FE5D76"/>
    <w:rsid w:val="00FF1ADB"/>
    <w:rsid w:val="00FF295D"/>
    <w:rsid w:val="00FF305A"/>
    <w:rsid w:val="00FF4FAE"/>
    <w:rsid w:val="00FF509A"/>
    <w:rsid w:val="00FF584E"/>
    <w:rsid w:val="00FF6CDE"/>
    <w:rsid w:val="00FF71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6E6DB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C6C39"/>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592AD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592ADD"/>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592ADD"/>
    <w:rPr>
      <w:vertAlign w:val="superscript"/>
    </w:rPr>
  </w:style>
  <w:style w:type="character" w:styleId="Hyperlink">
    <w:name w:val="Hyperlink"/>
    <w:basedOn w:val="DefaultParagraphFont"/>
    <w:uiPriority w:val="99"/>
    <w:unhideWhenUsed/>
    <w:rsid w:val="00F54D21"/>
    <w:rPr>
      <w:color w:val="0000FF"/>
      <w:u w:val="single"/>
    </w:rPr>
  </w:style>
  <w:style w:type="paragraph" w:styleId="NormalWeb">
    <w:name w:val="Normal (Web)"/>
    <w:basedOn w:val="Normal"/>
    <w:uiPriority w:val="99"/>
    <w:unhideWhenUsed/>
    <w:rsid w:val="00F54D2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2067C"/>
    <w:pPr>
      <w:ind w:left="720"/>
      <w:contextualSpacing/>
    </w:pPr>
  </w:style>
  <w:style w:type="character" w:styleId="FollowedHyperlink">
    <w:name w:val="FollowedHyperlink"/>
    <w:basedOn w:val="DefaultParagraphFont"/>
    <w:uiPriority w:val="99"/>
    <w:semiHidden/>
    <w:unhideWhenUsed/>
    <w:rsid w:val="003100DD"/>
    <w:rPr>
      <w:color w:val="800080" w:themeColor="followedHyperlink"/>
      <w:u w:val="single"/>
    </w:rPr>
  </w:style>
  <w:style w:type="paragraph" w:customStyle="1" w:styleId="doccite1">
    <w:name w:val="doccite1"/>
    <w:basedOn w:val="Normal"/>
    <w:rsid w:val="00EF3CAA"/>
    <w:pPr>
      <w:spacing w:after="0" w:line="240" w:lineRule="auto"/>
    </w:pPr>
    <w:rPr>
      <w:rFonts w:ascii="Times New Roman" w:eastAsia="Times New Roman" w:hAnsi="Times New Roman" w:cs="Times New Roman"/>
      <w:sz w:val="20"/>
      <w:szCs w:val="20"/>
      <w:lang w:val="en-US"/>
    </w:rPr>
  </w:style>
  <w:style w:type="character" w:styleId="Emphasis">
    <w:name w:val="Emphasis"/>
    <w:basedOn w:val="DefaultParagraphFont"/>
    <w:uiPriority w:val="20"/>
    <w:qFormat/>
    <w:rsid w:val="00752D60"/>
    <w:rPr>
      <w:i/>
      <w:iCs/>
    </w:rPr>
  </w:style>
  <w:style w:type="character" w:customStyle="1" w:styleId="slug-vol">
    <w:name w:val="slug-vol"/>
    <w:basedOn w:val="DefaultParagraphFont"/>
    <w:rsid w:val="00B57E08"/>
  </w:style>
  <w:style w:type="character" w:customStyle="1" w:styleId="slug-issue">
    <w:name w:val="slug-issue"/>
    <w:basedOn w:val="DefaultParagraphFont"/>
    <w:rsid w:val="00B57E08"/>
  </w:style>
  <w:style w:type="character" w:styleId="Strong">
    <w:name w:val="Strong"/>
    <w:basedOn w:val="DefaultParagraphFont"/>
    <w:uiPriority w:val="22"/>
    <w:qFormat/>
    <w:rsid w:val="009D217F"/>
    <w:rPr>
      <w:b/>
      <w:bCs/>
    </w:rPr>
  </w:style>
  <w:style w:type="paragraph" w:styleId="Footer">
    <w:name w:val="footer"/>
    <w:basedOn w:val="Normal"/>
    <w:link w:val="FooterChar"/>
    <w:uiPriority w:val="99"/>
    <w:unhideWhenUsed/>
    <w:rsid w:val="002F7F4D"/>
    <w:pPr>
      <w:tabs>
        <w:tab w:val="center" w:pos="4320"/>
        <w:tab w:val="right" w:pos="8640"/>
      </w:tabs>
      <w:spacing w:after="0" w:line="240" w:lineRule="auto"/>
    </w:pPr>
  </w:style>
  <w:style w:type="character" w:customStyle="1" w:styleId="FooterChar">
    <w:name w:val="Footer Char"/>
    <w:basedOn w:val="DefaultParagraphFont"/>
    <w:link w:val="Footer"/>
    <w:uiPriority w:val="99"/>
    <w:rsid w:val="002F7F4D"/>
    <w:rPr>
      <w:lang w:val="en-GB"/>
    </w:rPr>
  </w:style>
  <w:style w:type="character" w:styleId="PageNumber">
    <w:name w:val="page number"/>
    <w:basedOn w:val="DefaultParagraphFont"/>
    <w:uiPriority w:val="99"/>
    <w:semiHidden/>
    <w:unhideWhenUsed/>
    <w:rsid w:val="002F7F4D"/>
  </w:style>
  <w:style w:type="character" w:styleId="CommentReference">
    <w:name w:val="annotation reference"/>
    <w:basedOn w:val="DefaultParagraphFont"/>
    <w:uiPriority w:val="99"/>
    <w:semiHidden/>
    <w:unhideWhenUsed/>
    <w:rsid w:val="003E6A16"/>
    <w:rPr>
      <w:sz w:val="18"/>
      <w:szCs w:val="18"/>
    </w:rPr>
  </w:style>
  <w:style w:type="paragraph" w:styleId="CommentText">
    <w:name w:val="annotation text"/>
    <w:basedOn w:val="Normal"/>
    <w:link w:val="CommentTextChar"/>
    <w:uiPriority w:val="99"/>
    <w:semiHidden/>
    <w:unhideWhenUsed/>
    <w:rsid w:val="003E6A16"/>
    <w:pPr>
      <w:spacing w:line="240" w:lineRule="auto"/>
    </w:pPr>
    <w:rPr>
      <w:sz w:val="24"/>
      <w:szCs w:val="24"/>
    </w:rPr>
  </w:style>
  <w:style w:type="character" w:customStyle="1" w:styleId="CommentTextChar">
    <w:name w:val="Comment Text Char"/>
    <w:basedOn w:val="DefaultParagraphFont"/>
    <w:link w:val="CommentText"/>
    <w:uiPriority w:val="99"/>
    <w:semiHidden/>
    <w:rsid w:val="003E6A16"/>
    <w:rPr>
      <w:sz w:val="24"/>
      <w:szCs w:val="24"/>
      <w:lang w:val="en-GB"/>
    </w:rPr>
  </w:style>
  <w:style w:type="paragraph" w:styleId="CommentSubject">
    <w:name w:val="annotation subject"/>
    <w:basedOn w:val="CommentText"/>
    <w:next w:val="CommentText"/>
    <w:link w:val="CommentSubjectChar"/>
    <w:uiPriority w:val="99"/>
    <w:semiHidden/>
    <w:unhideWhenUsed/>
    <w:rsid w:val="003E6A16"/>
    <w:rPr>
      <w:b/>
      <w:bCs/>
      <w:sz w:val="20"/>
      <w:szCs w:val="20"/>
    </w:rPr>
  </w:style>
  <w:style w:type="character" w:customStyle="1" w:styleId="CommentSubjectChar">
    <w:name w:val="Comment Subject Char"/>
    <w:basedOn w:val="CommentTextChar"/>
    <w:link w:val="CommentSubject"/>
    <w:uiPriority w:val="99"/>
    <w:semiHidden/>
    <w:rsid w:val="003E6A16"/>
    <w:rPr>
      <w:b/>
      <w:bCs/>
      <w:sz w:val="20"/>
      <w:szCs w:val="20"/>
      <w:lang w:val="en-GB"/>
    </w:rPr>
  </w:style>
  <w:style w:type="paragraph" w:styleId="BalloonText">
    <w:name w:val="Balloon Text"/>
    <w:basedOn w:val="Normal"/>
    <w:link w:val="BalloonTextChar"/>
    <w:uiPriority w:val="99"/>
    <w:semiHidden/>
    <w:unhideWhenUsed/>
    <w:rsid w:val="003E6A1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E6A16"/>
    <w:rPr>
      <w:rFonts w:ascii="Lucida Grande" w:hAnsi="Lucida Grande"/>
      <w:sz w:val="18"/>
      <w:szCs w:val="18"/>
      <w:lang w:val="en-GB"/>
    </w:rPr>
  </w:style>
  <w:style w:type="paragraph" w:styleId="Revision">
    <w:name w:val="Revision"/>
    <w:hidden/>
    <w:uiPriority w:val="99"/>
    <w:semiHidden/>
    <w:rsid w:val="00CE00A5"/>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55492">
      <w:bodyDiv w:val="1"/>
      <w:marLeft w:val="0"/>
      <w:marRight w:val="0"/>
      <w:marTop w:val="0"/>
      <w:marBottom w:val="0"/>
      <w:divBdr>
        <w:top w:val="none" w:sz="0" w:space="0" w:color="auto"/>
        <w:left w:val="none" w:sz="0" w:space="0" w:color="auto"/>
        <w:bottom w:val="none" w:sz="0" w:space="0" w:color="auto"/>
        <w:right w:val="none" w:sz="0" w:space="0" w:color="auto"/>
      </w:divBdr>
      <w:divsChild>
        <w:div w:id="1408459966">
          <w:marLeft w:val="0"/>
          <w:marRight w:val="0"/>
          <w:marTop w:val="0"/>
          <w:marBottom w:val="0"/>
          <w:divBdr>
            <w:top w:val="none" w:sz="0" w:space="0" w:color="auto"/>
            <w:left w:val="none" w:sz="0" w:space="0" w:color="auto"/>
            <w:bottom w:val="none" w:sz="0" w:space="0" w:color="auto"/>
            <w:right w:val="none" w:sz="0" w:space="0" w:color="auto"/>
          </w:divBdr>
          <w:divsChild>
            <w:div w:id="128341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365711">
      <w:bodyDiv w:val="1"/>
      <w:marLeft w:val="0"/>
      <w:marRight w:val="0"/>
      <w:marTop w:val="0"/>
      <w:marBottom w:val="0"/>
      <w:divBdr>
        <w:top w:val="none" w:sz="0" w:space="0" w:color="auto"/>
        <w:left w:val="none" w:sz="0" w:space="0" w:color="auto"/>
        <w:bottom w:val="none" w:sz="0" w:space="0" w:color="auto"/>
        <w:right w:val="none" w:sz="0" w:space="0" w:color="auto"/>
      </w:divBdr>
      <w:divsChild>
        <w:div w:id="759254389">
          <w:marLeft w:val="0"/>
          <w:marRight w:val="0"/>
          <w:marTop w:val="0"/>
          <w:marBottom w:val="0"/>
          <w:divBdr>
            <w:top w:val="none" w:sz="0" w:space="0" w:color="auto"/>
            <w:left w:val="none" w:sz="0" w:space="0" w:color="auto"/>
            <w:bottom w:val="none" w:sz="0" w:space="0" w:color="auto"/>
            <w:right w:val="none" w:sz="0" w:space="0" w:color="auto"/>
          </w:divBdr>
          <w:divsChild>
            <w:div w:id="200666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06361">
      <w:bodyDiv w:val="1"/>
      <w:marLeft w:val="0"/>
      <w:marRight w:val="0"/>
      <w:marTop w:val="0"/>
      <w:marBottom w:val="0"/>
      <w:divBdr>
        <w:top w:val="none" w:sz="0" w:space="0" w:color="auto"/>
        <w:left w:val="none" w:sz="0" w:space="0" w:color="auto"/>
        <w:bottom w:val="none" w:sz="0" w:space="0" w:color="auto"/>
        <w:right w:val="none" w:sz="0" w:space="0" w:color="auto"/>
      </w:divBdr>
      <w:divsChild>
        <w:div w:id="1097214429">
          <w:marLeft w:val="0"/>
          <w:marRight w:val="0"/>
          <w:marTop w:val="0"/>
          <w:marBottom w:val="0"/>
          <w:divBdr>
            <w:top w:val="none" w:sz="0" w:space="0" w:color="auto"/>
            <w:left w:val="none" w:sz="0" w:space="0" w:color="auto"/>
            <w:bottom w:val="none" w:sz="0" w:space="0" w:color="auto"/>
            <w:right w:val="none" w:sz="0" w:space="0" w:color="auto"/>
          </w:divBdr>
          <w:divsChild>
            <w:div w:id="1339505096">
              <w:marLeft w:val="0"/>
              <w:marRight w:val="0"/>
              <w:marTop w:val="0"/>
              <w:marBottom w:val="0"/>
              <w:divBdr>
                <w:top w:val="none" w:sz="0" w:space="0" w:color="auto"/>
                <w:left w:val="none" w:sz="0" w:space="0" w:color="auto"/>
                <w:bottom w:val="none" w:sz="0" w:space="0" w:color="auto"/>
                <w:right w:val="none" w:sz="0" w:space="0" w:color="auto"/>
              </w:divBdr>
              <w:divsChild>
                <w:div w:id="391270701">
                  <w:marLeft w:val="0"/>
                  <w:marRight w:val="0"/>
                  <w:marTop w:val="0"/>
                  <w:marBottom w:val="0"/>
                  <w:divBdr>
                    <w:top w:val="none" w:sz="0" w:space="0" w:color="auto"/>
                    <w:left w:val="none" w:sz="0" w:space="0" w:color="auto"/>
                    <w:bottom w:val="none" w:sz="0" w:space="0" w:color="auto"/>
                    <w:right w:val="none" w:sz="0" w:space="0" w:color="auto"/>
                  </w:divBdr>
                  <w:divsChild>
                    <w:div w:id="366490918">
                      <w:marLeft w:val="0"/>
                      <w:marRight w:val="0"/>
                      <w:marTop w:val="0"/>
                      <w:marBottom w:val="0"/>
                      <w:divBdr>
                        <w:top w:val="none" w:sz="0" w:space="0" w:color="auto"/>
                        <w:left w:val="none" w:sz="0" w:space="0" w:color="auto"/>
                        <w:bottom w:val="none" w:sz="0" w:space="0" w:color="auto"/>
                        <w:right w:val="none" w:sz="0" w:space="0" w:color="auto"/>
                      </w:divBdr>
                      <w:divsChild>
                        <w:div w:id="97845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3581963">
      <w:bodyDiv w:val="1"/>
      <w:marLeft w:val="0"/>
      <w:marRight w:val="0"/>
      <w:marTop w:val="0"/>
      <w:marBottom w:val="0"/>
      <w:divBdr>
        <w:top w:val="none" w:sz="0" w:space="0" w:color="auto"/>
        <w:left w:val="none" w:sz="0" w:space="0" w:color="auto"/>
        <w:bottom w:val="none" w:sz="0" w:space="0" w:color="auto"/>
        <w:right w:val="none" w:sz="0" w:space="0" w:color="auto"/>
      </w:divBdr>
      <w:divsChild>
        <w:div w:id="1801192219">
          <w:marLeft w:val="0"/>
          <w:marRight w:val="75"/>
          <w:marTop w:val="0"/>
          <w:marBottom w:val="0"/>
          <w:divBdr>
            <w:top w:val="none" w:sz="0" w:space="0" w:color="auto"/>
            <w:left w:val="single" w:sz="6" w:space="2" w:color="DDDDDD"/>
            <w:bottom w:val="single" w:sz="6" w:space="2" w:color="DDDDDD"/>
            <w:right w:val="none" w:sz="0" w:space="0" w:color="auto"/>
          </w:divBdr>
          <w:divsChild>
            <w:div w:id="1190407991">
              <w:marLeft w:val="0"/>
              <w:marRight w:val="0"/>
              <w:marTop w:val="0"/>
              <w:marBottom w:val="0"/>
              <w:divBdr>
                <w:top w:val="single" w:sz="6" w:space="8" w:color="A6B5C7"/>
                <w:left w:val="single" w:sz="6" w:space="8" w:color="A6B5C7"/>
                <w:bottom w:val="single" w:sz="6" w:space="8" w:color="A6B5C7"/>
                <w:right w:val="single" w:sz="6" w:space="8" w:color="A6B5C7"/>
              </w:divBdr>
              <w:divsChild>
                <w:div w:id="661545782">
                  <w:marLeft w:val="0"/>
                  <w:marRight w:val="0"/>
                  <w:marTop w:val="0"/>
                  <w:marBottom w:val="0"/>
                  <w:divBdr>
                    <w:top w:val="single" w:sz="6" w:space="4" w:color="E4E4E4"/>
                    <w:left w:val="single" w:sz="6" w:space="19" w:color="E4E4E4"/>
                    <w:bottom w:val="single" w:sz="6" w:space="8" w:color="E4E4E4"/>
                    <w:right w:val="single" w:sz="6" w:space="15" w:color="E4E4E4"/>
                  </w:divBdr>
                </w:div>
              </w:divsChild>
            </w:div>
          </w:divsChild>
        </w:div>
      </w:divsChild>
    </w:div>
    <w:div w:id="841237746">
      <w:bodyDiv w:val="1"/>
      <w:marLeft w:val="0"/>
      <w:marRight w:val="0"/>
      <w:marTop w:val="0"/>
      <w:marBottom w:val="0"/>
      <w:divBdr>
        <w:top w:val="none" w:sz="0" w:space="0" w:color="auto"/>
        <w:left w:val="none" w:sz="0" w:space="0" w:color="auto"/>
        <w:bottom w:val="none" w:sz="0" w:space="0" w:color="auto"/>
        <w:right w:val="none" w:sz="0" w:space="0" w:color="auto"/>
      </w:divBdr>
      <w:divsChild>
        <w:div w:id="546724081">
          <w:marLeft w:val="0"/>
          <w:marRight w:val="0"/>
          <w:marTop w:val="0"/>
          <w:marBottom w:val="0"/>
          <w:divBdr>
            <w:top w:val="none" w:sz="0" w:space="0" w:color="auto"/>
            <w:left w:val="none" w:sz="0" w:space="0" w:color="auto"/>
            <w:bottom w:val="none" w:sz="0" w:space="0" w:color="auto"/>
            <w:right w:val="none" w:sz="0" w:space="0" w:color="auto"/>
          </w:divBdr>
          <w:divsChild>
            <w:div w:id="1553275480">
              <w:marLeft w:val="0"/>
              <w:marRight w:val="0"/>
              <w:marTop w:val="0"/>
              <w:marBottom w:val="0"/>
              <w:divBdr>
                <w:top w:val="none" w:sz="0" w:space="0" w:color="auto"/>
                <w:left w:val="none" w:sz="0" w:space="0" w:color="auto"/>
                <w:bottom w:val="none" w:sz="0" w:space="0" w:color="auto"/>
                <w:right w:val="none" w:sz="0" w:space="0" w:color="auto"/>
              </w:divBdr>
              <w:divsChild>
                <w:div w:id="116416471">
                  <w:marLeft w:val="0"/>
                  <w:marRight w:val="0"/>
                  <w:marTop w:val="0"/>
                  <w:marBottom w:val="0"/>
                  <w:divBdr>
                    <w:top w:val="none" w:sz="0" w:space="0" w:color="auto"/>
                    <w:left w:val="none" w:sz="0" w:space="0" w:color="auto"/>
                    <w:bottom w:val="none" w:sz="0" w:space="0" w:color="auto"/>
                    <w:right w:val="none" w:sz="0" w:space="0" w:color="auto"/>
                  </w:divBdr>
                  <w:divsChild>
                    <w:div w:id="1377312336">
                      <w:marLeft w:val="0"/>
                      <w:marRight w:val="0"/>
                      <w:marTop w:val="0"/>
                      <w:marBottom w:val="0"/>
                      <w:divBdr>
                        <w:top w:val="none" w:sz="0" w:space="0" w:color="auto"/>
                        <w:left w:val="none" w:sz="0" w:space="0" w:color="auto"/>
                        <w:bottom w:val="none" w:sz="0" w:space="0" w:color="auto"/>
                        <w:right w:val="none" w:sz="0" w:space="0" w:color="auto"/>
                      </w:divBdr>
                      <w:divsChild>
                        <w:div w:id="61703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0686888">
      <w:bodyDiv w:val="1"/>
      <w:marLeft w:val="0"/>
      <w:marRight w:val="0"/>
      <w:marTop w:val="0"/>
      <w:marBottom w:val="0"/>
      <w:divBdr>
        <w:top w:val="none" w:sz="0" w:space="0" w:color="auto"/>
        <w:left w:val="none" w:sz="0" w:space="0" w:color="auto"/>
        <w:bottom w:val="none" w:sz="0" w:space="0" w:color="auto"/>
        <w:right w:val="none" w:sz="0" w:space="0" w:color="auto"/>
      </w:divBdr>
      <w:divsChild>
        <w:div w:id="1327857224">
          <w:marLeft w:val="0"/>
          <w:marRight w:val="0"/>
          <w:marTop w:val="0"/>
          <w:marBottom w:val="0"/>
          <w:divBdr>
            <w:top w:val="none" w:sz="0" w:space="0" w:color="auto"/>
            <w:left w:val="none" w:sz="0" w:space="0" w:color="auto"/>
            <w:bottom w:val="none" w:sz="0" w:space="0" w:color="auto"/>
            <w:right w:val="none" w:sz="0" w:space="0" w:color="auto"/>
          </w:divBdr>
          <w:divsChild>
            <w:div w:id="1835995713">
              <w:marLeft w:val="0"/>
              <w:marRight w:val="0"/>
              <w:marTop w:val="0"/>
              <w:marBottom w:val="0"/>
              <w:divBdr>
                <w:top w:val="none" w:sz="0" w:space="0" w:color="auto"/>
                <w:left w:val="none" w:sz="0" w:space="0" w:color="auto"/>
                <w:bottom w:val="none" w:sz="0" w:space="0" w:color="auto"/>
                <w:right w:val="none" w:sz="0" w:space="0" w:color="auto"/>
              </w:divBdr>
              <w:divsChild>
                <w:div w:id="1517621592">
                  <w:marLeft w:val="0"/>
                  <w:marRight w:val="0"/>
                  <w:marTop w:val="0"/>
                  <w:marBottom w:val="0"/>
                  <w:divBdr>
                    <w:top w:val="none" w:sz="0" w:space="0" w:color="auto"/>
                    <w:left w:val="none" w:sz="0" w:space="0" w:color="auto"/>
                    <w:bottom w:val="none" w:sz="0" w:space="0" w:color="auto"/>
                    <w:right w:val="none" w:sz="0" w:space="0" w:color="auto"/>
                  </w:divBdr>
                  <w:divsChild>
                    <w:div w:id="814415924">
                      <w:marLeft w:val="0"/>
                      <w:marRight w:val="0"/>
                      <w:marTop w:val="0"/>
                      <w:marBottom w:val="0"/>
                      <w:divBdr>
                        <w:top w:val="none" w:sz="0" w:space="0" w:color="auto"/>
                        <w:left w:val="none" w:sz="0" w:space="0" w:color="auto"/>
                        <w:bottom w:val="none" w:sz="0" w:space="0" w:color="auto"/>
                        <w:right w:val="none" w:sz="0" w:space="0" w:color="auto"/>
                      </w:divBdr>
                      <w:divsChild>
                        <w:div w:id="175139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321213">
      <w:bodyDiv w:val="1"/>
      <w:marLeft w:val="0"/>
      <w:marRight w:val="0"/>
      <w:marTop w:val="0"/>
      <w:marBottom w:val="0"/>
      <w:divBdr>
        <w:top w:val="none" w:sz="0" w:space="0" w:color="auto"/>
        <w:left w:val="none" w:sz="0" w:space="0" w:color="auto"/>
        <w:bottom w:val="none" w:sz="0" w:space="0" w:color="auto"/>
        <w:right w:val="none" w:sz="0" w:space="0" w:color="auto"/>
      </w:divBdr>
      <w:divsChild>
        <w:div w:id="1453859037">
          <w:marLeft w:val="0"/>
          <w:marRight w:val="0"/>
          <w:marTop w:val="0"/>
          <w:marBottom w:val="0"/>
          <w:divBdr>
            <w:top w:val="none" w:sz="0" w:space="0" w:color="auto"/>
            <w:left w:val="none" w:sz="0" w:space="0" w:color="auto"/>
            <w:bottom w:val="none" w:sz="0" w:space="0" w:color="auto"/>
            <w:right w:val="none" w:sz="0" w:space="0" w:color="auto"/>
          </w:divBdr>
          <w:divsChild>
            <w:div w:id="1423330658">
              <w:marLeft w:val="0"/>
              <w:marRight w:val="0"/>
              <w:marTop w:val="0"/>
              <w:marBottom w:val="0"/>
              <w:divBdr>
                <w:top w:val="none" w:sz="0" w:space="0" w:color="auto"/>
                <w:left w:val="none" w:sz="0" w:space="0" w:color="auto"/>
                <w:bottom w:val="none" w:sz="0" w:space="0" w:color="auto"/>
                <w:right w:val="none" w:sz="0" w:space="0" w:color="auto"/>
              </w:divBdr>
              <w:divsChild>
                <w:div w:id="924802110">
                  <w:marLeft w:val="0"/>
                  <w:marRight w:val="0"/>
                  <w:marTop w:val="0"/>
                  <w:marBottom w:val="0"/>
                  <w:divBdr>
                    <w:top w:val="none" w:sz="0" w:space="0" w:color="auto"/>
                    <w:left w:val="none" w:sz="0" w:space="0" w:color="auto"/>
                    <w:bottom w:val="none" w:sz="0" w:space="0" w:color="auto"/>
                    <w:right w:val="none" w:sz="0" w:space="0" w:color="auto"/>
                  </w:divBdr>
                  <w:divsChild>
                    <w:div w:id="1201406274">
                      <w:marLeft w:val="0"/>
                      <w:marRight w:val="0"/>
                      <w:marTop w:val="0"/>
                      <w:marBottom w:val="0"/>
                      <w:divBdr>
                        <w:top w:val="none" w:sz="0" w:space="0" w:color="auto"/>
                        <w:left w:val="none" w:sz="0" w:space="0" w:color="auto"/>
                        <w:bottom w:val="none" w:sz="0" w:space="0" w:color="auto"/>
                        <w:right w:val="none" w:sz="0" w:space="0" w:color="auto"/>
                      </w:divBdr>
                      <w:divsChild>
                        <w:div w:id="195096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761002">
      <w:bodyDiv w:val="1"/>
      <w:marLeft w:val="0"/>
      <w:marRight w:val="0"/>
      <w:marTop w:val="0"/>
      <w:marBottom w:val="0"/>
      <w:divBdr>
        <w:top w:val="none" w:sz="0" w:space="0" w:color="auto"/>
        <w:left w:val="none" w:sz="0" w:space="0" w:color="auto"/>
        <w:bottom w:val="none" w:sz="0" w:space="0" w:color="auto"/>
        <w:right w:val="none" w:sz="0" w:space="0" w:color="auto"/>
      </w:divBdr>
      <w:divsChild>
        <w:div w:id="1745688559">
          <w:marLeft w:val="0"/>
          <w:marRight w:val="0"/>
          <w:marTop w:val="0"/>
          <w:marBottom w:val="0"/>
          <w:divBdr>
            <w:top w:val="none" w:sz="0" w:space="0" w:color="auto"/>
            <w:left w:val="none" w:sz="0" w:space="0" w:color="auto"/>
            <w:bottom w:val="none" w:sz="0" w:space="0" w:color="auto"/>
            <w:right w:val="none" w:sz="0" w:space="0" w:color="auto"/>
          </w:divBdr>
          <w:divsChild>
            <w:div w:id="503252021">
              <w:marLeft w:val="0"/>
              <w:marRight w:val="0"/>
              <w:marTop w:val="0"/>
              <w:marBottom w:val="0"/>
              <w:divBdr>
                <w:top w:val="none" w:sz="0" w:space="0" w:color="auto"/>
                <w:left w:val="none" w:sz="0" w:space="0" w:color="auto"/>
                <w:bottom w:val="none" w:sz="0" w:space="0" w:color="auto"/>
                <w:right w:val="none" w:sz="0" w:space="0" w:color="auto"/>
              </w:divBdr>
              <w:divsChild>
                <w:div w:id="1245456801">
                  <w:marLeft w:val="0"/>
                  <w:marRight w:val="0"/>
                  <w:marTop w:val="0"/>
                  <w:marBottom w:val="0"/>
                  <w:divBdr>
                    <w:top w:val="none" w:sz="0" w:space="0" w:color="auto"/>
                    <w:left w:val="none" w:sz="0" w:space="0" w:color="auto"/>
                    <w:bottom w:val="none" w:sz="0" w:space="0" w:color="auto"/>
                    <w:right w:val="none" w:sz="0" w:space="0" w:color="auto"/>
                  </w:divBdr>
                  <w:divsChild>
                    <w:div w:id="447160247">
                      <w:marLeft w:val="0"/>
                      <w:marRight w:val="0"/>
                      <w:marTop w:val="0"/>
                      <w:marBottom w:val="0"/>
                      <w:divBdr>
                        <w:top w:val="none" w:sz="0" w:space="0" w:color="auto"/>
                        <w:left w:val="none" w:sz="0" w:space="0" w:color="auto"/>
                        <w:bottom w:val="none" w:sz="0" w:space="0" w:color="auto"/>
                        <w:right w:val="none" w:sz="0" w:space="0" w:color="auto"/>
                      </w:divBdr>
                      <w:divsChild>
                        <w:div w:id="206721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396390">
      <w:bodyDiv w:val="1"/>
      <w:marLeft w:val="0"/>
      <w:marRight w:val="0"/>
      <w:marTop w:val="0"/>
      <w:marBottom w:val="0"/>
      <w:divBdr>
        <w:top w:val="none" w:sz="0" w:space="0" w:color="auto"/>
        <w:left w:val="none" w:sz="0" w:space="0" w:color="auto"/>
        <w:bottom w:val="none" w:sz="0" w:space="0" w:color="auto"/>
        <w:right w:val="none" w:sz="0" w:space="0" w:color="auto"/>
      </w:divBdr>
      <w:divsChild>
        <w:div w:id="186678603">
          <w:marLeft w:val="0"/>
          <w:marRight w:val="0"/>
          <w:marTop w:val="100"/>
          <w:marBottom w:val="100"/>
          <w:divBdr>
            <w:top w:val="none" w:sz="0" w:space="0" w:color="auto"/>
            <w:left w:val="none" w:sz="0" w:space="0" w:color="auto"/>
            <w:bottom w:val="none" w:sz="0" w:space="0" w:color="auto"/>
            <w:right w:val="none" w:sz="0" w:space="0" w:color="auto"/>
          </w:divBdr>
          <w:divsChild>
            <w:div w:id="164635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918660">
      <w:bodyDiv w:val="1"/>
      <w:marLeft w:val="0"/>
      <w:marRight w:val="0"/>
      <w:marTop w:val="0"/>
      <w:marBottom w:val="0"/>
      <w:divBdr>
        <w:top w:val="none" w:sz="0" w:space="0" w:color="auto"/>
        <w:left w:val="none" w:sz="0" w:space="0" w:color="auto"/>
        <w:bottom w:val="none" w:sz="0" w:space="0" w:color="auto"/>
        <w:right w:val="none" w:sz="0" w:space="0" w:color="auto"/>
      </w:divBdr>
      <w:divsChild>
        <w:div w:id="1184512913">
          <w:marLeft w:val="0"/>
          <w:marRight w:val="0"/>
          <w:marTop w:val="0"/>
          <w:marBottom w:val="0"/>
          <w:divBdr>
            <w:top w:val="none" w:sz="0" w:space="0" w:color="auto"/>
            <w:left w:val="none" w:sz="0" w:space="0" w:color="auto"/>
            <w:bottom w:val="none" w:sz="0" w:space="0" w:color="auto"/>
            <w:right w:val="none" w:sz="0" w:space="0" w:color="auto"/>
          </w:divBdr>
          <w:divsChild>
            <w:div w:id="1854105883">
              <w:marLeft w:val="0"/>
              <w:marRight w:val="0"/>
              <w:marTop w:val="0"/>
              <w:marBottom w:val="0"/>
              <w:divBdr>
                <w:top w:val="none" w:sz="0" w:space="0" w:color="auto"/>
                <w:left w:val="none" w:sz="0" w:space="0" w:color="auto"/>
                <w:bottom w:val="none" w:sz="0" w:space="0" w:color="auto"/>
                <w:right w:val="none" w:sz="0" w:space="0" w:color="auto"/>
              </w:divBdr>
              <w:divsChild>
                <w:div w:id="1436629332">
                  <w:marLeft w:val="0"/>
                  <w:marRight w:val="0"/>
                  <w:marTop w:val="0"/>
                  <w:marBottom w:val="0"/>
                  <w:divBdr>
                    <w:top w:val="none" w:sz="0" w:space="0" w:color="auto"/>
                    <w:left w:val="none" w:sz="0" w:space="0" w:color="auto"/>
                    <w:bottom w:val="none" w:sz="0" w:space="0" w:color="auto"/>
                    <w:right w:val="none" w:sz="0" w:space="0" w:color="auto"/>
                  </w:divBdr>
                  <w:divsChild>
                    <w:div w:id="1087072636">
                      <w:marLeft w:val="0"/>
                      <w:marRight w:val="0"/>
                      <w:marTop w:val="0"/>
                      <w:marBottom w:val="0"/>
                      <w:divBdr>
                        <w:top w:val="none" w:sz="0" w:space="0" w:color="auto"/>
                        <w:left w:val="none" w:sz="0" w:space="0" w:color="auto"/>
                        <w:bottom w:val="none" w:sz="0" w:space="0" w:color="auto"/>
                        <w:right w:val="none" w:sz="0" w:space="0" w:color="auto"/>
                      </w:divBdr>
                      <w:divsChild>
                        <w:div w:id="31164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1395960">
      <w:bodyDiv w:val="1"/>
      <w:marLeft w:val="0"/>
      <w:marRight w:val="0"/>
      <w:marTop w:val="0"/>
      <w:marBottom w:val="0"/>
      <w:divBdr>
        <w:top w:val="none" w:sz="0" w:space="0" w:color="auto"/>
        <w:left w:val="none" w:sz="0" w:space="0" w:color="auto"/>
        <w:bottom w:val="none" w:sz="0" w:space="0" w:color="auto"/>
        <w:right w:val="none" w:sz="0" w:space="0" w:color="auto"/>
      </w:divBdr>
      <w:divsChild>
        <w:div w:id="1588346930">
          <w:marLeft w:val="0"/>
          <w:marRight w:val="0"/>
          <w:marTop w:val="0"/>
          <w:marBottom w:val="0"/>
          <w:divBdr>
            <w:top w:val="none" w:sz="0" w:space="0" w:color="auto"/>
            <w:left w:val="none" w:sz="0" w:space="0" w:color="auto"/>
            <w:bottom w:val="none" w:sz="0" w:space="0" w:color="auto"/>
            <w:right w:val="none" w:sz="0" w:space="0" w:color="auto"/>
          </w:divBdr>
          <w:divsChild>
            <w:div w:id="1098716014">
              <w:marLeft w:val="0"/>
              <w:marRight w:val="0"/>
              <w:marTop w:val="0"/>
              <w:marBottom w:val="0"/>
              <w:divBdr>
                <w:top w:val="none" w:sz="0" w:space="0" w:color="auto"/>
                <w:left w:val="none" w:sz="0" w:space="0" w:color="auto"/>
                <w:bottom w:val="none" w:sz="0" w:space="0" w:color="auto"/>
                <w:right w:val="none" w:sz="0" w:space="0" w:color="auto"/>
              </w:divBdr>
              <w:divsChild>
                <w:div w:id="442723737">
                  <w:marLeft w:val="0"/>
                  <w:marRight w:val="0"/>
                  <w:marTop w:val="0"/>
                  <w:marBottom w:val="0"/>
                  <w:divBdr>
                    <w:top w:val="none" w:sz="0" w:space="0" w:color="auto"/>
                    <w:left w:val="none" w:sz="0" w:space="0" w:color="auto"/>
                    <w:bottom w:val="none" w:sz="0" w:space="0" w:color="auto"/>
                    <w:right w:val="none" w:sz="0" w:space="0" w:color="auto"/>
                  </w:divBdr>
                  <w:divsChild>
                    <w:div w:id="1300302275">
                      <w:marLeft w:val="0"/>
                      <w:marRight w:val="0"/>
                      <w:marTop w:val="0"/>
                      <w:marBottom w:val="0"/>
                      <w:divBdr>
                        <w:top w:val="none" w:sz="0" w:space="0" w:color="auto"/>
                        <w:left w:val="none" w:sz="0" w:space="0" w:color="auto"/>
                        <w:bottom w:val="none" w:sz="0" w:space="0" w:color="auto"/>
                        <w:right w:val="none" w:sz="0" w:space="0" w:color="auto"/>
                      </w:divBdr>
                      <w:divsChild>
                        <w:div w:id="123011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7356973">
      <w:bodyDiv w:val="1"/>
      <w:marLeft w:val="0"/>
      <w:marRight w:val="0"/>
      <w:marTop w:val="0"/>
      <w:marBottom w:val="0"/>
      <w:divBdr>
        <w:top w:val="none" w:sz="0" w:space="0" w:color="auto"/>
        <w:left w:val="none" w:sz="0" w:space="0" w:color="auto"/>
        <w:bottom w:val="none" w:sz="0" w:space="0" w:color="auto"/>
        <w:right w:val="none" w:sz="0" w:space="0" w:color="auto"/>
      </w:divBdr>
      <w:divsChild>
        <w:div w:id="830827383">
          <w:marLeft w:val="0"/>
          <w:marRight w:val="0"/>
          <w:marTop w:val="0"/>
          <w:marBottom w:val="0"/>
          <w:divBdr>
            <w:top w:val="none" w:sz="0" w:space="0" w:color="auto"/>
            <w:left w:val="none" w:sz="0" w:space="0" w:color="auto"/>
            <w:bottom w:val="none" w:sz="0" w:space="0" w:color="auto"/>
            <w:right w:val="none" w:sz="0" w:space="0" w:color="auto"/>
          </w:divBdr>
          <w:divsChild>
            <w:div w:id="707727229">
              <w:marLeft w:val="0"/>
              <w:marRight w:val="0"/>
              <w:marTop w:val="0"/>
              <w:marBottom w:val="0"/>
              <w:divBdr>
                <w:top w:val="none" w:sz="0" w:space="0" w:color="auto"/>
                <w:left w:val="none" w:sz="0" w:space="0" w:color="auto"/>
                <w:bottom w:val="none" w:sz="0" w:space="0" w:color="auto"/>
                <w:right w:val="none" w:sz="0" w:space="0" w:color="auto"/>
              </w:divBdr>
              <w:divsChild>
                <w:div w:id="2000617923">
                  <w:marLeft w:val="0"/>
                  <w:marRight w:val="0"/>
                  <w:marTop w:val="0"/>
                  <w:marBottom w:val="0"/>
                  <w:divBdr>
                    <w:top w:val="none" w:sz="0" w:space="0" w:color="auto"/>
                    <w:left w:val="none" w:sz="0" w:space="0" w:color="auto"/>
                    <w:bottom w:val="none" w:sz="0" w:space="0" w:color="auto"/>
                    <w:right w:val="none" w:sz="0" w:space="0" w:color="auto"/>
                  </w:divBdr>
                  <w:divsChild>
                    <w:div w:id="1420053686">
                      <w:marLeft w:val="0"/>
                      <w:marRight w:val="0"/>
                      <w:marTop w:val="0"/>
                      <w:marBottom w:val="0"/>
                      <w:divBdr>
                        <w:top w:val="none" w:sz="0" w:space="0" w:color="auto"/>
                        <w:left w:val="none" w:sz="0" w:space="0" w:color="auto"/>
                        <w:bottom w:val="none" w:sz="0" w:space="0" w:color="auto"/>
                        <w:right w:val="none" w:sz="0" w:space="0" w:color="auto"/>
                      </w:divBdr>
                      <w:divsChild>
                        <w:div w:id="20575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2175419">
      <w:bodyDiv w:val="1"/>
      <w:marLeft w:val="0"/>
      <w:marRight w:val="0"/>
      <w:marTop w:val="0"/>
      <w:marBottom w:val="0"/>
      <w:divBdr>
        <w:top w:val="none" w:sz="0" w:space="0" w:color="auto"/>
        <w:left w:val="none" w:sz="0" w:space="0" w:color="auto"/>
        <w:bottom w:val="none" w:sz="0" w:space="0" w:color="auto"/>
        <w:right w:val="none" w:sz="0" w:space="0" w:color="auto"/>
      </w:divBdr>
      <w:divsChild>
        <w:div w:id="780303538">
          <w:marLeft w:val="0"/>
          <w:marRight w:val="0"/>
          <w:marTop w:val="0"/>
          <w:marBottom w:val="0"/>
          <w:divBdr>
            <w:top w:val="none" w:sz="0" w:space="0" w:color="auto"/>
            <w:left w:val="none" w:sz="0" w:space="0" w:color="auto"/>
            <w:bottom w:val="none" w:sz="0" w:space="0" w:color="auto"/>
            <w:right w:val="none" w:sz="0" w:space="0" w:color="auto"/>
          </w:divBdr>
          <w:divsChild>
            <w:div w:id="1474181502">
              <w:marLeft w:val="0"/>
              <w:marRight w:val="0"/>
              <w:marTop w:val="0"/>
              <w:marBottom w:val="0"/>
              <w:divBdr>
                <w:top w:val="none" w:sz="0" w:space="0" w:color="auto"/>
                <w:left w:val="none" w:sz="0" w:space="0" w:color="auto"/>
                <w:bottom w:val="none" w:sz="0" w:space="0" w:color="auto"/>
                <w:right w:val="none" w:sz="0" w:space="0" w:color="auto"/>
              </w:divBdr>
              <w:divsChild>
                <w:div w:id="297610215">
                  <w:marLeft w:val="0"/>
                  <w:marRight w:val="0"/>
                  <w:marTop w:val="0"/>
                  <w:marBottom w:val="0"/>
                  <w:divBdr>
                    <w:top w:val="none" w:sz="0" w:space="0" w:color="auto"/>
                    <w:left w:val="none" w:sz="0" w:space="0" w:color="auto"/>
                    <w:bottom w:val="none" w:sz="0" w:space="0" w:color="auto"/>
                    <w:right w:val="none" w:sz="0" w:space="0" w:color="auto"/>
                  </w:divBdr>
                  <w:divsChild>
                    <w:div w:id="2114087567">
                      <w:marLeft w:val="0"/>
                      <w:marRight w:val="0"/>
                      <w:marTop w:val="0"/>
                      <w:marBottom w:val="0"/>
                      <w:divBdr>
                        <w:top w:val="none" w:sz="0" w:space="0" w:color="auto"/>
                        <w:left w:val="none" w:sz="0" w:space="0" w:color="auto"/>
                        <w:bottom w:val="none" w:sz="0" w:space="0" w:color="auto"/>
                        <w:right w:val="none" w:sz="0" w:space="0" w:color="auto"/>
                      </w:divBdr>
                      <w:divsChild>
                        <w:div w:id="208294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577327">
      <w:bodyDiv w:val="1"/>
      <w:marLeft w:val="0"/>
      <w:marRight w:val="0"/>
      <w:marTop w:val="0"/>
      <w:marBottom w:val="0"/>
      <w:divBdr>
        <w:top w:val="none" w:sz="0" w:space="0" w:color="auto"/>
        <w:left w:val="none" w:sz="0" w:space="0" w:color="auto"/>
        <w:bottom w:val="none" w:sz="0" w:space="0" w:color="auto"/>
        <w:right w:val="none" w:sz="0" w:space="0" w:color="auto"/>
      </w:divBdr>
      <w:divsChild>
        <w:div w:id="948203230">
          <w:marLeft w:val="0"/>
          <w:marRight w:val="0"/>
          <w:marTop w:val="0"/>
          <w:marBottom w:val="0"/>
          <w:divBdr>
            <w:top w:val="none" w:sz="0" w:space="0" w:color="auto"/>
            <w:left w:val="none" w:sz="0" w:space="0" w:color="auto"/>
            <w:bottom w:val="none" w:sz="0" w:space="0" w:color="auto"/>
            <w:right w:val="none" w:sz="0" w:space="0" w:color="auto"/>
          </w:divBdr>
          <w:divsChild>
            <w:div w:id="1507473583">
              <w:marLeft w:val="0"/>
              <w:marRight w:val="0"/>
              <w:marTop w:val="0"/>
              <w:marBottom w:val="0"/>
              <w:divBdr>
                <w:top w:val="none" w:sz="0" w:space="0" w:color="auto"/>
                <w:left w:val="none" w:sz="0" w:space="0" w:color="auto"/>
                <w:bottom w:val="none" w:sz="0" w:space="0" w:color="auto"/>
                <w:right w:val="none" w:sz="0" w:space="0" w:color="auto"/>
              </w:divBdr>
              <w:divsChild>
                <w:div w:id="642855471">
                  <w:marLeft w:val="0"/>
                  <w:marRight w:val="0"/>
                  <w:marTop w:val="0"/>
                  <w:marBottom w:val="0"/>
                  <w:divBdr>
                    <w:top w:val="none" w:sz="0" w:space="0" w:color="auto"/>
                    <w:left w:val="none" w:sz="0" w:space="0" w:color="auto"/>
                    <w:bottom w:val="none" w:sz="0" w:space="0" w:color="auto"/>
                    <w:right w:val="none" w:sz="0" w:space="0" w:color="auto"/>
                  </w:divBdr>
                  <w:divsChild>
                    <w:div w:id="1953391957">
                      <w:marLeft w:val="0"/>
                      <w:marRight w:val="0"/>
                      <w:marTop w:val="0"/>
                      <w:marBottom w:val="0"/>
                      <w:divBdr>
                        <w:top w:val="none" w:sz="0" w:space="0" w:color="auto"/>
                        <w:left w:val="none" w:sz="0" w:space="0" w:color="auto"/>
                        <w:bottom w:val="none" w:sz="0" w:space="0" w:color="auto"/>
                        <w:right w:val="none" w:sz="0" w:space="0" w:color="auto"/>
                      </w:divBdr>
                      <w:divsChild>
                        <w:div w:id="1294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571D-8484-7947-9B21-F440FC151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7414</Words>
  <Characters>42260</Characters>
  <Application>Microsoft Macintosh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EUI</Company>
  <LinksUpToDate>false</LinksUpToDate>
  <CharactersWithSpaces>49575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Loveday</dc:creator>
  <cp:lastModifiedBy>Hodson, Loveday C. (Dr.)</cp:lastModifiedBy>
  <cp:revision>3</cp:revision>
  <cp:lastPrinted>2014-03-16T22:05:00Z</cp:lastPrinted>
  <dcterms:created xsi:type="dcterms:W3CDTF">2017-08-03T13:59:00Z</dcterms:created>
  <dcterms:modified xsi:type="dcterms:W3CDTF">2017-08-03T14:01:00Z</dcterms:modified>
</cp:coreProperties>
</file>