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876F0" w14:textId="77777777" w:rsidR="008A478C" w:rsidRDefault="00E3319C" w:rsidP="00A50051">
      <w:pPr>
        <w:spacing w:line="240" w:lineRule="auto"/>
        <w:jc w:val="both"/>
        <w:rPr>
          <w:rFonts w:ascii="Calibri" w:hAnsi="Calibri"/>
          <w:color w:val="1F497D"/>
          <w:sz w:val="22"/>
          <w:szCs w:val="22"/>
        </w:rPr>
      </w:pPr>
      <w:bookmarkStart w:id="0" w:name="_GoBack"/>
      <w:bookmarkEnd w:id="0"/>
      <w:r>
        <w:rPr>
          <w:rFonts w:ascii="Calibri" w:hAnsi="Calibri"/>
          <w:color w:val="1F497D"/>
          <w:sz w:val="22"/>
          <w:szCs w:val="22"/>
        </w:rPr>
        <w:t xml:space="preserve"> </w:t>
      </w:r>
      <w:bookmarkStart w:id="1" w:name="Heading125"/>
      <w:bookmarkStart w:id="2" w:name="Heading126"/>
      <w:bookmarkStart w:id="3" w:name="Heading128"/>
      <w:bookmarkStart w:id="4" w:name="Heading129"/>
      <w:bookmarkStart w:id="5" w:name="Heading131"/>
      <w:bookmarkStart w:id="6" w:name="Heading133"/>
      <w:bookmarkStart w:id="7" w:name="Heading137"/>
      <w:bookmarkEnd w:id="1"/>
      <w:bookmarkEnd w:id="2"/>
      <w:bookmarkEnd w:id="3"/>
      <w:bookmarkEnd w:id="4"/>
      <w:bookmarkEnd w:id="5"/>
      <w:bookmarkEnd w:id="6"/>
      <w:bookmarkEnd w:id="7"/>
    </w:p>
    <w:p w14:paraId="343ED69C" w14:textId="77777777" w:rsidR="00B61C0C" w:rsidRDefault="00B61C0C" w:rsidP="00B61C0C">
      <w:pPr>
        <w:spacing w:line="240" w:lineRule="auto"/>
        <w:jc w:val="center"/>
        <w:rPr>
          <w:rFonts w:cs="Times New Roman"/>
          <w:b/>
        </w:rPr>
      </w:pPr>
      <w:r w:rsidRPr="008F41CA">
        <w:rPr>
          <w:rFonts w:cs="Times New Roman"/>
          <w:b/>
        </w:rPr>
        <w:t>DOMESTIC VIOLENCE, PROPERTY AND FAMILY LAW</w:t>
      </w:r>
      <w:r>
        <w:rPr>
          <w:rFonts w:cs="Times New Roman"/>
          <w:b/>
        </w:rPr>
        <w:t xml:space="preserve"> IN AUSTRALIA</w:t>
      </w:r>
    </w:p>
    <w:p w14:paraId="394E04CD" w14:textId="77777777" w:rsidR="00021FF5" w:rsidRDefault="00021FF5" w:rsidP="00B61C0C">
      <w:pPr>
        <w:spacing w:line="240" w:lineRule="auto"/>
        <w:jc w:val="center"/>
        <w:rPr>
          <w:rFonts w:cs="Times New Roman"/>
          <w:b/>
        </w:rPr>
      </w:pPr>
    </w:p>
    <w:p w14:paraId="5F0AB667" w14:textId="2A41E455" w:rsidR="00B61C0C" w:rsidRDefault="00021FF5" w:rsidP="00021FF5">
      <w:pPr>
        <w:spacing w:line="240" w:lineRule="auto"/>
        <w:jc w:val="center"/>
        <w:rPr>
          <w:rFonts w:cs="Times New Roman"/>
          <w:b/>
        </w:rPr>
      </w:pPr>
      <w:r>
        <w:rPr>
          <w:rFonts w:cs="Times New Roman"/>
          <w:b/>
        </w:rPr>
        <w:t>by</w:t>
      </w:r>
    </w:p>
    <w:p w14:paraId="281BC2FA" w14:textId="77777777" w:rsidR="00021FF5" w:rsidRPr="00021FF5" w:rsidRDefault="00021FF5" w:rsidP="00021FF5">
      <w:pPr>
        <w:spacing w:line="240" w:lineRule="auto"/>
        <w:jc w:val="center"/>
        <w:rPr>
          <w:rFonts w:cs="Times New Roman"/>
          <w:b/>
        </w:rPr>
      </w:pPr>
    </w:p>
    <w:p w14:paraId="39047FFC" w14:textId="2A58799A" w:rsidR="00B61C0C" w:rsidRPr="00B61C0C" w:rsidRDefault="00B61C0C" w:rsidP="00B61C0C">
      <w:pPr>
        <w:spacing w:line="240" w:lineRule="auto"/>
        <w:jc w:val="center"/>
        <w:rPr>
          <w:rFonts w:cs="Times New Roman"/>
        </w:rPr>
      </w:pPr>
      <w:r w:rsidRPr="00B61C0C">
        <w:rPr>
          <w:rFonts w:cs="Times New Roman"/>
        </w:rPr>
        <w:t>Patricia Easteal</w:t>
      </w:r>
      <w:r w:rsidR="00021FF5">
        <w:rPr>
          <w:rFonts w:cs="Times New Roman"/>
        </w:rPr>
        <w:t>,</w:t>
      </w:r>
      <w:r w:rsidRPr="00B61C0C">
        <w:rPr>
          <w:rFonts w:cs="Times New Roman"/>
        </w:rPr>
        <w:t>* Lisa Young** and Anna Carline***</w:t>
      </w:r>
    </w:p>
    <w:p w14:paraId="28018208" w14:textId="77777777" w:rsidR="00EF0E31" w:rsidRDefault="00EF0E31" w:rsidP="00EF0E31">
      <w:pPr>
        <w:spacing w:line="240" w:lineRule="auto"/>
        <w:jc w:val="both"/>
        <w:rPr>
          <w:rFonts w:ascii="Calibri" w:hAnsi="Calibri"/>
          <w:color w:val="1F497D"/>
          <w:sz w:val="22"/>
          <w:szCs w:val="22"/>
          <w:lang w:val="en-AU"/>
        </w:rPr>
      </w:pPr>
    </w:p>
    <w:p w14:paraId="7CAEB5F8" w14:textId="52EEB37B" w:rsidR="00B61C0C" w:rsidRPr="00E16FC3" w:rsidRDefault="00EF0E31" w:rsidP="00EF0E31">
      <w:pPr>
        <w:spacing w:line="240" w:lineRule="auto"/>
        <w:jc w:val="center"/>
        <w:rPr>
          <w:rFonts w:ascii="Calibri" w:hAnsi="Calibri"/>
          <w:sz w:val="22"/>
          <w:szCs w:val="22"/>
          <w:lang w:val="en-AU"/>
        </w:rPr>
      </w:pPr>
      <w:r w:rsidRPr="00E16FC3">
        <w:rPr>
          <w:rFonts w:ascii="Calibri" w:hAnsi="Calibri"/>
          <w:sz w:val="22"/>
          <w:szCs w:val="22"/>
          <w:lang w:val="en-AU"/>
        </w:rPr>
        <w:t>* School of Law and Justice, University of Canberra, Canberra ACT, Australia; ** School of Law, Murdoch University, Perth WA, Australia;</w:t>
      </w:r>
      <w:r w:rsidR="003D6CF5">
        <w:rPr>
          <w:rFonts w:ascii="Calibri" w:hAnsi="Calibri"/>
          <w:sz w:val="22"/>
          <w:szCs w:val="22"/>
          <w:lang w:val="en-AU"/>
        </w:rPr>
        <w:t xml:space="preserve"> </w:t>
      </w:r>
      <w:r w:rsidRPr="00E16FC3">
        <w:rPr>
          <w:rFonts w:ascii="Calibri" w:hAnsi="Calibri"/>
          <w:sz w:val="22"/>
          <w:szCs w:val="22"/>
          <w:lang w:val="en-AU"/>
        </w:rPr>
        <w:t>***Leicester Law School, University of Leicester, Leicester, UK</w:t>
      </w:r>
    </w:p>
    <w:p w14:paraId="5587D99D" w14:textId="77777777" w:rsidR="00B61C0C" w:rsidRPr="00E16FC3" w:rsidRDefault="00B61C0C" w:rsidP="00A50051">
      <w:pPr>
        <w:spacing w:line="240" w:lineRule="auto"/>
        <w:jc w:val="both"/>
        <w:rPr>
          <w:rFonts w:ascii="Calibri" w:hAnsi="Calibri"/>
          <w:sz w:val="22"/>
          <w:szCs w:val="22"/>
        </w:rPr>
      </w:pPr>
    </w:p>
    <w:p w14:paraId="57B432E0" w14:textId="77777777" w:rsidR="00B61C0C" w:rsidRDefault="00B61C0C" w:rsidP="00A50051">
      <w:pPr>
        <w:spacing w:line="240" w:lineRule="auto"/>
        <w:jc w:val="both"/>
        <w:rPr>
          <w:rFonts w:ascii="Calibri" w:hAnsi="Calibri"/>
          <w:color w:val="1F497D"/>
          <w:sz w:val="22"/>
          <w:szCs w:val="22"/>
        </w:rPr>
      </w:pPr>
    </w:p>
    <w:p w14:paraId="3710A939" w14:textId="3031BE63" w:rsidR="00B61C0C" w:rsidRPr="00BC2D8C" w:rsidRDefault="00B61C0C" w:rsidP="00B61C0C">
      <w:pPr>
        <w:spacing w:line="240" w:lineRule="auto"/>
        <w:jc w:val="center"/>
        <w:rPr>
          <w:rFonts w:cs="Times New Roman"/>
        </w:rPr>
      </w:pPr>
      <w:r w:rsidRPr="00BC2D8C">
        <w:rPr>
          <w:rFonts w:cs="Times New Roman"/>
        </w:rPr>
        <w:t>ABSTRACT</w:t>
      </w:r>
    </w:p>
    <w:p w14:paraId="3DE5B3DB" w14:textId="77777777" w:rsidR="00B61C0C" w:rsidRPr="00B61C0C" w:rsidRDefault="00B61C0C" w:rsidP="00B61C0C">
      <w:pPr>
        <w:spacing w:line="240" w:lineRule="auto"/>
        <w:jc w:val="center"/>
        <w:rPr>
          <w:rFonts w:cs="Times New Roman"/>
          <w:color w:val="1F497D"/>
        </w:rPr>
      </w:pPr>
    </w:p>
    <w:p w14:paraId="5D8486A7" w14:textId="3A6DF2AF" w:rsidR="00B61C0C" w:rsidRPr="00B61C0C" w:rsidRDefault="00E16E87" w:rsidP="00B61C0C">
      <w:pPr>
        <w:spacing w:line="240" w:lineRule="auto"/>
        <w:rPr>
          <w:rFonts w:cs="Times New Roman"/>
          <w:color w:val="000000"/>
          <w:lang w:val="en-AU"/>
        </w:rPr>
      </w:pPr>
      <w:r>
        <w:rPr>
          <w:rFonts w:cs="Times New Roman"/>
          <w:color w:val="000000"/>
          <w:lang w:val="en-AU"/>
        </w:rPr>
        <w:t>In Australia, d</w:t>
      </w:r>
      <w:r w:rsidR="00B61C0C" w:rsidRPr="00B61C0C">
        <w:rPr>
          <w:rFonts w:cs="Times New Roman"/>
          <w:color w:val="000000"/>
          <w:lang w:val="en-AU"/>
        </w:rPr>
        <w:t xml:space="preserve">omestic violence has increasingly been recognized as germane to ancillary proceedings, including parenting and property </w:t>
      </w:r>
      <w:r>
        <w:rPr>
          <w:rFonts w:cs="Times New Roman"/>
          <w:color w:val="000000"/>
          <w:lang w:val="en-AU"/>
        </w:rPr>
        <w:t xml:space="preserve">matters. However, </w:t>
      </w:r>
      <w:r w:rsidR="00B61C0C" w:rsidRPr="00B61C0C">
        <w:rPr>
          <w:rFonts w:cs="Times New Roman"/>
          <w:color w:val="000000"/>
          <w:lang w:val="en-AU"/>
        </w:rPr>
        <w:t>the road to recognition of the relevance of violence has been slow and the search for appropriate responses challenging. Drawing upon an explicitly feminist perspective, this paper outlines the why and how of that relevance by looking at the ways in which family violence may intersect with family law property matters. We explain how a property settlement, both in process and outcome, may be either a manifestation of coercive control and/or affected by the legacy of coercive control.  In terms of how this has been addressed to date, we chart the limited Australian responses and suggestions for reform, which have effectively left the judiciary to fashion a response with all the attendant difficulties of non-legislative reform. In conclusion, we maintain that the time is therefore ripe for a reconsideration of legislative – and other - responses to issues of family violence and property.</w:t>
      </w:r>
    </w:p>
    <w:p w14:paraId="402E9B3F" w14:textId="77777777" w:rsidR="00B61C0C" w:rsidRPr="00B61C0C" w:rsidRDefault="00B61C0C" w:rsidP="00B61C0C">
      <w:pPr>
        <w:spacing w:line="240" w:lineRule="auto"/>
        <w:rPr>
          <w:rFonts w:eastAsia="Times New Roman" w:cs="Times New Roman"/>
          <w:lang w:val="en-AU"/>
        </w:rPr>
      </w:pPr>
      <w:r w:rsidRPr="00B61C0C">
        <w:rPr>
          <w:rFonts w:eastAsia="Times New Roman" w:cs="Times New Roman"/>
          <w:color w:val="000000"/>
          <w:lang w:val="en-AU"/>
        </w:rPr>
        <w:br/>
      </w:r>
    </w:p>
    <w:p w14:paraId="1462F6E9" w14:textId="5C97ECA7" w:rsidR="003569C0" w:rsidRPr="003569C0" w:rsidRDefault="00A2537B" w:rsidP="003569C0">
      <w:pPr>
        <w:spacing w:line="240" w:lineRule="auto"/>
        <w:rPr>
          <w:rFonts w:eastAsia="Times New Roman" w:cs="Times New Roman"/>
          <w:sz w:val="20"/>
          <w:szCs w:val="20"/>
          <w:lang w:val="en-AU"/>
        </w:rPr>
      </w:pPr>
      <w:r>
        <w:rPr>
          <w:rFonts w:eastAsia="Times New Roman" w:cs="Times New Roman"/>
          <w:sz w:val="20"/>
          <w:szCs w:val="20"/>
          <w:lang w:val="en-AU"/>
        </w:rPr>
        <w:t>.</w:t>
      </w:r>
    </w:p>
    <w:p w14:paraId="2F5EF329" w14:textId="5166E439" w:rsidR="00A66624" w:rsidRDefault="00A66624" w:rsidP="00A66624">
      <w:pPr>
        <w:spacing w:line="240" w:lineRule="auto"/>
        <w:rPr>
          <w:rFonts w:ascii="Calibri" w:hAnsi="Calibri"/>
          <w:color w:val="1F497D"/>
          <w:sz w:val="22"/>
          <w:szCs w:val="22"/>
        </w:rPr>
      </w:pPr>
    </w:p>
    <w:p w14:paraId="1538AE20" w14:textId="77777777" w:rsidR="00B61C0C" w:rsidRDefault="00B61C0C" w:rsidP="00A50051">
      <w:pPr>
        <w:spacing w:line="240" w:lineRule="auto"/>
        <w:jc w:val="both"/>
        <w:rPr>
          <w:rFonts w:ascii="Calibri" w:hAnsi="Calibri"/>
          <w:color w:val="1F497D"/>
          <w:sz w:val="22"/>
          <w:szCs w:val="22"/>
        </w:rPr>
      </w:pPr>
    </w:p>
    <w:p w14:paraId="3A7CC0DD" w14:textId="77777777" w:rsidR="00B61C0C" w:rsidRDefault="00B61C0C" w:rsidP="00A50051">
      <w:pPr>
        <w:spacing w:line="240" w:lineRule="auto"/>
        <w:jc w:val="both"/>
        <w:rPr>
          <w:rFonts w:ascii="Calibri" w:hAnsi="Calibri"/>
          <w:color w:val="1F497D"/>
          <w:sz w:val="22"/>
          <w:szCs w:val="22"/>
        </w:rPr>
      </w:pPr>
    </w:p>
    <w:p w14:paraId="5EFFC3D0" w14:textId="77777777" w:rsidR="00B61C0C" w:rsidRDefault="00B61C0C" w:rsidP="00A50051">
      <w:pPr>
        <w:spacing w:line="240" w:lineRule="auto"/>
        <w:jc w:val="both"/>
        <w:rPr>
          <w:rFonts w:ascii="Calibri" w:hAnsi="Calibri"/>
          <w:color w:val="1F497D"/>
          <w:sz w:val="22"/>
          <w:szCs w:val="22"/>
        </w:rPr>
      </w:pPr>
    </w:p>
    <w:p w14:paraId="1507E120" w14:textId="77777777" w:rsidR="00B61C0C" w:rsidRDefault="00B61C0C" w:rsidP="00A50051">
      <w:pPr>
        <w:spacing w:line="240" w:lineRule="auto"/>
        <w:jc w:val="both"/>
        <w:rPr>
          <w:rFonts w:ascii="Calibri" w:hAnsi="Calibri"/>
          <w:color w:val="1F497D"/>
          <w:sz w:val="22"/>
          <w:szCs w:val="22"/>
        </w:rPr>
      </w:pPr>
    </w:p>
    <w:p w14:paraId="6A5444F1" w14:textId="77777777" w:rsidR="00B61C0C" w:rsidRDefault="00B61C0C" w:rsidP="00A50051">
      <w:pPr>
        <w:spacing w:line="240" w:lineRule="auto"/>
        <w:jc w:val="both"/>
        <w:rPr>
          <w:rFonts w:ascii="Calibri" w:hAnsi="Calibri"/>
          <w:color w:val="1F497D"/>
          <w:sz w:val="22"/>
          <w:szCs w:val="22"/>
        </w:rPr>
        <w:sectPr w:rsidR="00B61C0C" w:rsidSect="00EF7343">
          <w:footerReference w:type="even" r:id="rId8"/>
          <w:footerReference w:type="default" r:id="rId9"/>
          <w:headerReference w:type="first" r:id="rId10"/>
          <w:footerReference w:type="first" r:id="rId11"/>
          <w:pgSz w:w="11900" w:h="16840"/>
          <w:pgMar w:top="1701" w:right="1837" w:bottom="1701" w:left="1837" w:header="709" w:footer="709" w:gutter="0"/>
          <w:pgNumType w:start="1"/>
          <w:cols w:space="708"/>
          <w:titlePg/>
          <w:docGrid w:linePitch="360"/>
        </w:sectPr>
      </w:pPr>
    </w:p>
    <w:p w14:paraId="275D7702" w14:textId="77777777" w:rsidR="004D343A" w:rsidRPr="008F41CA" w:rsidRDefault="004D343A" w:rsidP="006D30F1">
      <w:pPr>
        <w:spacing w:line="240" w:lineRule="auto"/>
        <w:jc w:val="center"/>
        <w:rPr>
          <w:rFonts w:cs="Times New Roman"/>
        </w:rPr>
      </w:pPr>
    </w:p>
    <w:p w14:paraId="47AB4C36" w14:textId="248C685F" w:rsidR="008D7361" w:rsidRPr="005A5A47" w:rsidRDefault="005A5A47" w:rsidP="005A5A47">
      <w:pPr>
        <w:pStyle w:val="ListParagraph"/>
        <w:numPr>
          <w:ilvl w:val="0"/>
          <w:numId w:val="23"/>
        </w:numPr>
        <w:spacing w:line="240" w:lineRule="auto"/>
        <w:jc w:val="center"/>
        <w:rPr>
          <w:rFonts w:cs="Times New Roman"/>
        </w:rPr>
      </w:pPr>
      <w:r w:rsidRPr="005A5A47">
        <w:rPr>
          <w:rFonts w:cs="Times New Roman"/>
        </w:rPr>
        <w:t>INTRODUCTION</w:t>
      </w:r>
    </w:p>
    <w:p w14:paraId="1B960A89" w14:textId="77777777" w:rsidR="006D30F1" w:rsidRDefault="006D30F1" w:rsidP="008C0422">
      <w:pPr>
        <w:spacing w:line="240" w:lineRule="auto"/>
        <w:jc w:val="both"/>
        <w:rPr>
          <w:rFonts w:eastAsia="Cambria" w:cs="Times New Roman"/>
          <w:bCs/>
        </w:rPr>
      </w:pPr>
    </w:p>
    <w:p w14:paraId="36DF66F7" w14:textId="23F1933C" w:rsidR="004B5400" w:rsidRDefault="00712334" w:rsidP="008C0422">
      <w:pPr>
        <w:spacing w:line="240" w:lineRule="auto"/>
        <w:jc w:val="both"/>
        <w:rPr>
          <w:rFonts w:cs="Times New Roman"/>
          <w:iCs/>
        </w:rPr>
      </w:pPr>
      <w:r>
        <w:rPr>
          <w:rFonts w:eastAsia="Cambria" w:cs="Times New Roman"/>
          <w:bCs/>
        </w:rPr>
        <w:t xml:space="preserve">In Australia, </w:t>
      </w:r>
      <w:r>
        <w:rPr>
          <w:rFonts w:cs="Times New Roman"/>
          <w:iCs/>
        </w:rPr>
        <w:t>v</w:t>
      </w:r>
      <w:r>
        <w:rPr>
          <w:rFonts w:eastAsia="Cambria" w:cs="Times New Roman"/>
          <w:bCs/>
        </w:rPr>
        <w:t xml:space="preserve">iolence by a spouse, current or past, has </w:t>
      </w:r>
      <w:r w:rsidR="007D6C34" w:rsidRPr="008F41CA">
        <w:rPr>
          <w:rFonts w:cs="Times New Roman"/>
          <w:iCs/>
        </w:rPr>
        <w:t>not</w:t>
      </w:r>
      <w:r w:rsidR="003C2100" w:rsidRPr="008F41CA">
        <w:rPr>
          <w:rFonts w:cs="Times New Roman"/>
          <w:iCs/>
        </w:rPr>
        <w:t xml:space="preserve"> </w:t>
      </w:r>
      <w:r w:rsidR="00D02E30">
        <w:rPr>
          <w:rFonts w:cs="Times New Roman"/>
          <w:iCs/>
        </w:rPr>
        <w:t>had</w:t>
      </w:r>
      <w:r w:rsidR="00D02E30" w:rsidRPr="00A3116D">
        <w:rPr>
          <w:rFonts w:cs="Times New Roman"/>
          <w:iCs/>
        </w:rPr>
        <w:t xml:space="preserve"> </w:t>
      </w:r>
      <w:r w:rsidR="00A3116D" w:rsidRPr="00A3116D">
        <w:rPr>
          <w:rFonts w:cs="Times New Roman"/>
          <w:iCs/>
        </w:rPr>
        <w:t>any legal</w:t>
      </w:r>
      <w:r w:rsidR="00A3116D">
        <w:rPr>
          <w:rFonts w:cs="Times New Roman"/>
          <w:i/>
          <w:iCs/>
        </w:rPr>
        <w:t xml:space="preserve"> </w:t>
      </w:r>
      <w:r w:rsidR="00D02E30">
        <w:rPr>
          <w:rFonts w:cs="Times New Roman"/>
          <w:iCs/>
        </w:rPr>
        <w:t>relevance to</w:t>
      </w:r>
      <w:r w:rsidR="00A3116D">
        <w:rPr>
          <w:rFonts w:cs="Times New Roman"/>
          <w:iCs/>
        </w:rPr>
        <w:t xml:space="preserve"> </w:t>
      </w:r>
      <w:r>
        <w:rPr>
          <w:rFonts w:cs="Times New Roman"/>
          <w:iCs/>
        </w:rPr>
        <w:t>the other</w:t>
      </w:r>
      <w:r w:rsidR="003C2100" w:rsidRPr="008F41CA">
        <w:rPr>
          <w:rFonts w:cs="Times New Roman"/>
          <w:iCs/>
        </w:rPr>
        <w:t xml:space="preserve"> </w:t>
      </w:r>
      <w:r>
        <w:rPr>
          <w:rFonts w:cs="Times New Roman"/>
          <w:iCs/>
        </w:rPr>
        <w:t>spouse’s</w:t>
      </w:r>
      <w:r w:rsidRPr="008F41CA">
        <w:rPr>
          <w:rFonts w:cs="Times New Roman"/>
          <w:iCs/>
        </w:rPr>
        <w:t xml:space="preserve"> </w:t>
      </w:r>
      <w:r w:rsidR="003C2100" w:rsidRPr="008F41CA">
        <w:rPr>
          <w:rFonts w:cs="Times New Roman"/>
          <w:iCs/>
        </w:rPr>
        <w:t xml:space="preserve">ability </w:t>
      </w:r>
      <w:r w:rsidR="00D02E30">
        <w:rPr>
          <w:rFonts w:cs="Times New Roman"/>
          <w:iCs/>
        </w:rPr>
        <w:t>to obtain</w:t>
      </w:r>
      <w:r w:rsidR="003C2100" w:rsidRPr="008F41CA">
        <w:rPr>
          <w:rFonts w:eastAsia="Cambria" w:cs="Times New Roman"/>
          <w:bCs/>
        </w:rPr>
        <w:t xml:space="preserve"> a divorce</w:t>
      </w:r>
      <w:r w:rsidR="007D6C34" w:rsidRPr="008F41CA">
        <w:rPr>
          <w:rFonts w:eastAsia="Cambria" w:cs="Times New Roman"/>
          <w:bCs/>
        </w:rPr>
        <w:t xml:space="preserve"> since </w:t>
      </w:r>
      <w:r w:rsidR="009B153E">
        <w:rPr>
          <w:rFonts w:eastAsia="Cambria" w:cs="Times New Roman"/>
          <w:bCs/>
        </w:rPr>
        <w:t>the</w:t>
      </w:r>
      <w:r w:rsidR="007D6C34" w:rsidRPr="008F41CA">
        <w:rPr>
          <w:rFonts w:eastAsia="Cambria" w:cs="Times New Roman"/>
          <w:bCs/>
        </w:rPr>
        <w:t xml:space="preserve"> enactment</w:t>
      </w:r>
      <w:r w:rsidR="00D02E30">
        <w:rPr>
          <w:rFonts w:eastAsia="Cambria" w:cs="Times New Roman"/>
          <w:bCs/>
        </w:rPr>
        <w:t xml:space="preserve"> in</w:t>
      </w:r>
      <w:r w:rsidR="00935095">
        <w:rPr>
          <w:rFonts w:eastAsia="Cambria" w:cs="Times New Roman"/>
          <w:bCs/>
        </w:rPr>
        <w:t xml:space="preserve"> </w:t>
      </w:r>
      <w:r w:rsidR="00D02E30">
        <w:rPr>
          <w:rFonts w:eastAsia="Cambria" w:cs="Times New Roman"/>
          <w:bCs/>
        </w:rPr>
        <w:t>1975</w:t>
      </w:r>
      <w:r w:rsidR="007D6C34" w:rsidRPr="008F41CA">
        <w:rPr>
          <w:rFonts w:eastAsia="Cambria" w:cs="Times New Roman"/>
          <w:bCs/>
        </w:rPr>
        <w:t xml:space="preserve"> of the </w:t>
      </w:r>
      <w:r w:rsidR="007D6C34" w:rsidRPr="006D30F1">
        <w:rPr>
          <w:rFonts w:cs="Times New Roman"/>
          <w:iCs/>
        </w:rPr>
        <w:t>Family Law Act</w:t>
      </w:r>
      <w:r w:rsidR="007D6C34" w:rsidRPr="008F41CA">
        <w:rPr>
          <w:rFonts w:cs="Times New Roman"/>
          <w:i/>
          <w:iCs/>
        </w:rPr>
        <w:t xml:space="preserve"> </w:t>
      </w:r>
      <w:r w:rsidR="007D6C34" w:rsidRPr="007D2B5C">
        <w:rPr>
          <w:rFonts w:cs="Times New Roman"/>
          <w:iCs/>
        </w:rPr>
        <w:t>1975</w:t>
      </w:r>
      <w:r w:rsidR="007D6C34" w:rsidRPr="008F41CA">
        <w:rPr>
          <w:rFonts w:cs="Times New Roman"/>
          <w:i/>
          <w:iCs/>
        </w:rPr>
        <w:t xml:space="preserve"> </w:t>
      </w:r>
      <w:r w:rsidR="007D6C34" w:rsidRPr="008F41CA">
        <w:rPr>
          <w:rFonts w:cs="Times New Roman"/>
          <w:iCs/>
        </w:rPr>
        <w:t>(Cth)</w:t>
      </w:r>
      <w:r w:rsidR="007D6C34" w:rsidRPr="008F41CA">
        <w:rPr>
          <w:rFonts w:cs="Times New Roman"/>
          <w:i/>
          <w:iCs/>
        </w:rPr>
        <w:t xml:space="preserve"> </w:t>
      </w:r>
      <w:r w:rsidR="007D6C34" w:rsidRPr="008F41CA">
        <w:rPr>
          <w:rFonts w:cs="Times New Roman"/>
          <w:iCs/>
        </w:rPr>
        <w:t>(</w:t>
      </w:r>
      <w:r w:rsidR="007D6C34" w:rsidRPr="007D2B5C">
        <w:rPr>
          <w:rFonts w:cs="Times New Roman"/>
          <w:iCs/>
        </w:rPr>
        <w:t>FLA</w:t>
      </w:r>
      <w:r w:rsidR="007D6C34" w:rsidRPr="008F41CA">
        <w:rPr>
          <w:rFonts w:cs="Times New Roman"/>
          <w:iCs/>
        </w:rPr>
        <w:t>)</w:t>
      </w:r>
      <w:r>
        <w:rPr>
          <w:rFonts w:cs="Times New Roman"/>
          <w:iCs/>
        </w:rPr>
        <w:t>.</w:t>
      </w:r>
      <w:r w:rsidR="004B5400" w:rsidRPr="008F41CA">
        <w:rPr>
          <w:rStyle w:val="EndnoteReference"/>
          <w:rFonts w:cs="Times New Roman"/>
          <w:iCs/>
        </w:rPr>
        <w:endnoteReference w:id="1"/>
      </w:r>
      <w:r w:rsidR="004B5400" w:rsidRPr="008F41CA">
        <w:rPr>
          <w:rFonts w:cs="Times New Roman"/>
          <w:iCs/>
        </w:rPr>
        <w:t xml:space="preserve"> </w:t>
      </w:r>
      <w:r w:rsidR="004B5400">
        <w:rPr>
          <w:rFonts w:cs="Times New Roman"/>
          <w:iCs/>
        </w:rPr>
        <w:t>This introduced (</w:t>
      </w:r>
      <w:r w:rsidR="004B5400" w:rsidRPr="007D2B5C">
        <w:rPr>
          <w:rFonts w:cs="Times New Roman"/>
        </w:rPr>
        <w:t>FLA</w:t>
      </w:r>
      <w:r w:rsidR="004B5400">
        <w:rPr>
          <w:rFonts w:cs="Times New Roman"/>
        </w:rPr>
        <w:t>,</w:t>
      </w:r>
      <w:r w:rsidR="004B5400" w:rsidRPr="00A0783B">
        <w:rPr>
          <w:rFonts w:cs="Times New Roman"/>
          <w:i/>
        </w:rPr>
        <w:t xml:space="preserve"> </w:t>
      </w:r>
      <w:r w:rsidR="004B5400">
        <w:rPr>
          <w:rFonts w:cs="Times New Roman"/>
        </w:rPr>
        <w:t xml:space="preserve">ss 48-49) </w:t>
      </w:r>
      <w:r w:rsidR="004B5400">
        <w:rPr>
          <w:rFonts w:cs="Times New Roman"/>
          <w:iCs/>
        </w:rPr>
        <w:t>a</w:t>
      </w:r>
      <w:r w:rsidR="004B5400" w:rsidRPr="008F41CA">
        <w:rPr>
          <w:rFonts w:eastAsia="Cambria" w:cs="Times New Roman"/>
          <w:bCs/>
        </w:rPr>
        <w:t xml:space="preserve"> </w:t>
      </w:r>
      <w:r w:rsidR="004B5400" w:rsidRPr="008F41CA">
        <w:rPr>
          <w:rFonts w:cs="Times New Roman"/>
          <w:iCs/>
        </w:rPr>
        <w:t>single</w:t>
      </w:r>
      <w:r w:rsidR="004B5400">
        <w:rPr>
          <w:rFonts w:cs="Times New Roman"/>
          <w:iCs/>
        </w:rPr>
        <w:t>,</w:t>
      </w:r>
      <w:r w:rsidR="004B5400" w:rsidRPr="008F41CA">
        <w:rPr>
          <w:rFonts w:cs="Times New Roman"/>
          <w:iCs/>
        </w:rPr>
        <w:t xml:space="preserve"> no-fault ground for divorce following 12 months</w:t>
      </w:r>
      <w:r w:rsidR="004B5400">
        <w:rPr>
          <w:rFonts w:cs="Times New Roman"/>
          <w:iCs/>
        </w:rPr>
        <w:t xml:space="preserve"> </w:t>
      </w:r>
      <w:r w:rsidR="004B5400" w:rsidRPr="008F41CA">
        <w:rPr>
          <w:rFonts w:cs="Times New Roman"/>
          <w:iCs/>
        </w:rPr>
        <w:t xml:space="preserve">separation. </w:t>
      </w:r>
      <w:r w:rsidR="004B5400">
        <w:rPr>
          <w:rFonts w:cs="Times New Roman"/>
          <w:iCs/>
        </w:rPr>
        <w:t>Making divorce easier was</w:t>
      </w:r>
      <w:r w:rsidR="004B5400" w:rsidRPr="008F41CA">
        <w:rPr>
          <w:rFonts w:cs="Times New Roman"/>
          <w:iCs/>
        </w:rPr>
        <w:t xml:space="preserve"> </w:t>
      </w:r>
      <w:r w:rsidR="004B5400">
        <w:rPr>
          <w:rFonts w:cs="Times New Roman"/>
          <w:iCs/>
        </w:rPr>
        <w:t xml:space="preserve">undoubtedly </w:t>
      </w:r>
      <w:r w:rsidR="004B5400" w:rsidRPr="008F41CA">
        <w:rPr>
          <w:rFonts w:cs="Times New Roman"/>
          <w:iCs/>
        </w:rPr>
        <w:t>positive for family violence</w:t>
      </w:r>
      <w:r w:rsidR="004B5400">
        <w:rPr>
          <w:rStyle w:val="EndnoteReference"/>
          <w:rFonts w:cs="Times New Roman"/>
          <w:iCs/>
        </w:rPr>
        <w:endnoteReference w:id="2"/>
      </w:r>
      <w:r w:rsidR="004B5400">
        <w:rPr>
          <w:rFonts w:cs="Times New Roman"/>
          <w:iCs/>
        </w:rPr>
        <w:t xml:space="preserve"> victims. </w:t>
      </w:r>
      <w:r w:rsidR="00B549D4">
        <w:rPr>
          <w:rFonts w:cs="Times New Roman"/>
          <w:iCs/>
        </w:rPr>
        <w:t>Nevertheless</w:t>
      </w:r>
      <w:r w:rsidR="004B5400">
        <w:rPr>
          <w:rFonts w:cs="Times New Roman"/>
          <w:iCs/>
        </w:rPr>
        <w:t>,</w:t>
      </w:r>
      <w:r w:rsidR="004B5400" w:rsidRPr="008F41CA">
        <w:rPr>
          <w:rFonts w:cs="Times New Roman"/>
          <w:iCs/>
        </w:rPr>
        <w:t xml:space="preserve"> </w:t>
      </w:r>
      <w:r w:rsidR="004B5400" w:rsidRPr="008F41CA">
        <w:rPr>
          <w:rFonts w:eastAsia="Cambria" w:cs="Times New Roman"/>
          <w:bCs/>
        </w:rPr>
        <w:t xml:space="preserve">past </w:t>
      </w:r>
      <w:r w:rsidR="004B5400">
        <w:rPr>
          <w:rFonts w:eastAsia="Cambria" w:cs="Times New Roman"/>
          <w:bCs/>
        </w:rPr>
        <w:t>and/</w:t>
      </w:r>
      <w:r w:rsidR="004B5400" w:rsidRPr="008F41CA">
        <w:rPr>
          <w:rFonts w:eastAsia="Cambria" w:cs="Times New Roman"/>
          <w:bCs/>
        </w:rPr>
        <w:t xml:space="preserve">or current domestic violence </w:t>
      </w:r>
      <w:r w:rsidR="004B5400">
        <w:rPr>
          <w:rFonts w:eastAsia="Cambria" w:cs="Times New Roman"/>
          <w:bCs/>
        </w:rPr>
        <w:t xml:space="preserve">has increasingly been recognized as </w:t>
      </w:r>
      <w:r w:rsidR="004B5400" w:rsidRPr="008F41CA">
        <w:rPr>
          <w:rFonts w:eastAsia="Cambria" w:cs="Times New Roman"/>
          <w:bCs/>
        </w:rPr>
        <w:t>germane to ancillary proceedings</w:t>
      </w:r>
      <w:r w:rsidR="004B5400">
        <w:rPr>
          <w:rFonts w:eastAsia="Cambria" w:cs="Times New Roman"/>
          <w:bCs/>
        </w:rPr>
        <w:t>, including parenting and p</w:t>
      </w:r>
      <w:r w:rsidR="004B5400" w:rsidRPr="008F41CA">
        <w:rPr>
          <w:rFonts w:eastAsia="Cambria" w:cs="Times New Roman"/>
          <w:bCs/>
        </w:rPr>
        <w:t>roperty matters.</w:t>
      </w:r>
      <w:r w:rsidR="004B5400" w:rsidRPr="008F41CA">
        <w:rPr>
          <w:rFonts w:cs="Times New Roman"/>
          <w:iCs/>
        </w:rPr>
        <w:t xml:space="preserve"> </w:t>
      </w:r>
      <w:r w:rsidR="004B5400">
        <w:rPr>
          <w:rFonts w:cs="Times New Roman"/>
          <w:iCs/>
        </w:rPr>
        <w:t>It is not difficult in 2017 to understand why that is so in the case of parenting proceedings; indeed</w:t>
      </w:r>
      <w:r w:rsidR="00026B66">
        <w:rPr>
          <w:rFonts w:cs="Times New Roman"/>
          <w:iCs/>
        </w:rPr>
        <w:t>,</w:t>
      </w:r>
      <w:r w:rsidR="004B5400">
        <w:rPr>
          <w:rFonts w:cs="Times New Roman"/>
          <w:iCs/>
        </w:rPr>
        <w:t xml:space="preserve"> the prevalence of violence claims in parenting matters have led to it being described as ‘core business</w:t>
      </w:r>
      <w:r w:rsidR="00026B66">
        <w:rPr>
          <w:rFonts w:cs="Times New Roman"/>
          <w:iCs/>
        </w:rPr>
        <w:t>’</w:t>
      </w:r>
      <w:r w:rsidR="004B5400">
        <w:rPr>
          <w:rFonts w:cs="Times New Roman"/>
          <w:iCs/>
        </w:rPr>
        <w:t xml:space="preserve"> of the court (Brown et al</w:t>
      </w:r>
      <w:r w:rsidR="00026B66">
        <w:rPr>
          <w:rFonts w:cs="Times New Roman"/>
          <w:iCs/>
        </w:rPr>
        <w:t>.,</w:t>
      </w:r>
      <w:r w:rsidR="004B5400">
        <w:rPr>
          <w:rFonts w:cs="Times New Roman"/>
          <w:iCs/>
        </w:rPr>
        <w:t xml:space="preserve"> 1998). Since the 1990s the public,</w:t>
      </w:r>
      <w:r w:rsidR="004B5400">
        <w:rPr>
          <w:rStyle w:val="EndnoteReference"/>
          <w:rFonts w:cs="Times New Roman"/>
          <w:iCs/>
        </w:rPr>
        <w:endnoteReference w:id="3"/>
      </w:r>
      <w:r w:rsidR="004B5400">
        <w:rPr>
          <w:rFonts w:cs="Times New Roman"/>
          <w:iCs/>
        </w:rPr>
        <w:t xml:space="preserve"> academic commentators, judicial officers,</w:t>
      </w:r>
      <w:r w:rsidR="00A01666">
        <w:rPr>
          <w:rFonts w:cs="Times New Roman"/>
          <w:iCs/>
        </w:rPr>
        <w:t xml:space="preserve"> and</w:t>
      </w:r>
      <w:r w:rsidR="004B5400">
        <w:rPr>
          <w:rFonts w:cs="Times New Roman"/>
          <w:iCs/>
        </w:rPr>
        <w:t xml:space="preserve"> research social scientists working in the field and legislators (Young et al</w:t>
      </w:r>
      <w:r w:rsidR="00026B66">
        <w:rPr>
          <w:rFonts w:cs="Times New Roman"/>
          <w:iCs/>
        </w:rPr>
        <w:t>.,</w:t>
      </w:r>
      <w:r w:rsidR="004B5400">
        <w:rPr>
          <w:rFonts w:cs="Times New Roman"/>
          <w:iCs/>
        </w:rPr>
        <w:t xml:space="preserve"> 2016</w:t>
      </w:r>
      <w:r w:rsidR="00026B66">
        <w:rPr>
          <w:rFonts w:cs="Times New Roman"/>
          <w:iCs/>
        </w:rPr>
        <w:t>:</w:t>
      </w:r>
      <w:r w:rsidR="004B5400">
        <w:rPr>
          <w:rFonts w:cs="Times New Roman"/>
          <w:iCs/>
        </w:rPr>
        <w:t xml:space="preserve"> </w:t>
      </w:r>
      <w:r w:rsidR="004B5400">
        <w:t xml:space="preserve">[31.]-[3.4]; [9.28]-[9.39]; [14.37]-[14.40]) </w:t>
      </w:r>
      <w:r w:rsidR="004B5400">
        <w:rPr>
          <w:rFonts w:cs="Times New Roman"/>
          <w:iCs/>
        </w:rPr>
        <w:t>have each played their part in advancing the discourse about, and responses to, the question of how best to protect and support victims of violence in parenting disputes, both as a matter of law and process.</w:t>
      </w:r>
    </w:p>
    <w:p w14:paraId="06019DEB" w14:textId="77777777" w:rsidR="004B5400" w:rsidRDefault="004B5400" w:rsidP="00A50051">
      <w:pPr>
        <w:spacing w:line="240" w:lineRule="auto"/>
        <w:jc w:val="both"/>
        <w:rPr>
          <w:rFonts w:cs="Times New Roman"/>
          <w:iCs/>
        </w:rPr>
      </w:pPr>
    </w:p>
    <w:p w14:paraId="53189B09" w14:textId="64533B67" w:rsidR="004B5400" w:rsidRPr="00B5704F" w:rsidRDefault="004B5400" w:rsidP="006D30F1">
      <w:pPr>
        <w:spacing w:line="240" w:lineRule="auto"/>
        <w:ind w:firstLine="720"/>
        <w:jc w:val="both"/>
        <w:rPr>
          <w:rFonts w:ascii="Times" w:eastAsia="Times New Roman" w:hAnsi="Times" w:cs="Times New Roman"/>
          <w:sz w:val="20"/>
          <w:szCs w:val="20"/>
          <w:lang w:val="en-AU"/>
        </w:rPr>
      </w:pPr>
      <w:r>
        <w:rPr>
          <w:rFonts w:cs="Times New Roman"/>
          <w:iCs/>
        </w:rPr>
        <w:t xml:space="preserve">However, the same cannot be said in respect of property proceedings, where the road to recognition of the relevance of violence has been slow and the search for appropriate responses challenging.  </w:t>
      </w:r>
      <w:r w:rsidRPr="008F41CA">
        <w:rPr>
          <w:rFonts w:eastAsia="Cambria" w:cs="Times New Roman"/>
          <w:bCs/>
        </w:rPr>
        <w:t xml:space="preserve">In this </w:t>
      </w:r>
      <w:r w:rsidR="006D30F1">
        <w:rPr>
          <w:rFonts w:eastAsia="Cambria" w:cs="Times New Roman"/>
          <w:bCs/>
        </w:rPr>
        <w:t>article</w:t>
      </w:r>
      <w:r w:rsidRPr="008F41CA">
        <w:rPr>
          <w:rFonts w:eastAsia="Cambria" w:cs="Times New Roman"/>
          <w:bCs/>
        </w:rPr>
        <w:t xml:space="preserve"> we </w:t>
      </w:r>
      <w:r>
        <w:rPr>
          <w:rFonts w:eastAsia="Cambria" w:cs="Times New Roman"/>
          <w:bCs/>
        </w:rPr>
        <w:t>start by outlining</w:t>
      </w:r>
      <w:r w:rsidRPr="008F41CA">
        <w:rPr>
          <w:rFonts w:eastAsia="Cambria" w:cs="Times New Roman"/>
          <w:bCs/>
        </w:rPr>
        <w:t xml:space="preserve"> the why and how of that relevance by looking at </w:t>
      </w:r>
      <w:r>
        <w:rPr>
          <w:rFonts w:eastAsia="Cambria" w:cs="Times New Roman"/>
          <w:bCs/>
        </w:rPr>
        <w:t>the</w:t>
      </w:r>
      <w:r w:rsidRPr="008F41CA">
        <w:rPr>
          <w:rFonts w:eastAsia="Cambria" w:cs="Times New Roman"/>
          <w:bCs/>
        </w:rPr>
        <w:t xml:space="preserve"> </w:t>
      </w:r>
      <w:r>
        <w:rPr>
          <w:rFonts w:eastAsia="Cambria" w:cs="Times New Roman"/>
          <w:bCs/>
        </w:rPr>
        <w:t>ways in which</w:t>
      </w:r>
      <w:r w:rsidRPr="008F41CA">
        <w:rPr>
          <w:rFonts w:eastAsia="Cambria" w:cs="Times New Roman"/>
          <w:bCs/>
        </w:rPr>
        <w:t xml:space="preserve"> family violence </w:t>
      </w:r>
      <w:r>
        <w:rPr>
          <w:rFonts w:eastAsia="Cambria" w:cs="Times New Roman"/>
          <w:bCs/>
        </w:rPr>
        <w:t xml:space="preserve">may intersect </w:t>
      </w:r>
      <w:r w:rsidRPr="008F41CA">
        <w:rPr>
          <w:rFonts w:eastAsia="Cambria" w:cs="Times New Roman"/>
          <w:bCs/>
        </w:rPr>
        <w:t>with family law property matters</w:t>
      </w:r>
      <w:r>
        <w:rPr>
          <w:rFonts w:eastAsia="Cambria" w:cs="Times New Roman"/>
          <w:bCs/>
        </w:rPr>
        <w:t>. In considering why family violence should be considered in this context, we explain how a</w:t>
      </w:r>
      <w:r w:rsidRPr="008F41CA">
        <w:rPr>
          <w:rFonts w:eastAsia="Cambria" w:cs="Times New Roman"/>
          <w:bCs/>
        </w:rPr>
        <w:t xml:space="preserve"> property settlement, both in process and outcome, may be either a manifestation of coercive control and/or affected by the legacy of coercive control</w:t>
      </w:r>
      <w:r>
        <w:rPr>
          <w:rFonts w:eastAsia="Cambria" w:cs="Times New Roman"/>
          <w:bCs/>
        </w:rPr>
        <w:t xml:space="preserve">.  In terms of how this has been addressed to date, we chart the limited Australian responses and suggestions for reform, which have effectively left the judiciary to fashion a response with all the attendant difficulties of non-legislative reform.  This brings our focus to how the </w:t>
      </w:r>
      <w:r w:rsidRPr="008F41CA">
        <w:rPr>
          <w:rFonts w:eastAsia="Cambria" w:cs="Times New Roman"/>
          <w:bCs/>
        </w:rPr>
        <w:t>Family Court</w:t>
      </w:r>
      <w:r>
        <w:rPr>
          <w:rFonts w:eastAsia="Cambria" w:cs="Times New Roman"/>
          <w:bCs/>
        </w:rPr>
        <w:t xml:space="preserve"> in Australia</w:t>
      </w:r>
      <w:r w:rsidRPr="008F41CA">
        <w:rPr>
          <w:rFonts w:eastAsia="Cambria" w:cs="Times New Roman"/>
          <w:bCs/>
        </w:rPr>
        <w:t xml:space="preserve"> </w:t>
      </w:r>
      <w:r>
        <w:rPr>
          <w:rFonts w:eastAsia="Cambria" w:cs="Times New Roman"/>
          <w:bCs/>
        </w:rPr>
        <w:t>has utilized the ‘</w:t>
      </w:r>
      <w:r w:rsidRPr="007D2B5C">
        <w:rPr>
          <w:rFonts w:eastAsia="Cambria" w:cs="Times New Roman"/>
          <w:bCs/>
          <w:i/>
        </w:rPr>
        <w:t>Kennon</w:t>
      </w:r>
      <w:r>
        <w:rPr>
          <w:rFonts w:eastAsia="Cambria" w:cs="Times New Roman"/>
          <w:bCs/>
        </w:rPr>
        <w:t xml:space="preserve"> principle’ in property proceedings, where the Full Court </w:t>
      </w:r>
      <w:r>
        <w:rPr>
          <w:rFonts w:cs="Times New Roman"/>
        </w:rPr>
        <w:t>has tied recognition of violence in a property award to the victim proving</w:t>
      </w:r>
      <w:r w:rsidRPr="008F41CA">
        <w:rPr>
          <w:rFonts w:cs="Times New Roman"/>
        </w:rPr>
        <w:t xml:space="preserve">, on the balance of probabilities: </w:t>
      </w:r>
    </w:p>
    <w:p w14:paraId="72008B52" w14:textId="6AFA132F" w:rsidR="004B5400" w:rsidRPr="008F41CA" w:rsidRDefault="00021FF5" w:rsidP="00A50051">
      <w:pPr>
        <w:pStyle w:val="BlockText"/>
        <w:spacing w:after="0" w:line="240" w:lineRule="auto"/>
        <w:jc w:val="both"/>
      </w:pPr>
      <w:r>
        <w:t xml:space="preserve">‘… </w:t>
      </w:r>
      <w:r w:rsidR="004B5400" w:rsidRPr="008F41CA">
        <w:t xml:space="preserve">a </w:t>
      </w:r>
      <w:r w:rsidR="004B5400" w:rsidRPr="00444D57">
        <w:rPr>
          <w:i/>
        </w:rPr>
        <w:t>course of violent conduct</w:t>
      </w:r>
      <w:r w:rsidR="004B5400" w:rsidRPr="008F41CA">
        <w:t xml:space="preserve"> by one party towards the other during the marriage </w:t>
      </w:r>
      <w:r w:rsidR="004B5400" w:rsidRPr="008F41CA">
        <w:rPr>
          <w:i/>
        </w:rPr>
        <w:t>which is demonstrated</w:t>
      </w:r>
      <w:r w:rsidR="004B5400" w:rsidRPr="008F41CA">
        <w:t xml:space="preserve"> to have had a </w:t>
      </w:r>
      <w:r w:rsidR="004B5400" w:rsidRPr="008F41CA">
        <w:rPr>
          <w:i/>
        </w:rPr>
        <w:t>significant adverse impact</w:t>
      </w:r>
      <w:r w:rsidR="004B5400" w:rsidRPr="008F41CA">
        <w:t xml:space="preserve"> upon that party’s contributions to the marriage, or, put the other way, to have made his or her contributions </w:t>
      </w:r>
      <w:r w:rsidR="004B5400" w:rsidRPr="00444D57">
        <w:rPr>
          <w:i/>
        </w:rPr>
        <w:t xml:space="preserve">significantly more arduous </w:t>
      </w:r>
      <w:r w:rsidR="004B5400" w:rsidRPr="008F41CA">
        <w:t>than they ought to have been, that is a fact which a trial judge is entitled to take into account in assessing the pa</w:t>
      </w:r>
      <w:r w:rsidR="004B5400">
        <w:t>rties’ respective contributions</w:t>
      </w:r>
      <w:r w:rsidR="004B5400" w:rsidRPr="008F41CA">
        <w:t>…</w:t>
      </w:r>
      <w:r>
        <w:t>’.</w:t>
      </w:r>
      <w:r w:rsidR="004B5400" w:rsidRPr="008F41CA">
        <w:rPr>
          <w:rStyle w:val="EndnoteReference"/>
        </w:rPr>
        <w:endnoteReference w:id="4"/>
      </w:r>
      <w:r w:rsidR="004B5400" w:rsidRPr="008F41CA">
        <w:t xml:space="preserve"> </w:t>
      </w:r>
    </w:p>
    <w:p w14:paraId="19EDCDF0" w14:textId="77777777" w:rsidR="004B5400" w:rsidRDefault="004B5400" w:rsidP="00A50051">
      <w:pPr>
        <w:pStyle w:val="BlockText"/>
        <w:spacing w:after="0" w:line="240" w:lineRule="auto"/>
        <w:ind w:left="0"/>
        <w:jc w:val="both"/>
      </w:pPr>
    </w:p>
    <w:p w14:paraId="40CFAE22" w14:textId="6B412F58" w:rsidR="004B5400" w:rsidRDefault="004B5400" w:rsidP="00A50051">
      <w:pPr>
        <w:widowControl w:val="0"/>
        <w:autoSpaceDE w:val="0"/>
        <w:autoSpaceDN w:val="0"/>
        <w:adjustRightInd w:val="0"/>
        <w:spacing w:line="240" w:lineRule="auto"/>
        <w:jc w:val="both"/>
        <w:rPr>
          <w:rFonts w:cs="Times New Roman"/>
          <w:color w:val="000000"/>
        </w:rPr>
      </w:pPr>
      <w:r>
        <w:rPr>
          <w:rFonts w:eastAsia="Cambria" w:cs="Times New Roman"/>
          <w:bCs/>
        </w:rPr>
        <w:t xml:space="preserve">As part of this </w:t>
      </w:r>
      <w:r w:rsidR="006D30F1">
        <w:rPr>
          <w:rFonts w:eastAsia="Cambria" w:cs="Times New Roman"/>
          <w:bCs/>
        </w:rPr>
        <w:t>article</w:t>
      </w:r>
      <w:r>
        <w:rPr>
          <w:rFonts w:eastAsia="Cambria" w:cs="Times New Roman"/>
          <w:bCs/>
        </w:rPr>
        <w:t xml:space="preserve">, we have updated the research on </w:t>
      </w:r>
      <w:r w:rsidRPr="007D2B5C">
        <w:rPr>
          <w:rFonts w:eastAsia="Cambria" w:cs="Times New Roman"/>
          <w:bCs/>
          <w:i/>
        </w:rPr>
        <w:t>Kennon</w:t>
      </w:r>
      <w:r w:rsidRPr="008F41CA">
        <w:rPr>
          <w:rFonts w:eastAsia="Cambria" w:cs="Times New Roman"/>
          <w:bCs/>
        </w:rPr>
        <w:t>,</w:t>
      </w:r>
      <w:r w:rsidRPr="008F41CA">
        <w:rPr>
          <w:rStyle w:val="EndnoteReference"/>
          <w:rFonts w:cs="Times New Roman"/>
          <w:color w:val="000000"/>
        </w:rPr>
        <w:t xml:space="preserve"> </w:t>
      </w:r>
      <w:r>
        <w:rPr>
          <w:rFonts w:cs="Times New Roman"/>
          <w:color w:val="000000"/>
        </w:rPr>
        <w:t xml:space="preserve">which is important given the small number of cases involved and because it can help to illuminate whether some of the concerns of the past that have been raised in prior research are being addressed.  </w:t>
      </w:r>
      <w:r>
        <w:rPr>
          <w:rFonts w:eastAsia="Cambria" w:cs="Times New Roman"/>
          <w:bCs/>
        </w:rPr>
        <w:t>W</w:t>
      </w:r>
      <w:r w:rsidRPr="008F41CA">
        <w:rPr>
          <w:rFonts w:eastAsia="Cambria" w:cs="Times New Roman"/>
          <w:bCs/>
        </w:rPr>
        <w:t xml:space="preserve">e </w:t>
      </w:r>
      <w:r>
        <w:rPr>
          <w:rFonts w:eastAsia="Cambria" w:cs="Times New Roman"/>
          <w:bCs/>
        </w:rPr>
        <w:t>conducted</w:t>
      </w:r>
      <w:r w:rsidRPr="008F41CA">
        <w:rPr>
          <w:rFonts w:eastAsia="Cambria" w:cs="Times New Roman"/>
          <w:bCs/>
        </w:rPr>
        <w:t xml:space="preserve"> a search </w:t>
      </w:r>
      <w:r>
        <w:rPr>
          <w:rFonts w:eastAsia="Cambria" w:cs="Times New Roman"/>
          <w:bCs/>
        </w:rPr>
        <w:t xml:space="preserve">of all Australian family courts </w:t>
      </w:r>
      <w:r w:rsidRPr="008F41CA">
        <w:rPr>
          <w:rFonts w:eastAsia="Cambria" w:cs="Times New Roman"/>
          <w:bCs/>
        </w:rPr>
        <w:t>u</w:t>
      </w:r>
      <w:r w:rsidRPr="008F41CA">
        <w:rPr>
          <w:rFonts w:cs="Times New Roman"/>
          <w:color w:val="000000"/>
        </w:rPr>
        <w:t>sing the Australasian Legal Information Institute (AUSTLII)</w:t>
      </w:r>
      <w:r w:rsidRPr="008F41CA">
        <w:rPr>
          <w:rFonts w:cs="Times New Roman"/>
          <w:color w:val="000000"/>
          <w:position w:val="8"/>
        </w:rPr>
        <w:t xml:space="preserve"> </w:t>
      </w:r>
      <w:r w:rsidRPr="008F41CA">
        <w:rPr>
          <w:rFonts w:cs="Times New Roman"/>
          <w:color w:val="000000"/>
        </w:rPr>
        <w:t>online database with the search terms ‘</w:t>
      </w:r>
      <w:r w:rsidRPr="00944BA0">
        <w:rPr>
          <w:rFonts w:cs="Times New Roman"/>
          <w:color w:val="000000"/>
        </w:rPr>
        <w:t>domestic</w:t>
      </w:r>
      <w:r w:rsidRPr="008F41CA">
        <w:rPr>
          <w:rFonts w:cs="Times New Roman"/>
          <w:color w:val="000000"/>
        </w:rPr>
        <w:t xml:space="preserve"> violence AND Kennon’</w:t>
      </w:r>
      <w:r>
        <w:rPr>
          <w:rFonts w:cs="Times New Roman"/>
          <w:color w:val="000000"/>
        </w:rPr>
        <w:t>, and ‘family violence AND Kennon’.</w:t>
      </w:r>
      <w:r w:rsidRPr="008F41CA">
        <w:rPr>
          <w:rFonts w:cs="Times New Roman"/>
          <w:color w:val="000000"/>
          <w:position w:val="8"/>
        </w:rPr>
        <w:t xml:space="preserve"> </w:t>
      </w:r>
      <w:r>
        <w:rPr>
          <w:rFonts w:cs="Times New Roman"/>
          <w:color w:val="000000"/>
        </w:rPr>
        <w:lastRenderedPageBreak/>
        <w:t>Nineteen judgments - eighteen</w:t>
      </w:r>
      <w:r w:rsidRPr="008F41CA">
        <w:rPr>
          <w:rFonts w:cs="Times New Roman"/>
          <w:color w:val="000000"/>
        </w:rPr>
        <w:t xml:space="preserve"> first instance and one Full Court </w:t>
      </w:r>
      <w:r>
        <w:rPr>
          <w:rFonts w:cs="Times New Roman"/>
          <w:color w:val="000000"/>
        </w:rPr>
        <w:t>-</w:t>
      </w:r>
      <w:r w:rsidRPr="008F41CA">
        <w:rPr>
          <w:rFonts w:cs="Times New Roman"/>
          <w:color w:val="000000"/>
        </w:rPr>
        <w:t xml:space="preserve"> were identified in which a </w:t>
      </w:r>
      <w:r w:rsidRPr="008F41CA">
        <w:rPr>
          <w:rFonts w:cs="Times New Roman"/>
          <w:i/>
          <w:iCs/>
          <w:color w:val="000000"/>
        </w:rPr>
        <w:t xml:space="preserve">Kennon </w:t>
      </w:r>
      <w:r w:rsidRPr="008F41CA">
        <w:rPr>
          <w:rFonts w:cs="Times New Roman"/>
          <w:color w:val="000000"/>
        </w:rPr>
        <w:t>claim was raised by one of the parties during the years 2015 and 2016. We recorded</w:t>
      </w:r>
      <w:r w:rsidR="00A01666">
        <w:rPr>
          <w:rFonts w:cs="Times New Roman"/>
          <w:color w:val="000000"/>
        </w:rPr>
        <w:t xml:space="preserve"> the</w:t>
      </w:r>
      <w:r w:rsidRPr="008F41CA">
        <w:rPr>
          <w:rFonts w:cs="Times New Roman"/>
          <w:color w:val="000000"/>
        </w:rPr>
        <w:t xml:space="preserve"> </w:t>
      </w:r>
      <w:r>
        <w:rPr>
          <w:rFonts w:cs="Times New Roman"/>
          <w:color w:val="000000"/>
        </w:rPr>
        <w:t xml:space="preserve">name and sex of the judicial officer, the registry, outcome and </w:t>
      </w:r>
      <w:r w:rsidRPr="008F41CA">
        <w:rPr>
          <w:rFonts w:cs="Times New Roman"/>
          <w:color w:val="000000"/>
        </w:rPr>
        <w:t>the primary considerations that appeared to affect the decision.</w:t>
      </w:r>
      <w:r>
        <w:rPr>
          <w:rFonts w:cs="Times New Roman"/>
          <w:color w:val="000000"/>
        </w:rPr>
        <w:t xml:space="preserve"> In addition, the decisions were read with a view to assessing the court’s interpretation and application of the various elements of the test.</w:t>
      </w:r>
      <w:r w:rsidRPr="008F41CA">
        <w:rPr>
          <w:rFonts w:cs="Times New Roman"/>
          <w:color w:val="000000"/>
        </w:rPr>
        <w:t xml:space="preserve"> </w:t>
      </w:r>
      <w:r>
        <w:rPr>
          <w:rFonts w:cs="Times New Roman"/>
          <w:color w:val="000000"/>
        </w:rPr>
        <w:t xml:space="preserve">We conclude that, as a response to the issues raised in property proceedings where domestic violence has been a feature of the relationship, </w:t>
      </w:r>
      <w:r w:rsidRPr="00D92C81">
        <w:rPr>
          <w:rFonts w:cs="Times New Roman"/>
          <w:i/>
          <w:color w:val="000000"/>
        </w:rPr>
        <w:t>Kennon</w:t>
      </w:r>
      <w:r>
        <w:rPr>
          <w:rFonts w:cs="Times New Roman"/>
          <w:color w:val="000000"/>
        </w:rPr>
        <w:t xml:space="preserve"> is a poor fit, both in terms of process and law (though of course better than no response). </w:t>
      </w:r>
    </w:p>
    <w:p w14:paraId="63349C4B" w14:textId="77777777" w:rsidR="004B5400" w:rsidRDefault="004B5400" w:rsidP="00A50051">
      <w:pPr>
        <w:widowControl w:val="0"/>
        <w:autoSpaceDE w:val="0"/>
        <w:autoSpaceDN w:val="0"/>
        <w:adjustRightInd w:val="0"/>
        <w:spacing w:line="240" w:lineRule="auto"/>
        <w:jc w:val="both"/>
        <w:rPr>
          <w:rFonts w:cs="Times New Roman"/>
          <w:color w:val="000000"/>
        </w:rPr>
      </w:pPr>
    </w:p>
    <w:p w14:paraId="698A0744" w14:textId="211D294C" w:rsidR="004B5400" w:rsidRPr="00A50051" w:rsidRDefault="004B5400" w:rsidP="0051219F">
      <w:pPr>
        <w:widowControl w:val="0"/>
        <w:autoSpaceDE w:val="0"/>
        <w:autoSpaceDN w:val="0"/>
        <w:adjustRightInd w:val="0"/>
        <w:spacing w:line="240" w:lineRule="auto"/>
        <w:ind w:firstLine="720"/>
        <w:jc w:val="both"/>
        <w:rPr>
          <w:rFonts w:cs="Times New Roman"/>
        </w:rPr>
      </w:pPr>
      <w:r>
        <w:rPr>
          <w:rFonts w:cs="Times New Roman"/>
          <w:color w:val="000000"/>
        </w:rPr>
        <w:t xml:space="preserve">To date, there has been little governmental appetite for legislative reform in the family law property domain. The same cannot be said in regard to family violence more </w:t>
      </w:r>
      <w:r w:rsidRPr="00A50051">
        <w:rPr>
          <w:rFonts w:cs="Times New Roman"/>
        </w:rPr>
        <w:t>generally</w:t>
      </w:r>
      <w:r>
        <w:rPr>
          <w:rFonts w:cs="Times New Roman"/>
        </w:rPr>
        <w:t>,</w:t>
      </w:r>
      <w:r>
        <w:rPr>
          <w:rStyle w:val="EndnoteReference"/>
          <w:rFonts w:cs="Times New Roman"/>
        </w:rPr>
        <w:endnoteReference w:id="5"/>
      </w:r>
      <w:r>
        <w:rPr>
          <w:rFonts w:cs="Times New Roman"/>
        </w:rPr>
        <w:t xml:space="preserve"> which has been something of a hot topic in </w:t>
      </w:r>
      <w:r w:rsidR="00B549D4">
        <w:rPr>
          <w:rFonts w:cs="Times New Roman"/>
        </w:rPr>
        <w:t>children’s matters</w:t>
      </w:r>
      <w:r>
        <w:rPr>
          <w:rFonts w:cs="Times New Roman"/>
        </w:rPr>
        <w:t xml:space="preserve"> since the </w:t>
      </w:r>
      <w:r w:rsidR="00B549D4">
        <w:rPr>
          <w:rFonts w:cs="Times New Roman"/>
        </w:rPr>
        <w:t xml:space="preserve">mid </w:t>
      </w:r>
      <w:r>
        <w:rPr>
          <w:rFonts w:cs="Times New Roman"/>
        </w:rPr>
        <w:t>1990s.</w:t>
      </w:r>
      <w:r w:rsidRPr="00A50051">
        <w:rPr>
          <w:rFonts w:cs="Times New Roman"/>
        </w:rPr>
        <w:t xml:space="preserve"> </w:t>
      </w:r>
      <w:r>
        <w:rPr>
          <w:rFonts w:cs="Times New Roman"/>
        </w:rPr>
        <w:t>However,</w:t>
      </w:r>
      <w:r w:rsidRPr="00A50051">
        <w:rPr>
          <w:rFonts w:cs="Times New Roman"/>
        </w:rPr>
        <w:t xml:space="preserve"> the federal Attorney General has recently directed the Australian Law Reform Commission </w:t>
      </w:r>
      <w:r>
        <w:rPr>
          <w:rFonts w:cs="Times New Roman"/>
        </w:rPr>
        <w:t xml:space="preserve">(ALRC) </w:t>
      </w:r>
      <w:r w:rsidRPr="00A50051">
        <w:rPr>
          <w:rFonts w:cs="Times New Roman"/>
        </w:rPr>
        <w:t>to undertake a comprehensive review of family law, with one o</w:t>
      </w:r>
      <w:r>
        <w:rPr>
          <w:rFonts w:cs="Times New Roman"/>
        </w:rPr>
        <w:t>f the terms of reference being</w:t>
      </w:r>
      <w:r w:rsidRPr="00A50051">
        <w:rPr>
          <w:rFonts w:cs="Times New Roman"/>
        </w:rPr>
        <w:t xml:space="preserve"> </w:t>
      </w:r>
      <w:r>
        <w:rPr>
          <w:rFonts w:cs="Times New Roman"/>
        </w:rPr>
        <w:t>‘</w:t>
      </w:r>
      <w:r w:rsidRPr="00A50051">
        <w:rPr>
          <w:rFonts w:cs="Times New Roman"/>
          <w:shd w:val="clear" w:color="auto" w:fill="FFFFFF"/>
        </w:rPr>
        <w:t>the underlying substantive rules and general legal principles in relation to parenting and property</w:t>
      </w:r>
      <w:r>
        <w:rPr>
          <w:rFonts w:cs="Times New Roman"/>
          <w:shd w:val="clear" w:color="auto" w:fill="FFFFFF"/>
        </w:rPr>
        <w:t>’ and another being ‘family violence and child abuse’</w:t>
      </w:r>
      <w:r w:rsidRPr="00A50051">
        <w:rPr>
          <w:rFonts w:cs="Times New Roman"/>
        </w:rPr>
        <w:t>.</w:t>
      </w:r>
      <w:r w:rsidRPr="00A50051">
        <w:rPr>
          <w:rStyle w:val="EndnoteReference"/>
          <w:rFonts w:cs="Times New Roman"/>
        </w:rPr>
        <w:endnoteReference w:id="6"/>
      </w:r>
      <w:r w:rsidRPr="00A50051">
        <w:rPr>
          <w:rFonts w:cs="Times New Roman"/>
        </w:rPr>
        <w:t xml:space="preserve">  The time is therefore ripe for a reconsideration of legislative </w:t>
      </w:r>
      <w:r>
        <w:rPr>
          <w:rFonts w:cs="Times New Roman"/>
        </w:rPr>
        <w:t xml:space="preserve">– and other - </w:t>
      </w:r>
      <w:r w:rsidRPr="00A50051">
        <w:rPr>
          <w:rFonts w:cs="Times New Roman"/>
        </w:rPr>
        <w:t>response</w:t>
      </w:r>
      <w:r>
        <w:rPr>
          <w:rFonts w:cs="Times New Roman"/>
        </w:rPr>
        <w:t>s</w:t>
      </w:r>
      <w:r w:rsidRPr="00A50051">
        <w:rPr>
          <w:rFonts w:cs="Times New Roman"/>
        </w:rPr>
        <w:t xml:space="preserve"> to issues of family violence and property.</w:t>
      </w:r>
      <w:r>
        <w:rPr>
          <w:rFonts w:cs="Times New Roman"/>
        </w:rPr>
        <w:t xml:space="preserve"> As this </w:t>
      </w:r>
      <w:r w:rsidR="0051219F">
        <w:rPr>
          <w:rFonts w:cs="Times New Roman"/>
        </w:rPr>
        <w:t>article</w:t>
      </w:r>
      <w:r>
        <w:rPr>
          <w:rFonts w:cs="Times New Roman"/>
        </w:rPr>
        <w:t xml:space="preserve"> will show, while the Australian response to date to this issue has its shortcomings, Australia is still at the forefront in family law in recognizing the relevance of family violence to property matters. The ALRC reference provides a unique opportunity for Australian legislators to build on this beginning.</w:t>
      </w:r>
    </w:p>
    <w:p w14:paraId="4E22F1BB" w14:textId="789F3538" w:rsidR="004B5400" w:rsidRPr="008F41CA" w:rsidRDefault="004B5400" w:rsidP="00A50051">
      <w:pPr>
        <w:spacing w:line="240" w:lineRule="auto"/>
        <w:jc w:val="both"/>
        <w:rPr>
          <w:rFonts w:eastAsia="Cambria" w:cs="Times New Roman"/>
          <w:bCs/>
        </w:rPr>
      </w:pPr>
    </w:p>
    <w:p w14:paraId="148F8893" w14:textId="3269A291" w:rsidR="004B5400" w:rsidRPr="005733E4" w:rsidRDefault="004B5400" w:rsidP="0051219F">
      <w:pPr>
        <w:spacing w:line="240" w:lineRule="auto"/>
        <w:ind w:firstLine="720"/>
        <w:jc w:val="both"/>
        <w:rPr>
          <w:rFonts w:cs="Times New Roman"/>
          <w:iCs/>
        </w:rPr>
      </w:pPr>
      <w:r>
        <w:rPr>
          <w:rFonts w:eastAsia="Cambria" w:cs="Times New Roman"/>
          <w:bCs/>
        </w:rPr>
        <w:t>It is important to say from the outset that o</w:t>
      </w:r>
      <w:r w:rsidRPr="008F41CA">
        <w:rPr>
          <w:rFonts w:eastAsia="Cambria" w:cs="Times New Roman"/>
          <w:bCs/>
        </w:rPr>
        <w:t xml:space="preserve">ur analysis is underpinned </w:t>
      </w:r>
      <w:r>
        <w:rPr>
          <w:rFonts w:eastAsia="Cambria" w:cs="Times New Roman"/>
          <w:bCs/>
        </w:rPr>
        <w:t>by</w:t>
      </w:r>
      <w:r w:rsidRPr="008F41CA">
        <w:rPr>
          <w:rFonts w:eastAsia="Cambria" w:cs="Times New Roman"/>
          <w:bCs/>
        </w:rPr>
        <w:t xml:space="preserve"> a feminist appreciation that each of these intersections of violence, property and family law </w:t>
      </w:r>
      <w:r>
        <w:rPr>
          <w:rFonts w:eastAsia="Cambria" w:cs="Times New Roman"/>
          <w:bCs/>
        </w:rPr>
        <w:t>has</w:t>
      </w:r>
      <w:r w:rsidRPr="008F41CA">
        <w:rPr>
          <w:rFonts w:eastAsia="Cambria" w:cs="Times New Roman"/>
          <w:bCs/>
        </w:rPr>
        <w:t xml:space="preserve"> to be understood within the broader societal context, which is marked by persistent gender inequality</w:t>
      </w:r>
      <w:r>
        <w:rPr>
          <w:rFonts w:eastAsia="Cambria" w:cs="Times New Roman"/>
          <w:bCs/>
        </w:rPr>
        <w:t xml:space="preserve"> (Fineman</w:t>
      </w:r>
      <w:r w:rsidR="00026B66">
        <w:rPr>
          <w:rFonts w:eastAsia="Cambria" w:cs="Times New Roman"/>
          <w:bCs/>
        </w:rPr>
        <w:t>,</w:t>
      </w:r>
      <w:r>
        <w:rPr>
          <w:rFonts w:eastAsia="Cambria" w:cs="Times New Roman"/>
          <w:bCs/>
        </w:rPr>
        <w:t xml:space="preserve"> 2011</w:t>
      </w:r>
      <w:r w:rsidR="00026B66">
        <w:rPr>
          <w:rFonts w:eastAsia="Cambria" w:cs="Times New Roman"/>
          <w:bCs/>
        </w:rPr>
        <w:t>:</w:t>
      </w:r>
      <w:r>
        <w:rPr>
          <w:rFonts w:eastAsia="Cambria" w:cs="Times New Roman"/>
          <w:bCs/>
        </w:rPr>
        <w:t xml:space="preserve"> 1-17; McKinnon</w:t>
      </w:r>
      <w:r w:rsidR="00026B66">
        <w:rPr>
          <w:rFonts w:eastAsia="Cambria" w:cs="Times New Roman"/>
          <w:bCs/>
        </w:rPr>
        <w:t>,</w:t>
      </w:r>
      <w:r>
        <w:rPr>
          <w:rFonts w:eastAsia="Cambria" w:cs="Times New Roman"/>
          <w:bCs/>
        </w:rPr>
        <w:t xml:space="preserve"> 1989). </w:t>
      </w:r>
      <w:r w:rsidRPr="008F41CA">
        <w:rPr>
          <w:rFonts w:eastAsia="Cambria" w:cs="Times New Roman"/>
          <w:bCs/>
        </w:rPr>
        <w:t xml:space="preserve">Therefore, to describe </w:t>
      </w:r>
      <w:r>
        <w:rPr>
          <w:rFonts w:eastAsia="Cambria" w:cs="Times New Roman"/>
          <w:bCs/>
        </w:rPr>
        <w:t xml:space="preserve">fully </w:t>
      </w:r>
      <w:r w:rsidRPr="008F41CA">
        <w:rPr>
          <w:rFonts w:eastAsia="Cambria" w:cs="Times New Roman"/>
          <w:bCs/>
        </w:rPr>
        <w:t xml:space="preserve">and understand the possible relationships between coercive control and family property division processes and outcomes, it is necessary to look at the influence of gender, which we do next. </w:t>
      </w:r>
      <w:r>
        <w:rPr>
          <w:rFonts w:eastAsia="Cambria" w:cs="Times New Roman"/>
          <w:bCs/>
        </w:rPr>
        <w:t>Indeed, we argue these considerations are central to understanding the problems as they exist, and to fashioning any appropriate responses.</w:t>
      </w:r>
    </w:p>
    <w:p w14:paraId="58D13097" w14:textId="77777777" w:rsidR="004B5400" w:rsidRPr="008F41CA" w:rsidRDefault="004B5400" w:rsidP="00A50051">
      <w:pPr>
        <w:spacing w:line="240" w:lineRule="auto"/>
        <w:jc w:val="both"/>
        <w:rPr>
          <w:rFonts w:eastAsia="Cambria" w:cs="Times New Roman"/>
          <w:bCs/>
        </w:rPr>
      </w:pPr>
    </w:p>
    <w:p w14:paraId="37076E36" w14:textId="38835FEA" w:rsidR="004B5400" w:rsidRPr="005A5A47" w:rsidRDefault="005A5A47" w:rsidP="005A5A47">
      <w:pPr>
        <w:pStyle w:val="ListParagraph"/>
        <w:numPr>
          <w:ilvl w:val="0"/>
          <w:numId w:val="23"/>
        </w:numPr>
        <w:spacing w:line="240" w:lineRule="auto"/>
        <w:jc w:val="center"/>
        <w:rPr>
          <w:rFonts w:eastAsia="Cambria" w:cs="Times New Roman"/>
          <w:bCs/>
        </w:rPr>
      </w:pPr>
      <w:r w:rsidRPr="005A5A47">
        <w:rPr>
          <w:rFonts w:eastAsia="Cambria" w:cs="Times New Roman"/>
          <w:bCs/>
        </w:rPr>
        <w:t>THE GENDERING OF PROPERTY SETTLEMENT</w:t>
      </w:r>
    </w:p>
    <w:p w14:paraId="31D91A55" w14:textId="77777777" w:rsidR="004B5400" w:rsidRDefault="004B5400" w:rsidP="00A50051">
      <w:pPr>
        <w:pStyle w:val="BlockText"/>
        <w:spacing w:after="0" w:line="240" w:lineRule="auto"/>
        <w:ind w:left="0" w:right="4"/>
        <w:jc w:val="both"/>
      </w:pPr>
    </w:p>
    <w:p w14:paraId="50BEF744" w14:textId="77777777" w:rsidR="004B5400" w:rsidRDefault="004B5400" w:rsidP="00A50051">
      <w:pPr>
        <w:pStyle w:val="BlockText"/>
        <w:spacing w:after="0" w:line="240" w:lineRule="auto"/>
        <w:ind w:left="0" w:right="4"/>
        <w:jc w:val="both"/>
      </w:pPr>
      <w:r>
        <w:t>As Behrens notes:</w:t>
      </w:r>
    </w:p>
    <w:p w14:paraId="2B38C332" w14:textId="77777777" w:rsidR="00021FF5" w:rsidRDefault="00021FF5" w:rsidP="00A50051">
      <w:pPr>
        <w:pStyle w:val="BlockText"/>
        <w:spacing w:after="0" w:line="240" w:lineRule="auto"/>
        <w:ind w:left="0" w:right="4"/>
        <w:jc w:val="both"/>
      </w:pPr>
    </w:p>
    <w:p w14:paraId="06679A80" w14:textId="1F3DCC88" w:rsidR="004B5400" w:rsidRPr="008F41CA" w:rsidRDefault="00021FF5" w:rsidP="00A50051">
      <w:pPr>
        <w:pStyle w:val="BlockText"/>
        <w:spacing w:after="0" w:line="240" w:lineRule="auto"/>
        <w:ind w:left="720" w:right="1422"/>
        <w:jc w:val="both"/>
      </w:pPr>
      <w:r>
        <w:t>‘</w:t>
      </w:r>
      <w:r w:rsidR="004B5400" w:rsidRPr="008F41CA">
        <w:t>gender differences …have profound implications for ‘family law’ decisions</w:t>
      </w:r>
      <w:r w:rsidR="004B5400">
        <w:t>’</w:t>
      </w:r>
      <w:r w:rsidR="004B5400" w:rsidRPr="008F41CA">
        <w:t xml:space="preserve">. These include decisions about post-separation parenting and about property settlements and financial arrangements between </w:t>
      </w:r>
      <w:r w:rsidR="004B5400">
        <w:t xml:space="preserve">[married/de facto] </w:t>
      </w:r>
      <w:r w:rsidR="004B5400" w:rsidRPr="008F41CA">
        <w:t>couples</w:t>
      </w:r>
      <w:r w:rsidR="004B5400">
        <w:t>…</w:t>
      </w:r>
      <w:r>
        <w:t xml:space="preserve">’ </w:t>
      </w:r>
      <w:r w:rsidR="004B5400">
        <w:t>(2010: 192)</w:t>
      </w:r>
      <w:r>
        <w:t>.</w:t>
      </w:r>
    </w:p>
    <w:p w14:paraId="49C8509C" w14:textId="77777777" w:rsidR="004B5400" w:rsidRDefault="004B5400" w:rsidP="00A50051">
      <w:pPr>
        <w:spacing w:line="240" w:lineRule="auto"/>
        <w:jc w:val="both"/>
        <w:rPr>
          <w:rFonts w:cs="Times New Roman"/>
        </w:rPr>
      </w:pPr>
    </w:p>
    <w:p w14:paraId="035FDF3E" w14:textId="0491BD0C" w:rsidR="004B5400" w:rsidRDefault="004B5400" w:rsidP="00A50051">
      <w:pPr>
        <w:spacing w:line="240" w:lineRule="auto"/>
        <w:jc w:val="both"/>
        <w:rPr>
          <w:rFonts w:cs="Times New Roman"/>
        </w:rPr>
      </w:pPr>
      <w:r>
        <w:rPr>
          <w:rFonts w:cs="Times New Roman"/>
        </w:rPr>
        <w:t>In this section, we explore two fundamental aspects of gender difference which impact upon financial settlements for women, and which tend to be intensified in cases involving family violence: economic inequality and gendered communication styles.</w:t>
      </w:r>
    </w:p>
    <w:p w14:paraId="67ADE6D0" w14:textId="77777777" w:rsidR="004B5400" w:rsidRPr="008F41CA" w:rsidRDefault="004B5400" w:rsidP="00A50051">
      <w:pPr>
        <w:spacing w:line="240" w:lineRule="auto"/>
        <w:jc w:val="both"/>
        <w:rPr>
          <w:rFonts w:cs="Times New Roman"/>
        </w:rPr>
      </w:pPr>
    </w:p>
    <w:p w14:paraId="4D1FF6B5" w14:textId="00D6D915" w:rsidR="0051219F" w:rsidRPr="005A5A47" w:rsidRDefault="005A5A47" w:rsidP="005A5A47">
      <w:pPr>
        <w:pStyle w:val="ListParagraph"/>
        <w:numPr>
          <w:ilvl w:val="0"/>
          <w:numId w:val="24"/>
        </w:numPr>
        <w:spacing w:line="240" w:lineRule="auto"/>
        <w:jc w:val="center"/>
        <w:rPr>
          <w:rFonts w:cs="Times New Roman"/>
          <w:b/>
        </w:rPr>
      </w:pPr>
      <w:r>
        <w:rPr>
          <w:rFonts w:cs="Times New Roman"/>
          <w:b/>
        </w:rPr>
        <w:lastRenderedPageBreak/>
        <w:t>E</w:t>
      </w:r>
      <w:r w:rsidRPr="005A5A47">
        <w:rPr>
          <w:rFonts w:cs="Times New Roman"/>
          <w:b/>
        </w:rPr>
        <w:t>conomic inequity</w:t>
      </w:r>
    </w:p>
    <w:p w14:paraId="4A936681" w14:textId="77777777" w:rsidR="0051219F" w:rsidRDefault="0051219F" w:rsidP="0051219F">
      <w:pPr>
        <w:spacing w:line="240" w:lineRule="auto"/>
        <w:rPr>
          <w:rFonts w:cs="Times New Roman"/>
        </w:rPr>
      </w:pPr>
    </w:p>
    <w:p w14:paraId="1EB70523" w14:textId="5C7589A6" w:rsidR="004B5400" w:rsidRPr="0051219F" w:rsidRDefault="004B5400" w:rsidP="00E16FC3">
      <w:pPr>
        <w:spacing w:line="240" w:lineRule="auto"/>
        <w:jc w:val="both"/>
        <w:rPr>
          <w:rFonts w:cs="Times New Roman"/>
          <w:b/>
          <w:i/>
        </w:rPr>
      </w:pPr>
      <w:r w:rsidRPr="0051219F">
        <w:rPr>
          <w:rFonts w:cs="Times New Roman"/>
        </w:rPr>
        <w:t>Women (and, as we discuss below, particularly victims of violence) may succumb to pressure to settle family property disputes in part because of their financial circumstances. Horizontal</w:t>
      </w:r>
      <w:r w:rsidRPr="008F41CA">
        <w:rPr>
          <w:rStyle w:val="EndnoteReference"/>
          <w:rFonts w:cs="Times New Roman"/>
        </w:rPr>
        <w:endnoteReference w:id="7"/>
      </w:r>
      <w:r w:rsidRPr="0051219F">
        <w:rPr>
          <w:rFonts w:cs="Times New Roman"/>
        </w:rPr>
        <w:t xml:space="preserve"> and vertical work segregation with women in the lower paying occupations,</w:t>
      </w:r>
      <w:r w:rsidRPr="008F41CA">
        <w:rPr>
          <w:rStyle w:val="EndnoteReference"/>
          <w:rFonts w:cs="Times New Roman"/>
        </w:rPr>
        <w:endnoteReference w:id="8"/>
      </w:r>
      <w:r w:rsidRPr="0051219F">
        <w:rPr>
          <w:rFonts w:cs="Times New Roman"/>
        </w:rPr>
        <w:t xml:space="preserve"> plus a persistence in gendered division of labour in the private sphere,</w:t>
      </w:r>
      <w:r>
        <w:rPr>
          <w:rStyle w:val="EndnoteReference"/>
          <w:rFonts w:cs="Times New Roman"/>
        </w:rPr>
        <w:endnoteReference w:id="9"/>
      </w:r>
      <w:r w:rsidRPr="0051219F">
        <w:rPr>
          <w:rFonts w:cs="Times New Roman"/>
        </w:rPr>
        <w:t xml:space="preserve"> contribute to a gender pay gap and savings gap (not least in superannuation) </w:t>
      </w:r>
      <w:r w:rsidR="00A01666">
        <w:rPr>
          <w:rFonts w:cs="Times New Roman"/>
        </w:rPr>
        <w:t>(</w:t>
      </w:r>
      <w:r w:rsidRPr="0051219F">
        <w:rPr>
          <w:rFonts w:cs="Times New Roman"/>
        </w:rPr>
        <w:t>Easteal</w:t>
      </w:r>
      <w:r w:rsidR="007979D6" w:rsidRPr="0051219F">
        <w:rPr>
          <w:rFonts w:cs="Times New Roman"/>
        </w:rPr>
        <w:t>,</w:t>
      </w:r>
      <w:r w:rsidRPr="0051219F">
        <w:rPr>
          <w:rFonts w:cs="Times New Roman"/>
        </w:rPr>
        <w:t xml:space="preserve"> 2010: 2).</w:t>
      </w:r>
      <w:r w:rsidRPr="008F41CA">
        <w:t xml:space="preserve"> </w:t>
      </w:r>
      <w:r w:rsidRPr="0051219F">
        <w:rPr>
          <w:rFonts w:eastAsia="Times New Roman" w:cs="Times New Roman"/>
          <w:lang w:val="en-AU"/>
        </w:rPr>
        <w:t>Accordingly, employment statistics show that women make up ‘71.6</w:t>
      </w:r>
      <w:r w:rsidR="0051219F">
        <w:rPr>
          <w:rFonts w:eastAsia="Times New Roman" w:cs="Times New Roman"/>
          <w:lang w:val="en-AU"/>
        </w:rPr>
        <w:t xml:space="preserve"> per cent</w:t>
      </w:r>
      <w:r w:rsidRPr="0051219F">
        <w:rPr>
          <w:rFonts w:eastAsia="Times New Roman" w:cs="Times New Roman"/>
          <w:lang w:val="en-AU"/>
        </w:rPr>
        <w:t xml:space="preserve"> of all part-time employees, 36.7</w:t>
      </w:r>
      <w:r w:rsidR="0051219F">
        <w:rPr>
          <w:rFonts w:eastAsia="Times New Roman" w:cs="Times New Roman"/>
          <w:lang w:val="en-AU"/>
        </w:rPr>
        <w:t xml:space="preserve"> per cent</w:t>
      </w:r>
      <w:r w:rsidRPr="0051219F">
        <w:rPr>
          <w:rFonts w:eastAsia="Times New Roman" w:cs="Times New Roman"/>
          <w:lang w:val="en-AU"/>
        </w:rPr>
        <w:t xml:space="preserve"> of all full-time employees, and 54.7</w:t>
      </w:r>
      <w:r w:rsidR="0051219F">
        <w:rPr>
          <w:rFonts w:eastAsia="Times New Roman" w:cs="Times New Roman"/>
          <w:lang w:val="en-AU"/>
        </w:rPr>
        <w:t xml:space="preserve"> per cent</w:t>
      </w:r>
      <w:r w:rsidRPr="0051219F">
        <w:rPr>
          <w:rFonts w:eastAsia="Times New Roman" w:cs="Times New Roman"/>
          <w:lang w:val="en-AU"/>
        </w:rPr>
        <w:t xml:space="preserve"> of all casual employees’ (ABS 2015). </w:t>
      </w:r>
      <w:r w:rsidRPr="0051219F">
        <w:rPr>
          <w:rFonts w:cs="Times New Roman"/>
          <w:bCs/>
          <w:lang w:val="en-AU"/>
        </w:rPr>
        <w:t>Further, the 2017 Australian gender pay gap of 23.1</w:t>
      </w:r>
      <w:r w:rsidR="0051219F">
        <w:rPr>
          <w:rFonts w:cs="Times New Roman"/>
          <w:bCs/>
          <w:lang w:val="en-AU"/>
        </w:rPr>
        <w:t xml:space="preserve"> per cent</w:t>
      </w:r>
      <w:r w:rsidRPr="0051219F">
        <w:rPr>
          <w:rFonts w:cs="Times New Roman"/>
          <w:bCs/>
          <w:lang w:val="en-AU"/>
        </w:rPr>
        <w:t xml:space="preserve"> for full-time total remuneration (Workplace Gender Equality Agency</w:t>
      </w:r>
      <w:r w:rsidR="007979D6" w:rsidRPr="0051219F">
        <w:rPr>
          <w:rFonts w:cs="Times New Roman"/>
          <w:bCs/>
          <w:lang w:val="en-AU"/>
        </w:rPr>
        <w:t>,</w:t>
      </w:r>
      <w:r w:rsidRPr="0051219F">
        <w:rPr>
          <w:rFonts w:cs="Times New Roman"/>
          <w:bCs/>
          <w:lang w:val="en-AU"/>
        </w:rPr>
        <w:t xml:space="preserve"> 2017: 15) reflects a figure that has been fairly constant over the previous three decades.</w:t>
      </w:r>
      <w:r w:rsidRPr="0051219F">
        <w:rPr>
          <w:rFonts w:eastAsia="Times New Roman" w:cs="Times New Roman"/>
          <w:lang w:val="en-AU"/>
        </w:rPr>
        <w:t xml:space="preserve"> </w:t>
      </w:r>
    </w:p>
    <w:p w14:paraId="11A123B5" w14:textId="77777777" w:rsidR="004B5400" w:rsidRPr="008F41CA" w:rsidRDefault="004B5400" w:rsidP="00A50051">
      <w:pPr>
        <w:spacing w:line="240" w:lineRule="auto"/>
        <w:jc w:val="both"/>
        <w:rPr>
          <w:rFonts w:eastAsia="Times New Roman" w:cs="Times New Roman"/>
          <w:lang w:val="en-AU"/>
        </w:rPr>
      </w:pPr>
    </w:p>
    <w:p w14:paraId="18197D1B" w14:textId="4010B33D" w:rsidR="004B5400" w:rsidRPr="008F41CA" w:rsidRDefault="004B5400" w:rsidP="0051219F">
      <w:pPr>
        <w:spacing w:line="240" w:lineRule="auto"/>
        <w:ind w:firstLine="720"/>
        <w:jc w:val="both"/>
        <w:rPr>
          <w:rFonts w:eastAsia="Times New Roman" w:cs="Times New Roman"/>
          <w:lang w:val="en-AU"/>
        </w:rPr>
      </w:pPr>
      <w:r w:rsidRPr="008F41CA">
        <w:rPr>
          <w:rFonts w:cs="Times New Roman"/>
        </w:rPr>
        <w:t xml:space="preserve">At the time of relationship dissolution and </w:t>
      </w:r>
      <w:r>
        <w:rPr>
          <w:rFonts w:cs="Times New Roman"/>
        </w:rPr>
        <w:t xml:space="preserve">when </w:t>
      </w:r>
      <w:r w:rsidRPr="008F41CA">
        <w:rPr>
          <w:rFonts w:cs="Times New Roman"/>
        </w:rPr>
        <w:t>family law ancillary matters</w:t>
      </w:r>
      <w:r>
        <w:rPr>
          <w:rFonts w:cs="Times New Roman"/>
        </w:rPr>
        <w:t xml:space="preserve"> need to be negotiated</w:t>
      </w:r>
      <w:r w:rsidRPr="008F41CA">
        <w:rPr>
          <w:rFonts w:cs="Times New Roman"/>
        </w:rPr>
        <w:t>, this socioeconomic inequality is increased</w:t>
      </w:r>
      <w:r w:rsidR="0051219F">
        <w:rPr>
          <w:rFonts w:cs="Times New Roman"/>
        </w:rPr>
        <w:t xml:space="preserve"> as a consequence of the feminiz</w:t>
      </w:r>
      <w:r w:rsidRPr="008F41CA">
        <w:rPr>
          <w:rFonts w:cs="Times New Roman"/>
        </w:rPr>
        <w:t>ation of post-separation poverty</w:t>
      </w:r>
      <w:r>
        <w:rPr>
          <w:rFonts w:cs="Times New Roman"/>
        </w:rPr>
        <w:t xml:space="preserve">, which means that </w:t>
      </w:r>
      <w:r w:rsidRPr="008F41CA">
        <w:rPr>
          <w:rFonts w:eastAsia="Times New Roman" w:cs="Times New Roman"/>
          <w:lang w:val="en-AU"/>
        </w:rPr>
        <w:t xml:space="preserve">women </w:t>
      </w:r>
      <w:r>
        <w:rPr>
          <w:rFonts w:eastAsia="Times New Roman" w:cs="Times New Roman"/>
          <w:lang w:val="en-AU"/>
        </w:rPr>
        <w:t xml:space="preserve">are </w:t>
      </w:r>
      <w:r w:rsidRPr="008F41CA">
        <w:rPr>
          <w:rFonts w:eastAsia="Times New Roman" w:cs="Times New Roman"/>
          <w:lang w:val="en-AU"/>
        </w:rPr>
        <w:t>‘more likely to be financially disadvantaged than men’</w:t>
      </w:r>
      <w:r>
        <w:rPr>
          <w:rFonts w:eastAsia="Times New Roman" w:cs="Times New Roman"/>
          <w:lang w:val="en-AU"/>
        </w:rPr>
        <w:t xml:space="preserve"> </w:t>
      </w:r>
      <w:r w:rsidRPr="00685709">
        <w:rPr>
          <w:rFonts w:cs="Times New Roman"/>
          <w:kern w:val="24"/>
        </w:rPr>
        <w:t>(Smyth and Weston</w:t>
      </w:r>
      <w:r w:rsidR="007979D6">
        <w:rPr>
          <w:rFonts w:cs="Times New Roman"/>
          <w:kern w:val="24"/>
        </w:rPr>
        <w:t>,</w:t>
      </w:r>
      <w:r w:rsidRPr="003F6179">
        <w:rPr>
          <w:rFonts w:cs="Times New Roman"/>
          <w:kern w:val="24"/>
        </w:rPr>
        <w:t xml:space="preserve"> 200</w:t>
      </w:r>
      <w:r>
        <w:rPr>
          <w:rFonts w:cs="Times New Roman"/>
          <w:kern w:val="24"/>
        </w:rPr>
        <w:t>0</w:t>
      </w:r>
      <w:r w:rsidRPr="003F6179">
        <w:rPr>
          <w:rFonts w:cs="Times New Roman"/>
          <w:kern w:val="24"/>
        </w:rPr>
        <w:t>:8).</w:t>
      </w:r>
      <w:r w:rsidRPr="00F308E6">
        <w:rPr>
          <w:rFonts w:cs="Times New Roman"/>
          <w:kern w:val="24"/>
          <w:vertAlign w:val="superscript"/>
        </w:rPr>
        <w:t xml:space="preserve"> </w:t>
      </w:r>
      <w:r w:rsidRPr="00BF52A8">
        <w:rPr>
          <w:rFonts w:eastAsia="Times New Roman" w:cs="Times New Roman"/>
          <w:shd w:val="clear" w:color="auto" w:fill="FFFFFF"/>
          <w:lang w:val="en-AU"/>
        </w:rPr>
        <w:t>From recent data, researchers</w:t>
      </w:r>
      <w:r w:rsidRPr="00FE2CDF">
        <w:rPr>
          <w:rFonts w:eastAsia="Times New Roman" w:cs="Times New Roman"/>
          <w:shd w:val="clear" w:color="auto" w:fill="FFFFFF"/>
          <w:lang w:val="en-AU"/>
        </w:rPr>
        <w:t xml:space="preserve"> continue to find that ‘… in the short term following divorce, women experienced a substantial fall </w:t>
      </w:r>
      <w:r w:rsidRPr="008F41CA">
        <w:rPr>
          <w:rFonts w:eastAsia="Times New Roman" w:cs="Times New Roman"/>
          <w:color w:val="444444"/>
          <w:shd w:val="clear" w:color="auto" w:fill="FFFFFF"/>
          <w:lang w:val="en-AU"/>
        </w:rPr>
        <w:t xml:space="preserve">in </w:t>
      </w:r>
      <w:r w:rsidRPr="001E77BC">
        <w:rPr>
          <w:rFonts w:eastAsia="Times New Roman" w:cs="Times New Roman"/>
          <w:shd w:val="clear" w:color="auto" w:fill="FFFFFF"/>
          <w:lang w:val="en-AU"/>
        </w:rPr>
        <w:t xml:space="preserve">equivalised household incomes compared to their pre-divorce incomes.’ This financial negative effect was ‘roughly halved six years after divorce compared to the effect in the year following divorce’ </w:t>
      </w:r>
      <w:r>
        <w:rPr>
          <w:rFonts w:eastAsia="Times New Roman" w:cs="Times New Roman"/>
          <w:color w:val="444444"/>
          <w:shd w:val="clear" w:color="auto" w:fill="FFFFFF"/>
          <w:lang w:val="en-AU"/>
        </w:rPr>
        <w:t>(deVaus et al</w:t>
      </w:r>
      <w:r w:rsidR="007979D6">
        <w:rPr>
          <w:rFonts w:eastAsia="Times New Roman" w:cs="Times New Roman"/>
          <w:color w:val="444444"/>
          <w:shd w:val="clear" w:color="auto" w:fill="FFFFFF"/>
          <w:lang w:val="en-AU"/>
        </w:rPr>
        <w:t>.,</w:t>
      </w:r>
      <w:r>
        <w:rPr>
          <w:rFonts w:eastAsia="Times New Roman" w:cs="Times New Roman"/>
          <w:color w:val="444444"/>
          <w:shd w:val="clear" w:color="auto" w:fill="FFFFFF"/>
          <w:lang w:val="en-AU"/>
        </w:rPr>
        <w:t xml:space="preserve"> 2015). </w:t>
      </w:r>
      <w:r w:rsidRPr="008F41CA">
        <w:rPr>
          <w:rFonts w:eastAsia="Times New Roman" w:cs="Times New Roman"/>
          <w:color w:val="444444"/>
          <w:shd w:val="clear" w:color="auto" w:fill="FFFFFF"/>
          <w:lang w:val="en-AU"/>
        </w:rPr>
        <w:t>However</w:t>
      </w:r>
      <w:r>
        <w:rPr>
          <w:rFonts w:eastAsia="Times New Roman" w:cs="Times New Roman"/>
          <w:color w:val="444444"/>
          <w:shd w:val="clear" w:color="auto" w:fill="FFFFFF"/>
          <w:lang w:val="en-AU"/>
        </w:rPr>
        <w:t>,</w:t>
      </w:r>
      <w:r w:rsidRPr="008F41CA">
        <w:rPr>
          <w:rFonts w:eastAsia="Times New Roman" w:cs="Times New Roman"/>
          <w:color w:val="444444"/>
          <w:shd w:val="clear" w:color="auto" w:fill="FFFFFF"/>
          <w:lang w:val="en-AU"/>
        </w:rPr>
        <w:t xml:space="preserve"> it is in </w:t>
      </w:r>
      <w:r>
        <w:rPr>
          <w:rFonts w:eastAsia="Times New Roman" w:cs="Times New Roman"/>
          <w:color w:val="444444"/>
          <w:shd w:val="clear" w:color="auto" w:fill="FFFFFF"/>
          <w:lang w:val="en-AU"/>
        </w:rPr>
        <w:t xml:space="preserve">the first few years </w:t>
      </w:r>
      <w:r w:rsidRPr="008F41CA">
        <w:rPr>
          <w:rFonts w:eastAsia="Times New Roman" w:cs="Times New Roman"/>
          <w:color w:val="444444"/>
          <w:shd w:val="clear" w:color="auto" w:fill="FFFFFF"/>
          <w:lang w:val="en-AU"/>
        </w:rPr>
        <w:t>post-</w:t>
      </w:r>
      <w:r>
        <w:rPr>
          <w:rFonts w:eastAsia="Times New Roman" w:cs="Times New Roman"/>
          <w:color w:val="444444"/>
          <w:shd w:val="clear" w:color="auto" w:fill="FFFFFF"/>
          <w:lang w:val="en-AU"/>
        </w:rPr>
        <w:t>separation</w:t>
      </w:r>
      <w:r w:rsidRPr="008F41CA">
        <w:rPr>
          <w:rFonts w:eastAsia="Times New Roman" w:cs="Times New Roman"/>
          <w:color w:val="444444"/>
          <w:shd w:val="clear" w:color="auto" w:fill="FFFFFF"/>
          <w:lang w:val="en-AU"/>
        </w:rPr>
        <w:t xml:space="preserve"> that </w:t>
      </w:r>
      <w:r>
        <w:rPr>
          <w:rFonts w:eastAsia="Times New Roman" w:cs="Times New Roman"/>
          <w:color w:val="444444"/>
          <w:shd w:val="clear" w:color="auto" w:fill="FFFFFF"/>
          <w:lang w:val="en-AU"/>
        </w:rPr>
        <w:t xml:space="preserve">most </w:t>
      </w:r>
      <w:r w:rsidRPr="008F41CA">
        <w:rPr>
          <w:rFonts w:eastAsia="Times New Roman" w:cs="Times New Roman"/>
          <w:color w:val="444444"/>
          <w:shd w:val="clear" w:color="auto" w:fill="FFFFFF"/>
          <w:lang w:val="en-AU"/>
        </w:rPr>
        <w:t xml:space="preserve">family law </w:t>
      </w:r>
      <w:r>
        <w:rPr>
          <w:rFonts w:eastAsia="Times New Roman" w:cs="Times New Roman"/>
          <w:color w:val="444444"/>
          <w:shd w:val="clear" w:color="auto" w:fill="FFFFFF"/>
          <w:lang w:val="en-AU"/>
        </w:rPr>
        <w:t>property</w:t>
      </w:r>
      <w:r w:rsidRPr="008F41CA">
        <w:rPr>
          <w:rFonts w:eastAsia="Times New Roman" w:cs="Times New Roman"/>
          <w:color w:val="444444"/>
          <w:shd w:val="clear" w:color="auto" w:fill="FFFFFF"/>
          <w:lang w:val="en-AU"/>
        </w:rPr>
        <w:t xml:space="preserve"> </w:t>
      </w:r>
      <w:r>
        <w:rPr>
          <w:rFonts w:eastAsia="Times New Roman" w:cs="Times New Roman"/>
          <w:color w:val="444444"/>
          <w:shd w:val="clear" w:color="auto" w:fill="FFFFFF"/>
          <w:lang w:val="en-AU"/>
        </w:rPr>
        <w:t xml:space="preserve">divisions take place </w:t>
      </w:r>
      <w:r>
        <w:rPr>
          <w:rFonts w:eastAsia="Times New Roman" w:cs="Times New Roman"/>
          <w:color w:val="141412"/>
          <w:shd w:val="clear" w:color="auto" w:fill="FFFFFF"/>
          <w:lang w:val="en-AU"/>
        </w:rPr>
        <w:t xml:space="preserve">as </w:t>
      </w:r>
      <w:r>
        <w:t>m</w:t>
      </w:r>
      <w:r w:rsidRPr="00FE2CDF">
        <w:rPr>
          <w:shd w:val="clear" w:color="auto" w:fill="FFFFFF"/>
        </w:rPr>
        <w:t>arried parties have one year after their divorce is finali</w:t>
      </w:r>
      <w:r w:rsidR="0051219F">
        <w:rPr>
          <w:shd w:val="clear" w:color="auto" w:fill="FFFFFF"/>
        </w:rPr>
        <w:t>z</w:t>
      </w:r>
      <w:r w:rsidRPr="00FE2CDF">
        <w:rPr>
          <w:shd w:val="clear" w:color="auto" w:fill="FFFFFF"/>
        </w:rPr>
        <w:t>ed to bring an application for a property settlement; de facto partners must apply within two years of the relationship breakdown</w:t>
      </w:r>
      <w:r>
        <w:rPr>
          <w:shd w:val="clear" w:color="auto" w:fill="FFFFFF"/>
        </w:rPr>
        <w:t xml:space="preserve"> under the F</w:t>
      </w:r>
      <w:r>
        <w:t>LA, ss 44(3) and (5).</w:t>
      </w:r>
      <w:r w:rsidRPr="008F41CA">
        <w:rPr>
          <w:rFonts w:eastAsia="Times New Roman" w:cs="Times New Roman"/>
          <w:color w:val="141412"/>
          <w:shd w:val="clear" w:color="auto" w:fill="FFFFFF"/>
          <w:lang w:val="en-AU"/>
        </w:rPr>
        <w:t xml:space="preserve"> </w:t>
      </w:r>
    </w:p>
    <w:p w14:paraId="6F0990B6" w14:textId="77777777" w:rsidR="004B5400" w:rsidRPr="008F41CA" w:rsidRDefault="004B5400" w:rsidP="00A50051">
      <w:pPr>
        <w:spacing w:line="240" w:lineRule="auto"/>
        <w:jc w:val="both"/>
        <w:rPr>
          <w:rFonts w:eastAsia="Times New Roman" w:cs="Times New Roman"/>
          <w:color w:val="141412"/>
          <w:shd w:val="clear" w:color="auto" w:fill="FFFFFF"/>
          <w:lang w:val="en-AU"/>
        </w:rPr>
      </w:pPr>
    </w:p>
    <w:p w14:paraId="2F14106A" w14:textId="564E42D6" w:rsidR="004B5400" w:rsidRPr="008F41CA" w:rsidRDefault="004B5400" w:rsidP="0051219F">
      <w:pPr>
        <w:spacing w:line="240" w:lineRule="auto"/>
        <w:ind w:firstLine="720"/>
        <w:jc w:val="both"/>
        <w:rPr>
          <w:rFonts w:cs="Times New Roman"/>
        </w:rPr>
      </w:pPr>
      <w:r>
        <w:rPr>
          <w:rFonts w:eastAsia="Times New Roman" w:cs="Times New Roman"/>
          <w:color w:val="141412"/>
          <w:shd w:val="clear" w:color="auto" w:fill="FFFFFF"/>
          <w:lang w:val="en-AU"/>
        </w:rPr>
        <w:t>T</w:t>
      </w:r>
      <w:r w:rsidRPr="008F41CA">
        <w:rPr>
          <w:rFonts w:eastAsia="Times New Roman" w:cs="Times New Roman"/>
          <w:color w:val="141412"/>
          <w:shd w:val="clear" w:color="auto" w:fill="FFFFFF"/>
          <w:lang w:val="en-AU"/>
        </w:rPr>
        <w:t xml:space="preserve">his very significant short-term drop in finances occurs at a problematic time for women and may mean </w:t>
      </w:r>
      <w:r>
        <w:rPr>
          <w:rFonts w:eastAsia="Times New Roman" w:cs="Times New Roman"/>
          <w:color w:val="141412"/>
          <w:shd w:val="clear" w:color="auto" w:fill="FFFFFF"/>
          <w:lang w:val="en-AU"/>
        </w:rPr>
        <w:t>that pursuing</w:t>
      </w:r>
      <w:r w:rsidRPr="008F41CA">
        <w:rPr>
          <w:rFonts w:cs="Times New Roman"/>
        </w:rPr>
        <w:t xml:space="preserve"> legal matters in the </w:t>
      </w:r>
      <w:r>
        <w:rPr>
          <w:rFonts w:cs="Times New Roman"/>
        </w:rPr>
        <w:t>c</w:t>
      </w:r>
      <w:r w:rsidRPr="008F41CA">
        <w:rPr>
          <w:rFonts w:cs="Times New Roman"/>
        </w:rPr>
        <w:t>ourts</w:t>
      </w:r>
      <w:r>
        <w:rPr>
          <w:rFonts w:cs="Times New Roman"/>
        </w:rPr>
        <w:t xml:space="preserve"> becomes more </w:t>
      </w:r>
      <w:r w:rsidRPr="00BF52A8">
        <w:rPr>
          <w:rFonts w:cs="Times New Roman"/>
        </w:rPr>
        <w:t>difficult given</w:t>
      </w:r>
      <w:r>
        <w:rPr>
          <w:rFonts w:cs="Times New Roman"/>
        </w:rPr>
        <w:t xml:space="preserve"> the </w:t>
      </w:r>
      <w:r w:rsidRPr="008F41CA">
        <w:rPr>
          <w:rFonts w:cs="Times New Roman"/>
        </w:rPr>
        <w:t xml:space="preserve">costs of </w:t>
      </w:r>
      <w:r>
        <w:rPr>
          <w:rFonts w:cs="Times New Roman"/>
        </w:rPr>
        <w:t xml:space="preserve">quality </w:t>
      </w:r>
      <w:r w:rsidRPr="008F41CA">
        <w:rPr>
          <w:rFonts w:cs="Times New Roman"/>
        </w:rPr>
        <w:t>private representation</w:t>
      </w:r>
      <w:r>
        <w:rPr>
          <w:rFonts w:cs="Times New Roman"/>
        </w:rPr>
        <w:t xml:space="preserve"> (Braaf and Meyerling</w:t>
      </w:r>
      <w:r w:rsidR="007979D6">
        <w:rPr>
          <w:rFonts w:cs="Times New Roman"/>
        </w:rPr>
        <w:t>,</w:t>
      </w:r>
      <w:r>
        <w:rPr>
          <w:rFonts w:cs="Times New Roman"/>
        </w:rPr>
        <w:t xml:space="preserve"> 2011:20); the need to settle for whatever one can get will be a more common ‘reality’ for women.</w:t>
      </w:r>
    </w:p>
    <w:p w14:paraId="3558DDDD" w14:textId="77777777" w:rsidR="004B5400" w:rsidRPr="008F41CA" w:rsidRDefault="004B5400" w:rsidP="00A50051">
      <w:pPr>
        <w:spacing w:line="240" w:lineRule="auto"/>
        <w:jc w:val="both"/>
        <w:rPr>
          <w:rFonts w:eastAsia="Times New Roman" w:cs="Times New Roman"/>
          <w:lang w:val="en-AU"/>
        </w:rPr>
      </w:pPr>
    </w:p>
    <w:p w14:paraId="015299E3" w14:textId="69308614" w:rsidR="004B5400" w:rsidRPr="0051219F" w:rsidRDefault="005A5A47" w:rsidP="0051219F">
      <w:pPr>
        <w:spacing w:line="240" w:lineRule="auto"/>
        <w:jc w:val="center"/>
        <w:rPr>
          <w:rFonts w:eastAsia="Times New Roman" w:cs="Times New Roman"/>
          <w:i/>
          <w:lang w:val="en-AU"/>
        </w:rPr>
      </w:pPr>
      <w:r w:rsidRPr="005A5A47">
        <w:rPr>
          <w:rFonts w:eastAsia="Times New Roman" w:cs="Times New Roman"/>
          <w:lang w:val="en-AU"/>
        </w:rPr>
        <w:t>2.</w:t>
      </w:r>
      <w:r>
        <w:rPr>
          <w:rFonts w:eastAsia="Times New Roman" w:cs="Times New Roman"/>
          <w:b/>
          <w:lang w:val="en-AU"/>
        </w:rPr>
        <w:t xml:space="preserve"> G</w:t>
      </w:r>
      <w:r w:rsidRPr="005A5A47">
        <w:rPr>
          <w:rFonts w:eastAsia="Times New Roman" w:cs="Times New Roman"/>
          <w:b/>
          <w:lang w:val="en-AU"/>
        </w:rPr>
        <w:t>ender communication differences</w:t>
      </w:r>
    </w:p>
    <w:p w14:paraId="5BB90539" w14:textId="77777777" w:rsidR="0051219F" w:rsidRDefault="0051219F" w:rsidP="00A50051">
      <w:pPr>
        <w:spacing w:line="240" w:lineRule="auto"/>
        <w:jc w:val="both"/>
        <w:rPr>
          <w:rFonts w:cs="Times New Roman"/>
        </w:rPr>
      </w:pPr>
    </w:p>
    <w:p w14:paraId="1A57246E" w14:textId="4E6A35F5" w:rsidR="004B5400" w:rsidRPr="008F41CA" w:rsidRDefault="004B5400" w:rsidP="00A50051">
      <w:pPr>
        <w:spacing w:line="240" w:lineRule="auto"/>
        <w:jc w:val="both"/>
        <w:rPr>
          <w:rFonts w:cs="Times New Roman"/>
        </w:rPr>
      </w:pPr>
      <w:r>
        <w:rPr>
          <w:rFonts w:cs="Times New Roman"/>
        </w:rPr>
        <w:t>The a</w:t>
      </w:r>
      <w:r w:rsidRPr="008F41CA">
        <w:rPr>
          <w:rFonts w:cs="Times New Roman"/>
        </w:rPr>
        <w:t xml:space="preserve">bility to </w:t>
      </w:r>
      <w:r>
        <w:rPr>
          <w:rFonts w:cs="Times New Roman"/>
        </w:rPr>
        <w:t xml:space="preserve">effectively </w:t>
      </w:r>
      <w:r w:rsidRPr="008F41CA">
        <w:rPr>
          <w:rFonts w:cs="Times New Roman"/>
        </w:rPr>
        <w:t xml:space="preserve">negotiate an equitable property settlement may </w:t>
      </w:r>
      <w:r>
        <w:rPr>
          <w:rFonts w:cs="Times New Roman"/>
        </w:rPr>
        <w:t xml:space="preserve">also </w:t>
      </w:r>
      <w:r w:rsidRPr="008F41CA">
        <w:rPr>
          <w:rFonts w:cs="Times New Roman"/>
        </w:rPr>
        <w:t xml:space="preserve">be </w:t>
      </w:r>
      <w:r>
        <w:rPr>
          <w:rFonts w:cs="Times New Roman"/>
        </w:rPr>
        <w:t>compromised</w:t>
      </w:r>
      <w:r w:rsidRPr="008F41CA">
        <w:rPr>
          <w:rFonts w:cs="Times New Roman"/>
        </w:rPr>
        <w:t xml:space="preserve"> by the less powerful ‘women-speak’ or female genderlect</w:t>
      </w:r>
      <w:r>
        <w:rPr>
          <w:rFonts w:cs="Times New Roman"/>
        </w:rPr>
        <w:t xml:space="preserve"> – </w:t>
      </w:r>
      <w:r w:rsidR="00290EF0">
        <w:rPr>
          <w:rFonts w:cs="Times New Roman"/>
        </w:rPr>
        <w:t xml:space="preserve">the latter is </w:t>
      </w:r>
      <w:r>
        <w:rPr>
          <w:rFonts w:cs="Times New Roman"/>
        </w:rPr>
        <w:t xml:space="preserve">a term </w:t>
      </w:r>
      <w:r w:rsidRPr="00A0783B">
        <w:t>developed and described by Tannen</w:t>
      </w:r>
      <w:r>
        <w:t xml:space="preserve"> (2010)</w:t>
      </w:r>
      <w:r w:rsidRPr="008F41CA">
        <w:rPr>
          <w:rFonts w:cs="Times New Roman"/>
        </w:rPr>
        <w:t xml:space="preserve">. </w:t>
      </w:r>
      <w:r>
        <w:rPr>
          <w:rFonts w:cs="Times New Roman"/>
        </w:rPr>
        <w:t xml:space="preserve">Women generally communicate more </w:t>
      </w:r>
      <w:r w:rsidRPr="008F41CA">
        <w:rPr>
          <w:rFonts w:cs="Times New Roman"/>
        </w:rPr>
        <w:t>collaborative</w:t>
      </w:r>
      <w:r>
        <w:rPr>
          <w:rFonts w:cs="Times New Roman"/>
        </w:rPr>
        <w:t>ly (</w:t>
      </w:r>
      <w:r w:rsidRPr="00A0783B">
        <w:t>Wardhaugh</w:t>
      </w:r>
      <w:r w:rsidR="007979D6">
        <w:t>,</w:t>
      </w:r>
      <w:r>
        <w:rPr>
          <w:rFonts w:cs="Times New Roman"/>
        </w:rPr>
        <w:t xml:space="preserve"> 2010; Holmes</w:t>
      </w:r>
      <w:r w:rsidR="007979D6">
        <w:rPr>
          <w:rFonts w:cs="Times New Roman"/>
        </w:rPr>
        <w:t>,</w:t>
      </w:r>
      <w:r>
        <w:rPr>
          <w:rFonts w:cs="Times New Roman"/>
        </w:rPr>
        <w:t xml:space="preserve"> 2006:</w:t>
      </w:r>
      <w:r w:rsidR="007979D6">
        <w:rPr>
          <w:rFonts w:cs="Times New Roman"/>
        </w:rPr>
        <w:t xml:space="preserve"> </w:t>
      </w:r>
      <w:r>
        <w:rPr>
          <w:rFonts w:cs="Times New Roman"/>
        </w:rPr>
        <w:t>9)</w:t>
      </w:r>
      <w:r w:rsidRPr="008F41CA">
        <w:rPr>
          <w:rFonts w:cs="Times New Roman"/>
        </w:rPr>
        <w:t xml:space="preserve">. </w:t>
      </w:r>
      <w:r>
        <w:rPr>
          <w:rFonts w:cs="Times New Roman"/>
        </w:rPr>
        <w:t>For example, they</w:t>
      </w:r>
      <w:r w:rsidRPr="008F41CA">
        <w:rPr>
          <w:rFonts w:cs="Times New Roman"/>
        </w:rPr>
        <w:t xml:space="preserve"> are more apt to say ‘we’ and use conversational ‘down-toners’</w:t>
      </w:r>
      <w:r>
        <w:rPr>
          <w:rFonts w:cs="Times New Roman"/>
        </w:rPr>
        <w:t>,</w:t>
      </w:r>
      <w:r w:rsidRPr="008F41CA">
        <w:rPr>
          <w:rFonts w:cs="Times New Roman"/>
        </w:rPr>
        <w:t xml:space="preserve"> </w:t>
      </w:r>
      <w:r>
        <w:rPr>
          <w:rFonts w:cs="Times New Roman"/>
        </w:rPr>
        <w:t>like</w:t>
      </w:r>
      <w:r w:rsidRPr="008F41CA">
        <w:rPr>
          <w:rFonts w:cs="Times New Roman"/>
        </w:rPr>
        <w:t xml:space="preserve"> ending sentences with a question mark by intonation or with a ‘tag’ question such as, ‘Do you think so?’</w:t>
      </w:r>
      <w:r w:rsidRPr="00BE3822">
        <w:rPr>
          <w:color w:val="000000"/>
        </w:rPr>
        <w:t xml:space="preserve"> </w:t>
      </w:r>
      <w:r>
        <w:rPr>
          <w:color w:val="000000"/>
        </w:rPr>
        <w:t>(</w:t>
      </w:r>
      <w:r w:rsidRPr="00A0783B">
        <w:rPr>
          <w:color w:val="000000"/>
        </w:rPr>
        <w:t>Eckert and S McConnell-Ginet</w:t>
      </w:r>
      <w:r w:rsidR="007979D6">
        <w:rPr>
          <w:color w:val="000000"/>
        </w:rPr>
        <w:t>,</w:t>
      </w:r>
      <w:r w:rsidRPr="008F41CA">
        <w:rPr>
          <w:rFonts w:cs="Times New Roman"/>
          <w:vertAlign w:val="superscript"/>
        </w:rPr>
        <w:t xml:space="preserve"> </w:t>
      </w:r>
      <w:r w:rsidRPr="005C1D78">
        <w:rPr>
          <w:rFonts w:cs="Times New Roman"/>
        </w:rPr>
        <w:t>2003</w:t>
      </w:r>
      <w:r>
        <w:rPr>
          <w:rFonts w:cs="Times New Roman"/>
        </w:rPr>
        <w:t>:183-184).</w:t>
      </w:r>
      <w:r w:rsidRPr="008F41CA">
        <w:rPr>
          <w:rFonts w:cs="Times New Roman"/>
          <w:vertAlign w:val="superscript"/>
        </w:rPr>
        <w:t xml:space="preserve"> </w:t>
      </w:r>
      <w:r>
        <w:rPr>
          <w:rFonts w:cs="Times New Roman"/>
        </w:rPr>
        <w:t xml:space="preserve">They tend to use </w:t>
      </w:r>
      <w:r w:rsidRPr="008F41CA">
        <w:rPr>
          <w:rFonts w:cs="Times New Roman"/>
        </w:rPr>
        <w:t>‘</w:t>
      </w:r>
      <w:r>
        <w:rPr>
          <w:rFonts w:cs="Times New Roman"/>
        </w:rPr>
        <w:t>h</w:t>
      </w:r>
      <w:r w:rsidRPr="008F41CA">
        <w:rPr>
          <w:rFonts w:cs="Times New Roman"/>
        </w:rPr>
        <w:t xml:space="preserve">yper-polite circumlocutions’ </w:t>
      </w:r>
      <w:r>
        <w:rPr>
          <w:rFonts w:cs="Times New Roman"/>
        </w:rPr>
        <w:t>such as</w:t>
      </w:r>
      <w:r w:rsidRPr="008F41CA">
        <w:rPr>
          <w:rFonts w:cs="Times New Roman"/>
        </w:rPr>
        <w:t xml:space="preserve">, ‘It would be really nice if </w:t>
      </w:r>
      <w:r w:rsidR="000A04CF">
        <w:rPr>
          <w:rFonts w:cs="Times New Roman"/>
        </w:rPr>
        <w:t>you could please leave me alone’</w:t>
      </w:r>
      <w:r w:rsidRPr="008F41CA">
        <w:rPr>
          <w:rFonts w:cs="Times New Roman"/>
        </w:rPr>
        <w:t>, and ‘semantically ambiguous adjectives and intensifiers’ such as ‘I guess it was kind of OK’</w:t>
      </w:r>
      <w:r>
        <w:rPr>
          <w:rFonts w:cs="Times New Roman"/>
        </w:rPr>
        <w:t xml:space="preserve"> (White</w:t>
      </w:r>
      <w:r w:rsidR="007979D6">
        <w:rPr>
          <w:rFonts w:cs="Times New Roman"/>
        </w:rPr>
        <w:t>,</w:t>
      </w:r>
      <w:r>
        <w:rPr>
          <w:rFonts w:cs="Times New Roman"/>
        </w:rPr>
        <w:t xml:space="preserve"> 1991:406)</w:t>
      </w:r>
      <w:r w:rsidRPr="008F41CA">
        <w:rPr>
          <w:rFonts w:cs="Times New Roman"/>
        </w:rPr>
        <w:t xml:space="preserve">. </w:t>
      </w:r>
    </w:p>
    <w:p w14:paraId="29B6B11A" w14:textId="77777777" w:rsidR="004B5400" w:rsidRPr="008F41CA" w:rsidRDefault="004B5400" w:rsidP="00A50051">
      <w:pPr>
        <w:spacing w:line="240" w:lineRule="auto"/>
        <w:jc w:val="both"/>
        <w:rPr>
          <w:rFonts w:cs="Times New Roman"/>
        </w:rPr>
      </w:pPr>
    </w:p>
    <w:p w14:paraId="74E2A338" w14:textId="5BA4E027" w:rsidR="004B5400" w:rsidRDefault="004B5400" w:rsidP="000A04CF">
      <w:pPr>
        <w:spacing w:line="240" w:lineRule="auto"/>
        <w:ind w:firstLine="720"/>
        <w:jc w:val="both"/>
        <w:rPr>
          <w:rFonts w:cs="Times New Roman"/>
        </w:rPr>
      </w:pPr>
      <w:r>
        <w:rPr>
          <w:rFonts w:cs="Times New Roman"/>
        </w:rPr>
        <w:t xml:space="preserve">This contrasts with a masculine </w:t>
      </w:r>
      <w:r w:rsidRPr="008F41CA">
        <w:rPr>
          <w:rFonts w:cs="Times New Roman"/>
        </w:rPr>
        <w:t xml:space="preserve">style </w:t>
      </w:r>
      <w:r>
        <w:rPr>
          <w:rFonts w:cs="Times New Roman"/>
        </w:rPr>
        <w:t>of speech that tends to be</w:t>
      </w:r>
      <w:r w:rsidRPr="008F41CA">
        <w:rPr>
          <w:rFonts w:cs="Times New Roman"/>
        </w:rPr>
        <w:t xml:space="preserve"> direct and outcome-focused</w:t>
      </w:r>
      <w:r>
        <w:rPr>
          <w:rFonts w:cs="Times New Roman"/>
        </w:rPr>
        <w:t xml:space="preserve"> (Coates</w:t>
      </w:r>
      <w:r w:rsidR="007979D6">
        <w:rPr>
          <w:rFonts w:cs="Times New Roman"/>
        </w:rPr>
        <w:t>,</w:t>
      </w:r>
      <w:r>
        <w:rPr>
          <w:rFonts w:cs="Times New Roman"/>
        </w:rPr>
        <w:t xml:space="preserve"> 2016)</w:t>
      </w:r>
      <w:r w:rsidRPr="008F41CA">
        <w:rPr>
          <w:rFonts w:cs="Times New Roman"/>
        </w:rPr>
        <w:t xml:space="preserve"> with m</w:t>
      </w:r>
      <w:r>
        <w:rPr>
          <w:rFonts w:cs="Times New Roman"/>
        </w:rPr>
        <w:t>en</w:t>
      </w:r>
      <w:r w:rsidRPr="008F41CA">
        <w:rPr>
          <w:rFonts w:cs="Times New Roman"/>
        </w:rPr>
        <w:t xml:space="preserve"> more likely to interrup</w:t>
      </w:r>
      <w:r>
        <w:rPr>
          <w:rFonts w:cs="Times New Roman"/>
        </w:rPr>
        <w:t>t</w:t>
      </w:r>
      <w:r w:rsidRPr="008F41CA">
        <w:rPr>
          <w:rFonts w:cs="Times New Roman"/>
        </w:rPr>
        <w:t>, challeng</w:t>
      </w:r>
      <w:r>
        <w:rPr>
          <w:rFonts w:cs="Times New Roman"/>
        </w:rPr>
        <w:t>e</w:t>
      </w:r>
      <w:r w:rsidRPr="008F41CA">
        <w:rPr>
          <w:rFonts w:cs="Times New Roman"/>
        </w:rPr>
        <w:t>, disput</w:t>
      </w:r>
      <w:r>
        <w:rPr>
          <w:rFonts w:cs="Times New Roman"/>
        </w:rPr>
        <w:t xml:space="preserve">e, </w:t>
      </w:r>
      <w:r>
        <w:rPr>
          <w:rFonts w:cs="Times New Roman"/>
        </w:rPr>
        <w:lastRenderedPageBreak/>
        <w:t>ignore and try</w:t>
      </w:r>
      <w:r w:rsidRPr="008F41CA">
        <w:rPr>
          <w:rFonts w:cs="Times New Roman"/>
        </w:rPr>
        <w:t xml:space="preserve"> to control the topic of discussion</w:t>
      </w:r>
      <w:r>
        <w:rPr>
          <w:rFonts w:cs="Times New Roman"/>
        </w:rPr>
        <w:t xml:space="preserve"> (Mesthrie et al</w:t>
      </w:r>
      <w:r w:rsidR="007979D6">
        <w:rPr>
          <w:rFonts w:cs="Times New Roman"/>
        </w:rPr>
        <w:t>.,</w:t>
      </w:r>
      <w:r>
        <w:rPr>
          <w:rFonts w:cs="Times New Roman"/>
        </w:rPr>
        <w:t xml:space="preserve"> 2009)</w:t>
      </w:r>
      <w:r w:rsidRPr="008F41CA">
        <w:rPr>
          <w:rFonts w:cs="Times New Roman"/>
        </w:rPr>
        <w:t xml:space="preserve">. </w:t>
      </w:r>
      <w:r>
        <w:rPr>
          <w:rFonts w:cs="Times New Roman"/>
        </w:rPr>
        <w:t>G</w:t>
      </w:r>
      <w:r w:rsidRPr="008F41CA">
        <w:rPr>
          <w:rFonts w:cs="Times New Roman"/>
        </w:rPr>
        <w:t xml:space="preserve">ender differences in response to </w:t>
      </w:r>
      <w:r w:rsidR="00290EF0">
        <w:rPr>
          <w:rFonts w:cs="Times New Roman"/>
        </w:rPr>
        <w:t xml:space="preserve">verbal </w:t>
      </w:r>
      <w:r w:rsidRPr="008F41CA">
        <w:rPr>
          <w:rFonts w:cs="Times New Roman"/>
        </w:rPr>
        <w:t>aggression</w:t>
      </w:r>
      <w:r>
        <w:rPr>
          <w:rFonts w:cs="Times New Roman"/>
        </w:rPr>
        <w:t xml:space="preserve"> have also been identified</w:t>
      </w:r>
      <w:r w:rsidRPr="008F41CA">
        <w:rPr>
          <w:rFonts w:cs="Times New Roman"/>
        </w:rPr>
        <w:t>, with females frequently viewing it as personally directed and negative, and males seei</w:t>
      </w:r>
      <w:r w:rsidR="000A04CF">
        <w:rPr>
          <w:rFonts w:cs="Times New Roman"/>
        </w:rPr>
        <w:t>ng it as simply a way of organiz</w:t>
      </w:r>
      <w:r w:rsidRPr="008F41CA">
        <w:rPr>
          <w:rFonts w:cs="Times New Roman"/>
        </w:rPr>
        <w:t>ing a conversation</w:t>
      </w:r>
      <w:r>
        <w:rPr>
          <w:rFonts w:cs="Times New Roman"/>
        </w:rPr>
        <w:t xml:space="preserve"> (</w:t>
      </w:r>
      <w:r w:rsidR="007979D6">
        <w:rPr>
          <w:rFonts w:cs="Times New Roman"/>
        </w:rPr>
        <w:t>S</w:t>
      </w:r>
      <w:r>
        <w:rPr>
          <w:rFonts w:cs="Times New Roman"/>
        </w:rPr>
        <w:t>alzmann</w:t>
      </w:r>
      <w:r w:rsidR="007979D6">
        <w:rPr>
          <w:rFonts w:cs="Times New Roman"/>
        </w:rPr>
        <w:t>,</w:t>
      </w:r>
      <w:r>
        <w:rPr>
          <w:rFonts w:cs="Times New Roman"/>
        </w:rPr>
        <w:t xml:space="preserve"> 2004)</w:t>
      </w:r>
      <w:r w:rsidRPr="008F41CA">
        <w:rPr>
          <w:rFonts w:cs="Times New Roman"/>
        </w:rPr>
        <w:t xml:space="preserve">. </w:t>
      </w:r>
      <w:r>
        <w:rPr>
          <w:rFonts w:cs="Times New Roman"/>
        </w:rPr>
        <w:t>There is a very real possibility that these gendered responses may contribute to women settling for less, as they are motivated by the desire for the process to be completed</w:t>
      </w:r>
      <w:r>
        <w:rPr>
          <w:rStyle w:val="EndnoteReference"/>
          <w:rFonts w:cs="Times New Roman"/>
        </w:rPr>
        <w:endnoteReference w:id="10"/>
      </w:r>
      <w:r>
        <w:rPr>
          <w:rFonts w:cs="Times New Roman"/>
        </w:rPr>
        <w:t xml:space="preserve"> and/or because communication styles adversely affect their ability to negotiate effectively.</w:t>
      </w:r>
    </w:p>
    <w:p w14:paraId="7231A061" w14:textId="77777777" w:rsidR="004B5400" w:rsidRPr="008F41CA" w:rsidRDefault="004B5400" w:rsidP="00A50051">
      <w:pPr>
        <w:spacing w:line="240" w:lineRule="auto"/>
        <w:jc w:val="both"/>
        <w:rPr>
          <w:rFonts w:eastAsia="Times New Roman" w:cs="Times New Roman"/>
          <w:lang w:val="en-AU"/>
        </w:rPr>
      </w:pPr>
    </w:p>
    <w:p w14:paraId="76E732F4" w14:textId="16EE1675" w:rsidR="004B5400" w:rsidRDefault="005A5A47" w:rsidP="000A04CF">
      <w:pPr>
        <w:spacing w:line="240" w:lineRule="auto"/>
        <w:jc w:val="center"/>
        <w:rPr>
          <w:rFonts w:eastAsia="Cambria" w:cs="Times New Roman"/>
          <w:b/>
          <w:bCs/>
        </w:rPr>
      </w:pPr>
      <w:r w:rsidRPr="005A5A47">
        <w:rPr>
          <w:rFonts w:eastAsia="Cambria" w:cs="Times New Roman"/>
          <w:bCs/>
        </w:rPr>
        <w:t>III. PROPERTY SETTLEMENT AS A TOOL OF FINANCIAL AND/OR EMOTIONAL ABUSE</w:t>
      </w:r>
    </w:p>
    <w:p w14:paraId="632CE29F" w14:textId="77777777" w:rsidR="000A04CF" w:rsidRDefault="000A04CF" w:rsidP="00A50051">
      <w:pPr>
        <w:spacing w:line="240" w:lineRule="auto"/>
        <w:jc w:val="both"/>
        <w:rPr>
          <w:rFonts w:eastAsia="Cambria" w:cs="Times New Roman"/>
          <w:bCs/>
        </w:rPr>
      </w:pPr>
    </w:p>
    <w:p w14:paraId="4BA57D62" w14:textId="47E60A54" w:rsidR="004B5400" w:rsidRDefault="004B5400" w:rsidP="00A50051">
      <w:pPr>
        <w:spacing w:line="240" w:lineRule="auto"/>
        <w:jc w:val="both"/>
        <w:rPr>
          <w:rFonts w:eastAsia="Cambria" w:cs="Times New Roman"/>
          <w:bCs/>
        </w:rPr>
      </w:pPr>
      <w:r>
        <w:rPr>
          <w:rFonts w:eastAsia="Cambria" w:cs="Times New Roman"/>
          <w:bCs/>
        </w:rPr>
        <w:t>A further important issue is the extent to which the property settlement process itself may be used as a form of abuse. Three factors in particular need to be highlighted: financial coercive control, pressure to settle and vexatious litigation.</w:t>
      </w:r>
    </w:p>
    <w:p w14:paraId="593C75A4" w14:textId="77777777" w:rsidR="004B5400" w:rsidRPr="002E42A6" w:rsidRDefault="004B5400" w:rsidP="00A50051">
      <w:pPr>
        <w:spacing w:line="240" w:lineRule="auto"/>
        <w:jc w:val="both"/>
        <w:rPr>
          <w:rFonts w:eastAsia="Cambria" w:cs="Times New Roman"/>
          <w:bCs/>
        </w:rPr>
      </w:pPr>
    </w:p>
    <w:p w14:paraId="59435131" w14:textId="75EBBDC8" w:rsidR="004B5400" w:rsidRPr="005A5A47" w:rsidRDefault="005A5A47" w:rsidP="005A5A47">
      <w:pPr>
        <w:pStyle w:val="ListParagraph"/>
        <w:numPr>
          <w:ilvl w:val="0"/>
          <w:numId w:val="25"/>
        </w:numPr>
        <w:spacing w:line="240" w:lineRule="auto"/>
        <w:ind w:left="1077" w:hanging="357"/>
        <w:jc w:val="center"/>
        <w:rPr>
          <w:rFonts w:cs="Times New Roman"/>
          <w:b/>
          <w:kern w:val="24"/>
        </w:rPr>
      </w:pPr>
      <w:r>
        <w:rPr>
          <w:rFonts w:cs="Times New Roman"/>
          <w:b/>
          <w:kern w:val="24"/>
        </w:rPr>
        <w:t>F</w:t>
      </w:r>
      <w:r w:rsidRPr="005A5A47">
        <w:rPr>
          <w:rFonts w:cs="Times New Roman"/>
          <w:b/>
          <w:kern w:val="24"/>
        </w:rPr>
        <w:t>inancial coercive control</w:t>
      </w:r>
    </w:p>
    <w:p w14:paraId="1437D9C7" w14:textId="77777777" w:rsidR="000A04CF" w:rsidRPr="000A04CF" w:rsidRDefault="000A04CF" w:rsidP="000A04CF">
      <w:pPr>
        <w:pStyle w:val="ListParagraph"/>
        <w:spacing w:line="240" w:lineRule="auto"/>
        <w:rPr>
          <w:rFonts w:cs="Times New Roman"/>
          <w:b/>
          <w:i/>
          <w:kern w:val="24"/>
        </w:rPr>
      </w:pPr>
    </w:p>
    <w:p w14:paraId="203A452B" w14:textId="0C6E8D68" w:rsidR="004B5400" w:rsidRDefault="004B5400" w:rsidP="00FE2CDF">
      <w:pPr>
        <w:spacing w:line="240" w:lineRule="auto"/>
        <w:jc w:val="both"/>
        <w:rPr>
          <w:rFonts w:cs="Times New Roman"/>
        </w:rPr>
      </w:pPr>
      <w:r w:rsidRPr="008F41CA">
        <w:rPr>
          <w:rFonts w:cs="Times New Roman"/>
          <w:kern w:val="24"/>
        </w:rPr>
        <w:t>Coercive control</w:t>
      </w:r>
      <w:r w:rsidRPr="008F41CA">
        <w:rPr>
          <w:rFonts w:cs="Times New Roman"/>
        </w:rPr>
        <w:t xml:space="preserve"> is defined by domination and intimidation</w:t>
      </w:r>
      <w:r>
        <w:rPr>
          <w:rFonts w:cs="Times New Roman"/>
        </w:rPr>
        <w:t xml:space="preserve"> (Kelly and Johnson</w:t>
      </w:r>
      <w:r w:rsidR="007979D6">
        <w:rPr>
          <w:rFonts w:cs="Times New Roman"/>
        </w:rPr>
        <w:t>,</w:t>
      </w:r>
      <w:r>
        <w:rPr>
          <w:rFonts w:cs="Times New Roman"/>
        </w:rPr>
        <w:t xml:space="preserve"> 2008)</w:t>
      </w:r>
      <w:r w:rsidRPr="008F41CA">
        <w:rPr>
          <w:rFonts w:cs="Times New Roman"/>
        </w:rPr>
        <w:t xml:space="preserve">, </w:t>
      </w:r>
      <w:r>
        <w:rPr>
          <w:rFonts w:cs="Times New Roman"/>
        </w:rPr>
        <w:t>with a</w:t>
      </w:r>
      <w:r w:rsidRPr="008F41CA">
        <w:rPr>
          <w:rFonts w:cs="Times New Roman"/>
        </w:rPr>
        <w:t xml:space="preserve"> tendency </w:t>
      </w:r>
      <w:r>
        <w:rPr>
          <w:rFonts w:cs="Times New Roman"/>
        </w:rPr>
        <w:t xml:space="preserve">for violence </w:t>
      </w:r>
      <w:r w:rsidRPr="008F41CA">
        <w:rPr>
          <w:rFonts w:cs="Times New Roman"/>
        </w:rPr>
        <w:t>to escalate</w:t>
      </w:r>
      <w:r>
        <w:rPr>
          <w:rFonts w:cs="Times New Roman"/>
        </w:rPr>
        <w:t xml:space="preserve"> (Neilson</w:t>
      </w:r>
      <w:r w:rsidR="007979D6">
        <w:rPr>
          <w:rFonts w:cs="Times New Roman"/>
        </w:rPr>
        <w:t>,</w:t>
      </w:r>
      <w:r>
        <w:rPr>
          <w:rFonts w:cs="Times New Roman"/>
        </w:rPr>
        <w:t xml:space="preserve"> 2004)</w:t>
      </w:r>
      <w:r w:rsidRPr="008F41CA">
        <w:rPr>
          <w:rFonts w:cs="Times New Roman"/>
        </w:rPr>
        <w:t xml:space="preserve">. </w:t>
      </w:r>
      <w:r>
        <w:rPr>
          <w:rFonts w:cs="Times New Roman"/>
        </w:rPr>
        <w:t>It manifests in a number of ways - one is economic. For instance, as described for some immigrant women by Easteal (1996), t</w:t>
      </w:r>
      <w:r w:rsidRPr="008F41CA">
        <w:rPr>
          <w:rFonts w:cs="Times New Roman"/>
        </w:rPr>
        <w:t>he perpetrator may take absolute control of the finances and allocate little or no money to his partner</w:t>
      </w:r>
      <w:r>
        <w:rPr>
          <w:rFonts w:cs="Times New Roman"/>
        </w:rPr>
        <w:t xml:space="preserve">: </w:t>
      </w:r>
    </w:p>
    <w:p w14:paraId="6FDC9C3D" w14:textId="77777777" w:rsidR="005A5A47" w:rsidRPr="008F41CA" w:rsidRDefault="005A5A47" w:rsidP="00FE2CDF">
      <w:pPr>
        <w:spacing w:line="240" w:lineRule="auto"/>
        <w:jc w:val="both"/>
        <w:rPr>
          <w:rFonts w:cs="Times New Roman"/>
        </w:rPr>
      </w:pPr>
    </w:p>
    <w:p w14:paraId="2BA7B379" w14:textId="62ACF4E8" w:rsidR="004B5400" w:rsidRPr="008F41CA" w:rsidRDefault="00021FF5" w:rsidP="00FE2CDF">
      <w:pPr>
        <w:pStyle w:val="BlockText"/>
        <w:spacing w:after="0" w:line="240" w:lineRule="auto"/>
        <w:jc w:val="both"/>
      </w:pPr>
      <w:r>
        <w:t>‘</w:t>
      </w:r>
      <w:r w:rsidR="004B5400" w:rsidRPr="008F41CA">
        <w:t>I was never allowed a credit card or bank account. I wasn’t allowed friends or phone calls. I wasn’t allowed to go out. I was put down constantly. … My problem was that I didn’t see it for what it was. And I was in an extremely violent situation before I realised it</w:t>
      </w:r>
      <w:r>
        <w:t>’</w:t>
      </w:r>
      <w:r w:rsidR="004B5400">
        <w:t xml:space="preserve"> (Easteal</w:t>
      </w:r>
      <w:r w:rsidR="007979D6">
        <w:t>,</w:t>
      </w:r>
      <w:r w:rsidR="004B5400">
        <w:t xml:space="preserve"> 1996:</w:t>
      </w:r>
      <w:r w:rsidR="007979D6">
        <w:t xml:space="preserve"> </w:t>
      </w:r>
      <w:r w:rsidR="004B5400">
        <w:t>90)</w:t>
      </w:r>
      <w:r w:rsidR="004B5400" w:rsidRPr="008F41CA">
        <w:t>.</w:t>
      </w:r>
      <w:r w:rsidR="004B5400">
        <w:t xml:space="preserve"> </w:t>
      </w:r>
    </w:p>
    <w:p w14:paraId="17DD9B9E" w14:textId="77777777" w:rsidR="004B5400" w:rsidRPr="008F41CA" w:rsidRDefault="004B5400" w:rsidP="00FE2CDF">
      <w:pPr>
        <w:spacing w:line="240" w:lineRule="auto"/>
        <w:jc w:val="both"/>
        <w:rPr>
          <w:rFonts w:cs="Times New Roman"/>
        </w:rPr>
      </w:pPr>
    </w:p>
    <w:p w14:paraId="475F9AC0" w14:textId="50C25804" w:rsidR="004B5400" w:rsidRPr="008F41CA" w:rsidRDefault="004B5400" w:rsidP="00FE2CDF">
      <w:pPr>
        <w:spacing w:line="240" w:lineRule="auto"/>
        <w:jc w:val="both"/>
        <w:rPr>
          <w:rFonts w:cs="Times New Roman"/>
        </w:rPr>
      </w:pPr>
      <w:r>
        <w:rPr>
          <w:rFonts w:cs="Times New Roman"/>
        </w:rPr>
        <w:t>Financial</w:t>
      </w:r>
      <w:r w:rsidRPr="008F41CA">
        <w:rPr>
          <w:rFonts w:cs="Times New Roman"/>
        </w:rPr>
        <w:t xml:space="preserve"> violence, </w:t>
      </w:r>
      <w:r>
        <w:rPr>
          <w:rFonts w:cs="Times New Roman"/>
        </w:rPr>
        <w:t xml:space="preserve">as with </w:t>
      </w:r>
      <w:r w:rsidRPr="008F41CA">
        <w:rPr>
          <w:rFonts w:cs="Times New Roman"/>
        </w:rPr>
        <w:t xml:space="preserve">physical, sexual and emotional </w:t>
      </w:r>
      <w:r>
        <w:rPr>
          <w:rFonts w:cs="Times New Roman"/>
        </w:rPr>
        <w:t>manifestations of control</w:t>
      </w:r>
      <w:r w:rsidRPr="008F41CA">
        <w:rPr>
          <w:rFonts w:cs="Times New Roman"/>
        </w:rPr>
        <w:t xml:space="preserve">, </w:t>
      </w:r>
      <w:r>
        <w:rPr>
          <w:rFonts w:cs="Times New Roman"/>
        </w:rPr>
        <w:t>often</w:t>
      </w:r>
      <w:r w:rsidRPr="008F41CA">
        <w:rPr>
          <w:rFonts w:cs="Times New Roman"/>
        </w:rPr>
        <w:t xml:space="preserve"> continue</w:t>
      </w:r>
      <w:r>
        <w:rPr>
          <w:rFonts w:cs="Times New Roman"/>
        </w:rPr>
        <w:t>s</w:t>
      </w:r>
      <w:r w:rsidRPr="008F41CA">
        <w:rPr>
          <w:rFonts w:cs="Times New Roman"/>
        </w:rPr>
        <w:t xml:space="preserve"> and even escalate</w:t>
      </w:r>
      <w:r>
        <w:rPr>
          <w:rFonts w:cs="Times New Roman"/>
        </w:rPr>
        <w:t>s</w:t>
      </w:r>
      <w:r w:rsidRPr="008F41CA">
        <w:rPr>
          <w:rFonts w:cs="Times New Roman"/>
        </w:rPr>
        <w:t xml:space="preserve"> with separation</w:t>
      </w:r>
      <w:r>
        <w:rPr>
          <w:rFonts w:cs="Times New Roman"/>
        </w:rPr>
        <w:t xml:space="preserve"> (Altobelli</w:t>
      </w:r>
      <w:r w:rsidR="007979D6">
        <w:rPr>
          <w:rFonts w:cs="Times New Roman"/>
        </w:rPr>
        <w:t xml:space="preserve">, </w:t>
      </w:r>
      <w:r>
        <w:rPr>
          <w:rFonts w:cs="Times New Roman"/>
        </w:rPr>
        <w:t>2009:</w:t>
      </w:r>
      <w:r w:rsidR="007979D6">
        <w:rPr>
          <w:rFonts w:cs="Times New Roman"/>
        </w:rPr>
        <w:t xml:space="preserve"> </w:t>
      </w:r>
      <w:r>
        <w:rPr>
          <w:rFonts w:cs="Times New Roman"/>
        </w:rPr>
        <w:t>194)</w:t>
      </w:r>
      <w:r w:rsidRPr="008F41CA">
        <w:rPr>
          <w:rFonts w:cs="Times New Roman"/>
        </w:rPr>
        <w:t xml:space="preserve">. </w:t>
      </w:r>
      <w:r>
        <w:rPr>
          <w:rFonts w:cs="Times New Roman"/>
        </w:rPr>
        <w:t>E</w:t>
      </w:r>
      <w:r w:rsidRPr="008F41CA">
        <w:rPr>
          <w:rFonts w:cs="Times New Roman"/>
        </w:rPr>
        <w:t xml:space="preserve">strangement may provide the perpetrator with the opportunity </w:t>
      </w:r>
      <w:r>
        <w:rPr>
          <w:rFonts w:cs="Times New Roman"/>
        </w:rPr>
        <w:t>to</w:t>
      </w:r>
      <w:r w:rsidRPr="008F41CA">
        <w:rPr>
          <w:rFonts w:cs="Times New Roman"/>
        </w:rPr>
        <w:t xml:space="preserve"> </w:t>
      </w:r>
      <w:r>
        <w:rPr>
          <w:rFonts w:cs="Times New Roman"/>
        </w:rPr>
        <w:t xml:space="preserve">financially </w:t>
      </w:r>
      <w:r w:rsidRPr="008F41CA">
        <w:rPr>
          <w:rFonts w:cs="Times New Roman"/>
        </w:rPr>
        <w:t>control the</w:t>
      </w:r>
      <w:r>
        <w:rPr>
          <w:rFonts w:cs="Times New Roman"/>
        </w:rPr>
        <w:t>ir</w:t>
      </w:r>
      <w:r w:rsidRPr="008F41CA">
        <w:rPr>
          <w:rFonts w:cs="Times New Roman"/>
        </w:rPr>
        <w:t xml:space="preserve"> victim </w:t>
      </w:r>
      <w:r>
        <w:rPr>
          <w:rFonts w:cs="Times New Roman"/>
        </w:rPr>
        <w:t>b</w:t>
      </w:r>
      <w:r w:rsidRPr="008F41CA">
        <w:rPr>
          <w:rFonts w:cs="Times New Roman"/>
        </w:rPr>
        <w:t xml:space="preserve">y exerting control in </w:t>
      </w:r>
      <w:r>
        <w:rPr>
          <w:rFonts w:cs="Times New Roman"/>
        </w:rPr>
        <w:t xml:space="preserve">a private </w:t>
      </w:r>
      <w:r w:rsidRPr="008F41CA">
        <w:rPr>
          <w:rFonts w:cs="Times New Roman"/>
        </w:rPr>
        <w:t xml:space="preserve">settlement </w:t>
      </w:r>
      <w:r>
        <w:rPr>
          <w:rFonts w:cs="Times New Roman"/>
        </w:rPr>
        <w:t xml:space="preserve">between the couple </w:t>
      </w:r>
      <w:r w:rsidRPr="008F41CA">
        <w:rPr>
          <w:rFonts w:cs="Times New Roman"/>
        </w:rPr>
        <w:t>with mediation</w:t>
      </w:r>
      <w:r>
        <w:rPr>
          <w:rFonts w:cs="Times New Roman"/>
        </w:rPr>
        <w:t>,</w:t>
      </w:r>
      <w:r w:rsidRPr="008F41CA">
        <w:rPr>
          <w:rFonts w:cs="Times New Roman"/>
        </w:rPr>
        <w:t xml:space="preserve"> and</w:t>
      </w:r>
      <w:r>
        <w:rPr>
          <w:rFonts w:cs="Times New Roman"/>
        </w:rPr>
        <w:t>/or</w:t>
      </w:r>
      <w:r w:rsidRPr="008F41CA">
        <w:rPr>
          <w:rFonts w:cs="Times New Roman"/>
        </w:rPr>
        <w:t xml:space="preserve"> by litigating excessively.</w:t>
      </w:r>
      <w:r w:rsidRPr="008F41CA">
        <w:rPr>
          <w:rFonts w:cs="Times New Roman"/>
          <w:kern w:val="24"/>
          <w:vertAlign w:val="superscript"/>
        </w:rPr>
        <w:t xml:space="preserve"> </w:t>
      </w:r>
      <w:r w:rsidRPr="008F41CA">
        <w:rPr>
          <w:rFonts w:cs="Times New Roman"/>
        </w:rPr>
        <w:t>We examine these further next.</w:t>
      </w:r>
    </w:p>
    <w:p w14:paraId="732D794C" w14:textId="77777777" w:rsidR="004B5400" w:rsidRPr="008F41CA" w:rsidRDefault="004B5400" w:rsidP="00FE2CDF">
      <w:pPr>
        <w:spacing w:line="240" w:lineRule="auto"/>
        <w:jc w:val="both"/>
        <w:rPr>
          <w:rFonts w:cs="Times New Roman"/>
        </w:rPr>
      </w:pPr>
    </w:p>
    <w:p w14:paraId="1FE41A89" w14:textId="671279DA" w:rsidR="004B5400" w:rsidRPr="005A5A47" w:rsidRDefault="005A5A47" w:rsidP="000A04CF">
      <w:pPr>
        <w:spacing w:line="240" w:lineRule="auto"/>
        <w:jc w:val="center"/>
        <w:rPr>
          <w:rFonts w:cs="Times New Roman"/>
          <w:b/>
        </w:rPr>
      </w:pPr>
      <w:r w:rsidRPr="005A5A47">
        <w:rPr>
          <w:rFonts w:cs="Times New Roman"/>
          <w:b/>
        </w:rPr>
        <w:t>2.</w:t>
      </w:r>
      <w:r w:rsidR="000A04CF" w:rsidRPr="005A5A47">
        <w:rPr>
          <w:rFonts w:cs="Times New Roman"/>
          <w:b/>
        </w:rPr>
        <w:t xml:space="preserve"> </w:t>
      </w:r>
      <w:r>
        <w:rPr>
          <w:rFonts w:cs="Times New Roman"/>
          <w:b/>
        </w:rPr>
        <w:t>P</w:t>
      </w:r>
      <w:r w:rsidRPr="005A5A47">
        <w:rPr>
          <w:rFonts w:cs="Times New Roman"/>
          <w:b/>
        </w:rPr>
        <w:t>ressured to settle – unequal playing field</w:t>
      </w:r>
      <w:r w:rsidR="000A04CF" w:rsidRPr="005A5A47">
        <w:rPr>
          <w:rFonts w:cs="Times New Roman"/>
          <w:b/>
        </w:rPr>
        <w:t xml:space="preserve"> </w:t>
      </w:r>
    </w:p>
    <w:p w14:paraId="382A1588" w14:textId="77777777" w:rsidR="000A04CF" w:rsidRDefault="000A04CF" w:rsidP="00FE2CDF">
      <w:pPr>
        <w:spacing w:line="240" w:lineRule="auto"/>
        <w:jc w:val="both"/>
        <w:rPr>
          <w:rFonts w:cs="Times New Roman"/>
        </w:rPr>
      </w:pPr>
    </w:p>
    <w:p w14:paraId="423B01FB" w14:textId="667DC8D4" w:rsidR="004B5400" w:rsidRDefault="004B5400" w:rsidP="00FE2CDF">
      <w:pPr>
        <w:spacing w:line="240" w:lineRule="auto"/>
        <w:jc w:val="both"/>
        <w:rPr>
          <w:rFonts w:cs="Times New Roman"/>
        </w:rPr>
      </w:pPr>
      <w:r>
        <w:rPr>
          <w:rFonts w:cs="Times New Roman"/>
        </w:rPr>
        <w:t>M</w:t>
      </w:r>
      <w:r w:rsidRPr="008F41CA">
        <w:rPr>
          <w:rFonts w:cs="Times New Roman"/>
        </w:rPr>
        <w:t>uch of</w:t>
      </w:r>
      <w:r>
        <w:rPr>
          <w:rFonts w:cs="Times New Roman"/>
        </w:rPr>
        <w:t xml:space="preserve"> family law is conducted ‘in the shadow</w:t>
      </w:r>
      <w:r w:rsidRPr="008F41CA">
        <w:rPr>
          <w:rFonts w:cs="Times New Roman"/>
        </w:rPr>
        <w:t>’ of the law with most matters settling outside of the court.</w:t>
      </w:r>
      <w:r>
        <w:rPr>
          <w:rFonts w:cs="Times New Roman"/>
        </w:rPr>
        <w:t xml:space="preserve"> Only a minority of disputes culminate in a hearing,</w:t>
      </w:r>
      <w:r w:rsidR="00E16FC3" w:rsidRPr="00E16FC3">
        <w:rPr>
          <w:rStyle w:val="EndnoteReference"/>
          <w:rFonts w:cs="Times New Roman"/>
        </w:rPr>
        <w:t xml:space="preserve"> </w:t>
      </w:r>
      <w:r w:rsidR="00E16FC3" w:rsidRPr="008F41CA">
        <w:rPr>
          <w:rStyle w:val="EndnoteReference"/>
          <w:rFonts w:cs="Times New Roman"/>
        </w:rPr>
        <w:endnoteReference w:id="11"/>
      </w:r>
      <w:r w:rsidRPr="008F41CA">
        <w:rPr>
          <w:rFonts w:cs="Times New Roman"/>
        </w:rPr>
        <w:t xml:space="preserve"> </w:t>
      </w:r>
      <w:r w:rsidR="00751347">
        <w:rPr>
          <w:rFonts w:cs="Times New Roman"/>
        </w:rPr>
        <w:t xml:space="preserve">and even then </w:t>
      </w:r>
      <w:r w:rsidRPr="008F41CA">
        <w:rPr>
          <w:rFonts w:cs="Times New Roman"/>
        </w:rPr>
        <w:t xml:space="preserve">some </w:t>
      </w:r>
      <w:r w:rsidR="00751347">
        <w:rPr>
          <w:rFonts w:cs="Times New Roman"/>
        </w:rPr>
        <w:t xml:space="preserve">parties may </w:t>
      </w:r>
      <w:r w:rsidR="00F333BA">
        <w:rPr>
          <w:rFonts w:cs="Times New Roman"/>
        </w:rPr>
        <w:t xml:space="preserve">resolve matters </w:t>
      </w:r>
      <w:r w:rsidRPr="008F41CA">
        <w:rPr>
          <w:rFonts w:cs="Times New Roman"/>
        </w:rPr>
        <w:t>with a consent order.</w:t>
      </w:r>
      <w:r>
        <w:rPr>
          <w:rFonts w:cs="Times New Roman"/>
        </w:rPr>
        <w:t xml:space="preserve"> However, a</w:t>
      </w:r>
      <w:r w:rsidRPr="008F41CA">
        <w:rPr>
          <w:rFonts w:cs="Times New Roman"/>
        </w:rPr>
        <w:t>greement does not necessarily reflect satisfaction,</w:t>
      </w:r>
      <w:r>
        <w:rPr>
          <w:rFonts w:cs="Times New Roman"/>
        </w:rPr>
        <w:t xml:space="preserve"> let alone fairness,</w:t>
      </w:r>
      <w:r w:rsidRPr="008F41CA">
        <w:rPr>
          <w:rFonts w:cs="Times New Roman"/>
        </w:rPr>
        <w:t xml:space="preserve"> especially if either of the parties </w:t>
      </w:r>
      <w:r>
        <w:rPr>
          <w:rFonts w:cs="Times New Roman"/>
        </w:rPr>
        <w:t>felt</w:t>
      </w:r>
      <w:r w:rsidRPr="008F41CA">
        <w:rPr>
          <w:rFonts w:cs="Times New Roman"/>
        </w:rPr>
        <w:t xml:space="preserve"> under pressure</w:t>
      </w:r>
      <w:r>
        <w:rPr>
          <w:rFonts w:cs="Times New Roman"/>
        </w:rPr>
        <w:t xml:space="preserve"> within the negotiation </w:t>
      </w:r>
      <w:r w:rsidRPr="001D1998">
        <w:rPr>
          <w:rFonts w:cs="Times New Roman"/>
        </w:rPr>
        <w:t>(</w:t>
      </w:r>
      <w:r w:rsidRPr="001D1998">
        <w:rPr>
          <w:rFonts w:cs="Times New Roman"/>
          <w:color w:val="000000"/>
        </w:rPr>
        <w:t>Trinder and Kellett</w:t>
      </w:r>
      <w:r w:rsidR="007979D6">
        <w:rPr>
          <w:rFonts w:cs="Times New Roman"/>
          <w:color w:val="000000"/>
        </w:rPr>
        <w:t>,</w:t>
      </w:r>
      <w:r>
        <w:rPr>
          <w:rFonts w:cs="Times New Roman"/>
          <w:color w:val="000000"/>
        </w:rPr>
        <w:t xml:space="preserve"> 2007:</w:t>
      </w:r>
      <w:r w:rsidR="007979D6">
        <w:rPr>
          <w:rFonts w:cs="Times New Roman"/>
          <w:color w:val="000000"/>
        </w:rPr>
        <w:t xml:space="preserve"> </w:t>
      </w:r>
      <w:r>
        <w:rPr>
          <w:rFonts w:cs="Times New Roman"/>
          <w:color w:val="000000"/>
        </w:rPr>
        <w:t>329</w:t>
      </w:r>
      <w:r>
        <w:rPr>
          <w:rFonts w:cs="Times New Roman"/>
        </w:rPr>
        <w:t>)</w:t>
      </w:r>
      <w:r w:rsidR="000A04CF">
        <w:rPr>
          <w:rFonts w:cs="Times New Roman"/>
        </w:rPr>
        <w:t>.</w:t>
      </w:r>
      <w:r w:rsidRPr="008F41CA">
        <w:rPr>
          <w:rFonts w:cs="Times New Roman"/>
        </w:rPr>
        <w:t xml:space="preserve"> </w:t>
      </w:r>
      <w:r>
        <w:rPr>
          <w:rFonts w:cs="Times New Roman"/>
        </w:rPr>
        <w:t>This may be particularly so in property cases where there are also children (Behrens</w:t>
      </w:r>
      <w:r w:rsidR="007979D6">
        <w:rPr>
          <w:rFonts w:cs="Times New Roman"/>
        </w:rPr>
        <w:t>,</w:t>
      </w:r>
      <w:r>
        <w:rPr>
          <w:rFonts w:cs="Times New Roman"/>
        </w:rPr>
        <w:t xml:space="preserve"> 2010:</w:t>
      </w:r>
      <w:r w:rsidR="007979D6">
        <w:rPr>
          <w:rFonts w:cs="Times New Roman"/>
        </w:rPr>
        <w:t xml:space="preserve"> </w:t>
      </w:r>
      <w:r>
        <w:rPr>
          <w:rFonts w:cs="Times New Roman"/>
        </w:rPr>
        <w:t>212). A perceived need</w:t>
      </w:r>
      <w:r w:rsidRPr="008F41CA">
        <w:rPr>
          <w:rFonts w:cs="Times New Roman"/>
        </w:rPr>
        <w:t xml:space="preserve"> to settle quickly</w:t>
      </w:r>
      <w:r>
        <w:rPr>
          <w:rFonts w:cs="Times New Roman"/>
        </w:rPr>
        <w:t xml:space="preserve"> can of course apply more pressure where a woman is motivated by the imperative of </w:t>
      </w:r>
      <w:r w:rsidRPr="008F41CA">
        <w:rPr>
          <w:rFonts w:cs="Times New Roman"/>
        </w:rPr>
        <w:t>secur</w:t>
      </w:r>
      <w:r>
        <w:rPr>
          <w:rFonts w:cs="Times New Roman"/>
        </w:rPr>
        <w:t>ing</w:t>
      </w:r>
      <w:r w:rsidRPr="008F41CA">
        <w:rPr>
          <w:rFonts w:cs="Times New Roman"/>
        </w:rPr>
        <w:t xml:space="preserve"> safety for </w:t>
      </w:r>
      <w:r>
        <w:rPr>
          <w:rFonts w:cs="Times New Roman"/>
        </w:rPr>
        <w:t xml:space="preserve">herself </w:t>
      </w:r>
      <w:r w:rsidRPr="008F41CA">
        <w:rPr>
          <w:rFonts w:cs="Times New Roman"/>
        </w:rPr>
        <w:t xml:space="preserve">and </w:t>
      </w:r>
      <w:r>
        <w:rPr>
          <w:rFonts w:cs="Times New Roman"/>
        </w:rPr>
        <w:t>her</w:t>
      </w:r>
      <w:r w:rsidRPr="008F41CA">
        <w:rPr>
          <w:rFonts w:cs="Times New Roman"/>
        </w:rPr>
        <w:t xml:space="preserve"> children.</w:t>
      </w:r>
    </w:p>
    <w:p w14:paraId="6DE22906" w14:textId="77777777" w:rsidR="004B5400" w:rsidRPr="008F41CA" w:rsidRDefault="004B5400" w:rsidP="00FE2CDF">
      <w:pPr>
        <w:spacing w:line="240" w:lineRule="auto"/>
        <w:jc w:val="both"/>
        <w:rPr>
          <w:rFonts w:cs="Times New Roman"/>
        </w:rPr>
      </w:pPr>
    </w:p>
    <w:p w14:paraId="1BAA708A" w14:textId="73A40DB2" w:rsidR="004B5400" w:rsidRDefault="004B5400" w:rsidP="000A04CF">
      <w:pPr>
        <w:spacing w:line="240" w:lineRule="auto"/>
        <w:ind w:firstLine="720"/>
        <w:jc w:val="both"/>
        <w:rPr>
          <w:rFonts w:cs="Times New Roman"/>
        </w:rPr>
      </w:pPr>
      <w:r>
        <w:rPr>
          <w:rFonts w:cs="Times New Roman"/>
        </w:rPr>
        <w:lastRenderedPageBreak/>
        <w:t>As we have noted above, research confirms that women are the financial losers from separation; in terms of property division this is intensified in cases involving violence</w:t>
      </w:r>
      <w:r w:rsidRPr="008F41CA">
        <w:rPr>
          <w:rFonts w:cs="Times New Roman"/>
        </w:rPr>
        <w:t xml:space="preserve"> whether the outcome is the result of private ordering or a </w:t>
      </w:r>
      <w:r>
        <w:rPr>
          <w:rFonts w:cs="Times New Roman"/>
        </w:rPr>
        <w:t>c</w:t>
      </w:r>
      <w:r w:rsidRPr="008F41CA">
        <w:rPr>
          <w:rFonts w:cs="Times New Roman"/>
        </w:rPr>
        <w:t>ourt determination</w:t>
      </w:r>
      <w:r>
        <w:rPr>
          <w:rFonts w:cs="Times New Roman"/>
        </w:rPr>
        <w:t xml:space="preserve"> (Sheehan and Hughes</w:t>
      </w:r>
      <w:r w:rsidR="007979D6">
        <w:rPr>
          <w:rFonts w:cs="Times New Roman"/>
        </w:rPr>
        <w:t>,</w:t>
      </w:r>
      <w:r>
        <w:rPr>
          <w:rFonts w:cs="Times New Roman"/>
        </w:rPr>
        <w:t xml:space="preserve"> 2001; Sheehan and Smyth</w:t>
      </w:r>
      <w:r w:rsidR="007979D6">
        <w:rPr>
          <w:rFonts w:cs="Times New Roman"/>
        </w:rPr>
        <w:t>,</w:t>
      </w:r>
      <w:r>
        <w:rPr>
          <w:rFonts w:cs="Times New Roman"/>
        </w:rPr>
        <w:t xml:space="preserve"> 2000; Fehlberg and Milward</w:t>
      </w:r>
      <w:r w:rsidR="007979D6">
        <w:rPr>
          <w:rFonts w:cs="Times New Roman"/>
        </w:rPr>
        <w:t>,</w:t>
      </w:r>
      <w:r>
        <w:rPr>
          <w:rFonts w:cs="Times New Roman"/>
        </w:rPr>
        <w:t xml:space="preserve"> 2014).</w:t>
      </w:r>
    </w:p>
    <w:p w14:paraId="1612A6BE" w14:textId="77777777" w:rsidR="000A04CF" w:rsidRPr="008F41CA" w:rsidRDefault="000A04CF" w:rsidP="000A04CF">
      <w:pPr>
        <w:spacing w:line="240" w:lineRule="auto"/>
        <w:ind w:firstLine="720"/>
        <w:jc w:val="both"/>
        <w:rPr>
          <w:rFonts w:cs="Times New Roman"/>
        </w:rPr>
      </w:pPr>
    </w:p>
    <w:p w14:paraId="7698D852" w14:textId="74F2DA7C" w:rsidR="004B5400" w:rsidRPr="008F41CA" w:rsidRDefault="00021FF5" w:rsidP="00FE2CDF">
      <w:pPr>
        <w:pStyle w:val="BlockText"/>
        <w:spacing w:after="0" w:line="240" w:lineRule="auto"/>
        <w:jc w:val="both"/>
      </w:pPr>
      <w:r>
        <w:t>‘</w:t>
      </w:r>
      <w:r w:rsidR="004B5400" w:rsidRPr="008F41CA">
        <w:t>…there is no longer any doubt that women experience the heaviest financial losses in the divorce equation. Battered women suffer doubly from this inequity, because economic control is often a facet of the coercive relationship between them and their abusers</w:t>
      </w:r>
      <w:r>
        <w:t>’</w:t>
      </w:r>
      <w:r w:rsidR="004B5400">
        <w:t xml:space="preserve"> (Lee</w:t>
      </w:r>
      <w:r w:rsidR="007979D6">
        <w:t>,</w:t>
      </w:r>
      <w:r w:rsidR="004B5400">
        <w:t xml:space="preserve"> 2002:</w:t>
      </w:r>
      <w:r w:rsidR="007979D6">
        <w:t xml:space="preserve"> </w:t>
      </w:r>
      <w:r w:rsidR="004B5400">
        <w:t>275)</w:t>
      </w:r>
      <w:r w:rsidR="004B5400" w:rsidRPr="008F41CA">
        <w:t>.</w:t>
      </w:r>
    </w:p>
    <w:p w14:paraId="43191C20" w14:textId="77777777" w:rsidR="004B5400" w:rsidRPr="008F41CA" w:rsidRDefault="004B5400" w:rsidP="00FE2CDF">
      <w:pPr>
        <w:spacing w:line="240" w:lineRule="auto"/>
        <w:jc w:val="both"/>
        <w:rPr>
          <w:rFonts w:cs="Times New Roman"/>
          <w:color w:val="2E2C29"/>
        </w:rPr>
      </w:pPr>
    </w:p>
    <w:p w14:paraId="4AD7065C" w14:textId="0E01EBB3" w:rsidR="004B5400" w:rsidRDefault="004B5400" w:rsidP="00507DB2">
      <w:pPr>
        <w:spacing w:line="240" w:lineRule="auto"/>
        <w:jc w:val="both"/>
        <w:rPr>
          <w:rFonts w:cs="Times New Roman"/>
          <w:kern w:val="24"/>
          <w:vertAlign w:val="superscript"/>
        </w:rPr>
      </w:pPr>
      <w:r>
        <w:rPr>
          <w:rFonts w:cs="Times New Roman"/>
        </w:rPr>
        <w:t>A woman’s</w:t>
      </w:r>
      <w:r w:rsidRPr="008F41CA">
        <w:rPr>
          <w:rFonts w:cs="Times New Roman"/>
        </w:rPr>
        <w:t xml:space="preserve"> perception of ‘equal’ influence </w:t>
      </w:r>
      <w:r>
        <w:rPr>
          <w:rFonts w:cs="Times New Roman"/>
        </w:rPr>
        <w:t>in mediation (as found by Kelly and Johnson</w:t>
      </w:r>
      <w:r w:rsidR="007979D6">
        <w:rPr>
          <w:rFonts w:cs="Times New Roman"/>
        </w:rPr>
        <w:t>,</w:t>
      </w:r>
      <w:r>
        <w:rPr>
          <w:rFonts w:cs="Times New Roman"/>
        </w:rPr>
        <w:t xml:space="preserve"> 2008) </w:t>
      </w:r>
      <w:r w:rsidRPr="008F41CA">
        <w:rPr>
          <w:rFonts w:cs="Times New Roman"/>
        </w:rPr>
        <w:t xml:space="preserve">may be </w:t>
      </w:r>
      <w:r>
        <w:rPr>
          <w:rFonts w:cs="Times New Roman"/>
        </w:rPr>
        <w:t>questionable</w:t>
      </w:r>
      <w:r w:rsidRPr="008F41CA">
        <w:rPr>
          <w:rFonts w:cs="Times New Roman"/>
        </w:rPr>
        <w:t xml:space="preserve"> if there is a history of violence </w:t>
      </w:r>
      <w:r>
        <w:rPr>
          <w:rFonts w:cs="Times New Roman"/>
        </w:rPr>
        <w:t>(Astor</w:t>
      </w:r>
      <w:r w:rsidR="007979D6">
        <w:rPr>
          <w:rFonts w:cs="Times New Roman"/>
        </w:rPr>
        <w:t>,</w:t>
      </w:r>
      <w:r>
        <w:rPr>
          <w:rFonts w:cs="Times New Roman"/>
        </w:rPr>
        <w:t xml:space="preserve"> 1992) </w:t>
      </w:r>
      <w:r w:rsidRPr="008F41CA">
        <w:rPr>
          <w:rFonts w:cs="Times New Roman"/>
        </w:rPr>
        <w:t>given its effects which may include (but are not limited to): feelings of powerlessness, low self-esteem, anxiety, substance abuse,</w:t>
      </w:r>
      <w:r>
        <w:rPr>
          <w:rFonts w:cs="Times New Roman"/>
        </w:rPr>
        <w:t xml:space="preserve"> (Hegerty et al</w:t>
      </w:r>
      <w:r w:rsidR="007979D6">
        <w:rPr>
          <w:rFonts w:cs="Times New Roman"/>
        </w:rPr>
        <w:t>.,</w:t>
      </w:r>
      <w:r>
        <w:rPr>
          <w:rFonts w:cs="Times New Roman"/>
        </w:rPr>
        <w:t xml:space="preserve"> 2013:</w:t>
      </w:r>
      <w:r w:rsidR="007979D6">
        <w:rPr>
          <w:rFonts w:cs="Times New Roman"/>
        </w:rPr>
        <w:t xml:space="preserve"> </w:t>
      </w:r>
      <w:r>
        <w:rPr>
          <w:rFonts w:cs="Times New Roman"/>
        </w:rPr>
        <w:t xml:space="preserve">274) </w:t>
      </w:r>
      <w:r w:rsidRPr="008F41CA">
        <w:rPr>
          <w:rFonts w:cs="Times New Roman"/>
        </w:rPr>
        <w:t>PTSD</w:t>
      </w:r>
      <w:r>
        <w:rPr>
          <w:rFonts w:cs="Times New Roman"/>
        </w:rPr>
        <w:t xml:space="preserve"> (Pico-Alfonso et al 2006: 608)</w:t>
      </w:r>
      <w:r w:rsidRPr="008F41CA">
        <w:rPr>
          <w:rFonts w:cs="Times New Roman"/>
        </w:rPr>
        <w:t>, depression</w:t>
      </w:r>
      <w:r>
        <w:rPr>
          <w:rFonts w:cs="Times New Roman"/>
        </w:rPr>
        <w:t xml:space="preserve"> (Campbell</w:t>
      </w:r>
      <w:r w:rsidR="007979D6">
        <w:rPr>
          <w:rFonts w:cs="Times New Roman"/>
        </w:rPr>
        <w:t>,</w:t>
      </w:r>
      <w:r>
        <w:rPr>
          <w:rFonts w:cs="Times New Roman"/>
        </w:rPr>
        <w:t xml:space="preserve"> 2002:</w:t>
      </w:r>
      <w:r w:rsidR="007979D6">
        <w:rPr>
          <w:rFonts w:cs="Times New Roman"/>
        </w:rPr>
        <w:t xml:space="preserve"> </w:t>
      </w:r>
      <w:r>
        <w:rPr>
          <w:rFonts w:cs="Times New Roman"/>
        </w:rPr>
        <w:t>1333)</w:t>
      </w:r>
      <w:r w:rsidRPr="008F41CA">
        <w:rPr>
          <w:rFonts w:cs="Times New Roman"/>
        </w:rPr>
        <w:t xml:space="preserve">, </w:t>
      </w:r>
      <w:r w:rsidRPr="008F41CA">
        <w:rPr>
          <w:rFonts w:cs="Times New Roman"/>
          <w:kern w:val="24"/>
        </w:rPr>
        <w:t xml:space="preserve">fear of </w:t>
      </w:r>
      <w:r w:rsidRPr="008F41CA">
        <w:rPr>
          <w:rFonts w:cs="Times New Roman"/>
        </w:rPr>
        <w:t>having any sort of contact with an abusive partner</w:t>
      </w:r>
      <w:r>
        <w:rPr>
          <w:rFonts w:cs="Times New Roman"/>
        </w:rPr>
        <w:t xml:space="preserve"> (Crawford et al</w:t>
      </w:r>
      <w:r w:rsidR="007979D6">
        <w:rPr>
          <w:rFonts w:cs="Times New Roman"/>
        </w:rPr>
        <w:t>.,</w:t>
      </w:r>
      <w:r>
        <w:rPr>
          <w:rFonts w:cs="Times New Roman"/>
        </w:rPr>
        <w:t xml:space="preserve"> 2009: 78)</w:t>
      </w:r>
      <w:r w:rsidRPr="008F41CA">
        <w:rPr>
          <w:rFonts w:cs="Times New Roman"/>
        </w:rPr>
        <w:t>, and an impaired capacity for paid employment, which has arisen as a result of these mental and physical health issues</w:t>
      </w:r>
      <w:r>
        <w:rPr>
          <w:rFonts w:cs="Times New Roman"/>
        </w:rPr>
        <w:t xml:space="preserve"> (Braaf and Meyerling</w:t>
      </w:r>
      <w:r w:rsidR="007979D6">
        <w:rPr>
          <w:rFonts w:cs="Times New Roman"/>
        </w:rPr>
        <w:t>,</w:t>
      </w:r>
      <w:r>
        <w:rPr>
          <w:rFonts w:cs="Times New Roman"/>
        </w:rPr>
        <w:t xml:space="preserve"> 2011:20)</w:t>
      </w:r>
      <w:r w:rsidRPr="008F41CA">
        <w:rPr>
          <w:rFonts w:cs="Times New Roman"/>
        </w:rPr>
        <w:t xml:space="preserve">, or because victims are prevented from working whilst in the relationship and </w:t>
      </w:r>
      <w:r>
        <w:rPr>
          <w:rFonts w:cs="Times New Roman"/>
        </w:rPr>
        <w:t xml:space="preserve">thus </w:t>
      </w:r>
      <w:r w:rsidRPr="008F41CA">
        <w:rPr>
          <w:rFonts w:cs="Times New Roman"/>
        </w:rPr>
        <w:t>lack</w:t>
      </w:r>
      <w:r>
        <w:rPr>
          <w:rFonts w:cs="Times New Roman"/>
        </w:rPr>
        <w:t xml:space="preserve"> work</w:t>
      </w:r>
      <w:r w:rsidRPr="008F41CA">
        <w:rPr>
          <w:rFonts w:cs="Times New Roman"/>
        </w:rPr>
        <w:t xml:space="preserve"> experience</w:t>
      </w:r>
      <w:r>
        <w:rPr>
          <w:rFonts w:cs="Times New Roman"/>
        </w:rPr>
        <w:t xml:space="preserve"> (Braaf and Meyerling</w:t>
      </w:r>
      <w:r w:rsidR="007979D6">
        <w:rPr>
          <w:rFonts w:cs="Times New Roman"/>
        </w:rPr>
        <w:t>,</w:t>
      </w:r>
      <w:r>
        <w:rPr>
          <w:rFonts w:cs="Times New Roman"/>
        </w:rPr>
        <w:t xml:space="preserve"> 2011:</w:t>
      </w:r>
      <w:r w:rsidR="007979D6">
        <w:rPr>
          <w:rFonts w:cs="Times New Roman"/>
        </w:rPr>
        <w:t xml:space="preserve"> </w:t>
      </w:r>
      <w:r>
        <w:rPr>
          <w:rFonts w:cs="Times New Roman"/>
        </w:rPr>
        <w:t>11)</w:t>
      </w:r>
      <w:r w:rsidRPr="008F41CA">
        <w:rPr>
          <w:rFonts w:cs="Times New Roman"/>
        </w:rPr>
        <w:t>.</w:t>
      </w:r>
      <w:r w:rsidRPr="008F41CA">
        <w:rPr>
          <w:rFonts w:cs="Times New Roman"/>
          <w:kern w:val="24"/>
          <w:vertAlign w:val="superscript"/>
        </w:rPr>
        <w:t xml:space="preserve"> </w:t>
      </w:r>
    </w:p>
    <w:p w14:paraId="1BE449D0" w14:textId="77777777" w:rsidR="004B5400" w:rsidRDefault="004B5400" w:rsidP="00FE2CDF">
      <w:pPr>
        <w:spacing w:line="240" w:lineRule="auto"/>
        <w:jc w:val="both"/>
        <w:rPr>
          <w:rFonts w:cs="Times New Roman"/>
          <w:kern w:val="24"/>
          <w:vertAlign w:val="superscript"/>
        </w:rPr>
      </w:pPr>
    </w:p>
    <w:p w14:paraId="050F11E3" w14:textId="6F3810E8" w:rsidR="004B5400" w:rsidRDefault="004B5400" w:rsidP="000A04CF">
      <w:pPr>
        <w:spacing w:line="240" w:lineRule="auto"/>
        <w:ind w:firstLine="720"/>
        <w:jc w:val="both"/>
        <w:rPr>
          <w:rFonts w:cs="Times New Roman"/>
        </w:rPr>
      </w:pPr>
      <w:r w:rsidRPr="008F41CA">
        <w:rPr>
          <w:rFonts w:cs="Times New Roman"/>
          <w:kern w:val="24"/>
        </w:rPr>
        <w:t>These</w:t>
      </w:r>
      <w:r w:rsidRPr="008F41CA">
        <w:rPr>
          <w:rFonts w:cs="Times New Roman"/>
        </w:rPr>
        <w:t xml:space="preserve"> </w:t>
      </w:r>
      <w:r>
        <w:rPr>
          <w:rFonts w:cs="Times New Roman"/>
        </w:rPr>
        <w:t>accompaniments</w:t>
      </w:r>
      <w:r w:rsidRPr="008F41CA">
        <w:rPr>
          <w:rFonts w:cs="Times New Roman"/>
        </w:rPr>
        <w:t xml:space="preserve"> and effects of coercive control contribute to inequality and an unequal ability to be heard.</w:t>
      </w:r>
      <w:r>
        <w:rPr>
          <w:rFonts w:cs="Times New Roman"/>
        </w:rPr>
        <w:t xml:space="preserve"> As such, a victim does not enter ‘alternative’ dispute resolution processes as an equal partner (Field</w:t>
      </w:r>
      <w:r w:rsidR="007979D6">
        <w:rPr>
          <w:rFonts w:cs="Times New Roman"/>
        </w:rPr>
        <w:t>,</w:t>
      </w:r>
      <w:r>
        <w:rPr>
          <w:rFonts w:cs="Times New Roman"/>
        </w:rPr>
        <w:t xml:space="preserve"> 2010: 29). M</w:t>
      </w:r>
      <w:r w:rsidRPr="008F41CA">
        <w:rPr>
          <w:rFonts w:cs="Times New Roman"/>
        </w:rPr>
        <w:t xml:space="preserve">any </w:t>
      </w:r>
      <w:r>
        <w:rPr>
          <w:rFonts w:cs="Times New Roman"/>
        </w:rPr>
        <w:t>report</w:t>
      </w:r>
      <w:r w:rsidRPr="008F41CA">
        <w:rPr>
          <w:rFonts w:cs="Times New Roman"/>
        </w:rPr>
        <w:t xml:space="preserve"> the </w:t>
      </w:r>
      <w:r>
        <w:rPr>
          <w:rFonts w:cs="Times New Roman"/>
        </w:rPr>
        <w:t xml:space="preserve">negotiating </w:t>
      </w:r>
      <w:r w:rsidRPr="008F41CA">
        <w:rPr>
          <w:rFonts w:cs="Times New Roman"/>
        </w:rPr>
        <w:t xml:space="preserve">process </w:t>
      </w:r>
      <w:r>
        <w:rPr>
          <w:rFonts w:cs="Times New Roman"/>
        </w:rPr>
        <w:t xml:space="preserve">as </w:t>
      </w:r>
      <w:r w:rsidRPr="008F41CA">
        <w:rPr>
          <w:rFonts w:cs="Times New Roman"/>
        </w:rPr>
        <w:t>distress</w:t>
      </w:r>
      <w:r>
        <w:rPr>
          <w:rFonts w:cs="Times New Roman"/>
        </w:rPr>
        <w:t>ing (Trinder and Kellett</w:t>
      </w:r>
      <w:r w:rsidR="007979D6">
        <w:rPr>
          <w:rFonts w:cs="Times New Roman"/>
        </w:rPr>
        <w:t>,</w:t>
      </w:r>
      <w:r>
        <w:rPr>
          <w:rFonts w:cs="Times New Roman"/>
        </w:rPr>
        <w:t xml:space="preserve"> 2007: 329). </w:t>
      </w:r>
      <w:r w:rsidRPr="008F41CA">
        <w:rPr>
          <w:rFonts w:cs="Times New Roman"/>
        </w:rPr>
        <w:t>Moreover, conciliation is not successful at resolving ‘embedded conflict’ between the parents, such as anger, hurt and distrust, and thus parental conflict may remain</w:t>
      </w:r>
      <w:r>
        <w:rPr>
          <w:rFonts w:cs="Times New Roman"/>
        </w:rPr>
        <w:t xml:space="preserve"> (Trinder</w:t>
      </w:r>
      <w:r w:rsidR="007979D6">
        <w:rPr>
          <w:rFonts w:cs="Times New Roman"/>
        </w:rPr>
        <w:t>,</w:t>
      </w:r>
      <w:r>
        <w:rPr>
          <w:rFonts w:cs="Times New Roman"/>
        </w:rPr>
        <w:t xml:space="preserve"> 2008)</w:t>
      </w:r>
      <w:r w:rsidRPr="008F41CA">
        <w:rPr>
          <w:rFonts w:cs="Times New Roman"/>
        </w:rPr>
        <w:t>.</w:t>
      </w:r>
    </w:p>
    <w:p w14:paraId="58131EC9" w14:textId="77777777" w:rsidR="004B5400" w:rsidRPr="008F41CA" w:rsidRDefault="004B5400" w:rsidP="00FE2CDF">
      <w:pPr>
        <w:spacing w:line="240" w:lineRule="auto"/>
        <w:jc w:val="both"/>
        <w:rPr>
          <w:rFonts w:cs="Times New Roman"/>
          <w:highlight w:val="yellow"/>
        </w:rPr>
      </w:pPr>
    </w:p>
    <w:p w14:paraId="69269C1A" w14:textId="2511DECE" w:rsidR="004B5400" w:rsidRPr="005A5A47" w:rsidRDefault="005A5A47" w:rsidP="000A04CF">
      <w:pPr>
        <w:spacing w:line="240" w:lineRule="auto"/>
        <w:jc w:val="center"/>
        <w:rPr>
          <w:rFonts w:eastAsia="Cambria" w:cs="Times New Roman"/>
          <w:b/>
          <w:bCs/>
        </w:rPr>
      </w:pPr>
      <w:r w:rsidRPr="005A5A47">
        <w:rPr>
          <w:rFonts w:eastAsia="Cambria" w:cs="Times New Roman"/>
          <w:b/>
          <w:bCs/>
        </w:rPr>
        <w:t xml:space="preserve">3. </w:t>
      </w:r>
      <w:r>
        <w:rPr>
          <w:rFonts w:eastAsia="Cambria" w:cs="Times New Roman"/>
          <w:b/>
          <w:bCs/>
        </w:rPr>
        <w:t>V</w:t>
      </w:r>
      <w:r w:rsidRPr="005A5A47">
        <w:rPr>
          <w:rFonts w:eastAsia="Cambria" w:cs="Times New Roman"/>
          <w:b/>
          <w:bCs/>
        </w:rPr>
        <w:t xml:space="preserve">exatious litigation </w:t>
      </w:r>
    </w:p>
    <w:p w14:paraId="1C0E06EA" w14:textId="77777777" w:rsidR="000A04CF" w:rsidRDefault="000A04CF" w:rsidP="00FE2CDF">
      <w:pPr>
        <w:spacing w:line="240" w:lineRule="auto"/>
        <w:jc w:val="both"/>
        <w:rPr>
          <w:rFonts w:eastAsia="Cambria" w:cs="Times New Roman"/>
          <w:bCs/>
        </w:rPr>
      </w:pPr>
    </w:p>
    <w:p w14:paraId="093F7CAC" w14:textId="7F36B7B6" w:rsidR="004B5400" w:rsidRPr="008F41CA" w:rsidRDefault="004B5400" w:rsidP="00FE2CDF">
      <w:pPr>
        <w:spacing w:line="240" w:lineRule="auto"/>
        <w:jc w:val="both"/>
        <w:rPr>
          <w:rFonts w:cs="Times New Roman"/>
        </w:rPr>
      </w:pPr>
      <w:r w:rsidRPr="008F41CA">
        <w:rPr>
          <w:rFonts w:eastAsia="Cambria" w:cs="Times New Roman"/>
          <w:bCs/>
        </w:rPr>
        <w:t>Excessive litigation can facilitate</w:t>
      </w:r>
      <w:r w:rsidRPr="008F41CA">
        <w:rPr>
          <w:rFonts w:cs="Times New Roman"/>
        </w:rPr>
        <w:t xml:space="preserve"> </w:t>
      </w:r>
      <w:r>
        <w:rPr>
          <w:rFonts w:cs="Times New Roman"/>
        </w:rPr>
        <w:t xml:space="preserve">and/or reflect </w:t>
      </w:r>
      <w:r w:rsidRPr="008F41CA">
        <w:rPr>
          <w:rFonts w:cs="Times New Roman"/>
        </w:rPr>
        <w:t>post separation coercive control by abusive ex-partners</w:t>
      </w:r>
      <w:r>
        <w:rPr>
          <w:rFonts w:cs="Times New Roman"/>
        </w:rPr>
        <w:t xml:space="preserve"> </w:t>
      </w:r>
      <w:r w:rsidR="003B1BC0">
        <w:rPr>
          <w:rFonts w:cs="Times New Roman"/>
        </w:rPr>
        <w:t>(</w:t>
      </w:r>
      <w:r>
        <w:rPr>
          <w:rFonts w:cs="Times New Roman"/>
        </w:rPr>
        <w:t>Coy et al</w:t>
      </w:r>
      <w:r w:rsidR="007979D6">
        <w:rPr>
          <w:rFonts w:cs="Times New Roman"/>
        </w:rPr>
        <w:t>.,</w:t>
      </w:r>
      <w:r>
        <w:rPr>
          <w:rFonts w:cs="Times New Roman"/>
        </w:rPr>
        <w:t xml:space="preserve"> 2012; Rendell et al</w:t>
      </w:r>
      <w:r w:rsidR="007979D6">
        <w:rPr>
          <w:rFonts w:cs="Times New Roman"/>
        </w:rPr>
        <w:t>.,</w:t>
      </w:r>
      <w:r>
        <w:rPr>
          <w:rFonts w:cs="Times New Roman"/>
        </w:rPr>
        <w:t xml:space="preserve"> 2000) with m</w:t>
      </w:r>
      <w:r w:rsidRPr="008F41CA">
        <w:rPr>
          <w:rFonts w:cs="Times New Roman"/>
        </w:rPr>
        <w:t>ultiple applications made to court</w:t>
      </w:r>
      <w:r>
        <w:rPr>
          <w:rFonts w:cs="Times New Roman"/>
        </w:rPr>
        <w:t>s</w:t>
      </w:r>
      <w:r w:rsidRPr="008F41CA">
        <w:rPr>
          <w:rFonts w:cs="Times New Roman"/>
        </w:rPr>
        <w:t xml:space="preserve"> on trivial matters</w:t>
      </w:r>
      <w:r>
        <w:rPr>
          <w:rFonts w:cs="Times New Roman"/>
        </w:rPr>
        <w:t xml:space="preserve"> (Paxton</w:t>
      </w:r>
      <w:r w:rsidR="007979D6">
        <w:rPr>
          <w:rFonts w:cs="Times New Roman"/>
        </w:rPr>
        <w:t>,</w:t>
      </w:r>
      <w:r>
        <w:rPr>
          <w:rFonts w:cs="Times New Roman"/>
        </w:rPr>
        <w:t xml:space="preserve"> 2003)</w:t>
      </w:r>
      <w:r w:rsidRPr="008F41CA">
        <w:rPr>
          <w:rFonts w:cs="Times New Roman"/>
        </w:rPr>
        <w:t xml:space="preserve">. </w:t>
      </w:r>
      <w:r w:rsidRPr="008F41CA">
        <w:rPr>
          <w:rFonts w:cs="Times New Roman"/>
          <w:color w:val="000000" w:themeColor="text1"/>
        </w:rPr>
        <w:t xml:space="preserve">Indeed, family law litigation has the highest rate of vexatious litigants </w:t>
      </w:r>
      <w:r>
        <w:rPr>
          <w:rFonts w:cs="Times New Roman"/>
          <w:color w:val="000000" w:themeColor="text1"/>
        </w:rPr>
        <w:t>of any</w:t>
      </w:r>
      <w:r w:rsidRPr="008F41CA">
        <w:rPr>
          <w:rFonts w:cs="Times New Roman"/>
          <w:color w:val="000000" w:themeColor="text1"/>
        </w:rPr>
        <w:t xml:space="preserve"> jurisdiction in Australia</w:t>
      </w:r>
      <w:r>
        <w:rPr>
          <w:rFonts w:cs="Times New Roman"/>
          <w:color w:val="000000" w:themeColor="text1"/>
        </w:rPr>
        <w:t xml:space="preserve"> (Lester and Smith</w:t>
      </w:r>
      <w:r w:rsidR="007979D6">
        <w:rPr>
          <w:rFonts w:cs="Times New Roman"/>
          <w:color w:val="000000" w:themeColor="text1"/>
        </w:rPr>
        <w:t>,</w:t>
      </w:r>
      <w:r>
        <w:rPr>
          <w:rFonts w:cs="Times New Roman"/>
          <w:color w:val="000000" w:themeColor="text1"/>
        </w:rPr>
        <w:t xml:space="preserve"> 2006)</w:t>
      </w:r>
      <w:r w:rsidRPr="008F41CA">
        <w:rPr>
          <w:rFonts w:cs="Times New Roman"/>
          <w:color w:val="000000" w:themeColor="text1"/>
        </w:rPr>
        <w:t xml:space="preserve">, with three times </w:t>
      </w:r>
      <w:r>
        <w:rPr>
          <w:rFonts w:cs="Times New Roman"/>
          <w:color w:val="000000" w:themeColor="text1"/>
        </w:rPr>
        <w:t>as many</w:t>
      </w:r>
      <w:r w:rsidRPr="008F41CA">
        <w:rPr>
          <w:rFonts w:cs="Times New Roman"/>
          <w:color w:val="000000" w:themeColor="text1"/>
        </w:rPr>
        <w:t xml:space="preserve"> vexatious litigants </w:t>
      </w:r>
      <w:r>
        <w:rPr>
          <w:rFonts w:cs="Times New Roman"/>
          <w:color w:val="000000" w:themeColor="text1"/>
        </w:rPr>
        <w:t>as</w:t>
      </w:r>
      <w:r w:rsidRPr="008F41CA">
        <w:rPr>
          <w:rFonts w:cs="Times New Roman"/>
          <w:color w:val="000000" w:themeColor="text1"/>
        </w:rPr>
        <w:t xml:space="preserve"> any other superior court combined</w:t>
      </w:r>
      <w:r>
        <w:rPr>
          <w:rFonts w:cs="Times New Roman"/>
          <w:color w:val="000000" w:themeColor="text1"/>
        </w:rPr>
        <w:t xml:space="preserve"> (Hosiosky</w:t>
      </w:r>
      <w:r w:rsidR="007979D6">
        <w:rPr>
          <w:rFonts w:cs="Times New Roman"/>
          <w:color w:val="000000" w:themeColor="text1"/>
        </w:rPr>
        <w:t>,</w:t>
      </w:r>
      <w:r>
        <w:rPr>
          <w:rFonts w:cs="Times New Roman"/>
          <w:color w:val="000000" w:themeColor="text1"/>
        </w:rPr>
        <w:t xml:space="preserve"> 2014)</w:t>
      </w:r>
      <w:r w:rsidRPr="008F41CA">
        <w:rPr>
          <w:rFonts w:cs="Times New Roman"/>
          <w:color w:val="000000" w:themeColor="text1"/>
        </w:rPr>
        <w:t>.</w:t>
      </w:r>
      <w:r>
        <w:rPr>
          <w:rFonts w:cs="Times New Roman"/>
          <w:color w:val="000000" w:themeColor="text1"/>
        </w:rPr>
        <w:t xml:space="preserve"> </w:t>
      </w:r>
    </w:p>
    <w:p w14:paraId="639E8330" w14:textId="77777777" w:rsidR="004B5400" w:rsidRPr="008F41CA" w:rsidRDefault="004B5400" w:rsidP="00FC5E56">
      <w:pPr>
        <w:spacing w:line="240" w:lineRule="auto"/>
        <w:jc w:val="both"/>
        <w:rPr>
          <w:rFonts w:cs="Times New Roman"/>
        </w:rPr>
      </w:pPr>
    </w:p>
    <w:p w14:paraId="531BA4D3" w14:textId="0F38CD47" w:rsidR="004B5400" w:rsidRDefault="004B5400" w:rsidP="000A04CF">
      <w:pPr>
        <w:spacing w:line="240" w:lineRule="auto"/>
        <w:ind w:firstLine="720"/>
        <w:jc w:val="both"/>
        <w:rPr>
          <w:rFonts w:cs="Times New Roman"/>
        </w:rPr>
      </w:pPr>
      <w:r>
        <w:rPr>
          <w:rFonts w:cs="Times New Roman"/>
        </w:rPr>
        <w:t>I</w:t>
      </w:r>
      <w:r w:rsidRPr="008F41CA">
        <w:rPr>
          <w:rFonts w:cs="Times New Roman"/>
        </w:rPr>
        <w:t xml:space="preserve">t has been </w:t>
      </w:r>
      <w:r>
        <w:rPr>
          <w:rFonts w:cs="Times New Roman"/>
        </w:rPr>
        <w:t>asserted</w:t>
      </w:r>
      <w:r w:rsidRPr="008F41CA">
        <w:rPr>
          <w:rFonts w:cs="Times New Roman"/>
        </w:rPr>
        <w:t xml:space="preserve"> that ‘the idea that the litigation system corrects power imbalances is…farcical – if anything it exacerbates it… victims of violence…may be re-victimised in that process’</w:t>
      </w:r>
      <w:r>
        <w:rPr>
          <w:rFonts w:cs="Times New Roman"/>
        </w:rPr>
        <w:t xml:space="preserve"> (Easteal et al</w:t>
      </w:r>
      <w:r w:rsidR="007979D6">
        <w:rPr>
          <w:rFonts w:cs="Times New Roman"/>
        </w:rPr>
        <w:t>.,</w:t>
      </w:r>
      <w:r>
        <w:rPr>
          <w:rFonts w:cs="Times New Roman"/>
        </w:rPr>
        <w:t xml:space="preserve"> 2015: 22). T</w:t>
      </w:r>
      <w:r w:rsidRPr="008F41CA">
        <w:rPr>
          <w:rFonts w:cs="Times New Roman"/>
        </w:rPr>
        <w:t xml:space="preserve">he </w:t>
      </w:r>
      <w:r>
        <w:rPr>
          <w:rFonts w:cs="Times New Roman"/>
        </w:rPr>
        <w:t>adversarial</w:t>
      </w:r>
      <w:r w:rsidRPr="008F41CA">
        <w:rPr>
          <w:rFonts w:cs="Times New Roman"/>
        </w:rPr>
        <w:t xml:space="preserve"> nature of litigation</w:t>
      </w:r>
      <w:r>
        <w:rPr>
          <w:rFonts w:cs="Times New Roman"/>
        </w:rPr>
        <w:t xml:space="preserve">, for example, </w:t>
      </w:r>
      <w:r w:rsidRPr="008F41CA">
        <w:rPr>
          <w:rFonts w:cs="Times New Roman"/>
        </w:rPr>
        <w:t xml:space="preserve">may </w:t>
      </w:r>
      <w:r>
        <w:rPr>
          <w:rFonts w:cs="Times New Roman"/>
        </w:rPr>
        <w:t>serve as a catalyst</w:t>
      </w:r>
      <w:r w:rsidRPr="008F41CA">
        <w:rPr>
          <w:rFonts w:cs="Times New Roman"/>
        </w:rPr>
        <w:t xml:space="preserve"> </w:t>
      </w:r>
      <w:r>
        <w:rPr>
          <w:rFonts w:cs="Times New Roman"/>
        </w:rPr>
        <w:t xml:space="preserve">for further </w:t>
      </w:r>
      <w:r w:rsidR="00980CF3" w:rsidRPr="00980CF3">
        <w:rPr>
          <w:rFonts w:cs="Times New Roman"/>
        </w:rPr>
        <w:t>violent</w:t>
      </w:r>
      <w:r>
        <w:rPr>
          <w:rFonts w:cs="Times New Roman"/>
        </w:rPr>
        <w:t xml:space="preserve"> behaviour by an abusive ex-partner through (an increased number of) (Robertson and Giddings</w:t>
      </w:r>
      <w:r w:rsidR="007979D6">
        <w:rPr>
          <w:rFonts w:cs="Times New Roman"/>
        </w:rPr>
        <w:t>,</w:t>
      </w:r>
      <w:r>
        <w:rPr>
          <w:rFonts w:cs="Times New Roman"/>
        </w:rPr>
        <w:t xml:space="preserve"> 2001) </w:t>
      </w:r>
      <w:r w:rsidRPr="008F41CA">
        <w:rPr>
          <w:rFonts w:cs="Times New Roman"/>
        </w:rPr>
        <w:t xml:space="preserve">self-represented litigants </w:t>
      </w:r>
      <w:r>
        <w:rPr>
          <w:rFonts w:cs="Times New Roman"/>
        </w:rPr>
        <w:t>c</w:t>
      </w:r>
      <w:r w:rsidRPr="008F41CA">
        <w:rPr>
          <w:rFonts w:cs="Times New Roman"/>
        </w:rPr>
        <w:t>ross-examin</w:t>
      </w:r>
      <w:r>
        <w:rPr>
          <w:rFonts w:cs="Times New Roman"/>
        </w:rPr>
        <w:t>ing</w:t>
      </w:r>
      <w:r w:rsidRPr="008F41CA">
        <w:rPr>
          <w:rFonts w:cs="Times New Roman"/>
        </w:rPr>
        <w:t xml:space="preserve"> the</w:t>
      </w:r>
      <w:r>
        <w:rPr>
          <w:rFonts w:cs="Times New Roman"/>
        </w:rPr>
        <w:t>ir</w:t>
      </w:r>
      <w:r w:rsidRPr="008F41CA">
        <w:rPr>
          <w:rFonts w:cs="Times New Roman"/>
        </w:rPr>
        <w:t xml:space="preserve"> victim</w:t>
      </w:r>
      <w:r>
        <w:rPr>
          <w:rFonts w:cs="Times New Roman"/>
        </w:rPr>
        <w:t xml:space="preserve"> (Laing</w:t>
      </w:r>
      <w:r w:rsidR="007979D6">
        <w:rPr>
          <w:rFonts w:cs="Times New Roman"/>
        </w:rPr>
        <w:t>,</w:t>
      </w:r>
      <w:r>
        <w:rPr>
          <w:rFonts w:cs="Times New Roman"/>
        </w:rPr>
        <w:t xml:space="preserve"> 2010: 47)</w:t>
      </w:r>
      <w:r w:rsidRPr="008F41CA">
        <w:rPr>
          <w:rFonts w:cs="Times New Roman"/>
        </w:rPr>
        <w:t xml:space="preserve">. </w:t>
      </w:r>
    </w:p>
    <w:p w14:paraId="612BF135" w14:textId="77777777" w:rsidR="000A04CF" w:rsidRPr="008F41CA" w:rsidRDefault="000A04CF" w:rsidP="000A04CF">
      <w:pPr>
        <w:spacing w:line="240" w:lineRule="auto"/>
        <w:ind w:firstLine="720"/>
        <w:jc w:val="both"/>
        <w:rPr>
          <w:rFonts w:cs="Times New Roman"/>
        </w:rPr>
      </w:pPr>
    </w:p>
    <w:p w14:paraId="668F0B11" w14:textId="4D542695" w:rsidR="004B5400" w:rsidRPr="008F41CA" w:rsidRDefault="00021FF5" w:rsidP="00FC5E56">
      <w:pPr>
        <w:pStyle w:val="BlockText"/>
        <w:spacing w:after="0" w:line="240" w:lineRule="auto"/>
        <w:jc w:val="both"/>
      </w:pPr>
      <w:r>
        <w:t>‘</w:t>
      </w:r>
      <w:r w:rsidR="004B5400" w:rsidRPr="008F41CA">
        <w:t xml:space="preserve">He asked questions I was forced to answer… Having your rapist stand only meters from you asking intimate </w:t>
      </w:r>
      <w:r w:rsidR="004B5400" w:rsidRPr="008F41CA">
        <w:lastRenderedPageBreak/>
        <w:t>and personal questions about your relationships, parenting, social media accounts, every aspect of your personal life - is in</w:t>
      </w:r>
      <w:r w:rsidR="004B5400">
        <w:t>vasive, disempowering and cruel</w:t>
      </w:r>
      <w:r>
        <w:t>’</w:t>
      </w:r>
      <w:r w:rsidR="004B5400">
        <w:t xml:space="preserve"> (Lynch et al</w:t>
      </w:r>
      <w:r w:rsidR="007979D6">
        <w:t>.,</w:t>
      </w:r>
      <w:r w:rsidR="004B5400">
        <w:t xml:space="preserve"> 2017: 153)</w:t>
      </w:r>
      <w:r w:rsidR="004B5400" w:rsidRPr="008F41CA">
        <w:t>.</w:t>
      </w:r>
      <w:r w:rsidR="004B5400">
        <w:t xml:space="preserve"> </w:t>
      </w:r>
    </w:p>
    <w:p w14:paraId="481BAF73" w14:textId="77777777" w:rsidR="004B5400" w:rsidRPr="000E0442" w:rsidRDefault="004B5400" w:rsidP="00FC5E56">
      <w:pPr>
        <w:spacing w:line="240" w:lineRule="auto"/>
        <w:jc w:val="both"/>
        <w:rPr>
          <w:rFonts w:cs="Times New Roman"/>
          <w:kern w:val="24"/>
        </w:rPr>
      </w:pPr>
    </w:p>
    <w:p w14:paraId="23905CCF" w14:textId="17327418" w:rsidR="004B5400" w:rsidRPr="006E4307" w:rsidRDefault="004B5400" w:rsidP="008367AD">
      <w:pPr>
        <w:widowControl w:val="0"/>
        <w:autoSpaceDE w:val="0"/>
        <w:autoSpaceDN w:val="0"/>
        <w:adjustRightInd w:val="0"/>
        <w:spacing w:after="240" w:line="300" w:lineRule="atLeast"/>
        <w:rPr>
          <w:rFonts w:cs="Times New Roman"/>
          <w:color w:val="000000"/>
        </w:rPr>
      </w:pPr>
      <w:r w:rsidRPr="008367AD">
        <w:rPr>
          <w:rFonts w:cs="Times New Roman"/>
          <w:kern w:val="24"/>
        </w:rPr>
        <w:t xml:space="preserve">Fitch and Easteal </w:t>
      </w:r>
      <w:r>
        <w:rPr>
          <w:rFonts w:cs="Times New Roman"/>
          <w:kern w:val="24"/>
        </w:rPr>
        <w:t xml:space="preserve">(2017) </w:t>
      </w:r>
      <w:r w:rsidRPr="008367AD">
        <w:rPr>
          <w:rFonts w:cs="Times New Roman"/>
          <w:kern w:val="24"/>
        </w:rPr>
        <w:t xml:space="preserve">recently </w:t>
      </w:r>
      <w:r>
        <w:rPr>
          <w:rFonts w:cs="Times New Roman"/>
          <w:kern w:val="24"/>
        </w:rPr>
        <w:t>examin</w:t>
      </w:r>
      <w:r w:rsidRPr="008367AD">
        <w:rPr>
          <w:rFonts w:cs="Times New Roman"/>
          <w:kern w:val="24"/>
        </w:rPr>
        <w:t xml:space="preserve">ed the </w:t>
      </w:r>
      <w:r>
        <w:rPr>
          <w:rFonts w:cs="Times New Roman"/>
          <w:kern w:val="24"/>
        </w:rPr>
        <w:t xml:space="preserve">multitude of </w:t>
      </w:r>
      <w:r w:rsidRPr="008367AD">
        <w:rPr>
          <w:rFonts w:cs="Times New Roman"/>
          <w:kern w:val="24"/>
        </w:rPr>
        <w:t xml:space="preserve">linkages between coercive control and vexatious litigation, concluding that </w:t>
      </w:r>
      <w:r>
        <w:rPr>
          <w:rFonts w:cs="Times New Roman"/>
          <w:color w:val="000000"/>
        </w:rPr>
        <w:t xml:space="preserve">both the </w:t>
      </w:r>
      <w:r w:rsidRPr="008367AD">
        <w:rPr>
          <w:rFonts w:cs="Times New Roman"/>
          <w:color w:val="000000"/>
        </w:rPr>
        <w:t xml:space="preserve">current legislative response </w:t>
      </w:r>
      <w:r>
        <w:rPr>
          <w:rFonts w:cs="Times New Roman"/>
          <w:color w:val="000000"/>
        </w:rPr>
        <w:t>and</w:t>
      </w:r>
      <w:r w:rsidRPr="008367AD">
        <w:rPr>
          <w:rFonts w:cs="Times New Roman"/>
          <w:color w:val="000000"/>
        </w:rPr>
        <w:t xml:space="preserve"> existing family law practitioners’ tools and methods to manage and/or prevent vexatious litigation </w:t>
      </w:r>
      <w:r>
        <w:rPr>
          <w:rFonts w:cs="Times New Roman"/>
          <w:color w:val="000000"/>
        </w:rPr>
        <w:t>are inadequate.</w:t>
      </w:r>
      <w:r w:rsidRPr="008367AD">
        <w:rPr>
          <w:rFonts w:cs="Times New Roman"/>
          <w:color w:val="000000"/>
        </w:rPr>
        <w:t xml:space="preserve"> </w:t>
      </w:r>
      <w:r>
        <w:rPr>
          <w:rFonts w:cs="Times New Roman"/>
          <w:kern w:val="24"/>
        </w:rPr>
        <w:t>Fortunately, even more recently, the Federal government has recogni</w:t>
      </w:r>
      <w:r w:rsidR="000A04CF">
        <w:rPr>
          <w:rFonts w:cs="Times New Roman"/>
          <w:kern w:val="24"/>
        </w:rPr>
        <w:t>z</w:t>
      </w:r>
      <w:r>
        <w:rPr>
          <w:rFonts w:cs="Times New Roman"/>
          <w:kern w:val="24"/>
        </w:rPr>
        <w:t>ed</w:t>
      </w:r>
      <w:r w:rsidRPr="006E4307">
        <w:rPr>
          <w:rFonts w:cs="Times New Roman"/>
          <w:color w:val="000000"/>
        </w:rPr>
        <w:t xml:space="preserve"> </w:t>
      </w:r>
      <w:r>
        <w:rPr>
          <w:rFonts w:cs="Times New Roman"/>
          <w:color w:val="000000"/>
        </w:rPr>
        <w:t>the need for</w:t>
      </w:r>
      <w:r w:rsidRPr="006E4307">
        <w:rPr>
          <w:rFonts w:cs="Times New Roman"/>
          <w:color w:val="000000"/>
        </w:rPr>
        <w:t xml:space="preserve"> better protect</w:t>
      </w:r>
      <w:r>
        <w:rPr>
          <w:rFonts w:cs="Times New Roman"/>
          <w:color w:val="000000"/>
        </w:rPr>
        <w:t>ion of</w:t>
      </w:r>
      <w:r w:rsidRPr="006E4307">
        <w:rPr>
          <w:rFonts w:cs="Times New Roman"/>
          <w:color w:val="000000"/>
        </w:rPr>
        <w:t xml:space="preserve"> victim witnesses from direct cross-examination where there are allegations of family violence</w:t>
      </w:r>
      <w:r>
        <w:rPr>
          <w:rFonts w:cs="Times New Roman"/>
          <w:color w:val="000000"/>
        </w:rPr>
        <w:t>: see the</w:t>
      </w:r>
      <w:r w:rsidRPr="006E4307">
        <w:rPr>
          <w:rFonts w:cs="Times New Roman"/>
          <w:color w:val="000000"/>
        </w:rPr>
        <w:t xml:space="preserve"> Exposure Draft </w:t>
      </w:r>
      <w:r>
        <w:rPr>
          <w:rFonts w:cs="Times New Roman"/>
          <w:color w:val="000000"/>
        </w:rPr>
        <w:t xml:space="preserve">for the </w:t>
      </w:r>
      <w:r w:rsidRPr="006E4307">
        <w:rPr>
          <w:rFonts w:cs="Times New Roman"/>
          <w:color w:val="000000"/>
        </w:rPr>
        <w:t>Family Law Amendment (</w:t>
      </w:r>
      <w:r w:rsidRPr="00BE67C6">
        <w:rPr>
          <w:rFonts w:cs="Times New Roman"/>
          <w:i/>
          <w:color w:val="000000"/>
        </w:rPr>
        <w:t>Family Violence and Cross-examination of Parties</w:t>
      </w:r>
      <w:r>
        <w:rPr>
          <w:rFonts w:cs="Times New Roman"/>
          <w:color w:val="000000"/>
        </w:rPr>
        <w:t xml:space="preserve">) </w:t>
      </w:r>
      <w:r w:rsidRPr="00BE67C6">
        <w:rPr>
          <w:rFonts w:cs="Times New Roman"/>
          <w:i/>
          <w:color w:val="000000"/>
        </w:rPr>
        <w:t>Bill</w:t>
      </w:r>
      <w:r>
        <w:rPr>
          <w:rFonts w:cs="Times New Roman"/>
          <w:color w:val="000000"/>
        </w:rPr>
        <w:t xml:space="preserve"> 2017</w:t>
      </w:r>
      <w:r w:rsidRPr="006E4307">
        <w:rPr>
          <w:rFonts w:cs="Times New Roman"/>
          <w:color w:val="000000"/>
        </w:rPr>
        <w:t>.</w:t>
      </w:r>
      <w:r>
        <w:rPr>
          <w:rStyle w:val="EndnoteReference"/>
          <w:rFonts w:cs="Times New Roman"/>
          <w:color w:val="000000"/>
        </w:rPr>
        <w:endnoteReference w:id="12"/>
      </w:r>
      <w:r w:rsidRPr="006E4307">
        <w:rPr>
          <w:rFonts w:cs="Times New Roman"/>
          <w:color w:val="000000"/>
        </w:rPr>
        <w:t xml:space="preserve"> </w:t>
      </w:r>
    </w:p>
    <w:p w14:paraId="3E6119B7" w14:textId="36352965" w:rsidR="004B5400" w:rsidRPr="000E0442" w:rsidRDefault="004B5400" w:rsidP="00DE0AC1">
      <w:pPr>
        <w:spacing w:line="240" w:lineRule="auto"/>
        <w:jc w:val="both"/>
        <w:rPr>
          <w:rFonts w:cs="Times New Roman"/>
          <w:kern w:val="24"/>
        </w:rPr>
      </w:pPr>
    </w:p>
    <w:p w14:paraId="3478BA4B" w14:textId="79307DB0" w:rsidR="004B5400" w:rsidRPr="005A5A47" w:rsidRDefault="005A5A47" w:rsidP="00D13488">
      <w:pPr>
        <w:spacing w:line="240" w:lineRule="auto"/>
        <w:jc w:val="center"/>
        <w:rPr>
          <w:rFonts w:cs="Times New Roman"/>
          <w:iCs/>
          <w:lang w:val="en-AU"/>
        </w:rPr>
      </w:pPr>
      <w:r w:rsidRPr="005A5A47">
        <w:rPr>
          <w:rFonts w:cs="Times New Roman"/>
          <w:iCs/>
          <w:lang w:val="en-AU"/>
        </w:rPr>
        <w:t>IV. ISSUES CONCERNING THE FAMILY COURTS’ RECOGNITION OF DOMESTIC VIOLENCE</w:t>
      </w:r>
    </w:p>
    <w:p w14:paraId="4014D238" w14:textId="75C5D253" w:rsidR="004B5400" w:rsidRDefault="004B5400" w:rsidP="00DE0AC1">
      <w:pPr>
        <w:widowControl w:val="0"/>
        <w:autoSpaceDE w:val="0"/>
        <w:autoSpaceDN w:val="0"/>
        <w:adjustRightInd w:val="0"/>
        <w:spacing w:line="240" w:lineRule="auto"/>
        <w:jc w:val="both"/>
        <w:rPr>
          <w:rFonts w:cs="Times New Roman"/>
          <w:color w:val="000000"/>
        </w:rPr>
      </w:pPr>
    </w:p>
    <w:p w14:paraId="4B2C9135" w14:textId="0A571127" w:rsidR="004B5400" w:rsidRPr="000E0442" w:rsidRDefault="004B5400" w:rsidP="00DE0AC1">
      <w:pPr>
        <w:widowControl w:val="0"/>
        <w:autoSpaceDE w:val="0"/>
        <w:autoSpaceDN w:val="0"/>
        <w:adjustRightInd w:val="0"/>
        <w:spacing w:line="240" w:lineRule="auto"/>
        <w:jc w:val="both"/>
        <w:rPr>
          <w:rFonts w:cs="Times New Roman"/>
          <w:color w:val="000000"/>
        </w:rPr>
      </w:pPr>
      <w:r>
        <w:rPr>
          <w:rFonts w:cs="Times New Roman"/>
          <w:color w:val="000000"/>
        </w:rPr>
        <w:t>The challenges in obtaining appropriate financial relief are further exacerbated by the difficulty of proving family violence in court proceedings.  U</w:t>
      </w:r>
      <w:r w:rsidRPr="00C805D1">
        <w:rPr>
          <w:rFonts w:cs="Times New Roman"/>
          <w:color w:val="000000"/>
        </w:rPr>
        <w:t xml:space="preserve">biquitous legal concepts and </w:t>
      </w:r>
      <w:r>
        <w:rPr>
          <w:rFonts w:cs="Times New Roman"/>
          <w:color w:val="000000"/>
        </w:rPr>
        <w:t>phrases, such as ‘“reasonable”, “just”, “necessary” [and] “fair”’ (Carline and Easteal</w:t>
      </w:r>
      <w:r w:rsidR="007979D6">
        <w:rPr>
          <w:rFonts w:cs="Times New Roman"/>
          <w:color w:val="000000"/>
        </w:rPr>
        <w:t>,</w:t>
      </w:r>
      <w:r>
        <w:rPr>
          <w:rFonts w:cs="Times New Roman"/>
          <w:color w:val="000000"/>
        </w:rPr>
        <w:t xml:space="preserve"> 2014: 50) </w:t>
      </w:r>
      <w:r w:rsidRPr="00C805D1">
        <w:rPr>
          <w:rFonts w:cs="Times New Roman"/>
          <w:color w:val="000000"/>
        </w:rPr>
        <w:t xml:space="preserve">that </w:t>
      </w:r>
      <w:r>
        <w:rPr>
          <w:rFonts w:cs="Times New Roman"/>
          <w:color w:val="000000"/>
        </w:rPr>
        <w:t xml:space="preserve">appear in these contexts and which may </w:t>
      </w:r>
      <w:r w:rsidRPr="009210C6">
        <w:rPr>
          <w:rFonts w:cs="Times New Roman"/>
          <w:color w:val="000000"/>
        </w:rPr>
        <w:t>seem n</w:t>
      </w:r>
      <w:r>
        <w:rPr>
          <w:rFonts w:cs="Times New Roman"/>
          <w:color w:val="000000"/>
        </w:rPr>
        <w:t>eutral are in fact</w:t>
      </w:r>
      <w:r w:rsidRPr="00C805D1">
        <w:rPr>
          <w:rFonts w:cs="Times New Roman"/>
          <w:color w:val="000000"/>
        </w:rPr>
        <w:t xml:space="preserve"> embedded in layers </w:t>
      </w:r>
      <w:r>
        <w:rPr>
          <w:rFonts w:cs="Times New Roman"/>
          <w:color w:val="000000"/>
        </w:rPr>
        <w:t xml:space="preserve">of male-dominated stratigraphy. Where such concepts/phrases are applied in the exercise of discretion, the potential for bias to be masked increases. Therefore, </w:t>
      </w:r>
      <w:r>
        <w:rPr>
          <w:rFonts w:cs="Times New Roman"/>
          <w:iCs/>
          <w:lang w:val="en-AU"/>
        </w:rPr>
        <w:t>it is not difficult to identify ways in which legal gatekeepers’ (unconscious and hence invisible) values and beliefs have improperly affected how family violence is treated in family law processes.</w:t>
      </w:r>
    </w:p>
    <w:p w14:paraId="3337DD6F" w14:textId="77777777" w:rsidR="004B5400" w:rsidRDefault="004B5400" w:rsidP="00DE0AC1">
      <w:pPr>
        <w:spacing w:line="240" w:lineRule="auto"/>
        <w:jc w:val="both"/>
        <w:rPr>
          <w:rFonts w:cs="Times New Roman"/>
          <w:iCs/>
          <w:lang w:val="en-AU"/>
        </w:rPr>
      </w:pPr>
    </w:p>
    <w:p w14:paraId="7B284BD4" w14:textId="7455D85E" w:rsidR="004B5400" w:rsidRPr="008F41CA" w:rsidRDefault="004B5400" w:rsidP="00D13488">
      <w:pPr>
        <w:spacing w:line="240" w:lineRule="auto"/>
        <w:ind w:firstLine="720"/>
        <w:jc w:val="both"/>
        <w:rPr>
          <w:rFonts w:cs="Times New Roman"/>
        </w:rPr>
      </w:pPr>
      <w:r>
        <w:rPr>
          <w:rFonts w:cs="Times New Roman"/>
        </w:rPr>
        <w:t xml:space="preserve">A good example is the application of the standard of proof for findings of violence.  </w:t>
      </w:r>
      <w:r w:rsidRPr="008F41CA">
        <w:rPr>
          <w:rFonts w:cs="Times New Roman"/>
        </w:rPr>
        <w:t xml:space="preserve">The evidentiary standard in family law matters </w:t>
      </w:r>
      <w:r>
        <w:rPr>
          <w:rFonts w:cs="Times New Roman"/>
        </w:rPr>
        <w:t>is</w:t>
      </w:r>
      <w:r w:rsidRPr="008F41CA">
        <w:rPr>
          <w:rFonts w:cs="Times New Roman"/>
        </w:rPr>
        <w:t xml:space="preserve"> the civil standard of the balance of probabilities, not the criminal standard of beyond reasonable doubt. That is, ‘when the law requires the proof of any fact, the tribunal must feel an actual persuasion of its occurrence or existence before it can be found’.</w:t>
      </w:r>
      <w:r w:rsidRPr="00F82E9E">
        <w:rPr>
          <w:rFonts w:cs="Times New Roman"/>
          <w:vertAlign w:val="superscript"/>
        </w:rPr>
        <w:t>2</w:t>
      </w:r>
      <w:r>
        <w:rPr>
          <w:rFonts w:cs="Times New Roman"/>
        </w:rPr>
        <w:t xml:space="preserve"> The Family Court has held that when deciding a parenting dispute and whether contact should occur with an alleged perpetrator of violence, the f</w:t>
      </w:r>
      <w:r w:rsidRPr="008F41CA">
        <w:rPr>
          <w:rFonts w:cs="Times New Roman"/>
        </w:rPr>
        <w:t>actors that must be considered when making a finding about family violence include the ‘seriousness of the allegation made, the inherent unlikelihood of an occurrence of a given description, or</w:t>
      </w:r>
      <w:r>
        <w:rPr>
          <w:rFonts w:cs="Times New Roman"/>
        </w:rPr>
        <w:t xml:space="preserve"> </w:t>
      </w:r>
      <w:r w:rsidRPr="008F41CA">
        <w:rPr>
          <w:rFonts w:cs="Times New Roman"/>
        </w:rPr>
        <w:t>the gravity of the consequences flowing from a particular finding’.</w:t>
      </w:r>
      <w:r w:rsidRPr="008F41CA">
        <w:rPr>
          <w:rFonts w:cs="Times New Roman"/>
          <w:kern w:val="24"/>
          <w:vertAlign w:val="superscript"/>
        </w:rPr>
        <w:endnoteReference w:id="13"/>
      </w:r>
      <w:r>
        <w:rPr>
          <w:rFonts w:cs="Times New Roman"/>
        </w:rPr>
        <w:t xml:space="preserve"> A clear example of the way male-centric covert biases operate in the application of this standard is that the questions of ‘seriousness’ and ‘gravity of consequences’ are viewed entirely from the alleged perpetrator’s perspective. Put simply, the gravity of the consequences of a finding of no sexual abuse, where sexual abuse has occurred, are arguably no less grave (indeed they are arguably far more grave) than a finding of abuse where no abuse has occurred – particularly where proceedings are not criminal but rather about contact (Young et al 2014). Moreover, the terms ‘seriousness,’ ‘inherent unlikelihood,’ and ‘gravity’ are vague, open to interpretation and likely to be affected by the judicial officer’s understanding (or not) of things such as the ways that coercive control can be exerted and the frequency of sexual abuse and its consequences.</w:t>
      </w:r>
    </w:p>
    <w:p w14:paraId="53F1F89A" w14:textId="77777777" w:rsidR="004B5400" w:rsidRPr="008F41CA" w:rsidRDefault="004B5400" w:rsidP="00DE0AC1">
      <w:pPr>
        <w:spacing w:line="240" w:lineRule="auto"/>
        <w:jc w:val="both"/>
        <w:rPr>
          <w:rFonts w:cs="Times New Roman"/>
          <w:iCs/>
        </w:rPr>
      </w:pPr>
    </w:p>
    <w:p w14:paraId="2EF6C5BD" w14:textId="605F3C1E" w:rsidR="004B5400" w:rsidRPr="00D1522A" w:rsidRDefault="004B5400" w:rsidP="00D13488">
      <w:pPr>
        <w:spacing w:line="240" w:lineRule="auto"/>
        <w:ind w:firstLine="720"/>
        <w:jc w:val="both"/>
        <w:rPr>
          <w:rFonts w:cs="Times New Roman"/>
        </w:rPr>
      </w:pPr>
      <w:r>
        <w:rPr>
          <w:rFonts w:cs="Times New Roman"/>
        </w:rPr>
        <w:t xml:space="preserve">There is compelling evidence that mistaken </w:t>
      </w:r>
      <w:r>
        <w:rPr>
          <w:rFonts w:cs="Times New Roman"/>
          <w:iCs/>
          <w:lang w:eastAsia="en-AU"/>
        </w:rPr>
        <w:t>b</w:t>
      </w:r>
      <w:r w:rsidRPr="008F41CA">
        <w:rPr>
          <w:rFonts w:cs="Times New Roman"/>
          <w:iCs/>
          <w:lang w:eastAsia="en-AU"/>
        </w:rPr>
        <w:t xml:space="preserve">eliefs about </w:t>
      </w:r>
      <w:r>
        <w:rPr>
          <w:rFonts w:cs="Times New Roman"/>
          <w:iCs/>
          <w:lang w:eastAsia="en-AU"/>
        </w:rPr>
        <w:t>family</w:t>
      </w:r>
      <w:r w:rsidRPr="008F41CA">
        <w:rPr>
          <w:rFonts w:cs="Times New Roman"/>
          <w:iCs/>
          <w:lang w:eastAsia="en-AU"/>
        </w:rPr>
        <w:t xml:space="preserve"> violence, </w:t>
      </w:r>
      <w:r>
        <w:rPr>
          <w:rFonts w:cs="Times New Roman"/>
          <w:iCs/>
          <w:lang w:eastAsia="en-AU"/>
        </w:rPr>
        <w:t xml:space="preserve">entrenched views on </w:t>
      </w:r>
      <w:r w:rsidRPr="008F41CA">
        <w:rPr>
          <w:rFonts w:cs="Times New Roman"/>
          <w:iCs/>
          <w:lang w:eastAsia="en-AU"/>
        </w:rPr>
        <w:t>gender roles and personal prejudices</w:t>
      </w:r>
      <w:r>
        <w:rPr>
          <w:rFonts w:cs="Times New Roman"/>
          <w:iCs/>
          <w:lang w:eastAsia="en-AU"/>
        </w:rPr>
        <w:t xml:space="preserve"> have, and continue to,</w:t>
      </w:r>
      <w:r w:rsidRPr="008F41CA">
        <w:rPr>
          <w:rFonts w:cs="Times New Roman"/>
          <w:iCs/>
          <w:lang w:eastAsia="en-AU"/>
        </w:rPr>
        <w:t xml:space="preserve"> </w:t>
      </w:r>
      <w:r>
        <w:rPr>
          <w:rFonts w:cs="Times New Roman"/>
          <w:iCs/>
          <w:lang w:eastAsia="en-AU"/>
        </w:rPr>
        <w:t>impact on</w:t>
      </w:r>
      <w:r w:rsidRPr="008F41CA">
        <w:rPr>
          <w:rFonts w:cs="Times New Roman"/>
          <w:iCs/>
          <w:lang w:eastAsia="en-AU"/>
        </w:rPr>
        <w:t xml:space="preserve"> judicial reasoning</w:t>
      </w:r>
      <w:r>
        <w:rPr>
          <w:rFonts w:cs="Times New Roman"/>
          <w:iCs/>
          <w:lang w:eastAsia="en-AU"/>
        </w:rPr>
        <w:t xml:space="preserve"> </w:t>
      </w:r>
      <w:r w:rsidRPr="008F41CA">
        <w:rPr>
          <w:rFonts w:cs="Times New Roman"/>
          <w:iCs/>
          <w:lang w:eastAsia="en-AU"/>
        </w:rPr>
        <w:t>and weighting</w:t>
      </w:r>
      <w:r w:rsidRPr="008F41CA">
        <w:rPr>
          <w:rStyle w:val="EndnoteReference"/>
          <w:rFonts w:cs="Times New Roman"/>
          <w:iCs/>
          <w:lang w:eastAsia="en-AU"/>
        </w:rPr>
        <w:endnoteReference w:id="14"/>
      </w:r>
      <w:r w:rsidRPr="008F41CA">
        <w:rPr>
          <w:rFonts w:cs="Times New Roman"/>
          <w:iCs/>
          <w:lang w:eastAsia="en-AU"/>
        </w:rPr>
        <w:t xml:space="preserve"> </w:t>
      </w:r>
      <w:r>
        <w:t>with d</w:t>
      </w:r>
      <w:r w:rsidRPr="008F41CA">
        <w:t>ecision-making affected by beliefs about what behaviours constitute domestic violence</w:t>
      </w:r>
      <w:r>
        <w:t xml:space="preserve"> and</w:t>
      </w:r>
      <w:r w:rsidRPr="008F41CA">
        <w:t xml:space="preserve"> the dynamics and causes</w:t>
      </w:r>
      <w:r>
        <w:t xml:space="preserve"> of such violence</w:t>
      </w:r>
      <w:r w:rsidRPr="008F41CA">
        <w:t xml:space="preserve">. </w:t>
      </w:r>
      <w:r>
        <w:t>Take for example the finding of</w:t>
      </w:r>
      <w:r w:rsidRPr="008F41CA">
        <w:t xml:space="preserve"> one </w:t>
      </w:r>
      <w:r>
        <w:t>judicial officer (pre-dating our sample)</w:t>
      </w:r>
      <w:r w:rsidRPr="008F41CA">
        <w:t xml:space="preserve"> </w:t>
      </w:r>
      <w:r>
        <w:t xml:space="preserve">who </w:t>
      </w:r>
      <w:r w:rsidRPr="008F41CA">
        <w:t xml:space="preserve">described </w:t>
      </w:r>
      <w:r>
        <w:t>the family violence</w:t>
      </w:r>
      <w:r w:rsidRPr="008F41CA">
        <w:t xml:space="preserve"> as ‘situation specific. That is, it was related to the relationship between the husband and the wife.</w:t>
      </w:r>
      <w:r>
        <w:t>..</w:t>
      </w:r>
      <w:r w:rsidRPr="008F41CA">
        <w:t>’</w:t>
      </w:r>
      <w:r>
        <w:t>.</w:t>
      </w:r>
      <w:r w:rsidRPr="00623412">
        <w:rPr>
          <w:vertAlign w:val="superscript"/>
        </w:rPr>
        <w:t>3</w:t>
      </w:r>
      <w:r>
        <w:t xml:space="preserve"> This ‘finding’ was made in the absence of any expert evidence, and without any detailed discussion of family violence either generally or in this case.   The judicial officer further explained why, in a previous decision, he had declined to extend the </w:t>
      </w:r>
      <w:r w:rsidRPr="00DE0AC1">
        <w:rPr>
          <w:i/>
        </w:rPr>
        <w:t>Kennon</w:t>
      </w:r>
      <w:r>
        <w:t xml:space="preserve"> principle (even if it was good law, which he doubted) ‘</w:t>
      </w:r>
      <w:r w:rsidRPr="008F41CA">
        <w:t xml:space="preserve">to </w:t>
      </w:r>
      <w:r w:rsidRPr="0024709E">
        <w:rPr>
          <w:i/>
        </w:rPr>
        <w:t>only</w:t>
      </w:r>
      <w:r w:rsidRPr="008F41CA">
        <w:t xml:space="preserve"> verbal violence’</w:t>
      </w:r>
      <w:r>
        <w:t>, a position clearly contrary to the law.</w:t>
      </w:r>
      <w:r w:rsidRPr="00EE0B90">
        <w:rPr>
          <w:vertAlign w:val="superscript"/>
        </w:rPr>
        <w:t>4</w:t>
      </w:r>
    </w:p>
    <w:p w14:paraId="37D9FC01" w14:textId="77777777" w:rsidR="004B5400" w:rsidRDefault="004B5400" w:rsidP="00DE0AC1">
      <w:pPr>
        <w:spacing w:line="240" w:lineRule="auto"/>
        <w:jc w:val="both"/>
        <w:rPr>
          <w:rFonts w:cs="Times New Roman"/>
          <w:color w:val="000000"/>
        </w:rPr>
      </w:pPr>
    </w:p>
    <w:p w14:paraId="53FE78D5" w14:textId="56911A7D" w:rsidR="004B5400" w:rsidRDefault="004B5400" w:rsidP="00D13488">
      <w:pPr>
        <w:spacing w:line="240" w:lineRule="auto"/>
        <w:ind w:firstLine="720"/>
        <w:jc w:val="both"/>
        <w:rPr>
          <w:rFonts w:cs="Times New Roman"/>
        </w:rPr>
      </w:pPr>
      <w:r>
        <w:rPr>
          <w:rFonts w:cs="Times New Roman"/>
          <w:color w:val="000000"/>
        </w:rPr>
        <w:t>Similarly, i</w:t>
      </w:r>
      <w:r w:rsidRPr="008F41CA">
        <w:rPr>
          <w:rFonts w:cs="Times New Roman"/>
          <w:color w:val="000000"/>
        </w:rPr>
        <w:t>n</w:t>
      </w:r>
      <w:r>
        <w:rPr>
          <w:rFonts w:cs="Times New Roman"/>
          <w:color w:val="000000"/>
        </w:rPr>
        <w:t xml:space="preserve"> a 2012 case,</w:t>
      </w:r>
      <w:r w:rsidRPr="008F41CA">
        <w:rPr>
          <w:rFonts w:cs="Times New Roman"/>
          <w:color w:val="000000"/>
        </w:rPr>
        <w:t xml:space="preserve"> </w:t>
      </w:r>
      <w:r w:rsidRPr="008F41CA">
        <w:rPr>
          <w:rFonts w:cs="Times New Roman"/>
          <w:i/>
          <w:color w:val="000000"/>
        </w:rPr>
        <w:t>Hashim v Hashim</w:t>
      </w:r>
      <w:r>
        <w:rPr>
          <w:rFonts w:cs="Times New Roman"/>
          <w:i/>
          <w:color w:val="000000"/>
        </w:rPr>
        <w:t xml:space="preserve">, </w:t>
      </w:r>
      <w:r>
        <w:rPr>
          <w:rFonts w:cs="Times New Roman"/>
          <w:color w:val="000000"/>
        </w:rPr>
        <w:t>despite the father behaving in a physically and verbally violent and frightening way</w:t>
      </w:r>
      <w:r w:rsidRPr="002D5603">
        <w:rPr>
          <w:rFonts w:cs="Times New Roman"/>
          <w:color w:val="000000"/>
        </w:rPr>
        <w:t xml:space="preserve"> </w:t>
      </w:r>
      <w:r>
        <w:rPr>
          <w:rFonts w:cs="Times New Roman"/>
          <w:color w:val="000000"/>
        </w:rPr>
        <w:t>when removing a child from a classroom and then lying about the incident (as well as allegedly threatening the teacher’s family that it would not be good for her to give evidence),</w:t>
      </w:r>
      <w:r>
        <w:rPr>
          <w:rStyle w:val="EndnoteReference"/>
          <w:rFonts w:cs="Times New Roman"/>
          <w:color w:val="000000"/>
        </w:rPr>
        <w:endnoteReference w:id="15"/>
      </w:r>
      <w:r>
        <w:rPr>
          <w:rFonts w:cs="Times New Roman"/>
          <w:color w:val="000000"/>
        </w:rPr>
        <w:t xml:space="preserve"> Justice Judith Ryan concluded this was not the father’s ‘usual’ behaviour and appeared to discount its significance as it was only proof of violence</w:t>
      </w:r>
      <w:r w:rsidRPr="008F41CA">
        <w:rPr>
          <w:rFonts w:cs="Times New Roman"/>
          <w:color w:val="000000"/>
        </w:rPr>
        <w:t xml:space="preserve"> occurr</w:t>
      </w:r>
      <w:r>
        <w:rPr>
          <w:rFonts w:cs="Times New Roman"/>
          <w:color w:val="000000"/>
        </w:rPr>
        <w:t>ing during the separation process</w:t>
      </w:r>
      <w:r w:rsidRPr="008F41CA">
        <w:rPr>
          <w:rFonts w:cs="Times New Roman"/>
          <w:color w:val="000000"/>
        </w:rPr>
        <w:t>.</w:t>
      </w:r>
      <w:r w:rsidRPr="008F41CA">
        <w:rPr>
          <w:rStyle w:val="EndnoteReference"/>
          <w:rFonts w:cs="Times New Roman"/>
          <w:color w:val="000000"/>
        </w:rPr>
        <w:endnoteReference w:id="16"/>
      </w:r>
      <w:r>
        <w:rPr>
          <w:rFonts w:cs="Times New Roman"/>
        </w:rPr>
        <w:t xml:space="preserve"> </w:t>
      </w:r>
    </w:p>
    <w:p w14:paraId="7C36D9C4" w14:textId="77777777" w:rsidR="004B5400" w:rsidRDefault="004B5400" w:rsidP="00DE0AC1">
      <w:pPr>
        <w:spacing w:line="240" w:lineRule="auto"/>
        <w:jc w:val="both"/>
        <w:rPr>
          <w:rFonts w:cs="Times New Roman"/>
        </w:rPr>
      </w:pPr>
    </w:p>
    <w:p w14:paraId="0EBB8F17" w14:textId="7FD4E212" w:rsidR="004B5400" w:rsidRDefault="004B5400" w:rsidP="00D13488">
      <w:pPr>
        <w:spacing w:line="240" w:lineRule="auto"/>
        <w:ind w:firstLine="720"/>
        <w:jc w:val="both"/>
        <w:rPr>
          <w:rFonts w:cs="Times New Roman"/>
        </w:rPr>
      </w:pPr>
      <w:r>
        <w:rPr>
          <w:rFonts w:cs="Times New Roman"/>
        </w:rPr>
        <w:t xml:space="preserve">Not only might violent men be characterized as having a moment of inappropriate behaviour, we are well used to the notion too that histrionic women may </w:t>
      </w:r>
      <w:r w:rsidRPr="008F41CA">
        <w:rPr>
          <w:rFonts w:cs="Times New Roman"/>
        </w:rPr>
        <w:t>exaggerat</w:t>
      </w:r>
      <w:r>
        <w:rPr>
          <w:rFonts w:cs="Times New Roman"/>
        </w:rPr>
        <w:t>e.</w:t>
      </w:r>
      <w:r w:rsidRPr="008F41CA">
        <w:rPr>
          <w:rStyle w:val="EndnoteReference"/>
          <w:rFonts w:cs="Times New Roman"/>
        </w:rPr>
        <w:endnoteReference w:id="17"/>
      </w:r>
      <w:r w:rsidRPr="008F41CA">
        <w:rPr>
          <w:rFonts w:cs="Times New Roman"/>
        </w:rPr>
        <w:t xml:space="preserve"> </w:t>
      </w:r>
      <w:r>
        <w:rPr>
          <w:rFonts w:cs="Times New Roman"/>
        </w:rPr>
        <w:t>Judicial officers may also minimize the h</w:t>
      </w:r>
      <w:r w:rsidRPr="008F41CA">
        <w:rPr>
          <w:rFonts w:cs="Times New Roman"/>
        </w:rPr>
        <w:t xml:space="preserve">arm </w:t>
      </w:r>
      <w:r>
        <w:rPr>
          <w:rFonts w:cs="Times New Roman"/>
        </w:rPr>
        <w:t xml:space="preserve">a woman suffers. Justice Eric Baker considered that </w:t>
      </w:r>
      <w:r w:rsidRPr="008F41CA">
        <w:rPr>
          <w:rFonts w:cs="Times New Roman"/>
        </w:rPr>
        <w:t>pushing</w:t>
      </w:r>
      <w:r>
        <w:rPr>
          <w:rFonts w:cs="Times New Roman"/>
        </w:rPr>
        <w:t>/</w:t>
      </w:r>
      <w:r w:rsidRPr="008F41CA">
        <w:rPr>
          <w:rFonts w:cs="Times New Roman"/>
        </w:rPr>
        <w:t xml:space="preserve">hitting with an open hand which sometimes resulted in bruising to </w:t>
      </w:r>
      <w:r>
        <w:rPr>
          <w:rFonts w:cs="Times New Roman"/>
        </w:rPr>
        <w:t>the victim’s</w:t>
      </w:r>
      <w:r w:rsidRPr="008F41CA">
        <w:rPr>
          <w:rFonts w:cs="Times New Roman"/>
        </w:rPr>
        <w:t xml:space="preserve"> face and body </w:t>
      </w:r>
      <w:r>
        <w:rPr>
          <w:rFonts w:cs="Times New Roman"/>
        </w:rPr>
        <w:t xml:space="preserve">was </w:t>
      </w:r>
      <w:r w:rsidRPr="008F41CA">
        <w:rPr>
          <w:rFonts w:cs="Times New Roman"/>
        </w:rPr>
        <w:t>‘of a relatively minor nature</w:t>
      </w:r>
      <w:r>
        <w:rPr>
          <w:rFonts w:cs="Times New Roman"/>
        </w:rPr>
        <w:t>’</w:t>
      </w:r>
      <w:r w:rsidRPr="008F41CA">
        <w:rPr>
          <w:rFonts w:cs="Times New Roman"/>
        </w:rPr>
        <w:t xml:space="preserve"> and not </w:t>
      </w:r>
      <w:r w:rsidRPr="007D2B5C">
        <w:rPr>
          <w:rFonts w:cs="Times New Roman"/>
          <w:i/>
        </w:rPr>
        <w:t>appearing</w:t>
      </w:r>
      <w:r w:rsidRPr="008F41CA">
        <w:rPr>
          <w:rFonts w:cs="Times New Roman"/>
        </w:rPr>
        <w:t xml:space="preserve"> </w:t>
      </w:r>
      <w:r>
        <w:rPr>
          <w:rFonts w:cs="Times New Roman"/>
        </w:rPr>
        <w:t>‘</w:t>
      </w:r>
      <w:r w:rsidRPr="008F41CA">
        <w:rPr>
          <w:rFonts w:cs="Times New Roman"/>
        </w:rPr>
        <w:t>to be part of any long term strategy on the part of the husband to cause harm to the wife or to the children …’.</w:t>
      </w:r>
      <w:r w:rsidRPr="008F41CA">
        <w:rPr>
          <w:rStyle w:val="EndnoteReference"/>
          <w:rFonts w:cs="Times New Roman"/>
        </w:rPr>
        <w:endnoteReference w:id="18"/>
      </w:r>
      <w:r>
        <w:rPr>
          <w:rFonts w:cs="Times New Roman"/>
        </w:rPr>
        <w:t xml:space="preserve"> Even if in more recent times a judicial officer may not trivialize physical violence so easily, such statements are indicative of the way in which decision makers are so easily able to be influenced by their own particular views on violence.  In the absence of evidence and absence of a good appreciation by judicial officers of the nature, extent and consequences of family violence, personal prejudice or simple misunderstanding is very likely to hold sway.</w:t>
      </w:r>
    </w:p>
    <w:p w14:paraId="28454F83" w14:textId="77777777" w:rsidR="004B5400" w:rsidRDefault="004B5400" w:rsidP="00DE0AC1">
      <w:pPr>
        <w:spacing w:line="240" w:lineRule="auto"/>
        <w:jc w:val="both"/>
        <w:rPr>
          <w:rFonts w:cs="Times New Roman"/>
        </w:rPr>
      </w:pPr>
    </w:p>
    <w:p w14:paraId="149C257D" w14:textId="7CE0B11B" w:rsidR="004B5400" w:rsidRDefault="004B5400" w:rsidP="00D13488">
      <w:pPr>
        <w:spacing w:line="240" w:lineRule="auto"/>
        <w:ind w:firstLine="720"/>
        <w:jc w:val="both"/>
        <w:rPr>
          <w:rFonts w:cs="Times New Roman"/>
        </w:rPr>
      </w:pPr>
      <w:r>
        <w:rPr>
          <w:rFonts w:cs="Times New Roman"/>
        </w:rPr>
        <w:t xml:space="preserve">Having said this, as we show below, in considering family violence in </w:t>
      </w:r>
      <w:r w:rsidRPr="00DC0B43">
        <w:rPr>
          <w:rFonts w:cs="Times New Roman"/>
          <w:i/>
        </w:rPr>
        <w:t>Kennon</w:t>
      </w:r>
      <w:r>
        <w:rPr>
          <w:rFonts w:cs="Times New Roman"/>
        </w:rPr>
        <w:t xml:space="preserve"> adjustment decision-making, </w:t>
      </w:r>
      <w:r w:rsidRPr="008F41CA">
        <w:rPr>
          <w:rFonts w:cs="Times New Roman"/>
        </w:rPr>
        <w:t xml:space="preserve">some members of the judiciary </w:t>
      </w:r>
      <w:r>
        <w:rPr>
          <w:rFonts w:cs="Times New Roman"/>
        </w:rPr>
        <w:t>are increasingly showing an</w:t>
      </w:r>
      <w:r w:rsidRPr="008F41CA">
        <w:rPr>
          <w:rFonts w:cs="Times New Roman"/>
        </w:rPr>
        <w:t xml:space="preserve"> appreciation of the</w:t>
      </w:r>
      <w:r>
        <w:rPr>
          <w:rFonts w:cs="Times New Roman"/>
        </w:rPr>
        <w:t xml:space="preserve"> complex dynamic and</w:t>
      </w:r>
      <w:r w:rsidRPr="008F41CA">
        <w:rPr>
          <w:rFonts w:cs="Times New Roman"/>
        </w:rPr>
        <w:t xml:space="preserve"> effects of </w:t>
      </w:r>
      <w:r>
        <w:rPr>
          <w:rFonts w:cs="Times New Roman"/>
        </w:rPr>
        <w:t xml:space="preserve">family violence. As Justice Sharon Johns notes in </w:t>
      </w:r>
      <w:r w:rsidRPr="00482BD4">
        <w:rPr>
          <w:rFonts w:cs="Times New Roman"/>
          <w:i/>
        </w:rPr>
        <w:t>Pilch &amp; Pilch</w:t>
      </w:r>
      <w:r>
        <w:rPr>
          <w:rFonts w:cs="Times New Roman"/>
        </w:rPr>
        <w:t>:</w:t>
      </w:r>
    </w:p>
    <w:p w14:paraId="66739C08" w14:textId="77777777" w:rsidR="00D13488" w:rsidRPr="008F41CA" w:rsidRDefault="00D13488" w:rsidP="00D13488">
      <w:pPr>
        <w:spacing w:line="240" w:lineRule="auto"/>
        <w:ind w:firstLine="720"/>
        <w:jc w:val="both"/>
        <w:rPr>
          <w:rFonts w:cs="Times New Roman"/>
        </w:rPr>
      </w:pPr>
    </w:p>
    <w:p w14:paraId="4556DDDD" w14:textId="0857944C" w:rsidR="004B5400" w:rsidRPr="008F41CA" w:rsidRDefault="00021FF5" w:rsidP="00DE0AC1">
      <w:pPr>
        <w:pStyle w:val="BlockText"/>
        <w:spacing w:after="0" w:line="240" w:lineRule="auto"/>
        <w:jc w:val="both"/>
      </w:pPr>
      <w:r>
        <w:t>‘</w:t>
      </w:r>
      <w:r w:rsidR="004B5400" w:rsidRPr="008F41CA">
        <w:t xml:space="preserve">Society and the law have changed in the 19 years since </w:t>
      </w:r>
      <w:r w:rsidR="004B5400" w:rsidRPr="00DE0AC1">
        <w:rPr>
          <w:i/>
        </w:rPr>
        <w:t>Kennon</w:t>
      </w:r>
      <w:r w:rsidR="004B5400" w:rsidRPr="002E4E7E">
        <w:rPr>
          <w:i/>
        </w:rPr>
        <w:t>’s</w:t>
      </w:r>
      <w:r w:rsidR="004B5400" w:rsidRPr="008F41CA">
        <w:rPr>
          <w:i/>
        </w:rPr>
        <w:t> </w:t>
      </w:r>
      <w:r w:rsidR="004B5400" w:rsidRPr="008F41CA">
        <w:t>case was decided. Now more than ever, there is a greater understanding within the community as to the damaging impact of controlling behaviour, verbal and physical abuse within relationships</w:t>
      </w:r>
      <w:r>
        <w:t>’</w:t>
      </w:r>
      <w:r w:rsidR="004B5400" w:rsidRPr="008F41CA">
        <w:t>.</w:t>
      </w:r>
      <w:r w:rsidR="004B5400" w:rsidRPr="008F41CA">
        <w:rPr>
          <w:rStyle w:val="EndnoteReference"/>
          <w:color w:val="000000"/>
        </w:rPr>
        <w:endnoteReference w:id="19"/>
      </w:r>
    </w:p>
    <w:p w14:paraId="732246F4" w14:textId="77777777" w:rsidR="004B5400" w:rsidRDefault="004B5400" w:rsidP="00DE0AC1">
      <w:pPr>
        <w:pStyle w:val="BlockText"/>
        <w:spacing w:after="0" w:line="240" w:lineRule="auto"/>
        <w:ind w:left="0"/>
        <w:jc w:val="both"/>
      </w:pPr>
    </w:p>
    <w:p w14:paraId="5427B6F7" w14:textId="39A0A10B" w:rsidR="004B5400" w:rsidRPr="007326BB" w:rsidRDefault="004B5400" w:rsidP="004773BA">
      <w:pPr>
        <w:pStyle w:val="BlockText"/>
        <w:spacing w:after="0" w:line="240" w:lineRule="auto"/>
        <w:ind w:left="0" w:right="4"/>
        <w:jc w:val="both"/>
      </w:pPr>
      <w:r>
        <w:t xml:space="preserve">Further, the recognition by Judge Heather </w:t>
      </w:r>
      <w:r w:rsidRPr="00D72209">
        <w:t xml:space="preserve">Riley </w:t>
      </w:r>
      <w:r w:rsidRPr="0009630A">
        <w:t>i</w:t>
      </w:r>
      <w:r>
        <w:t xml:space="preserve">n </w:t>
      </w:r>
      <w:r w:rsidRPr="00482BD4">
        <w:rPr>
          <w:i/>
        </w:rPr>
        <w:t>Charlton &amp; Charlton</w:t>
      </w:r>
      <w:r>
        <w:t xml:space="preserve"> that the husban</w:t>
      </w:r>
      <w:r w:rsidR="00D13488">
        <w:t>d’s emotional abuse (by criticiz</w:t>
      </w:r>
      <w:r>
        <w:t xml:space="preserve">ing the wife’s intellectual ability) could </w:t>
      </w:r>
      <w:r>
        <w:lastRenderedPageBreak/>
        <w:t>adversely impact upon the wife’s contribution by undermining her confidence in the work sphere is a case in point</w:t>
      </w:r>
      <w:r w:rsidRPr="008F41CA">
        <w:t>.</w:t>
      </w:r>
      <w:r w:rsidRPr="008F41CA">
        <w:rPr>
          <w:rStyle w:val="EndnoteReference"/>
        </w:rPr>
        <w:endnoteReference w:id="20"/>
      </w:r>
      <w:r w:rsidRPr="008F41CA" w:rsidDel="009C0A59">
        <w:t xml:space="preserve"> </w:t>
      </w:r>
    </w:p>
    <w:p w14:paraId="12A2F5A7" w14:textId="77777777" w:rsidR="004B5400" w:rsidRDefault="004B5400" w:rsidP="00DE0AC1">
      <w:pPr>
        <w:spacing w:line="240" w:lineRule="auto"/>
        <w:jc w:val="both"/>
        <w:rPr>
          <w:rFonts w:cs="Times New Roman"/>
        </w:rPr>
      </w:pPr>
    </w:p>
    <w:p w14:paraId="36D9F462" w14:textId="038D65CF" w:rsidR="004B5400" w:rsidRPr="005A5A47" w:rsidRDefault="005A5A47" w:rsidP="00D13488">
      <w:pPr>
        <w:widowControl w:val="0"/>
        <w:autoSpaceDE w:val="0"/>
        <w:autoSpaceDN w:val="0"/>
        <w:adjustRightInd w:val="0"/>
        <w:spacing w:line="240" w:lineRule="auto"/>
        <w:jc w:val="center"/>
        <w:rPr>
          <w:rFonts w:cs="Times New Roman"/>
          <w:b/>
        </w:rPr>
      </w:pPr>
      <w:r w:rsidRPr="005A5A47">
        <w:rPr>
          <w:rFonts w:cs="Times New Roman"/>
          <w:b/>
        </w:rPr>
        <w:t>1.</w:t>
      </w:r>
      <w:r>
        <w:rPr>
          <w:rFonts w:cs="Times New Roman"/>
          <w:b/>
        </w:rPr>
        <w:t xml:space="preserve"> H</w:t>
      </w:r>
      <w:r w:rsidRPr="005A5A47">
        <w:rPr>
          <w:rFonts w:cs="Times New Roman"/>
          <w:b/>
        </w:rPr>
        <w:t>ow victims’ speaking out in the family court can be problematic</w:t>
      </w:r>
    </w:p>
    <w:p w14:paraId="7C35BA81" w14:textId="77777777" w:rsidR="00D13488" w:rsidRDefault="00D13488" w:rsidP="00F56840">
      <w:pPr>
        <w:widowControl w:val="0"/>
        <w:autoSpaceDE w:val="0"/>
        <w:autoSpaceDN w:val="0"/>
        <w:adjustRightInd w:val="0"/>
        <w:spacing w:line="240" w:lineRule="auto"/>
        <w:jc w:val="both"/>
        <w:rPr>
          <w:rFonts w:cs="Times New Roman"/>
        </w:rPr>
      </w:pPr>
    </w:p>
    <w:p w14:paraId="103F2A23" w14:textId="31F670E2" w:rsidR="004B5400" w:rsidRPr="008F41CA" w:rsidRDefault="004B5400" w:rsidP="00F56840">
      <w:pPr>
        <w:widowControl w:val="0"/>
        <w:autoSpaceDE w:val="0"/>
        <w:autoSpaceDN w:val="0"/>
        <w:adjustRightInd w:val="0"/>
        <w:spacing w:line="240" w:lineRule="auto"/>
        <w:jc w:val="both"/>
        <w:rPr>
          <w:rFonts w:cs="Times New Roman"/>
          <w:iCs/>
        </w:rPr>
      </w:pPr>
      <w:r w:rsidRPr="008F41CA">
        <w:rPr>
          <w:rFonts w:cs="Times New Roman"/>
        </w:rPr>
        <w:t xml:space="preserve">To state what </w:t>
      </w:r>
      <w:r>
        <w:rPr>
          <w:rFonts w:cs="Times New Roman"/>
        </w:rPr>
        <w:t>may seem</w:t>
      </w:r>
      <w:r w:rsidRPr="008F41CA">
        <w:rPr>
          <w:rFonts w:cs="Times New Roman"/>
        </w:rPr>
        <w:t xml:space="preserve"> obvious, evidence of violence can only be considered if it has been given. </w:t>
      </w:r>
      <w:r>
        <w:rPr>
          <w:rFonts w:cs="Times New Roman"/>
        </w:rPr>
        <w:t xml:space="preserve">It is well understood that </w:t>
      </w:r>
      <w:r w:rsidRPr="008F41CA">
        <w:rPr>
          <w:rFonts w:cs="Times New Roman"/>
        </w:rPr>
        <w:t xml:space="preserve">victim witnesses may not disclose either in Court or to their legal representative. </w:t>
      </w:r>
      <w:r w:rsidRPr="008F41CA">
        <w:rPr>
          <w:rFonts w:cs="Times New Roman"/>
          <w:iCs/>
        </w:rPr>
        <w:t xml:space="preserve"> </w:t>
      </w:r>
      <w:r>
        <w:rPr>
          <w:rFonts w:cs="Times New Roman"/>
        </w:rPr>
        <w:t>F</w:t>
      </w:r>
      <w:r w:rsidRPr="008F41CA">
        <w:rPr>
          <w:rFonts w:cs="Times New Roman"/>
        </w:rPr>
        <w:t xml:space="preserve">eelings </w:t>
      </w:r>
      <w:r>
        <w:rPr>
          <w:rFonts w:cs="Times New Roman"/>
        </w:rPr>
        <w:t>of intimidation (Victoria Law Reform Commission</w:t>
      </w:r>
      <w:r w:rsidR="007979D6">
        <w:rPr>
          <w:rFonts w:cs="Times New Roman"/>
        </w:rPr>
        <w:t>,</w:t>
      </w:r>
      <w:r>
        <w:rPr>
          <w:rFonts w:cs="Times New Roman"/>
        </w:rPr>
        <w:t xml:space="preserve"> 2006:</w:t>
      </w:r>
      <w:r w:rsidRPr="00A0783B">
        <w:rPr>
          <w:shd w:val="clear" w:color="auto" w:fill="FFFFFF"/>
        </w:rPr>
        <w:t xml:space="preserve"> [11.1]</w:t>
      </w:r>
      <w:r>
        <w:rPr>
          <w:rFonts w:cs="Times New Roman"/>
        </w:rPr>
        <w:t>)</w:t>
      </w:r>
      <w:r w:rsidR="00D13488">
        <w:rPr>
          <w:rFonts w:cs="Times New Roman"/>
        </w:rPr>
        <w:t>,</w:t>
      </w:r>
      <w:r>
        <w:rPr>
          <w:rFonts w:cs="Times New Roman"/>
        </w:rPr>
        <w:t xml:space="preserve"> shame (Field</w:t>
      </w:r>
      <w:r w:rsidR="007979D6">
        <w:rPr>
          <w:rFonts w:cs="Times New Roman"/>
        </w:rPr>
        <w:t>,</w:t>
      </w:r>
      <w:r>
        <w:rPr>
          <w:rFonts w:cs="Times New Roman"/>
        </w:rPr>
        <w:t xml:space="preserve"> 2010:</w:t>
      </w:r>
      <w:r w:rsidR="007979D6">
        <w:rPr>
          <w:rFonts w:cs="Times New Roman"/>
        </w:rPr>
        <w:t xml:space="preserve"> </w:t>
      </w:r>
      <w:r>
        <w:rPr>
          <w:rFonts w:cs="Times New Roman"/>
        </w:rPr>
        <w:t xml:space="preserve">199) </w:t>
      </w:r>
      <w:r w:rsidRPr="008F41CA">
        <w:rPr>
          <w:rFonts w:cs="Times New Roman"/>
        </w:rPr>
        <w:t xml:space="preserve">and </w:t>
      </w:r>
      <w:r>
        <w:rPr>
          <w:rFonts w:cs="Times New Roman"/>
        </w:rPr>
        <w:t xml:space="preserve">victims </w:t>
      </w:r>
      <w:r w:rsidRPr="008F41CA">
        <w:rPr>
          <w:rFonts w:cs="Times New Roman"/>
        </w:rPr>
        <w:t>regard</w:t>
      </w:r>
      <w:r>
        <w:rPr>
          <w:rFonts w:cs="Times New Roman"/>
        </w:rPr>
        <w:t>ing</w:t>
      </w:r>
      <w:r w:rsidRPr="008F41CA">
        <w:rPr>
          <w:rFonts w:cs="Times New Roman"/>
        </w:rPr>
        <w:t xml:space="preserve"> themselves as lacking credibility</w:t>
      </w:r>
      <w:r>
        <w:rPr>
          <w:rFonts w:cs="Times New Roman"/>
        </w:rPr>
        <w:t xml:space="preserve"> (Australian Law Reform Commission</w:t>
      </w:r>
      <w:r w:rsidR="007979D6">
        <w:rPr>
          <w:rFonts w:cs="Times New Roman"/>
        </w:rPr>
        <w:t>,</w:t>
      </w:r>
      <w:r>
        <w:rPr>
          <w:rFonts w:cs="Times New Roman"/>
        </w:rPr>
        <w:t xml:space="preserve"> 2010:</w:t>
      </w:r>
      <w:r w:rsidR="007979D6">
        <w:rPr>
          <w:rFonts w:cs="Times New Roman"/>
        </w:rPr>
        <w:t xml:space="preserve"> </w:t>
      </w:r>
      <w:r>
        <w:rPr>
          <w:rFonts w:cs="Times New Roman"/>
        </w:rPr>
        <w:t>18) may all contribute to non-disclosure together with f</w:t>
      </w:r>
      <w:r w:rsidRPr="008F41CA">
        <w:rPr>
          <w:rFonts w:cs="Times New Roman"/>
        </w:rPr>
        <w:t>eel</w:t>
      </w:r>
      <w:r>
        <w:rPr>
          <w:rFonts w:cs="Times New Roman"/>
        </w:rPr>
        <w:t xml:space="preserve">ing unsafe talking about the abuse </w:t>
      </w:r>
      <w:r w:rsidRPr="008F41CA">
        <w:rPr>
          <w:rFonts w:cs="Times New Roman"/>
        </w:rPr>
        <w:t>in</w:t>
      </w:r>
      <w:r>
        <w:rPr>
          <w:rFonts w:cs="Times New Roman"/>
        </w:rPr>
        <w:t xml:space="preserve"> public (as in court) and in</w:t>
      </w:r>
      <w:r w:rsidRPr="008F41CA">
        <w:rPr>
          <w:rFonts w:cs="Times New Roman"/>
        </w:rPr>
        <w:t xml:space="preserve"> the presence of their ex-partner</w:t>
      </w:r>
      <w:r>
        <w:rPr>
          <w:rFonts w:cs="Times New Roman"/>
        </w:rPr>
        <w:t xml:space="preserve"> (Laing</w:t>
      </w:r>
      <w:r w:rsidR="007979D6">
        <w:rPr>
          <w:rFonts w:cs="Times New Roman"/>
        </w:rPr>
        <w:t>,</w:t>
      </w:r>
      <w:r>
        <w:rPr>
          <w:rFonts w:cs="Times New Roman"/>
        </w:rPr>
        <w:t xml:space="preserve"> 2010: 61)</w:t>
      </w:r>
      <w:r w:rsidRPr="008F41CA">
        <w:rPr>
          <w:rFonts w:cs="Times New Roman"/>
        </w:rPr>
        <w:t>.</w:t>
      </w:r>
      <w:r w:rsidRPr="008F41CA">
        <w:rPr>
          <w:rFonts w:cs="Times New Roman"/>
          <w:kern w:val="24"/>
          <w:vertAlign w:val="superscript"/>
        </w:rPr>
        <w:t xml:space="preserve"> </w:t>
      </w:r>
    </w:p>
    <w:p w14:paraId="62404559" w14:textId="77777777" w:rsidR="004B5400" w:rsidRPr="008F41CA" w:rsidRDefault="004B5400" w:rsidP="00F56840">
      <w:pPr>
        <w:spacing w:line="240" w:lineRule="auto"/>
        <w:jc w:val="both"/>
        <w:rPr>
          <w:rFonts w:cs="Times New Roman"/>
          <w:iCs/>
        </w:rPr>
      </w:pPr>
    </w:p>
    <w:p w14:paraId="26EAFBD1" w14:textId="23E92C97" w:rsidR="004B5400" w:rsidRPr="00D13488" w:rsidRDefault="004B5400" w:rsidP="00D13488">
      <w:pPr>
        <w:widowControl w:val="0"/>
        <w:autoSpaceDE w:val="0"/>
        <w:autoSpaceDN w:val="0"/>
        <w:adjustRightInd w:val="0"/>
        <w:spacing w:line="240" w:lineRule="auto"/>
        <w:ind w:firstLine="720"/>
        <w:jc w:val="both"/>
      </w:pPr>
      <w:r w:rsidRPr="008F41CA">
        <w:rPr>
          <w:rFonts w:cs="Times New Roman"/>
        </w:rPr>
        <w:t>Hunter</w:t>
      </w:r>
      <w:r>
        <w:rPr>
          <w:rFonts w:cs="Times New Roman"/>
        </w:rPr>
        <w:t xml:space="preserve"> (2008: 186-187) reported a family court</w:t>
      </w:r>
      <w:r w:rsidRPr="008F41CA">
        <w:rPr>
          <w:rFonts w:cs="Times New Roman"/>
        </w:rPr>
        <w:t xml:space="preserve"> victim respondent describ</w:t>
      </w:r>
      <w:r>
        <w:rPr>
          <w:rFonts w:cs="Times New Roman"/>
        </w:rPr>
        <w:t>ing</w:t>
      </w:r>
      <w:r w:rsidRPr="008F41CA">
        <w:rPr>
          <w:rFonts w:cs="Times New Roman"/>
        </w:rPr>
        <w:t xml:space="preserve"> how ‘she was never allowed to speak about the violence she had experienced, and never felt heard’. Other research has found the same</w:t>
      </w:r>
      <w:r>
        <w:rPr>
          <w:rFonts w:cs="Times New Roman"/>
        </w:rPr>
        <w:t xml:space="preserve"> perception by victims of</w:t>
      </w:r>
      <w:r w:rsidRPr="008F41CA">
        <w:rPr>
          <w:rFonts w:cs="Times New Roman"/>
        </w:rPr>
        <w:t xml:space="preserve"> </w:t>
      </w:r>
      <w:r>
        <w:rPr>
          <w:rFonts w:cs="Times New Roman"/>
        </w:rPr>
        <w:t>being silenced</w:t>
      </w:r>
      <w:r w:rsidRPr="008F41CA">
        <w:rPr>
          <w:rFonts w:cs="Times New Roman"/>
        </w:rPr>
        <w:t>: ‘[women] felt that their experiences of family violence had been ignored, minimized or suppressed by lawyers and judges within the legal system’</w:t>
      </w:r>
      <w:r>
        <w:rPr>
          <w:rFonts w:cs="Times New Roman"/>
        </w:rPr>
        <w:t xml:space="preserve"> (Bagshaw and Brown</w:t>
      </w:r>
      <w:r w:rsidR="007979D6">
        <w:rPr>
          <w:rFonts w:cs="Times New Roman"/>
        </w:rPr>
        <w:t>,</w:t>
      </w:r>
      <w:r>
        <w:rPr>
          <w:rFonts w:cs="Times New Roman"/>
        </w:rPr>
        <w:t xml:space="preserve"> 2010: 135)</w:t>
      </w:r>
      <w:r w:rsidRPr="008F41CA">
        <w:rPr>
          <w:rFonts w:cs="Times New Roman"/>
        </w:rPr>
        <w:t>.</w:t>
      </w:r>
      <w:r>
        <w:rPr>
          <w:rFonts w:cs="Times New Roman"/>
        </w:rPr>
        <w:t xml:space="preserve"> </w:t>
      </w:r>
      <w:r w:rsidR="00D13488">
        <w:t xml:space="preserve"> </w:t>
      </w:r>
      <w:r w:rsidRPr="008F41CA">
        <w:rPr>
          <w:rFonts w:cs="Times New Roman"/>
        </w:rPr>
        <w:t>A further problemat</w:t>
      </w:r>
      <w:r>
        <w:rPr>
          <w:rFonts w:cs="Times New Roman"/>
        </w:rPr>
        <w:t>ic</w:t>
      </w:r>
      <w:r w:rsidRPr="008F41CA">
        <w:rPr>
          <w:rFonts w:cs="Times New Roman"/>
        </w:rPr>
        <w:t xml:space="preserve"> factor </w:t>
      </w:r>
      <w:r>
        <w:rPr>
          <w:rFonts w:cs="Times New Roman"/>
        </w:rPr>
        <w:t xml:space="preserve">for women in family, criminal and other legal processes </w:t>
      </w:r>
      <w:r w:rsidRPr="008F41CA">
        <w:rPr>
          <w:rFonts w:cs="Times New Roman"/>
        </w:rPr>
        <w:t>is that</w:t>
      </w:r>
      <w:r>
        <w:rPr>
          <w:rFonts w:cs="Times New Roman"/>
        </w:rPr>
        <w:t>,</w:t>
      </w:r>
      <w:r w:rsidRPr="008F41CA">
        <w:rPr>
          <w:rFonts w:cs="Times New Roman"/>
        </w:rPr>
        <w:t xml:space="preserve"> even if they do </w:t>
      </w:r>
      <w:r>
        <w:rPr>
          <w:rFonts w:cs="Times New Roman"/>
        </w:rPr>
        <w:t xml:space="preserve">disclose and </w:t>
      </w:r>
      <w:r w:rsidRPr="008F41CA">
        <w:rPr>
          <w:rFonts w:cs="Times New Roman"/>
        </w:rPr>
        <w:t xml:space="preserve">testify about abuse, gender differences in communication </w:t>
      </w:r>
      <w:r>
        <w:rPr>
          <w:rFonts w:cs="Times New Roman"/>
        </w:rPr>
        <w:t xml:space="preserve">discussed above </w:t>
      </w:r>
      <w:r w:rsidRPr="008F41CA">
        <w:rPr>
          <w:rFonts w:cs="Times New Roman"/>
          <w:kern w:val="24"/>
        </w:rPr>
        <w:t>are likely exacerbated</w:t>
      </w:r>
      <w:r w:rsidRPr="008F41CA">
        <w:rPr>
          <w:rFonts w:cs="Times New Roman"/>
          <w:kern w:val="24"/>
          <w:vertAlign w:val="superscript"/>
        </w:rPr>
        <w:t xml:space="preserve"> </w:t>
      </w:r>
      <w:r w:rsidRPr="008F41CA">
        <w:rPr>
          <w:rFonts w:cs="Times New Roman"/>
        </w:rPr>
        <w:t>when there has been violence</w:t>
      </w:r>
      <w:r>
        <w:rPr>
          <w:rFonts w:cs="Times New Roman"/>
        </w:rPr>
        <w:t xml:space="preserve"> (Field</w:t>
      </w:r>
      <w:r w:rsidR="007979D6">
        <w:rPr>
          <w:rFonts w:cs="Times New Roman"/>
        </w:rPr>
        <w:t>,</w:t>
      </w:r>
      <w:r>
        <w:rPr>
          <w:rFonts w:cs="Times New Roman"/>
        </w:rPr>
        <w:t xml:space="preserve"> 1998: 276) Victims of violence </w:t>
      </w:r>
      <w:r w:rsidRPr="008F41CA">
        <w:rPr>
          <w:rFonts w:cs="Times New Roman"/>
        </w:rPr>
        <w:t xml:space="preserve">tend to </w:t>
      </w:r>
      <w:r>
        <w:rPr>
          <w:rFonts w:cs="Times New Roman"/>
        </w:rPr>
        <w:t>speak</w:t>
      </w:r>
      <w:r w:rsidRPr="008F41CA">
        <w:rPr>
          <w:rFonts w:cs="Times New Roman"/>
        </w:rPr>
        <w:t xml:space="preserve"> in hesitant, indirect and self-effacing language</w:t>
      </w:r>
      <w:r>
        <w:rPr>
          <w:rFonts w:cs="Times New Roman"/>
        </w:rPr>
        <w:t xml:space="preserve"> (Easteal</w:t>
      </w:r>
      <w:r w:rsidR="007979D6">
        <w:rPr>
          <w:rFonts w:cs="Times New Roman"/>
        </w:rPr>
        <w:t>,</w:t>
      </w:r>
      <w:r>
        <w:rPr>
          <w:rFonts w:cs="Times New Roman"/>
        </w:rPr>
        <w:t xml:space="preserve"> 2010: 11)</w:t>
      </w:r>
      <w:r w:rsidRPr="008F41CA">
        <w:rPr>
          <w:rFonts w:cs="Times New Roman"/>
        </w:rPr>
        <w:t>.</w:t>
      </w:r>
      <w:r>
        <w:rPr>
          <w:rFonts w:cs="Times New Roman"/>
        </w:rPr>
        <w:t xml:space="preserve"> They</w:t>
      </w:r>
      <w:r w:rsidRPr="008F41CA">
        <w:rPr>
          <w:rFonts w:cs="Times New Roman"/>
        </w:rPr>
        <w:t xml:space="preserve"> </w:t>
      </w:r>
      <w:r>
        <w:rPr>
          <w:rFonts w:cs="Times New Roman"/>
        </w:rPr>
        <w:t>may hedge what they say:</w:t>
      </w:r>
      <w:r w:rsidRPr="008F41CA">
        <w:rPr>
          <w:rFonts w:cs="Times New Roman"/>
        </w:rPr>
        <w:t xml:space="preserve"> ‘Well, um. Looks as if probably’</w:t>
      </w:r>
      <w:r>
        <w:rPr>
          <w:rFonts w:cs="Times New Roman"/>
        </w:rPr>
        <w:t xml:space="preserve"> (Holmes</w:t>
      </w:r>
      <w:r w:rsidR="007979D6">
        <w:rPr>
          <w:rFonts w:cs="Times New Roman"/>
        </w:rPr>
        <w:t>,</w:t>
      </w:r>
      <w:r>
        <w:rPr>
          <w:rFonts w:cs="Times New Roman"/>
        </w:rPr>
        <w:t xml:space="preserve"> 2006: 9).</w:t>
      </w:r>
      <w:r w:rsidRPr="008F41CA">
        <w:rPr>
          <w:rFonts w:cs="Times New Roman"/>
        </w:rPr>
        <w:t xml:space="preserve"> </w:t>
      </w:r>
      <w:r>
        <w:rPr>
          <w:rFonts w:cs="Times New Roman"/>
        </w:rPr>
        <w:t xml:space="preserve">Going a step further, women may even ascribe self-blame as was </w:t>
      </w:r>
      <w:r>
        <w:rPr>
          <w:rFonts w:cs="Times New Roman"/>
          <w:kern w:val="24"/>
        </w:rPr>
        <w:t>starkly illustrated by Robin Kina.</w:t>
      </w:r>
      <w:r>
        <w:rPr>
          <w:rFonts w:cs="Times New Roman"/>
        </w:rPr>
        <w:t xml:space="preserve"> A</w:t>
      </w:r>
      <w:r w:rsidRPr="008F41CA">
        <w:rPr>
          <w:rFonts w:cs="Times New Roman"/>
        </w:rPr>
        <w:t>rrested for killing her partner</w:t>
      </w:r>
      <w:r>
        <w:rPr>
          <w:rFonts w:cs="Times New Roman"/>
        </w:rPr>
        <w:t>, she answered</w:t>
      </w:r>
      <w:r w:rsidRPr="008F41CA">
        <w:rPr>
          <w:rFonts w:cs="Times New Roman"/>
        </w:rPr>
        <w:t xml:space="preserve"> questions concerning her violent partner’s assaults, </w:t>
      </w:r>
      <w:r>
        <w:rPr>
          <w:rFonts w:cs="Times New Roman"/>
        </w:rPr>
        <w:t>by tagging</w:t>
      </w:r>
      <w:r w:rsidRPr="008F41CA">
        <w:rPr>
          <w:rFonts w:cs="Times New Roman"/>
        </w:rPr>
        <w:t xml:space="preserve"> her responses with statements such as: ‘But I probably deserved that’; or, ‘I probably caused him to do that by my behaviour’</w:t>
      </w:r>
      <w:r>
        <w:rPr>
          <w:rFonts w:cs="Times New Roman"/>
        </w:rPr>
        <w:t xml:space="preserve"> (Easteal and Hopkins</w:t>
      </w:r>
      <w:r w:rsidR="007979D6">
        <w:rPr>
          <w:rFonts w:cs="Times New Roman"/>
        </w:rPr>
        <w:t>,</w:t>
      </w:r>
      <w:r>
        <w:rPr>
          <w:rFonts w:cs="Times New Roman"/>
        </w:rPr>
        <w:t xml:space="preserve"> 2010: 112)</w:t>
      </w:r>
      <w:r w:rsidRPr="008F41CA">
        <w:rPr>
          <w:rFonts w:cs="Times New Roman"/>
        </w:rPr>
        <w:t xml:space="preserve">. </w:t>
      </w:r>
    </w:p>
    <w:p w14:paraId="1FCB3E4B" w14:textId="77777777" w:rsidR="004B5400" w:rsidRPr="008F41CA" w:rsidRDefault="004B5400" w:rsidP="00F56840">
      <w:pPr>
        <w:spacing w:line="240" w:lineRule="auto"/>
        <w:jc w:val="both"/>
        <w:rPr>
          <w:rFonts w:cs="Times New Roman"/>
        </w:rPr>
      </w:pPr>
    </w:p>
    <w:p w14:paraId="460FA86A" w14:textId="370719DF" w:rsidR="004B5400" w:rsidRPr="005A5A47" w:rsidRDefault="005A5A47" w:rsidP="005A5A47">
      <w:pPr>
        <w:widowControl w:val="0"/>
        <w:autoSpaceDE w:val="0"/>
        <w:autoSpaceDN w:val="0"/>
        <w:adjustRightInd w:val="0"/>
        <w:spacing w:line="240" w:lineRule="auto"/>
        <w:jc w:val="center"/>
        <w:rPr>
          <w:rFonts w:cs="Times New Roman"/>
        </w:rPr>
      </w:pPr>
      <w:r w:rsidRPr="005A5A47">
        <w:rPr>
          <w:rFonts w:cs="Times New Roman"/>
          <w:iCs/>
        </w:rPr>
        <w:t>V. RECOGNITION OF VIOLENCE IN FAMILY LAW AND PROPERTY DISPUTES IN PARTICULAR</w:t>
      </w:r>
    </w:p>
    <w:p w14:paraId="4360599F" w14:textId="77777777" w:rsidR="00D13488" w:rsidRDefault="00D13488" w:rsidP="00D1445E">
      <w:pPr>
        <w:spacing w:line="240" w:lineRule="auto"/>
        <w:jc w:val="both"/>
        <w:rPr>
          <w:color w:val="2E2C29"/>
        </w:rPr>
      </w:pPr>
    </w:p>
    <w:p w14:paraId="78C1A1E2" w14:textId="671DA445" w:rsidR="004B5400" w:rsidRDefault="004B5400" w:rsidP="00D1445E">
      <w:pPr>
        <w:spacing w:line="240" w:lineRule="auto"/>
        <w:jc w:val="both"/>
        <w:rPr>
          <w:color w:val="2E2C29"/>
        </w:rPr>
      </w:pPr>
      <w:r>
        <w:rPr>
          <w:color w:val="2E2C29"/>
        </w:rPr>
        <w:t>Against this backdrop, we turn now to consider how family violence is addressed in Australian family law property disputes.</w:t>
      </w:r>
    </w:p>
    <w:p w14:paraId="186BCCD1" w14:textId="77777777" w:rsidR="004B5400" w:rsidRDefault="004B5400" w:rsidP="00D1445E">
      <w:pPr>
        <w:spacing w:line="240" w:lineRule="auto"/>
        <w:jc w:val="both"/>
        <w:rPr>
          <w:color w:val="2E2C29"/>
        </w:rPr>
      </w:pPr>
    </w:p>
    <w:p w14:paraId="6E541460" w14:textId="0A4386C9" w:rsidR="004B5400" w:rsidRDefault="004B5400" w:rsidP="005A5A47">
      <w:pPr>
        <w:spacing w:line="240" w:lineRule="auto"/>
        <w:ind w:firstLine="720"/>
        <w:jc w:val="both"/>
        <w:rPr>
          <w:color w:val="2E2C29"/>
        </w:rPr>
      </w:pPr>
      <w:r>
        <w:rPr>
          <w:color w:val="2E2C29"/>
        </w:rPr>
        <w:t>The introduction of no-fault divorce in Australia did little to assist with societal and judicial recognition of, and responses to, family violence. As has been well documented (Young et al</w:t>
      </w:r>
      <w:r w:rsidR="007979D6">
        <w:rPr>
          <w:color w:val="2E2C29"/>
        </w:rPr>
        <w:t>.,</w:t>
      </w:r>
      <w:r>
        <w:rPr>
          <w:color w:val="2E2C29"/>
        </w:rPr>
        <w:t xml:space="preserve"> 2016:</w:t>
      </w:r>
      <w:r w:rsidR="007979D6">
        <w:rPr>
          <w:color w:val="2E2C29"/>
        </w:rPr>
        <w:t xml:space="preserve"> </w:t>
      </w:r>
      <w:r>
        <w:rPr>
          <w:color w:val="2E2C29"/>
        </w:rPr>
        <w:t xml:space="preserve">[14.37]), concern about reverting to notions of fault encouraged judicial officers (who might at that time in any event have been less than sensitive to issues of violence) to reject as relevant claims of family violence. An obvious example was the position taken in parenting disputes that violence not directly witnessed by a child was not relevant to a parenting dispute </w:t>
      </w:r>
      <w:r w:rsidR="00AC6899">
        <w:rPr>
          <w:color w:val="2E2C29"/>
        </w:rPr>
        <w:t>(</w:t>
      </w:r>
      <w:r>
        <w:rPr>
          <w:color w:val="2E2C29"/>
        </w:rPr>
        <w:t>Young et al</w:t>
      </w:r>
      <w:r w:rsidR="007979D6">
        <w:rPr>
          <w:color w:val="2E2C29"/>
        </w:rPr>
        <w:t>.,</w:t>
      </w:r>
      <w:r>
        <w:rPr>
          <w:color w:val="2E2C29"/>
        </w:rPr>
        <w:t xml:space="preserve"> 2016:</w:t>
      </w:r>
      <w:r w:rsidR="007979D6">
        <w:rPr>
          <w:color w:val="2E2C29"/>
        </w:rPr>
        <w:t xml:space="preserve"> </w:t>
      </w:r>
      <w:r>
        <w:rPr>
          <w:color w:val="2E2C29"/>
        </w:rPr>
        <w:t xml:space="preserve">[9.29]). </w:t>
      </w:r>
    </w:p>
    <w:p w14:paraId="36158254" w14:textId="4A385650" w:rsidR="004B5400" w:rsidRDefault="004B5400" w:rsidP="00D1445E">
      <w:pPr>
        <w:spacing w:line="240" w:lineRule="auto"/>
        <w:jc w:val="both"/>
        <w:rPr>
          <w:color w:val="2E2C29"/>
        </w:rPr>
      </w:pPr>
    </w:p>
    <w:p w14:paraId="0E80EDF0" w14:textId="4F292934" w:rsidR="004B5400" w:rsidRDefault="004B5400" w:rsidP="005A5A47">
      <w:pPr>
        <w:spacing w:line="240" w:lineRule="auto"/>
        <w:ind w:firstLine="720"/>
        <w:jc w:val="both"/>
        <w:rPr>
          <w:color w:val="2E2C29"/>
        </w:rPr>
      </w:pPr>
      <w:r>
        <w:rPr>
          <w:color w:val="2E2C29"/>
        </w:rPr>
        <w:t>Since those early days, the court – and now the legislature – has come a long way in attempting to ensure that both the law and process of parenting disputes better identify, and respond to, family violence.</w:t>
      </w:r>
      <w:r>
        <w:rPr>
          <w:rStyle w:val="EndnoteReference"/>
          <w:color w:val="2E2C29"/>
        </w:rPr>
        <w:endnoteReference w:id="21"/>
      </w:r>
      <w:r>
        <w:rPr>
          <w:color w:val="2E2C29"/>
        </w:rPr>
        <w:t xml:space="preserve">  However, the case for factoring violence </w:t>
      </w:r>
      <w:r>
        <w:rPr>
          <w:color w:val="2E2C29"/>
        </w:rPr>
        <w:lastRenderedPageBreak/>
        <w:t xml:space="preserve">into property settlements has been much harder to make and there remains disagreement about the best way forward.  We have identified briefly above ways in which issues of family violence can intersect with family law property matters and factors that inhibit family violence being appropriately addressed.  </w:t>
      </w:r>
    </w:p>
    <w:p w14:paraId="19FB45AA" w14:textId="77777777" w:rsidR="004B5400" w:rsidRDefault="004B5400" w:rsidP="00D1445E">
      <w:pPr>
        <w:spacing w:line="240" w:lineRule="auto"/>
        <w:jc w:val="both"/>
        <w:rPr>
          <w:color w:val="2E2C29"/>
        </w:rPr>
      </w:pPr>
    </w:p>
    <w:p w14:paraId="6C807842" w14:textId="65452585" w:rsidR="004B5400" w:rsidRDefault="004B5400" w:rsidP="005A5A47">
      <w:pPr>
        <w:spacing w:line="240" w:lineRule="auto"/>
        <w:ind w:firstLine="720"/>
        <w:jc w:val="both"/>
      </w:pPr>
      <w:r>
        <w:rPr>
          <w:color w:val="2E2C29"/>
        </w:rPr>
        <w:t>We would suggest there has been a further, and significant factor, which has made addressing issues of family violence in property disputes problematic.</w:t>
      </w:r>
      <w:r w:rsidR="007979D6">
        <w:rPr>
          <w:color w:val="2E2C29"/>
        </w:rPr>
        <w:t xml:space="preserve"> </w:t>
      </w:r>
      <w:r>
        <w:rPr>
          <w:color w:val="2E2C29"/>
        </w:rPr>
        <w:t>Behrens (2010:</w:t>
      </w:r>
      <w:r w:rsidR="007979D6">
        <w:rPr>
          <w:color w:val="2E2C29"/>
        </w:rPr>
        <w:t xml:space="preserve"> </w:t>
      </w:r>
      <w:r>
        <w:rPr>
          <w:color w:val="2E2C29"/>
        </w:rPr>
        <w:t>211) has argued that the traditional reluctance of family courts to take violence into consideration in property disputes ‘</w:t>
      </w:r>
      <w:r w:rsidRPr="008F41CA">
        <w:t>points to an under-valuing of women’s work.</w:t>
      </w:r>
      <w:r>
        <w:t>’ Echoing this concern in a more general sense, Young (1997:</w:t>
      </w:r>
      <w:r w:rsidR="007979D6">
        <w:t xml:space="preserve"> </w:t>
      </w:r>
      <w:r>
        <w:t>268) has argued that the historical failure of judges to value appropriately the contributions of women in ‘big money’ cases exposes an implicit judicial bias that undervalues domestic and caregiving labour in favour of traditional ‘breadwinner’ financial contributions. Where women’s contributions to a marriage are not seen to be directly financial, and not believed to be as valuable as earning money, then it is little wonder that even proven serious violence would not loom large in a judge’s assessment of the parties’ respective contributions in so far as they are relevant to the division of assets.</w:t>
      </w:r>
    </w:p>
    <w:p w14:paraId="35BB0EBF" w14:textId="77777777" w:rsidR="004B5400" w:rsidRDefault="004B5400" w:rsidP="00D1445E">
      <w:pPr>
        <w:spacing w:line="240" w:lineRule="auto"/>
        <w:jc w:val="both"/>
      </w:pPr>
    </w:p>
    <w:p w14:paraId="44321381" w14:textId="50684945" w:rsidR="004B5400" w:rsidRDefault="004B5400" w:rsidP="005A5A47">
      <w:pPr>
        <w:spacing w:line="240" w:lineRule="auto"/>
        <w:ind w:firstLine="720"/>
        <w:jc w:val="both"/>
      </w:pPr>
      <w:r>
        <w:t xml:space="preserve">The introduction of the </w:t>
      </w:r>
      <w:r w:rsidRPr="007D2B5C">
        <w:rPr>
          <w:i/>
        </w:rPr>
        <w:t>Kennon</w:t>
      </w:r>
      <w:r>
        <w:t xml:space="preserve"> principle was, therefore, a very significant step in the right direction by trying to formulate a test for the consideration of violence in property settlements. </w:t>
      </w:r>
      <w:r w:rsidRPr="003B23B9">
        <w:rPr>
          <w:i/>
        </w:rPr>
        <w:t>Kennon</w:t>
      </w:r>
      <w:r>
        <w:t xml:space="preserve"> was decided in 1997, shortly following parenting case law that gave much greater recognition to family violence (Young et al 2016: 9.34). In addition, very recently</w:t>
      </w:r>
      <w:r>
        <w:rPr>
          <w:rStyle w:val="EndnoteReference"/>
        </w:rPr>
        <w:endnoteReference w:id="22"/>
      </w:r>
      <w:r>
        <w:t xml:space="preserve"> the Full Court has reconsidered its treatment of ‘big money’ cases,</w:t>
      </w:r>
      <w:r>
        <w:rPr>
          <w:rStyle w:val="EndnoteReference"/>
        </w:rPr>
        <w:endnoteReference w:id="23"/>
      </w:r>
      <w:r>
        <w:t xml:space="preserve">  paving the way for improved judicial appreciation of the value of caregiving and homemaking.  The question remains, however, whether these advances will in fact ameliorate the various barriers we have discussed and provide an appropriate response for victims of violence.</w:t>
      </w:r>
    </w:p>
    <w:p w14:paraId="45AA0C85" w14:textId="77777777" w:rsidR="004B5400" w:rsidRDefault="004B5400" w:rsidP="00D1445E">
      <w:pPr>
        <w:spacing w:line="240" w:lineRule="auto"/>
        <w:jc w:val="both"/>
      </w:pPr>
    </w:p>
    <w:p w14:paraId="1E45F3C3" w14:textId="3993259C" w:rsidR="004B5400" w:rsidRPr="00DE35E2" w:rsidRDefault="004B5400" w:rsidP="00250F35">
      <w:pPr>
        <w:spacing w:line="240" w:lineRule="auto"/>
        <w:ind w:firstLine="720"/>
        <w:jc w:val="both"/>
      </w:pPr>
      <w:r>
        <w:t>Unlike many jurisdictions such as Scotland, many European and US states, which have opted for more ‘rules’, Australia’s family property laws are more akin to the broad discretionary system in England and Wales.  The FLA provisions on property settlement require decision makers to take account, broadly, of two constellations of factors, when deciding what property orders it considers ‘appropriate’ and ‘just and equitable’: s 79. The first constellation</w:t>
      </w:r>
      <w:r>
        <w:rPr>
          <w:rStyle w:val="EndnoteReference"/>
        </w:rPr>
        <w:endnoteReference w:id="24"/>
      </w:r>
      <w:r>
        <w:t xml:space="preserve"> all relate to past contributions, including to the welfare of the family; the second</w:t>
      </w:r>
      <w:r>
        <w:rPr>
          <w:rStyle w:val="EndnoteReference"/>
        </w:rPr>
        <w:endnoteReference w:id="25"/>
      </w:r>
      <w:r>
        <w:t xml:space="preserve"> relate to future factors that go to the parties’ ability to support themselves. Family violence is not mentioned anywhere, </w:t>
      </w:r>
      <w:r w:rsidRPr="00DE35E2">
        <w:t xml:space="preserve">though s 75(2)(o) permits the court to take into account </w:t>
      </w:r>
      <w:r>
        <w:t>‘</w:t>
      </w:r>
      <w:r w:rsidRPr="007D2B5C">
        <w:t>any fact or circumstance which, in the opinion of the court, the justice of the case requires to be taken into account</w:t>
      </w:r>
      <w:r>
        <w:t xml:space="preserve">’. </w:t>
      </w:r>
    </w:p>
    <w:p w14:paraId="2D19445A" w14:textId="77777777" w:rsidR="004B5400" w:rsidRDefault="004B5400" w:rsidP="00D1445E">
      <w:pPr>
        <w:spacing w:line="240" w:lineRule="auto"/>
        <w:jc w:val="both"/>
      </w:pPr>
    </w:p>
    <w:p w14:paraId="6BA05CC8" w14:textId="1FF88A7F" w:rsidR="004B5400" w:rsidRDefault="004B5400" w:rsidP="00250F35">
      <w:pPr>
        <w:spacing w:line="240" w:lineRule="auto"/>
        <w:ind w:firstLine="720"/>
        <w:jc w:val="both"/>
        <w:rPr>
          <w:rFonts w:eastAsia="Times New Roman" w:cs="Times New Roman"/>
          <w:color w:val="000000"/>
          <w:lang w:val="en-AU"/>
        </w:rPr>
      </w:pPr>
      <w:r>
        <w:t>R</w:t>
      </w:r>
      <w:r w:rsidRPr="008F41CA">
        <w:t xml:space="preserve">edistribution </w:t>
      </w:r>
      <w:r>
        <w:t xml:space="preserve">of assets </w:t>
      </w:r>
      <w:r w:rsidRPr="008F41CA">
        <w:t xml:space="preserve">upon divorce is one means by which the law </w:t>
      </w:r>
      <w:r>
        <w:t>could be seen to</w:t>
      </w:r>
      <w:r w:rsidRPr="008F41CA">
        <w:t xml:space="preserve"> compensate for th</w:t>
      </w:r>
      <w:r>
        <w:t>e effects</w:t>
      </w:r>
      <w:r w:rsidRPr="008F41CA">
        <w:t xml:space="preserve"> </w:t>
      </w:r>
      <w:r>
        <w:t>family</w:t>
      </w:r>
      <w:r w:rsidRPr="008F41CA">
        <w:t xml:space="preserve"> violence can have upon the economic lives of its victims</w:t>
      </w:r>
      <w:r>
        <w:t xml:space="preserve"> - effects that ‘</w:t>
      </w:r>
      <w:r w:rsidRPr="008F41CA">
        <w:rPr>
          <w:color w:val="2E2C29"/>
        </w:rPr>
        <w:t xml:space="preserve">make a </w:t>
      </w:r>
      <w:r>
        <w:rPr>
          <w:color w:val="2E2C29"/>
        </w:rPr>
        <w:t xml:space="preserve">victim’s role, whether as child </w:t>
      </w:r>
      <w:r w:rsidRPr="008F41CA">
        <w:rPr>
          <w:color w:val="2E2C29"/>
        </w:rPr>
        <w:t>carer, homemaker or in maintaining a position in the paid workplace, more onerous’</w:t>
      </w:r>
      <w:r>
        <w:rPr>
          <w:color w:val="2E2C29"/>
        </w:rPr>
        <w:t xml:space="preserve"> (New South Wales Law Reform Commission</w:t>
      </w:r>
      <w:r w:rsidR="007979D6">
        <w:rPr>
          <w:color w:val="2E2C29"/>
        </w:rPr>
        <w:t>,</w:t>
      </w:r>
      <w:r>
        <w:rPr>
          <w:color w:val="2E2C29"/>
        </w:rPr>
        <w:t xml:space="preserve"> 2006:</w:t>
      </w:r>
      <w:r w:rsidR="007979D6">
        <w:rPr>
          <w:color w:val="2E2C29"/>
        </w:rPr>
        <w:t xml:space="preserve"> </w:t>
      </w:r>
      <w:r>
        <w:rPr>
          <w:color w:val="2E2C29"/>
        </w:rPr>
        <w:t xml:space="preserve">221). </w:t>
      </w:r>
      <w:r>
        <w:rPr>
          <w:rFonts w:cs="Times New Roman"/>
          <w:color w:val="2E2C29"/>
        </w:rPr>
        <w:t>I</w:t>
      </w:r>
      <w:r w:rsidRPr="008F41CA">
        <w:rPr>
          <w:rFonts w:cs="Times New Roman"/>
          <w:color w:val="2E2C29"/>
        </w:rPr>
        <w:t xml:space="preserve">t could </w:t>
      </w:r>
      <w:r>
        <w:rPr>
          <w:rFonts w:cs="Times New Roman"/>
          <w:color w:val="2E2C29"/>
        </w:rPr>
        <w:t xml:space="preserve">also </w:t>
      </w:r>
      <w:r w:rsidRPr="008F41CA">
        <w:rPr>
          <w:rFonts w:cs="Times New Roman"/>
          <w:color w:val="2E2C29"/>
        </w:rPr>
        <w:t>be argued that financial redistribution</w:t>
      </w:r>
      <w:r>
        <w:rPr>
          <w:rFonts w:cs="Times New Roman"/>
          <w:color w:val="2E2C29"/>
        </w:rPr>
        <w:t xml:space="preserve"> of assets</w:t>
      </w:r>
      <w:r w:rsidRPr="008F41CA">
        <w:rPr>
          <w:rFonts w:cs="Times New Roman"/>
          <w:color w:val="2E2C29"/>
        </w:rPr>
        <w:t xml:space="preserve"> may be a ‘socially acceptable’ means by which to hold ‘parties responsible for their culpable behaviour’</w:t>
      </w:r>
      <w:r>
        <w:rPr>
          <w:rFonts w:cs="Times New Roman"/>
          <w:color w:val="2E2C29"/>
        </w:rPr>
        <w:t xml:space="preserve"> (Lee</w:t>
      </w:r>
      <w:r w:rsidR="007979D6">
        <w:rPr>
          <w:rFonts w:cs="Times New Roman"/>
          <w:color w:val="2E2C29"/>
        </w:rPr>
        <w:t>,</w:t>
      </w:r>
      <w:r>
        <w:rPr>
          <w:rFonts w:cs="Times New Roman"/>
          <w:color w:val="2E2C29"/>
        </w:rPr>
        <w:t xml:space="preserve"> 2002: 279-280)</w:t>
      </w:r>
      <w:r w:rsidRPr="008F41CA">
        <w:rPr>
          <w:rFonts w:cs="Times New Roman"/>
          <w:color w:val="2E2C29"/>
        </w:rPr>
        <w:t>.</w:t>
      </w:r>
      <w:r>
        <w:rPr>
          <w:rFonts w:cs="Times New Roman"/>
          <w:color w:val="2E2C29"/>
        </w:rPr>
        <w:t xml:space="preserve"> </w:t>
      </w:r>
      <w:r w:rsidRPr="008F41CA">
        <w:rPr>
          <w:rFonts w:cs="Times New Roman"/>
          <w:color w:val="2E2C29"/>
        </w:rPr>
        <w:t>This may consequently operate as a deterren</w:t>
      </w:r>
      <w:r>
        <w:rPr>
          <w:rFonts w:cs="Times New Roman"/>
          <w:color w:val="2E2C29"/>
        </w:rPr>
        <w:t>t</w:t>
      </w:r>
      <w:r w:rsidRPr="008F41CA">
        <w:rPr>
          <w:rFonts w:cs="Times New Roman"/>
          <w:color w:val="2E2C29"/>
        </w:rPr>
        <w:t xml:space="preserve"> as well as ensuring that a victim has the financial means to escape the abuse</w:t>
      </w:r>
      <w:r>
        <w:rPr>
          <w:rFonts w:cs="Times New Roman"/>
          <w:color w:val="2E2C29"/>
        </w:rPr>
        <w:t xml:space="preserve"> </w:t>
      </w:r>
      <w:r w:rsidR="00E92CFB">
        <w:rPr>
          <w:rFonts w:cs="Times New Roman"/>
          <w:color w:val="2E2C29"/>
        </w:rPr>
        <w:t>(</w:t>
      </w:r>
      <w:r>
        <w:rPr>
          <w:rFonts w:cs="Times New Roman"/>
          <w:color w:val="2E2C29"/>
        </w:rPr>
        <w:t>Lee</w:t>
      </w:r>
      <w:r w:rsidR="007979D6">
        <w:rPr>
          <w:rFonts w:cs="Times New Roman"/>
          <w:color w:val="2E2C29"/>
        </w:rPr>
        <w:t>,</w:t>
      </w:r>
      <w:r>
        <w:rPr>
          <w:rFonts w:cs="Times New Roman"/>
          <w:color w:val="2E2C29"/>
        </w:rPr>
        <w:t xml:space="preserve"> 2002: 295)</w:t>
      </w:r>
      <w:r w:rsidRPr="008F41CA">
        <w:rPr>
          <w:rFonts w:cs="Times New Roman"/>
          <w:color w:val="2E2C29"/>
        </w:rPr>
        <w:t>.</w:t>
      </w:r>
      <w:r>
        <w:rPr>
          <w:rFonts w:cs="Times New Roman"/>
          <w:color w:val="2E2C29"/>
        </w:rPr>
        <w:t xml:space="preserve"> However</w:t>
      </w:r>
      <w:r w:rsidR="00852D10">
        <w:rPr>
          <w:rFonts w:cs="Times New Roman"/>
          <w:color w:val="2E2C29"/>
        </w:rPr>
        <w:t>,</w:t>
      </w:r>
      <w:r>
        <w:rPr>
          <w:rFonts w:cs="Times New Roman"/>
          <w:color w:val="2E2C29"/>
        </w:rPr>
        <w:t xml:space="preserve"> the terms of the relevant FLA sections, and their </w:t>
      </w:r>
      <w:r>
        <w:rPr>
          <w:rFonts w:cs="Times New Roman"/>
          <w:color w:val="2E2C29"/>
        </w:rPr>
        <w:lastRenderedPageBreak/>
        <w:t>interpretation to date, do not permit judicial officers to ‘compensate’ victims,</w:t>
      </w:r>
      <w:r>
        <w:rPr>
          <w:rStyle w:val="EndnoteReference"/>
          <w:rFonts w:cs="Times New Roman"/>
          <w:color w:val="2E2C29"/>
        </w:rPr>
        <w:endnoteReference w:id="26"/>
      </w:r>
      <w:r>
        <w:rPr>
          <w:rFonts w:cs="Times New Roman"/>
          <w:color w:val="2E2C29"/>
        </w:rPr>
        <w:t xml:space="preserve"> or ‘punish’ offenders for their behaviour, whether that behaviour has a financial consequence or not.  As</w:t>
      </w:r>
      <w:r w:rsidRPr="008F41CA">
        <w:rPr>
          <w:rFonts w:eastAsia="Times New Roman" w:cs="Times New Roman"/>
          <w:color w:val="000000"/>
          <w:lang w:val="en-AU"/>
        </w:rPr>
        <w:t xml:space="preserve"> </w:t>
      </w:r>
      <w:r>
        <w:rPr>
          <w:rFonts w:eastAsia="Times New Roman" w:cs="Times New Roman"/>
          <w:color w:val="000000"/>
          <w:lang w:val="en-AU"/>
        </w:rPr>
        <w:t xml:space="preserve">Judge Heather </w:t>
      </w:r>
      <w:r w:rsidRPr="008F41CA">
        <w:rPr>
          <w:rFonts w:eastAsia="Times New Roman" w:cs="Times New Roman"/>
          <w:color w:val="000000"/>
        </w:rPr>
        <w:t xml:space="preserve">Riley </w:t>
      </w:r>
      <w:r>
        <w:rPr>
          <w:rFonts w:eastAsia="Times New Roman" w:cs="Times New Roman"/>
          <w:color w:val="000000"/>
        </w:rPr>
        <w:t>recently pointed out</w:t>
      </w:r>
      <w:r w:rsidRPr="008F41CA">
        <w:rPr>
          <w:rFonts w:eastAsia="Times New Roman" w:cs="Times New Roman"/>
          <w:color w:val="000000"/>
          <w:lang w:val="en-AU"/>
        </w:rPr>
        <w:t xml:space="preserve">: </w:t>
      </w:r>
    </w:p>
    <w:p w14:paraId="22E0DB63" w14:textId="77777777" w:rsidR="00021FF5" w:rsidRPr="008F41CA" w:rsidRDefault="00021FF5" w:rsidP="00250F35">
      <w:pPr>
        <w:spacing w:line="240" w:lineRule="auto"/>
        <w:ind w:firstLine="720"/>
        <w:jc w:val="both"/>
        <w:rPr>
          <w:rFonts w:eastAsia="Times New Roman" w:cs="Times New Roman"/>
          <w:color w:val="000000"/>
          <w:lang w:val="en-AU"/>
        </w:rPr>
      </w:pPr>
    </w:p>
    <w:p w14:paraId="02145936" w14:textId="0C8B4E04" w:rsidR="004B5400" w:rsidRPr="008F41CA" w:rsidRDefault="00021FF5" w:rsidP="00D1445E">
      <w:pPr>
        <w:pStyle w:val="BlockText"/>
        <w:spacing w:after="0" w:line="240" w:lineRule="auto"/>
        <w:jc w:val="both"/>
      </w:pPr>
      <w:r>
        <w:t>‘</w:t>
      </w:r>
      <w:r w:rsidR="004B5400" w:rsidRPr="008F41CA">
        <w:t>It may be that the laudable concept of no-fault divorce has been inadvertently expanded to create a concept of no-fault property settlement when the preferable course might be to use property settlements as a mechanism to punish, and thus deter, perpetrators of </w:t>
      </w:r>
      <w:r w:rsidR="004B5400" w:rsidRPr="008F41CA">
        <w:rPr>
          <w:bCs/>
        </w:rPr>
        <w:t>domestic violence</w:t>
      </w:r>
      <w:r w:rsidR="004B5400" w:rsidRPr="008F41CA">
        <w:t>. However, that is a matter for others</w:t>
      </w:r>
      <w:r>
        <w:t>’</w:t>
      </w:r>
      <w:r w:rsidR="004B5400" w:rsidRPr="008F41CA">
        <w:t>.</w:t>
      </w:r>
      <w:r w:rsidR="004B5400" w:rsidRPr="008F41CA">
        <w:rPr>
          <w:rStyle w:val="EndnoteReference"/>
        </w:rPr>
        <w:endnoteReference w:id="27"/>
      </w:r>
    </w:p>
    <w:p w14:paraId="1ECAF832" w14:textId="02C52807" w:rsidR="004B5400" w:rsidRDefault="004B5400" w:rsidP="00D1445E">
      <w:pPr>
        <w:spacing w:line="240" w:lineRule="auto"/>
        <w:jc w:val="both"/>
        <w:rPr>
          <w:color w:val="2E2C29"/>
        </w:rPr>
      </w:pPr>
    </w:p>
    <w:p w14:paraId="30EC43DC" w14:textId="2E5AA0FA" w:rsidR="004B5400" w:rsidRDefault="004B5400" w:rsidP="00250F35">
      <w:pPr>
        <w:widowControl w:val="0"/>
        <w:autoSpaceDE w:val="0"/>
        <w:autoSpaceDN w:val="0"/>
        <w:adjustRightInd w:val="0"/>
        <w:spacing w:line="240" w:lineRule="auto"/>
        <w:ind w:firstLine="720"/>
        <w:jc w:val="both"/>
      </w:pPr>
      <w:r>
        <w:rPr>
          <w:rFonts w:cs="Times New Roman"/>
          <w:color w:val="000000"/>
        </w:rPr>
        <w:t xml:space="preserve">Notwithstanding </w:t>
      </w:r>
      <w:r w:rsidRPr="004853A4">
        <w:rPr>
          <w:rFonts w:cs="Times New Roman"/>
          <w:i/>
          <w:color w:val="000000"/>
        </w:rPr>
        <w:t>Kennon</w:t>
      </w:r>
      <w:r>
        <w:rPr>
          <w:rFonts w:cs="Times New Roman"/>
          <w:color w:val="000000"/>
        </w:rPr>
        <w:t xml:space="preserve">, as discussed below, various proposals have been raised over the years as to how the FLA might be amended to incorporate consideration of family violence in property disputes. </w:t>
      </w:r>
      <w:r>
        <w:rPr>
          <w:rFonts w:cs="Times New Roman"/>
        </w:rPr>
        <w:t>However,</w:t>
      </w:r>
      <w:r>
        <w:rPr>
          <w:rFonts w:cs="Times New Roman"/>
          <w:color w:val="000000"/>
        </w:rPr>
        <w:t xml:space="preserve"> despite this, and despite the current focus on family violence in parenting matters, there has not, as yet, been any </w:t>
      </w:r>
      <w:r w:rsidRPr="00327643">
        <w:rPr>
          <w:rFonts w:cs="Times New Roman"/>
          <w:color w:val="000000"/>
        </w:rPr>
        <w:t xml:space="preserve">legislative </w:t>
      </w:r>
      <w:r>
        <w:rPr>
          <w:rFonts w:cs="Times New Roman"/>
          <w:color w:val="000000"/>
        </w:rPr>
        <w:t>reform in this area.</w:t>
      </w:r>
      <w:r w:rsidRPr="00327643">
        <w:rPr>
          <w:rFonts w:cs="Times New Roman"/>
          <w:color w:val="000000"/>
        </w:rPr>
        <w:t xml:space="preserve"> </w:t>
      </w:r>
      <w:r>
        <w:rPr>
          <w:rFonts w:cs="Times New Roman"/>
          <w:color w:val="000000"/>
        </w:rPr>
        <w:t>The matter has been left to judicial activism and so we have seen the Family Court develop its own principle permitting a history of family violence to be argued as</w:t>
      </w:r>
      <w:r w:rsidRPr="00327643">
        <w:rPr>
          <w:rFonts w:cs="Times New Roman"/>
          <w:color w:val="000000"/>
        </w:rPr>
        <w:t xml:space="preserve"> relevan</w:t>
      </w:r>
      <w:r>
        <w:rPr>
          <w:rFonts w:cs="Times New Roman"/>
          <w:color w:val="000000"/>
        </w:rPr>
        <w:t>t</w:t>
      </w:r>
      <w:r w:rsidRPr="00327643">
        <w:rPr>
          <w:rFonts w:cs="Times New Roman"/>
          <w:color w:val="000000"/>
        </w:rPr>
        <w:t xml:space="preserve"> </w:t>
      </w:r>
      <w:r>
        <w:rPr>
          <w:rFonts w:cs="Times New Roman"/>
          <w:color w:val="000000"/>
        </w:rPr>
        <w:t>to a property settlement outcome</w:t>
      </w:r>
      <w:r w:rsidRPr="00327643">
        <w:rPr>
          <w:rFonts w:cs="Times New Roman"/>
          <w:color w:val="000000"/>
        </w:rPr>
        <w:t>.</w:t>
      </w:r>
      <w:r>
        <w:rPr>
          <w:rStyle w:val="EndnoteReference"/>
          <w:rFonts w:cs="Times New Roman"/>
          <w:color w:val="000000"/>
        </w:rPr>
        <w:endnoteReference w:id="28"/>
      </w:r>
      <w:r w:rsidRPr="00327643">
        <w:rPr>
          <w:rFonts w:cs="Times New Roman"/>
          <w:color w:val="000000"/>
          <w:position w:val="8"/>
        </w:rPr>
        <w:t xml:space="preserve"> </w:t>
      </w:r>
      <w:r w:rsidRPr="008F41CA">
        <w:t xml:space="preserve">Referred to as the </w:t>
      </w:r>
      <w:r w:rsidRPr="008F41CA">
        <w:rPr>
          <w:i/>
        </w:rPr>
        <w:t>Kennon</w:t>
      </w:r>
      <w:r w:rsidRPr="008F41CA">
        <w:t xml:space="preserve"> ‘principle’, ‘adjustment’ or ‘factor’,</w:t>
      </w:r>
      <w:r>
        <w:t xml:space="preserve"> it is felt by many (including notably some judges) to be the epitome of indeterminacy.  As we noted at the outset, vague and highly discretionary legal tests, even when developed with the best of intentions, can be the victim of conscious or unconscious judicial bias that perpetuate women’s disadvantage. Not only is the </w:t>
      </w:r>
      <w:r w:rsidRPr="004853A4">
        <w:rPr>
          <w:i/>
        </w:rPr>
        <w:t>Kennon</w:t>
      </w:r>
      <w:r>
        <w:t xml:space="preserve"> test awash with vague phrases, it also has the unfortunate effect of operating to exclude the consideration of violence in a great many cases. If the circumstances of the violence do not fall within the </w:t>
      </w:r>
      <w:r w:rsidRPr="004853A4">
        <w:rPr>
          <w:i/>
        </w:rPr>
        <w:t>Kennon</w:t>
      </w:r>
      <w:r>
        <w:t xml:space="preserve"> formulation, then the court is effectively excluded from considering the violence, except to the indirect extent that a victim’s injuries are such that her future self-support needs are increased. Thus, </w:t>
      </w:r>
      <w:r w:rsidRPr="004853A4">
        <w:rPr>
          <w:i/>
        </w:rPr>
        <w:t>Kennon</w:t>
      </w:r>
      <w:r>
        <w:t xml:space="preserve"> provides a narrow, and vague, window within which violence can be considered.</w:t>
      </w:r>
    </w:p>
    <w:p w14:paraId="535884A2" w14:textId="77777777" w:rsidR="004B5400" w:rsidRDefault="004B5400" w:rsidP="00D1445E">
      <w:pPr>
        <w:spacing w:line="240" w:lineRule="auto"/>
        <w:jc w:val="both"/>
        <w:rPr>
          <w:rFonts w:cs="Times New Roman"/>
          <w:highlight w:val="yellow"/>
        </w:rPr>
      </w:pPr>
    </w:p>
    <w:p w14:paraId="056D0445" w14:textId="40D87A92" w:rsidR="004B5400" w:rsidRDefault="004B5400" w:rsidP="00250F35">
      <w:pPr>
        <w:widowControl w:val="0"/>
        <w:autoSpaceDE w:val="0"/>
        <w:autoSpaceDN w:val="0"/>
        <w:adjustRightInd w:val="0"/>
        <w:spacing w:line="240" w:lineRule="auto"/>
        <w:ind w:firstLine="360"/>
        <w:jc w:val="both"/>
      </w:pPr>
      <w:r>
        <w:t xml:space="preserve">How then have the terms of operation, and the vagueness, of the </w:t>
      </w:r>
      <w:r w:rsidRPr="007D2B5C">
        <w:rPr>
          <w:i/>
        </w:rPr>
        <w:t>Kennon</w:t>
      </w:r>
      <w:r>
        <w:t xml:space="preserve"> ‘principle’ impacted on its effectiveness in recognizing abuse histories in family law property awards? To recap, </w:t>
      </w:r>
      <w:r w:rsidRPr="00CA7A2E">
        <w:rPr>
          <w:i/>
        </w:rPr>
        <w:t>Kennon</w:t>
      </w:r>
      <w:r>
        <w:t xml:space="preserve"> requires the victim </w:t>
      </w:r>
      <w:r w:rsidR="007C5553">
        <w:t xml:space="preserve">to </w:t>
      </w:r>
      <w:r>
        <w:t>prove, on the balance of probabilities, that:</w:t>
      </w:r>
    </w:p>
    <w:p w14:paraId="4B337AB7" w14:textId="4AEFBEA1" w:rsidR="004B5400" w:rsidRDefault="004B5400" w:rsidP="00C65B46">
      <w:pPr>
        <w:pStyle w:val="ListParagraph"/>
        <w:widowControl w:val="0"/>
        <w:numPr>
          <w:ilvl w:val="0"/>
          <w:numId w:val="16"/>
        </w:numPr>
        <w:autoSpaceDE w:val="0"/>
        <w:autoSpaceDN w:val="0"/>
        <w:adjustRightInd w:val="0"/>
        <w:spacing w:line="240" w:lineRule="auto"/>
        <w:jc w:val="both"/>
      </w:pPr>
      <w:r>
        <w:t xml:space="preserve">They were the victim of a ‘course of violent conduct’  </w:t>
      </w:r>
    </w:p>
    <w:p w14:paraId="6A710139" w14:textId="33F71617" w:rsidR="004B5400" w:rsidRDefault="004B5400" w:rsidP="00C65B46">
      <w:pPr>
        <w:pStyle w:val="ListParagraph"/>
        <w:widowControl w:val="0"/>
        <w:numPr>
          <w:ilvl w:val="0"/>
          <w:numId w:val="16"/>
        </w:numPr>
        <w:autoSpaceDE w:val="0"/>
        <w:autoSpaceDN w:val="0"/>
        <w:adjustRightInd w:val="0"/>
        <w:spacing w:line="240" w:lineRule="auto"/>
        <w:jc w:val="both"/>
      </w:pPr>
      <w:r>
        <w:t>During the marriage</w:t>
      </w:r>
    </w:p>
    <w:p w14:paraId="44DAB67B" w14:textId="0B71D3AB" w:rsidR="004B5400" w:rsidRDefault="004B5400" w:rsidP="00C65B46">
      <w:pPr>
        <w:pStyle w:val="ListParagraph"/>
        <w:widowControl w:val="0"/>
        <w:numPr>
          <w:ilvl w:val="0"/>
          <w:numId w:val="16"/>
        </w:numPr>
        <w:autoSpaceDE w:val="0"/>
        <w:autoSpaceDN w:val="0"/>
        <w:adjustRightInd w:val="0"/>
        <w:spacing w:line="240" w:lineRule="auto"/>
        <w:jc w:val="both"/>
      </w:pPr>
      <w:r>
        <w:t>Which can be demonstrated to have had a significant adverse impact on their contributions to the marriage, which means that their contributions were made significantly more arduous than they ought to have been</w:t>
      </w:r>
    </w:p>
    <w:p w14:paraId="1F38F810" w14:textId="77777777" w:rsidR="004B5400" w:rsidRDefault="004B5400" w:rsidP="00814B0E">
      <w:pPr>
        <w:widowControl w:val="0"/>
        <w:autoSpaceDE w:val="0"/>
        <w:autoSpaceDN w:val="0"/>
        <w:adjustRightInd w:val="0"/>
        <w:spacing w:line="240" w:lineRule="auto"/>
        <w:jc w:val="both"/>
      </w:pPr>
    </w:p>
    <w:p w14:paraId="40BD3588" w14:textId="003B32FE" w:rsidR="004B5400" w:rsidRPr="00E62E61" w:rsidRDefault="004B5400" w:rsidP="00814B0E">
      <w:pPr>
        <w:widowControl w:val="0"/>
        <w:autoSpaceDE w:val="0"/>
        <w:autoSpaceDN w:val="0"/>
        <w:adjustRightInd w:val="0"/>
        <w:spacing w:line="240" w:lineRule="auto"/>
        <w:jc w:val="both"/>
        <w:rPr>
          <w:rFonts w:eastAsia="Times New Roman" w:cs="Times New Roman"/>
          <w:color w:val="000000"/>
          <w:lang w:val="en-AU"/>
        </w:rPr>
      </w:pPr>
      <w:r>
        <w:t xml:space="preserve">Then, the judge </w:t>
      </w:r>
      <w:r w:rsidRPr="00814B0E">
        <w:rPr>
          <w:i/>
        </w:rPr>
        <w:t>may</w:t>
      </w:r>
      <w:r>
        <w:t xml:space="preserve"> take this into account in assessing the parties’ respective contributions.</w:t>
      </w:r>
      <w:r w:rsidRPr="008F41CA">
        <w:rPr>
          <w:rStyle w:val="EndnoteReference"/>
        </w:rPr>
        <w:endnoteReference w:id="29"/>
      </w:r>
      <w:r w:rsidRPr="008F41CA">
        <w:t xml:space="preserve"> </w:t>
      </w:r>
      <w:r>
        <w:t>In addition, however, it was said this principle should only apply to ‘exceptional’ cases and we turn to consider that first.</w:t>
      </w:r>
    </w:p>
    <w:p w14:paraId="765F4E4E" w14:textId="77777777" w:rsidR="004B5400" w:rsidRDefault="004B5400" w:rsidP="00814B0E">
      <w:pPr>
        <w:pStyle w:val="BlockText"/>
        <w:spacing w:after="0" w:line="240" w:lineRule="auto"/>
        <w:ind w:left="0"/>
        <w:jc w:val="both"/>
        <w:rPr>
          <w:b/>
          <w:i/>
        </w:rPr>
      </w:pPr>
    </w:p>
    <w:p w14:paraId="7719D3D4" w14:textId="681C1C81" w:rsidR="004B5400" w:rsidRDefault="004B5400" w:rsidP="00250F35">
      <w:pPr>
        <w:pStyle w:val="BlockText"/>
        <w:numPr>
          <w:ilvl w:val="0"/>
          <w:numId w:val="26"/>
        </w:numPr>
        <w:spacing w:after="0" w:line="240" w:lineRule="auto"/>
        <w:jc w:val="center"/>
        <w:rPr>
          <w:b/>
        </w:rPr>
      </w:pPr>
      <w:r w:rsidRPr="00250F35">
        <w:rPr>
          <w:b/>
        </w:rPr>
        <w:t>Opening ‘the Floodgates’?</w:t>
      </w:r>
    </w:p>
    <w:p w14:paraId="0A833F32" w14:textId="77777777" w:rsidR="00250F35" w:rsidRPr="00250F35" w:rsidRDefault="00250F35" w:rsidP="00250F35">
      <w:pPr>
        <w:pStyle w:val="BlockText"/>
        <w:spacing w:after="0" w:line="240" w:lineRule="auto"/>
        <w:rPr>
          <w:b/>
        </w:rPr>
      </w:pPr>
    </w:p>
    <w:p w14:paraId="1F5D8BBC" w14:textId="636FE40C" w:rsidR="004B5400" w:rsidRDefault="004B5400" w:rsidP="00814B0E">
      <w:pPr>
        <w:spacing w:line="240" w:lineRule="auto"/>
        <w:jc w:val="both"/>
        <w:rPr>
          <w:rFonts w:cs="Times New Roman"/>
          <w:color w:val="000000"/>
        </w:rPr>
      </w:pPr>
      <w:r>
        <w:rPr>
          <w:rFonts w:cs="Times New Roman"/>
          <w:color w:val="000000"/>
        </w:rPr>
        <w:t xml:space="preserve">The majority in </w:t>
      </w:r>
      <w:r w:rsidRPr="001E1BFB">
        <w:rPr>
          <w:rFonts w:cs="Times New Roman"/>
          <w:i/>
          <w:color w:val="000000"/>
        </w:rPr>
        <w:t>Kennon</w:t>
      </w:r>
      <w:r>
        <w:rPr>
          <w:rFonts w:cs="Times New Roman"/>
          <w:color w:val="000000"/>
        </w:rPr>
        <w:t xml:space="preserve"> appeared concerned to limit its application to a </w:t>
      </w:r>
      <w:r w:rsidRPr="008F41CA">
        <w:rPr>
          <w:rFonts w:cs="Times New Roman"/>
          <w:color w:val="000000"/>
        </w:rPr>
        <w:t>‘narrow band of cases’</w:t>
      </w:r>
      <w:r>
        <w:rPr>
          <w:rFonts w:cs="Times New Roman"/>
          <w:color w:val="000000"/>
        </w:rPr>
        <w:t>:</w:t>
      </w:r>
      <w:r>
        <w:rPr>
          <w:rStyle w:val="EndnoteReference"/>
          <w:rFonts w:cs="Times New Roman"/>
          <w:color w:val="000000"/>
        </w:rPr>
        <w:endnoteReference w:id="30"/>
      </w:r>
      <w:r>
        <w:rPr>
          <w:rFonts w:cs="Times New Roman"/>
          <w:color w:val="000000"/>
        </w:rPr>
        <w:t xml:space="preserve"> </w:t>
      </w:r>
    </w:p>
    <w:p w14:paraId="4E7B9074" w14:textId="573CA3E7" w:rsidR="004B5400" w:rsidRPr="00D8500A" w:rsidRDefault="00250F35" w:rsidP="00814B0E">
      <w:pPr>
        <w:pStyle w:val="BlockText"/>
        <w:spacing w:after="0" w:line="240" w:lineRule="auto"/>
        <w:jc w:val="both"/>
        <w:rPr>
          <w:rFonts w:ascii="Times" w:hAnsi="Times"/>
          <w:sz w:val="20"/>
          <w:szCs w:val="20"/>
        </w:rPr>
      </w:pPr>
      <w:r>
        <w:rPr>
          <w:shd w:val="clear" w:color="auto" w:fill="FFFFFF"/>
        </w:rPr>
        <w:lastRenderedPageBreak/>
        <w:t>‘</w:t>
      </w:r>
      <w:r w:rsidR="004B5400">
        <w:rPr>
          <w:shd w:val="clear" w:color="auto" w:fill="FFFFFF"/>
        </w:rPr>
        <w:t>…</w:t>
      </w:r>
      <w:r w:rsidR="004B5400" w:rsidRPr="00E862E3">
        <w:rPr>
          <w:shd w:val="clear" w:color="auto" w:fill="FFFFFF"/>
        </w:rPr>
        <w:t>it is important to consider the “floodgates” argument. That is, these principles</w:t>
      </w:r>
      <w:r w:rsidR="004B5400">
        <w:rPr>
          <w:shd w:val="clear" w:color="auto" w:fill="FFFFFF"/>
        </w:rPr>
        <w:t xml:space="preserve">, which should only apply to </w:t>
      </w:r>
      <w:r w:rsidR="004B5400" w:rsidRPr="00814B0E">
        <w:rPr>
          <w:i/>
          <w:shd w:val="clear" w:color="auto" w:fill="FFFFFF"/>
        </w:rPr>
        <w:t>exceptional</w:t>
      </w:r>
      <w:r w:rsidR="004B5400">
        <w:rPr>
          <w:shd w:val="clear" w:color="auto" w:fill="FFFFFF"/>
        </w:rPr>
        <w:t xml:space="preserve"> cases, </w:t>
      </w:r>
      <w:r w:rsidR="004B5400" w:rsidRPr="00E862E3">
        <w:rPr>
          <w:shd w:val="clear" w:color="auto" w:fill="FFFFFF"/>
        </w:rPr>
        <w:t xml:space="preserve">may become common coinage in property cases and </w:t>
      </w:r>
      <w:r w:rsidR="004B5400" w:rsidRPr="00814B0E">
        <w:rPr>
          <w:i/>
          <w:shd w:val="clear" w:color="auto" w:fill="FFFFFF"/>
        </w:rPr>
        <w:t>be used inappropriately as tactical weapons</w:t>
      </w:r>
      <w:r w:rsidR="004B5400" w:rsidRPr="00E862E3">
        <w:rPr>
          <w:shd w:val="clear" w:color="auto" w:fill="FFFFFF"/>
        </w:rPr>
        <w:t xml:space="preserve"> or for personal attacks and so return this court to fault and misconduct in property matters …</w:t>
      </w:r>
      <w:r>
        <w:rPr>
          <w:shd w:val="clear" w:color="auto" w:fill="FFFFFF"/>
        </w:rPr>
        <w:t>’</w:t>
      </w:r>
      <w:r w:rsidR="004B5400">
        <w:rPr>
          <w:shd w:val="clear" w:color="auto" w:fill="FFFFFF"/>
        </w:rPr>
        <w:t xml:space="preserve"> (emphasis added)</w:t>
      </w:r>
      <w:r w:rsidR="00021FF5">
        <w:rPr>
          <w:shd w:val="clear" w:color="auto" w:fill="FFFFFF"/>
        </w:rPr>
        <w:t>.</w:t>
      </w:r>
      <w:r w:rsidR="004B5400">
        <w:rPr>
          <w:rStyle w:val="EndnoteReference"/>
          <w:shd w:val="clear" w:color="auto" w:fill="FFFFFF"/>
        </w:rPr>
        <w:endnoteReference w:id="31"/>
      </w:r>
    </w:p>
    <w:p w14:paraId="2388C63D" w14:textId="77777777" w:rsidR="004B5400" w:rsidRDefault="004B5400" w:rsidP="00814B0E">
      <w:pPr>
        <w:spacing w:line="240" w:lineRule="auto"/>
        <w:jc w:val="both"/>
        <w:rPr>
          <w:rFonts w:cs="Times New Roman"/>
          <w:color w:val="2E2C29"/>
        </w:rPr>
      </w:pPr>
    </w:p>
    <w:p w14:paraId="071C8D95" w14:textId="600CCF24" w:rsidR="004B5400" w:rsidRDefault="004B5400" w:rsidP="00814B0E">
      <w:pPr>
        <w:spacing w:line="240" w:lineRule="auto"/>
        <w:jc w:val="both"/>
        <w:rPr>
          <w:rFonts w:cs="Times New Roman"/>
          <w:color w:val="2E2C29"/>
        </w:rPr>
      </w:pPr>
      <w:r>
        <w:rPr>
          <w:rFonts w:cs="Times New Roman"/>
          <w:color w:val="2E2C29"/>
        </w:rPr>
        <w:t>We suggest there are two elements underlying this comment.  First, it fits with an historical ‘backlash’ (Faludi</w:t>
      </w:r>
      <w:r w:rsidR="007979D6">
        <w:rPr>
          <w:rFonts w:cs="Times New Roman"/>
          <w:color w:val="2E2C29"/>
        </w:rPr>
        <w:t>,</w:t>
      </w:r>
      <w:r>
        <w:rPr>
          <w:rFonts w:cs="Times New Roman"/>
          <w:color w:val="2E2C29"/>
        </w:rPr>
        <w:t xml:space="preserve"> 1991) approach of branding women as inveterate, strategic liars when it comes to violence and family law. This is seen, for example, in family court cases where child sexual abuse is alleged (Young</w:t>
      </w:r>
      <w:r w:rsidR="007979D6">
        <w:rPr>
          <w:rFonts w:cs="Times New Roman"/>
          <w:color w:val="2E2C29"/>
        </w:rPr>
        <w:t>,</w:t>
      </w:r>
      <w:r>
        <w:rPr>
          <w:rFonts w:cs="Times New Roman"/>
          <w:color w:val="2E2C29"/>
        </w:rPr>
        <w:t xml:space="preserve"> 1998; Young et al</w:t>
      </w:r>
      <w:r w:rsidR="007979D6">
        <w:rPr>
          <w:rFonts w:cs="Times New Roman"/>
          <w:color w:val="2E2C29"/>
        </w:rPr>
        <w:t>.,</w:t>
      </w:r>
      <w:r>
        <w:rPr>
          <w:rFonts w:cs="Times New Roman"/>
          <w:color w:val="2E2C29"/>
        </w:rPr>
        <w:t xml:space="preserve"> 2014), and has the convenient result of shifting the gaze away from the most significant and substantiated problem - violence in families - and focusing attention on the much less well substantiated ‘problem’ of false allegations. Second, their Honours wanted to ensure that the principle’s application was connected to the question at hand - contributions.  </w:t>
      </w:r>
      <w:r w:rsidRPr="00814B0E">
        <w:rPr>
          <w:rFonts w:cs="Times New Roman"/>
          <w:i/>
          <w:color w:val="2E2C29"/>
        </w:rPr>
        <w:t>Kennon</w:t>
      </w:r>
      <w:r>
        <w:rPr>
          <w:rFonts w:cs="Times New Roman"/>
          <w:color w:val="2E2C29"/>
        </w:rPr>
        <w:t xml:space="preserve"> was decided in 1997 – </w:t>
      </w:r>
      <w:r w:rsidRPr="00DC5E2D">
        <w:rPr>
          <w:rFonts w:cs="Times New Roman"/>
          <w:i/>
          <w:color w:val="2E2C29"/>
        </w:rPr>
        <w:t xml:space="preserve">at </w:t>
      </w:r>
      <w:r>
        <w:rPr>
          <w:rFonts w:cs="Times New Roman"/>
          <w:i/>
          <w:color w:val="2E2C29"/>
        </w:rPr>
        <w:t>this</w:t>
      </w:r>
      <w:r w:rsidRPr="007D2B5C">
        <w:rPr>
          <w:rFonts w:cs="Times New Roman"/>
          <w:i/>
          <w:color w:val="2E2C29"/>
        </w:rPr>
        <w:t xml:space="preserve"> time</w:t>
      </w:r>
      <w:r>
        <w:rPr>
          <w:rFonts w:cs="Times New Roman"/>
          <w:color w:val="2E2C29"/>
        </w:rPr>
        <w:t xml:space="preserve"> the Full Court was clearly of the view that it would be rare for a case of family violence to actually fit the criteria they had established: </w:t>
      </w:r>
    </w:p>
    <w:p w14:paraId="7F5BAF12" w14:textId="77777777" w:rsidR="00250F35" w:rsidRDefault="00250F35" w:rsidP="00814B0E">
      <w:pPr>
        <w:spacing w:line="240" w:lineRule="auto"/>
        <w:jc w:val="both"/>
        <w:rPr>
          <w:rFonts w:cs="Times New Roman"/>
          <w:color w:val="2E2C29"/>
        </w:rPr>
      </w:pPr>
    </w:p>
    <w:p w14:paraId="5D57161E" w14:textId="32D4465E" w:rsidR="004B5400" w:rsidRDefault="00250F35" w:rsidP="000B7EA3">
      <w:pPr>
        <w:spacing w:line="240" w:lineRule="auto"/>
        <w:ind w:left="1418" w:right="1422"/>
        <w:jc w:val="both"/>
        <w:rPr>
          <w:rFonts w:cs="Times New Roman"/>
          <w:color w:val="2E2C29"/>
        </w:rPr>
      </w:pPr>
      <w:r>
        <w:rPr>
          <w:rFonts w:cs="Times New Roman"/>
          <w:color w:val="2E2C29"/>
        </w:rPr>
        <w:t>‘</w:t>
      </w:r>
      <w:r w:rsidR="004B5400">
        <w:rPr>
          <w:rFonts w:cs="Times New Roman"/>
          <w:color w:val="2E2C29"/>
        </w:rPr>
        <w:t xml:space="preserve"> [i]t is essential to bear in mind the relatively narrow band of cases to which these considerations apply…</w:t>
      </w:r>
      <w:r w:rsidR="004B5400">
        <w:rPr>
          <w:rStyle w:val="EndnoteReference"/>
          <w:rFonts w:cs="Times New Roman"/>
          <w:color w:val="2E2C29"/>
        </w:rPr>
        <w:endnoteReference w:id="32"/>
      </w:r>
      <w:r w:rsidR="004B5400">
        <w:rPr>
          <w:rFonts w:cs="Times New Roman"/>
          <w:color w:val="2E2C29"/>
        </w:rPr>
        <w:t>…[I]n our view, s 79 should encompass the exceptional cases which we described…</w:t>
      </w:r>
      <w:r>
        <w:rPr>
          <w:rFonts w:cs="Times New Roman"/>
          <w:color w:val="2E2C29"/>
        </w:rPr>
        <w:t>’.</w:t>
      </w:r>
      <w:r w:rsidR="004B5400">
        <w:rPr>
          <w:rStyle w:val="EndnoteReference"/>
          <w:rFonts w:cs="Times New Roman"/>
          <w:color w:val="2E2C29"/>
        </w:rPr>
        <w:endnoteReference w:id="33"/>
      </w:r>
    </w:p>
    <w:p w14:paraId="2B453761" w14:textId="77777777" w:rsidR="004B5400" w:rsidRDefault="004B5400" w:rsidP="00814B0E">
      <w:pPr>
        <w:spacing w:line="240" w:lineRule="auto"/>
        <w:jc w:val="both"/>
        <w:rPr>
          <w:rFonts w:cs="Times New Roman"/>
          <w:color w:val="000000"/>
        </w:rPr>
      </w:pPr>
    </w:p>
    <w:p w14:paraId="5F551AEC" w14:textId="13565433" w:rsidR="004B5400" w:rsidRDefault="004B5400" w:rsidP="00814B0E">
      <w:pPr>
        <w:spacing w:line="240" w:lineRule="auto"/>
        <w:jc w:val="both"/>
        <w:rPr>
          <w:rFonts w:cs="Times New Roman"/>
          <w:color w:val="000000"/>
        </w:rPr>
      </w:pPr>
      <w:r>
        <w:rPr>
          <w:rFonts w:cs="Times New Roman"/>
          <w:color w:val="000000"/>
        </w:rPr>
        <w:t xml:space="preserve">It is open to question how ‘exceptional’ such cases were or are; but the test permits </w:t>
      </w:r>
      <w:r w:rsidRPr="007D2B5C">
        <w:rPr>
          <w:rFonts w:cs="Times New Roman"/>
          <w:i/>
          <w:color w:val="000000"/>
        </w:rPr>
        <w:t>every</w:t>
      </w:r>
      <w:r>
        <w:rPr>
          <w:rFonts w:cs="Times New Roman"/>
          <w:color w:val="000000"/>
        </w:rPr>
        <w:t xml:space="preserve"> case that falls within its terms to benefit from its application. Thus, it is not that the case </w:t>
      </w:r>
      <w:r w:rsidRPr="00814B0E">
        <w:rPr>
          <w:rFonts w:cs="Times New Roman"/>
          <w:i/>
          <w:color w:val="000000"/>
        </w:rPr>
        <w:t>itself</w:t>
      </w:r>
      <w:r>
        <w:rPr>
          <w:rFonts w:cs="Times New Roman"/>
          <w:color w:val="000000"/>
        </w:rPr>
        <w:t xml:space="preserve"> must be exceptional, but rather that their Honours were being clear that, in their view, such cases </w:t>
      </w:r>
      <w:r w:rsidRPr="007D2B5C">
        <w:rPr>
          <w:rFonts w:cs="Times New Roman"/>
          <w:i/>
          <w:color w:val="000000"/>
        </w:rPr>
        <w:t>were</w:t>
      </w:r>
      <w:r>
        <w:rPr>
          <w:rFonts w:cs="Times New Roman"/>
          <w:color w:val="000000"/>
        </w:rPr>
        <w:t>, by their nature, exceptional. In this regard, and contrary to the approach of some judicial officers,</w:t>
      </w:r>
      <w:r>
        <w:rPr>
          <w:rStyle w:val="EndnoteReference"/>
          <w:rFonts w:cs="Times New Roman"/>
          <w:color w:val="000000"/>
        </w:rPr>
        <w:endnoteReference w:id="34"/>
      </w:r>
      <w:r>
        <w:rPr>
          <w:rFonts w:cs="Times New Roman"/>
          <w:color w:val="000000"/>
        </w:rPr>
        <w:t xml:space="preserve"> we would argue the test does not require independent consideration of exceptionality. </w:t>
      </w:r>
    </w:p>
    <w:p w14:paraId="5C6BF8A1" w14:textId="77777777" w:rsidR="004B5400" w:rsidRDefault="004B5400" w:rsidP="00814B0E">
      <w:pPr>
        <w:spacing w:line="240" w:lineRule="auto"/>
        <w:jc w:val="both"/>
        <w:rPr>
          <w:rFonts w:cs="Times New Roman"/>
          <w:color w:val="000000"/>
        </w:rPr>
      </w:pPr>
    </w:p>
    <w:p w14:paraId="1F96E31E" w14:textId="6CC865E3" w:rsidR="004B5400" w:rsidRDefault="004B5400" w:rsidP="00250F35">
      <w:pPr>
        <w:widowControl w:val="0"/>
        <w:autoSpaceDE w:val="0"/>
        <w:autoSpaceDN w:val="0"/>
        <w:adjustRightInd w:val="0"/>
        <w:spacing w:line="240" w:lineRule="auto"/>
        <w:ind w:firstLine="720"/>
        <w:jc w:val="both"/>
        <w:rPr>
          <w:rFonts w:cs="Times New Roman"/>
        </w:rPr>
      </w:pPr>
      <w:r>
        <w:rPr>
          <w:rFonts w:cs="Times New Roman"/>
        </w:rPr>
        <w:t xml:space="preserve">As to whether </w:t>
      </w:r>
      <w:r w:rsidRPr="00B45D12">
        <w:rPr>
          <w:rFonts w:cs="Times New Roman"/>
          <w:i/>
        </w:rPr>
        <w:t>Kennon</w:t>
      </w:r>
      <w:r>
        <w:rPr>
          <w:rFonts w:cs="Times New Roman"/>
        </w:rPr>
        <w:t xml:space="preserve"> ‘opened the floodgates’ (whether by ‘lying women’ or otherwise) the answer is a resounding ‘No.’ In fact, as we see next, a drought is a more apt metaphor. The possible reasons for this are many including judicial uncertainty about its application in part because of its perceived vagueness, high rates of self-representation and the failure of lawyers to present a </w:t>
      </w:r>
      <w:r w:rsidRPr="00B45D12">
        <w:rPr>
          <w:rFonts w:cs="Times New Roman"/>
          <w:i/>
        </w:rPr>
        <w:t>Kennon</w:t>
      </w:r>
      <w:r>
        <w:rPr>
          <w:rFonts w:cs="Times New Roman"/>
        </w:rPr>
        <w:t xml:space="preserve"> argument.</w:t>
      </w:r>
      <w:r w:rsidRPr="008F41CA">
        <w:rPr>
          <w:rStyle w:val="EndnoteReference"/>
          <w:rFonts w:cs="Times New Roman"/>
          <w:color w:val="2E2C29"/>
        </w:rPr>
        <w:endnoteReference w:id="35"/>
      </w:r>
      <w:r>
        <w:rPr>
          <w:rFonts w:cs="Times New Roman"/>
        </w:rPr>
        <w:t xml:space="preserve">  Indeed, the perceived difficulties of the test led one judicial officer</w:t>
      </w:r>
      <w:r w:rsidR="00E25F74">
        <w:rPr>
          <w:rFonts w:cs="Times New Roman"/>
        </w:rPr>
        <w:t xml:space="preserve">, as mentioned earlier, </w:t>
      </w:r>
      <w:r>
        <w:rPr>
          <w:rFonts w:cs="Times New Roman"/>
        </w:rPr>
        <w:t>to refuse even</w:t>
      </w:r>
      <w:r w:rsidRPr="008F41CA">
        <w:rPr>
          <w:rFonts w:cs="Times New Roman"/>
        </w:rPr>
        <w:t xml:space="preserve"> to apply the </w:t>
      </w:r>
      <w:r w:rsidRPr="008F41CA">
        <w:rPr>
          <w:rFonts w:cs="Times New Roman"/>
          <w:i/>
        </w:rPr>
        <w:t xml:space="preserve">Kennon </w:t>
      </w:r>
      <w:r w:rsidRPr="008F41CA">
        <w:rPr>
          <w:rFonts w:cs="Times New Roman"/>
        </w:rPr>
        <w:t>principle:</w:t>
      </w:r>
      <w:r w:rsidRPr="008F41CA">
        <w:rPr>
          <w:rStyle w:val="EndnoteReference"/>
          <w:rFonts w:cs="Times New Roman"/>
        </w:rPr>
        <w:endnoteReference w:id="36"/>
      </w:r>
    </w:p>
    <w:p w14:paraId="7F27D86B" w14:textId="77777777" w:rsidR="000B7EA3" w:rsidRPr="00250F35" w:rsidRDefault="000B7EA3" w:rsidP="00250F35">
      <w:pPr>
        <w:widowControl w:val="0"/>
        <w:autoSpaceDE w:val="0"/>
        <w:autoSpaceDN w:val="0"/>
        <w:adjustRightInd w:val="0"/>
        <w:spacing w:line="240" w:lineRule="auto"/>
        <w:ind w:firstLine="720"/>
        <w:jc w:val="both"/>
        <w:rPr>
          <w:rFonts w:cs="Times New Roman"/>
        </w:rPr>
      </w:pPr>
    </w:p>
    <w:p w14:paraId="7A93BDFA" w14:textId="34AA1D7C" w:rsidR="004B5400" w:rsidRPr="008F41CA" w:rsidRDefault="00250F35" w:rsidP="00B45D12">
      <w:pPr>
        <w:pStyle w:val="BlockText"/>
        <w:spacing w:after="0" w:line="240" w:lineRule="auto"/>
        <w:jc w:val="both"/>
      </w:pPr>
      <w:r>
        <w:t>‘</w:t>
      </w:r>
      <w:r w:rsidR="004B5400" w:rsidRPr="008F41CA">
        <w:t xml:space="preserve">I am not bound by the dicta of the Court in </w:t>
      </w:r>
      <w:r w:rsidR="004B5400" w:rsidRPr="008F41CA">
        <w:rPr>
          <w:i/>
        </w:rPr>
        <w:t xml:space="preserve">Kennon </w:t>
      </w:r>
      <w:r w:rsidR="004B5400" w:rsidRPr="008F41CA">
        <w:t xml:space="preserve">and </w:t>
      </w:r>
      <w:r w:rsidR="004B5400">
        <w:t>…</w:t>
      </w:r>
      <w:r w:rsidR="004B5400" w:rsidRPr="008F41CA">
        <w:t xml:space="preserve"> I decline to follow it</w:t>
      </w:r>
      <w:r w:rsidR="004B5400">
        <w:t>…</w:t>
      </w:r>
      <w:r w:rsidR="004B5400" w:rsidRPr="008F41CA">
        <w:t>contributions are to be measured in absolute terms and not weighted by considerations of arduousness, whether caused by domestic violence or otherwise</w:t>
      </w:r>
      <w:r>
        <w:t>’</w:t>
      </w:r>
      <w:r w:rsidR="004B5400" w:rsidRPr="008F41CA">
        <w:t>.</w:t>
      </w:r>
      <w:r w:rsidR="004B5400" w:rsidRPr="008F41CA">
        <w:rPr>
          <w:rStyle w:val="EndnoteReference"/>
        </w:rPr>
        <w:endnoteReference w:id="37"/>
      </w:r>
    </w:p>
    <w:p w14:paraId="4C142941" w14:textId="14D1118F" w:rsidR="004B5400" w:rsidRDefault="00A513FD" w:rsidP="00B45D12">
      <w:pPr>
        <w:widowControl w:val="0"/>
        <w:autoSpaceDE w:val="0"/>
        <w:autoSpaceDN w:val="0"/>
        <w:adjustRightInd w:val="0"/>
        <w:spacing w:line="240" w:lineRule="auto"/>
        <w:jc w:val="both"/>
        <w:rPr>
          <w:rFonts w:cs="Times New Roman"/>
        </w:rPr>
      </w:pPr>
      <w:r>
        <w:rPr>
          <w:rFonts w:cs="Times New Roman"/>
        </w:rPr>
        <w:t xml:space="preserve">Further, in Easteal et al (2014: 9) it was found there were multiple cases where judges noted with apparent surprise the failure to raise </w:t>
      </w:r>
      <w:r w:rsidRPr="00BE67C6">
        <w:rPr>
          <w:rFonts w:cs="Times New Roman"/>
          <w:i/>
        </w:rPr>
        <w:t>Kennon</w:t>
      </w:r>
      <w:r>
        <w:rPr>
          <w:rFonts w:cs="Times New Roman"/>
        </w:rPr>
        <w:t>.</w:t>
      </w:r>
    </w:p>
    <w:p w14:paraId="42C23114" w14:textId="77777777" w:rsidR="009604B8" w:rsidRDefault="009604B8" w:rsidP="00250F35">
      <w:pPr>
        <w:widowControl w:val="0"/>
        <w:autoSpaceDE w:val="0"/>
        <w:autoSpaceDN w:val="0"/>
        <w:adjustRightInd w:val="0"/>
        <w:spacing w:line="240" w:lineRule="auto"/>
        <w:ind w:firstLine="720"/>
        <w:jc w:val="both"/>
        <w:rPr>
          <w:rFonts w:cs="Times New Roman"/>
        </w:rPr>
      </w:pPr>
    </w:p>
    <w:p w14:paraId="6193961F" w14:textId="77777777" w:rsidR="004B5400" w:rsidRPr="00567B48" w:rsidRDefault="004B5400" w:rsidP="00250F35">
      <w:pPr>
        <w:widowControl w:val="0"/>
        <w:autoSpaceDE w:val="0"/>
        <w:autoSpaceDN w:val="0"/>
        <w:adjustRightInd w:val="0"/>
        <w:spacing w:line="240" w:lineRule="auto"/>
        <w:ind w:firstLine="720"/>
        <w:jc w:val="both"/>
      </w:pPr>
      <w:r>
        <w:rPr>
          <w:rFonts w:cs="Times New Roman"/>
        </w:rPr>
        <w:lastRenderedPageBreak/>
        <w:t xml:space="preserve">Some judges may also see </w:t>
      </w:r>
      <w:r w:rsidRPr="00FD1D55">
        <w:rPr>
          <w:rFonts w:cs="Times New Roman"/>
          <w:i/>
        </w:rPr>
        <w:t>Kennon</w:t>
      </w:r>
      <w:r>
        <w:rPr>
          <w:rFonts w:cs="Times New Roman"/>
        </w:rPr>
        <w:t xml:space="preserve"> as a way of inappropriately applying a fault based standard in a no fault regime. In </w:t>
      </w:r>
      <w:r w:rsidRPr="00875BEE">
        <w:rPr>
          <w:rFonts w:eastAsia="Times New Roman" w:cs="Times New Roman"/>
          <w:i/>
          <w:color w:val="000000"/>
        </w:rPr>
        <w:t>Maine &amp; Maine</w:t>
      </w:r>
      <w:r>
        <w:rPr>
          <w:rFonts w:eastAsia="Times New Roman" w:cs="Times New Roman"/>
          <w:i/>
          <w:color w:val="000000"/>
        </w:rPr>
        <w:t xml:space="preserve">, </w:t>
      </w:r>
      <w:r>
        <w:t>t</w:t>
      </w:r>
      <w:r w:rsidRPr="008F41CA">
        <w:t xml:space="preserve">he Full Court </w:t>
      </w:r>
      <w:r>
        <w:t>was critical of a</w:t>
      </w:r>
      <w:r w:rsidRPr="008F41CA">
        <w:t xml:space="preserve"> </w:t>
      </w:r>
      <w:r>
        <w:t xml:space="preserve">trial </w:t>
      </w:r>
      <w:r w:rsidRPr="008F41CA">
        <w:t>judge’s lack of different</w:t>
      </w:r>
      <w:r>
        <w:t>iat</w:t>
      </w:r>
      <w:r w:rsidRPr="008F41CA">
        <w:t xml:space="preserve">ion between ‘fault’ and </w:t>
      </w:r>
      <w:r w:rsidRPr="008F41CA">
        <w:rPr>
          <w:i/>
        </w:rPr>
        <w:t>Kennon</w:t>
      </w:r>
      <w:r>
        <w:t>.</w:t>
      </w:r>
      <w:r w:rsidRPr="008F41CA">
        <w:rPr>
          <w:rStyle w:val="EndnoteReference"/>
          <w:color w:val="000000"/>
        </w:rPr>
        <w:endnoteReference w:id="38"/>
      </w:r>
      <w:r>
        <w:t xml:space="preserve"> Despite uncontroverted evidence of long-term violence, which the Full Court accepted would have made the wife’s contributions more onerous, the trial Judge seemed more preoccupied with not letting fault in by the back door.</w:t>
      </w:r>
    </w:p>
    <w:p w14:paraId="43DD97A9" w14:textId="0D00446D" w:rsidR="004B5400" w:rsidRDefault="004B5400" w:rsidP="00B45D12">
      <w:pPr>
        <w:widowControl w:val="0"/>
        <w:autoSpaceDE w:val="0"/>
        <w:autoSpaceDN w:val="0"/>
        <w:adjustRightInd w:val="0"/>
        <w:spacing w:line="240" w:lineRule="auto"/>
        <w:jc w:val="both"/>
        <w:rPr>
          <w:rFonts w:cs="Times New Roman"/>
        </w:rPr>
      </w:pPr>
    </w:p>
    <w:p w14:paraId="02070D9F" w14:textId="34912982" w:rsidR="004B5400" w:rsidRDefault="004B5400" w:rsidP="00250F35">
      <w:pPr>
        <w:pStyle w:val="ListParagraph"/>
        <w:widowControl w:val="0"/>
        <w:numPr>
          <w:ilvl w:val="0"/>
          <w:numId w:val="26"/>
        </w:numPr>
        <w:autoSpaceDE w:val="0"/>
        <w:autoSpaceDN w:val="0"/>
        <w:adjustRightInd w:val="0"/>
        <w:spacing w:line="240" w:lineRule="auto"/>
        <w:ind w:left="714" w:hanging="357"/>
        <w:jc w:val="center"/>
        <w:rPr>
          <w:rFonts w:cs="Times New Roman"/>
          <w:b/>
        </w:rPr>
      </w:pPr>
      <w:r w:rsidRPr="00250F35">
        <w:rPr>
          <w:rFonts w:cs="Times New Roman"/>
          <w:b/>
        </w:rPr>
        <w:t>The Drought - how often and how much?</w:t>
      </w:r>
    </w:p>
    <w:p w14:paraId="1F859A5B" w14:textId="77777777" w:rsidR="00250F35" w:rsidRPr="00250F35" w:rsidRDefault="00250F35" w:rsidP="008D446D">
      <w:pPr>
        <w:pStyle w:val="ListParagraph"/>
        <w:widowControl w:val="0"/>
        <w:autoSpaceDE w:val="0"/>
        <w:autoSpaceDN w:val="0"/>
        <w:adjustRightInd w:val="0"/>
        <w:spacing w:line="240" w:lineRule="auto"/>
        <w:ind w:left="714"/>
        <w:rPr>
          <w:rFonts w:cs="Times New Roman"/>
          <w:b/>
        </w:rPr>
      </w:pPr>
    </w:p>
    <w:p w14:paraId="04EE8D96" w14:textId="77777777" w:rsidR="00A513FD" w:rsidRDefault="004B5400" w:rsidP="00B45D12">
      <w:pPr>
        <w:spacing w:line="240" w:lineRule="auto"/>
        <w:jc w:val="both"/>
        <w:rPr>
          <w:rFonts w:eastAsia="Times New Roman" w:cs="Times New Roman"/>
          <w:color w:val="000000"/>
          <w:lang w:val="en-AU"/>
        </w:rPr>
      </w:pPr>
      <w:r>
        <w:rPr>
          <w:rFonts w:cs="Times New Roman"/>
        </w:rPr>
        <w:t>A</w:t>
      </w:r>
      <w:r w:rsidRPr="008F41CA">
        <w:rPr>
          <w:rFonts w:cs="Times New Roman"/>
        </w:rPr>
        <w:t xml:space="preserve">n analysis of cases in the years immediately following </w:t>
      </w:r>
      <w:r w:rsidRPr="005255D5">
        <w:rPr>
          <w:rFonts w:cs="Times New Roman"/>
          <w:i/>
        </w:rPr>
        <w:t>Kennon</w:t>
      </w:r>
      <w:r w:rsidRPr="008F41CA">
        <w:rPr>
          <w:rFonts w:cs="Times New Roman"/>
        </w:rPr>
        <w:t xml:space="preserve"> </w:t>
      </w:r>
      <w:r>
        <w:rPr>
          <w:rFonts w:cs="Times New Roman"/>
        </w:rPr>
        <w:t xml:space="preserve">(1997-2001) </w:t>
      </w:r>
      <w:r w:rsidRPr="008F41CA">
        <w:rPr>
          <w:rFonts w:cs="Times New Roman"/>
        </w:rPr>
        <w:t>found 27 first instance matters in which the wife argued for an increased contribution because of violence</w:t>
      </w:r>
      <w:r>
        <w:rPr>
          <w:rFonts w:cs="Times New Roman"/>
        </w:rPr>
        <w:t>;</w:t>
      </w:r>
      <w:r w:rsidRPr="008F41CA">
        <w:rPr>
          <w:rFonts w:cs="Times New Roman"/>
        </w:rPr>
        <w:t xml:space="preserve"> </w:t>
      </w:r>
      <w:r w:rsidRPr="00B45D12">
        <w:rPr>
          <w:rFonts w:cs="Times New Roman"/>
          <w:i/>
        </w:rPr>
        <w:t>Kennon</w:t>
      </w:r>
      <w:r>
        <w:rPr>
          <w:rFonts w:cs="Times New Roman"/>
        </w:rPr>
        <w:t xml:space="preserve"> </w:t>
      </w:r>
      <w:r w:rsidRPr="008F41CA">
        <w:rPr>
          <w:rFonts w:cs="Times New Roman"/>
        </w:rPr>
        <w:t xml:space="preserve">adjustments were made </w:t>
      </w:r>
      <w:r>
        <w:rPr>
          <w:rFonts w:cs="Times New Roman"/>
        </w:rPr>
        <w:t>in 63</w:t>
      </w:r>
      <w:r w:rsidR="00250F35">
        <w:rPr>
          <w:rFonts w:cs="Times New Roman"/>
        </w:rPr>
        <w:t xml:space="preserve"> per cent</w:t>
      </w:r>
      <w:r>
        <w:rPr>
          <w:rFonts w:cs="Times New Roman"/>
        </w:rPr>
        <w:t xml:space="preserve"> of those cases (Middleton 2001:230)</w:t>
      </w:r>
      <w:r w:rsidRPr="008F41CA">
        <w:rPr>
          <w:rFonts w:cs="Times New Roman"/>
        </w:rPr>
        <w:t xml:space="preserve">. </w:t>
      </w:r>
      <w:r>
        <w:rPr>
          <w:rFonts w:cs="Times New Roman"/>
        </w:rPr>
        <w:t>A</w:t>
      </w:r>
      <w:r w:rsidRPr="008F41CA">
        <w:rPr>
          <w:rFonts w:cs="Times New Roman"/>
        </w:rPr>
        <w:t xml:space="preserve"> 201</w:t>
      </w:r>
      <w:r>
        <w:rPr>
          <w:rFonts w:cs="Times New Roman"/>
        </w:rPr>
        <w:t>4</w:t>
      </w:r>
      <w:r w:rsidRPr="008F41CA">
        <w:rPr>
          <w:rFonts w:cs="Times New Roman"/>
        </w:rPr>
        <w:t xml:space="preserve"> study of </w:t>
      </w:r>
      <w:r w:rsidRPr="005255D5">
        <w:rPr>
          <w:rFonts w:cs="Times New Roman"/>
          <w:i/>
        </w:rPr>
        <w:t>Kennon</w:t>
      </w:r>
      <w:r w:rsidRPr="008F41CA">
        <w:rPr>
          <w:rFonts w:cs="Times New Roman"/>
        </w:rPr>
        <w:t xml:space="preserve"> applications between 2006 </w:t>
      </w:r>
      <w:r>
        <w:rPr>
          <w:rFonts w:cs="Times New Roman"/>
        </w:rPr>
        <w:t>and</w:t>
      </w:r>
      <w:r w:rsidRPr="008F41CA">
        <w:rPr>
          <w:rFonts w:cs="Times New Roman"/>
        </w:rPr>
        <w:t xml:space="preserve"> 2012 </w:t>
      </w:r>
      <w:r>
        <w:rPr>
          <w:rFonts w:cs="Times New Roman"/>
        </w:rPr>
        <w:t xml:space="preserve">provided further evidence there are limited </w:t>
      </w:r>
      <w:r w:rsidRPr="008F41CA">
        <w:rPr>
          <w:rFonts w:cs="Times New Roman"/>
        </w:rPr>
        <w:t>claims</w:t>
      </w:r>
      <w:r>
        <w:rPr>
          <w:rFonts w:cs="Times New Roman"/>
        </w:rPr>
        <w:t xml:space="preserve"> per</w:t>
      </w:r>
      <w:r w:rsidRPr="008F41CA">
        <w:rPr>
          <w:rFonts w:cs="Times New Roman"/>
        </w:rPr>
        <w:t xml:space="preserve"> y</w:t>
      </w:r>
      <w:r>
        <w:rPr>
          <w:rFonts w:cs="Times New Roman"/>
        </w:rPr>
        <w:t xml:space="preserve">ear in matters reaching trial (57 cases sought </w:t>
      </w:r>
      <w:r w:rsidRPr="00814B0E">
        <w:rPr>
          <w:rFonts w:cs="Times New Roman"/>
          <w:i/>
        </w:rPr>
        <w:t>Kennon</w:t>
      </w:r>
      <w:r>
        <w:rPr>
          <w:rFonts w:cs="Times New Roman"/>
        </w:rPr>
        <w:t xml:space="preserve"> adjustments over seven years</w:t>
      </w:r>
      <w:r w:rsidRPr="008F41CA">
        <w:rPr>
          <w:rFonts w:cs="Times New Roman"/>
        </w:rPr>
        <w:t>)</w:t>
      </w:r>
      <w:r>
        <w:rPr>
          <w:rFonts w:cs="Times New Roman"/>
        </w:rPr>
        <w:t>; only 42</w:t>
      </w:r>
      <w:r w:rsidR="00250F35">
        <w:rPr>
          <w:rFonts w:cs="Times New Roman"/>
        </w:rPr>
        <w:t xml:space="preserve"> per cent</w:t>
      </w:r>
      <w:r>
        <w:rPr>
          <w:rFonts w:cs="Times New Roman"/>
        </w:rPr>
        <w:t xml:space="preserve"> were successful in this period (Easteal et al</w:t>
      </w:r>
      <w:r w:rsidR="00A513FD">
        <w:rPr>
          <w:rFonts w:cs="Times New Roman"/>
        </w:rPr>
        <w:t>.,</w:t>
      </w:r>
      <w:r>
        <w:rPr>
          <w:rFonts w:cs="Times New Roman"/>
        </w:rPr>
        <w:t xml:space="preserve"> 2014:13). The ‘success’ rate in o</w:t>
      </w:r>
      <w:r w:rsidRPr="008F41CA">
        <w:rPr>
          <w:rFonts w:cs="Times New Roman"/>
        </w:rPr>
        <w:t xml:space="preserve">ur </w:t>
      </w:r>
      <w:r>
        <w:rPr>
          <w:rFonts w:cs="Times New Roman"/>
        </w:rPr>
        <w:t xml:space="preserve">most recent </w:t>
      </w:r>
      <w:r w:rsidRPr="008F41CA">
        <w:rPr>
          <w:rFonts w:cs="Times New Roman"/>
        </w:rPr>
        <w:t xml:space="preserve">sample of </w:t>
      </w:r>
      <w:r w:rsidRPr="00E5704D">
        <w:rPr>
          <w:rFonts w:cs="Times New Roman"/>
        </w:rPr>
        <w:t>18</w:t>
      </w:r>
      <w:r w:rsidRPr="008F41CA">
        <w:rPr>
          <w:rFonts w:cs="Times New Roman"/>
        </w:rPr>
        <w:t xml:space="preserve"> </w:t>
      </w:r>
      <w:r>
        <w:rPr>
          <w:rFonts w:cs="Times New Roman"/>
        </w:rPr>
        <w:t xml:space="preserve">first instance </w:t>
      </w:r>
      <w:r w:rsidRPr="008F41CA">
        <w:rPr>
          <w:rFonts w:cs="Times New Roman"/>
        </w:rPr>
        <w:t xml:space="preserve">matters </w:t>
      </w:r>
      <w:r>
        <w:rPr>
          <w:rFonts w:cs="Times New Roman"/>
        </w:rPr>
        <w:t xml:space="preserve">decided </w:t>
      </w:r>
      <w:r w:rsidRPr="008F41CA">
        <w:rPr>
          <w:rFonts w:cs="Times New Roman"/>
        </w:rPr>
        <w:t>in 2015 and 2016</w:t>
      </w:r>
      <w:r>
        <w:rPr>
          <w:rFonts w:cs="Times New Roman"/>
        </w:rPr>
        <w:t xml:space="preserve"> is consistent with the 2014 outcomes, as is the frequency of such applications; </w:t>
      </w:r>
      <w:r w:rsidRPr="008F41CA">
        <w:rPr>
          <w:rFonts w:eastAsia="Times New Roman" w:cs="Times New Roman"/>
          <w:color w:val="000000"/>
          <w:lang w:val="en-AU"/>
        </w:rPr>
        <w:t xml:space="preserve">a </w:t>
      </w:r>
      <w:r w:rsidRPr="005255D5">
        <w:rPr>
          <w:rFonts w:eastAsia="Times New Roman" w:cs="Times New Roman"/>
          <w:i/>
          <w:color w:val="000000"/>
          <w:lang w:val="en-AU"/>
        </w:rPr>
        <w:t>Kennon</w:t>
      </w:r>
      <w:r w:rsidRPr="008F41CA">
        <w:rPr>
          <w:rFonts w:eastAsia="Times New Roman" w:cs="Times New Roman"/>
          <w:color w:val="000000"/>
          <w:lang w:val="en-AU"/>
        </w:rPr>
        <w:t xml:space="preserve"> adjustment </w:t>
      </w:r>
      <w:r>
        <w:rPr>
          <w:rFonts w:eastAsia="Times New Roman" w:cs="Times New Roman"/>
          <w:color w:val="000000"/>
          <w:lang w:val="en-AU"/>
        </w:rPr>
        <w:t xml:space="preserve">was made </w:t>
      </w:r>
      <w:r w:rsidRPr="008F41CA">
        <w:rPr>
          <w:rFonts w:eastAsia="Times New Roman" w:cs="Times New Roman"/>
          <w:color w:val="000000"/>
          <w:lang w:val="en-AU"/>
        </w:rPr>
        <w:t>in seven</w:t>
      </w:r>
      <w:r>
        <w:rPr>
          <w:rFonts w:eastAsia="Times New Roman" w:cs="Times New Roman"/>
          <w:color w:val="000000"/>
          <w:lang w:val="en-AU"/>
        </w:rPr>
        <w:t xml:space="preserve"> cases</w:t>
      </w:r>
      <w:r w:rsidRPr="008F41CA">
        <w:rPr>
          <w:rFonts w:eastAsia="Times New Roman" w:cs="Times New Roman"/>
          <w:color w:val="000000"/>
          <w:lang w:val="en-AU"/>
        </w:rPr>
        <w:t xml:space="preserve"> (</w:t>
      </w:r>
      <w:r>
        <w:rPr>
          <w:rFonts w:eastAsia="Times New Roman" w:cs="Times New Roman"/>
          <w:color w:val="000000"/>
          <w:lang w:val="en-AU"/>
        </w:rPr>
        <w:t>39</w:t>
      </w:r>
      <w:r w:rsidR="00250F35">
        <w:rPr>
          <w:rFonts w:eastAsia="Times New Roman" w:cs="Times New Roman"/>
          <w:color w:val="000000"/>
          <w:lang w:val="en-AU"/>
        </w:rPr>
        <w:t xml:space="preserve"> per cent</w:t>
      </w:r>
      <w:r w:rsidRPr="008F41CA">
        <w:rPr>
          <w:rFonts w:eastAsia="Times New Roman" w:cs="Times New Roman"/>
          <w:color w:val="000000"/>
          <w:lang w:val="en-AU"/>
        </w:rPr>
        <w:t xml:space="preserve">). </w:t>
      </w:r>
    </w:p>
    <w:p w14:paraId="5ED9779A" w14:textId="77777777" w:rsidR="00A513FD" w:rsidRDefault="00A513FD" w:rsidP="00B45D12">
      <w:pPr>
        <w:spacing w:line="240" w:lineRule="auto"/>
        <w:jc w:val="both"/>
        <w:rPr>
          <w:rFonts w:eastAsia="Times New Roman" w:cs="Times New Roman"/>
          <w:color w:val="000000"/>
          <w:lang w:val="en-AU"/>
        </w:rPr>
      </w:pPr>
    </w:p>
    <w:p w14:paraId="58304A9A" w14:textId="2CD26E19" w:rsidR="004B5400" w:rsidRPr="002A26D7" w:rsidRDefault="004B5400" w:rsidP="00B45D12">
      <w:pPr>
        <w:spacing w:line="240" w:lineRule="auto"/>
        <w:jc w:val="both"/>
        <w:rPr>
          <w:rFonts w:cs="Times New Roman"/>
        </w:rPr>
      </w:pPr>
      <w:r>
        <w:rPr>
          <w:rFonts w:eastAsia="Times New Roman" w:cs="Times New Roman"/>
          <w:color w:val="000000"/>
          <w:lang w:val="en-AU"/>
        </w:rPr>
        <w:t xml:space="preserve">Notably, </w:t>
      </w:r>
      <w:r w:rsidRPr="008F41CA">
        <w:rPr>
          <w:rFonts w:cs="Times New Roman"/>
        </w:rPr>
        <w:t>of the</w:t>
      </w:r>
      <w:r>
        <w:rPr>
          <w:rFonts w:cs="Times New Roman"/>
        </w:rPr>
        <w:t>se</w:t>
      </w:r>
      <w:r w:rsidRPr="008F41CA">
        <w:rPr>
          <w:rFonts w:cs="Times New Roman"/>
        </w:rPr>
        <w:t xml:space="preserve"> </w:t>
      </w:r>
      <w:r w:rsidRPr="00BE67C6">
        <w:rPr>
          <w:rFonts w:cs="Times New Roman"/>
        </w:rPr>
        <w:t>18</w:t>
      </w:r>
      <w:r>
        <w:rPr>
          <w:rFonts w:cs="Times New Roman"/>
        </w:rPr>
        <w:t xml:space="preserve"> decisions, 11</w:t>
      </w:r>
      <w:r w:rsidRPr="008F41CA">
        <w:rPr>
          <w:rFonts w:cs="Times New Roman"/>
        </w:rPr>
        <w:t xml:space="preserve"> were </w:t>
      </w:r>
      <w:r>
        <w:rPr>
          <w:rFonts w:cs="Times New Roman"/>
        </w:rPr>
        <w:t xml:space="preserve">heard </w:t>
      </w:r>
      <w:r w:rsidRPr="008F41CA">
        <w:rPr>
          <w:rFonts w:cs="Times New Roman"/>
        </w:rPr>
        <w:t xml:space="preserve">in </w:t>
      </w:r>
      <w:r>
        <w:rPr>
          <w:rFonts w:cs="Times New Roman"/>
        </w:rPr>
        <w:t xml:space="preserve">the </w:t>
      </w:r>
      <w:r w:rsidRPr="008F41CA">
        <w:rPr>
          <w:rFonts w:cs="Times New Roman"/>
        </w:rPr>
        <w:t xml:space="preserve">Melbourne or Dandenong </w:t>
      </w:r>
      <w:r>
        <w:rPr>
          <w:rFonts w:cs="Times New Roman"/>
        </w:rPr>
        <w:t>r</w:t>
      </w:r>
      <w:r w:rsidRPr="008F41CA">
        <w:rPr>
          <w:rFonts w:cs="Times New Roman"/>
        </w:rPr>
        <w:t>egistries</w:t>
      </w:r>
      <w:r>
        <w:rPr>
          <w:rFonts w:cs="Times New Roman"/>
        </w:rPr>
        <w:t>. This could reflect a number of factors however</w:t>
      </w:r>
      <w:r w:rsidR="00FB0876">
        <w:rPr>
          <w:rFonts w:cs="Times New Roman"/>
        </w:rPr>
        <w:t>. W</w:t>
      </w:r>
      <w:r>
        <w:rPr>
          <w:rFonts w:cs="Times New Roman"/>
        </w:rPr>
        <w:t xml:space="preserve">e would suggest this is most likely due to the influence of lawyers in those jurisdictions.  It would seem unlikely there would be a significant discrepancy in rates of violence, or the nature of violence; it is far more likely lawyers in those areas are more attuned to raising the argument. </w:t>
      </w:r>
    </w:p>
    <w:p w14:paraId="69D20295" w14:textId="49C85B7D" w:rsidR="004B5400" w:rsidRDefault="004B5400" w:rsidP="00B45D12">
      <w:pPr>
        <w:spacing w:line="240" w:lineRule="auto"/>
        <w:jc w:val="both"/>
        <w:rPr>
          <w:rFonts w:cs="Times New Roman"/>
        </w:rPr>
      </w:pPr>
    </w:p>
    <w:p w14:paraId="74340141" w14:textId="77A39117" w:rsidR="004B5400" w:rsidRDefault="004B5400" w:rsidP="00FB0876">
      <w:pPr>
        <w:spacing w:line="240" w:lineRule="auto"/>
        <w:ind w:firstLine="720"/>
        <w:jc w:val="both"/>
        <w:rPr>
          <w:rFonts w:eastAsia="Times New Roman" w:cs="Times New Roman"/>
          <w:color w:val="000000"/>
          <w:lang w:val="en-AU"/>
        </w:rPr>
      </w:pPr>
      <w:r>
        <w:rPr>
          <w:rFonts w:cs="Times New Roman"/>
        </w:rPr>
        <w:t>T</w:t>
      </w:r>
      <w:r w:rsidRPr="0056763B">
        <w:rPr>
          <w:rFonts w:cs="Times New Roman"/>
        </w:rPr>
        <w:t xml:space="preserve">he passage </w:t>
      </w:r>
      <w:r>
        <w:rPr>
          <w:rFonts w:cs="Times New Roman"/>
        </w:rPr>
        <w:t xml:space="preserve">in </w:t>
      </w:r>
      <w:r w:rsidRPr="002715D2">
        <w:rPr>
          <w:rFonts w:cs="Times New Roman"/>
          <w:i/>
        </w:rPr>
        <w:t>Kennon</w:t>
      </w:r>
      <w:r>
        <w:rPr>
          <w:rFonts w:cs="Times New Roman"/>
        </w:rPr>
        <w:t xml:space="preserve"> does</w:t>
      </w:r>
      <w:r w:rsidRPr="0056763B">
        <w:rPr>
          <w:rFonts w:cs="Times New Roman"/>
        </w:rPr>
        <w:t xml:space="preserve"> not </w:t>
      </w:r>
      <w:r>
        <w:rPr>
          <w:rFonts w:cs="Times New Roman"/>
        </w:rPr>
        <w:t>contain any words concerning the amount of</w:t>
      </w:r>
      <w:r w:rsidRPr="0056763B">
        <w:rPr>
          <w:rFonts w:cs="Times New Roman"/>
        </w:rPr>
        <w:t xml:space="preserve"> adjustment</w:t>
      </w:r>
      <w:r>
        <w:rPr>
          <w:rFonts w:cs="Times New Roman"/>
        </w:rPr>
        <w:t xml:space="preserve"> to be made or how the judicial officer should approach weighting the adjustment; however</w:t>
      </w:r>
      <w:r w:rsidR="000B7EA3">
        <w:rPr>
          <w:rFonts w:cs="Times New Roman"/>
        </w:rPr>
        <w:t>,</w:t>
      </w:r>
      <w:r>
        <w:rPr>
          <w:rFonts w:cs="Times New Roman"/>
        </w:rPr>
        <w:t xml:space="preserve"> that is typical in family property law and appropriate given the discretionary wording of the legislation</w:t>
      </w:r>
      <w:r w:rsidRPr="0056763B">
        <w:rPr>
          <w:rFonts w:cs="Times New Roman"/>
        </w:rPr>
        <w:t>.</w:t>
      </w:r>
      <w:r>
        <w:rPr>
          <w:rFonts w:cs="Times New Roman"/>
        </w:rPr>
        <w:t xml:space="preserve">   Case law such as </w:t>
      </w:r>
      <w:r w:rsidRPr="00650EE8">
        <w:rPr>
          <w:rFonts w:cs="Times New Roman"/>
          <w:i/>
        </w:rPr>
        <w:t>Kennon</w:t>
      </w:r>
      <w:r>
        <w:rPr>
          <w:rFonts w:cs="Times New Roman"/>
        </w:rPr>
        <w:t xml:space="preserve"> does not determine outcomes, rather it indicates what the words of the statute can incorporate in terms of legitimate considerations.</w:t>
      </w:r>
      <w:r w:rsidRPr="0056763B">
        <w:rPr>
          <w:rFonts w:cs="Times New Roman"/>
        </w:rPr>
        <w:t xml:space="preserve"> </w:t>
      </w:r>
      <w:r>
        <w:rPr>
          <w:rFonts w:cs="Times New Roman"/>
        </w:rPr>
        <w:t>In the 2014 sample the mean adjustment was 7.3% (Easteal et al 2014: 12); in the 2001 study, it was 5% (Middleton 2001:231)</w:t>
      </w:r>
      <w:r w:rsidRPr="0056763B">
        <w:rPr>
          <w:rFonts w:cs="Times New Roman"/>
        </w:rPr>
        <w:t>.</w:t>
      </w:r>
      <w:r>
        <w:rPr>
          <w:rFonts w:cs="Times New Roman"/>
        </w:rPr>
        <w:t xml:space="preserve"> </w:t>
      </w:r>
      <w:r w:rsidRPr="0056763B">
        <w:rPr>
          <w:rFonts w:cs="Times New Roman"/>
        </w:rPr>
        <w:t xml:space="preserve">Note </w:t>
      </w:r>
      <w:r>
        <w:rPr>
          <w:rFonts w:cs="Times New Roman"/>
        </w:rPr>
        <w:t xml:space="preserve">though </w:t>
      </w:r>
      <w:r w:rsidRPr="0056763B">
        <w:rPr>
          <w:rFonts w:cs="Times New Roman"/>
        </w:rPr>
        <w:t xml:space="preserve">that </w:t>
      </w:r>
      <w:r>
        <w:rPr>
          <w:rFonts w:cs="Times New Roman"/>
        </w:rPr>
        <w:t>in most cases,</w:t>
      </w:r>
      <w:r>
        <w:rPr>
          <w:rStyle w:val="EndnoteReference"/>
          <w:rFonts w:cs="Times New Roman"/>
        </w:rPr>
        <w:endnoteReference w:id="39"/>
      </w:r>
      <w:r>
        <w:rPr>
          <w:rFonts w:cs="Times New Roman"/>
        </w:rPr>
        <w:t xml:space="preserve"> including our</w:t>
      </w:r>
      <w:r w:rsidRPr="0056763B">
        <w:rPr>
          <w:rFonts w:cs="Times New Roman"/>
        </w:rPr>
        <w:t xml:space="preserve"> sample, </w:t>
      </w:r>
      <w:r w:rsidRPr="0056763B">
        <w:rPr>
          <w:rFonts w:cs="Times New Roman"/>
          <w:color w:val="000000"/>
        </w:rPr>
        <w:t xml:space="preserve">the increased percentage attributed to the </w:t>
      </w:r>
      <w:r w:rsidRPr="0056763B">
        <w:rPr>
          <w:rFonts w:cs="Times New Roman"/>
          <w:i/>
          <w:iCs/>
          <w:color w:val="000000"/>
        </w:rPr>
        <w:t xml:space="preserve">Kennon </w:t>
      </w:r>
      <w:r w:rsidRPr="0056763B">
        <w:rPr>
          <w:rFonts w:cs="Times New Roman"/>
          <w:color w:val="000000"/>
        </w:rPr>
        <w:t xml:space="preserve">claim </w:t>
      </w:r>
      <w:r>
        <w:rPr>
          <w:rFonts w:cs="Times New Roman"/>
          <w:color w:val="000000"/>
        </w:rPr>
        <w:t>was</w:t>
      </w:r>
      <w:r w:rsidRPr="0056763B">
        <w:rPr>
          <w:rFonts w:cs="Times New Roman"/>
          <w:color w:val="000000"/>
        </w:rPr>
        <w:t xml:space="preserve"> not specifically articulated.</w:t>
      </w:r>
      <w:r>
        <w:rPr>
          <w:rFonts w:cs="Times New Roman"/>
          <w:color w:val="000000"/>
        </w:rPr>
        <w:t xml:space="preserve"> In </w:t>
      </w:r>
      <w:r w:rsidRPr="00D96975">
        <w:rPr>
          <w:rFonts w:cs="Times New Roman"/>
          <w:i/>
          <w:color w:val="000000"/>
        </w:rPr>
        <w:t>Charlton</w:t>
      </w:r>
      <w:r w:rsidRPr="0056763B">
        <w:rPr>
          <w:rFonts w:cs="Times New Roman"/>
          <w:color w:val="000000"/>
        </w:rPr>
        <w:t xml:space="preserve"> for example, </w:t>
      </w:r>
      <w:r>
        <w:rPr>
          <w:rFonts w:cs="Times New Roman"/>
          <w:color w:val="000000"/>
        </w:rPr>
        <w:t xml:space="preserve">Judge Heather </w:t>
      </w:r>
      <w:r w:rsidRPr="0003051F">
        <w:rPr>
          <w:rFonts w:cs="Times New Roman"/>
          <w:color w:val="000000"/>
        </w:rPr>
        <w:t>Riley</w:t>
      </w:r>
      <w:r w:rsidRPr="00B4392C">
        <w:rPr>
          <w:rFonts w:cs="Times New Roman"/>
          <w:color w:val="000000"/>
        </w:rPr>
        <w:t xml:space="preserve"> lists</w:t>
      </w:r>
      <w:r w:rsidRPr="0056763B">
        <w:rPr>
          <w:rFonts w:cs="Times New Roman"/>
          <w:color w:val="000000"/>
        </w:rPr>
        <w:t xml:space="preserve"> ‘</w:t>
      </w:r>
      <w:r w:rsidRPr="0056763B">
        <w:rPr>
          <w:rFonts w:eastAsia="Times New Roman" w:cs="Times New Roman"/>
          <w:color w:val="000000"/>
          <w:lang w:val="en-AU"/>
        </w:rPr>
        <w:t>the wife’s contributions during the relationship being made more arduous by the husband’s abusive, contr</w:t>
      </w:r>
      <w:r>
        <w:rPr>
          <w:rFonts w:eastAsia="Times New Roman" w:cs="Times New Roman"/>
          <w:color w:val="000000"/>
          <w:lang w:val="en-AU"/>
        </w:rPr>
        <w:t>olling and oppressive behaviour’ as the last of seven factors leading to her overall equal split of assets.</w:t>
      </w:r>
      <w:r>
        <w:rPr>
          <w:rStyle w:val="EndnoteReference"/>
          <w:rFonts w:eastAsia="Times New Roman" w:cs="Times New Roman"/>
          <w:color w:val="000000"/>
          <w:lang w:val="en-AU"/>
        </w:rPr>
        <w:endnoteReference w:id="40"/>
      </w:r>
      <w:r>
        <w:rPr>
          <w:rFonts w:eastAsia="Times New Roman" w:cs="Times New Roman"/>
          <w:color w:val="000000"/>
          <w:lang w:val="en-AU"/>
        </w:rPr>
        <w:t xml:space="preserve"> </w:t>
      </w:r>
    </w:p>
    <w:p w14:paraId="02414673" w14:textId="77777777" w:rsidR="00FB0876" w:rsidRPr="0056763B" w:rsidRDefault="00FB0876" w:rsidP="00B45D12">
      <w:pPr>
        <w:spacing w:line="240" w:lineRule="auto"/>
        <w:jc w:val="both"/>
        <w:rPr>
          <w:rFonts w:eastAsia="Times New Roman" w:cs="Times New Roman"/>
          <w:color w:val="000000"/>
          <w:lang w:val="en-AU"/>
        </w:rPr>
      </w:pPr>
    </w:p>
    <w:p w14:paraId="6B6C9205" w14:textId="17C305B7" w:rsidR="004B5400" w:rsidRPr="00FB0876" w:rsidRDefault="004B5400" w:rsidP="00FB0876">
      <w:pPr>
        <w:pStyle w:val="ListParagraph"/>
        <w:widowControl w:val="0"/>
        <w:numPr>
          <w:ilvl w:val="0"/>
          <w:numId w:val="26"/>
        </w:numPr>
        <w:tabs>
          <w:tab w:val="left" w:pos="220"/>
          <w:tab w:val="left" w:pos="720"/>
        </w:tabs>
        <w:autoSpaceDE w:val="0"/>
        <w:autoSpaceDN w:val="0"/>
        <w:adjustRightInd w:val="0"/>
        <w:spacing w:line="240" w:lineRule="auto"/>
        <w:jc w:val="center"/>
        <w:rPr>
          <w:rFonts w:cs="Times New Roman"/>
          <w:b/>
        </w:rPr>
      </w:pPr>
      <w:r w:rsidRPr="00FB0876">
        <w:rPr>
          <w:rFonts w:cs="Times New Roman"/>
          <w:b/>
        </w:rPr>
        <w:t>Course of Conduct</w:t>
      </w:r>
    </w:p>
    <w:p w14:paraId="4A075E8C" w14:textId="77777777" w:rsidR="00FB0876" w:rsidRPr="00FB0876" w:rsidRDefault="00FB0876" w:rsidP="00FB0876">
      <w:pPr>
        <w:pStyle w:val="ListParagraph"/>
        <w:widowControl w:val="0"/>
        <w:tabs>
          <w:tab w:val="left" w:pos="220"/>
          <w:tab w:val="left" w:pos="720"/>
        </w:tabs>
        <w:autoSpaceDE w:val="0"/>
        <w:autoSpaceDN w:val="0"/>
        <w:adjustRightInd w:val="0"/>
        <w:spacing w:line="240" w:lineRule="auto"/>
        <w:rPr>
          <w:rFonts w:cs="Times New Roman"/>
          <w:b/>
        </w:rPr>
      </w:pPr>
    </w:p>
    <w:p w14:paraId="025213FA" w14:textId="0A31448E" w:rsidR="004B5400" w:rsidRDefault="004B5400" w:rsidP="00B45D12">
      <w:pPr>
        <w:widowControl w:val="0"/>
        <w:tabs>
          <w:tab w:val="left" w:pos="220"/>
          <w:tab w:val="left" w:pos="720"/>
        </w:tabs>
        <w:autoSpaceDE w:val="0"/>
        <w:autoSpaceDN w:val="0"/>
        <w:adjustRightInd w:val="0"/>
        <w:spacing w:line="240" w:lineRule="auto"/>
        <w:jc w:val="both"/>
        <w:rPr>
          <w:rFonts w:cs="Times New Roman"/>
        </w:rPr>
      </w:pPr>
      <w:r>
        <w:rPr>
          <w:rFonts w:cs="Times New Roman"/>
        </w:rPr>
        <w:t xml:space="preserve">The </w:t>
      </w:r>
      <w:r w:rsidRPr="00D96975">
        <w:rPr>
          <w:rFonts w:cs="Times New Roman"/>
          <w:i/>
        </w:rPr>
        <w:t>Kennon</w:t>
      </w:r>
      <w:r>
        <w:rPr>
          <w:rFonts w:cs="Times New Roman"/>
        </w:rPr>
        <w:t xml:space="preserve"> principle does not apply to isolated incidents of violence; there must have been a ‘course of conduct’. As the Full Court has said, the conduct:</w:t>
      </w:r>
    </w:p>
    <w:p w14:paraId="5E64A5CA" w14:textId="77777777" w:rsidR="00FB0876" w:rsidRDefault="00FB0876" w:rsidP="00B45D12">
      <w:pPr>
        <w:widowControl w:val="0"/>
        <w:tabs>
          <w:tab w:val="left" w:pos="220"/>
          <w:tab w:val="left" w:pos="720"/>
        </w:tabs>
        <w:autoSpaceDE w:val="0"/>
        <w:autoSpaceDN w:val="0"/>
        <w:adjustRightInd w:val="0"/>
        <w:spacing w:line="240" w:lineRule="auto"/>
        <w:jc w:val="both"/>
        <w:rPr>
          <w:rFonts w:cs="Times New Roman"/>
        </w:rPr>
      </w:pPr>
    </w:p>
    <w:p w14:paraId="6CCC3421" w14:textId="75DA9A76" w:rsidR="004B5400" w:rsidRPr="00651EDD" w:rsidRDefault="00FB0876" w:rsidP="00B45D12">
      <w:pPr>
        <w:pStyle w:val="BlockText"/>
        <w:spacing w:after="0" w:line="240" w:lineRule="auto"/>
        <w:jc w:val="both"/>
      </w:pPr>
      <w:r>
        <w:t>‘</w:t>
      </w:r>
      <w:r w:rsidR="004B5400">
        <w:t xml:space="preserve">…need not be frequent to constitute a course of conduct, although a degree of repetition is required. </w:t>
      </w:r>
      <w:r w:rsidR="004B5400" w:rsidRPr="00651EDD">
        <w:rPr>
          <w:color w:val="000000"/>
          <w:shd w:val="clear" w:color="auto" w:fill="FFFFFF"/>
        </w:rPr>
        <w:t xml:space="preserve">The wife’s evidence does establish periodic behaviour and </w:t>
      </w:r>
      <w:r w:rsidR="004B5400" w:rsidRPr="00651EDD">
        <w:rPr>
          <w:color w:val="000000"/>
          <w:shd w:val="clear" w:color="auto" w:fill="FFFFFF"/>
        </w:rPr>
        <w:lastRenderedPageBreak/>
        <w:t>its consequences throughout the period of cohabitation</w:t>
      </w:r>
      <w:r>
        <w:rPr>
          <w:color w:val="000000"/>
          <w:shd w:val="clear" w:color="auto" w:fill="FFFFFF"/>
        </w:rPr>
        <w:t>’.</w:t>
      </w:r>
      <w:r w:rsidR="004B5400" w:rsidRPr="00651EDD">
        <w:rPr>
          <w:rStyle w:val="EndnoteReference"/>
        </w:rPr>
        <w:t xml:space="preserve"> </w:t>
      </w:r>
      <w:r w:rsidR="004B5400" w:rsidRPr="00651EDD">
        <w:rPr>
          <w:rStyle w:val="EndnoteReference"/>
        </w:rPr>
        <w:endnoteReference w:id="41"/>
      </w:r>
      <w:r w:rsidR="004B5400" w:rsidRPr="00651EDD">
        <w:rPr>
          <w:position w:val="8"/>
        </w:rPr>
        <w:t xml:space="preserve"> </w:t>
      </w:r>
    </w:p>
    <w:p w14:paraId="42A8C372" w14:textId="709787AE" w:rsidR="004B5400" w:rsidRDefault="004B5400" w:rsidP="00B45D12">
      <w:pPr>
        <w:spacing w:line="240" w:lineRule="auto"/>
        <w:jc w:val="both"/>
        <w:rPr>
          <w:rFonts w:ascii="Times" w:eastAsia="Times New Roman" w:hAnsi="Times" w:cs="Times New Roman"/>
          <w:sz w:val="20"/>
          <w:szCs w:val="20"/>
          <w:lang w:val="en-AU"/>
        </w:rPr>
      </w:pPr>
    </w:p>
    <w:p w14:paraId="1DE0E1EC" w14:textId="50045BF3" w:rsidR="004B5400" w:rsidRDefault="004B5400" w:rsidP="00650EE8">
      <w:pPr>
        <w:spacing w:line="240" w:lineRule="auto"/>
        <w:jc w:val="both"/>
      </w:pPr>
      <w:r>
        <w:rPr>
          <w:rFonts w:cs="Times New Roman"/>
        </w:rPr>
        <w:t xml:space="preserve">Proving a ‘course’ of ‘conduct’ thus depends on establishing both the nature and frequency of the violence. Even at the lower civil standard of proof, it is hardly surprising this can prove difficult. In </w:t>
      </w:r>
      <w:r w:rsidRPr="009E4FF7">
        <w:rPr>
          <w:rFonts w:cs="Times New Roman"/>
          <w:i/>
        </w:rPr>
        <w:t>Hunter &amp; Hunter</w:t>
      </w:r>
      <w:r>
        <w:rPr>
          <w:rFonts w:eastAsia="Times New Roman" w:cs="Times New Roman"/>
          <w:color w:val="000000"/>
          <w:lang w:val="en-AU"/>
        </w:rPr>
        <w:t xml:space="preserve"> the wife</w:t>
      </w:r>
      <w:r w:rsidRPr="009044FD">
        <w:rPr>
          <w:rFonts w:eastAsia="Times New Roman" w:cs="Times New Roman"/>
          <w:color w:val="000000"/>
          <w:lang w:val="en-AU"/>
        </w:rPr>
        <w:t xml:space="preserve"> allege</w:t>
      </w:r>
      <w:r>
        <w:rPr>
          <w:rFonts w:eastAsia="Times New Roman" w:cs="Times New Roman"/>
          <w:color w:val="000000"/>
          <w:lang w:val="en-AU"/>
        </w:rPr>
        <w:t>d</w:t>
      </w:r>
      <w:r w:rsidRPr="009044FD">
        <w:rPr>
          <w:rFonts w:eastAsia="Times New Roman" w:cs="Times New Roman"/>
          <w:color w:val="000000"/>
          <w:lang w:val="en-AU"/>
        </w:rPr>
        <w:t xml:space="preserve"> </w:t>
      </w:r>
      <w:r>
        <w:rPr>
          <w:rFonts w:eastAsia="Times New Roman" w:cs="Times New Roman"/>
          <w:color w:val="000000"/>
          <w:lang w:val="en-AU"/>
        </w:rPr>
        <w:t xml:space="preserve">(supported by some corroborative evidence from her mother and two daughters, aged 27 and 29) </w:t>
      </w:r>
      <w:r w:rsidRPr="009044FD">
        <w:rPr>
          <w:rFonts w:eastAsia="Times New Roman" w:cs="Times New Roman"/>
          <w:color w:val="000000"/>
          <w:lang w:val="en-AU"/>
        </w:rPr>
        <w:t>that</w:t>
      </w:r>
      <w:r>
        <w:rPr>
          <w:rFonts w:eastAsia="Times New Roman" w:cs="Times New Roman"/>
          <w:color w:val="000000"/>
          <w:lang w:val="en-AU"/>
        </w:rPr>
        <w:t xml:space="preserve"> she was isolated,</w:t>
      </w:r>
      <w:r w:rsidRPr="009044FD">
        <w:rPr>
          <w:rFonts w:eastAsia="Times New Roman" w:cs="Times New Roman"/>
          <w:color w:val="000000"/>
          <w:lang w:val="en-AU"/>
        </w:rPr>
        <w:t xml:space="preserve"> threatened verbally</w:t>
      </w:r>
      <w:r>
        <w:rPr>
          <w:rFonts w:eastAsia="Times New Roman" w:cs="Times New Roman"/>
          <w:color w:val="000000"/>
          <w:lang w:val="en-AU"/>
        </w:rPr>
        <w:t>, abused emotionally, sexually and physically</w:t>
      </w:r>
      <w:r w:rsidRPr="009044FD">
        <w:rPr>
          <w:rFonts w:eastAsia="Times New Roman" w:cs="Times New Roman"/>
          <w:color w:val="000000"/>
          <w:lang w:val="en-AU"/>
        </w:rPr>
        <w:t>.</w:t>
      </w:r>
      <w:r>
        <w:rPr>
          <w:rStyle w:val="EndnoteReference"/>
          <w:color w:val="000000"/>
          <w:lang w:val="en-AU"/>
        </w:rPr>
        <w:endnoteReference w:id="42"/>
      </w:r>
      <w:r>
        <w:rPr>
          <w:rFonts w:eastAsia="Times New Roman" w:cs="Times New Roman"/>
          <w:color w:val="000000"/>
          <w:lang w:val="en-AU"/>
        </w:rPr>
        <w:t xml:space="preserve"> The wife put this in the context of a description of the husband as violent towards animals. </w:t>
      </w:r>
      <w:r w:rsidR="00D16F77">
        <w:t>Justice Jenny Hogan</w:t>
      </w:r>
      <w:r>
        <w:rPr>
          <w:rFonts w:eastAsia="Times New Roman" w:cs="Times New Roman"/>
          <w:color w:val="000000"/>
          <w:lang w:val="en-AU"/>
        </w:rPr>
        <w:t xml:space="preserve"> found the husband acted cruelly in dragging a tethered cow behind his car,</w:t>
      </w:r>
      <w:r>
        <w:rPr>
          <w:rStyle w:val="EndnoteReference"/>
          <w:rFonts w:eastAsia="Times New Roman" w:cs="Times New Roman"/>
          <w:color w:val="000000"/>
          <w:lang w:val="en-AU"/>
        </w:rPr>
        <w:endnoteReference w:id="43"/>
      </w:r>
      <w:r>
        <w:rPr>
          <w:rFonts w:eastAsia="Times New Roman" w:cs="Times New Roman"/>
          <w:color w:val="000000"/>
          <w:lang w:val="en-AU"/>
        </w:rPr>
        <w:t xml:space="preserve"> but generally accepted the husband’s version of events in relation to the various claims made by the mother, including that putting a tea towel around the wife’s neck and pinning her to the ground so she could not get up, was done in jest. For various reasons little weight was attached to the wife’s corroborative evidence. Clearly one of the parents was not telling the truth,</w:t>
      </w:r>
      <w:r>
        <w:rPr>
          <w:rStyle w:val="EndnoteReference"/>
          <w:color w:val="000000"/>
          <w:lang w:val="en-AU"/>
        </w:rPr>
        <w:endnoteReference w:id="44"/>
      </w:r>
      <w:r>
        <w:rPr>
          <w:rFonts w:eastAsia="Times New Roman" w:cs="Times New Roman"/>
          <w:color w:val="000000"/>
          <w:lang w:val="en-AU"/>
        </w:rPr>
        <w:t xml:space="preserve"> and in this case the judge found that, in relation to the financial matters, each of the parents was prepared to tailor their evidence to suit their case.</w:t>
      </w:r>
      <w:r>
        <w:rPr>
          <w:rStyle w:val="EndnoteReference"/>
          <w:rFonts w:eastAsia="Times New Roman" w:cs="Times New Roman"/>
          <w:color w:val="000000"/>
          <w:lang w:val="en-AU"/>
        </w:rPr>
        <w:endnoteReference w:id="45"/>
      </w:r>
      <w:r>
        <w:rPr>
          <w:rFonts w:eastAsia="Times New Roman" w:cs="Times New Roman"/>
          <w:color w:val="000000"/>
          <w:lang w:val="en-AU"/>
        </w:rPr>
        <w:t xml:space="preserve">  The judge thus concluded the wife had not established this element: while </w:t>
      </w:r>
      <w:r>
        <w:t xml:space="preserve">it is unclear whether there was no behaviour of concern or some behaviour of concern to the judge, </w:t>
      </w:r>
      <w:r w:rsidR="00D16F77">
        <w:t xml:space="preserve">she </w:t>
      </w:r>
      <w:r>
        <w:t>was not satisfied there was a ‘course’ of relevant conduct.</w:t>
      </w:r>
    </w:p>
    <w:p w14:paraId="76582324" w14:textId="77777777" w:rsidR="004B5400" w:rsidRPr="002609A3" w:rsidRDefault="004B5400" w:rsidP="00DC75C6">
      <w:pPr>
        <w:spacing w:line="240" w:lineRule="auto"/>
        <w:jc w:val="both"/>
        <w:rPr>
          <w:rFonts w:eastAsia="Times New Roman" w:cs="Times New Roman"/>
          <w:color w:val="000000"/>
          <w:lang w:val="en-AU"/>
        </w:rPr>
      </w:pPr>
    </w:p>
    <w:p w14:paraId="40400E3A" w14:textId="49535433" w:rsidR="004B5400" w:rsidRDefault="004B5400" w:rsidP="00FB0876">
      <w:pPr>
        <w:spacing w:line="240" w:lineRule="auto"/>
        <w:ind w:firstLine="720"/>
        <w:jc w:val="both"/>
        <w:rPr>
          <w:rFonts w:eastAsia="Times New Roman" w:cs="Times New Roman"/>
          <w:color w:val="000000"/>
        </w:rPr>
      </w:pPr>
      <w:r>
        <w:rPr>
          <w:rFonts w:eastAsia="Times New Roman" w:cs="Times New Roman"/>
          <w:color w:val="000000"/>
        </w:rPr>
        <w:t>I</w:t>
      </w:r>
      <w:r>
        <w:rPr>
          <w:rFonts w:eastAsia="Times New Roman" w:cs="Times New Roman"/>
          <w:color w:val="000000"/>
          <w:lang w:val="en-AU"/>
        </w:rPr>
        <w:t xml:space="preserve">n </w:t>
      </w:r>
      <w:r w:rsidRPr="00D42983">
        <w:rPr>
          <w:rFonts w:eastAsia="Times New Roman" w:cs="Times New Roman"/>
          <w:i/>
          <w:color w:val="000000"/>
        </w:rPr>
        <w:t>Tumlin &amp; Tumlin</w:t>
      </w:r>
      <w:r>
        <w:rPr>
          <w:rFonts w:eastAsia="Times New Roman" w:cs="Times New Roman"/>
          <w:color w:val="000000"/>
        </w:rPr>
        <w:t xml:space="preserve"> Justice Garry Watts equated a ‘course of conduct’ with ‘systemic family violence’:</w:t>
      </w:r>
    </w:p>
    <w:p w14:paraId="56391910" w14:textId="77777777" w:rsidR="00FB0876" w:rsidRPr="00D42983" w:rsidRDefault="00FB0876" w:rsidP="00FB0876">
      <w:pPr>
        <w:spacing w:line="240" w:lineRule="auto"/>
        <w:ind w:firstLine="720"/>
        <w:jc w:val="both"/>
        <w:rPr>
          <w:rFonts w:eastAsia="Times New Roman" w:cs="Times New Roman"/>
          <w:color w:val="000000"/>
          <w:lang w:val="en-AU"/>
        </w:rPr>
      </w:pPr>
    </w:p>
    <w:p w14:paraId="746E9EA9" w14:textId="09C1800B" w:rsidR="004B5400" w:rsidRPr="009044FD" w:rsidRDefault="00FB0876" w:rsidP="00DC75C6">
      <w:pPr>
        <w:pStyle w:val="BlockText"/>
        <w:spacing w:after="0" w:line="240" w:lineRule="auto"/>
        <w:jc w:val="both"/>
      </w:pPr>
      <w:r>
        <w:t>‘</w:t>
      </w:r>
      <w:r w:rsidR="004B5400" w:rsidRPr="009044FD">
        <w:t xml:space="preserve">In relation to the allegations that are earlier set out I concluded that there were incidents of </w:t>
      </w:r>
      <w:r w:rsidR="004B5400">
        <w:t xml:space="preserve">family violence </w:t>
      </w:r>
      <w:r w:rsidR="004B5400" w:rsidRPr="009044FD">
        <w:t xml:space="preserve">during the marriage. </w:t>
      </w:r>
      <w:r w:rsidR="004B5400" w:rsidRPr="00556119">
        <w:rPr>
          <w:i/>
        </w:rPr>
        <w:t>That history however was not one of systemic family </w:t>
      </w:r>
      <w:r w:rsidR="004B5400" w:rsidRPr="00556119">
        <w:rPr>
          <w:bCs/>
          <w:i/>
        </w:rPr>
        <w:t>violence</w:t>
      </w:r>
      <w:r>
        <w:rPr>
          <w:bCs/>
          <w:i/>
        </w:rPr>
        <w:t>’</w:t>
      </w:r>
      <w:r w:rsidR="004B5400">
        <w:rPr>
          <w:bCs/>
        </w:rPr>
        <w:t>.</w:t>
      </w:r>
      <w:r w:rsidR="004B5400">
        <w:rPr>
          <w:rStyle w:val="EndnoteReference"/>
          <w:color w:val="000000"/>
        </w:rPr>
        <w:endnoteReference w:id="46"/>
      </w:r>
      <w:r w:rsidR="004B5400">
        <w:rPr>
          <w:bCs/>
        </w:rPr>
        <w:t xml:space="preserve"> </w:t>
      </w:r>
    </w:p>
    <w:p w14:paraId="693C54F8" w14:textId="77777777" w:rsidR="004B5400" w:rsidRDefault="004B5400" w:rsidP="00DC75C6">
      <w:pPr>
        <w:spacing w:line="240" w:lineRule="auto"/>
        <w:jc w:val="both"/>
        <w:rPr>
          <w:rFonts w:cs="Times New Roman"/>
        </w:rPr>
      </w:pPr>
    </w:p>
    <w:p w14:paraId="409DD686" w14:textId="681E375D" w:rsidR="004B5400" w:rsidRDefault="004B5400" w:rsidP="00DC75C6">
      <w:pPr>
        <w:spacing w:line="240" w:lineRule="auto"/>
        <w:jc w:val="both"/>
        <w:rPr>
          <w:rFonts w:cs="Times New Roman"/>
        </w:rPr>
      </w:pPr>
      <w:r>
        <w:rPr>
          <w:rFonts w:cs="Times New Roman"/>
        </w:rPr>
        <w:t xml:space="preserve">It is not at all clear what this means, given that ‘systemic’ means in essence something that affects the whole ‘system’ – in this case the parties’ relationship. Yet, the judicial officer found the husband had perpetrated a number of violent incidents and there was evidence the wife had presented to a doctor with bruises consistent with her claims of one incident.  The question in this case was evidentiary - most things were not tested (and of course, as is typical, many could not be). While it may have been open to the judicial officer to find a course of violent conduct was not established on the evidence, it is hard to see how his Honour positively concluded there was no such course of conduct (which is presumably what his Honour meant). Moreover, there is no consideration of what the word ‘systemic’ </w:t>
      </w:r>
      <w:r w:rsidR="00F3103D">
        <w:rPr>
          <w:rFonts w:cs="Times New Roman"/>
        </w:rPr>
        <w:t xml:space="preserve">means </w:t>
      </w:r>
      <w:r>
        <w:rPr>
          <w:rFonts w:cs="Times New Roman"/>
        </w:rPr>
        <w:t>generally, or in the context of this relationship, particularly in light of his Honour’s finding that the wife was genuinely frightened of the husband.</w:t>
      </w:r>
    </w:p>
    <w:p w14:paraId="7A163ECA" w14:textId="77777777" w:rsidR="004B5400" w:rsidRDefault="004B5400" w:rsidP="00DC75C6">
      <w:pPr>
        <w:spacing w:line="240" w:lineRule="auto"/>
        <w:jc w:val="both"/>
        <w:rPr>
          <w:rFonts w:cs="Times New Roman"/>
        </w:rPr>
      </w:pPr>
    </w:p>
    <w:p w14:paraId="0BA06F11" w14:textId="7FF33040" w:rsidR="004B5400" w:rsidRPr="00FB0876" w:rsidRDefault="004B5400" w:rsidP="00FB0876">
      <w:pPr>
        <w:pStyle w:val="ListParagraph"/>
        <w:numPr>
          <w:ilvl w:val="0"/>
          <w:numId w:val="26"/>
        </w:numPr>
        <w:spacing w:line="240" w:lineRule="auto"/>
        <w:jc w:val="center"/>
        <w:rPr>
          <w:rFonts w:cs="Times New Roman"/>
          <w:b/>
        </w:rPr>
      </w:pPr>
      <w:r w:rsidRPr="00FB0876">
        <w:rPr>
          <w:rFonts w:cs="Times New Roman"/>
          <w:b/>
        </w:rPr>
        <w:t>During the Marriage</w:t>
      </w:r>
    </w:p>
    <w:p w14:paraId="729CAF04" w14:textId="77777777" w:rsidR="00FB0876" w:rsidRPr="00FB0876" w:rsidRDefault="00FB0876" w:rsidP="00FB0876">
      <w:pPr>
        <w:pStyle w:val="ListParagraph"/>
        <w:spacing w:line="240" w:lineRule="auto"/>
        <w:rPr>
          <w:rFonts w:cs="Times New Roman"/>
          <w:b/>
        </w:rPr>
      </w:pPr>
    </w:p>
    <w:p w14:paraId="24D18CA9" w14:textId="2C1D1A81" w:rsidR="004B5400" w:rsidRDefault="004B5400" w:rsidP="00DC75C6">
      <w:pPr>
        <w:widowControl w:val="0"/>
        <w:autoSpaceDE w:val="0"/>
        <w:autoSpaceDN w:val="0"/>
        <w:adjustRightInd w:val="0"/>
        <w:spacing w:line="240" w:lineRule="auto"/>
        <w:jc w:val="both"/>
        <w:rPr>
          <w:rFonts w:cs="Times New Roman"/>
          <w:color w:val="000000"/>
        </w:rPr>
      </w:pPr>
      <w:r>
        <w:rPr>
          <w:rFonts w:cs="Times New Roman"/>
        </w:rPr>
        <w:t>The meaning of ‘d</w:t>
      </w:r>
      <w:r w:rsidRPr="008F41CA">
        <w:rPr>
          <w:rFonts w:cs="Times New Roman"/>
        </w:rPr>
        <w:t xml:space="preserve">uring the marriage’ was </w:t>
      </w:r>
      <w:r>
        <w:rPr>
          <w:rFonts w:cs="Times New Roman"/>
        </w:rPr>
        <w:t>considered</w:t>
      </w:r>
      <w:r w:rsidRPr="008F41CA">
        <w:rPr>
          <w:rFonts w:cs="Times New Roman"/>
        </w:rPr>
        <w:t xml:space="preserve"> by </w:t>
      </w:r>
      <w:r>
        <w:rPr>
          <w:rFonts w:cs="Times New Roman"/>
        </w:rPr>
        <w:t xml:space="preserve">the Full Court in </w:t>
      </w:r>
      <w:r w:rsidRPr="00DC75C6">
        <w:rPr>
          <w:rFonts w:cs="Times New Roman"/>
          <w:i/>
        </w:rPr>
        <w:t>Baranski &amp; Baranski</w:t>
      </w:r>
      <w:r>
        <w:rPr>
          <w:rFonts w:cs="Times New Roman"/>
        </w:rPr>
        <w:t>.</w:t>
      </w:r>
      <w:r w:rsidRPr="008F41CA">
        <w:rPr>
          <w:rStyle w:val="EndnoteReference"/>
          <w:rFonts w:cs="Times New Roman"/>
          <w:color w:val="000000"/>
        </w:rPr>
        <w:endnoteReference w:id="47"/>
      </w:r>
      <w:r w:rsidRPr="008F41CA">
        <w:rPr>
          <w:rFonts w:cs="Times New Roman"/>
          <w:color w:val="000000"/>
        </w:rPr>
        <w:t xml:space="preserve"> </w:t>
      </w:r>
      <w:r>
        <w:rPr>
          <w:rFonts w:cs="Times New Roman"/>
          <w:color w:val="000000"/>
        </w:rPr>
        <w:t>The Court</w:t>
      </w:r>
      <w:r w:rsidRPr="008F41CA">
        <w:rPr>
          <w:rFonts w:cs="Times New Roman"/>
          <w:color w:val="000000"/>
        </w:rPr>
        <w:t xml:space="preserve"> strongly rejected the argument that post-separation violence could not be a relevant consideration in the assessment of contributions under s 79</w:t>
      </w:r>
      <w:r>
        <w:rPr>
          <w:rFonts w:cs="Times New Roman"/>
          <w:color w:val="000000"/>
        </w:rPr>
        <w:t>:</w:t>
      </w:r>
      <w:r w:rsidRPr="008F41CA">
        <w:rPr>
          <w:rFonts w:cs="Times New Roman"/>
          <w:color w:val="000000"/>
        </w:rPr>
        <w:t xml:space="preserve"> </w:t>
      </w:r>
    </w:p>
    <w:p w14:paraId="76D70E3B" w14:textId="77777777" w:rsidR="00FB0876" w:rsidRPr="008F41CA" w:rsidRDefault="00FB0876" w:rsidP="00DC75C6">
      <w:pPr>
        <w:widowControl w:val="0"/>
        <w:autoSpaceDE w:val="0"/>
        <w:autoSpaceDN w:val="0"/>
        <w:adjustRightInd w:val="0"/>
        <w:spacing w:line="240" w:lineRule="auto"/>
        <w:jc w:val="both"/>
        <w:rPr>
          <w:rFonts w:cs="Times New Roman"/>
          <w:color w:val="000000"/>
        </w:rPr>
      </w:pPr>
    </w:p>
    <w:p w14:paraId="160DECB0" w14:textId="7C694656" w:rsidR="004B5400" w:rsidRPr="008F41CA" w:rsidRDefault="00FB0876" w:rsidP="00DC75C6">
      <w:pPr>
        <w:pStyle w:val="BlockText"/>
        <w:spacing w:after="0" w:line="240" w:lineRule="auto"/>
        <w:jc w:val="both"/>
      </w:pPr>
      <w:r>
        <w:rPr>
          <w:shd w:val="clear" w:color="auto" w:fill="FFFFFF"/>
        </w:rPr>
        <w:lastRenderedPageBreak/>
        <w:t>‘</w:t>
      </w:r>
      <w:r w:rsidR="004B5400" w:rsidRPr="008F41CA">
        <w:rPr>
          <w:shd w:val="clear" w:color="auto" w:fill="FFFFFF"/>
        </w:rPr>
        <w:t>Quite apart from the absence of any statutory prohibition upon so doing, it would be illogical and unjust, to find a party’s contributions to have been rendered more arduous by virtue of the violent conduct of the other party to a marriage to the time of separation, but not thereafter, in circumstances where making those contributions continued to be arduous notwithstanding that the violent conduct may have ceased. In this case, the husband committed a serious assault upon the wife almost a year after separation</w:t>
      </w:r>
      <w:r>
        <w:rPr>
          <w:shd w:val="clear" w:color="auto" w:fill="FFFFFF"/>
        </w:rPr>
        <w:t>’</w:t>
      </w:r>
      <w:r w:rsidR="004B5400" w:rsidRPr="008F41CA">
        <w:rPr>
          <w:shd w:val="clear" w:color="auto" w:fill="FFFFFF"/>
        </w:rPr>
        <w:t>.</w:t>
      </w:r>
      <w:r w:rsidR="004B5400" w:rsidRPr="008F41CA">
        <w:rPr>
          <w:rStyle w:val="EndnoteReference"/>
          <w:shd w:val="clear" w:color="auto" w:fill="FFFFFF"/>
        </w:rPr>
        <w:endnoteReference w:id="48"/>
      </w:r>
    </w:p>
    <w:p w14:paraId="64FF6279" w14:textId="77777777" w:rsidR="004B5400" w:rsidRDefault="004B5400" w:rsidP="00DC75C6">
      <w:pPr>
        <w:widowControl w:val="0"/>
        <w:autoSpaceDE w:val="0"/>
        <w:autoSpaceDN w:val="0"/>
        <w:adjustRightInd w:val="0"/>
        <w:spacing w:line="240" w:lineRule="auto"/>
        <w:jc w:val="both"/>
        <w:rPr>
          <w:rFonts w:cs="Times New Roman"/>
          <w:color w:val="000000"/>
        </w:rPr>
      </w:pPr>
    </w:p>
    <w:p w14:paraId="744DD92E" w14:textId="65A79BCC" w:rsidR="004B5400" w:rsidRPr="00FC34D3" w:rsidRDefault="004B5400" w:rsidP="00DC75C6">
      <w:pPr>
        <w:spacing w:line="240" w:lineRule="auto"/>
        <w:jc w:val="both"/>
        <w:rPr>
          <w:rFonts w:eastAsia="Times New Roman" w:cs="Times New Roman"/>
          <w:lang w:val="en-AU"/>
        </w:rPr>
      </w:pPr>
      <w:r w:rsidRPr="008F41CA">
        <w:rPr>
          <w:rFonts w:cs="Times New Roman"/>
          <w:color w:val="000000"/>
        </w:rPr>
        <w:t>This judgment make</w:t>
      </w:r>
      <w:r>
        <w:rPr>
          <w:rFonts w:cs="Times New Roman"/>
          <w:color w:val="000000"/>
        </w:rPr>
        <w:t>s</w:t>
      </w:r>
      <w:r w:rsidRPr="008F41CA">
        <w:rPr>
          <w:rFonts w:cs="Times New Roman"/>
          <w:color w:val="000000"/>
        </w:rPr>
        <w:t xml:space="preserve"> clear that post-separation (and logically</w:t>
      </w:r>
      <w:r>
        <w:rPr>
          <w:rFonts w:cs="Times New Roman"/>
          <w:color w:val="000000"/>
        </w:rPr>
        <w:t>, we would suggest,</w:t>
      </w:r>
      <w:r w:rsidRPr="008F41CA">
        <w:rPr>
          <w:rFonts w:cs="Times New Roman"/>
          <w:color w:val="000000"/>
        </w:rPr>
        <w:t xml:space="preserve"> also pre-marriage) violence </w:t>
      </w:r>
      <w:r>
        <w:rPr>
          <w:rFonts w:cs="Times New Roman"/>
          <w:color w:val="000000"/>
        </w:rPr>
        <w:t>might</w:t>
      </w:r>
      <w:r w:rsidRPr="008F41CA">
        <w:rPr>
          <w:rFonts w:cs="Times New Roman"/>
          <w:color w:val="000000"/>
        </w:rPr>
        <w:t xml:space="preserve"> be considered in determining whether a </w:t>
      </w:r>
      <w:r w:rsidRPr="008F41CA">
        <w:rPr>
          <w:rFonts w:cs="Times New Roman"/>
          <w:i/>
          <w:iCs/>
          <w:color w:val="000000"/>
        </w:rPr>
        <w:t xml:space="preserve">Kennon </w:t>
      </w:r>
      <w:r w:rsidRPr="008F41CA">
        <w:rPr>
          <w:rFonts w:cs="Times New Roman"/>
          <w:color w:val="000000"/>
        </w:rPr>
        <w:t xml:space="preserve">adjustment should be made. </w:t>
      </w:r>
      <w:r>
        <w:rPr>
          <w:rFonts w:cs="Times New Roman"/>
          <w:color w:val="000000"/>
        </w:rPr>
        <w:t xml:space="preserve">This fits with the fact that post-separation (pre-trial) contributions are relevant to an Australian property claim (and that violence commencing pre-cohabitation may impact on contributions after cohabitation commences). And yet, </w:t>
      </w:r>
      <w:r w:rsidRPr="00FC34D3">
        <w:rPr>
          <w:rFonts w:eastAsia="Times New Roman" w:cs="Times New Roman"/>
          <w:color w:val="000000"/>
          <w:lang w:val="en-AU"/>
        </w:rPr>
        <w:t xml:space="preserve">in </w:t>
      </w:r>
      <w:r w:rsidRPr="00FC34D3">
        <w:rPr>
          <w:rFonts w:eastAsia="Times New Roman" w:cs="Times New Roman"/>
          <w:i/>
          <w:color w:val="000000"/>
          <w:lang w:val="en-AU"/>
        </w:rPr>
        <w:t>Owen &amp; Owen</w:t>
      </w:r>
      <w:r w:rsidR="00F3103D">
        <w:rPr>
          <w:rFonts w:eastAsia="Times New Roman" w:cs="Times New Roman"/>
          <w:i/>
          <w:color w:val="000000"/>
          <w:lang w:val="en-AU"/>
        </w:rPr>
        <w:t>,</w:t>
      </w:r>
      <w:r w:rsidRPr="00FC34D3">
        <w:rPr>
          <w:rFonts w:eastAsia="Times New Roman" w:cs="Times New Roman"/>
          <w:color w:val="000000"/>
          <w:lang w:val="en-AU"/>
        </w:rPr>
        <w:t xml:space="preserve"> </w:t>
      </w:r>
      <w:r>
        <w:rPr>
          <w:rFonts w:eastAsia="Times New Roman" w:cs="Times New Roman"/>
          <w:color w:val="000000"/>
          <w:lang w:val="en-AU"/>
        </w:rPr>
        <w:t xml:space="preserve">Judge Heather </w:t>
      </w:r>
      <w:r w:rsidRPr="00A520C0">
        <w:rPr>
          <w:rFonts w:eastAsia="Times New Roman" w:cs="Times New Roman"/>
          <w:color w:val="000000"/>
        </w:rPr>
        <w:t>Riley</w:t>
      </w:r>
      <w:r>
        <w:rPr>
          <w:rFonts w:eastAsia="Times New Roman" w:cs="Times New Roman"/>
          <w:color w:val="000000"/>
        </w:rPr>
        <w:t xml:space="preserve"> </w:t>
      </w:r>
      <w:r w:rsidRPr="00FC34D3">
        <w:rPr>
          <w:rFonts w:eastAsia="Times New Roman" w:cs="Times New Roman"/>
          <w:color w:val="000000"/>
          <w:lang w:val="en-AU"/>
        </w:rPr>
        <w:t>found ‘</w:t>
      </w:r>
      <w:r w:rsidRPr="00FC34D3">
        <w:rPr>
          <w:rFonts w:eastAsia="Times New Roman" w:cs="Times New Roman"/>
          <w:color w:val="000000"/>
          <w:shd w:val="clear" w:color="auto" w:fill="FFFFFF"/>
          <w:lang w:val="en-AU"/>
        </w:rPr>
        <w:t>the alleged assault was after separation. As such, on the authority of </w:t>
      </w:r>
      <w:r w:rsidRPr="00FC34D3">
        <w:rPr>
          <w:rFonts w:eastAsia="Times New Roman" w:cs="Times New Roman"/>
          <w:i/>
          <w:iCs/>
          <w:color w:val="000000"/>
          <w:shd w:val="clear" w:color="auto" w:fill="FFFFFF"/>
          <w:lang w:val="en-AU"/>
        </w:rPr>
        <w:t>Kennon &amp; Kennon</w:t>
      </w:r>
      <w:r w:rsidRPr="00FC34D3">
        <w:rPr>
          <w:rFonts w:eastAsia="Times New Roman" w:cs="Times New Roman"/>
          <w:color w:val="000000"/>
          <w:shd w:val="clear" w:color="auto" w:fill="FFFFFF"/>
          <w:lang w:val="en-AU"/>
        </w:rPr>
        <w:t>, it cannot be taken into account</w:t>
      </w:r>
      <w:r>
        <w:rPr>
          <w:rFonts w:eastAsia="Times New Roman" w:cs="Times New Roman"/>
          <w:color w:val="000000"/>
          <w:shd w:val="clear" w:color="auto" w:fill="FFFFFF"/>
          <w:lang w:val="en-AU"/>
        </w:rPr>
        <w:t>…</w:t>
      </w:r>
      <w:r>
        <w:rPr>
          <w:rFonts w:eastAsia="Times New Roman" w:cs="Times New Roman"/>
          <w:color w:val="000000"/>
          <w:lang w:val="en-AU"/>
        </w:rPr>
        <w:t>’</w:t>
      </w:r>
      <w:r>
        <w:rPr>
          <w:rFonts w:eastAsia="Times New Roman" w:cs="Times New Roman"/>
          <w:color w:val="000000"/>
        </w:rPr>
        <w:t>.</w:t>
      </w:r>
      <w:r w:rsidRPr="00FC34D3">
        <w:rPr>
          <w:rStyle w:val="EndnoteReference"/>
          <w:rFonts w:cs="Times New Roman"/>
          <w:color w:val="000000"/>
        </w:rPr>
        <w:endnoteReference w:id="49"/>
      </w:r>
    </w:p>
    <w:p w14:paraId="6991A1A2" w14:textId="77777777" w:rsidR="004B5400" w:rsidRDefault="004B5400" w:rsidP="00DC75C6">
      <w:pPr>
        <w:spacing w:line="240" w:lineRule="auto"/>
        <w:jc w:val="both"/>
        <w:rPr>
          <w:rFonts w:eastAsia="Times New Roman" w:cs="Times New Roman"/>
          <w:color w:val="000000"/>
          <w:lang w:val="en-AU"/>
        </w:rPr>
      </w:pPr>
    </w:p>
    <w:p w14:paraId="7F022088" w14:textId="6F2309DC" w:rsidR="004B5400" w:rsidRDefault="004B5400" w:rsidP="00FB0876">
      <w:pPr>
        <w:pStyle w:val="ListParagraph"/>
        <w:numPr>
          <w:ilvl w:val="0"/>
          <w:numId w:val="26"/>
        </w:numPr>
        <w:spacing w:line="240" w:lineRule="auto"/>
        <w:ind w:left="714" w:hanging="357"/>
        <w:jc w:val="center"/>
        <w:rPr>
          <w:rFonts w:cs="Times New Roman"/>
          <w:b/>
        </w:rPr>
      </w:pPr>
      <w:r w:rsidRPr="00FB0876">
        <w:rPr>
          <w:rFonts w:cs="Times New Roman"/>
          <w:b/>
        </w:rPr>
        <w:t xml:space="preserve"> Demonstrating the impact of the violence on contributions</w:t>
      </w:r>
    </w:p>
    <w:p w14:paraId="01E2061F" w14:textId="77777777" w:rsidR="00FB0876" w:rsidRPr="00FB0876" w:rsidRDefault="00FB0876" w:rsidP="00FB0876">
      <w:pPr>
        <w:pStyle w:val="ListParagraph"/>
        <w:spacing w:line="240" w:lineRule="auto"/>
        <w:ind w:left="714"/>
        <w:rPr>
          <w:rFonts w:cs="Times New Roman"/>
          <w:b/>
        </w:rPr>
      </w:pPr>
    </w:p>
    <w:p w14:paraId="6AFFE2C4" w14:textId="534316AD" w:rsidR="004B5400" w:rsidRDefault="004B5400" w:rsidP="00DC75C6">
      <w:pPr>
        <w:spacing w:line="240" w:lineRule="auto"/>
        <w:jc w:val="both"/>
        <w:rPr>
          <w:rFonts w:cs="Times New Roman"/>
          <w:color w:val="000000"/>
        </w:rPr>
      </w:pPr>
      <w:r>
        <w:rPr>
          <w:rFonts w:cs="Times New Roman"/>
        </w:rPr>
        <w:t xml:space="preserve">For </w:t>
      </w:r>
      <w:r w:rsidRPr="007C10C1">
        <w:rPr>
          <w:rFonts w:cs="Times New Roman"/>
          <w:i/>
        </w:rPr>
        <w:t>Kennon</w:t>
      </w:r>
      <w:r>
        <w:rPr>
          <w:rFonts w:cs="Times New Roman"/>
        </w:rPr>
        <w:t xml:space="preserve"> to apply, the course of violent conduct must be ‘demonstrated’ to have had an adverse impact on contributions of the victim.  However, there has been confusion as to whether this impact can be inferred or whether direct evidence and corroboration are required.</w:t>
      </w:r>
      <w:r w:rsidRPr="00D573CB">
        <w:rPr>
          <w:rFonts w:eastAsia="Times New Roman" w:cs="Times New Roman"/>
          <w:color w:val="000000"/>
        </w:rPr>
        <w:t xml:space="preserve"> </w:t>
      </w:r>
      <w:r>
        <w:rPr>
          <w:rFonts w:cs="Times New Roman"/>
        </w:rPr>
        <w:t xml:space="preserve">The question of an inference as to impact being drawn from an established course of violent conduct was considered by the Full Court in </w:t>
      </w:r>
      <w:r w:rsidRPr="00A70D84">
        <w:rPr>
          <w:rFonts w:cs="Times New Roman"/>
          <w:i/>
          <w:iCs/>
        </w:rPr>
        <w:t>Spagnardi v Spagnardi</w:t>
      </w:r>
      <w:r>
        <w:rPr>
          <w:rFonts w:cs="Times New Roman"/>
          <w:iCs/>
        </w:rPr>
        <w:t>.</w:t>
      </w:r>
      <w:r w:rsidRPr="00A70D84">
        <w:rPr>
          <w:rFonts w:cs="Times New Roman"/>
          <w:i/>
          <w:iCs/>
        </w:rPr>
        <w:t xml:space="preserve"> </w:t>
      </w:r>
      <w:r>
        <w:rPr>
          <w:rFonts w:cs="Times New Roman"/>
          <w:color w:val="000000"/>
        </w:rPr>
        <w:t>The Full court</w:t>
      </w:r>
      <w:r w:rsidRPr="00A70D84">
        <w:rPr>
          <w:rFonts w:cs="Times New Roman"/>
          <w:color w:val="000000"/>
        </w:rPr>
        <w:t xml:space="preserve"> approv</w:t>
      </w:r>
      <w:r>
        <w:rPr>
          <w:rFonts w:cs="Times New Roman"/>
          <w:color w:val="000000"/>
        </w:rPr>
        <w:t xml:space="preserve">ed the following </w:t>
      </w:r>
      <w:r w:rsidRPr="00A70D84">
        <w:rPr>
          <w:rFonts w:cs="Times New Roman"/>
          <w:color w:val="000000"/>
        </w:rPr>
        <w:t xml:space="preserve">statement by the trial Judge </w:t>
      </w:r>
      <w:r>
        <w:rPr>
          <w:rFonts w:cs="Times New Roman"/>
          <w:color w:val="000000"/>
        </w:rPr>
        <w:t xml:space="preserve">in the matter under appeal </w:t>
      </w:r>
      <w:r w:rsidRPr="00A70D84">
        <w:rPr>
          <w:rFonts w:cs="Times New Roman"/>
          <w:color w:val="000000"/>
        </w:rPr>
        <w:t xml:space="preserve">to the effect that there would be some cases where the proved facts </w:t>
      </w:r>
      <w:r w:rsidRPr="00A70D84">
        <w:rPr>
          <w:rFonts w:cs="Times New Roman"/>
          <w:i/>
          <w:iCs/>
          <w:color w:val="000000"/>
        </w:rPr>
        <w:t xml:space="preserve">would </w:t>
      </w:r>
      <w:r w:rsidRPr="00A70D84">
        <w:rPr>
          <w:rFonts w:cs="Times New Roman"/>
          <w:color w:val="000000"/>
        </w:rPr>
        <w:t xml:space="preserve">allow an </w:t>
      </w:r>
      <w:r>
        <w:rPr>
          <w:rFonts w:cs="Times New Roman"/>
          <w:color w:val="000000"/>
        </w:rPr>
        <w:t xml:space="preserve">inference of impact to be drawn: </w:t>
      </w:r>
    </w:p>
    <w:p w14:paraId="4FC9BBFF" w14:textId="77777777" w:rsidR="00FB0876" w:rsidRPr="00FB0876" w:rsidRDefault="00FB0876" w:rsidP="00DC75C6">
      <w:pPr>
        <w:spacing w:line="240" w:lineRule="auto"/>
        <w:jc w:val="both"/>
        <w:rPr>
          <w:rFonts w:cs="Times New Roman"/>
        </w:rPr>
      </w:pPr>
    </w:p>
    <w:p w14:paraId="75AB6193" w14:textId="5F4F1B95" w:rsidR="004B5400" w:rsidRPr="00A70D84" w:rsidRDefault="00FB0876" w:rsidP="00DC75C6">
      <w:pPr>
        <w:pStyle w:val="BlockText"/>
        <w:spacing w:after="0" w:line="240" w:lineRule="auto"/>
        <w:jc w:val="both"/>
      </w:pPr>
      <w:r>
        <w:t>‘</w:t>
      </w:r>
      <w:r w:rsidR="004B5400">
        <w:t>…</w:t>
      </w:r>
      <w:r w:rsidR="004B5400" w:rsidRPr="00A70D84">
        <w:rPr>
          <w:shd w:val="clear" w:color="auto" w:fill="FFFFFF"/>
        </w:rPr>
        <w:t>there must be cases where it is obvious or a very likely inference from the facts, that certain kinds of violence must have adversely affected a person’s contributions</w:t>
      </w:r>
      <w:r w:rsidR="004B5400" w:rsidRPr="00A70D84">
        <w:t>’</w:t>
      </w:r>
      <w:r>
        <w:t>.</w:t>
      </w:r>
      <w:r w:rsidR="004B5400" w:rsidRPr="00A70D84">
        <w:rPr>
          <w:rStyle w:val="EndnoteReference"/>
        </w:rPr>
        <w:endnoteReference w:id="50"/>
      </w:r>
      <w:r w:rsidR="004B5400" w:rsidRPr="00A70D84">
        <w:t xml:space="preserve"> </w:t>
      </w:r>
    </w:p>
    <w:p w14:paraId="4ACB45A7" w14:textId="77777777" w:rsidR="004B5400" w:rsidRDefault="004B5400" w:rsidP="00DC75C6">
      <w:pPr>
        <w:widowControl w:val="0"/>
        <w:tabs>
          <w:tab w:val="left" w:pos="220"/>
          <w:tab w:val="left" w:pos="720"/>
        </w:tabs>
        <w:autoSpaceDE w:val="0"/>
        <w:autoSpaceDN w:val="0"/>
        <w:adjustRightInd w:val="0"/>
        <w:spacing w:line="240" w:lineRule="auto"/>
        <w:jc w:val="both"/>
        <w:rPr>
          <w:rFonts w:cs="Times New Roman"/>
        </w:rPr>
      </w:pPr>
    </w:p>
    <w:p w14:paraId="733BFE3E" w14:textId="43E5ECE9" w:rsidR="004B5400" w:rsidRDefault="004B5400" w:rsidP="00DC75C6">
      <w:pPr>
        <w:spacing w:line="240" w:lineRule="auto"/>
        <w:jc w:val="both"/>
        <w:rPr>
          <w:rFonts w:eastAsia="Times New Roman" w:cs="Times New Roman"/>
          <w:color w:val="000000"/>
          <w:lang w:val="en-AU"/>
        </w:rPr>
      </w:pPr>
      <w:r>
        <w:rPr>
          <w:rFonts w:eastAsia="Times New Roman" w:cs="Times New Roman"/>
          <w:color w:val="000000"/>
          <w:lang w:val="en-AU"/>
        </w:rPr>
        <w:t xml:space="preserve">However, the Full Court confused the matter, by later saying that, following </w:t>
      </w:r>
      <w:r w:rsidRPr="007C10C1">
        <w:rPr>
          <w:rFonts w:eastAsia="Times New Roman" w:cs="Times New Roman"/>
          <w:i/>
          <w:color w:val="000000"/>
          <w:lang w:val="en-AU"/>
        </w:rPr>
        <w:t>Kennon</w:t>
      </w:r>
      <w:r>
        <w:rPr>
          <w:rFonts w:eastAsia="Times New Roman" w:cs="Times New Roman"/>
          <w:color w:val="000000"/>
          <w:lang w:val="en-AU"/>
        </w:rPr>
        <w:t xml:space="preserve">, the victim </w:t>
      </w:r>
      <w:r w:rsidRPr="00A208E0">
        <w:rPr>
          <w:rFonts w:eastAsia="Times New Roman" w:cs="Times New Roman"/>
          <w:i/>
          <w:color w:val="000000"/>
          <w:lang w:val="en-AU"/>
        </w:rPr>
        <w:t>must</w:t>
      </w:r>
      <w:r>
        <w:rPr>
          <w:rFonts w:eastAsia="Times New Roman" w:cs="Times New Roman"/>
          <w:color w:val="000000"/>
          <w:lang w:val="en-AU"/>
        </w:rPr>
        <w:t xml:space="preserve"> lead evidence to establish the effect of the violence on her contributions.</w:t>
      </w:r>
      <w:r>
        <w:rPr>
          <w:rStyle w:val="EndnoteReference"/>
          <w:rFonts w:eastAsia="Times New Roman" w:cs="Times New Roman"/>
          <w:color w:val="000000"/>
          <w:lang w:val="en-AU"/>
        </w:rPr>
        <w:endnoteReference w:id="51"/>
      </w:r>
      <w:r>
        <w:rPr>
          <w:rFonts w:eastAsia="Times New Roman" w:cs="Times New Roman"/>
          <w:color w:val="000000"/>
          <w:lang w:val="en-AU"/>
        </w:rPr>
        <w:t xml:space="preserve">  </w:t>
      </w:r>
    </w:p>
    <w:p w14:paraId="2D37ABF8" w14:textId="77777777" w:rsidR="004B5400" w:rsidRDefault="004B5400" w:rsidP="00DC75C6">
      <w:pPr>
        <w:spacing w:line="240" w:lineRule="auto"/>
        <w:jc w:val="both"/>
        <w:rPr>
          <w:rFonts w:eastAsia="Times New Roman" w:cs="Times New Roman"/>
          <w:color w:val="000000"/>
          <w:lang w:val="en-AU"/>
        </w:rPr>
      </w:pPr>
    </w:p>
    <w:p w14:paraId="4824E5F2" w14:textId="4C0C9424" w:rsidR="004B5400" w:rsidRDefault="004B5400" w:rsidP="00FB0876">
      <w:pPr>
        <w:spacing w:line="240" w:lineRule="auto"/>
        <w:ind w:firstLine="720"/>
        <w:jc w:val="both"/>
        <w:rPr>
          <w:rFonts w:cs="Times New Roman"/>
        </w:rPr>
      </w:pPr>
      <w:r>
        <w:rPr>
          <w:rFonts w:eastAsia="Times New Roman" w:cs="Times New Roman"/>
          <w:color w:val="000000"/>
          <w:lang w:val="en-AU"/>
        </w:rPr>
        <w:t>Consistent with the finding in Easteal et al</w:t>
      </w:r>
      <w:r w:rsidR="00B7127F">
        <w:rPr>
          <w:rFonts w:eastAsia="Times New Roman" w:cs="Times New Roman"/>
          <w:color w:val="000000"/>
          <w:lang w:val="en-AU"/>
        </w:rPr>
        <w:t>.</w:t>
      </w:r>
      <w:r>
        <w:rPr>
          <w:rFonts w:eastAsia="Times New Roman" w:cs="Times New Roman"/>
          <w:color w:val="000000"/>
          <w:lang w:val="en-AU"/>
        </w:rPr>
        <w:t xml:space="preserve"> (2014: </w:t>
      </w:r>
      <w:r>
        <w:t xml:space="preserve">22ff), </w:t>
      </w:r>
      <w:r>
        <w:rPr>
          <w:rFonts w:eastAsia="Times New Roman" w:cs="Times New Roman"/>
          <w:color w:val="000000"/>
          <w:lang w:val="en-AU"/>
        </w:rPr>
        <w:t>some – but not all - judicial officers in our sample accepted it is open to them to draw this inference, even when the victim does not expressly state the same in her evidence, and including in relation to verbal violence. Accordingly, i</w:t>
      </w:r>
      <w:r w:rsidRPr="00784185">
        <w:rPr>
          <w:rFonts w:eastAsia="Times New Roman" w:cs="Times New Roman"/>
          <w:color w:val="000000"/>
          <w:lang w:val="en-AU"/>
        </w:rPr>
        <w:t xml:space="preserve">n </w:t>
      </w:r>
      <w:r w:rsidRPr="00834A5F">
        <w:rPr>
          <w:rFonts w:eastAsia="Times New Roman" w:cs="Times New Roman"/>
          <w:i/>
          <w:color w:val="000000"/>
          <w:lang w:val="en-AU"/>
        </w:rPr>
        <w:t>Charlton</w:t>
      </w:r>
      <w:r w:rsidRPr="00784185">
        <w:rPr>
          <w:rFonts w:eastAsia="Times New Roman" w:cs="Times New Roman"/>
          <w:color w:val="000000"/>
          <w:lang w:val="en-AU"/>
        </w:rPr>
        <w:t xml:space="preserve"> </w:t>
      </w:r>
      <w:r w:rsidRPr="00874531">
        <w:rPr>
          <w:rFonts w:cs="Times New Roman"/>
        </w:rPr>
        <w:t>Riley J,</w:t>
      </w:r>
      <w:r>
        <w:rPr>
          <w:rFonts w:cs="Times New Roman"/>
        </w:rPr>
        <w:t xml:space="preserve"> after finding the husband to be ‘controlling, abusive and oppressive’, said simply:</w:t>
      </w:r>
    </w:p>
    <w:p w14:paraId="78E1FACB" w14:textId="77777777" w:rsidR="00FB0876" w:rsidRDefault="00FB0876" w:rsidP="00FB0876">
      <w:pPr>
        <w:spacing w:line="240" w:lineRule="auto"/>
        <w:ind w:firstLine="720"/>
        <w:jc w:val="both"/>
        <w:rPr>
          <w:rFonts w:cs="Times New Roman"/>
        </w:rPr>
      </w:pPr>
    </w:p>
    <w:p w14:paraId="4A966289" w14:textId="398D5AD2" w:rsidR="004B5400" w:rsidRPr="002F2C0E" w:rsidRDefault="00FB0876" w:rsidP="00DC75C6">
      <w:pPr>
        <w:pStyle w:val="BlockText"/>
        <w:spacing w:line="240" w:lineRule="auto"/>
        <w:jc w:val="both"/>
      </w:pPr>
      <w:r>
        <w:t>‘</w:t>
      </w:r>
      <w:r w:rsidR="004B5400" w:rsidRPr="007D2B5C">
        <w:t xml:space="preserve">I infer that the husband’s behaviour made the wife’s contributions as a homemaker and parent significantly </w:t>
      </w:r>
      <w:r w:rsidR="004B5400" w:rsidRPr="007D2B5C">
        <w:lastRenderedPageBreak/>
        <w:t>more arduous than they ought to have been. I also infer that the husband’s criticisms of the wife’s intellectual ability, by undermining her confidence in the work sphere, made her financial contributions more arduous than they ought to have been</w:t>
      </w:r>
      <w:r>
        <w:t>’</w:t>
      </w:r>
      <w:r w:rsidR="004B5400" w:rsidRPr="002F2C0E">
        <w:t>.</w:t>
      </w:r>
      <w:r w:rsidR="004B5400" w:rsidRPr="00BB213B">
        <w:rPr>
          <w:rStyle w:val="EndnoteReference"/>
          <w:color w:val="000000"/>
        </w:rPr>
        <w:endnoteReference w:id="52"/>
      </w:r>
      <w:r w:rsidR="004B5400" w:rsidRPr="002F2C0E">
        <w:t xml:space="preserve"> </w:t>
      </w:r>
    </w:p>
    <w:p w14:paraId="064EF1A6" w14:textId="77777777" w:rsidR="004B5400" w:rsidRDefault="004B5400" w:rsidP="00DC75C6">
      <w:pPr>
        <w:spacing w:line="240" w:lineRule="auto"/>
        <w:jc w:val="both"/>
        <w:rPr>
          <w:rFonts w:eastAsia="Times New Roman" w:cs="Times New Roman"/>
          <w:color w:val="000000"/>
          <w:lang w:val="en-AU"/>
        </w:rPr>
      </w:pPr>
    </w:p>
    <w:p w14:paraId="1D99128C" w14:textId="4E774BDC" w:rsidR="004B5400" w:rsidRDefault="004B5400" w:rsidP="00DC75C6">
      <w:pPr>
        <w:spacing w:line="240" w:lineRule="auto"/>
        <w:jc w:val="both"/>
        <w:rPr>
          <w:rFonts w:eastAsia="Times New Roman" w:cs="Times New Roman"/>
          <w:color w:val="000000"/>
          <w:lang w:val="en-AU"/>
        </w:rPr>
      </w:pPr>
      <w:r>
        <w:rPr>
          <w:rFonts w:eastAsia="Times New Roman" w:cs="Times New Roman"/>
          <w:color w:val="000000"/>
          <w:lang w:val="en-AU"/>
        </w:rPr>
        <w:t xml:space="preserve">Likewise, Justice Gary Watts readily drew an inference of impact in </w:t>
      </w:r>
      <w:r w:rsidRPr="00A208E0">
        <w:rPr>
          <w:rFonts w:eastAsia="Times New Roman" w:cs="Times New Roman"/>
          <w:i/>
          <w:color w:val="000000"/>
          <w:lang w:val="en-AU"/>
        </w:rPr>
        <w:t>Gillard &amp; Gillard and Anor</w:t>
      </w:r>
      <w:r>
        <w:rPr>
          <w:rFonts w:eastAsia="Times New Roman" w:cs="Times New Roman"/>
          <w:color w:val="000000"/>
          <w:lang w:val="en-AU"/>
        </w:rPr>
        <w:t>:</w:t>
      </w:r>
    </w:p>
    <w:p w14:paraId="7EE1EE18" w14:textId="77777777" w:rsidR="00FB0876" w:rsidRDefault="00FB0876" w:rsidP="00DC75C6">
      <w:pPr>
        <w:spacing w:line="240" w:lineRule="auto"/>
        <w:jc w:val="both"/>
        <w:rPr>
          <w:rFonts w:eastAsia="Times New Roman" w:cs="Times New Roman"/>
          <w:color w:val="000000"/>
          <w:lang w:val="en-AU"/>
        </w:rPr>
      </w:pPr>
    </w:p>
    <w:p w14:paraId="146942E7" w14:textId="4A90920F" w:rsidR="004B5400" w:rsidRDefault="00FB0876" w:rsidP="00DC75C6">
      <w:pPr>
        <w:pStyle w:val="BlockText"/>
        <w:spacing w:after="0" w:line="240" w:lineRule="auto"/>
        <w:jc w:val="both"/>
      </w:pPr>
      <w:r>
        <w:t>‘</w:t>
      </w:r>
      <w:r w:rsidR="004B5400" w:rsidRPr="009044FD">
        <w:t>The husband correctly submits that the wife in her evidence does not directly state that her contributions were made significantly more arduous by the conduct of the husband although the wife does say that she “was unable to function as a normal person”</w:t>
      </w:r>
      <w:r w:rsidR="004B5400">
        <w:t>…</w:t>
      </w:r>
      <w:r w:rsidR="004B5400" w:rsidRPr="009044FD">
        <w:t>I am prepared in the context of this case to infer that the proven history of the husband’s </w:t>
      </w:r>
      <w:r w:rsidR="004B5400" w:rsidRPr="00DA3328">
        <w:rPr>
          <w:bCs/>
        </w:rPr>
        <w:t xml:space="preserve">violence </w:t>
      </w:r>
      <w:r w:rsidR="004B5400" w:rsidRPr="009044FD">
        <w:t>in fact, meant that the unquestionable contributions the wife made in the role of homemaker and parent, were made in circumstances where they were significantly more arduous as a result of the husband’s conduct than they would have otherwise been if he’d not behaved in the way that he did</w:t>
      </w:r>
      <w:r>
        <w:t>’</w:t>
      </w:r>
      <w:r w:rsidR="004B5400" w:rsidRPr="009044FD">
        <w:t>.</w:t>
      </w:r>
      <w:r w:rsidR="004B5400">
        <w:rPr>
          <w:rStyle w:val="EndnoteReference"/>
        </w:rPr>
        <w:endnoteReference w:id="53"/>
      </w:r>
    </w:p>
    <w:p w14:paraId="4FDD34D9" w14:textId="77777777" w:rsidR="004B5400" w:rsidRDefault="004B5400" w:rsidP="00DC75C6">
      <w:pPr>
        <w:spacing w:line="240" w:lineRule="auto"/>
        <w:jc w:val="both"/>
        <w:rPr>
          <w:rFonts w:cs="Times New Roman"/>
        </w:rPr>
      </w:pPr>
    </w:p>
    <w:p w14:paraId="0A7AF914" w14:textId="1E0B8AB1" w:rsidR="004B5400" w:rsidRDefault="004B5400" w:rsidP="00BB213B">
      <w:pPr>
        <w:spacing w:line="240" w:lineRule="auto"/>
        <w:jc w:val="both"/>
      </w:pPr>
      <w:r>
        <w:rPr>
          <w:rFonts w:eastAsia="Times New Roman" w:cs="Times New Roman"/>
          <w:color w:val="000000"/>
          <w:lang w:val="en-AU"/>
        </w:rPr>
        <w:t>However, Judge Tom Alt</w:t>
      </w:r>
      <w:r w:rsidRPr="00E6531F">
        <w:rPr>
          <w:rFonts w:eastAsia="Times New Roman" w:cs="Times New Roman"/>
          <w:color w:val="000000"/>
          <w:lang w:val="en-AU"/>
        </w:rPr>
        <w:t xml:space="preserve">obelli </w:t>
      </w:r>
      <w:r>
        <w:rPr>
          <w:rFonts w:eastAsia="Times New Roman" w:cs="Times New Roman"/>
          <w:color w:val="000000"/>
          <w:lang w:val="en-AU"/>
        </w:rPr>
        <w:t xml:space="preserve">opined </w:t>
      </w:r>
      <w:r w:rsidRPr="00E6531F">
        <w:rPr>
          <w:rFonts w:eastAsia="Times New Roman" w:cs="Times New Roman"/>
          <w:color w:val="000000"/>
          <w:lang w:val="en-AU"/>
        </w:rPr>
        <w:t>that</w:t>
      </w:r>
      <w:r>
        <w:rPr>
          <w:rFonts w:eastAsia="Times New Roman" w:cs="Times New Roman"/>
          <w:color w:val="000000"/>
          <w:lang w:val="en-AU"/>
        </w:rPr>
        <w:t xml:space="preserve"> the </w:t>
      </w:r>
      <w:r w:rsidRPr="007D2B5C">
        <w:rPr>
          <w:rFonts w:eastAsia="Times New Roman" w:cs="Times New Roman"/>
          <w:i/>
          <w:color w:val="000000"/>
          <w:lang w:val="en-AU"/>
        </w:rPr>
        <w:t>Kennon</w:t>
      </w:r>
      <w:r>
        <w:rPr>
          <w:rFonts w:eastAsia="Times New Roman" w:cs="Times New Roman"/>
          <w:color w:val="000000"/>
          <w:lang w:val="en-AU"/>
        </w:rPr>
        <w:t xml:space="preserve"> decision</w:t>
      </w:r>
      <w:r w:rsidRPr="00E6531F">
        <w:rPr>
          <w:rFonts w:eastAsia="Times New Roman" w:cs="Times New Roman"/>
          <w:color w:val="000000"/>
          <w:lang w:val="en-AU"/>
        </w:rPr>
        <w:t xml:space="preserve"> </w:t>
      </w:r>
      <w:r>
        <w:rPr>
          <w:rFonts w:eastAsia="Times New Roman" w:cs="Times New Roman"/>
          <w:color w:val="000000"/>
          <w:lang w:val="en-AU"/>
        </w:rPr>
        <w:t>‘…</w:t>
      </w:r>
      <w:r w:rsidRPr="00E6531F">
        <w:t xml:space="preserve"> </w:t>
      </w:r>
      <w:r w:rsidRPr="004E46F3">
        <w:rPr>
          <w:i/>
        </w:rPr>
        <w:t>leaves little or no room for inference</w:t>
      </w:r>
      <w:r w:rsidRPr="00E6531F">
        <w:t>. The claim can only be established by probative evidence that satisfies the Court on the balance of probabilities.</w:t>
      </w:r>
      <w:r>
        <w:t>’</w:t>
      </w:r>
      <w:r>
        <w:rPr>
          <w:rStyle w:val="EndnoteReference"/>
          <w:color w:val="000000"/>
        </w:rPr>
        <w:endnoteReference w:id="54"/>
      </w:r>
      <w:r>
        <w:t xml:space="preserve"> </w:t>
      </w:r>
      <w:r>
        <w:rPr>
          <w:rFonts w:eastAsia="Times New Roman" w:cs="Times New Roman"/>
          <w:color w:val="000000"/>
          <w:lang w:val="en-AU"/>
        </w:rPr>
        <w:t xml:space="preserve">In </w:t>
      </w:r>
      <w:r w:rsidRPr="0083013E">
        <w:rPr>
          <w:rFonts w:eastAsia="Times New Roman" w:cs="Times New Roman"/>
          <w:i/>
          <w:color w:val="000000"/>
          <w:lang w:val="en-AU"/>
        </w:rPr>
        <w:t>Scott</w:t>
      </w:r>
      <w:r>
        <w:rPr>
          <w:rFonts w:eastAsia="Times New Roman" w:cs="Times New Roman"/>
          <w:color w:val="000000"/>
          <w:lang w:val="en-AU"/>
        </w:rPr>
        <w:t>, despite Judge Alexandra Harland being satisfied the husband was violent towards the wife throughout the marriage, and finding the wife credible in her portrayal of serious ongoing abuse, she noted the wife had not led any evidence as to the effect of this on her contributions, and she was not entitled to ‘assume’ the husband’s actions made the wife’s contribution more arduous.</w:t>
      </w:r>
      <w:r>
        <w:rPr>
          <w:rStyle w:val="EndnoteReference"/>
          <w:rFonts w:eastAsia="Times New Roman" w:cs="Times New Roman"/>
          <w:color w:val="000000"/>
          <w:lang w:val="en-AU"/>
        </w:rPr>
        <w:endnoteReference w:id="55"/>
      </w:r>
      <w:r>
        <w:rPr>
          <w:rFonts w:eastAsia="Times New Roman" w:cs="Times New Roman"/>
          <w:color w:val="000000"/>
          <w:lang w:val="en-AU"/>
        </w:rPr>
        <w:t xml:space="preserve">  Her Honour relied on the later passages from </w:t>
      </w:r>
      <w:r w:rsidRPr="007D2B5C">
        <w:rPr>
          <w:rFonts w:eastAsia="Times New Roman" w:cs="Times New Roman"/>
          <w:i/>
          <w:color w:val="000000"/>
          <w:lang w:val="en-AU"/>
        </w:rPr>
        <w:t>Spagnardi</w:t>
      </w:r>
      <w:r>
        <w:rPr>
          <w:rFonts w:eastAsia="Times New Roman" w:cs="Times New Roman"/>
          <w:color w:val="000000"/>
          <w:lang w:val="en-AU"/>
        </w:rPr>
        <w:t xml:space="preserve"> (see above) in support.</w:t>
      </w:r>
      <w:r>
        <w:rPr>
          <w:rStyle w:val="EndnoteReference"/>
          <w:color w:val="000000"/>
          <w:lang w:val="en-AU"/>
        </w:rPr>
        <w:endnoteReference w:id="56"/>
      </w:r>
      <w:r>
        <w:rPr>
          <w:rFonts w:eastAsia="Times New Roman" w:cs="Times New Roman"/>
          <w:bCs/>
          <w:color w:val="000000"/>
          <w:lang w:val="en-AU"/>
        </w:rPr>
        <w:t xml:space="preserve"> Justice Gary </w:t>
      </w:r>
      <w:r w:rsidRPr="00CB5FAF">
        <w:rPr>
          <w:rFonts w:eastAsia="Times New Roman" w:cs="Times New Roman"/>
          <w:color w:val="000000"/>
          <w:lang w:val="en-AU"/>
        </w:rPr>
        <w:t>Watts t</w:t>
      </w:r>
      <w:r>
        <w:rPr>
          <w:rFonts w:eastAsia="Times New Roman" w:cs="Times New Roman"/>
          <w:color w:val="000000"/>
          <w:lang w:val="en-AU"/>
        </w:rPr>
        <w:t xml:space="preserve">ook the same approach in </w:t>
      </w:r>
      <w:r w:rsidRPr="00F67AD8">
        <w:rPr>
          <w:rFonts w:cs="Times New Roman"/>
          <w:i/>
        </w:rPr>
        <w:t>Tumlin &amp; Tumlin</w:t>
      </w:r>
      <w:r>
        <w:rPr>
          <w:rFonts w:cs="Times New Roman"/>
        </w:rPr>
        <w:t>.</w:t>
      </w:r>
      <w:r>
        <w:rPr>
          <w:rStyle w:val="EndnoteReference"/>
          <w:color w:val="000000"/>
        </w:rPr>
        <w:endnoteReference w:id="57"/>
      </w:r>
      <w:r>
        <w:rPr>
          <w:rFonts w:cs="Times New Roman"/>
        </w:rPr>
        <w:t xml:space="preserve"> </w:t>
      </w:r>
    </w:p>
    <w:p w14:paraId="14C6FD03" w14:textId="77777777" w:rsidR="004B5400" w:rsidRDefault="004B5400" w:rsidP="00BB213B">
      <w:pPr>
        <w:spacing w:line="240" w:lineRule="auto"/>
        <w:jc w:val="both"/>
      </w:pPr>
    </w:p>
    <w:p w14:paraId="53A08C86" w14:textId="5FD88D47" w:rsidR="004B5400" w:rsidRDefault="004B5400" w:rsidP="00FB0876">
      <w:pPr>
        <w:spacing w:line="240" w:lineRule="auto"/>
        <w:ind w:firstLine="720"/>
        <w:jc w:val="both"/>
        <w:rPr>
          <w:rFonts w:eastAsia="Times New Roman" w:cs="Times New Roman"/>
          <w:color w:val="000000"/>
        </w:rPr>
      </w:pPr>
      <w:r w:rsidRPr="008F41CA">
        <w:rPr>
          <w:rFonts w:eastAsia="Times New Roman" w:cs="Times New Roman"/>
          <w:i/>
          <w:color w:val="000000"/>
        </w:rPr>
        <w:t>Maine &amp; Maine</w:t>
      </w:r>
      <w:r w:rsidRPr="008F41CA">
        <w:rPr>
          <w:rStyle w:val="EndnoteReference"/>
          <w:rFonts w:cs="Times New Roman"/>
          <w:color w:val="000000"/>
        </w:rPr>
        <w:endnoteReference w:id="58"/>
      </w:r>
      <w:r>
        <w:rPr>
          <w:rFonts w:cs="Times New Roman"/>
        </w:rPr>
        <w:t xml:space="preserve"> was </w:t>
      </w:r>
      <w:r>
        <w:rPr>
          <w:rFonts w:eastAsia="Times New Roman" w:cs="Times New Roman"/>
          <w:color w:val="000000"/>
          <w:lang w:val="en-AU"/>
        </w:rPr>
        <w:t xml:space="preserve">the only Full Court matter in our sample and is the lone Full Court decision to consider </w:t>
      </w:r>
      <w:r w:rsidRPr="009A734D">
        <w:rPr>
          <w:rFonts w:eastAsia="Times New Roman" w:cs="Times New Roman"/>
          <w:i/>
          <w:color w:val="000000"/>
          <w:lang w:val="en-AU"/>
        </w:rPr>
        <w:t>Kennon</w:t>
      </w:r>
      <w:r>
        <w:rPr>
          <w:rFonts w:eastAsia="Times New Roman" w:cs="Times New Roman"/>
          <w:color w:val="000000"/>
          <w:lang w:val="en-AU"/>
        </w:rPr>
        <w:t xml:space="preserve"> since the 2014 Easteal study.  </w:t>
      </w:r>
      <w:r>
        <w:rPr>
          <w:rFonts w:cs="Times New Roman"/>
        </w:rPr>
        <w:t>The Court allowed an appeal challenging the</w:t>
      </w:r>
      <w:r w:rsidRPr="008F41CA">
        <w:rPr>
          <w:rFonts w:eastAsia="Times New Roman" w:cs="Times New Roman"/>
          <w:color w:val="000000"/>
        </w:rPr>
        <w:t xml:space="preserve"> </w:t>
      </w:r>
      <w:r>
        <w:rPr>
          <w:rFonts w:eastAsia="Times New Roman" w:cs="Times New Roman"/>
          <w:color w:val="000000"/>
        </w:rPr>
        <w:t>rejection of a</w:t>
      </w:r>
      <w:r w:rsidRPr="008F41CA">
        <w:rPr>
          <w:rFonts w:eastAsia="Times New Roman" w:cs="Times New Roman"/>
          <w:color w:val="000000"/>
        </w:rPr>
        <w:t xml:space="preserve"> </w:t>
      </w:r>
      <w:r w:rsidRPr="007D2B5C">
        <w:rPr>
          <w:rFonts w:eastAsia="Times New Roman" w:cs="Times New Roman"/>
          <w:i/>
          <w:color w:val="000000"/>
        </w:rPr>
        <w:t>Kennon</w:t>
      </w:r>
      <w:r w:rsidRPr="008F41CA">
        <w:rPr>
          <w:rFonts w:eastAsia="Times New Roman" w:cs="Times New Roman"/>
          <w:color w:val="000000"/>
        </w:rPr>
        <w:t xml:space="preserve"> </w:t>
      </w:r>
      <w:r>
        <w:rPr>
          <w:rFonts w:eastAsia="Times New Roman" w:cs="Times New Roman"/>
          <w:color w:val="000000"/>
        </w:rPr>
        <w:t xml:space="preserve">claim. Having found the husband had perpetrated family violence on occasions, and made his daughters fearful, and when intoxicated would both physically and verbally abuse the wife, the trial judge said </w:t>
      </w:r>
      <w:r w:rsidRPr="008F41CA">
        <w:rPr>
          <w:rFonts w:eastAsia="Times New Roman" w:cs="Times New Roman"/>
          <w:color w:val="000000"/>
        </w:rPr>
        <w:t xml:space="preserve">there was </w:t>
      </w:r>
      <w:r>
        <w:rPr>
          <w:rFonts w:eastAsia="Times New Roman" w:cs="Times New Roman"/>
          <w:color w:val="000000"/>
        </w:rPr>
        <w:t>no</w:t>
      </w:r>
      <w:r w:rsidRPr="008F41CA">
        <w:rPr>
          <w:rFonts w:eastAsia="Times New Roman" w:cs="Times New Roman"/>
          <w:color w:val="000000"/>
        </w:rPr>
        <w:t xml:space="preserve"> evidence of how the husband’s </w:t>
      </w:r>
      <w:r>
        <w:rPr>
          <w:rFonts w:eastAsia="Times New Roman" w:cs="Times New Roman"/>
          <w:color w:val="000000"/>
        </w:rPr>
        <w:t>actions (which were described as ‘unfortunate character traits’</w:t>
      </w:r>
      <w:r>
        <w:rPr>
          <w:rStyle w:val="EndnoteReference"/>
          <w:rFonts w:eastAsia="Times New Roman" w:cs="Times New Roman"/>
          <w:color w:val="000000"/>
        </w:rPr>
        <w:endnoteReference w:id="59"/>
      </w:r>
      <w:r>
        <w:rPr>
          <w:rFonts w:eastAsia="Times New Roman" w:cs="Times New Roman"/>
          <w:color w:val="000000"/>
        </w:rPr>
        <w:t>) had</w:t>
      </w:r>
      <w:r w:rsidRPr="008F41CA">
        <w:rPr>
          <w:rFonts w:eastAsia="Times New Roman" w:cs="Times New Roman"/>
          <w:color w:val="000000"/>
        </w:rPr>
        <w:t xml:space="preserve"> made the wife’s contribution more arduous.</w:t>
      </w:r>
      <w:r>
        <w:rPr>
          <w:rFonts w:eastAsia="Times New Roman" w:cs="Times New Roman"/>
          <w:color w:val="000000"/>
        </w:rPr>
        <w:t xml:space="preserve"> </w:t>
      </w:r>
      <w:r w:rsidRPr="008F41CA">
        <w:rPr>
          <w:rFonts w:eastAsia="Times New Roman" w:cs="Times New Roman"/>
          <w:color w:val="000000"/>
        </w:rPr>
        <w:t>The Full Court disagreed</w:t>
      </w:r>
      <w:r>
        <w:rPr>
          <w:rFonts w:eastAsia="Times New Roman" w:cs="Times New Roman"/>
          <w:color w:val="000000"/>
        </w:rPr>
        <w:t>, saying this finding</w:t>
      </w:r>
      <w:r w:rsidRPr="008F41CA">
        <w:rPr>
          <w:rFonts w:eastAsia="Times New Roman" w:cs="Times New Roman"/>
          <w:color w:val="000000"/>
        </w:rPr>
        <w:t>:</w:t>
      </w:r>
    </w:p>
    <w:p w14:paraId="27401BB9" w14:textId="77777777" w:rsidR="00FB0876" w:rsidRPr="009A734D" w:rsidRDefault="00FB0876" w:rsidP="00FB0876">
      <w:pPr>
        <w:spacing w:line="240" w:lineRule="auto"/>
        <w:ind w:firstLine="720"/>
        <w:jc w:val="both"/>
        <w:rPr>
          <w:rFonts w:cs="Times New Roman"/>
        </w:rPr>
      </w:pPr>
    </w:p>
    <w:p w14:paraId="513BC114" w14:textId="3EE7AF3E" w:rsidR="004B5400" w:rsidRPr="008F41CA" w:rsidRDefault="00FB0876" w:rsidP="00BB213B">
      <w:pPr>
        <w:pStyle w:val="BlockText"/>
        <w:spacing w:after="0" w:line="240" w:lineRule="auto"/>
        <w:jc w:val="both"/>
        <w:rPr>
          <w:color w:val="0000FF"/>
          <w:u w:val="single"/>
          <w:vertAlign w:val="superscript"/>
        </w:rPr>
      </w:pPr>
      <w:r>
        <w:t>‘</w:t>
      </w:r>
      <w:r w:rsidR="004B5400">
        <w:t>…</w:t>
      </w:r>
      <w:r w:rsidR="004B5400" w:rsidRPr="008F41CA">
        <w:t xml:space="preserve"> ignores</w:t>
      </w:r>
      <w:r w:rsidR="004B5400">
        <w:t>…</w:t>
      </w:r>
      <w:r w:rsidR="004B5400" w:rsidRPr="008F41CA">
        <w:t>direct evidence given by the wife in her affidavit not challenged substantively in cross-examination and not the subject of any adverse finding by his Honour</w:t>
      </w:r>
      <w:r w:rsidR="004B5400" w:rsidRPr="00763F86">
        <w:t>. The wife gave direct evidence that family </w:t>
      </w:r>
      <w:r w:rsidR="004B5400" w:rsidRPr="00434E25">
        <w:rPr>
          <w:bCs/>
        </w:rPr>
        <w:t xml:space="preserve">violence </w:t>
      </w:r>
      <w:r w:rsidR="004B5400" w:rsidRPr="00434E25">
        <w:t xml:space="preserve">had made the household tasks and care </w:t>
      </w:r>
      <w:bookmarkStart w:id="9" w:name="fnB9"/>
      <w:r w:rsidR="004B5400" w:rsidRPr="00434E25">
        <w:lastRenderedPageBreak/>
        <w:t>of the children “more difficult.”</w:t>
      </w:r>
      <w:bookmarkEnd w:id="9"/>
      <w:r w:rsidR="004B5400">
        <w:rPr>
          <w:color w:val="333333"/>
          <w:shd w:val="clear" w:color="auto" w:fill="FFFFFF"/>
        </w:rPr>
        <w:t xml:space="preserve"> In </w:t>
      </w:r>
      <w:r w:rsidR="004B5400" w:rsidRPr="008A3F29">
        <w:rPr>
          <w:color w:val="333333"/>
          <w:shd w:val="clear" w:color="auto" w:fill="FFFFFF"/>
        </w:rPr>
        <w:t xml:space="preserve">addition, given the wife’s detailed evidence of the history of the husband’s drunken violence and abuse over a period of about 20 years; the fact that no finding contrary to that evidence was made; and his </w:t>
      </w:r>
      <w:r w:rsidR="004B5400" w:rsidRPr="00763F86">
        <w:rPr>
          <w:color w:val="333333"/>
          <w:shd w:val="clear" w:color="auto" w:fill="FFFFFF"/>
        </w:rPr>
        <w:t>Honour’s findings</w:t>
      </w:r>
      <w:r w:rsidR="004B5400">
        <w:rPr>
          <w:color w:val="333333"/>
          <w:shd w:val="clear" w:color="auto" w:fill="FFFFFF"/>
        </w:rPr>
        <w:t>…</w:t>
      </w:r>
      <w:r w:rsidR="004B5400" w:rsidRPr="008A3F29">
        <w:rPr>
          <w:color w:val="333333"/>
          <w:shd w:val="clear" w:color="auto" w:fill="FFFFFF"/>
        </w:rPr>
        <w:t>above</w:t>
      </w:r>
      <w:r w:rsidR="004B5400">
        <w:rPr>
          <w:color w:val="333333"/>
          <w:shd w:val="clear" w:color="auto" w:fill="FFFFFF"/>
        </w:rPr>
        <w:t xml:space="preserve"> </w:t>
      </w:r>
      <w:r w:rsidR="004B5400" w:rsidRPr="00763F86">
        <w:rPr>
          <w:i/>
          <w:color w:val="000000"/>
        </w:rPr>
        <w:t>we</w:t>
      </w:r>
      <w:r w:rsidR="004B5400" w:rsidRPr="007E4143">
        <w:rPr>
          <w:i/>
          <w:color w:val="000000"/>
        </w:rPr>
        <w:t xml:space="preserve"> are</w:t>
      </w:r>
      <w:r w:rsidR="004B5400">
        <w:rPr>
          <w:i/>
          <w:color w:val="000000"/>
        </w:rPr>
        <w:t>…</w:t>
      </w:r>
      <w:r w:rsidR="004B5400" w:rsidRPr="007E4143">
        <w:rPr>
          <w:i/>
          <w:color w:val="000000"/>
        </w:rPr>
        <w:t>unable to understand how it was not, in any event, an inescapable inference that the wife’s contributions</w:t>
      </w:r>
      <w:r w:rsidR="004B5400" w:rsidRPr="008F41CA">
        <w:rPr>
          <w:color w:val="000000"/>
        </w:rPr>
        <w:t xml:space="preserve"> – in particular her s 79(4)(c) contributions at the very least – were made “more onerous”…</w:t>
      </w:r>
      <w:r>
        <w:rPr>
          <w:color w:val="000000"/>
        </w:rPr>
        <w:t>’.</w:t>
      </w:r>
      <w:r w:rsidR="004B5400" w:rsidRPr="008F41CA">
        <w:rPr>
          <w:rStyle w:val="EndnoteReference"/>
          <w:color w:val="000000"/>
        </w:rPr>
        <w:endnoteReference w:id="60"/>
      </w:r>
    </w:p>
    <w:p w14:paraId="54072001" w14:textId="77777777" w:rsidR="004B5400" w:rsidRDefault="004B5400" w:rsidP="00BB213B">
      <w:pPr>
        <w:spacing w:line="240" w:lineRule="auto"/>
        <w:jc w:val="both"/>
        <w:rPr>
          <w:rFonts w:cs="Times New Roman"/>
        </w:rPr>
      </w:pPr>
    </w:p>
    <w:p w14:paraId="6A50C81C" w14:textId="660DBE8C" w:rsidR="004B5400" w:rsidRDefault="004B5400" w:rsidP="00BB213B">
      <w:pPr>
        <w:spacing w:line="240" w:lineRule="auto"/>
        <w:jc w:val="both"/>
        <w:rPr>
          <w:rFonts w:cs="Times New Roman"/>
        </w:rPr>
      </w:pPr>
      <w:r w:rsidRPr="008A3F29">
        <w:rPr>
          <w:rFonts w:cs="Times New Roman"/>
          <w:i/>
        </w:rPr>
        <w:t>Maine</w:t>
      </w:r>
      <w:r>
        <w:rPr>
          <w:rFonts w:cs="Times New Roman"/>
        </w:rPr>
        <w:t xml:space="preserve"> was decided in late December 2016; until that point it was clear some first instance judges believed an inference is permissible depending on the evidence of violence, while others believed it impermissible in all situations with direct causal proof being required.  </w:t>
      </w:r>
      <w:r w:rsidRPr="00745991">
        <w:rPr>
          <w:rFonts w:cs="Times New Roman"/>
          <w:i/>
        </w:rPr>
        <w:t>Maine</w:t>
      </w:r>
      <w:r>
        <w:rPr>
          <w:rFonts w:cs="Times New Roman"/>
        </w:rPr>
        <w:t xml:space="preserve"> will hopefully settle the point, reinforcing the statement in </w:t>
      </w:r>
      <w:r w:rsidRPr="00745991">
        <w:rPr>
          <w:rFonts w:cs="Times New Roman"/>
          <w:i/>
        </w:rPr>
        <w:t>Spagniardi</w:t>
      </w:r>
      <w:r>
        <w:rPr>
          <w:rFonts w:cs="Times New Roman"/>
        </w:rPr>
        <w:t xml:space="preserve"> about the ability to draw an inference in this regard.</w:t>
      </w:r>
    </w:p>
    <w:p w14:paraId="6D649834" w14:textId="77777777" w:rsidR="004B5400" w:rsidRDefault="004B5400" w:rsidP="00BB213B">
      <w:pPr>
        <w:spacing w:line="240" w:lineRule="auto"/>
        <w:jc w:val="both"/>
        <w:rPr>
          <w:rFonts w:cs="Times New Roman"/>
        </w:rPr>
      </w:pPr>
    </w:p>
    <w:p w14:paraId="05B54212" w14:textId="4E84E2D2" w:rsidR="004B5400" w:rsidRDefault="004B5400" w:rsidP="00FB0876">
      <w:pPr>
        <w:spacing w:line="240" w:lineRule="auto"/>
        <w:ind w:firstLine="720"/>
        <w:jc w:val="both"/>
        <w:rPr>
          <w:rFonts w:eastAsia="Times New Roman" w:cs="Times New Roman"/>
          <w:color w:val="000000"/>
          <w:lang w:val="en-AU"/>
        </w:rPr>
      </w:pPr>
      <w:r>
        <w:rPr>
          <w:rFonts w:cs="Times New Roman"/>
        </w:rPr>
        <w:t xml:space="preserve">This statement by the Full Court in </w:t>
      </w:r>
      <w:r w:rsidRPr="00745991">
        <w:rPr>
          <w:rFonts w:cs="Times New Roman"/>
          <w:i/>
        </w:rPr>
        <w:t>Maine</w:t>
      </w:r>
      <w:r>
        <w:rPr>
          <w:rFonts w:cs="Times New Roman"/>
        </w:rPr>
        <w:t xml:space="preserve"> also suggests that the nature of the violence, and the victim’s uncorroborated claim that the violence made their contributions more arduous, can suffice. In the 2014 study it was found that a</w:t>
      </w:r>
      <w:r w:rsidRPr="0068724C">
        <w:rPr>
          <w:rFonts w:cs="Times New Roman"/>
        </w:rPr>
        <w:t xml:space="preserve">n important variable correlating with </w:t>
      </w:r>
      <w:r>
        <w:rPr>
          <w:rFonts w:cs="Times New Roman"/>
        </w:rPr>
        <w:t xml:space="preserve">a </w:t>
      </w:r>
      <w:r w:rsidRPr="00745991">
        <w:rPr>
          <w:rFonts w:cs="Times New Roman"/>
          <w:i/>
        </w:rPr>
        <w:t>Kennon</w:t>
      </w:r>
      <w:r w:rsidRPr="0068724C">
        <w:rPr>
          <w:rFonts w:cs="Times New Roman"/>
        </w:rPr>
        <w:t xml:space="preserve"> adjustment being made was corroboration of the victim’s </w:t>
      </w:r>
      <w:r>
        <w:rPr>
          <w:rFonts w:cs="Times New Roman"/>
        </w:rPr>
        <w:t>claims about the impact of the violence (</w:t>
      </w:r>
      <w:r>
        <w:t>Easteal et al</w:t>
      </w:r>
      <w:r w:rsidR="00B7127F">
        <w:t>.</w:t>
      </w:r>
      <w:r w:rsidRPr="00A0783B">
        <w:t xml:space="preserve">, </w:t>
      </w:r>
      <w:r>
        <w:t>2014:</w:t>
      </w:r>
      <w:r w:rsidRPr="00A0783B">
        <w:t xml:space="preserve"> 19</w:t>
      </w:r>
      <w:r>
        <w:t>)</w:t>
      </w:r>
      <w:r w:rsidRPr="0068724C">
        <w:rPr>
          <w:rFonts w:cs="Times New Roman"/>
        </w:rPr>
        <w:t>.</w:t>
      </w:r>
      <w:r>
        <w:rPr>
          <w:rFonts w:cs="Times New Roman"/>
        </w:rPr>
        <w:t xml:space="preserve"> Unsurprisingly, corroboration on this point was a feature of</w:t>
      </w:r>
      <w:r w:rsidRPr="0068724C">
        <w:rPr>
          <w:rFonts w:cs="Times New Roman"/>
        </w:rPr>
        <w:t xml:space="preserve"> several of the seven successful 2015-2016 matters. </w:t>
      </w:r>
      <w:r w:rsidRPr="0068724C">
        <w:rPr>
          <w:rFonts w:eastAsia="Times New Roman" w:cs="Times New Roman"/>
          <w:color w:val="000000"/>
          <w:lang w:val="en-AU"/>
        </w:rPr>
        <w:t xml:space="preserve">For instance, </w:t>
      </w:r>
      <w:r w:rsidRPr="005306CE">
        <w:rPr>
          <w:rFonts w:eastAsia="Times New Roman" w:cs="Times New Roman"/>
          <w:color w:val="000000"/>
          <w:lang w:val="en-AU"/>
        </w:rPr>
        <w:t>Judge</w:t>
      </w:r>
      <w:r>
        <w:rPr>
          <w:rFonts w:eastAsia="Times New Roman" w:cs="Times New Roman"/>
          <w:color w:val="000000"/>
          <w:lang w:val="en-AU"/>
        </w:rPr>
        <w:t xml:space="preserve"> Joe </w:t>
      </w:r>
      <w:r w:rsidRPr="0068724C">
        <w:rPr>
          <w:rFonts w:eastAsia="Times New Roman" w:cs="Times New Roman"/>
          <w:color w:val="000000"/>
          <w:lang w:val="en-AU"/>
        </w:rPr>
        <w:t xml:space="preserve">Harman in </w:t>
      </w:r>
      <w:r w:rsidRPr="0068724C">
        <w:rPr>
          <w:rFonts w:eastAsia="Times New Roman" w:cs="Times New Roman"/>
          <w:i/>
          <w:color w:val="000000"/>
          <w:lang w:val="en-AU"/>
        </w:rPr>
        <w:t xml:space="preserve">Proctor </w:t>
      </w:r>
      <w:r w:rsidRPr="0068724C">
        <w:rPr>
          <w:rFonts w:eastAsia="Times New Roman" w:cs="Times New Roman"/>
          <w:color w:val="000000"/>
          <w:lang w:val="en-AU"/>
        </w:rPr>
        <w:t>accepted the wife’s argument that her contributions were, as a consequence of Mr Proctor’s behaviour towards her, ‘</w:t>
      </w:r>
      <w:r w:rsidRPr="0068724C">
        <w:rPr>
          <w:rFonts w:eastAsia="Times New Roman" w:cs="Times New Roman"/>
          <w:i/>
          <w:iCs/>
          <w:color w:val="000000"/>
          <w:lang w:val="en-AU"/>
        </w:rPr>
        <w:t>more onerous</w:t>
      </w:r>
      <w:r w:rsidRPr="0068724C">
        <w:rPr>
          <w:rFonts w:eastAsia="Times New Roman" w:cs="Times New Roman"/>
          <w:color w:val="000000"/>
          <w:lang w:val="en-AU"/>
        </w:rPr>
        <w:t>… as Ms Proctor has, at times, been significantly disadvantaged in her enjoyment of life and her capacity to engage in employment or operate within the home. Ms Proctor’s medical records lend some support to this.’</w:t>
      </w:r>
      <w:r w:rsidRPr="0068724C">
        <w:rPr>
          <w:rStyle w:val="EndnoteReference"/>
          <w:color w:val="000000"/>
          <w:lang w:val="en-AU"/>
        </w:rPr>
        <w:endnoteReference w:id="61"/>
      </w:r>
      <w:r>
        <w:rPr>
          <w:rFonts w:eastAsia="Times New Roman" w:cs="Times New Roman"/>
          <w:color w:val="000000"/>
          <w:lang w:val="en-AU"/>
        </w:rPr>
        <w:t xml:space="preserve">  </w:t>
      </w:r>
    </w:p>
    <w:p w14:paraId="415A77A4" w14:textId="77777777" w:rsidR="004B5400" w:rsidRDefault="004B5400" w:rsidP="00745991">
      <w:pPr>
        <w:spacing w:line="240" w:lineRule="auto"/>
        <w:jc w:val="both"/>
        <w:rPr>
          <w:rFonts w:eastAsia="Times New Roman" w:cs="Times New Roman"/>
          <w:color w:val="000000"/>
          <w:lang w:val="en-AU"/>
        </w:rPr>
      </w:pPr>
    </w:p>
    <w:p w14:paraId="537A417F" w14:textId="1154BA22" w:rsidR="004B5400" w:rsidRPr="00984C74" w:rsidRDefault="004B5400" w:rsidP="00984C74">
      <w:pPr>
        <w:spacing w:line="240" w:lineRule="auto"/>
        <w:ind w:firstLine="720"/>
        <w:jc w:val="both"/>
      </w:pPr>
      <w:r w:rsidRPr="0068724C">
        <w:rPr>
          <w:rFonts w:eastAsia="Times New Roman" w:cs="Times New Roman"/>
          <w:bCs/>
          <w:color w:val="000000"/>
          <w:lang w:val="en-AU"/>
        </w:rPr>
        <w:t xml:space="preserve">In </w:t>
      </w:r>
      <w:r w:rsidRPr="0068724C">
        <w:rPr>
          <w:rFonts w:eastAsia="Times New Roman" w:cs="Times New Roman"/>
          <w:bCs/>
          <w:i/>
          <w:color w:val="000000"/>
          <w:lang w:val="en-AU"/>
        </w:rPr>
        <w:t>Sharp &amp; Moon</w:t>
      </w:r>
      <w:r>
        <w:rPr>
          <w:rFonts w:eastAsia="Times New Roman" w:cs="Times New Roman"/>
          <w:bCs/>
          <w:color w:val="000000"/>
          <w:lang w:val="en-AU"/>
        </w:rPr>
        <w:t xml:space="preserve">, Judge Maurice </w:t>
      </w:r>
      <w:r w:rsidRPr="0068724C">
        <w:rPr>
          <w:rFonts w:eastAsia="Times New Roman" w:cs="Times New Roman"/>
          <w:bCs/>
          <w:color w:val="000000"/>
          <w:lang w:val="en-AU"/>
        </w:rPr>
        <w:t>Phipps had evidence of police arrest, a hospital vi</w:t>
      </w:r>
      <w:r>
        <w:rPr>
          <w:rFonts w:eastAsia="Times New Roman" w:cs="Times New Roman"/>
          <w:bCs/>
          <w:color w:val="000000"/>
          <w:lang w:val="en-AU"/>
        </w:rPr>
        <w:t>sit and an intervention order and it was accepted the husband’s ‘serious and persistent’ violence, including rape, ‘</w:t>
      </w:r>
      <w:r w:rsidRPr="00D27A76">
        <w:t>had a significant effect on the wife in her contribution as homemaker</w:t>
      </w:r>
      <w:r>
        <w:t>’ which role she maintained despite the violence</w:t>
      </w:r>
      <w:r w:rsidRPr="00D27A76">
        <w:t>.</w:t>
      </w:r>
      <w:r w:rsidRPr="0068724C">
        <w:rPr>
          <w:rStyle w:val="EndnoteReference"/>
          <w:color w:val="000000"/>
        </w:rPr>
        <w:endnoteReference w:id="62"/>
      </w:r>
      <w:r w:rsidR="00984C74">
        <w:t xml:space="preserve"> </w:t>
      </w:r>
      <w:r w:rsidRPr="0068724C">
        <w:rPr>
          <w:rFonts w:cs="Times New Roman"/>
          <w:color w:val="000000"/>
          <w:lang w:val="en-AU"/>
        </w:rPr>
        <w:t>The wife in</w:t>
      </w:r>
      <w:r w:rsidRPr="0068724C">
        <w:t xml:space="preserve"> </w:t>
      </w:r>
      <w:r w:rsidRPr="0068724C">
        <w:rPr>
          <w:rFonts w:eastAsia="Times New Roman" w:cs="Times New Roman"/>
          <w:i/>
          <w:color w:val="000000"/>
        </w:rPr>
        <w:t>Gillard &amp; Gillard and Anor</w:t>
      </w:r>
      <w:r w:rsidRPr="0068724C">
        <w:rPr>
          <w:rFonts w:eastAsia="Times New Roman" w:cs="Times New Roman"/>
          <w:color w:val="000000"/>
          <w:sz w:val="20"/>
          <w:szCs w:val="20"/>
        </w:rPr>
        <w:t xml:space="preserve"> </w:t>
      </w:r>
      <w:r w:rsidRPr="00764C97">
        <w:rPr>
          <w:rFonts w:eastAsia="Times New Roman" w:cs="Times New Roman"/>
          <w:color w:val="000000"/>
        </w:rPr>
        <w:t xml:space="preserve">also </w:t>
      </w:r>
      <w:r w:rsidRPr="0068724C">
        <w:rPr>
          <w:rFonts w:cs="Times New Roman"/>
          <w:color w:val="000000"/>
          <w:lang w:val="en-AU"/>
        </w:rPr>
        <w:t xml:space="preserve">had extensive evidence of </w:t>
      </w:r>
      <w:r w:rsidRPr="0068724C">
        <w:rPr>
          <w:rFonts w:eastAsia="Times New Roman" w:cs="Times New Roman"/>
          <w:color w:val="000000"/>
          <w:lang w:val="en-AU"/>
        </w:rPr>
        <w:t xml:space="preserve">destructive and controlling </w:t>
      </w:r>
      <w:r>
        <w:rPr>
          <w:rFonts w:eastAsia="Times New Roman" w:cs="Times New Roman"/>
          <w:color w:val="000000"/>
          <w:lang w:val="en-AU"/>
        </w:rPr>
        <w:t xml:space="preserve">alcohol-fuelled behaviour. Justice Gary </w:t>
      </w:r>
      <w:r w:rsidRPr="0068724C">
        <w:rPr>
          <w:rFonts w:eastAsia="Times New Roman" w:cs="Times New Roman"/>
          <w:color w:val="000000"/>
          <w:lang w:val="en-AU"/>
        </w:rPr>
        <w:t xml:space="preserve">Watts determined that contributions could be made more arduous by a husband/father’s violent behaviour to his children: </w:t>
      </w:r>
    </w:p>
    <w:p w14:paraId="142F80ED" w14:textId="1AA8381A" w:rsidR="004B5400" w:rsidRPr="0068724C" w:rsidRDefault="00984C74" w:rsidP="00745991">
      <w:pPr>
        <w:pStyle w:val="BlockText"/>
        <w:spacing w:after="0" w:line="240" w:lineRule="auto"/>
        <w:jc w:val="both"/>
      </w:pPr>
      <w:r>
        <w:t>‘</w:t>
      </w:r>
      <w:r w:rsidR="004B5400" w:rsidRPr="0068724C">
        <w:t>The wife’s claim that contributions were made significantly more arduous by the husband’s systemic conduct include contributions that she made in the role of parent. Dr EF’s evidence would indicate that the children were all affected by the husband’s conduct that was directed at each of them. I am prepared to infer that the effect of the husband’s conduct on the children made the wife’s contributions as the primary carer of those children significantly more arduous</w:t>
      </w:r>
      <w:r>
        <w:t>’</w:t>
      </w:r>
      <w:r w:rsidR="004B5400" w:rsidRPr="0068724C">
        <w:t>.</w:t>
      </w:r>
      <w:r w:rsidR="004B5400" w:rsidRPr="0068724C">
        <w:rPr>
          <w:rStyle w:val="EndnoteReference"/>
        </w:rPr>
        <w:endnoteReference w:id="63"/>
      </w:r>
    </w:p>
    <w:p w14:paraId="1B8DDAF5" w14:textId="77777777" w:rsidR="004B5400" w:rsidRDefault="004B5400" w:rsidP="00745991">
      <w:pPr>
        <w:spacing w:line="240" w:lineRule="auto"/>
        <w:jc w:val="both"/>
        <w:rPr>
          <w:rFonts w:eastAsia="Times New Roman" w:cs="Times New Roman"/>
          <w:color w:val="000000"/>
          <w:lang w:val="en-AU"/>
        </w:rPr>
      </w:pPr>
    </w:p>
    <w:p w14:paraId="7D71CB20" w14:textId="04283742" w:rsidR="004B5400" w:rsidRPr="0068724C" w:rsidRDefault="004B5400" w:rsidP="00745991">
      <w:pPr>
        <w:spacing w:line="240" w:lineRule="auto"/>
        <w:jc w:val="both"/>
        <w:rPr>
          <w:rFonts w:eastAsia="Times New Roman" w:cs="Times New Roman"/>
          <w:color w:val="000000"/>
          <w:lang w:val="en-AU"/>
        </w:rPr>
      </w:pPr>
      <w:r>
        <w:rPr>
          <w:rFonts w:eastAsia="Times New Roman" w:cs="Times New Roman"/>
          <w:color w:val="000000"/>
          <w:lang w:val="en-AU"/>
        </w:rPr>
        <w:lastRenderedPageBreak/>
        <w:t xml:space="preserve">Notably, </w:t>
      </w:r>
      <w:r w:rsidRPr="0068724C">
        <w:rPr>
          <w:rFonts w:eastAsia="Times New Roman" w:cs="Times New Roman"/>
          <w:color w:val="000000"/>
          <w:lang w:val="en-AU"/>
        </w:rPr>
        <w:t>Watts</w:t>
      </w:r>
      <w:r>
        <w:rPr>
          <w:rFonts w:eastAsia="Times New Roman" w:cs="Times New Roman"/>
          <w:color w:val="000000"/>
          <w:lang w:val="en-AU"/>
        </w:rPr>
        <w:t xml:space="preserve"> J</w:t>
      </w:r>
      <w:r w:rsidRPr="0068724C">
        <w:rPr>
          <w:rFonts w:eastAsia="Times New Roman" w:cs="Times New Roman"/>
          <w:color w:val="000000"/>
          <w:lang w:val="en-AU"/>
        </w:rPr>
        <w:t xml:space="preserve"> did not accept that the following actions by the wife indicated she was </w:t>
      </w:r>
      <w:r w:rsidRPr="00745991">
        <w:rPr>
          <w:rFonts w:eastAsia="Times New Roman" w:cs="Times New Roman"/>
          <w:i/>
          <w:color w:val="000000"/>
          <w:lang w:val="en-AU"/>
        </w:rPr>
        <w:t>not</w:t>
      </w:r>
      <w:r w:rsidRPr="0068724C">
        <w:rPr>
          <w:rFonts w:eastAsia="Times New Roman" w:cs="Times New Roman"/>
          <w:color w:val="000000"/>
          <w:lang w:val="en-AU"/>
        </w:rPr>
        <w:t xml:space="preserve"> suffering from the effects of victimisation: her on-going employment, her assistance in his work, her being primary carer of the children, moving with the husband overseas and being involved in the husband’s business dealings.</w:t>
      </w:r>
      <w:r w:rsidRPr="0068724C">
        <w:rPr>
          <w:rStyle w:val="EndnoteReference"/>
          <w:color w:val="000000"/>
          <w:lang w:val="en-AU"/>
        </w:rPr>
        <w:endnoteReference w:id="64"/>
      </w:r>
      <w:r w:rsidRPr="0068724C">
        <w:rPr>
          <w:rFonts w:eastAsia="Times New Roman" w:cs="Times New Roman"/>
          <w:color w:val="000000"/>
          <w:lang w:val="en-AU"/>
        </w:rPr>
        <w:t xml:space="preserve"> </w:t>
      </w:r>
    </w:p>
    <w:p w14:paraId="118A9253" w14:textId="77777777" w:rsidR="004B5400" w:rsidRPr="0068724C" w:rsidRDefault="004B5400" w:rsidP="00745991">
      <w:pPr>
        <w:spacing w:line="240" w:lineRule="auto"/>
        <w:jc w:val="both"/>
        <w:rPr>
          <w:rFonts w:cs="Times New Roman"/>
        </w:rPr>
      </w:pPr>
    </w:p>
    <w:p w14:paraId="0ECA7F40" w14:textId="4F6131D4" w:rsidR="004B5400" w:rsidRPr="00984C74" w:rsidRDefault="004B5400" w:rsidP="00984C74">
      <w:pPr>
        <w:spacing w:line="240" w:lineRule="auto"/>
        <w:ind w:firstLine="720"/>
        <w:jc w:val="both"/>
        <w:rPr>
          <w:rFonts w:eastAsia="Times New Roman" w:cs="Times New Roman"/>
          <w:color w:val="000000"/>
          <w:lang w:val="en-AU"/>
        </w:rPr>
      </w:pPr>
      <w:r>
        <w:rPr>
          <w:rFonts w:eastAsia="Times New Roman" w:cs="Times New Roman"/>
          <w:color w:val="000000"/>
          <w:lang w:val="en-AU"/>
        </w:rPr>
        <w:t xml:space="preserve">In a more obvious example, Judge Maurice </w:t>
      </w:r>
      <w:r w:rsidRPr="0068724C">
        <w:rPr>
          <w:rFonts w:eastAsia="Times New Roman" w:cs="Times New Roman"/>
          <w:color w:val="000000"/>
          <w:lang w:val="en-AU"/>
        </w:rPr>
        <w:t>Phipps</w:t>
      </w:r>
      <w:r>
        <w:rPr>
          <w:rFonts w:eastAsia="Times New Roman" w:cs="Times New Roman"/>
          <w:color w:val="000000"/>
          <w:lang w:val="en-AU"/>
        </w:rPr>
        <w:t xml:space="preserve"> </w:t>
      </w:r>
      <w:r w:rsidRPr="0068724C">
        <w:rPr>
          <w:rFonts w:eastAsia="Times New Roman" w:cs="Times New Roman"/>
          <w:color w:val="000000"/>
          <w:lang w:val="en-AU"/>
        </w:rPr>
        <w:t>awarded the de facto wife</w:t>
      </w:r>
      <w:r>
        <w:rPr>
          <w:rStyle w:val="EndnoteReference"/>
          <w:rFonts w:eastAsia="Times New Roman" w:cs="Times New Roman"/>
          <w:color w:val="000000"/>
          <w:lang w:val="en-AU"/>
        </w:rPr>
        <w:endnoteReference w:id="65"/>
      </w:r>
      <w:r w:rsidRPr="0068724C">
        <w:rPr>
          <w:rFonts w:eastAsia="Times New Roman" w:cs="Times New Roman"/>
          <w:color w:val="000000"/>
          <w:lang w:val="en-AU"/>
        </w:rPr>
        <w:t xml:space="preserve"> in </w:t>
      </w:r>
      <w:r w:rsidRPr="0068724C">
        <w:rPr>
          <w:rFonts w:eastAsia="Times New Roman" w:cs="Times New Roman"/>
          <w:i/>
          <w:color w:val="000000"/>
          <w:lang w:val="en-AU"/>
        </w:rPr>
        <w:t>Bamford &amp; Bank</w:t>
      </w:r>
      <w:r w:rsidRPr="0068724C">
        <w:rPr>
          <w:rFonts w:eastAsia="Times New Roman" w:cs="Times New Roman"/>
          <w:color w:val="000000"/>
          <w:lang w:val="en-AU"/>
        </w:rPr>
        <w:t xml:space="preserve"> a </w:t>
      </w:r>
      <w:r w:rsidRPr="0068724C">
        <w:rPr>
          <w:rFonts w:eastAsia="Times New Roman" w:cs="Times New Roman"/>
          <w:i/>
          <w:color w:val="000000"/>
          <w:lang w:val="en-AU"/>
        </w:rPr>
        <w:t>Kennon</w:t>
      </w:r>
      <w:r w:rsidRPr="0068724C">
        <w:rPr>
          <w:rFonts w:eastAsia="Times New Roman" w:cs="Times New Roman"/>
          <w:color w:val="000000"/>
          <w:lang w:val="en-AU"/>
        </w:rPr>
        <w:t xml:space="preserve"> adjustment finding the husband’s behaviour over many years had contributed to the wife’s state of ill-health and significantly affected her ability to work, as well as making her homemaker contributions more onerous.</w:t>
      </w:r>
      <w:r w:rsidRPr="0068724C">
        <w:rPr>
          <w:rStyle w:val="EndnoteReference"/>
        </w:rPr>
        <w:endnoteReference w:id="66"/>
      </w:r>
      <w:r w:rsidR="00984C74">
        <w:rPr>
          <w:rFonts w:eastAsia="Times New Roman" w:cs="Times New Roman"/>
          <w:color w:val="000000"/>
          <w:lang w:val="en-AU"/>
        </w:rPr>
        <w:t xml:space="preserve"> </w:t>
      </w:r>
      <w:r>
        <w:rPr>
          <w:rFonts w:eastAsia="Times New Roman" w:cs="Times New Roman"/>
          <w:color w:val="000000"/>
          <w:lang w:val="en-AU"/>
        </w:rPr>
        <w:t xml:space="preserve">However, </w:t>
      </w:r>
      <w:r>
        <w:rPr>
          <w:rFonts w:cs="Times New Roman"/>
        </w:rPr>
        <w:t>m</w:t>
      </w:r>
      <w:r w:rsidRPr="0068724C">
        <w:rPr>
          <w:rFonts w:cs="Times New Roman"/>
        </w:rPr>
        <w:t xml:space="preserve">ost of the </w:t>
      </w:r>
      <w:r w:rsidRPr="0068724C">
        <w:rPr>
          <w:rFonts w:cs="Times New Roman"/>
          <w:i/>
        </w:rPr>
        <w:t>Kennon</w:t>
      </w:r>
      <w:r w:rsidRPr="0068724C">
        <w:rPr>
          <w:rFonts w:cs="Times New Roman"/>
        </w:rPr>
        <w:t xml:space="preserve"> claims that succeed</w:t>
      </w:r>
      <w:r>
        <w:rPr>
          <w:rFonts w:cs="Times New Roman"/>
        </w:rPr>
        <w:t xml:space="preserve">ed in our sample did </w:t>
      </w:r>
      <w:r w:rsidRPr="0068724C">
        <w:rPr>
          <w:rFonts w:cs="Times New Roman"/>
        </w:rPr>
        <w:t>not require judicial inference</w:t>
      </w:r>
      <w:r>
        <w:rPr>
          <w:rFonts w:cs="Times New Roman"/>
        </w:rPr>
        <w:t xml:space="preserve">. </w:t>
      </w:r>
      <w:r>
        <w:t xml:space="preserve">In five of the seven in the current sample with a </w:t>
      </w:r>
      <w:r w:rsidRPr="00D70FF8">
        <w:rPr>
          <w:i/>
        </w:rPr>
        <w:t>Kennon</w:t>
      </w:r>
      <w:r>
        <w:t xml:space="preserve"> adjustment, an inference was not made.</w:t>
      </w:r>
      <w:r w:rsidRPr="0068724C">
        <w:rPr>
          <w:rFonts w:cs="Times New Roman"/>
        </w:rPr>
        <w:t xml:space="preserve"> </w:t>
      </w:r>
      <w:r w:rsidRPr="0068724C">
        <w:rPr>
          <w:rFonts w:eastAsia="Times New Roman" w:cs="Times New Roman"/>
          <w:color w:val="000000"/>
          <w:lang w:val="en-AU"/>
        </w:rPr>
        <w:t xml:space="preserve">For example, in </w:t>
      </w:r>
      <w:r w:rsidRPr="0068724C">
        <w:rPr>
          <w:rFonts w:eastAsia="Times New Roman" w:cs="Times New Roman"/>
          <w:i/>
          <w:color w:val="000000"/>
          <w:lang w:val="en-AU"/>
        </w:rPr>
        <w:t>Holder and Little</w:t>
      </w:r>
      <w:r w:rsidRPr="0068724C">
        <w:rPr>
          <w:rFonts w:eastAsia="Times New Roman" w:cs="Times New Roman"/>
          <w:color w:val="000000"/>
          <w:lang w:val="en-AU"/>
        </w:rPr>
        <w:t xml:space="preserve"> </w:t>
      </w:r>
      <w:r>
        <w:rPr>
          <w:rFonts w:eastAsia="Times New Roman" w:cs="Times New Roman"/>
          <w:color w:val="000000"/>
          <w:lang w:val="en-AU"/>
        </w:rPr>
        <w:t xml:space="preserve">Judge Judith </w:t>
      </w:r>
      <w:r w:rsidRPr="0068724C">
        <w:rPr>
          <w:rFonts w:eastAsia="Times New Roman" w:cs="Times New Roman"/>
          <w:color w:val="000000"/>
          <w:lang w:val="en-AU"/>
        </w:rPr>
        <w:t>Small determined that the husband ‘was for the most part responsible…for the toxic atmosphere of conflict which existed in the marriage and the home’ and balanced his more substantial financial contribution</w:t>
      </w:r>
      <w:r>
        <w:rPr>
          <w:rFonts w:eastAsia="Times New Roman" w:cs="Times New Roman"/>
          <w:color w:val="000000"/>
          <w:lang w:val="en-AU"/>
        </w:rPr>
        <w:t xml:space="preserve"> with, inter alia,</w:t>
      </w:r>
      <w:r w:rsidRPr="0068724C">
        <w:rPr>
          <w:rFonts w:eastAsia="Times New Roman" w:cs="Times New Roman"/>
          <w:color w:val="000000"/>
          <w:lang w:val="en-AU"/>
        </w:rPr>
        <w:t xml:space="preserve"> ‘the wife’s greater homemaker and parent contributions, </w:t>
      </w:r>
      <w:r>
        <w:rPr>
          <w:rFonts w:eastAsia="Times New Roman" w:cs="Times New Roman"/>
          <w:color w:val="000000"/>
          <w:lang w:val="en-AU"/>
        </w:rPr>
        <w:t>[and]…</w:t>
      </w:r>
      <w:r w:rsidRPr="0068724C">
        <w:rPr>
          <w:rFonts w:eastAsia="Times New Roman" w:cs="Times New Roman"/>
          <w:color w:val="000000"/>
          <w:lang w:val="en-AU"/>
        </w:rPr>
        <w:t>the impact of family violence upon her over many years</w:t>
      </w:r>
      <w:r>
        <w:rPr>
          <w:rFonts w:eastAsia="Times New Roman" w:cs="Times New Roman"/>
          <w:color w:val="000000"/>
          <w:lang w:val="en-AU"/>
        </w:rPr>
        <w:t>’.</w:t>
      </w:r>
      <w:r w:rsidRPr="0068724C">
        <w:rPr>
          <w:rStyle w:val="EndnoteReference"/>
          <w:color w:val="000000"/>
          <w:lang w:val="en-AU"/>
        </w:rPr>
        <w:endnoteReference w:id="67"/>
      </w:r>
    </w:p>
    <w:p w14:paraId="15BCBDEA" w14:textId="27AAFE9D" w:rsidR="004B5400" w:rsidRDefault="004B5400" w:rsidP="00745991">
      <w:pPr>
        <w:spacing w:line="240" w:lineRule="auto"/>
        <w:jc w:val="both"/>
        <w:rPr>
          <w:color w:val="000000"/>
          <w:lang w:val="en-AU"/>
        </w:rPr>
      </w:pPr>
    </w:p>
    <w:p w14:paraId="57668359" w14:textId="48555354" w:rsidR="004B5400" w:rsidRDefault="004B5400" w:rsidP="00984C74">
      <w:pPr>
        <w:spacing w:line="240" w:lineRule="auto"/>
        <w:ind w:firstLine="720"/>
        <w:jc w:val="both"/>
        <w:rPr>
          <w:rFonts w:eastAsia="Times New Roman" w:cs="Times New Roman"/>
          <w:color w:val="000000"/>
          <w:lang w:val="en-AU"/>
        </w:rPr>
      </w:pPr>
      <w:r>
        <w:t xml:space="preserve">Of course, an inference will not be drawn where the judicial officer considers the evidence tends against that conclusion, as in </w:t>
      </w:r>
      <w:r w:rsidRPr="00745991">
        <w:rPr>
          <w:i/>
        </w:rPr>
        <w:t>Pilch &amp; Pilch</w:t>
      </w:r>
      <w:r>
        <w:rPr>
          <w:rFonts w:eastAsia="Times New Roman" w:cs="Times New Roman"/>
          <w:color w:val="000000"/>
          <w:lang w:val="en-AU"/>
        </w:rPr>
        <w:t>:</w:t>
      </w:r>
    </w:p>
    <w:p w14:paraId="5EC160B0" w14:textId="77777777" w:rsidR="00984C74" w:rsidRDefault="00984C74" w:rsidP="00984C74">
      <w:pPr>
        <w:spacing w:line="240" w:lineRule="auto"/>
        <w:ind w:firstLine="720"/>
        <w:jc w:val="both"/>
        <w:rPr>
          <w:rFonts w:eastAsia="Times New Roman" w:cs="Times New Roman"/>
          <w:color w:val="000000"/>
          <w:lang w:val="en-AU"/>
        </w:rPr>
      </w:pPr>
    </w:p>
    <w:p w14:paraId="12C9DACE" w14:textId="7E0BA99D" w:rsidR="004B5400" w:rsidRPr="009044FD" w:rsidRDefault="00984C74" w:rsidP="00745991">
      <w:pPr>
        <w:pStyle w:val="BlockText"/>
        <w:spacing w:after="0" w:line="240" w:lineRule="auto"/>
        <w:jc w:val="both"/>
      </w:pPr>
      <w:r>
        <w:t>‘</w:t>
      </w:r>
      <w:r w:rsidR="004B5400" w:rsidRPr="009044FD">
        <w:t>I am satisfied that the husband has acted in a controlling and coercive manner during the marriage; that at times he has demeaned the wife by his words and actions. Further I am satisfied that the wife was physically assaulted by the husband on one occasion. However, there is no established evidentiary link between that conduct and the assertion that the wife’s contributions were made more difficult as a result; indeed when pressed, the wife readily conceded that she performed her roles within the marriage freely and without inhibition</w:t>
      </w:r>
      <w:r>
        <w:t>’</w:t>
      </w:r>
      <w:r w:rsidR="004B5400" w:rsidRPr="009044FD">
        <w:t>.</w:t>
      </w:r>
      <w:r w:rsidR="004B5400">
        <w:rPr>
          <w:rStyle w:val="EndnoteReference"/>
        </w:rPr>
        <w:endnoteReference w:id="68"/>
      </w:r>
    </w:p>
    <w:p w14:paraId="65F69DF5" w14:textId="77777777" w:rsidR="004B5400" w:rsidRPr="0068724C" w:rsidRDefault="004B5400" w:rsidP="00745991">
      <w:pPr>
        <w:spacing w:line="240" w:lineRule="auto"/>
        <w:jc w:val="both"/>
        <w:rPr>
          <w:rFonts w:eastAsia="Times New Roman" w:cs="Times New Roman"/>
          <w:color w:val="000000"/>
          <w:lang w:val="en-AU"/>
        </w:rPr>
      </w:pPr>
    </w:p>
    <w:p w14:paraId="41E8F8DB" w14:textId="77E4ADFC" w:rsidR="004B5400" w:rsidRDefault="004B5400" w:rsidP="00745991">
      <w:pPr>
        <w:spacing w:line="240" w:lineRule="auto"/>
        <w:jc w:val="both"/>
        <w:rPr>
          <w:rFonts w:eastAsia="Times New Roman" w:cs="Times New Roman"/>
          <w:color w:val="000000"/>
          <w:lang w:val="en-AU"/>
        </w:rPr>
      </w:pPr>
      <w:r>
        <w:rPr>
          <w:rFonts w:eastAsia="Times New Roman" w:cs="Times New Roman"/>
          <w:color w:val="000000"/>
          <w:lang w:val="en-AU"/>
        </w:rPr>
        <w:t xml:space="preserve">Because the recognition of violence in property disputes via </w:t>
      </w:r>
      <w:r w:rsidRPr="00D70FF8">
        <w:rPr>
          <w:rFonts w:eastAsia="Times New Roman" w:cs="Times New Roman"/>
          <w:i/>
          <w:color w:val="000000"/>
          <w:lang w:val="en-AU"/>
        </w:rPr>
        <w:t>Kennon</w:t>
      </w:r>
      <w:r>
        <w:rPr>
          <w:rFonts w:eastAsia="Times New Roman" w:cs="Times New Roman"/>
          <w:color w:val="000000"/>
          <w:lang w:val="en-AU"/>
        </w:rPr>
        <w:t xml:space="preserve"> is tied to assessing a victim’s contributions, it may have the somewhat ironic outcome as in </w:t>
      </w:r>
      <w:r w:rsidRPr="00D70FF8">
        <w:rPr>
          <w:rFonts w:eastAsia="Times New Roman" w:cs="Times New Roman"/>
          <w:i/>
          <w:color w:val="000000"/>
          <w:lang w:val="en-AU"/>
        </w:rPr>
        <w:t>Pilch</w:t>
      </w:r>
      <w:r>
        <w:rPr>
          <w:rFonts w:eastAsia="Times New Roman" w:cs="Times New Roman"/>
          <w:color w:val="000000"/>
          <w:lang w:val="en-AU"/>
        </w:rPr>
        <w:t>, that those best able to bear the violence and ‘function normally’ are unlikely to be recognised for their efforts. It might be argued these women deserve greater recognition for their efforts in the circumstances.</w:t>
      </w:r>
    </w:p>
    <w:p w14:paraId="363ED81D" w14:textId="77777777" w:rsidR="004B5400" w:rsidRPr="00DF73F8" w:rsidRDefault="004B5400" w:rsidP="00745991">
      <w:pPr>
        <w:spacing w:line="240" w:lineRule="auto"/>
        <w:jc w:val="both"/>
      </w:pPr>
    </w:p>
    <w:p w14:paraId="5EFDA3D9" w14:textId="1D5F43E2" w:rsidR="004B5400" w:rsidRPr="003D5EFE" w:rsidRDefault="004B5400" w:rsidP="00745991">
      <w:pPr>
        <w:widowControl w:val="0"/>
        <w:tabs>
          <w:tab w:val="left" w:pos="220"/>
          <w:tab w:val="left" w:pos="720"/>
        </w:tabs>
        <w:autoSpaceDE w:val="0"/>
        <w:autoSpaceDN w:val="0"/>
        <w:adjustRightInd w:val="0"/>
        <w:spacing w:line="240" w:lineRule="auto"/>
        <w:jc w:val="both"/>
        <w:rPr>
          <w:rFonts w:cs="Times New Roman"/>
          <w:b/>
          <w:i/>
        </w:rPr>
      </w:pPr>
      <w:r>
        <w:rPr>
          <w:rFonts w:cs="Times New Roman"/>
        </w:rPr>
        <w:t xml:space="preserve"> </w:t>
      </w:r>
    </w:p>
    <w:p w14:paraId="6BBCC690" w14:textId="0653CDEE" w:rsidR="004B5400" w:rsidRPr="00984C74" w:rsidRDefault="00984C74" w:rsidP="00984C74">
      <w:pPr>
        <w:spacing w:line="240" w:lineRule="auto"/>
        <w:jc w:val="center"/>
        <w:rPr>
          <w:rFonts w:cs="Times New Roman"/>
        </w:rPr>
      </w:pPr>
      <w:r w:rsidRPr="00984C74">
        <w:rPr>
          <w:rFonts w:cs="Times New Roman"/>
        </w:rPr>
        <w:t xml:space="preserve">VI. A BETTER WAY OF ADDRESSING VIOLENCE AND PROPERTY  – THE NEED FOR SOCIAL </w:t>
      </w:r>
      <w:r w:rsidRPr="00984C74">
        <w:rPr>
          <w:rFonts w:cs="Times New Roman"/>
          <w:i/>
        </w:rPr>
        <w:t>AND</w:t>
      </w:r>
      <w:r w:rsidRPr="00984C74">
        <w:rPr>
          <w:rFonts w:cs="Times New Roman"/>
        </w:rPr>
        <w:t xml:space="preserve"> LEGAL REFORM</w:t>
      </w:r>
    </w:p>
    <w:p w14:paraId="77D958FB" w14:textId="77777777" w:rsidR="004B5400" w:rsidRDefault="004B5400" w:rsidP="00D70FF8">
      <w:pPr>
        <w:widowControl w:val="0"/>
        <w:autoSpaceDE w:val="0"/>
        <w:autoSpaceDN w:val="0"/>
        <w:adjustRightInd w:val="0"/>
        <w:spacing w:line="240" w:lineRule="auto"/>
        <w:jc w:val="both"/>
        <w:rPr>
          <w:rFonts w:cs="Times New Roman"/>
          <w:iCs/>
          <w:lang w:eastAsia="en-AU"/>
        </w:rPr>
      </w:pPr>
    </w:p>
    <w:p w14:paraId="29AA19F6" w14:textId="546D2608" w:rsidR="004B5400" w:rsidRDefault="004B5400" w:rsidP="00D70FF8">
      <w:pPr>
        <w:widowControl w:val="0"/>
        <w:autoSpaceDE w:val="0"/>
        <w:autoSpaceDN w:val="0"/>
        <w:adjustRightInd w:val="0"/>
        <w:spacing w:line="240" w:lineRule="auto"/>
        <w:jc w:val="both"/>
        <w:rPr>
          <w:rFonts w:cs="Times New Roman"/>
          <w:iCs/>
          <w:lang w:eastAsia="en-AU"/>
        </w:rPr>
      </w:pPr>
      <w:r>
        <w:rPr>
          <w:rFonts w:cs="Times New Roman"/>
          <w:iCs/>
          <w:lang w:eastAsia="en-AU"/>
        </w:rPr>
        <w:t xml:space="preserve">The evidence is clear that family violence intersects with family property settlements and there is a degree of both judicial and academic support for the proposition that this should be reflected in the way courts decide property matters. There has been little legislative appetite for significant family property law reform in recent decades and so the judiciary have stepped in to fill the vacuum with </w:t>
      </w:r>
      <w:r w:rsidRPr="007D2B5C">
        <w:rPr>
          <w:rFonts w:cs="Times New Roman"/>
          <w:i/>
          <w:iCs/>
          <w:lang w:eastAsia="en-AU"/>
        </w:rPr>
        <w:t>Kennon</w:t>
      </w:r>
      <w:r>
        <w:rPr>
          <w:rFonts w:cs="Times New Roman"/>
          <w:iCs/>
          <w:lang w:eastAsia="en-AU"/>
        </w:rPr>
        <w:t xml:space="preserve">. However, we have seen </w:t>
      </w:r>
      <w:r>
        <w:rPr>
          <w:rFonts w:cs="Times New Roman"/>
          <w:iCs/>
          <w:lang w:eastAsia="en-AU"/>
        </w:rPr>
        <w:lastRenderedPageBreak/>
        <w:t xml:space="preserve">overt judicial discomfort, and confusion, with the way </w:t>
      </w:r>
      <w:r w:rsidRPr="007D2B5C">
        <w:rPr>
          <w:rFonts w:cs="Times New Roman"/>
          <w:i/>
          <w:iCs/>
          <w:lang w:eastAsia="en-AU"/>
        </w:rPr>
        <w:t>Kennon</w:t>
      </w:r>
      <w:r>
        <w:rPr>
          <w:rFonts w:cs="Times New Roman"/>
          <w:iCs/>
          <w:lang w:eastAsia="en-AU"/>
        </w:rPr>
        <w:t xml:space="preserve"> addresses violence.  Easteal et al’s (2014) analysis concluded that the </w:t>
      </w:r>
      <w:r w:rsidRPr="00D70FF8">
        <w:rPr>
          <w:rFonts w:cs="Times New Roman"/>
          <w:i/>
          <w:iCs/>
          <w:lang w:eastAsia="en-AU"/>
        </w:rPr>
        <w:t>Kennon</w:t>
      </w:r>
      <w:r>
        <w:rPr>
          <w:rFonts w:cs="Times New Roman"/>
          <w:iCs/>
          <w:lang w:eastAsia="en-AU"/>
        </w:rPr>
        <w:t xml:space="preserve"> principle:</w:t>
      </w:r>
    </w:p>
    <w:p w14:paraId="4C68B473" w14:textId="77777777" w:rsidR="00021FF5" w:rsidRDefault="00021FF5" w:rsidP="00D70FF8">
      <w:pPr>
        <w:widowControl w:val="0"/>
        <w:autoSpaceDE w:val="0"/>
        <w:autoSpaceDN w:val="0"/>
        <w:adjustRightInd w:val="0"/>
        <w:spacing w:line="240" w:lineRule="auto"/>
        <w:jc w:val="both"/>
        <w:rPr>
          <w:rFonts w:cs="Times New Roman"/>
          <w:iCs/>
          <w:lang w:eastAsia="en-AU"/>
        </w:rPr>
      </w:pPr>
    </w:p>
    <w:p w14:paraId="681C4382" w14:textId="74EEC099" w:rsidR="004B5400" w:rsidRPr="007D2B5C" w:rsidRDefault="004B5400" w:rsidP="00D70FF8">
      <w:pPr>
        <w:pStyle w:val="ListParagraph"/>
        <w:widowControl w:val="0"/>
        <w:numPr>
          <w:ilvl w:val="0"/>
          <w:numId w:val="11"/>
        </w:numPr>
        <w:autoSpaceDE w:val="0"/>
        <w:autoSpaceDN w:val="0"/>
        <w:adjustRightInd w:val="0"/>
        <w:spacing w:line="240" w:lineRule="auto"/>
        <w:jc w:val="both"/>
        <w:rPr>
          <w:rFonts w:cs="Times New Roman"/>
          <w:color w:val="000000"/>
        </w:rPr>
      </w:pPr>
      <w:r>
        <w:rPr>
          <w:rFonts w:cs="Times New Roman"/>
          <w:iCs/>
          <w:lang w:eastAsia="en-AU"/>
        </w:rPr>
        <w:t>Is ill-defined</w:t>
      </w:r>
    </w:p>
    <w:p w14:paraId="26C39F70" w14:textId="065F9656" w:rsidR="004B5400" w:rsidRPr="007D2B5C" w:rsidRDefault="004B5400" w:rsidP="00D70FF8">
      <w:pPr>
        <w:pStyle w:val="ListParagraph"/>
        <w:widowControl w:val="0"/>
        <w:numPr>
          <w:ilvl w:val="0"/>
          <w:numId w:val="11"/>
        </w:numPr>
        <w:autoSpaceDE w:val="0"/>
        <w:autoSpaceDN w:val="0"/>
        <w:adjustRightInd w:val="0"/>
        <w:spacing w:line="240" w:lineRule="auto"/>
        <w:jc w:val="both"/>
        <w:rPr>
          <w:rFonts w:cs="Times New Roman"/>
          <w:color w:val="000000"/>
        </w:rPr>
      </w:pPr>
      <w:r>
        <w:rPr>
          <w:rFonts w:cs="Times New Roman"/>
          <w:iCs/>
          <w:lang w:eastAsia="en-AU"/>
        </w:rPr>
        <w:t>Has thus been the subject of conflicting interpretations, and</w:t>
      </w:r>
    </w:p>
    <w:p w14:paraId="5569F935" w14:textId="34EE5CB5" w:rsidR="004B5400" w:rsidRPr="00021FF5" w:rsidRDefault="004B5400" w:rsidP="00D70FF8">
      <w:pPr>
        <w:pStyle w:val="ListParagraph"/>
        <w:widowControl w:val="0"/>
        <w:numPr>
          <w:ilvl w:val="0"/>
          <w:numId w:val="11"/>
        </w:numPr>
        <w:autoSpaceDE w:val="0"/>
        <w:autoSpaceDN w:val="0"/>
        <w:adjustRightInd w:val="0"/>
        <w:spacing w:line="240" w:lineRule="auto"/>
        <w:jc w:val="both"/>
        <w:rPr>
          <w:rFonts w:cs="Times New Roman"/>
          <w:color w:val="000000"/>
        </w:rPr>
      </w:pPr>
      <w:r w:rsidRPr="00532555">
        <w:rPr>
          <w:rFonts w:cs="Times New Roman"/>
          <w:iCs/>
          <w:lang w:eastAsia="en-AU"/>
        </w:rPr>
        <w:t>Is rarely raised and often not raised even when the facts might suggest it should be, suggesting lawyers are either not familiar with it, or not comfortable raising it</w:t>
      </w:r>
    </w:p>
    <w:p w14:paraId="67DF9051" w14:textId="77777777" w:rsidR="00021FF5" w:rsidRPr="00532555" w:rsidRDefault="00021FF5" w:rsidP="00021FF5">
      <w:pPr>
        <w:pStyle w:val="ListParagraph"/>
        <w:widowControl w:val="0"/>
        <w:autoSpaceDE w:val="0"/>
        <w:autoSpaceDN w:val="0"/>
        <w:adjustRightInd w:val="0"/>
        <w:spacing w:line="240" w:lineRule="auto"/>
        <w:jc w:val="both"/>
        <w:rPr>
          <w:rFonts w:cs="Times New Roman"/>
          <w:color w:val="000000"/>
        </w:rPr>
      </w:pPr>
    </w:p>
    <w:p w14:paraId="16669D71" w14:textId="0C6096BE" w:rsidR="004B5400" w:rsidRDefault="004B5400" w:rsidP="00D70FF8">
      <w:pPr>
        <w:spacing w:line="240" w:lineRule="auto"/>
        <w:jc w:val="both"/>
        <w:rPr>
          <w:rFonts w:cs="Times New Roman"/>
          <w:color w:val="000000"/>
        </w:rPr>
      </w:pPr>
      <w:r>
        <w:rPr>
          <w:rFonts w:cs="Times New Roman"/>
          <w:color w:val="000000"/>
        </w:rPr>
        <w:t>Our analysis of the relevant 2015-2016 case law reinforces these concerns.</w:t>
      </w:r>
    </w:p>
    <w:p w14:paraId="3A7FEE88" w14:textId="77777777" w:rsidR="004B5400" w:rsidRDefault="004B5400" w:rsidP="00D70FF8">
      <w:pPr>
        <w:spacing w:line="240" w:lineRule="auto"/>
        <w:jc w:val="both"/>
        <w:rPr>
          <w:rFonts w:cs="Times New Roman"/>
          <w:color w:val="000000"/>
        </w:rPr>
      </w:pPr>
    </w:p>
    <w:p w14:paraId="22670D57" w14:textId="3B13DB5B" w:rsidR="004B5400" w:rsidRDefault="004B5400" w:rsidP="00984C74">
      <w:pPr>
        <w:spacing w:line="240" w:lineRule="auto"/>
        <w:ind w:firstLine="720"/>
        <w:jc w:val="both"/>
        <w:rPr>
          <w:rFonts w:cs="Times New Roman"/>
        </w:rPr>
      </w:pPr>
      <w:r>
        <w:rPr>
          <w:rFonts w:cs="Times New Roman"/>
          <w:color w:val="000000"/>
        </w:rPr>
        <w:t xml:space="preserve">While it is not beyond the judiciary to develop sophisticated legal tests, such decision-making does not take place in a vacuum; it certainly does not take place in a space of gender equality. </w:t>
      </w:r>
      <w:r>
        <w:rPr>
          <w:rFonts w:cs="Times New Roman"/>
        </w:rPr>
        <w:t>The</w:t>
      </w:r>
      <w:r w:rsidRPr="00380B98">
        <w:rPr>
          <w:rFonts w:cs="Times New Roman"/>
        </w:rPr>
        <w:t xml:space="preserve"> </w:t>
      </w:r>
      <w:r>
        <w:rPr>
          <w:rFonts w:cs="Times New Roman"/>
        </w:rPr>
        <w:t xml:space="preserve">gender </w:t>
      </w:r>
      <w:r w:rsidRPr="00380B98">
        <w:rPr>
          <w:rFonts w:cs="Times New Roman"/>
        </w:rPr>
        <w:t xml:space="preserve">inequalities </w:t>
      </w:r>
      <w:r>
        <w:rPr>
          <w:rFonts w:cs="Times New Roman"/>
        </w:rPr>
        <w:t xml:space="preserve">we have identified as operating when property intersects with violence </w:t>
      </w:r>
      <w:r w:rsidRPr="00380B98">
        <w:rPr>
          <w:rFonts w:cs="Times New Roman"/>
        </w:rPr>
        <w:t xml:space="preserve">in the family law system are a reflection of the same </w:t>
      </w:r>
      <w:r>
        <w:rPr>
          <w:rFonts w:cs="Times New Roman"/>
        </w:rPr>
        <w:t>societal imbalances</w:t>
      </w:r>
      <w:r w:rsidRPr="00380B98">
        <w:rPr>
          <w:rFonts w:cs="Times New Roman"/>
        </w:rPr>
        <w:t xml:space="preserve"> between men and women</w:t>
      </w:r>
      <w:r>
        <w:rPr>
          <w:rFonts w:cs="Times New Roman"/>
        </w:rPr>
        <w:t xml:space="preserve"> seen more broadly in society</w:t>
      </w:r>
      <w:r w:rsidRPr="00380B98">
        <w:rPr>
          <w:rFonts w:cs="Times New Roman"/>
        </w:rPr>
        <w:t xml:space="preserve">. As long as </w:t>
      </w:r>
      <w:r>
        <w:rPr>
          <w:rFonts w:cs="Times New Roman"/>
        </w:rPr>
        <w:t>such</w:t>
      </w:r>
      <w:r w:rsidRPr="00380B98">
        <w:rPr>
          <w:rFonts w:cs="Times New Roman"/>
        </w:rPr>
        <w:t xml:space="preserve"> imbalances exist in society, they will inevitably </w:t>
      </w:r>
      <w:r>
        <w:rPr>
          <w:rFonts w:cs="Times New Roman"/>
        </w:rPr>
        <w:t>be mirrored</w:t>
      </w:r>
      <w:r w:rsidRPr="00380B98">
        <w:rPr>
          <w:rFonts w:cs="Times New Roman"/>
        </w:rPr>
        <w:t xml:space="preserve"> in the legal system</w:t>
      </w:r>
      <w:r>
        <w:rPr>
          <w:rFonts w:cs="Times New Roman"/>
        </w:rPr>
        <w:t xml:space="preserve"> (Tolmie et al</w:t>
      </w:r>
      <w:r w:rsidR="00B7127F">
        <w:rPr>
          <w:rFonts w:cs="Times New Roman"/>
        </w:rPr>
        <w:t>.,</w:t>
      </w:r>
      <w:r>
        <w:rPr>
          <w:rFonts w:cs="Times New Roman"/>
        </w:rPr>
        <w:t xml:space="preserve"> 2010: 302)</w:t>
      </w:r>
      <w:r w:rsidRPr="00380B98">
        <w:rPr>
          <w:rFonts w:cs="Times New Roman"/>
        </w:rPr>
        <w:t xml:space="preserve">. </w:t>
      </w:r>
    </w:p>
    <w:p w14:paraId="13FEE701" w14:textId="77777777" w:rsidR="004B5400" w:rsidRDefault="004B5400" w:rsidP="00D70FF8">
      <w:pPr>
        <w:spacing w:line="240" w:lineRule="auto"/>
        <w:jc w:val="both"/>
        <w:rPr>
          <w:rFonts w:cs="Times New Roman"/>
        </w:rPr>
      </w:pPr>
    </w:p>
    <w:p w14:paraId="254815FC" w14:textId="71E4250E" w:rsidR="004B5400" w:rsidRDefault="004B5400" w:rsidP="00984C74">
      <w:pPr>
        <w:spacing w:line="240" w:lineRule="auto"/>
        <w:ind w:firstLine="720"/>
        <w:jc w:val="both"/>
        <w:rPr>
          <w:rFonts w:cs="Times New Roman"/>
        </w:rPr>
      </w:pPr>
      <w:r>
        <w:rPr>
          <w:rFonts w:cs="Times New Roman"/>
        </w:rPr>
        <w:t>T</w:t>
      </w:r>
      <w:r w:rsidRPr="00380B98">
        <w:rPr>
          <w:rFonts w:cs="Times New Roman"/>
        </w:rPr>
        <w:t xml:space="preserve">he reality </w:t>
      </w:r>
      <w:r>
        <w:rPr>
          <w:rFonts w:cs="Times New Roman"/>
        </w:rPr>
        <w:t xml:space="preserve">then </w:t>
      </w:r>
      <w:r w:rsidRPr="00380B98">
        <w:rPr>
          <w:rFonts w:cs="Times New Roman"/>
        </w:rPr>
        <w:t>is that men and women are on unequal ground by the time they enter the family law system</w:t>
      </w:r>
      <w:r>
        <w:rPr>
          <w:rFonts w:cs="Times New Roman"/>
        </w:rPr>
        <w:t xml:space="preserve"> as exemplified by women’s relative impoverishment following a relationship breakup. For that reason and numerous others already discussed, many women are keen to settle family law disputes, which makes the ground even less level yet. Settlement may be further skewed by women’s problematic negotiation of a male dominated legal system. </w:t>
      </w:r>
    </w:p>
    <w:p w14:paraId="26C0FAD4" w14:textId="77777777" w:rsidR="004B5400" w:rsidRDefault="004B5400" w:rsidP="00D70FF8">
      <w:pPr>
        <w:spacing w:line="240" w:lineRule="auto"/>
        <w:jc w:val="both"/>
        <w:rPr>
          <w:rFonts w:cs="Times New Roman"/>
        </w:rPr>
      </w:pPr>
    </w:p>
    <w:p w14:paraId="1F00E0E7" w14:textId="482F6C41" w:rsidR="004B5400" w:rsidRDefault="004B5400" w:rsidP="00984C74">
      <w:pPr>
        <w:spacing w:line="240" w:lineRule="auto"/>
        <w:ind w:firstLine="720"/>
        <w:jc w:val="both"/>
        <w:rPr>
          <w:rFonts w:cs="Times New Roman"/>
        </w:rPr>
      </w:pPr>
      <w:r>
        <w:rPr>
          <w:rFonts w:cs="Times New Roman"/>
        </w:rPr>
        <w:t>When family violence victimization is added to the equation, these inequities are magnified and likely worsened at key points in the family law processes (Daw</w:t>
      </w:r>
      <w:r w:rsidR="00B7127F">
        <w:rPr>
          <w:rFonts w:cs="Times New Roman"/>
        </w:rPr>
        <w:t>,</w:t>
      </w:r>
      <w:r>
        <w:rPr>
          <w:rFonts w:cs="Times New Roman"/>
        </w:rPr>
        <w:t xml:space="preserve"> 1995).  As </w:t>
      </w:r>
      <w:r>
        <w:t>it is axiomatic that male dominated legal processes and substantive law favour those with resources and those who can best play its ‘games,’ women, particularly victims of violence, are less able to either harness or ‘work’ the legal system.</w:t>
      </w:r>
      <w:r>
        <w:rPr>
          <w:rFonts w:cs="Times New Roman"/>
        </w:rPr>
        <w:t xml:space="preserve"> This was illustrated above as we have shown how women’s (relative) inability to afford legal representation coupled with vexatious litigation may affect how they fare in hearings. And we have also seen how the relationship between gender, communication, violence and power </w:t>
      </w:r>
      <w:r w:rsidR="00257650">
        <w:rPr>
          <w:rFonts w:cs="Times New Roman"/>
        </w:rPr>
        <w:t>contribute</w:t>
      </w:r>
      <w:r>
        <w:rPr>
          <w:rFonts w:cs="Times New Roman"/>
        </w:rPr>
        <w:t xml:space="preserve"> to an uneven playing field in alternative forms of dispute resolution. </w:t>
      </w:r>
    </w:p>
    <w:p w14:paraId="4D1786B3" w14:textId="77777777" w:rsidR="004B5400" w:rsidRDefault="004B5400" w:rsidP="00D70FF8">
      <w:pPr>
        <w:spacing w:line="240" w:lineRule="auto"/>
        <w:jc w:val="both"/>
      </w:pPr>
    </w:p>
    <w:p w14:paraId="6FDD5863" w14:textId="7352A3A4" w:rsidR="004B5400" w:rsidRDefault="004B5400" w:rsidP="00984C74">
      <w:pPr>
        <w:spacing w:line="240" w:lineRule="auto"/>
        <w:ind w:firstLine="720"/>
        <w:jc w:val="both"/>
        <w:rPr>
          <w:rFonts w:cs="Times New Roman"/>
          <w:color w:val="000000"/>
        </w:rPr>
      </w:pPr>
      <w:r>
        <w:rPr>
          <w:rFonts w:cs="Times New Roman"/>
        </w:rPr>
        <w:t>So, and perhaps not surprisingly, we would argue t</w:t>
      </w:r>
      <w:r w:rsidRPr="00380B98">
        <w:rPr>
          <w:rFonts w:cs="Times New Roman"/>
        </w:rPr>
        <w:t xml:space="preserve">he system must be re-designed, legislation reformed and the people involved in </w:t>
      </w:r>
      <w:r>
        <w:rPr>
          <w:rFonts w:cs="Times New Roman"/>
        </w:rPr>
        <w:t>the practice of family law</w:t>
      </w:r>
      <w:r w:rsidRPr="00380B98">
        <w:rPr>
          <w:rFonts w:cs="Times New Roman"/>
        </w:rPr>
        <w:t xml:space="preserve"> educated in such a way as to counter the imbalances </w:t>
      </w:r>
      <w:r>
        <w:rPr>
          <w:rFonts w:cs="Times New Roman"/>
        </w:rPr>
        <w:t xml:space="preserve">described </w:t>
      </w:r>
      <w:r w:rsidRPr="00380B98">
        <w:rPr>
          <w:rFonts w:cs="Times New Roman"/>
        </w:rPr>
        <w:t>and the l</w:t>
      </w:r>
      <w:r>
        <w:rPr>
          <w:rFonts w:cs="Times New Roman"/>
        </w:rPr>
        <w:t xml:space="preserve">ikelihood of any adverse or unjust outcomes. </w:t>
      </w:r>
      <w:r>
        <w:rPr>
          <w:rFonts w:cs="Times New Roman"/>
          <w:color w:val="000000"/>
        </w:rPr>
        <w:t xml:space="preserve">It is important that anachronistic norms are replaced with new information and approaches, and legal professionals are educated as to the realities of domestic violence, and the needs of victims. </w:t>
      </w:r>
    </w:p>
    <w:p w14:paraId="3A8F329A" w14:textId="77777777" w:rsidR="004B5400" w:rsidRDefault="004B5400" w:rsidP="00D70FF8">
      <w:pPr>
        <w:spacing w:line="240" w:lineRule="auto"/>
        <w:jc w:val="both"/>
        <w:rPr>
          <w:rFonts w:cs="Times New Roman"/>
          <w:color w:val="000000"/>
        </w:rPr>
      </w:pPr>
    </w:p>
    <w:p w14:paraId="514866BF" w14:textId="4D2828E6" w:rsidR="004B5400" w:rsidRDefault="004B5400" w:rsidP="00984C74">
      <w:pPr>
        <w:widowControl w:val="0"/>
        <w:autoSpaceDE w:val="0"/>
        <w:autoSpaceDN w:val="0"/>
        <w:adjustRightInd w:val="0"/>
        <w:spacing w:line="240" w:lineRule="auto"/>
        <w:ind w:firstLine="720"/>
        <w:jc w:val="both"/>
        <w:rPr>
          <w:rFonts w:cs="Times New Roman"/>
          <w:color w:val="000000"/>
        </w:rPr>
      </w:pPr>
      <w:r>
        <w:rPr>
          <w:rFonts w:cs="Times New Roman"/>
          <w:color w:val="000000"/>
        </w:rPr>
        <w:t xml:space="preserve">In relation to legislative reform, since </w:t>
      </w:r>
      <w:r>
        <w:t>ambiguity in substantive laws produces ‘a sieve through which the dominants’ values penetrate’</w:t>
      </w:r>
      <w:r w:rsidRPr="006656F0">
        <w:t xml:space="preserve"> </w:t>
      </w:r>
      <w:r>
        <w:t>(Easteal</w:t>
      </w:r>
      <w:r w:rsidR="00B7127F">
        <w:t>,</w:t>
      </w:r>
      <w:r>
        <w:t xml:space="preserve"> 2001: 233)</w:t>
      </w:r>
      <w:r w:rsidR="00257650">
        <w:t>,</w:t>
      </w:r>
      <w:r>
        <w:t xml:space="preserve"> </w:t>
      </w:r>
      <w:r>
        <w:rPr>
          <w:rFonts w:cs="Times New Roman"/>
          <w:color w:val="000000"/>
        </w:rPr>
        <w:t>any legal provisions will need to be carefully drafted. The experience with drafting problems of the 2006 shared parenting reforms (O’Brien</w:t>
      </w:r>
      <w:r w:rsidR="00B7127F">
        <w:rPr>
          <w:rFonts w:cs="Times New Roman"/>
          <w:color w:val="000000"/>
        </w:rPr>
        <w:t>,</w:t>
      </w:r>
      <w:r>
        <w:rPr>
          <w:rFonts w:cs="Times New Roman"/>
          <w:color w:val="000000"/>
        </w:rPr>
        <w:t xml:space="preserve"> 2010) suggests great attention needs to </w:t>
      </w:r>
      <w:r>
        <w:rPr>
          <w:rFonts w:cs="Times New Roman"/>
          <w:color w:val="000000"/>
        </w:rPr>
        <w:lastRenderedPageBreak/>
        <w:t>be paid to the precise wording used. However, it is key that – as with those parenting reforms – a comprehensive approach, that also addresses process, is adopted rather than just amending the key substantive provisions.  For example:</w:t>
      </w:r>
    </w:p>
    <w:p w14:paraId="06B06CE3" w14:textId="77777777" w:rsidR="00021FF5" w:rsidRDefault="00021FF5" w:rsidP="00984C74">
      <w:pPr>
        <w:widowControl w:val="0"/>
        <w:autoSpaceDE w:val="0"/>
        <w:autoSpaceDN w:val="0"/>
        <w:adjustRightInd w:val="0"/>
        <w:spacing w:line="240" w:lineRule="auto"/>
        <w:ind w:firstLine="720"/>
        <w:jc w:val="both"/>
        <w:rPr>
          <w:rFonts w:cs="Times New Roman"/>
          <w:color w:val="000000"/>
        </w:rPr>
      </w:pPr>
    </w:p>
    <w:p w14:paraId="619A82BA" w14:textId="08D9B9E6" w:rsidR="004B5400" w:rsidRDefault="004B5400" w:rsidP="00E216C4">
      <w:pPr>
        <w:pStyle w:val="ListParagraph"/>
        <w:widowControl w:val="0"/>
        <w:numPr>
          <w:ilvl w:val="0"/>
          <w:numId w:val="14"/>
        </w:numPr>
        <w:autoSpaceDE w:val="0"/>
        <w:autoSpaceDN w:val="0"/>
        <w:adjustRightInd w:val="0"/>
        <w:spacing w:line="240" w:lineRule="auto"/>
        <w:jc w:val="both"/>
        <w:rPr>
          <w:rFonts w:cs="Times New Roman"/>
          <w:color w:val="000000"/>
        </w:rPr>
      </w:pPr>
      <w:r>
        <w:rPr>
          <w:rFonts w:cs="Times New Roman"/>
          <w:color w:val="000000"/>
        </w:rPr>
        <w:t xml:space="preserve">The Family Law Rules 2004 (Cth) regarding property could provide the same notifiers of violence that exist in relation to parenting matters.  Currently, in parenting matters the Rules require the filing of a specified notice under </w:t>
      </w:r>
      <w:r>
        <w:t xml:space="preserve">Rule 2.04 </w:t>
      </w:r>
      <w:r>
        <w:rPr>
          <w:rFonts w:cs="Times New Roman"/>
          <w:color w:val="000000"/>
        </w:rPr>
        <w:t xml:space="preserve">where a parent alleges there has been, or there is a risk of, family violence, by one of the parties. </w:t>
      </w:r>
    </w:p>
    <w:p w14:paraId="7F961580" w14:textId="21B78488" w:rsidR="004B5400" w:rsidRDefault="004B5400" w:rsidP="00E216C4">
      <w:pPr>
        <w:pStyle w:val="ListParagraph"/>
        <w:widowControl w:val="0"/>
        <w:numPr>
          <w:ilvl w:val="0"/>
          <w:numId w:val="14"/>
        </w:numPr>
        <w:autoSpaceDE w:val="0"/>
        <w:autoSpaceDN w:val="0"/>
        <w:adjustRightInd w:val="0"/>
        <w:spacing w:line="240" w:lineRule="auto"/>
        <w:jc w:val="both"/>
        <w:rPr>
          <w:rFonts w:cs="Times New Roman"/>
          <w:color w:val="000000"/>
        </w:rPr>
      </w:pPr>
      <w:r>
        <w:rPr>
          <w:rFonts w:cs="Times New Roman"/>
          <w:color w:val="000000"/>
        </w:rPr>
        <w:t>Rule 10.15A,</w:t>
      </w:r>
      <w:r>
        <w:rPr>
          <w:rStyle w:val="EndnoteReference"/>
          <w:rFonts w:cs="Times New Roman"/>
          <w:color w:val="000000"/>
        </w:rPr>
        <w:t xml:space="preserve"> </w:t>
      </w:r>
      <w:r>
        <w:t>which requires lawyers to ensure that consent orders address how any concerns of violence are addressed by the orders sought,</w:t>
      </w:r>
      <w:r>
        <w:rPr>
          <w:rFonts w:cs="Times New Roman"/>
          <w:color w:val="000000"/>
        </w:rPr>
        <w:t xml:space="preserve"> could be extended so that where</w:t>
      </w:r>
      <w:r w:rsidR="00257650">
        <w:rPr>
          <w:rFonts w:cs="Times New Roman"/>
          <w:color w:val="000000"/>
        </w:rPr>
        <w:t>,</w:t>
      </w:r>
      <w:r>
        <w:rPr>
          <w:rFonts w:cs="Times New Roman"/>
          <w:color w:val="000000"/>
        </w:rPr>
        <w:t xml:space="preserve"> during a hearing</w:t>
      </w:r>
      <w:r w:rsidR="00257650">
        <w:rPr>
          <w:rFonts w:cs="Times New Roman"/>
          <w:color w:val="000000"/>
        </w:rPr>
        <w:t>,</w:t>
      </w:r>
      <w:r>
        <w:rPr>
          <w:rFonts w:cs="Times New Roman"/>
          <w:color w:val="000000"/>
        </w:rPr>
        <w:t xml:space="preserve"> a property order is sought by consent, and there have been allegations of violence, there is an obligation on the alleged victim’s lawyer to address the court as to the impact on their client’s consent, if any, of the alleged violence.</w:t>
      </w:r>
    </w:p>
    <w:p w14:paraId="3BC3B9F9" w14:textId="1482E673" w:rsidR="004B5400" w:rsidRDefault="004B5400" w:rsidP="00E216C4">
      <w:pPr>
        <w:pStyle w:val="ListParagraph"/>
        <w:widowControl w:val="0"/>
        <w:numPr>
          <w:ilvl w:val="0"/>
          <w:numId w:val="14"/>
        </w:numPr>
        <w:autoSpaceDE w:val="0"/>
        <w:autoSpaceDN w:val="0"/>
        <w:adjustRightInd w:val="0"/>
        <w:spacing w:line="240" w:lineRule="auto"/>
        <w:jc w:val="both"/>
        <w:rPr>
          <w:rFonts w:cs="Times New Roman"/>
          <w:color w:val="000000"/>
        </w:rPr>
      </w:pPr>
      <w:r>
        <w:rPr>
          <w:rFonts w:cs="Times New Roman"/>
          <w:color w:val="000000"/>
        </w:rPr>
        <w:t>Changes in case management processes could be adopted which ensure property cases with alleged violence are identifiable so that pre-trial processes minimize unwanted contact.</w:t>
      </w:r>
    </w:p>
    <w:p w14:paraId="5EC263A4" w14:textId="7CCF7741" w:rsidR="004B5400" w:rsidRDefault="004B5400" w:rsidP="00E216C4">
      <w:pPr>
        <w:pStyle w:val="ListParagraph"/>
        <w:widowControl w:val="0"/>
        <w:numPr>
          <w:ilvl w:val="0"/>
          <w:numId w:val="14"/>
        </w:numPr>
        <w:autoSpaceDE w:val="0"/>
        <w:autoSpaceDN w:val="0"/>
        <w:adjustRightInd w:val="0"/>
        <w:spacing w:line="240" w:lineRule="auto"/>
        <w:jc w:val="both"/>
        <w:rPr>
          <w:rFonts w:cs="Times New Roman"/>
          <w:color w:val="000000"/>
        </w:rPr>
      </w:pPr>
      <w:r>
        <w:rPr>
          <w:rFonts w:cs="Times New Roman"/>
          <w:color w:val="000000"/>
        </w:rPr>
        <w:t>The operation of the Family Violence Best Practice Principles – which presently only apply to parenting matters</w:t>
      </w:r>
      <w:r>
        <w:rPr>
          <w:rStyle w:val="EndnoteReference"/>
          <w:rFonts w:cs="Times New Roman"/>
          <w:color w:val="000000"/>
        </w:rPr>
        <w:endnoteReference w:id="69"/>
      </w:r>
      <w:r>
        <w:rPr>
          <w:rFonts w:cs="Times New Roman"/>
          <w:color w:val="000000"/>
        </w:rPr>
        <w:t xml:space="preserve"> – could be adapted to cover financial disputes.</w:t>
      </w:r>
    </w:p>
    <w:p w14:paraId="627570C7" w14:textId="3E1F02A2" w:rsidR="004B5400" w:rsidRDefault="004B5400" w:rsidP="00E216C4">
      <w:pPr>
        <w:pStyle w:val="ListParagraph"/>
        <w:widowControl w:val="0"/>
        <w:numPr>
          <w:ilvl w:val="0"/>
          <w:numId w:val="14"/>
        </w:numPr>
        <w:autoSpaceDE w:val="0"/>
        <w:autoSpaceDN w:val="0"/>
        <w:adjustRightInd w:val="0"/>
        <w:spacing w:line="240" w:lineRule="auto"/>
        <w:jc w:val="both"/>
        <w:rPr>
          <w:rFonts w:cs="Times New Roman"/>
          <w:color w:val="000000"/>
        </w:rPr>
      </w:pPr>
      <w:r>
        <w:rPr>
          <w:rFonts w:cs="Times New Roman"/>
          <w:color w:val="000000"/>
        </w:rPr>
        <w:t>The family violence ‘benchbook’</w:t>
      </w:r>
      <w:r>
        <w:rPr>
          <w:rStyle w:val="EndnoteReference"/>
          <w:rFonts w:cs="Times New Roman"/>
          <w:color w:val="000000"/>
        </w:rPr>
        <w:endnoteReference w:id="70"/>
      </w:r>
      <w:r>
        <w:rPr>
          <w:rFonts w:cs="Times New Roman"/>
          <w:color w:val="000000"/>
        </w:rPr>
        <w:t xml:space="preserve"> could have its modest section on family violence and property expanded to deal in more depth with the particular issues relevant to property.</w:t>
      </w:r>
    </w:p>
    <w:p w14:paraId="4E747934" w14:textId="0074AF94" w:rsidR="004B5400" w:rsidRDefault="004B5400" w:rsidP="00E216C4">
      <w:pPr>
        <w:pStyle w:val="ListParagraph"/>
        <w:widowControl w:val="0"/>
        <w:numPr>
          <w:ilvl w:val="0"/>
          <w:numId w:val="14"/>
        </w:numPr>
        <w:autoSpaceDE w:val="0"/>
        <w:autoSpaceDN w:val="0"/>
        <w:adjustRightInd w:val="0"/>
        <w:spacing w:line="240" w:lineRule="auto"/>
        <w:jc w:val="both"/>
        <w:rPr>
          <w:rFonts w:cs="Times New Roman"/>
          <w:color w:val="000000"/>
        </w:rPr>
      </w:pPr>
      <w:r>
        <w:rPr>
          <w:rFonts w:cs="Times New Roman"/>
          <w:color w:val="000000"/>
        </w:rPr>
        <w:t>The role of mediation (currently ‘family dispute resolution’ in Australia) could be reconsidered as there is evidence that appropriately structured mediation can provide benefits where family violence is an issue (Kaspiew et al</w:t>
      </w:r>
      <w:r w:rsidR="00B7127F">
        <w:rPr>
          <w:rFonts w:cs="Times New Roman"/>
          <w:color w:val="000000"/>
        </w:rPr>
        <w:t>.,</w:t>
      </w:r>
      <w:r>
        <w:rPr>
          <w:rFonts w:cs="Times New Roman"/>
          <w:color w:val="000000"/>
        </w:rPr>
        <w:t xml:space="preserve"> 2012).</w:t>
      </w:r>
    </w:p>
    <w:p w14:paraId="74BB3656" w14:textId="77777777" w:rsidR="004B5400" w:rsidRDefault="004B5400" w:rsidP="00D70FF8">
      <w:pPr>
        <w:pStyle w:val="ListParagraph"/>
        <w:widowControl w:val="0"/>
        <w:autoSpaceDE w:val="0"/>
        <w:autoSpaceDN w:val="0"/>
        <w:adjustRightInd w:val="0"/>
        <w:spacing w:line="240" w:lineRule="auto"/>
        <w:jc w:val="both"/>
        <w:rPr>
          <w:rFonts w:cs="Times New Roman"/>
          <w:color w:val="000000"/>
        </w:rPr>
      </w:pPr>
    </w:p>
    <w:p w14:paraId="594A497B" w14:textId="19DBF618" w:rsidR="004B5400" w:rsidRPr="00E04787" w:rsidRDefault="004B5400" w:rsidP="00984C74">
      <w:pPr>
        <w:widowControl w:val="0"/>
        <w:autoSpaceDE w:val="0"/>
        <w:autoSpaceDN w:val="0"/>
        <w:adjustRightInd w:val="0"/>
        <w:spacing w:line="240" w:lineRule="auto"/>
        <w:ind w:firstLine="360"/>
        <w:jc w:val="both"/>
      </w:pPr>
      <w:r>
        <w:rPr>
          <w:rFonts w:cs="Times New Roman"/>
          <w:color w:val="000000"/>
        </w:rPr>
        <w:t xml:space="preserve">As we indicated at the outset, the time is ripe for the ALRC to consider this issue.  If </w:t>
      </w:r>
      <w:r w:rsidRPr="00BE67C6">
        <w:rPr>
          <w:rFonts w:cs="Times New Roman"/>
          <w:color w:val="000000"/>
        </w:rPr>
        <w:t>minded</w:t>
      </w:r>
      <w:r>
        <w:rPr>
          <w:rFonts w:cs="Times New Roman"/>
          <w:color w:val="000000"/>
        </w:rPr>
        <w:t xml:space="preserve"> to reform property law, the </w:t>
      </w:r>
      <w:r w:rsidRPr="00E04787">
        <w:rPr>
          <w:rFonts w:cs="Times New Roman"/>
          <w:color w:val="000000"/>
        </w:rPr>
        <w:t xml:space="preserve">ALRC may recommend wholesale reform or simply consider amendments to the existing framework. In either case, as far as the treatment of family violence goes, it is questionable whether there is much to be gained from looking to other jurisdictions.  Like Australia, England and Wales has a highly discretionary model. </w:t>
      </w:r>
      <w:r w:rsidRPr="00E04787">
        <w:t xml:space="preserve">The key criteria are set down in </w:t>
      </w:r>
      <w:r w:rsidRPr="00984C74">
        <w:t>Matrimonial Causes Act 1973</w:t>
      </w:r>
      <w:r w:rsidRPr="00E04787">
        <w:t xml:space="preserve"> s25, which includes eight non-hierarchal factors a court is to take into account, one being</w:t>
      </w:r>
      <w:r w:rsidRPr="00E04787">
        <w:rPr>
          <w:rFonts w:cs="Times New Roman"/>
          <w:color w:val="000000"/>
        </w:rPr>
        <w:t xml:space="preserve"> ‘the conduct of each of the parties, if that conduct is such that it would in the opinion of the court be inequitable to disregard it’.</w:t>
      </w:r>
      <w:r w:rsidRPr="00E04787">
        <w:rPr>
          <w:rStyle w:val="EndnoteReference"/>
          <w:rFonts w:cs="Times New Roman"/>
          <w:color w:val="000000"/>
        </w:rPr>
        <w:endnoteReference w:id="71"/>
      </w:r>
      <w:r w:rsidRPr="00E04787">
        <w:rPr>
          <w:rFonts w:cs="Times New Roman"/>
          <w:color w:val="000000"/>
        </w:rPr>
        <w:t xml:space="preserve"> To some extent this factor reflects the residual influence of fault in that jurisdiction, but in addition to other matters </w:t>
      </w:r>
      <w:r w:rsidR="004706E6">
        <w:rPr>
          <w:rFonts w:cs="Times New Roman"/>
          <w:color w:val="000000"/>
        </w:rPr>
        <w:t xml:space="preserve">it </w:t>
      </w:r>
      <w:r w:rsidRPr="00E04787">
        <w:rPr>
          <w:rFonts w:cs="Times New Roman"/>
          <w:color w:val="000000"/>
        </w:rPr>
        <w:t>does allow violence to be considered.  T</w:t>
      </w:r>
      <w:r w:rsidRPr="00E04787">
        <w:t>he question then becomes whether the violence was ‘inequitable to disregard’; case law indicates that only exceptionally severe forms of domestic abuse will qualify</w:t>
      </w:r>
      <w:r w:rsidR="006355FB">
        <w:t>—</w:t>
      </w:r>
      <w:r w:rsidRPr="00E04787">
        <w:t>for example, attempted murder, wounding and attempted rape.</w:t>
      </w:r>
      <w:r w:rsidRPr="00E04787">
        <w:rPr>
          <w:rStyle w:val="EndnoteReference"/>
        </w:rPr>
        <w:endnoteReference w:id="72"/>
      </w:r>
      <w:r w:rsidRPr="00E04787">
        <w:t xml:space="preserve"> Disconcertingly, ‘lesser’ forms of violence will be disregarded. Hence, in </w:t>
      </w:r>
      <w:r w:rsidRPr="00E04787">
        <w:rPr>
          <w:i/>
        </w:rPr>
        <w:t>S v S (Non-Matrimonial Property: Conduct)</w:t>
      </w:r>
      <w:r w:rsidRPr="00E04787">
        <w:t>,</w:t>
      </w:r>
      <w:r w:rsidRPr="00E04787">
        <w:rPr>
          <w:rStyle w:val="EndnoteReference"/>
        </w:rPr>
        <w:endnoteReference w:id="73"/>
      </w:r>
      <w:r w:rsidRPr="00E04787">
        <w:t xml:space="preserve"> despite convictions for assault occasioning actual bodily harm, the conduct was not construed as being sufficiently grave to be inequitable to disregard. Thus, ‘it is only in the gravest of cases - generally those in which the life of one party has been placed in jeopardy - that the courts have accepted that such conduct should influence the outcome of an application’</w:t>
      </w:r>
      <w:r w:rsidR="00B7127F">
        <w:t xml:space="preserve"> </w:t>
      </w:r>
      <w:r>
        <w:t>(Inglis</w:t>
      </w:r>
      <w:r w:rsidR="00B7127F">
        <w:t>,</w:t>
      </w:r>
      <w:r>
        <w:t xml:space="preserve"> 2003:</w:t>
      </w:r>
      <w:r w:rsidR="00B7127F">
        <w:t xml:space="preserve"> </w:t>
      </w:r>
      <w:r>
        <w:t>185).</w:t>
      </w:r>
      <w:r w:rsidRPr="00E04787">
        <w:t xml:space="preserve"> This problematically limits the application of the ‘conduct’ factor </w:t>
      </w:r>
      <w:r w:rsidRPr="00E04787">
        <w:lastRenderedPageBreak/>
        <w:t>and in doing so the courts ‘have failed to reflect society’s increasing condemnation of such behaviour’</w:t>
      </w:r>
      <w:r>
        <w:t xml:space="preserve"> (Inglis</w:t>
      </w:r>
      <w:r w:rsidR="00B7127F">
        <w:t>,</w:t>
      </w:r>
      <w:r>
        <w:t xml:space="preserve"> 2003:</w:t>
      </w:r>
      <w:r w:rsidR="00B7127F">
        <w:t xml:space="preserve"> </w:t>
      </w:r>
      <w:r>
        <w:t>185)</w:t>
      </w:r>
      <w:r w:rsidRPr="00E04787">
        <w:t>.</w:t>
      </w:r>
      <w:r>
        <w:t xml:space="preserve"> </w:t>
      </w:r>
      <w:r w:rsidRPr="00E04787">
        <w:t xml:space="preserve">Indeed, arguably it normalizes a certain amount of violence in a relationship. It is unlikely the Australian legislature would want to walk down that road. </w:t>
      </w:r>
    </w:p>
    <w:p w14:paraId="11F1E01C" w14:textId="77777777" w:rsidR="004B5400" w:rsidRPr="00E04787" w:rsidRDefault="004B5400" w:rsidP="00045356">
      <w:pPr>
        <w:widowControl w:val="0"/>
        <w:autoSpaceDE w:val="0"/>
        <w:autoSpaceDN w:val="0"/>
        <w:adjustRightInd w:val="0"/>
        <w:spacing w:line="240" w:lineRule="auto"/>
        <w:jc w:val="both"/>
        <w:rPr>
          <w:rFonts w:cs="Times New Roman"/>
          <w:color w:val="000000"/>
        </w:rPr>
      </w:pPr>
    </w:p>
    <w:p w14:paraId="072F3F48" w14:textId="692E675B" w:rsidR="004B5400" w:rsidRPr="00764C97" w:rsidRDefault="004B5400" w:rsidP="00984C74">
      <w:pPr>
        <w:widowControl w:val="0"/>
        <w:autoSpaceDE w:val="0"/>
        <w:autoSpaceDN w:val="0"/>
        <w:adjustRightInd w:val="0"/>
        <w:spacing w:line="240" w:lineRule="auto"/>
        <w:ind w:firstLine="360"/>
        <w:jc w:val="both"/>
        <w:rPr>
          <w:rFonts w:cs="Times New Roman"/>
          <w:color w:val="000000"/>
        </w:rPr>
      </w:pPr>
      <w:r w:rsidRPr="00E04787">
        <w:rPr>
          <w:rFonts w:cs="Times New Roman"/>
          <w:color w:val="000000"/>
        </w:rPr>
        <w:t xml:space="preserve">In Scotland, where there is more direction on how property matters should be decided, the sole opening for consideration of violence is s11(7) of the </w:t>
      </w:r>
      <w:r w:rsidRPr="00984C74">
        <w:rPr>
          <w:rFonts w:cs="Times New Roman"/>
          <w:color w:val="000000"/>
        </w:rPr>
        <w:t>Family Law (Scotland) Act 1985</w:t>
      </w:r>
      <w:r w:rsidRPr="00F511ED">
        <w:rPr>
          <w:rFonts w:cs="Times New Roman"/>
          <w:i/>
          <w:color w:val="000000"/>
        </w:rPr>
        <w:t>.</w:t>
      </w:r>
      <w:r w:rsidRPr="00E04787">
        <w:rPr>
          <w:rFonts w:cs="Times New Roman"/>
          <w:color w:val="000000"/>
        </w:rPr>
        <w:t xml:space="preserve"> This only permits conduct to be considered if it has ‘adversely affected the financial resources which are relevant to the decision’ or ‘it would be manifestly inequitable to leave the conduct out of account’</w:t>
      </w:r>
      <w:r w:rsidRPr="00273379">
        <w:rPr>
          <w:rFonts w:cs="Times New Roman"/>
          <w:color w:val="000000"/>
        </w:rPr>
        <w:t xml:space="preserve">. The first of those provisions would have limited applicability given its direct tie to the value of the assets and the second is akin to the UK fault provision.  </w:t>
      </w:r>
      <w:r w:rsidRPr="00273379">
        <w:t>Fault is also the only basis</w:t>
      </w:r>
      <w:r w:rsidRPr="00764C97">
        <w:t xml:space="preserve"> for considering violence in property matters in the US</w:t>
      </w:r>
      <w:r w:rsidRPr="00764C97">
        <w:rPr>
          <w:rStyle w:val="EndnoteReference"/>
        </w:rPr>
        <w:endnoteReference w:id="74"/>
      </w:r>
      <w:r w:rsidRPr="00764C97">
        <w:t xml:space="preserve"> and civil</w:t>
      </w:r>
      <w:r w:rsidR="008D446D">
        <w:t xml:space="preserve"> law</w:t>
      </w:r>
      <w:r w:rsidRPr="00764C97">
        <w:t xml:space="preserve"> jurisdictions</w:t>
      </w:r>
      <w:r w:rsidRPr="00E04787">
        <w:t xml:space="preserve"> rely on tort law and do not see family violence as a property issue, though violence might be relevant to some of the ancillary remedies. Similarly</w:t>
      </w:r>
      <w:r w:rsidR="00F511ED">
        <w:t>,</w:t>
      </w:r>
      <w:r w:rsidRPr="00E04787">
        <w:t xml:space="preserve"> in Canada, it is only the consequences of violence that can be factored in, through recognition of the impact of violence on a spouse’s future employability</w:t>
      </w:r>
      <w:r>
        <w:t xml:space="preserve"> (Kelly</w:t>
      </w:r>
      <w:r w:rsidR="00F511ED">
        <w:t>,</w:t>
      </w:r>
      <w:r>
        <w:t xml:space="preserve"> 2009)</w:t>
      </w:r>
      <w:r w:rsidRPr="00E04787">
        <w:t>.</w:t>
      </w:r>
    </w:p>
    <w:p w14:paraId="3A9B6DF8" w14:textId="77777777" w:rsidR="004B5400" w:rsidRDefault="004B5400" w:rsidP="00045356">
      <w:pPr>
        <w:widowControl w:val="0"/>
        <w:autoSpaceDE w:val="0"/>
        <w:autoSpaceDN w:val="0"/>
        <w:adjustRightInd w:val="0"/>
        <w:spacing w:line="240" w:lineRule="auto"/>
        <w:jc w:val="both"/>
        <w:rPr>
          <w:color w:val="000000"/>
        </w:rPr>
      </w:pPr>
      <w:r>
        <w:rPr>
          <w:rFonts w:cs="Times New Roman"/>
          <w:color w:val="000000"/>
          <w:highlight w:val="yellow"/>
        </w:rPr>
        <w:t xml:space="preserve">   </w:t>
      </w:r>
      <w:r w:rsidRPr="00E04787">
        <w:rPr>
          <w:rFonts w:cs="Times New Roman"/>
          <w:color w:val="000000"/>
          <w:highlight w:val="yellow"/>
        </w:rPr>
        <w:t xml:space="preserve"> </w:t>
      </w:r>
      <w:r>
        <w:rPr>
          <w:rFonts w:cs="Times New Roman"/>
          <w:color w:val="000000"/>
        </w:rPr>
        <w:t xml:space="preserve"> </w:t>
      </w:r>
    </w:p>
    <w:p w14:paraId="77D6A180" w14:textId="0DBBBBF8" w:rsidR="004B5400" w:rsidRPr="00D133AC" w:rsidRDefault="004B5400" w:rsidP="00984C74">
      <w:pPr>
        <w:widowControl w:val="0"/>
        <w:autoSpaceDE w:val="0"/>
        <w:autoSpaceDN w:val="0"/>
        <w:adjustRightInd w:val="0"/>
        <w:spacing w:line="240" w:lineRule="auto"/>
        <w:ind w:firstLine="360"/>
        <w:jc w:val="both"/>
        <w:rPr>
          <w:rFonts w:cs="Times New Roman"/>
          <w:color w:val="000000"/>
        </w:rPr>
      </w:pPr>
      <w:r>
        <w:rPr>
          <w:rFonts w:cs="Times New Roman"/>
          <w:color w:val="000000"/>
        </w:rPr>
        <w:t>Thus, i</w:t>
      </w:r>
      <w:r w:rsidRPr="00D133AC">
        <w:rPr>
          <w:rFonts w:cs="Times New Roman"/>
          <w:color w:val="000000"/>
        </w:rPr>
        <w:t xml:space="preserve">f the ALRC </w:t>
      </w:r>
      <w:r>
        <w:rPr>
          <w:rFonts w:cs="Times New Roman"/>
          <w:color w:val="000000"/>
        </w:rPr>
        <w:t>recommends</w:t>
      </w:r>
      <w:r w:rsidRPr="00D133AC">
        <w:rPr>
          <w:rFonts w:cs="Times New Roman"/>
          <w:color w:val="000000"/>
        </w:rPr>
        <w:t xml:space="preserve"> legislative reform directly address</w:t>
      </w:r>
      <w:r>
        <w:rPr>
          <w:rFonts w:cs="Times New Roman"/>
          <w:color w:val="000000"/>
        </w:rPr>
        <w:t>ing</w:t>
      </w:r>
      <w:r w:rsidRPr="00D133AC">
        <w:rPr>
          <w:rFonts w:cs="Times New Roman"/>
          <w:color w:val="000000"/>
        </w:rPr>
        <w:t xml:space="preserve"> violence and family property, whether in the context of wholesale, or more modest property reforms, it will be in new territory.  We suggest this requires </w:t>
      </w:r>
      <w:r w:rsidR="006355FB" w:rsidRPr="00D133AC">
        <w:rPr>
          <w:rFonts w:cs="Times New Roman"/>
          <w:color w:val="000000"/>
        </w:rPr>
        <w:t>n</w:t>
      </w:r>
      <w:r w:rsidR="006355FB">
        <w:rPr>
          <w:rFonts w:cs="Times New Roman"/>
          <w:color w:val="000000"/>
        </w:rPr>
        <w:t>ovel</w:t>
      </w:r>
      <w:r w:rsidR="006355FB" w:rsidRPr="00D133AC">
        <w:rPr>
          <w:rFonts w:cs="Times New Roman"/>
          <w:color w:val="000000"/>
        </w:rPr>
        <w:t xml:space="preserve"> </w:t>
      </w:r>
      <w:r w:rsidRPr="00D133AC">
        <w:rPr>
          <w:rFonts w:cs="Times New Roman"/>
          <w:color w:val="000000"/>
        </w:rPr>
        <w:t xml:space="preserve">ways of thinking about these intertwined issues.  </w:t>
      </w:r>
      <w:r>
        <w:rPr>
          <w:rFonts w:cs="Times New Roman"/>
          <w:color w:val="000000"/>
        </w:rPr>
        <w:t>If the current framework remains, t</w:t>
      </w:r>
      <w:r w:rsidRPr="00D133AC">
        <w:rPr>
          <w:rFonts w:cs="Times New Roman"/>
          <w:color w:val="000000"/>
        </w:rPr>
        <w:t xml:space="preserve">here is no reason a provision requiring the court to take violence into account cannot specify a range of relevant considerations. Existing considerations such as future needs impacts and impact on contributions could be included. But a </w:t>
      </w:r>
      <w:r>
        <w:rPr>
          <w:rFonts w:cs="Times New Roman"/>
          <w:color w:val="000000"/>
        </w:rPr>
        <w:t xml:space="preserve">specific </w:t>
      </w:r>
      <w:r w:rsidRPr="00D133AC">
        <w:rPr>
          <w:rFonts w:cs="Times New Roman"/>
          <w:color w:val="000000"/>
        </w:rPr>
        <w:t>provision could also identify family violence as a ‘negative’ contribution,</w:t>
      </w:r>
      <w:r w:rsidRPr="00D133AC">
        <w:rPr>
          <w:color w:val="000000"/>
          <w:vertAlign w:val="superscript"/>
        </w:rPr>
        <w:endnoteReference w:id="75"/>
      </w:r>
      <w:r w:rsidRPr="00D133AC">
        <w:rPr>
          <w:rFonts w:cs="Times New Roman"/>
          <w:color w:val="000000"/>
        </w:rPr>
        <w:t xml:space="preserve"> in the context of contributions to both family wealth and the welfare of the family.  While the Australian Full Court has been wary about accepting compensation as a general goal of property proceedings,</w:t>
      </w:r>
      <w:r w:rsidRPr="00D133AC">
        <w:rPr>
          <w:color w:val="000000"/>
          <w:vertAlign w:val="superscript"/>
        </w:rPr>
        <w:endnoteReference w:id="76"/>
      </w:r>
      <w:r w:rsidRPr="00D133AC">
        <w:rPr>
          <w:rFonts w:cs="Times New Roman"/>
          <w:color w:val="000000"/>
        </w:rPr>
        <w:t xml:space="preserve"> this does not mean a principle of compensation cannot be explicitly imported in respect of violence</w:t>
      </w:r>
      <w:r w:rsidRPr="00273379">
        <w:rPr>
          <w:rFonts w:cs="Times New Roman"/>
          <w:color w:val="000000"/>
        </w:rPr>
        <w:t>. At one level this could be to recognize an assault to save separate expensive civil proceedings, but that would not need to be the limit of recognition of compensation.</w:t>
      </w:r>
      <w:r w:rsidRPr="00D133AC">
        <w:rPr>
          <w:rFonts w:cs="Times New Roman"/>
          <w:color w:val="000000"/>
        </w:rPr>
        <w:t xml:space="preserve"> </w:t>
      </w:r>
    </w:p>
    <w:p w14:paraId="7FFEA69B" w14:textId="77777777" w:rsidR="004B5400" w:rsidRPr="00D133AC" w:rsidRDefault="004B5400" w:rsidP="00045356">
      <w:pPr>
        <w:widowControl w:val="0"/>
        <w:autoSpaceDE w:val="0"/>
        <w:autoSpaceDN w:val="0"/>
        <w:adjustRightInd w:val="0"/>
        <w:spacing w:line="240" w:lineRule="auto"/>
        <w:jc w:val="both"/>
        <w:rPr>
          <w:rFonts w:cs="Times New Roman"/>
          <w:color w:val="000000"/>
        </w:rPr>
      </w:pPr>
    </w:p>
    <w:p w14:paraId="674A72EE" w14:textId="5B6716AF" w:rsidR="00045356" w:rsidRPr="00D133AC" w:rsidRDefault="004B5400" w:rsidP="00984C74">
      <w:pPr>
        <w:widowControl w:val="0"/>
        <w:autoSpaceDE w:val="0"/>
        <w:autoSpaceDN w:val="0"/>
        <w:adjustRightInd w:val="0"/>
        <w:spacing w:line="240" w:lineRule="auto"/>
        <w:ind w:firstLine="360"/>
        <w:jc w:val="both"/>
        <w:rPr>
          <w:rFonts w:cs="Times New Roman"/>
          <w:color w:val="000000"/>
        </w:rPr>
      </w:pPr>
      <w:r w:rsidRPr="00D133AC">
        <w:rPr>
          <w:rFonts w:cs="Times New Roman"/>
          <w:color w:val="000000"/>
        </w:rPr>
        <w:t>If the ALRC recommends more fundamental reform</w:t>
      </w:r>
      <w:r>
        <w:rPr>
          <w:rFonts w:cs="Times New Roman"/>
          <w:color w:val="000000"/>
        </w:rPr>
        <w:t xml:space="preserve"> of property</w:t>
      </w:r>
      <w:r w:rsidRPr="00D133AC">
        <w:rPr>
          <w:rFonts w:cs="Times New Roman"/>
          <w:color w:val="000000"/>
        </w:rPr>
        <w:t xml:space="preserve">, then this provides an opportunity to reconsider, and make explicit, the principles underpinning family property law, in the same way that Part VII dealing with parenting disputes does.  While the FLA does not specifically state </w:t>
      </w:r>
      <w:r w:rsidR="006355FB">
        <w:rPr>
          <w:rFonts w:cs="Times New Roman"/>
          <w:color w:val="000000"/>
        </w:rPr>
        <w:t xml:space="preserve">that </w:t>
      </w:r>
      <w:r w:rsidRPr="00D133AC">
        <w:rPr>
          <w:rFonts w:cs="Times New Roman"/>
          <w:color w:val="000000"/>
        </w:rPr>
        <w:t>its ‘future needs’ component of a property settlement has the purpose of compensating relationship generated economic disadvantage, this is precisely what it does, and what it is intended to do.</w:t>
      </w:r>
      <w:r w:rsidRPr="00D133AC">
        <w:rPr>
          <w:color w:val="000000"/>
          <w:vertAlign w:val="superscript"/>
        </w:rPr>
        <w:endnoteReference w:id="77"/>
      </w:r>
      <w:r>
        <w:rPr>
          <w:rFonts w:cs="Times New Roman"/>
          <w:color w:val="000000"/>
        </w:rPr>
        <w:t xml:space="preserve"> </w:t>
      </w:r>
      <w:r w:rsidRPr="00D133AC">
        <w:rPr>
          <w:rFonts w:cs="Times New Roman"/>
          <w:color w:val="000000"/>
        </w:rPr>
        <w:t>One option might be an underlying principle of compensating relationship generated disadvantage</w:t>
      </w:r>
      <w:r>
        <w:rPr>
          <w:rFonts w:cs="Times New Roman"/>
          <w:color w:val="000000"/>
        </w:rPr>
        <w:t xml:space="preserve"> (not solely economic, as for example in Scotland</w:t>
      </w:r>
      <w:r>
        <w:rPr>
          <w:rStyle w:val="EndnoteReference"/>
          <w:rFonts w:cs="Times New Roman"/>
          <w:color w:val="000000"/>
        </w:rPr>
        <w:endnoteReference w:id="78"/>
      </w:r>
      <w:r>
        <w:rPr>
          <w:rFonts w:cs="Times New Roman"/>
          <w:color w:val="000000"/>
        </w:rPr>
        <w:t>)</w:t>
      </w:r>
      <w:r w:rsidR="00045356" w:rsidRPr="00D133AC">
        <w:rPr>
          <w:rFonts w:cs="Times New Roman"/>
          <w:color w:val="000000"/>
        </w:rPr>
        <w:t xml:space="preserve">, which could inform any specific provision on family violence (as well as provisions dealing with more directly financial matters) allowing for a broader consideration of the harms victims of violence suffer. Of course, this would not have to be in place of any direct provisions allowing for victims of violence to claim some compensatory payment as part of a property settlement.  As noted above, there could be a variety of ways family violence is </w:t>
      </w:r>
      <w:r w:rsidR="00045356">
        <w:rPr>
          <w:rFonts w:cs="Times New Roman"/>
          <w:color w:val="000000"/>
        </w:rPr>
        <w:t>considered</w:t>
      </w:r>
      <w:r w:rsidR="00045356" w:rsidRPr="00D133AC">
        <w:rPr>
          <w:rFonts w:cs="Times New Roman"/>
          <w:color w:val="000000"/>
        </w:rPr>
        <w:t>, just as is the case in the Australian provisions on parenting disputes.</w:t>
      </w:r>
    </w:p>
    <w:p w14:paraId="2E280095" w14:textId="77777777" w:rsidR="00045356" w:rsidRPr="00D133AC" w:rsidRDefault="00045356" w:rsidP="00045356">
      <w:pPr>
        <w:widowControl w:val="0"/>
        <w:autoSpaceDE w:val="0"/>
        <w:autoSpaceDN w:val="0"/>
        <w:adjustRightInd w:val="0"/>
        <w:spacing w:line="240" w:lineRule="auto"/>
        <w:jc w:val="both"/>
        <w:rPr>
          <w:rFonts w:cs="Times New Roman"/>
          <w:color w:val="000000"/>
        </w:rPr>
      </w:pPr>
    </w:p>
    <w:p w14:paraId="4FAB3217" w14:textId="2C60788B" w:rsidR="00045356" w:rsidRPr="00D133AC" w:rsidRDefault="00045356" w:rsidP="00021FF5">
      <w:pPr>
        <w:widowControl w:val="0"/>
        <w:autoSpaceDE w:val="0"/>
        <w:autoSpaceDN w:val="0"/>
        <w:adjustRightInd w:val="0"/>
        <w:spacing w:line="240" w:lineRule="auto"/>
        <w:ind w:firstLine="360"/>
        <w:jc w:val="both"/>
        <w:rPr>
          <w:rFonts w:cs="Times New Roman"/>
          <w:color w:val="000000"/>
        </w:rPr>
      </w:pPr>
      <w:r w:rsidRPr="00D133AC">
        <w:rPr>
          <w:rFonts w:cs="Times New Roman"/>
          <w:color w:val="000000"/>
        </w:rPr>
        <w:lastRenderedPageBreak/>
        <w:t>There may understandably be some caution about reverting to what seems a fault</w:t>
      </w:r>
      <w:r w:rsidR="00F977DA">
        <w:rPr>
          <w:rFonts w:cs="Times New Roman"/>
          <w:color w:val="000000"/>
        </w:rPr>
        <w:t>-</w:t>
      </w:r>
      <w:r w:rsidR="00FA0C3F">
        <w:rPr>
          <w:rFonts w:cs="Times New Roman"/>
          <w:color w:val="000000"/>
        </w:rPr>
        <w:t>based paradigm.</w:t>
      </w:r>
      <w:r w:rsidRPr="00D133AC">
        <w:rPr>
          <w:rFonts w:cs="Times New Roman"/>
          <w:color w:val="000000"/>
        </w:rPr>
        <w:t xml:space="preserve"> </w:t>
      </w:r>
      <w:r w:rsidR="00FA0C3F">
        <w:rPr>
          <w:rFonts w:cs="Times New Roman"/>
          <w:color w:val="000000"/>
        </w:rPr>
        <w:t>However,</w:t>
      </w:r>
      <w:r w:rsidRPr="00D133AC">
        <w:rPr>
          <w:rFonts w:cs="Times New Roman"/>
          <w:color w:val="000000"/>
        </w:rPr>
        <w:t xml:space="preserve"> careful drafting can allay this concern, because the issue at hand is </w:t>
      </w:r>
      <w:r w:rsidR="00F977DA">
        <w:rPr>
          <w:rFonts w:cs="Times New Roman"/>
          <w:color w:val="000000"/>
        </w:rPr>
        <w:t>neither</w:t>
      </w:r>
      <w:r w:rsidR="00F977DA" w:rsidRPr="00D133AC">
        <w:rPr>
          <w:rFonts w:cs="Times New Roman"/>
          <w:color w:val="000000"/>
        </w:rPr>
        <w:t xml:space="preserve"> </w:t>
      </w:r>
      <w:r w:rsidRPr="00D133AC">
        <w:rPr>
          <w:rFonts w:cs="Times New Roman"/>
          <w:color w:val="000000"/>
        </w:rPr>
        <w:t xml:space="preserve">what caused the relationship breakdown </w:t>
      </w:r>
      <w:r w:rsidR="00F977DA">
        <w:rPr>
          <w:rFonts w:cs="Times New Roman"/>
          <w:color w:val="000000"/>
        </w:rPr>
        <w:t>n</w:t>
      </w:r>
      <w:r w:rsidRPr="00D133AC">
        <w:rPr>
          <w:rFonts w:cs="Times New Roman"/>
          <w:color w:val="000000"/>
        </w:rPr>
        <w:t xml:space="preserve">or some notion of punishment. Family property law is, at its heart, remedial.  It seeks to avoid the inequities that would arise in certain interpersonal relationships if the normal rules of property prevailed.  Those </w:t>
      </w:r>
      <w:r>
        <w:rPr>
          <w:rFonts w:cs="Times New Roman"/>
          <w:color w:val="000000"/>
        </w:rPr>
        <w:t xml:space="preserve">financial </w:t>
      </w:r>
      <w:r w:rsidRPr="00D133AC">
        <w:rPr>
          <w:rFonts w:cs="Times New Roman"/>
          <w:color w:val="000000"/>
        </w:rPr>
        <w:t>inequities arise out of the same dynamics and power imbalances that make women so vulnerable to violence within their family</w:t>
      </w:r>
      <w:r>
        <w:rPr>
          <w:rFonts w:cs="Times New Roman"/>
          <w:color w:val="000000"/>
        </w:rPr>
        <w:t>; they are not distinct, but rather intertwined issues</w:t>
      </w:r>
      <w:r w:rsidRPr="00D133AC">
        <w:rPr>
          <w:rFonts w:cs="Times New Roman"/>
          <w:color w:val="000000"/>
        </w:rPr>
        <w:t xml:space="preserve">.  Any provisions would thus </w:t>
      </w:r>
      <w:r w:rsidR="007D6A8D">
        <w:rPr>
          <w:rFonts w:cs="Times New Roman"/>
          <w:color w:val="000000"/>
        </w:rPr>
        <w:t>simply</w:t>
      </w:r>
      <w:r w:rsidR="007D6A8D" w:rsidRPr="00D133AC">
        <w:rPr>
          <w:rFonts w:cs="Times New Roman"/>
          <w:color w:val="000000"/>
        </w:rPr>
        <w:t xml:space="preserve"> </w:t>
      </w:r>
      <w:r w:rsidRPr="00D133AC">
        <w:rPr>
          <w:rFonts w:cs="Times New Roman"/>
          <w:color w:val="000000"/>
        </w:rPr>
        <w:t>provide statutory recognition of, and recompense for, this.</w:t>
      </w:r>
    </w:p>
    <w:p w14:paraId="75AD6DA6" w14:textId="77777777" w:rsidR="00045356" w:rsidRPr="00D133AC" w:rsidRDefault="00045356" w:rsidP="00045356">
      <w:pPr>
        <w:widowControl w:val="0"/>
        <w:autoSpaceDE w:val="0"/>
        <w:autoSpaceDN w:val="0"/>
        <w:adjustRightInd w:val="0"/>
        <w:spacing w:line="240" w:lineRule="auto"/>
        <w:jc w:val="both"/>
        <w:rPr>
          <w:rFonts w:cs="Times New Roman"/>
          <w:color w:val="000000"/>
        </w:rPr>
      </w:pPr>
    </w:p>
    <w:p w14:paraId="2D812AC6" w14:textId="1BFE9225" w:rsidR="00E55990" w:rsidRDefault="00045356" w:rsidP="00021FF5">
      <w:pPr>
        <w:widowControl w:val="0"/>
        <w:autoSpaceDE w:val="0"/>
        <w:autoSpaceDN w:val="0"/>
        <w:adjustRightInd w:val="0"/>
        <w:spacing w:line="240" w:lineRule="auto"/>
        <w:ind w:firstLine="360"/>
        <w:jc w:val="both"/>
        <w:rPr>
          <w:rFonts w:cs="Times New Roman"/>
          <w:color w:val="000000"/>
        </w:rPr>
      </w:pPr>
      <w:r w:rsidRPr="00D133AC">
        <w:rPr>
          <w:rFonts w:cs="Times New Roman"/>
          <w:color w:val="000000"/>
        </w:rPr>
        <w:t>Whatever legislative route is taken, the issue of proof of violence remain</w:t>
      </w:r>
      <w:r>
        <w:rPr>
          <w:rFonts w:cs="Times New Roman"/>
          <w:color w:val="000000"/>
        </w:rPr>
        <w:t>s</w:t>
      </w:r>
      <w:r w:rsidRPr="00D133AC">
        <w:rPr>
          <w:rFonts w:cs="Times New Roman"/>
          <w:color w:val="000000"/>
        </w:rPr>
        <w:t xml:space="preserve"> problematic. </w:t>
      </w:r>
      <w:r>
        <w:rPr>
          <w:rFonts w:cs="Times New Roman"/>
        </w:rPr>
        <w:t>And while</w:t>
      </w:r>
      <w:r w:rsidRPr="00D133AC">
        <w:rPr>
          <w:rFonts w:cs="Times New Roman"/>
        </w:rPr>
        <w:t xml:space="preserve"> law reform and professional training are required for change, </w:t>
      </w:r>
      <w:r>
        <w:rPr>
          <w:rFonts w:cs="Times New Roman"/>
        </w:rPr>
        <w:t>they are</w:t>
      </w:r>
      <w:r w:rsidRPr="00D133AC">
        <w:rPr>
          <w:rFonts w:cs="Times New Roman"/>
        </w:rPr>
        <w:t xml:space="preserve"> not sufficient.  Changing the </w:t>
      </w:r>
      <w:r w:rsidRPr="007D6A8D">
        <w:rPr>
          <w:rFonts w:cs="Times New Roman"/>
          <w:i/>
        </w:rPr>
        <w:t>Family Law Act</w:t>
      </w:r>
      <w:r w:rsidRPr="00D133AC">
        <w:rPr>
          <w:rFonts w:cs="Times New Roman"/>
          <w:i/>
        </w:rPr>
        <w:t>,</w:t>
      </w:r>
      <w:r w:rsidRPr="00D133AC">
        <w:rPr>
          <w:rFonts w:cs="Times New Roman"/>
        </w:rPr>
        <w:t xml:space="preserve"> even if accompanied by increased understanding of the manifestations, dynamics and effects of domestic violence, does not address the underlying systemic inequities facing victims of violence in property matters. </w:t>
      </w:r>
      <w:r w:rsidRPr="00D133AC">
        <w:rPr>
          <w:rFonts w:cs="Times New Roman"/>
          <w:color w:val="000000"/>
        </w:rPr>
        <w:t xml:space="preserve">The existence of unwritten gendered subtexts limits the ability of effectuating change simply through rewording substantive law. However, these are not reasons for </w:t>
      </w:r>
      <w:r>
        <w:rPr>
          <w:rFonts w:cs="Times New Roman"/>
          <w:color w:val="000000"/>
        </w:rPr>
        <w:t xml:space="preserve">not </w:t>
      </w:r>
      <w:r w:rsidRPr="00D133AC">
        <w:rPr>
          <w:rFonts w:cs="Times New Roman"/>
          <w:color w:val="000000"/>
        </w:rPr>
        <w:t>providing the best possible solutions available for victims of violence</w:t>
      </w:r>
      <w:r w:rsidR="00F977DA">
        <w:rPr>
          <w:rFonts w:cs="Times New Roman"/>
          <w:color w:val="000000"/>
        </w:rPr>
        <w:t xml:space="preserve"> – they are simply caveats</w:t>
      </w:r>
      <w:r w:rsidRPr="00D133AC">
        <w:rPr>
          <w:rFonts w:cs="Times New Roman"/>
          <w:color w:val="000000"/>
        </w:rPr>
        <w:t>.</w:t>
      </w:r>
    </w:p>
    <w:p w14:paraId="309C9E1B" w14:textId="03D4A58A" w:rsidR="00526169" w:rsidRDefault="00526169" w:rsidP="00045356">
      <w:pPr>
        <w:widowControl w:val="0"/>
        <w:autoSpaceDE w:val="0"/>
        <w:autoSpaceDN w:val="0"/>
        <w:adjustRightInd w:val="0"/>
        <w:spacing w:line="240" w:lineRule="auto"/>
        <w:jc w:val="both"/>
        <w:rPr>
          <w:rFonts w:cs="Times New Roman"/>
          <w:color w:val="000000"/>
        </w:rPr>
      </w:pPr>
    </w:p>
    <w:p w14:paraId="14A68A23" w14:textId="77777777" w:rsidR="000460E6" w:rsidRDefault="000460E6" w:rsidP="00956607">
      <w:pPr>
        <w:widowControl w:val="0"/>
        <w:autoSpaceDE w:val="0"/>
        <w:autoSpaceDN w:val="0"/>
        <w:adjustRightInd w:val="0"/>
        <w:spacing w:line="240" w:lineRule="auto"/>
        <w:jc w:val="center"/>
        <w:rPr>
          <w:rFonts w:cs="Times New Roman"/>
        </w:rPr>
      </w:pPr>
    </w:p>
    <w:p w14:paraId="540E2785" w14:textId="77777777" w:rsidR="000460E6" w:rsidRDefault="000460E6" w:rsidP="00956607">
      <w:pPr>
        <w:widowControl w:val="0"/>
        <w:autoSpaceDE w:val="0"/>
        <w:autoSpaceDN w:val="0"/>
        <w:adjustRightInd w:val="0"/>
        <w:spacing w:line="240" w:lineRule="auto"/>
        <w:jc w:val="center"/>
        <w:rPr>
          <w:rFonts w:cs="Times New Roman"/>
        </w:rPr>
      </w:pPr>
    </w:p>
    <w:p w14:paraId="0B33B518" w14:textId="19642CA3" w:rsidR="00956607" w:rsidRDefault="00956607" w:rsidP="00956607">
      <w:pPr>
        <w:widowControl w:val="0"/>
        <w:autoSpaceDE w:val="0"/>
        <w:autoSpaceDN w:val="0"/>
        <w:adjustRightInd w:val="0"/>
        <w:spacing w:line="240" w:lineRule="auto"/>
        <w:jc w:val="center"/>
        <w:rPr>
          <w:rFonts w:cs="Times New Roman"/>
        </w:rPr>
      </w:pPr>
      <w:r>
        <w:rPr>
          <w:rFonts w:cs="Times New Roman"/>
        </w:rPr>
        <w:t>REFERENCES</w:t>
      </w:r>
    </w:p>
    <w:p w14:paraId="33112D53" w14:textId="77777777" w:rsidR="00F511ED" w:rsidRDefault="00F511ED" w:rsidP="00956607">
      <w:pPr>
        <w:widowControl w:val="0"/>
        <w:autoSpaceDE w:val="0"/>
        <w:autoSpaceDN w:val="0"/>
        <w:adjustRightInd w:val="0"/>
        <w:spacing w:line="240" w:lineRule="auto"/>
        <w:jc w:val="center"/>
        <w:rPr>
          <w:rFonts w:cs="Times New Roman"/>
        </w:rPr>
      </w:pPr>
    </w:p>
    <w:p w14:paraId="457E8389" w14:textId="7B092A3E" w:rsidR="00956607" w:rsidRPr="001604B9" w:rsidRDefault="00956607" w:rsidP="00956607">
      <w:pPr>
        <w:pStyle w:val="EndnoteText"/>
        <w:spacing w:line="240" w:lineRule="auto"/>
        <w:rPr>
          <w:sz w:val="24"/>
          <w:szCs w:val="24"/>
        </w:rPr>
      </w:pPr>
      <w:r w:rsidRPr="003E1068">
        <w:rPr>
          <w:sz w:val="24"/>
          <w:szCs w:val="24"/>
        </w:rPr>
        <w:t>A</w:t>
      </w:r>
      <w:r w:rsidR="002752AA">
        <w:rPr>
          <w:sz w:val="24"/>
          <w:szCs w:val="24"/>
        </w:rPr>
        <w:t xml:space="preserve">ustralian </w:t>
      </w:r>
      <w:r w:rsidRPr="003E1068">
        <w:rPr>
          <w:sz w:val="24"/>
          <w:szCs w:val="24"/>
        </w:rPr>
        <w:t>B</w:t>
      </w:r>
      <w:r w:rsidR="002752AA">
        <w:rPr>
          <w:sz w:val="24"/>
          <w:szCs w:val="24"/>
        </w:rPr>
        <w:t xml:space="preserve">ureau of </w:t>
      </w:r>
      <w:r w:rsidRPr="003E1068">
        <w:rPr>
          <w:sz w:val="24"/>
          <w:szCs w:val="24"/>
        </w:rPr>
        <w:t>S</w:t>
      </w:r>
      <w:r w:rsidR="002752AA">
        <w:rPr>
          <w:sz w:val="24"/>
          <w:szCs w:val="24"/>
        </w:rPr>
        <w:t>tatistics</w:t>
      </w:r>
      <w:r w:rsidR="00F511ED">
        <w:rPr>
          <w:sz w:val="24"/>
          <w:szCs w:val="24"/>
        </w:rPr>
        <w:t>,</w:t>
      </w:r>
      <w:r w:rsidRPr="003E1068">
        <w:rPr>
          <w:sz w:val="24"/>
          <w:szCs w:val="24"/>
        </w:rPr>
        <w:t xml:space="preserve"> (2015) </w:t>
      </w:r>
      <w:r w:rsidRPr="00D31E3B">
        <w:rPr>
          <w:i/>
          <w:sz w:val="24"/>
          <w:szCs w:val="24"/>
        </w:rPr>
        <w:t>Characteristics of Employment Australia</w:t>
      </w:r>
      <w:r w:rsidRPr="003E1068">
        <w:rPr>
          <w:sz w:val="24"/>
          <w:szCs w:val="24"/>
        </w:rPr>
        <w:t xml:space="preserve">, </w:t>
      </w:r>
      <w:r w:rsidRPr="00D31E3B">
        <w:rPr>
          <w:i/>
          <w:sz w:val="24"/>
          <w:szCs w:val="24"/>
        </w:rPr>
        <w:t>August 2014</w:t>
      </w:r>
      <w:r w:rsidRPr="003E1068">
        <w:rPr>
          <w:sz w:val="24"/>
          <w:szCs w:val="24"/>
        </w:rPr>
        <w:t xml:space="preserve">, </w:t>
      </w:r>
      <w:r w:rsidR="00D31E3B">
        <w:rPr>
          <w:sz w:val="24"/>
          <w:szCs w:val="24"/>
        </w:rPr>
        <w:t>C</w:t>
      </w:r>
      <w:r w:rsidRPr="003E1068">
        <w:rPr>
          <w:sz w:val="24"/>
          <w:szCs w:val="24"/>
        </w:rPr>
        <w:t>at. no. 6333.0.</w:t>
      </w:r>
      <w:r w:rsidR="003569C0">
        <w:rPr>
          <w:sz w:val="24"/>
          <w:szCs w:val="24"/>
        </w:rPr>
        <w:t xml:space="preserve"> ACT: Australian Bureau of Statistics.</w:t>
      </w:r>
    </w:p>
    <w:p w14:paraId="2188E787" w14:textId="77777777" w:rsidR="00956607" w:rsidRDefault="00956607" w:rsidP="00956607">
      <w:pPr>
        <w:pStyle w:val="EndnoteText"/>
        <w:spacing w:line="240" w:lineRule="auto"/>
        <w:rPr>
          <w:sz w:val="24"/>
          <w:szCs w:val="24"/>
        </w:rPr>
      </w:pPr>
    </w:p>
    <w:p w14:paraId="1C26E7D5" w14:textId="4964252E" w:rsidR="00956607" w:rsidRPr="0046218B" w:rsidRDefault="00956607" w:rsidP="00956607">
      <w:pPr>
        <w:pStyle w:val="EndnoteText"/>
        <w:spacing w:line="240" w:lineRule="auto"/>
        <w:rPr>
          <w:color w:val="2E2C29"/>
          <w:sz w:val="24"/>
          <w:szCs w:val="24"/>
          <w:lang w:val="en-US" w:eastAsia="ja-JP"/>
        </w:rPr>
      </w:pPr>
      <w:r w:rsidRPr="0046218B">
        <w:rPr>
          <w:color w:val="2E2C29"/>
          <w:sz w:val="24"/>
          <w:szCs w:val="24"/>
          <w:lang w:val="en-US" w:eastAsia="ja-JP"/>
        </w:rPr>
        <w:t>Altobelli,</w:t>
      </w:r>
      <w:r w:rsidR="00D31E3B">
        <w:rPr>
          <w:color w:val="2E2C29"/>
          <w:sz w:val="24"/>
          <w:szCs w:val="24"/>
          <w:lang w:val="en-US" w:eastAsia="ja-JP"/>
        </w:rPr>
        <w:t xml:space="preserve"> T</w:t>
      </w:r>
      <w:r w:rsidR="002752AA">
        <w:rPr>
          <w:color w:val="2E2C29"/>
          <w:sz w:val="24"/>
          <w:szCs w:val="24"/>
          <w:lang w:val="en-US" w:eastAsia="ja-JP"/>
        </w:rPr>
        <w:t>.</w:t>
      </w:r>
      <w:r w:rsidR="00D31E3B">
        <w:rPr>
          <w:color w:val="2E2C29"/>
          <w:sz w:val="24"/>
          <w:szCs w:val="24"/>
          <w:lang w:val="en-US" w:eastAsia="ja-JP"/>
        </w:rPr>
        <w:t xml:space="preserve"> (2009)</w:t>
      </w:r>
      <w:r w:rsidRPr="0046218B">
        <w:rPr>
          <w:color w:val="2E2C29"/>
          <w:sz w:val="24"/>
          <w:szCs w:val="24"/>
          <w:lang w:val="en-US" w:eastAsia="ja-JP"/>
        </w:rPr>
        <w:t xml:space="preserve"> ‘Family Violence and Parenting: Future Directions in Practice’</w:t>
      </w:r>
      <w:r w:rsidR="00D31E3B">
        <w:rPr>
          <w:color w:val="2E2C29"/>
          <w:sz w:val="24"/>
          <w:szCs w:val="24"/>
          <w:lang w:val="en-US" w:eastAsia="ja-JP"/>
        </w:rPr>
        <w:t>,</w:t>
      </w:r>
      <w:r w:rsidRPr="0046218B">
        <w:rPr>
          <w:color w:val="2E2C29"/>
          <w:sz w:val="24"/>
          <w:szCs w:val="24"/>
          <w:lang w:val="en-US" w:eastAsia="ja-JP"/>
        </w:rPr>
        <w:t xml:space="preserve"> </w:t>
      </w:r>
      <w:r w:rsidRPr="0046218B">
        <w:rPr>
          <w:i/>
          <w:iCs/>
          <w:color w:val="2E2C29"/>
          <w:sz w:val="24"/>
          <w:szCs w:val="24"/>
          <w:lang w:val="en-US" w:eastAsia="ja-JP"/>
        </w:rPr>
        <w:t>Australian Journal of Family Law</w:t>
      </w:r>
      <w:r w:rsidRPr="0046218B">
        <w:rPr>
          <w:iCs/>
          <w:color w:val="2E2C29"/>
          <w:sz w:val="24"/>
          <w:szCs w:val="24"/>
          <w:lang w:val="en-US" w:eastAsia="ja-JP"/>
        </w:rPr>
        <w:t xml:space="preserve"> </w:t>
      </w:r>
      <w:r w:rsidR="00D31E3B">
        <w:rPr>
          <w:iCs/>
          <w:color w:val="2E2C29"/>
          <w:sz w:val="24"/>
          <w:szCs w:val="24"/>
          <w:lang w:val="en-US" w:eastAsia="ja-JP"/>
        </w:rPr>
        <w:t xml:space="preserve">23(3), </w:t>
      </w:r>
      <w:r w:rsidR="00F02F3A">
        <w:rPr>
          <w:iCs/>
          <w:color w:val="2E2C29"/>
          <w:sz w:val="24"/>
          <w:szCs w:val="24"/>
          <w:lang w:val="en-US" w:eastAsia="ja-JP"/>
        </w:rPr>
        <w:t xml:space="preserve">194-221. </w:t>
      </w:r>
    </w:p>
    <w:p w14:paraId="1B989C4A" w14:textId="77777777" w:rsidR="00956607" w:rsidRDefault="00956607" w:rsidP="00956607">
      <w:pPr>
        <w:pStyle w:val="EndnoteText"/>
        <w:spacing w:line="240" w:lineRule="auto"/>
        <w:rPr>
          <w:sz w:val="24"/>
          <w:szCs w:val="24"/>
        </w:rPr>
      </w:pPr>
    </w:p>
    <w:p w14:paraId="48B0886B" w14:textId="5FADFAA3" w:rsidR="00956607" w:rsidRPr="00464282" w:rsidRDefault="00956607" w:rsidP="00956607">
      <w:pPr>
        <w:pStyle w:val="EndnoteText"/>
        <w:spacing w:line="240" w:lineRule="auto"/>
        <w:rPr>
          <w:sz w:val="24"/>
          <w:szCs w:val="24"/>
        </w:rPr>
      </w:pPr>
      <w:r w:rsidRPr="00464282">
        <w:rPr>
          <w:sz w:val="24"/>
          <w:szCs w:val="24"/>
        </w:rPr>
        <w:t>Astor,</w:t>
      </w:r>
      <w:r w:rsidR="00D31E3B">
        <w:rPr>
          <w:sz w:val="24"/>
          <w:szCs w:val="24"/>
        </w:rPr>
        <w:t xml:space="preserve"> H. (1992)</w:t>
      </w:r>
      <w:r w:rsidRPr="00464282">
        <w:rPr>
          <w:sz w:val="24"/>
          <w:szCs w:val="24"/>
        </w:rPr>
        <w:t xml:space="preserve"> </w:t>
      </w:r>
      <w:r w:rsidRPr="00464282">
        <w:rPr>
          <w:i/>
          <w:sz w:val="24"/>
          <w:szCs w:val="24"/>
        </w:rPr>
        <w:t>Guidelines for Use if Mediating in Cases Involving Violence against Women</w:t>
      </w:r>
      <w:r w:rsidRPr="00464282">
        <w:rPr>
          <w:sz w:val="24"/>
          <w:szCs w:val="24"/>
        </w:rPr>
        <w:t>,</w:t>
      </w:r>
      <w:r w:rsidRPr="00464282">
        <w:rPr>
          <w:i/>
          <w:sz w:val="24"/>
          <w:szCs w:val="24"/>
        </w:rPr>
        <w:t xml:space="preserve"> </w:t>
      </w:r>
      <w:r w:rsidRPr="00464282">
        <w:rPr>
          <w:sz w:val="24"/>
          <w:szCs w:val="24"/>
        </w:rPr>
        <w:t>Canberra: Australian Government Publishing Service</w:t>
      </w:r>
      <w:r w:rsidR="00D31E3B">
        <w:rPr>
          <w:sz w:val="24"/>
          <w:szCs w:val="24"/>
        </w:rPr>
        <w:t>.</w:t>
      </w:r>
    </w:p>
    <w:p w14:paraId="376E39ED" w14:textId="77777777" w:rsidR="00956607" w:rsidRDefault="00956607" w:rsidP="00956607">
      <w:pPr>
        <w:pStyle w:val="EndnoteText"/>
        <w:spacing w:line="240" w:lineRule="auto"/>
        <w:rPr>
          <w:sz w:val="24"/>
          <w:szCs w:val="24"/>
        </w:rPr>
      </w:pPr>
    </w:p>
    <w:p w14:paraId="1AB116C3" w14:textId="7084F4AC" w:rsidR="00956607" w:rsidRPr="001756EA" w:rsidRDefault="00956607" w:rsidP="00956607">
      <w:pPr>
        <w:pStyle w:val="EndnoteText"/>
        <w:spacing w:line="240" w:lineRule="auto"/>
        <w:rPr>
          <w:color w:val="000000"/>
          <w:sz w:val="24"/>
          <w:szCs w:val="24"/>
        </w:rPr>
      </w:pPr>
      <w:r w:rsidRPr="001756EA">
        <w:rPr>
          <w:color w:val="000000"/>
          <w:sz w:val="24"/>
          <w:szCs w:val="24"/>
        </w:rPr>
        <w:t>The Australian Law Reform Commission (ALRC)</w:t>
      </w:r>
      <w:r w:rsidR="00F511ED">
        <w:rPr>
          <w:color w:val="000000"/>
          <w:sz w:val="24"/>
          <w:szCs w:val="24"/>
        </w:rPr>
        <w:t>,</w:t>
      </w:r>
      <w:r w:rsidR="00D31E3B">
        <w:rPr>
          <w:color w:val="000000"/>
          <w:sz w:val="24"/>
          <w:szCs w:val="24"/>
        </w:rPr>
        <w:t xml:space="preserve"> (2010)</w:t>
      </w:r>
      <w:r w:rsidRPr="001756EA">
        <w:rPr>
          <w:color w:val="000000"/>
          <w:sz w:val="24"/>
          <w:szCs w:val="24"/>
        </w:rPr>
        <w:t xml:space="preserve"> </w:t>
      </w:r>
      <w:r w:rsidRPr="001756EA">
        <w:rPr>
          <w:i/>
          <w:iCs/>
          <w:color w:val="000000"/>
          <w:sz w:val="24"/>
          <w:szCs w:val="24"/>
        </w:rPr>
        <w:t>Family Violence – A National Legal Response</w:t>
      </w:r>
      <w:r w:rsidRPr="001756EA">
        <w:rPr>
          <w:color w:val="000000"/>
          <w:sz w:val="24"/>
          <w:szCs w:val="24"/>
        </w:rPr>
        <w:t>, Report 114</w:t>
      </w:r>
      <w:r w:rsidR="00D31E3B">
        <w:rPr>
          <w:color w:val="000000"/>
          <w:sz w:val="24"/>
          <w:szCs w:val="24"/>
        </w:rPr>
        <w:t xml:space="preserve">, </w:t>
      </w:r>
      <w:r w:rsidR="003569C0">
        <w:rPr>
          <w:color w:val="000000"/>
          <w:sz w:val="24"/>
          <w:szCs w:val="24"/>
        </w:rPr>
        <w:t xml:space="preserve">Sydney: </w:t>
      </w:r>
      <w:r w:rsidRPr="001756EA">
        <w:rPr>
          <w:color w:val="000000"/>
          <w:sz w:val="24"/>
          <w:szCs w:val="24"/>
        </w:rPr>
        <w:t>ALRC</w:t>
      </w:r>
      <w:r w:rsidR="00D31E3B">
        <w:rPr>
          <w:color w:val="000000"/>
          <w:sz w:val="24"/>
          <w:szCs w:val="24"/>
        </w:rPr>
        <w:t>.</w:t>
      </w:r>
    </w:p>
    <w:p w14:paraId="19981C47" w14:textId="77777777" w:rsidR="00D31E3B" w:rsidRDefault="00D31E3B" w:rsidP="00956607">
      <w:pPr>
        <w:pStyle w:val="EndnoteText"/>
        <w:spacing w:line="240" w:lineRule="auto"/>
        <w:rPr>
          <w:sz w:val="24"/>
          <w:szCs w:val="24"/>
        </w:rPr>
      </w:pPr>
    </w:p>
    <w:p w14:paraId="4EEEB3BC" w14:textId="4E1DAB58" w:rsidR="00956607" w:rsidRPr="00D26C50" w:rsidRDefault="00956607" w:rsidP="00956607">
      <w:pPr>
        <w:pStyle w:val="EndnoteText"/>
        <w:spacing w:line="240" w:lineRule="auto"/>
        <w:rPr>
          <w:sz w:val="24"/>
          <w:szCs w:val="24"/>
        </w:rPr>
      </w:pPr>
      <w:r w:rsidRPr="00D26C50">
        <w:rPr>
          <w:sz w:val="24"/>
          <w:szCs w:val="24"/>
        </w:rPr>
        <w:t>Bagshaw</w:t>
      </w:r>
      <w:r w:rsidR="00D31E3B">
        <w:rPr>
          <w:sz w:val="24"/>
          <w:szCs w:val="24"/>
        </w:rPr>
        <w:t>, D.</w:t>
      </w:r>
      <w:r w:rsidRPr="00D26C50">
        <w:rPr>
          <w:sz w:val="24"/>
          <w:szCs w:val="24"/>
        </w:rPr>
        <w:t xml:space="preserve"> and Brown</w:t>
      </w:r>
      <w:r w:rsidR="00D31E3B">
        <w:rPr>
          <w:sz w:val="24"/>
          <w:szCs w:val="24"/>
        </w:rPr>
        <w:t>, T.</w:t>
      </w:r>
      <w:r w:rsidRPr="00D26C50">
        <w:rPr>
          <w:sz w:val="24"/>
          <w:szCs w:val="24"/>
        </w:rPr>
        <w:t xml:space="preserve"> with Wendt</w:t>
      </w:r>
      <w:r w:rsidR="00D31E3B">
        <w:rPr>
          <w:sz w:val="24"/>
          <w:szCs w:val="24"/>
        </w:rPr>
        <w:t>, S. (2010)</w:t>
      </w:r>
      <w:r w:rsidRPr="00D26C50">
        <w:rPr>
          <w:rStyle w:val="apple-converted-space"/>
          <w:rFonts w:eastAsia="Arial Unicode MS"/>
          <w:b/>
          <w:bCs/>
          <w:color w:val="392529"/>
          <w:sz w:val="24"/>
          <w:szCs w:val="24"/>
        </w:rPr>
        <w:t> </w:t>
      </w:r>
      <w:r w:rsidRPr="00D26C50">
        <w:rPr>
          <w:i/>
          <w:sz w:val="24"/>
          <w:szCs w:val="24"/>
        </w:rPr>
        <w:t>Family Violence and Family Law in Australia</w:t>
      </w:r>
      <w:r w:rsidRPr="00D26C50">
        <w:rPr>
          <w:sz w:val="24"/>
          <w:szCs w:val="24"/>
        </w:rPr>
        <w:t xml:space="preserve">, </w:t>
      </w:r>
      <w:r w:rsidR="003569C0">
        <w:rPr>
          <w:sz w:val="24"/>
          <w:szCs w:val="24"/>
        </w:rPr>
        <w:t xml:space="preserve">ACT: </w:t>
      </w:r>
      <w:r w:rsidRPr="00D26C50">
        <w:rPr>
          <w:sz w:val="24"/>
          <w:szCs w:val="24"/>
        </w:rPr>
        <w:t>Attorney General’s Department</w:t>
      </w:r>
      <w:r w:rsidR="00D31E3B">
        <w:rPr>
          <w:sz w:val="24"/>
          <w:szCs w:val="24"/>
        </w:rPr>
        <w:t>.</w:t>
      </w:r>
    </w:p>
    <w:p w14:paraId="367214A1" w14:textId="77777777" w:rsidR="00956607" w:rsidRPr="00D26C50" w:rsidRDefault="00956607" w:rsidP="00956607">
      <w:pPr>
        <w:pStyle w:val="EndnoteText"/>
        <w:spacing w:line="240" w:lineRule="auto"/>
        <w:rPr>
          <w:sz w:val="24"/>
          <w:szCs w:val="24"/>
        </w:rPr>
      </w:pPr>
    </w:p>
    <w:p w14:paraId="518E3C74" w14:textId="5D2EAC86" w:rsidR="00956607" w:rsidRPr="003E1068" w:rsidRDefault="00956607" w:rsidP="00956607">
      <w:pPr>
        <w:pStyle w:val="EndnoteText"/>
        <w:spacing w:line="240" w:lineRule="auto"/>
        <w:rPr>
          <w:sz w:val="24"/>
          <w:szCs w:val="24"/>
          <w:lang w:val="en-US"/>
        </w:rPr>
      </w:pPr>
      <w:r w:rsidRPr="001756EA">
        <w:rPr>
          <w:sz w:val="24"/>
          <w:szCs w:val="24"/>
          <w:lang w:val="en-US"/>
        </w:rPr>
        <w:t>Behrens</w:t>
      </w:r>
      <w:r w:rsidR="00BD7BA9">
        <w:rPr>
          <w:sz w:val="24"/>
          <w:szCs w:val="24"/>
          <w:lang w:val="en-US"/>
        </w:rPr>
        <w:t>,</w:t>
      </w:r>
      <w:r w:rsidRPr="001756EA">
        <w:rPr>
          <w:sz w:val="24"/>
          <w:szCs w:val="24"/>
          <w:lang w:val="en-US"/>
        </w:rPr>
        <w:t xml:space="preserve"> </w:t>
      </w:r>
      <w:r w:rsidR="00D31E3B">
        <w:rPr>
          <w:sz w:val="24"/>
          <w:szCs w:val="24"/>
          <w:lang w:val="en-US"/>
        </w:rPr>
        <w:t>J</w:t>
      </w:r>
      <w:r w:rsidR="00BD7BA9">
        <w:rPr>
          <w:sz w:val="24"/>
          <w:szCs w:val="24"/>
          <w:lang w:val="en-US"/>
        </w:rPr>
        <w:t>.</w:t>
      </w:r>
      <w:r w:rsidR="00D31E3B">
        <w:rPr>
          <w:sz w:val="24"/>
          <w:szCs w:val="24"/>
          <w:lang w:val="en-US"/>
        </w:rPr>
        <w:t xml:space="preserve"> (2010) </w:t>
      </w:r>
      <w:r w:rsidRPr="001756EA">
        <w:rPr>
          <w:sz w:val="24"/>
          <w:szCs w:val="24"/>
          <w:lang w:val="en-US"/>
        </w:rPr>
        <w:t>‘Women and Family Law,’</w:t>
      </w:r>
      <w:r w:rsidRPr="003E1068">
        <w:rPr>
          <w:sz w:val="24"/>
          <w:szCs w:val="24"/>
          <w:lang w:val="en-US"/>
        </w:rPr>
        <w:t xml:space="preserve"> in P Easteal (ed), </w:t>
      </w:r>
      <w:r w:rsidRPr="003E1068">
        <w:rPr>
          <w:i/>
          <w:sz w:val="24"/>
          <w:szCs w:val="24"/>
          <w:lang w:val="en-US"/>
        </w:rPr>
        <w:t>Women and the Law in Australia</w:t>
      </w:r>
      <w:r w:rsidR="00D31E3B">
        <w:rPr>
          <w:sz w:val="24"/>
          <w:szCs w:val="24"/>
          <w:lang w:val="en-US"/>
        </w:rPr>
        <w:t>,</w:t>
      </w:r>
      <w:r w:rsidR="003569C0">
        <w:rPr>
          <w:sz w:val="24"/>
          <w:szCs w:val="24"/>
          <w:lang w:val="en-US"/>
        </w:rPr>
        <w:t xml:space="preserve"> Sydney:</w:t>
      </w:r>
      <w:r w:rsidR="00D31E3B">
        <w:rPr>
          <w:sz w:val="24"/>
          <w:szCs w:val="24"/>
          <w:lang w:val="en-US"/>
        </w:rPr>
        <w:t xml:space="preserve"> </w:t>
      </w:r>
      <w:r w:rsidRPr="003E1068">
        <w:rPr>
          <w:sz w:val="24"/>
          <w:szCs w:val="24"/>
          <w:lang w:val="en-US"/>
        </w:rPr>
        <w:t>LexisNexis</w:t>
      </w:r>
      <w:r w:rsidR="00D31E3B">
        <w:rPr>
          <w:sz w:val="24"/>
          <w:szCs w:val="24"/>
          <w:lang w:val="en-US"/>
        </w:rPr>
        <w:t>,</w:t>
      </w:r>
      <w:r w:rsidRPr="003E1068">
        <w:rPr>
          <w:sz w:val="24"/>
          <w:szCs w:val="24"/>
          <w:lang w:val="en-US"/>
        </w:rPr>
        <w:t xml:space="preserve"> </w:t>
      </w:r>
      <w:r w:rsidR="00F02F3A">
        <w:rPr>
          <w:sz w:val="24"/>
          <w:szCs w:val="24"/>
          <w:lang w:val="en-US"/>
        </w:rPr>
        <w:t>192-212</w:t>
      </w:r>
      <w:r w:rsidRPr="003E1068">
        <w:rPr>
          <w:sz w:val="24"/>
          <w:szCs w:val="24"/>
          <w:lang w:val="en-US"/>
        </w:rPr>
        <w:t>.</w:t>
      </w:r>
    </w:p>
    <w:p w14:paraId="2E0F5485" w14:textId="77777777" w:rsidR="00D31E3B" w:rsidRDefault="00D31E3B" w:rsidP="00956607">
      <w:pPr>
        <w:pStyle w:val="EndnoteText"/>
        <w:spacing w:line="240" w:lineRule="auto"/>
        <w:rPr>
          <w:sz w:val="24"/>
          <w:szCs w:val="24"/>
        </w:rPr>
      </w:pPr>
    </w:p>
    <w:p w14:paraId="42532990" w14:textId="22082F2A" w:rsidR="00956607" w:rsidRPr="00377077" w:rsidRDefault="00956607" w:rsidP="00956607">
      <w:pPr>
        <w:pStyle w:val="EndnoteText"/>
        <w:spacing w:line="240" w:lineRule="auto"/>
        <w:rPr>
          <w:color w:val="000000"/>
          <w:sz w:val="24"/>
          <w:szCs w:val="24"/>
        </w:rPr>
      </w:pPr>
      <w:r w:rsidRPr="00377077">
        <w:rPr>
          <w:sz w:val="24"/>
          <w:szCs w:val="24"/>
        </w:rPr>
        <w:t>Braaf</w:t>
      </w:r>
      <w:r w:rsidR="00D31E3B">
        <w:rPr>
          <w:sz w:val="24"/>
          <w:szCs w:val="24"/>
        </w:rPr>
        <w:t xml:space="preserve">, R. and </w:t>
      </w:r>
      <w:r w:rsidRPr="00377077">
        <w:rPr>
          <w:sz w:val="24"/>
          <w:szCs w:val="24"/>
        </w:rPr>
        <w:t>Meyering,</w:t>
      </w:r>
      <w:r w:rsidR="00D31E3B">
        <w:rPr>
          <w:sz w:val="24"/>
          <w:szCs w:val="24"/>
        </w:rPr>
        <w:t xml:space="preserve"> I. (2011)</w:t>
      </w:r>
      <w:r w:rsidRPr="00377077">
        <w:rPr>
          <w:sz w:val="24"/>
          <w:szCs w:val="24"/>
        </w:rPr>
        <w:t xml:space="preserve"> </w:t>
      </w:r>
      <w:r w:rsidRPr="00377077">
        <w:rPr>
          <w:i/>
          <w:sz w:val="24"/>
          <w:szCs w:val="24"/>
        </w:rPr>
        <w:t xml:space="preserve">Seeking Security: Promoting Women’s Economic Wellbeing Following Family </w:t>
      </w:r>
      <w:r w:rsidRPr="00377077">
        <w:rPr>
          <w:i/>
          <w:color w:val="000000"/>
          <w:sz w:val="24"/>
          <w:szCs w:val="24"/>
        </w:rPr>
        <w:t>Violence</w:t>
      </w:r>
      <w:r w:rsidR="00D31E3B">
        <w:rPr>
          <w:i/>
          <w:color w:val="000000"/>
          <w:sz w:val="24"/>
          <w:szCs w:val="24"/>
        </w:rPr>
        <w:t>,</w:t>
      </w:r>
      <w:r w:rsidR="00F77AD8">
        <w:rPr>
          <w:i/>
          <w:color w:val="000000"/>
          <w:sz w:val="24"/>
          <w:szCs w:val="24"/>
        </w:rPr>
        <w:t xml:space="preserve"> </w:t>
      </w:r>
      <w:r w:rsidR="00F77AD8">
        <w:rPr>
          <w:color w:val="000000"/>
          <w:sz w:val="24"/>
          <w:szCs w:val="24"/>
        </w:rPr>
        <w:t>New South Wales:</w:t>
      </w:r>
      <w:r w:rsidRPr="00377077">
        <w:rPr>
          <w:i/>
          <w:color w:val="000000"/>
          <w:sz w:val="24"/>
          <w:szCs w:val="24"/>
        </w:rPr>
        <w:t xml:space="preserve"> </w:t>
      </w:r>
      <w:r w:rsidRPr="00377077">
        <w:rPr>
          <w:color w:val="000000"/>
          <w:sz w:val="24"/>
          <w:szCs w:val="24"/>
        </w:rPr>
        <w:t>The University of New South Wales</w:t>
      </w:r>
      <w:r w:rsidR="00D31E3B">
        <w:rPr>
          <w:color w:val="000000"/>
          <w:sz w:val="24"/>
          <w:szCs w:val="24"/>
        </w:rPr>
        <w:t>.</w:t>
      </w:r>
    </w:p>
    <w:p w14:paraId="47D00EFF" w14:textId="77777777" w:rsidR="00D31E3B" w:rsidRDefault="00D31E3B" w:rsidP="00956607">
      <w:pPr>
        <w:pStyle w:val="EndnoteText"/>
        <w:spacing w:line="240" w:lineRule="auto"/>
        <w:rPr>
          <w:sz w:val="24"/>
          <w:szCs w:val="24"/>
        </w:rPr>
      </w:pPr>
    </w:p>
    <w:p w14:paraId="1F53F50E" w14:textId="20A17475" w:rsidR="00956607" w:rsidRPr="008B2130" w:rsidRDefault="00956607" w:rsidP="00956607">
      <w:pPr>
        <w:pStyle w:val="EndnoteText"/>
        <w:spacing w:line="240" w:lineRule="auto"/>
        <w:rPr>
          <w:sz w:val="24"/>
          <w:szCs w:val="24"/>
        </w:rPr>
      </w:pPr>
      <w:r w:rsidRPr="003E1068">
        <w:rPr>
          <w:sz w:val="24"/>
          <w:szCs w:val="24"/>
        </w:rPr>
        <w:t>Brown,</w:t>
      </w:r>
      <w:r w:rsidR="00D31E3B">
        <w:rPr>
          <w:sz w:val="24"/>
          <w:szCs w:val="24"/>
        </w:rPr>
        <w:t xml:space="preserve"> T.</w:t>
      </w:r>
      <w:r w:rsidRPr="003E1068">
        <w:rPr>
          <w:sz w:val="24"/>
          <w:szCs w:val="24"/>
        </w:rPr>
        <w:t xml:space="preserve"> Frederico,</w:t>
      </w:r>
      <w:r w:rsidR="00D31E3B">
        <w:rPr>
          <w:sz w:val="24"/>
          <w:szCs w:val="24"/>
        </w:rPr>
        <w:t xml:space="preserve"> T. </w:t>
      </w:r>
      <w:r w:rsidRPr="003E1068">
        <w:rPr>
          <w:sz w:val="24"/>
          <w:szCs w:val="24"/>
        </w:rPr>
        <w:t>Hewitt</w:t>
      </w:r>
      <w:r w:rsidR="00D31E3B">
        <w:rPr>
          <w:sz w:val="24"/>
          <w:szCs w:val="24"/>
        </w:rPr>
        <w:t xml:space="preserve">, M. and </w:t>
      </w:r>
      <w:r w:rsidRPr="003E1068">
        <w:rPr>
          <w:sz w:val="24"/>
          <w:szCs w:val="24"/>
        </w:rPr>
        <w:t>Sheehan</w:t>
      </w:r>
      <w:r w:rsidR="00D31E3B">
        <w:rPr>
          <w:sz w:val="24"/>
          <w:szCs w:val="24"/>
        </w:rPr>
        <w:t>, R. (1998)</w:t>
      </w:r>
      <w:r w:rsidRPr="003E1068">
        <w:rPr>
          <w:sz w:val="24"/>
          <w:szCs w:val="24"/>
        </w:rPr>
        <w:t xml:space="preserve"> </w:t>
      </w:r>
      <w:r w:rsidRPr="003E1068">
        <w:rPr>
          <w:i/>
          <w:iCs/>
          <w:sz w:val="24"/>
          <w:szCs w:val="24"/>
        </w:rPr>
        <w:t xml:space="preserve">Violence in families: Report number one: The management of child abuse allegations in custody and </w:t>
      </w:r>
      <w:r w:rsidRPr="003E1068">
        <w:rPr>
          <w:i/>
          <w:iCs/>
          <w:sz w:val="24"/>
          <w:szCs w:val="24"/>
        </w:rPr>
        <w:lastRenderedPageBreak/>
        <w:t>access disputes before the Family Court of Australia</w:t>
      </w:r>
      <w:r w:rsidR="00D31E3B">
        <w:rPr>
          <w:sz w:val="24"/>
          <w:szCs w:val="24"/>
        </w:rPr>
        <w:t xml:space="preserve">, </w:t>
      </w:r>
      <w:r w:rsidRPr="003E1068">
        <w:rPr>
          <w:sz w:val="24"/>
          <w:szCs w:val="24"/>
        </w:rPr>
        <w:t>Melbourne: Family Violence and Family Court Research Program, Monash University and Australian Catholic University.</w:t>
      </w:r>
    </w:p>
    <w:p w14:paraId="72ECD01B" w14:textId="77777777" w:rsidR="00956607" w:rsidRDefault="00956607" w:rsidP="00956607">
      <w:pPr>
        <w:pStyle w:val="EndnoteText"/>
        <w:spacing w:line="240" w:lineRule="auto"/>
        <w:rPr>
          <w:sz w:val="24"/>
          <w:szCs w:val="24"/>
        </w:rPr>
      </w:pPr>
    </w:p>
    <w:p w14:paraId="01F89A97" w14:textId="75EFEEB4" w:rsidR="00956607" w:rsidRPr="00D930BD" w:rsidRDefault="00956607" w:rsidP="00956607">
      <w:pPr>
        <w:pStyle w:val="EndnoteText"/>
        <w:spacing w:line="240" w:lineRule="auto"/>
        <w:rPr>
          <w:sz w:val="24"/>
          <w:szCs w:val="24"/>
        </w:rPr>
      </w:pPr>
      <w:r w:rsidRPr="00D930BD">
        <w:rPr>
          <w:color w:val="000000" w:themeColor="text1"/>
          <w:sz w:val="24"/>
          <w:szCs w:val="24"/>
        </w:rPr>
        <w:t>Campbell</w:t>
      </w:r>
      <w:r w:rsidR="00D31E3B">
        <w:rPr>
          <w:color w:val="000000" w:themeColor="text1"/>
          <w:sz w:val="24"/>
          <w:szCs w:val="24"/>
        </w:rPr>
        <w:t>, J. (2002)</w:t>
      </w:r>
      <w:r w:rsidRPr="00D930BD">
        <w:rPr>
          <w:color w:val="000000" w:themeColor="text1"/>
          <w:sz w:val="24"/>
          <w:szCs w:val="24"/>
        </w:rPr>
        <w:t xml:space="preserve"> ‘Health Consequences of Intimate Partner Violence</w:t>
      </w:r>
      <w:r w:rsidR="00D31E3B">
        <w:rPr>
          <w:color w:val="000000" w:themeColor="text1"/>
          <w:sz w:val="24"/>
          <w:szCs w:val="24"/>
        </w:rPr>
        <w:t>’,</w:t>
      </w:r>
      <w:r w:rsidRPr="00D930BD">
        <w:rPr>
          <w:color w:val="000000" w:themeColor="text1"/>
          <w:sz w:val="24"/>
          <w:szCs w:val="24"/>
        </w:rPr>
        <w:t xml:space="preserve"> </w:t>
      </w:r>
      <w:r w:rsidRPr="00D930BD">
        <w:rPr>
          <w:i/>
          <w:color w:val="000000" w:themeColor="text1"/>
          <w:sz w:val="24"/>
          <w:szCs w:val="24"/>
        </w:rPr>
        <w:t>The Lancet</w:t>
      </w:r>
      <w:r w:rsidRPr="00D930BD">
        <w:rPr>
          <w:color w:val="000000" w:themeColor="text1"/>
          <w:sz w:val="24"/>
          <w:szCs w:val="24"/>
        </w:rPr>
        <w:t xml:space="preserve"> </w:t>
      </w:r>
      <w:r w:rsidR="00D31E3B">
        <w:rPr>
          <w:color w:val="000000" w:themeColor="text1"/>
          <w:sz w:val="24"/>
          <w:szCs w:val="24"/>
        </w:rPr>
        <w:t xml:space="preserve">359(9314), </w:t>
      </w:r>
      <w:r w:rsidRPr="00D930BD">
        <w:rPr>
          <w:color w:val="000000" w:themeColor="text1"/>
          <w:sz w:val="24"/>
          <w:szCs w:val="24"/>
        </w:rPr>
        <w:t>1331</w:t>
      </w:r>
      <w:r w:rsidR="00F02F3A">
        <w:rPr>
          <w:color w:val="000000" w:themeColor="text1"/>
          <w:sz w:val="24"/>
          <w:szCs w:val="24"/>
        </w:rPr>
        <w:t>-1336</w:t>
      </w:r>
      <w:r w:rsidRPr="00D930BD">
        <w:rPr>
          <w:sz w:val="24"/>
          <w:szCs w:val="24"/>
        </w:rPr>
        <w:t>.</w:t>
      </w:r>
    </w:p>
    <w:p w14:paraId="5DB0464A" w14:textId="77777777" w:rsidR="00D31E3B" w:rsidRDefault="00D31E3B" w:rsidP="00956607">
      <w:pPr>
        <w:pStyle w:val="EndnoteText"/>
        <w:spacing w:line="240" w:lineRule="auto"/>
        <w:rPr>
          <w:sz w:val="24"/>
          <w:szCs w:val="24"/>
        </w:rPr>
      </w:pPr>
    </w:p>
    <w:p w14:paraId="3338664F" w14:textId="0E588403" w:rsidR="00956607" w:rsidRPr="001C76B1" w:rsidRDefault="00956607" w:rsidP="00956607">
      <w:pPr>
        <w:pStyle w:val="EndnoteText"/>
        <w:spacing w:line="240" w:lineRule="auto"/>
        <w:rPr>
          <w:sz w:val="24"/>
          <w:szCs w:val="24"/>
        </w:rPr>
      </w:pPr>
      <w:r w:rsidRPr="001C76B1">
        <w:rPr>
          <w:sz w:val="24"/>
          <w:szCs w:val="24"/>
          <w:lang w:val="en-US"/>
        </w:rPr>
        <w:t>Carline</w:t>
      </w:r>
      <w:r w:rsidR="00D31E3B">
        <w:rPr>
          <w:sz w:val="24"/>
          <w:szCs w:val="24"/>
          <w:lang w:val="en-US"/>
        </w:rPr>
        <w:t>, A.</w:t>
      </w:r>
      <w:r w:rsidRPr="001C76B1">
        <w:rPr>
          <w:sz w:val="24"/>
          <w:szCs w:val="24"/>
          <w:lang w:val="en-US"/>
        </w:rPr>
        <w:t xml:space="preserve"> and</w:t>
      </w:r>
      <w:r w:rsidR="00D31E3B">
        <w:rPr>
          <w:sz w:val="24"/>
          <w:szCs w:val="24"/>
          <w:lang w:val="en-US"/>
        </w:rPr>
        <w:t xml:space="preserve"> </w:t>
      </w:r>
      <w:r w:rsidRPr="001C76B1">
        <w:rPr>
          <w:sz w:val="24"/>
          <w:szCs w:val="24"/>
          <w:lang w:val="en-US"/>
        </w:rPr>
        <w:t>Easteal,</w:t>
      </w:r>
      <w:r w:rsidR="00D31E3B">
        <w:rPr>
          <w:sz w:val="24"/>
          <w:szCs w:val="24"/>
          <w:lang w:val="en-US"/>
        </w:rPr>
        <w:t xml:space="preserve"> P (2014)</w:t>
      </w:r>
      <w:r w:rsidRPr="001C76B1">
        <w:rPr>
          <w:sz w:val="24"/>
          <w:szCs w:val="24"/>
          <w:lang w:val="en-US"/>
        </w:rPr>
        <w:t xml:space="preserve"> </w:t>
      </w:r>
      <w:r w:rsidRPr="001C76B1">
        <w:rPr>
          <w:i/>
          <w:sz w:val="24"/>
          <w:szCs w:val="24"/>
          <w:lang w:val="en-US"/>
        </w:rPr>
        <w:t>Domestic and Sexual Violence Against Women – Law Reform and Society: Shades of Grey</w:t>
      </w:r>
      <w:r w:rsidR="00D31E3B">
        <w:rPr>
          <w:sz w:val="24"/>
          <w:szCs w:val="24"/>
          <w:lang w:val="en-US"/>
        </w:rPr>
        <w:t xml:space="preserve">, </w:t>
      </w:r>
      <w:r w:rsidR="00F77AD8">
        <w:rPr>
          <w:sz w:val="24"/>
          <w:szCs w:val="24"/>
          <w:lang w:val="en-US"/>
        </w:rPr>
        <w:t xml:space="preserve">Abingdon: </w:t>
      </w:r>
      <w:r w:rsidRPr="001C76B1">
        <w:rPr>
          <w:sz w:val="24"/>
          <w:szCs w:val="24"/>
          <w:lang w:val="en-US"/>
        </w:rPr>
        <w:t>Routledge</w:t>
      </w:r>
      <w:r w:rsidR="00D31E3B">
        <w:rPr>
          <w:sz w:val="24"/>
          <w:szCs w:val="24"/>
          <w:lang w:val="en-US"/>
        </w:rPr>
        <w:t>.</w:t>
      </w:r>
    </w:p>
    <w:p w14:paraId="15B9C2D0" w14:textId="77777777" w:rsidR="00956607" w:rsidRDefault="00956607" w:rsidP="00956607">
      <w:pPr>
        <w:pStyle w:val="EndnoteText"/>
        <w:spacing w:line="240" w:lineRule="auto"/>
        <w:rPr>
          <w:sz w:val="24"/>
          <w:szCs w:val="24"/>
        </w:rPr>
      </w:pPr>
    </w:p>
    <w:p w14:paraId="12735E70" w14:textId="7A7EAFD9" w:rsidR="00956607" w:rsidRDefault="00956607" w:rsidP="00956607">
      <w:pPr>
        <w:pStyle w:val="EndnoteText"/>
        <w:spacing w:line="240" w:lineRule="auto"/>
        <w:rPr>
          <w:sz w:val="24"/>
          <w:szCs w:val="24"/>
        </w:rPr>
      </w:pPr>
      <w:r w:rsidRPr="00956840">
        <w:rPr>
          <w:rStyle w:val="EndnoteReference"/>
          <w:sz w:val="24"/>
          <w:szCs w:val="24"/>
          <w:vertAlign w:val="baseline"/>
        </w:rPr>
        <w:t>Coates</w:t>
      </w:r>
      <w:r w:rsidR="00D31E3B">
        <w:rPr>
          <w:rStyle w:val="EndnoteReference"/>
          <w:sz w:val="24"/>
          <w:szCs w:val="24"/>
          <w:vertAlign w:val="baseline"/>
        </w:rPr>
        <w:t>, J. (2016)</w:t>
      </w:r>
      <w:r w:rsidRPr="00956840">
        <w:rPr>
          <w:rStyle w:val="EndnoteReference"/>
          <w:sz w:val="24"/>
          <w:szCs w:val="24"/>
          <w:vertAlign w:val="baseline"/>
        </w:rPr>
        <w:t xml:space="preserve"> </w:t>
      </w:r>
      <w:r w:rsidRPr="00956840">
        <w:rPr>
          <w:rStyle w:val="EndnoteReference"/>
          <w:i/>
          <w:sz w:val="24"/>
          <w:szCs w:val="24"/>
          <w:vertAlign w:val="baseline"/>
        </w:rPr>
        <w:t xml:space="preserve">Women, Men and Language – </w:t>
      </w:r>
      <w:r w:rsidRPr="00B66681">
        <w:rPr>
          <w:i/>
          <w:sz w:val="24"/>
          <w:szCs w:val="24"/>
        </w:rPr>
        <w:t>A Sociolinguistic Account of Gender Differences in Language</w:t>
      </w:r>
      <w:r w:rsidR="00D31E3B">
        <w:rPr>
          <w:i/>
          <w:sz w:val="24"/>
          <w:szCs w:val="24"/>
        </w:rPr>
        <w:t xml:space="preserve">, </w:t>
      </w:r>
      <w:r w:rsidR="00F77AD8">
        <w:rPr>
          <w:sz w:val="24"/>
          <w:szCs w:val="24"/>
        </w:rPr>
        <w:t xml:space="preserve">Abingdon: </w:t>
      </w:r>
      <w:r w:rsidRPr="00B66681">
        <w:rPr>
          <w:sz w:val="24"/>
          <w:szCs w:val="24"/>
        </w:rPr>
        <w:t>Routledge.</w:t>
      </w:r>
    </w:p>
    <w:p w14:paraId="6EFA9CFE" w14:textId="77777777" w:rsidR="00956607" w:rsidRDefault="00956607" w:rsidP="00956607">
      <w:pPr>
        <w:pStyle w:val="EndnoteText"/>
        <w:spacing w:line="240" w:lineRule="auto"/>
        <w:rPr>
          <w:sz w:val="24"/>
          <w:szCs w:val="24"/>
        </w:rPr>
      </w:pPr>
    </w:p>
    <w:p w14:paraId="7AE78278" w14:textId="70B843F3" w:rsidR="00620331" w:rsidRPr="00620331" w:rsidRDefault="00620331" w:rsidP="00956607">
      <w:pPr>
        <w:pStyle w:val="EndnoteText"/>
        <w:spacing w:line="240" w:lineRule="auto"/>
        <w:rPr>
          <w:sz w:val="24"/>
          <w:szCs w:val="24"/>
        </w:rPr>
      </w:pPr>
      <w:r w:rsidRPr="00620331">
        <w:rPr>
          <w:sz w:val="24"/>
          <w:szCs w:val="24"/>
        </w:rPr>
        <w:t xml:space="preserve">Coy, </w:t>
      </w:r>
      <w:r w:rsidR="00D31E3B">
        <w:rPr>
          <w:sz w:val="24"/>
          <w:szCs w:val="24"/>
          <w:shd w:val="clear" w:color="auto" w:fill="FFFFFF"/>
        </w:rPr>
        <w:t xml:space="preserve">M. </w:t>
      </w:r>
      <w:r w:rsidRPr="00620331">
        <w:rPr>
          <w:bCs/>
          <w:sz w:val="24"/>
          <w:szCs w:val="24"/>
          <w:shd w:val="clear" w:color="auto" w:fill="FFFFFF"/>
        </w:rPr>
        <w:t>Perks</w:t>
      </w:r>
      <w:r w:rsidRPr="00620331">
        <w:rPr>
          <w:sz w:val="24"/>
          <w:szCs w:val="24"/>
          <w:shd w:val="clear" w:color="auto" w:fill="FFFFFF"/>
        </w:rPr>
        <w:t>,</w:t>
      </w:r>
      <w:r w:rsidR="00D31E3B">
        <w:rPr>
          <w:sz w:val="24"/>
          <w:szCs w:val="24"/>
          <w:shd w:val="clear" w:color="auto" w:fill="FFFFFF"/>
        </w:rPr>
        <w:t xml:space="preserve"> K.</w:t>
      </w:r>
      <w:r w:rsidRPr="00620331">
        <w:rPr>
          <w:sz w:val="24"/>
          <w:szCs w:val="24"/>
          <w:shd w:val="clear" w:color="auto" w:fill="FFFFFF"/>
        </w:rPr>
        <w:t xml:space="preserve"> </w:t>
      </w:r>
      <w:r w:rsidRPr="00620331">
        <w:rPr>
          <w:bCs/>
          <w:sz w:val="24"/>
          <w:szCs w:val="24"/>
          <w:shd w:val="clear" w:color="auto" w:fill="FFFFFF"/>
        </w:rPr>
        <w:t>Scott</w:t>
      </w:r>
      <w:r w:rsidRPr="00620331">
        <w:rPr>
          <w:sz w:val="24"/>
          <w:szCs w:val="24"/>
          <w:shd w:val="clear" w:color="auto" w:fill="FFFFFF"/>
        </w:rPr>
        <w:t>,</w:t>
      </w:r>
      <w:r w:rsidR="00D31E3B">
        <w:rPr>
          <w:sz w:val="24"/>
          <w:szCs w:val="24"/>
          <w:shd w:val="clear" w:color="auto" w:fill="FFFFFF"/>
        </w:rPr>
        <w:t xml:space="preserve"> E.</w:t>
      </w:r>
      <w:r w:rsidRPr="00620331">
        <w:rPr>
          <w:sz w:val="24"/>
          <w:szCs w:val="24"/>
          <w:shd w:val="clear" w:color="auto" w:fill="FFFFFF"/>
        </w:rPr>
        <w:t xml:space="preserve"> and </w:t>
      </w:r>
      <w:r w:rsidRPr="00620331">
        <w:rPr>
          <w:bCs/>
          <w:sz w:val="24"/>
          <w:szCs w:val="24"/>
          <w:shd w:val="clear" w:color="auto" w:fill="FFFFFF"/>
        </w:rPr>
        <w:t>Tweedale,</w:t>
      </w:r>
      <w:r w:rsidR="00D31E3B">
        <w:rPr>
          <w:bCs/>
          <w:sz w:val="24"/>
          <w:szCs w:val="24"/>
          <w:shd w:val="clear" w:color="auto" w:fill="FFFFFF"/>
        </w:rPr>
        <w:t xml:space="preserve"> R. (2012) </w:t>
      </w:r>
      <w:r w:rsidRPr="00620331">
        <w:rPr>
          <w:i/>
          <w:sz w:val="24"/>
          <w:szCs w:val="24"/>
        </w:rPr>
        <w:t>Picking up the Pieces: Domestic Violence and Child Contact</w:t>
      </w:r>
      <w:r w:rsidRPr="00620331">
        <w:rPr>
          <w:sz w:val="24"/>
          <w:szCs w:val="24"/>
        </w:rPr>
        <w:t>, Rights of Women and Child and Woman Abuse Studies Unit</w:t>
      </w:r>
      <w:r w:rsidR="00D31E3B">
        <w:rPr>
          <w:sz w:val="24"/>
          <w:szCs w:val="24"/>
        </w:rPr>
        <w:t>. Available online:</w:t>
      </w:r>
      <w:r>
        <w:rPr>
          <w:sz w:val="24"/>
          <w:szCs w:val="24"/>
        </w:rPr>
        <w:t xml:space="preserve"> &lt;</w:t>
      </w:r>
      <w:r w:rsidRPr="00620331">
        <w:t xml:space="preserve"> </w:t>
      </w:r>
      <w:r w:rsidRPr="00620331">
        <w:rPr>
          <w:sz w:val="24"/>
          <w:szCs w:val="24"/>
        </w:rPr>
        <w:t>http://rightsofwomen.org.uk/wp-content/uploads/2014/10/Picking_Up_the_Pieces_Report-2012l.pdf</w:t>
      </w:r>
      <w:r>
        <w:rPr>
          <w:sz w:val="24"/>
          <w:szCs w:val="24"/>
        </w:rPr>
        <w:t>&gt;</w:t>
      </w:r>
    </w:p>
    <w:p w14:paraId="76E68ADB" w14:textId="77777777" w:rsidR="00620331" w:rsidRDefault="00620331" w:rsidP="00956607">
      <w:pPr>
        <w:pStyle w:val="EndnoteText"/>
        <w:spacing w:line="240" w:lineRule="auto"/>
        <w:rPr>
          <w:sz w:val="24"/>
          <w:szCs w:val="24"/>
        </w:rPr>
      </w:pPr>
    </w:p>
    <w:p w14:paraId="1F659FDB" w14:textId="60330333" w:rsidR="00956607" w:rsidRPr="00F17D23" w:rsidRDefault="00956607" w:rsidP="00956607">
      <w:pPr>
        <w:pStyle w:val="EndnoteText"/>
        <w:spacing w:line="240" w:lineRule="auto"/>
        <w:rPr>
          <w:sz w:val="24"/>
          <w:szCs w:val="24"/>
        </w:rPr>
      </w:pPr>
      <w:r w:rsidRPr="00F17D23">
        <w:rPr>
          <w:sz w:val="24"/>
          <w:szCs w:val="24"/>
        </w:rPr>
        <w:t xml:space="preserve">Crawford, </w:t>
      </w:r>
      <w:r w:rsidR="00A67863">
        <w:rPr>
          <w:sz w:val="24"/>
          <w:szCs w:val="24"/>
        </w:rPr>
        <w:t xml:space="preserve">E. </w:t>
      </w:r>
      <w:r w:rsidRPr="00F17D23">
        <w:rPr>
          <w:sz w:val="24"/>
          <w:szCs w:val="24"/>
        </w:rPr>
        <w:t>Liebling-Kalifani</w:t>
      </w:r>
      <w:r w:rsidR="00D31E3B">
        <w:rPr>
          <w:sz w:val="24"/>
          <w:szCs w:val="24"/>
        </w:rPr>
        <w:t>,</w:t>
      </w:r>
      <w:r w:rsidRPr="00F17D23">
        <w:rPr>
          <w:sz w:val="24"/>
          <w:szCs w:val="24"/>
        </w:rPr>
        <w:t xml:space="preserve"> </w:t>
      </w:r>
      <w:r w:rsidR="00D31E3B">
        <w:rPr>
          <w:sz w:val="24"/>
          <w:szCs w:val="24"/>
        </w:rPr>
        <w:t xml:space="preserve">H. </w:t>
      </w:r>
      <w:r w:rsidRPr="00F17D23">
        <w:rPr>
          <w:sz w:val="24"/>
          <w:szCs w:val="24"/>
        </w:rPr>
        <w:t>and Hill,</w:t>
      </w:r>
      <w:r w:rsidR="00D31E3B">
        <w:rPr>
          <w:sz w:val="24"/>
          <w:szCs w:val="24"/>
        </w:rPr>
        <w:t xml:space="preserve"> V. (2009)</w:t>
      </w:r>
      <w:r w:rsidRPr="00F17D23">
        <w:rPr>
          <w:sz w:val="24"/>
          <w:szCs w:val="24"/>
        </w:rPr>
        <w:t xml:space="preserve"> ‘Women’s Understanding of the Effects of Domestic Abuse: The Impact on Their Identity, Sense of Self and Resilience. A Grounded Theory Approach</w:t>
      </w:r>
      <w:r w:rsidR="00A67863">
        <w:rPr>
          <w:sz w:val="24"/>
          <w:szCs w:val="24"/>
        </w:rPr>
        <w:t>’</w:t>
      </w:r>
      <w:r w:rsidRPr="00F17D23">
        <w:rPr>
          <w:sz w:val="24"/>
          <w:szCs w:val="24"/>
        </w:rPr>
        <w:t xml:space="preserve"> </w:t>
      </w:r>
      <w:r w:rsidRPr="00F17D23">
        <w:rPr>
          <w:i/>
          <w:sz w:val="24"/>
          <w:szCs w:val="24"/>
        </w:rPr>
        <w:t>Journal of International Women’s Studies</w:t>
      </w:r>
      <w:r w:rsidRPr="00F17D23">
        <w:rPr>
          <w:sz w:val="24"/>
          <w:szCs w:val="24"/>
        </w:rPr>
        <w:t xml:space="preserve"> </w:t>
      </w:r>
      <w:r w:rsidR="00A67863">
        <w:rPr>
          <w:sz w:val="24"/>
          <w:szCs w:val="24"/>
        </w:rPr>
        <w:t xml:space="preserve">11(2), </w:t>
      </w:r>
      <w:r w:rsidRPr="00F17D23">
        <w:rPr>
          <w:sz w:val="24"/>
          <w:szCs w:val="24"/>
        </w:rPr>
        <w:t>63</w:t>
      </w:r>
      <w:r w:rsidR="00F02F3A">
        <w:rPr>
          <w:sz w:val="24"/>
          <w:szCs w:val="24"/>
        </w:rPr>
        <w:t>-82</w:t>
      </w:r>
      <w:r w:rsidR="00A67863">
        <w:rPr>
          <w:sz w:val="24"/>
          <w:szCs w:val="24"/>
        </w:rPr>
        <w:t>.</w:t>
      </w:r>
    </w:p>
    <w:p w14:paraId="18B25779" w14:textId="77777777" w:rsidR="00956607" w:rsidRDefault="00956607" w:rsidP="00956607">
      <w:pPr>
        <w:pStyle w:val="EndnoteText"/>
        <w:spacing w:line="240" w:lineRule="auto"/>
        <w:rPr>
          <w:sz w:val="24"/>
          <w:szCs w:val="24"/>
        </w:rPr>
      </w:pPr>
    </w:p>
    <w:p w14:paraId="0CD2784E" w14:textId="76A228A6" w:rsidR="00956607" w:rsidRPr="007E2A91" w:rsidRDefault="00956607" w:rsidP="00956607">
      <w:pPr>
        <w:pStyle w:val="EndnoteText"/>
        <w:spacing w:line="240" w:lineRule="auto"/>
        <w:rPr>
          <w:color w:val="000000" w:themeColor="text1"/>
          <w:sz w:val="24"/>
          <w:szCs w:val="24"/>
        </w:rPr>
      </w:pPr>
      <w:r w:rsidRPr="0061278B">
        <w:rPr>
          <w:color w:val="000000" w:themeColor="text1"/>
          <w:sz w:val="24"/>
          <w:szCs w:val="24"/>
        </w:rPr>
        <w:t xml:space="preserve">Daw, </w:t>
      </w:r>
      <w:r w:rsidR="00A67863" w:rsidRPr="0061278B">
        <w:rPr>
          <w:color w:val="000000" w:themeColor="text1"/>
          <w:sz w:val="24"/>
          <w:szCs w:val="24"/>
        </w:rPr>
        <w:t xml:space="preserve">R. (1995) </w:t>
      </w:r>
      <w:r w:rsidRPr="0061278B">
        <w:rPr>
          <w:color w:val="000000" w:themeColor="text1"/>
          <w:sz w:val="24"/>
          <w:szCs w:val="24"/>
        </w:rPr>
        <w:t xml:space="preserve">‘Gender Bias and Family Law’ </w:t>
      </w:r>
      <w:r w:rsidRPr="0061278B">
        <w:rPr>
          <w:i/>
          <w:color w:val="000000" w:themeColor="text1"/>
          <w:sz w:val="24"/>
          <w:szCs w:val="24"/>
        </w:rPr>
        <w:t>Australian Law Reform Commission Journal</w:t>
      </w:r>
      <w:r w:rsidR="00A67863" w:rsidRPr="0061278B">
        <w:rPr>
          <w:color w:val="000000" w:themeColor="text1"/>
          <w:sz w:val="24"/>
          <w:szCs w:val="24"/>
        </w:rPr>
        <w:t xml:space="preserve"> 67</w:t>
      </w:r>
      <w:r w:rsidR="0061278B">
        <w:rPr>
          <w:color w:val="000000" w:themeColor="text1"/>
          <w:sz w:val="24"/>
          <w:szCs w:val="24"/>
        </w:rPr>
        <w:t>, 14</w:t>
      </w:r>
      <w:r w:rsidR="00A67863">
        <w:rPr>
          <w:color w:val="000000" w:themeColor="text1"/>
          <w:sz w:val="24"/>
          <w:szCs w:val="24"/>
        </w:rPr>
        <w:t>.</w:t>
      </w:r>
    </w:p>
    <w:p w14:paraId="0187CD56" w14:textId="6830F48E" w:rsidR="007979D6" w:rsidRDefault="00F77AD8" w:rsidP="00F77AD8">
      <w:pPr>
        <w:pStyle w:val="EndnoteText"/>
        <w:tabs>
          <w:tab w:val="left" w:pos="1695"/>
        </w:tabs>
        <w:spacing w:line="240" w:lineRule="auto"/>
        <w:rPr>
          <w:sz w:val="24"/>
          <w:szCs w:val="24"/>
        </w:rPr>
      </w:pPr>
      <w:r>
        <w:rPr>
          <w:sz w:val="24"/>
          <w:szCs w:val="24"/>
        </w:rPr>
        <w:tab/>
      </w:r>
    </w:p>
    <w:p w14:paraId="3836B525" w14:textId="720591D8" w:rsidR="00956840" w:rsidRPr="00956840" w:rsidRDefault="00956840" w:rsidP="00956607">
      <w:pPr>
        <w:pStyle w:val="EndnoteText"/>
        <w:spacing w:line="240" w:lineRule="auto"/>
        <w:rPr>
          <w:sz w:val="24"/>
          <w:szCs w:val="24"/>
        </w:rPr>
      </w:pPr>
      <w:r w:rsidRPr="00956840">
        <w:rPr>
          <w:sz w:val="24"/>
          <w:szCs w:val="24"/>
        </w:rPr>
        <w:t>de Vaus,</w:t>
      </w:r>
      <w:r w:rsidR="00A67863">
        <w:rPr>
          <w:sz w:val="24"/>
          <w:szCs w:val="24"/>
        </w:rPr>
        <w:t xml:space="preserve"> D.</w:t>
      </w:r>
      <w:r w:rsidRPr="00956840">
        <w:rPr>
          <w:sz w:val="24"/>
          <w:szCs w:val="24"/>
        </w:rPr>
        <w:t xml:space="preserve"> Gray, </w:t>
      </w:r>
      <w:hyperlink r:id="rId12" w:history="1">
        <w:r w:rsidR="00A67863">
          <w:rPr>
            <w:sz w:val="24"/>
            <w:szCs w:val="24"/>
          </w:rPr>
          <w:t xml:space="preserve">M. </w:t>
        </w:r>
        <w:r w:rsidRPr="00956840">
          <w:rPr>
            <w:sz w:val="24"/>
            <w:szCs w:val="24"/>
          </w:rPr>
          <w:t>Qu</w:t>
        </w:r>
      </w:hyperlink>
      <w:r w:rsidR="00A67863">
        <w:rPr>
          <w:sz w:val="24"/>
          <w:szCs w:val="24"/>
        </w:rPr>
        <w:t>,</w:t>
      </w:r>
      <w:r w:rsidRPr="00956840">
        <w:rPr>
          <w:sz w:val="24"/>
          <w:szCs w:val="24"/>
        </w:rPr>
        <w:t> </w:t>
      </w:r>
      <w:r w:rsidR="00A67863">
        <w:rPr>
          <w:sz w:val="24"/>
          <w:szCs w:val="24"/>
        </w:rPr>
        <w:t xml:space="preserve">L. </w:t>
      </w:r>
      <w:r w:rsidRPr="00956840">
        <w:rPr>
          <w:sz w:val="24"/>
          <w:szCs w:val="24"/>
        </w:rPr>
        <w:t>and</w:t>
      </w:r>
      <w:r w:rsidR="00A67863">
        <w:rPr>
          <w:sz w:val="24"/>
          <w:szCs w:val="24"/>
        </w:rPr>
        <w:t xml:space="preserve"> </w:t>
      </w:r>
      <w:r w:rsidRPr="00956840">
        <w:rPr>
          <w:sz w:val="24"/>
          <w:szCs w:val="24"/>
        </w:rPr>
        <w:t xml:space="preserve">Stanton, </w:t>
      </w:r>
      <w:r w:rsidR="00A67863">
        <w:rPr>
          <w:sz w:val="24"/>
          <w:szCs w:val="24"/>
        </w:rPr>
        <w:t xml:space="preserve">D. (2017) </w:t>
      </w:r>
      <w:r w:rsidRPr="00A67863">
        <w:rPr>
          <w:i/>
          <w:kern w:val="36"/>
          <w:sz w:val="24"/>
          <w:szCs w:val="24"/>
        </w:rPr>
        <w:t xml:space="preserve">The </w:t>
      </w:r>
      <w:r w:rsidR="00A67863">
        <w:rPr>
          <w:i/>
          <w:kern w:val="36"/>
          <w:sz w:val="24"/>
          <w:szCs w:val="24"/>
        </w:rPr>
        <w:t>E</w:t>
      </w:r>
      <w:r w:rsidRPr="00A67863">
        <w:rPr>
          <w:i/>
          <w:kern w:val="36"/>
          <w:sz w:val="24"/>
          <w:szCs w:val="24"/>
        </w:rPr>
        <w:t xml:space="preserve">conomic </w:t>
      </w:r>
      <w:r w:rsidR="00A67863">
        <w:rPr>
          <w:i/>
          <w:kern w:val="36"/>
          <w:sz w:val="24"/>
          <w:szCs w:val="24"/>
        </w:rPr>
        <w:t>C</w:t>
      </w:r>
      <w:r w:rsidRPr="00A67863">
        <w:rPr>
          <w:i/>
          <w:kern w:val="36"/>
          <w:sz w:val="24"/>
          <w:szCs w:val="24"/>
        </w:rPr>
        <w:t xml:space="preserve">onsequences of </w:t>
      </w:r>
      <w:r w:rsidR="00A67863">
        <w:rPr>
          <w:i/>
          <w:kern w:val="36"/>
          <w:sz w:val="24"/>
          <w:szCs w:val="24"/>
        </w:rPr>
        <w:t>D</w:t>
      </w:r>
      <w:r w:rsidRPr="00A67863">
        <w:rPr>
          <w:i/>
          <w:kern w:val="36"/>
          <w:sz w:val="24"/>
          <w:szCs w:val="24"/>
        </w:rPr>
        <w:t xml:space="preserve">ivorce in </w:t>
      </w:r>
      <w:r w:rsidR="00A67863">
        <w:rPr>
          <w:i/>
          <w:kern w:val="36"/>
          <w:sz w:val="24"/>
          <w:szCs w:val="24"/>
        </w:rPr>
        <w:t>S</w:t>
      </w:r>
      <w:r w:rsidRPr="00A67863">
        <w:rPr>
          <w:i/>
          <w:kern w:val="36"/>
          <w:sz w:val="24"/>
          <w:szCs w:val="24"/>
        </w:rPr>
        <w:t xml:space="preserve">ix OECD </w:t>
      </w:r>
      <w:r w:rsidR="00A67863">
        <w:rPr>
          <w:i/>
          <w:kern w:val="36"/>
          <w:sz w:val="24"/>
          <w:szCs w:val="24"/>
        </w:rPr>
        <w:t>C</w:t>
      </w:r>
      <w:r w:rsidRPr="00A67863">
        <w:rPr>
          <w:i/>
          <w:kern w:val="36"/>
          <w:sz w:val="24"/>
          <w:szCs w:val="24"/>
        </w:rPr>
        <w:t>ountries</w:t>
      </w:r>
      <w:r w:rsidR="00A67863">
        <w:rPr>
          <w:i/>
          <w:kern w:val="36"/>
          <w:sz w:val="24"/>
          <w:szCs w:val="24"/>
        </w:rPr>
        <w:t>,</w:t>
      </w:r>
      <w:r w:rsidRPr="00956840">
        <w:rPr>
          <w:kern w:val="36"/>
          <w:sz w:val="24"/>
          <w:szCs w:val="24"/>
        </w:rPr>
        <w:t xml:space="preserve"> Australian Institute of Family Studies, </w:t>
      </w:r>
      <w:r w:rsidRPr="00956840">
        <w:rPr>
          <w:sz w:val="24"/>
          <w:szCs w:val="24"/>
        </w:rPr>
        <w:t>Research Report No. 31</w:t>
      </w:r>
      <w:r w:rsidR="00A67863">
        <w:rPr>
          <w:sz w:val="24"/>
          <w:szCs w:val="24"/>
        </w:rPr>
        <w:t>. A</w:t>
      </w:r>
      <w:r w:rsidRPr="00956840">
        <w:rPr>
          <w:sz w:val="24"/>
          <w:szCs w:val="24"/>
        </w:rPr>
        <w:t xml:space="preserve">vailable at </w:t>
      </w:r>
      <w:hyperlink r:id="rId13" w:history="1">
        <w:r w:rsidRPr="00956840">
          <w:rPr>
            <w:rStyle w:val="Hyperlink"/>
            <w:color w:val="auto"/>
            <w:sz w:val="24"/>
            <w:szCs w:val="24"/>
            <w:u w:val="none"/>
          </w:rPr>
          <w:t>https://aifs.gov.au/publications/economic-consequences-divorce-six-oecd-countries</w:t>
        </w:r>
      </w:hyperlink>
      <w:r w:rsidRPr="00956840">
        <w:rPr>
          <w:sz w:val="24"/>
          <w:szCs w:val="24"/>
        </w:rPr>
        <w:t xml:space="preserve"> (accessed 14 September 2017).</w:t>
      </w:r>
    </w:p>
    <w:p w14:paraId="3DCC64A8" w14:textId="77777777" w:rsidR="00956840" w:rsidRDefault="00956840" w:rsidP="00956607">
      <w:pPr>
        <w:pStyle w:val="EndnoteText"/>
        <w:spacing w:line="240" w:lineRule="auto"/>
        <w:rPr>
          <w:sz w:val="24"/>
          <w:szCs w:val="24"/>
        </w:rPr>
      </w:pPr>
    </w:p>
    <w:p w14:paraId="09EE1BF3" w14:textId="1C71B38E" w:rsidR="00E6417F" w:rsidRPr="00E6417F" w:rsidRDefault="00E6417F" w:rsidP="00956607">
      <w:pPr>
        <w:pStyle w:val="EndnoteText"/>
        <w:spacing w:line="240" w:lineRule="auto"/>
        <w:rPr>
          <w:sz w:val="24"/>
          <w:szCs w:val="24"/>
        </w:rPr>
      </w:pPr>
      <w:r w:rsidRPr="00E6417F">
        <w:rPr>
          <w:sz w:val="24"/>
          <w:szCs w:val="24"/>
        </w:rPr>
        <w:t>Easteal</w:t>
      </w:r>
      <w:r w:rsidR="00A67863">
        <w:rPr>
          <w:sz w:val="24"/>
          <w:szCs w:val="24"/>
        </w:rPr>
        <w:t>, P. (1996)</w:t>
      </w:r>
      <w:r w:rsidRPr="00E6417F">
        <w:rPr>
          <w:sz w:val="24"/>
          <w:szCs w:val="24"/>
        </w:rPr>
        <w:t xml:space="preserve"> </w:t>
      </w:r>
      <w:r w:rsidRPr="00E6417F">
        <w:rPr>
          <w:i/>
          <w:sz w:val="24"/>
          <w:szCs w:val="24"/>
        </w:rPr>
        <w:t>Shattered Dreams: Marital Violence and the Overseas-born in Australia</w:t>
      </w:r>
      <w:r w:rsidRPr="00E6417F">
        <w:rPr>
          <w:sz w:val="24"/>
          <w:szCs w:val="24"/>
        </w:rPr>
        <w:t xml:space="preserve">, </w:t>
      </w:r>
      <w:r w:rsidR="00F77AD8">
        <w:rPr>
          <w:sz w:val="24"/>
          <w:szCs w:val="24"/>
        </w:rPr>
        <w:t xml:space="preserve">ACT: </w:t>
      </w:r>
      <w:r w:rsidRPr="00E6417F">
        <w:rPr>
          <w:sz w:val="24"/>
          <w:szCs w:val="24"/>
        </w:rPr>
        <w:t>Bureau of Immigration, Multicultural and Population Research.</w:t>
      </w:r>
    </w:p>
    <w:p w14:paraId="02ACE8B8" w14:textId="77777777" w:rsidR="00E6417F" w:rsidRPr="00E6417F" w:rsidRDefault="00E6417F" w:rsidP="00956607">
      <w:pPr>
        <w:pStyle w:val="EndnoteText"/>
        <w:spacing w:line="240" w:lineRule="auto"/>
        <w:rPr>
          <w:sz w:val="24"/>
          <w:szCs w:val="24"/>
        </w:rPr>
      </w:pPr>
    </w:p>
    <w:p w14:paraId="0CC3358D" w14:textId="6A60BA65" w:rsidR="00956607" w:rsidRPr="00486C38" w:rsidRDefault="00956607" w:rsidP="00956607">
      <w:pPr>
        <w:pStyle w:val="EndnoteText"/>
        <w:spacing w:line="240" w:lineRule="auto"/>
        <w:rPr>
          <w:color w:val="000000"/>
          <w:sz w:val="24"/>
          <w:szCs w:val="24"/>
        </w:rPr>
      </w:pPr>
      <w:r w:rsidRPr="00486C38">
        <w:rPr>
          <w:sz w:val="24"/>
          <w:szCs w:val="24"/>
        </w:rPr>
        <w:t>Easteal,</w:t>
      </w:r>
      <w:r w:rsidR="00A67863">
        <w:rPr>
          <w:sz w:val="24"/>
          <w:szCs w:val="24"/>
        </w:rPr>
        <w:t xml:space="preserve"> P. (2001)</w:t>
      </w:r>
      <w:r w:rsidRPr="00486C38">
        <w:rPr>
          <w:sz w:val="24"/>
          <w:szCs w:val="24"/>
        </w:rPr>
        <w:t xml:space="preserve"> </w:t>
      </w:r>
      <w:r w:rsidRPr="00486C38">
        <w:rPr>
          <w:i/>
          <w:color w:val="000000"/>
          <w:sz w:val="24"/>
          <w:szCs w:val="24"/>
        </w:rPr>
        <w:t>Less Than Equal: Women and the Australian Legal System</w:t>
      </w:r>
      <w:r w:rsidR="00A67863">
        <w:rPr>
          <w:i/>
          <w:color w:val="000000"/>
          <w:sz w:val="24"/>
          <w:szCs w:val="24"/>
        </w:rPr>
        <w:t xml:space="preserve">, </w:t>
      </w:r>
      <w:r w:rsidR="00F77AD8">
        <w:rPr>
          <w:color w:val="000000"/>
          <w:sz w:val="24"/>
          <w:szCs w:val="24"/>
        </w:rPr>
        <w:t xml:space="preserve">Sydney: </w:t>
      </w:r>
      <w:r w:rsidRPr="00486C38">
        <w:rPr>
          <w:color w:val="000000"/>
          <w:sz w:val="24"/>
          <w:szCs w:val="24"/>
        </w:rPr>
        <w:t>Butterworths</w:t>
      </w:r>
      <w:r w:rsidR="00A67863">
        <w:rPr>
          <w:color w:val="000000"/>
          <w:sz w:val="24"/>
          <w:szCs w:val="24"/>
        </w:rPr>
        <w:t>.</w:t>
      </w:r>
    </w:p>
    <w:p w14:paraId="37EA0B10" w14:textId="77777777" w:rsidR="00956607" w:rsidRPr="00F17D23" w:rsidRDefault="00956607" w:rsidP="00956607">
      <w:pPr>
        <w:pStyle w:val="EndnoteText"/>
        <w:spacing w:line="240" w:lineRule="auto"/>
        <w:rPr>
          <w:sz w:val="24"/>
          <w:szCs w:val="24"/>
        </w:rPr>
      </w:pPr>
    </w:p>
    <w:p w14:paraId="28B72391" w14:textId="0F95380D" w:rsidR="00956607" w:rsidRPr="003E1068" w:rsidRDefault="00956607" w:rsidP="00956607">
      <w:pPr>
        <w:pStyle w:val="EndnoteText"/>
        <w:spacing w:line="240" w:lineRule="auto"/>
        <w:rPr>
          <w:sz w:val="24"/>
          <w:szCs w:val="24"/>
          <w:lang w:val="en-US"/>
        </w:rPr>
      </w:pPr>
      <w:r w:rsidRPr="003E1068">
        <w:rPr>
          <w:sz w:val="24"/>
          <w:szCs w:val="24"/>
          <w:lang w:val="en-US"/>
        </w:rPr>
        <w:t>Easteal</w:t>
      </w:r>
      <w:r w:rsidR="00A67863">
        <w:rPr>
          <w:sz w:val="24"/>
          <w:szCs w:val="24"/>
          <w:lang w:val="en-US"/>
        </w:rPr>
        <w:t>, P</w:t>
      </w:r>
      <w:r w:rsidR="0061278B">
        <w:rPr>
          <w:sz w:val="24"/>
          <w:szCs w:val="24"/>
          <w:lang w:val="en-US"/>
        </w:rPr>
        <w:t>.</w:t>
      </w:r>
      <w:r w:rsidR="00A67863">
        <w:rPr>
          <w:sz w:val="24"/>
          <w:szCs w:val="24"/>
          <w:lang w:val="en-US"/>
        </w:rPr>
        <w:t xml:space="preserve"> (2010)</w:t>
      </w:r>
      <w:r w:rsidRPr="003E1068">
        <w:rPr>
          <w:sz w:val="24"/>
          <w:szCs w:val="24"/>
          <w:lang w:val="en-US"/>
        </w:rPr>
        <w:t xml:space="preserve"> ‘Setting the Stage: The Iceberg Jigsaw Puzzle’ in P Easteal (ed), </w:t>
      </w:r>
      <w:r w:rsidRPr="003E1068">
        <w:rPr>
          <w:i/>
          <w:sz w:val="24"/>
          <w:szCs w:val="24"/>
          <w:lang w:val="en-US"/>
        </w:rPr>
        <w:t>Women and the Law in Australia</w:t>
      </w:r>
      <w:r w:rsidR="00A67863">
        <w:rPr>
          <w:sz w:val="24"/>
          <w:szCs w:val="24"/>
          <w:lang w:val="en-US"/>
        </w:rPr>
        <w:t xml:space="preserve">, </w:t>
      </w:r>
      <w:r w:rsidR="00F77AD8">
        <w:rPr>
          <w:sz w:val="24"/>
          <w:szCs w:val="24"/>
          <w:lang w:val="en-US"/>
        </w:rPr>
        <w:t xml:space="preserve">Sydney: </w:t>
      </w:r>
      <w:r w:rsidRPr="003E1068">
        <w:rPr>
          <w:sz w:val="24"/>
          <w:szCs w:val="24"/>
          <w:lang w:val="en-US"/>
        </w:rPr>
        <w:t>LexisNexis</w:t>
      </w:r>
      <w:r w:rsidR="00A67863">
        <w:rPr>
          <w:sz w:val="24"/>
          <w:szCs w:val="24"/>
          <w:lang w:val="en-US"/>
        </w:rPr>
        <w:t>,</w:t>
      </w:r>
      <w:r w:rsidRPr="003E1068">
        <w:rPr>
          <w:sz w:val="24"/>
          <w:szCs w:val="24"/>
          <w:lang w:val="en-US"/>
        </w:rPr>
        <w:t xml:space="preserve"> 1</w:t>
      </w:r>
      <w:r w:rsidR="00B91B74">
        <w:rPr>
          <w:sz w:val="24"/>
          <w:szCs w:val="24"/>
          <w:lang w:val="en-US"/>
        </w:rPr>
        <w:t>-20</w:t>
      </w:r>
      <w:r w:rsidRPr="003E1068">
        <w:rPr>
          <w:sz w:val="24"/>
          <w:szCs w:val="24"/>
          <w:lang w:val="en-US"/>
        </w:rPr>
        <w:t>.</w:t>
      </w:r>
    </w:p>
    <w:p w14:paraId="14DC3D0E" w14:textId="77777777" w:rsidR="00956607" w:rsidRDefault="00956607" w:rsidP="00956607">
      <w:pPr>
        <w:pStyle w:val="EndnoteText"/>
        <w:spacing w:line="240" w:lineRule="auto"/>
        <w:rPr>
          <w:sz w:val="24"/>
          <w:szCs w:val="24"/>
        </w:rPr>
      </w:pPr>
    </w:p>
    <w:p w14:paraId="601F1195" w14:textId="1E9E20B3" w:rsidR="00956607" w:rsidRPr="00A96289" w:rsidRDefault="00956607" w:rsidP="00956607">
      <w:pPr>
        <w:pStyle w:val="EndnoteText"/>
        <w:spacing w:line="240" w:lineRule="auto"/>
        <w:rPr>
          <w:sz w:val="24"/>
          <w:szCs w:val="24"/>
        </w:rPr>
      </w:pPr>
      <w:r w:rsidRPr="00A96289">
        <w:rPr>
          <w:sz w:val="24"/>
          <w:szCs w:val="24"/>
        </w:rPr>
        <w:t>Easteal</w:t>
      </w:r>
      <w:r w:rsidR="00A67863">
        <w:rPr>
          <w:sz w:val="24"/>
          <w:szCs w:val="24"/>
        </w:rPr>
        <w:t>, P.</w:t>
      </w:r>
      <w:r w:rsidRPr="00A96289">
        <w:rPr>
          <w:sz w:val="24"/>
          <w:szCs w:val="24"/>
        </w:rPr>
        <w:t xml:space="preserve"> and Hopkins</w:t>
      </w:r>
      <w:r w:rsidR="00A67863">
        <w:rPr>
          <w:sz w:val="24"/>
          <w:szCs w:val="24"/>
        </w:rPr>
        <w:t>, A. (2010)</w:t>
      </w:r>
      <w:r w:rsidRPr="00A96289">
        <w:rPr>
          <w:sz w:val="24"/>
          <w:szCs w:val="24"/>
        </w:rPr>
        <w:t xml:space="preserve"> ‘Women and Criminal Defences to Homicide’ in </w:t>
      </w:r>
      <w:r w:rsidRPr="00A96289">
        <w:rPr>
          <w:sz w:val="24"/>
          <w:szCs w:val="24"/>
          <w:lang w:val="en-US"/>
        </w:rPr>
        <w:t xml:space="preserve">P Easteal, (ed) </w:t>
      </w:r>
      <w:r w:rsidRPr="00A96289">
        <w:rPr>
          <w:i/>
          <w:sz w:val="24"/>
          <w:szCs w:val="24"/>
          <w:lang w:val="en-US"/>
        </w:rPr>
        <w:t>Women and the Law in Australia</w:t>
      </w:r>
      <w:r w:rsidR="00A67863">
        <w:rPr>
          <w:sz w:val="24"/>
          <w:szCs w:val="24"/>
          <w:lang w:val="en-US"/>
        </w:rPr>
        <w:t>,</w:t>
      </w:r>
      <w:r w:rsidR="00F77AD8">
        <w:rPr>
          <w:sz w:val="24"/>
          <w:szCs w:val="24"/>
          <w:lang w:val="en-US"/>
        </w:rPr>
        <w:t xml:space="preserve"> Syndey:</w:t>
      </w:r>
      <w:r w:rsidR="00A67863">
        <w:rPr>
          <w:sz w:val="24"/>
          <w:szCs w:val="24"/>
          <w:lang w:val="en-US"/>
        </w:rPr>
        <w:t xml:space="preserve"> </w:t>
      </w:r>
      <w:r w:rsidRPr="00A96289">
        <w:rPr>
          <w:sz w:val="24"/>
          <w:szCs w:val="24"/>
          <w:lang w:val="en-US"/>
        </w:rPr>
        <w:t>LexisNexis</w:t>
      </w:r>
      <w:r w:rsidR="00A67863">
        <w:rPr>
          <w:sz w:val="24"/>
          <w:szCs w:val="24"/>
          <w:lang w:val="en-US"/>
        </w:rPr>
        <w:t>,</w:t>
      </w:r>
      <w:r w:rsidRPr="00A96289">
        <w:rPr>
          <w:sz w:val="24"/>
          <w:szCs w:val="24"/>
          <w:lang w:val="en-US"/>
        </w:rPr>
        <w:t xml:space="preserve"> </w:t>
      </w:r>
      <w:r w:rsidRPr="00A96289">
        <w:rPr>
          <w:sz w:val="24"/>
          <w:szCs w:val="24"/>
        </w:rPr>
        <w:t>109</w:t>
      </w:r>
      <w:r w:rsidR="00B91B74">
        <w:rPr>
          <w:sz w:val="24"/>
          <w:szCs w:val="24"/>
        </w:rPr>
        <w:t>-130</w:t>
      </w:r>
      <w:r w:rsidRPr="00A96289">
        <w:rPr>
          <w:sz w:val="24"/>
          <w:szCs w:val="24"/>
        </w:rPr>
        <w:t>.</w:t>
      </w:r>
    </w:p>
    <w:p w14:paraId="22F2769E" w14:textId="77777777" w:rsidR="00956607" w:rsidRDefault="00956607" w:rsidP="00956607">
      <w:pPr>
        <w:pStyle w:val="EndnoteText"/>
        <w:spacing w:line="240" w:lineRule="auto"/>
        <w:rPr>
          <w:sz w:val="24"/>
          <w:szCs w:val="24"/>
        </w:rPr>
      </w:pPr>
    </w:p>
    <w:p w14:paraId="4ABD5E0B" w14:textId="274799B3" w:rsidR="00956607" w:rsidRPr="00B821C0" w:rsidRDefault="00956607" w:rsidP="00956607">
      <w:pPr>
        <w:pStyle w:val="EndnoteText"/>
        <w:spacing w:line="240" w:lineRule="auto"/>
        <w:rPr>
          <w:sz w:val="24"/>
          <w:szCs w:val="24"/>
        </w:rPr>
      </w:pPr>
      <w:r w:rsidRPr="00B821C0">
        <w:rPr>
          <w:sz w:val="24"/>
          <w:szCs w:val="24"/>
        </w:rPr>
        <w:t xml:space="preserve">Easteal, </w:t>
      </w:r>
      <w:r w:rsidR="00A67863">
        <w:rPr>
          <w:sz w:val="24"/>
          <w:szCs w:val="24"/>
        </w:rPr>
        <w:t xml:space="preserve">P. </w:t>
      </w:r>
      <w:r w:rsidRPr="00B821C0">
        <w:rPr>
          <w:sz w:val="24"/>
          <w:szCs w:val="24"/>
        </w:rPr>
        <w:t>Wynter Warden</w:t>
      </w:r>
      <w:r w:rsidR="00A67863">
        <w:rPr>
          <w:sz w:val="24"/>
          <w:szCs w:val="24"/>
        </w:rPr>
        <w:t>,</w:t>
      </w:r>
      <w:r w:rsidRPr="00B821C0">
        <w:rPr>
          <w:sz w:val="24"/>
          <w:szCs w:val="24"/>
        </w:rPr>
        <w:t xml:space="preserve"> </w:t>
      </w:r>
      <w:r w:rsidR="00A67863">
        <w:rPr>
          <w:sz w:val="24"/>
          <w:szCs w:val="24"/>
        </w:rPr>
        <w:t xml:space="preserve">C. </w:t>
      </w:r>
      <w:r w:rsidRPr="00B821C0">
        <w:rPr>
          <w:sz w:val="24"/>
          <w:szCs w:val="24"/>
        </w:rPr>
        <w:t>and Young</w:t>
      </w:r>
      <w:r w:rsidR="00A67863">
        <w:rPr>
          <w:sz w:val="24"/>
          <w:szCs w:val="24"/>
        </w:rPr>
        <w:t>,</w:t>
      </w:r>
      <w:r w:rsidRPr="00B821C0">
        <w:rPr>
          <w:sz w:val="24"/>
          <w:szCs w:val="24"/>
        </w:rPr>
        <w:t xml:space="preserve"> </w:t>
      </w:r>
      <w:r w:rsidR="00A67863">
        <w:rPr>
          <w:sz w:val="24"/>
          <w:szCs w:val="24"/>
        </w:rPr>
        <w:t xml:space="preserve">L. (2014) </w:t>
      </w:r>
      <w:r w:rsidRPr="00B821C0">
        <w:rPr>
          <w:sz w:val="24"/>
          <w:szCs w:val="24"/>
        </w:rPr>
        <w:t>‘The Kennon ‘Factor’: Issues of Indeterminacy and Floodgates’</w:t>
      </w:r>
      <w:r w:rsidR="00A67863">
        <w:rPr>
          <w:sz w:val="24"/>
          <w:szCs w:val="24"/>
        </w:rPr>
        <w:t xml:space="preserve">, </w:t>
      </w:r>
      <w:r w:rsidRPr="00B821C0">
        <w:rPr>
          <w:i/>
          <w:sz w:val="24"/>
          <w:szCs w:val="24"/>
        </w:rPr>
        <w:t>Australian Journal of Family Law</w:t>
      </w:r>
      <w:r w:rsidR="00A67863">
        <w:rPr>
          <w:sz w:val="24"/>
          <w:szCs w:val="24"/>
        </w:rPr>
        <w:t xml:space="preserve"> 28,</w:t>
      </w:r>
      <w:r w:rsidRPr="00B821C0">
        <w:rPr>
          <w:sz w:val="24"/>
          <w:szCs w:val="24"/>
        </w:rPr>
        <w:t xml:space="preserve"> 1</w:t>
      </w:r>
      <w:r w:rsidR="0092224A">
        <w:rPr>
          <w:sz w:val="24"/>
          <w:szCs w:val="24"/>
        </w:rPr>
        <w:t>-28</w:t>
      </w:r>
      <w:r w:rsidR="00A67863">
        <w:rPr>
          <w:sz w:val="24"/>
          <w:szCs w:val="24"/>
        </w:rPr>
        <w:t>.</w:t>
      </w:r>
    </w:p>
    <w:p w14:paraId="4E625C36" w14:textId="77777777" w:rsidR="00A67863" w:rsidRDefault="00A67863" w:rsidP="00956607">
      <w:pPr>
        <w:pStyle w:val="EndnoteText"/>
        <w:spacing w:line="240" w:lineRule="auto"/>
        <w:rPr>
          <w:sz w:val="24"/>
          <w:szCs w:val="24"/>
        </w:rPr>
      </w:pPr>
    </w:p>
    <w:p w14:paraId="5DCDB33F" w14:textId="1E1888BE" w:rsidR="00956607" w:rsidRPr="00580918" w:rsidRDefault="00956607" w:rsidP="00956607">
      <w:pPr>
        <w:pStyle w:val="EndnoteText"/>
        <w:spacing w:line="240" w:lineRule="auto"/>
        <w:rPr>
          <w:sz w:val="24"/>
          <w:szCs w:val="24"/>
        </w:rPr>
      </w:pPr>
      <w:r w:rsidRPr="00580918">
        <w:rPr>
          <w:sz w:val="24"/>
          <w:szCs w:val="24"/>
        </w:rPr>
        <w:lastRenderedPageBreak/>
        <w:t xml:space="preserve">Easteal, </w:t>
      </w:r>
      <w:r w:rsidR="00A67863">
        <w:rPr>
          <w:sz w:val="24"/>
          <w:szCs w:val="24"/>
        </w:rPr>
        <w:t>P.</w:t>
      </w:r>
      <w:r w:rsidRPr="00580918">
        <w:rPr>
          <w:sz w:val="24"/>
          <w:szCs w:val="24"/>
        </w:rPr>
        <w:t xml:space="preserve"> Herbert</w:t>
      </w:r>
      <w:r w:rsidR="00A67863">
        <w:rPr>
          <w:sz w:val="24"/>
          <w:szCs w:val="24"/>
        </w:rPr>
        <w:t>, J.</w:t>
      </w:r>
      <w:r w:rsidRPr="00580918">
        <w:rPr>
          <w:sz w:val="24"/>
          <w:szCs w:val="24"/>
        </w:rPr>
        <w:t xml:space="preserve"> and Kennedy</w:t>
      </w:r>
      <w:r w:rsidR="00A67863">
        <w:rPr>
          <w:sz w:val="24"/>
          <w:szCs w:val="24"/>
        </w:rPr>
        <w:t>,</w:t>
      </w:r>
      <w:r w:rsidRPr="00580918">
        <w:rPr>
          <w:sz w:val="24"/>
          <w:szCs w:val="24"/>
        </w:rPr>
        <w:t xml:space="preserve"> </w:t>
      </w:r>
      <w:r w:rsidR="00A67863">
        <w:rPr>
          <w:sz w:val="24"/>
          <w:szCs w:val="24"/>
        </w:rPr>
        <w:t xml:space="preserve">J. </w:t>
      </w:r>
      <w:r w:rsidRPr="00580918">
        <w:rPr>
          <w:sz w:val="24"/>
          <w:szCs w:val="24"/>
        </w:rPr>
        <w:t xml:space="preserve">(2015) </w:t>
      </w:r>
      <w:r w:rsidR="00A67863">
        <w:rPr>
          <w:sz w:val="24"/>
          <w:szCs w:val="24"/>
        </w:rPr>
        <w:t>‘</w:t>
      </w:r>
      <w:r w:rsidRPr="00580918">
        <w:rPr>
          <w:sz w:val="24"/>
          <w:szCs w:val="24"/>
        </w:rPr>
        <w:t>Collaborative Practice in Family Law Matters with Coercive Control-type Violence: Preliminary Thoughts from the Practitioner Coalface</w:t>
      </w:r>
      <w:r w:rsidR="00A67863">
        <w:rPr>
          <w:sz w:val="24"/>
          <w:szCs w:val="24"/>
        </w:rPr>
        <w:t xml:space="preserve">’, </w:t>
      </w:r>
      <w:r w:rsidRPr="00580918">
        <w:rPr>
          <w:i/>
          <w:sz w:val="24"/>
          <w:szCs w:val="24"/>
        </w:rPr>
        <w:t xml:space="preserve">Family Law Review </w:t>
      </w:r>
      <w:r w:rsidRPr="00580918">
        <w:rPr>
          <w:sz w:val="24"/>
          <w:szCs w:val="24"/>
        </w:rPr>
        <w:t>5(1)</w:t>
      </w:r>
      <w:r w:rsidR="00A67863">
        <w:rPr>
          <w:sz w:val="24"/>
          <w:szCs w:val="24"/>
        </w:rPr>
        <w:t>,</w:t>
      </w:r>
      <w:r w:rsidRPr="00580918">
        <w:rPr>
          <w:sz w:val="24"/>
          <w:szCs w:val="24"/>
        </w:rPr>
        <w:t xml:space="preserve"> </w:t>
      </w:r>
      <w:r w:rsidR="0060592B">
        <w:rPr>
          <w:sz w:val="24"/>
          <w:szCs w:val="24"/>
        </w:rPr>
        <w:t>13-33</w:t>
      </w:r>
      <w:r w:rsidRPr="00580918">
        <w:rPr>
          <w:sz w:val="24"/>
          <w:szCs w:val="24"/>
        </w:rPr>
        <w:t>.</w:t>
      </w:r>
    </w:p>
    <w:p w14:paraId="37625D44" w14:textId="77777777" w:rsidR="00956607" w:rsidRPr="00580918" w:rsidRDefault="00956607" w:rsidP="00956607">
      <w:pPr>
        <w:pStyle w:val="EndnoteText"/>
        <w:spacing w:line="240" w:lineRule="auto"/>
        <w:rPr>
          <w:sz w:val="24"/>
          <w:szCs w:val="24"/>
        </w:rPr>
      </w:pPr>
    </w:p>
    <w:p w14:paraId="53A0CA53" w14:textId="3F93191A" w:rsidR="00956607" w:rsidRDefault="00956607" w:rsidP="0061278B">
      <w:pPr>
        <w:spacing w:line="240" w:lineRule="auto"/>
      </w:pPr>
      <w:r w:rsidRPr="00A0783B">
        <w:rPr>
          <w:color w:val="000000"/>
        </w:rPr>
        <w:t>Eckert</w:t>
      </w:r>
      <w:r w:rsidR="00A67863">
        <w:rPr>
          <w:color w:val="000000"/>
        </w:rPr>
        <w:t>, P.</w:t>
      </w:r>
      <w:r w:rsidRPr="00A0783B">
        <w:rPr>
          <w:color w:val="000000"/>
        </w:rPr>
        <w:t xml:space="preserve"> and McConnell-Ginet,</w:t>
      </w:r>
      <w:r w:rsidR="00A67863">
        <w:rPr>
          <w:color w:val="000000"/>
        </w:rPr>
        <w:t xml:space="preserve"> S. (2003)</w:t>
      </w:r>
      <w:r w:rsidRPr="00A0783B">
        <w:rPr>
          <w:color w:val="000000"/>
        </w:rPr>
        <w:t xml:space="preserve"> </w:t>
      </w:r>
      <w:r w:rsidRPr="00A0783B">
        <w:rPr>
          <w:i/>
          <w:iCs/>
          <w:color w:val="000000"/>
        </w:rPr>
        <w:t>Language and Gender</w:t>
      </w:r>
      <w:r w:rsidRPr="00A0783B">
        <w:rPr>
          <w:color w:val="000000"/>
        </w:rPr>
        <w:t xml:space="preserve">, </w:t>
      </w:r>
      <w:r w:rsidR="00F77AD8">
        <w:rPr>
          <w:color w:val="000000"/>
        </w:rPr>
        <w:t xml:space="preserve">Cambridge: </w:t>
      </w:r>
      <w:r w:rsidRPr="00A0783B">
        <w:rPr>
          <w:color w:val="000000"/>
        </w:rPr>
        <w:t>Cambridge University Press</w:t>
      </w:r>
      <w:r w:rsidR="00A67863">
        <w:rPr>
          <w:color w:val="000000"/>
        </w:rPr>
        <w:t>.</w:t>
      </w:r>
      <w:r>
        <w:rPr>
          <w:color w:val="000000"/>
        </w:rPr>
        <w:t xml:space="preserve"> </w:t>
      </w:r>
    </w:p>
    <w:p w14:paraId="5A7EBD13" w14:textId="77777777" w:rsidR="00956607" w:rsidRDefault="00956607" w:rsidP="00956607">
      <w:pPr>
        <w:pStyle w:val="EndnoteText"/>
        <w:spacing w:line="240" w:lineRule="auto"/>
        <w:rPr>
          <w:sz w:val="24"/>
          <w:szCs w:val="24"/>
        </w:rPr>
      </w:pPr>
    </w:p>
    <w:p w14:paraId="4B286375" w14:textId="24292841" w:rsidR="00956607" w:rsidRPr="003102C8" w:rsidRDefault="00956607" w:rsidP="00956607">
      <w:pPr>
        <w:pStyle w:val="EndnoteText"/>
        <w:spacing w:line="240" w:lineRule="auto"/>
        <w:rPr>
          <w:sz w:val="24"/>
          <w:szCs w:val="24"/>
          <w:shd w:val="clear" w:color="auto" w:fill="FFFFFF"/>
        </w:rPr>
      </w:pPr>
      <w:r w:rsidRPr="003102C8">
        <w:rPr>
          <w:rStyle w:val="Emphasis"/>
          <w:bCs/>
          <w:i w:val="0"/>
          <w:iCs w:val="0"/>
          <w:sz w:val="24"/>
          <w:szCs w:val="24"/>
          <w:shd w:val="clear" w:color="auto" w:fill="FFFFFF"/>
        </w:rPr>
        <w:t>Faludi</w:t>
      </w:r>
      <w:r w:rsidRPr="003102C8">
        <w:rPr>
          <w:sz w:val="24"/>
          <w:szCs w:val="24"/>
          <w:shd w:val="clear" w:color="auto" w:fill="FFFFFF"/>
        </w:rPr>
        <w:t>, </w:t>
      </w:r>
      <w:r w:rsidR="00A67863">
        <w:rPr>
          <w:sz w:val="24"/>
          <w:szCs w:val="24"/>
          <w:shd w:val="clear" w:color="auto" w:fill="FFFFFF"/>
        </w:rPr>
        <w:t xml:space="preserve">S. (1991) </w:t>
      </w:r>
      <w:r w:rsidRPr="00A67863">
        <w:rPr>
          <w:rStyle w:val="Emphasis"/>
          <w:bCs/>
          <w:i w:val="0"/>
          <w:iCs w:val="0"/>
          <w:sz w:val="24"/>
          <w:szCs w:val="24"/>
          <w:shd w:val="clear" w:color="auto" w:fill="FFFFFF"/>
        </w:rPr>
        <w:t>Backlash</w:t>
      </w:r>
      <w:r w:rsidRPr="00A67863">
        <w:rPr>
          <w:i/>
          <w:sz w:val="24"/>
          <w:szCs w:val="24"/>
          <w:shd w:val="clear" w:color="auto" w:fill="FFFFFF"/>
        </w:rPr>
        <w:t>: The Undeclared War Against American Women</w:t>
      </w:r>
      <w:r w:rsidR="00A67863">
        <w:rPr>
          <w:sz w:val="24"/>
          <w:szCs w:val="24"/>
          <w:shd w:val="clear" w:color="auto" w:fill="FFFFFF"/>
        </w:rPr>
        <w:t xml:space="preserve">, </w:t>
      </w:r>
      <w:r w:rsidR="00F77AD8">
        <w:rPr>
          <w:sz w:val="24"/>
          <w:szCs w:val="24"/>
          <w:shd w:val="clear" w:color="auto" w:fill="FFFFFF"/>
        </w:rPr>
        <w:t xml:space="preserve">New York: </w:t>
      </w:r>
      <w:r w:rsidRPr="003102C8">
        <w:rPr>
          <w:sz w:val="24"/>
          <w:szCs w:val="24"/>
          <w:shd w:val="clear" w:color="auto" w:fill="FFFFFF"/>
        </w:rPr>
        <w:t>Three Rivers Press.</w:t>
      </w:r>
    </w:p>
    <w:p w14:paraId="677C6C5F" w14:textId="1289A0E3" w:rsidR="00956607" w:rsidRDefault="00956607" w:rsidP="00956607">
      <w:pPr>
        <w:pStyle w:val="EndnoteText"/>
        <w:spacing w:line="240" w:lineRule="auto"/>
        <w:rPr>
          <w:sz w:val="24"/>
          <w:szCs w:val="24"/>
        </w:rPr>
      </w:pPr>
    </w:p>
    <w:p w14:paraId="44EDE1D5" w14:textId="1A6CE0BE" w:rsidR="00B736BA" w:rsidRDefault="00B736BA" w:rsidP="00956607">
      <w:pPr>
        <w:pStyle w:val="EndnoteText"/>
        <w:spacing w:line="240" w:lineRule="auto"/>
        <w:rPr>
          <w:sz w:val="24"/>
          <w:szCs w:val="24"/>
        </w:rPr>
      </w:pPr>
      <w:r w:rsidRPr="00690011">
        <w:rPr>
          <w:sz w:val="24"/>
          <w:szCs w:val="24"/>
        </w:rPr>
        <w:t>Family Court of Australia</w:t>
      </w:r>
      <w:r w:rsidR="00690011">
        <w:rPr>
          <w:sz w:val="24"/>
          <w:szCs w:val="24"/>
        </w:rPr>
        <w:t>,</w:t>
      </w:r>
      <w:r w:rsidRPr="00690011">
        <w:rPr>
          <w:sz w:val="24"/>
          <w:szCs w:val="24"/>
        </w:rPr>
        <w:t xml:space="preserve"> </w:t>
      </w:r>
      <w:r w:rsidR="00690011">
        <w:rPr>
          <w:sz w:val="24"/>
          <w:szCs w:val="24"/>
        </w:rPr>
        <w:t xml:space="preserve">(2017) </w:t>
      </w:r>
      <w:r w:rsidRPr="00690011">
        <w:rPr>
          <w:i/>
          <w:sz w:val="24"/>
          <w:szCs w:val="24"/>
        </w:rPr>
        <w:t>16:</w:t>
      </w:r>
      <w:r w:rsidR="00690011">
        <w:rPr>
          <w:i/>
          <w:sz w:val="24"/>
          <w:szCs w:val="24"/>
        </w:rPr>
        <w:t>17</w:t>
      </w:r>
      <w:r w:rsidRPr="00690011">
        <w:rPr>
          <w:i/>
          <w:sz w:val="24"/>
          <w:szCs w:val="24"/>
        </w:rPr>
        <w:t xml:space="preserve"> Annual Report</w:t>
      </w:r>
      <w:r w:rsidR="00690011">
        <w:rPr>
          <w:i/>
          <w:sz w:val="24"/>
          <w:szCs w:val="24"/>
        </w:rPr>
        <w:t>, &lt;</w:t>
      </w:r>
      <w:r w:rsidR="00690011" w:rsidRPr="00690011">
        <w:t xml:space="preserve"> </w:t>
      </w:r>
      <w:r w:rsidR="00690011" w:rsidRPr="00690011">
        <w:rPr>
          <w:i/>
          <w:sz w:val="24"/>
          <w:szCs w:val="24"/>
        </w:rPr>
        <w:t>http://www.familycourt.gov.au/wps/wcm/connect/7456589e-fc98-409b-8d1c-7b909bd30dcf/2743-Family_Court_of_Australia_AnnualReport_2016_17_WEB.pdf?MOD=AJPERES&amp;CVID=</w:t>
      </w:r>
      <w:r w:rsidR="00690011">
        <w:rPr>
          <w:i/>
          <w:sz w:val="24"/>
          <w:szCs w:val="24"/>
        </w:rPr>
        <w:t>&gt;</w:t>
      </w:r>
    </w:p>
    <w:p w14:paraId="0B069EFE" w14:textId="77777777" w:rsidR="00B736BA" w:rsidRDefault="00B736BA" w:rsidP="00956607">
      <w:pPr>
        <w:pStyle w:val="EndnoteText"/>
        <w:spacing w:line="240" w:lineRule="auto"/>
        <w:rPr>
          <w:sz w:val="24"/>
          <w:szCs w:val="24"/>
        </w:rPr>
      </w:pPr>
    </w:p>
    <w:p w14:paraId="793CE2D3" w14:textId="02ACCB93" w:rsidR="007D4E5E" w:rsidRPr="007D4E5E" w:rsidRDefault="007D4E5E" w:rsidP="007D4E5E">
      <w:pPr>
        <w:pStyle w:val="EndnoteText"/>
        <w:spacing w:line="240" w:lineRule="auto"/>
        <w:rPr>
          <w:sz w:val="24"/>
          <w:szCs w:val="24"/>
        </w:rPr>
      </w:pPr>
      <w:r w:rsidRPr="007D4E5E">
        <w:rPr>
          <w:sz w:val="24"/>
          <w:szCs w:val="24"/>
        </w:rPr>
        <w:t>Fehlberg</w:t>
      </w:r>
      <w:r w:rsidR="00A67863">
        <w:rPr>
          <w:sz w:val="24"/>
          <w:szCs w:val="24"/>
        </w:rPr>
        <w:t>, B</w:t>
      </w:r>
      <w:r w:rsidR="00F77AD8">
        <w:rPr>
          <w:sz w:val="24"/>
          <w:szCs w:val="24"/>
        </w:rPr>
        <w:t>.</w:t>
      </w:r>
      <w:r w:rsidRPr="007D4E5E">
        <w:rPr>
          <w:sz w:val="24"/>
          <w:szCs w:val="24"/>
        </w:rPr>
        <w:t xml:space="preserve"> and Milward,</w:t>
      </w:r>
      <w:r w:rsidR="00A67863">
        <w:rPr>
          <w:sz w:val="24"/>
          <w:szCs w:val="24"/>
        </w:rPr>
        <w:t xml:space="preserve"> C.</w:t>
      </w:r>
      <w:r w:rsidRPr="007D4E5E">
        <w:rPr>
          <w:sz w:val="24"/>
          <w:szCs w:val="24"/>
        </w:rPr>
        <w:t xml:space="preserve"> </w:t>
      </w:r>
      <w:r w:rsidR="00A67863">
        <w:rPr>
          <w:sz w:val="24"/>
          <w:szCs w:val="24"/>
        </w:rPr>
        <w:t>(2014) ‘</w:t>
      </w:r>
      <w:r w:rsidRPr="007D4E5E">
        <w:rPr>
          <w:sz w:val="24"/>
          <w:szCs w:val="24"/>
        </w:rPr>
        <w:t xml:space="preserve">Family </w:t>
      </w:r>
      <w:r w:rsidR="00A67863">
        <w:rPr>
          <w:sz w:val="24"/>
          <w:szCs w:val="24"/>
        </w:rPr>
        <w:t>V</w:t>
      </w:r>
      <w:r w:rsidRPr="007D4E5E">
        <w:rPr>
          <w:sz w:val="24"/>
          <w:szCs w:val="24"/>
        </w:rPr>
        <w:t xml:space="preserve">iolence and </w:t>
      </w:r>
      <w:r w:rsidR="00A67863">
        <w:rPr>
          <w:sz w:val="24"/>
          <w:szCs w:val="24"/>
        </w:rPr>
        <w:t>F</w:t>
      </w:r>
      <w:r w:rsidRPr="007D4E5E">
        <w:rPr>
          <w:sz w:val="24"/>
          <w:szCs w:val="24"/>
        </w:rPr>
        <w:t xml:space="preserve">inancial </w:t>
      </w:r>
      <w:r w:rsidR="00A67863">
        <w:rPr>
          <w:sz w:val="24"/>
          <w:szCs w:val="24"/>
        </w:rPr>
        <w:t>O</w:t>
      </w:r>
      <w:r w:rsidRPr="007D4E5E">
        <w:rPr>
          <w:sz w:val="24"/>
          <w:szCs w:val="24"/>
        </w:rPr>
        <w:t xml:space="preserve">utcomes after </w:t>
      </w:r>
      <w:r w:rsidR="00A67863">
        <w:rPr>
          <w:sz w:val="24"/>
          <w:szCs w:val="24"/>
        </w:rPr>
        <w:t>P</w:t>
      </w:r>
      <w:r w:rsidRPr="007D4E5E">
        <w:rPr>
          <w:sz w:val="24"/>
          <w:szCs w:val="24"/>
        </w:rPr>
        <w:t xml:space="preserve">arental </w:t>
      </w:r>
      <w:r w:rsidR="00A67863">
        <w:rPr>
          <w:sz w:val="24"/>
          <w:szCs w:val="24"/>
        </w:rPr>
        <w:t>S</w:t>
      </w:r>
      <w:r w:rsidRPr="007D4E5E">
        <w:rPr>
          <w:sz w:val="24"/>
          <w:szCs w:val="24"/>
        </w:rPr>
        <w:t xml:space="preserve">eparation, </w:t>
      </w:r>
      <w:r w:rsidRPr="007D4E5E">
        <w:rPr>
          <w:i/>
          <w:sz w:val="24"/>
          <w:szCs w:val="24"/>
        </w:rPr>
        <w:t xml:space="preserve">Families, </w:t>
      </w:r>
      <w:r w:rsidR="00A67863">
        <w:rPr>
          <w:i/>
          <w:sz w:val="24"/>
          <w:szCs w:val="24"/>
        </w:rPr>
        <w:t>P</w:t>
      </w:r>
      <w:r w:rsidRPr="007D4E5E">
        <w:rPr>
          <w:i/>
          <w:sz w:val="24"/>
          <w:szCs w:val="24"/>
        </w:rPr>
        <w:t xml:space="preserve">olicy and the </w:t>
      </w:r>
      <w:r w:rsidR="00A67863">
        <w:rPr>
          <w:i/>
          <w:sz w:val="24"/>
          <w:szCs w:val="24"/>
        </w:rPr>
        <w:t>L</w:t>
      </w:r>
      <w:r w:rsidRPr="007D4E5E">
        <w:rPr>
          <w:i/>
          <w:sz w:val="24"/>
          <w:szCs w:val="24"/>
        </w:rPr>
        <w:t xml:space="preserve">aw: Selected </w:t>
      </w:r>
      <w:r w:rsidR="00A67863">
        <w:rPr>
          <w:i/>
          <w:sz w:val="24"/>
          <w:szCs w:val="24"/>
        </w:rPr>
        <w:t>E</w:t>
      </w:r>
      <w:r w:rsidRPr="007D4E5E">
        <w:rPr>
          <w:i/>
          <w:sz w:val="24"/>
          <w:szCs w:val="24"/>
        </w:rPr>
        <w:t xml:space="preserve">ssays on </w:t>
      </w:r>
      <w:r w:rsidR="00A67863">
        <w:rPr>
          <w:i/>
          <w:sz w:val="24"/>
          <w:szCs w:val="24"/>
        </w:rPr>
        <w:t>C</w:t>
      </w:r>
      <w:r w:rsidRPr="007D4E5E">
        <w:rPr>
          <w:i/>
          <w:sz w:val="24"/>
          <w:szCs w:val="24"/>
        </w:rPr>
        <w:t xml:space="preserve">ontemporary </w:t>
      </w:r>
      <w:r w:rsidR="00A67863">
        <w:rPr>
          <w:i/>
          <w:sz w:val="24"/>
          <w:szCs w:val="24"/>
        </w:rPr>
        <w:t>I</w:t>
      </w:r>
      <w:r w:rsidRPr="007D4E5E">
        <w:rPr>
          <w:i/>
          <w:sz w:val="24"/>
          <w:szCs w:val="24"/>
        </w:rPr>
        <w:t>ssues for Australia</w:t>
      </w:r>
      <w:r w:rsidRPr="007D4E5E">
        <w:rPr>
          <w:sz w:val="24"/>
          <w:szCs w:val="24"/>
        </w:rPr>
        <w:t>,</w:t>
      </w:r>
      <w:r w:rsidR="00F77AD8">
        <w:rPr>
          <w:sz w:val="24"/>
          <w:szCs w:val="24"/>
        </w:rPr>
        <w:t xml:space="preserve"> </w:t>
      </w:r>
      <w:r w:rsidRPr="007D4E5E">
        <w:rPr>
          <w:sz w:val="24"/>
          <w:szCs w:val="24"/>
        </w:rPr>
        <w:t>Australian Institute of Family Studies</w:t>
      </w:r>
      <w:r w:rsidR="0060592B">
        <w:rPr>
          <w:sz w:val="24"/>
          <w:szCs w:val="24"/>
        </w:rPr>
        <w:t>, 235-243</w:t>
      </w:r>
      <w:r w:rsidR="00A67863">
        <w:rPr>
          <w:sz w:val="24"/>
          <w:szCs w:val="24"/>
        </w:rPr>
        <w:t>.</w:t>
      </w:r>
    </w:p>
    <w:p w14:paraId="15EE7CF8" w14:textId="77777777" w:rsidR="007D4E5E" w:rsidRDefault="007D4E5E" w:rsidP="00956607">
      <w:pPr>
        <w:pStyle w:val="EndnoteText"/>
        <w:spacing w:line="240" w:lineRule="auto"/>
        <w:rPr>
          <w:sz w:val="24"/>
          <w:szCs w:val="24"/>
        </w:rPr>
      </w:pPr>
    </w:p>
    <w:p w14:paraId="2B5675CB" w14:textId="6A97E449" w:rsidR="00956607" w:rsidRPr="005566D4" w:rsidRDefault="00956607" w:rsidP="00956607">
      <w:pPr>
        <w:pStyle w:val="EndnoteText"/>
        <w:spacing w:line="240" w:lineRule="auto"/>
        <w:rPr>
          <w:sz w:val="24"/>
          <w:szCs w:val="24"/>
        </w:rPr>
      </w:pPr>
      <w:r w:rsidRPr="005566D4">
        <w:rPr>
          <w:sz w:val="24"/>
          <w:szCs w:val="24"/>
          <w:lang w:val="en-US"/>
        </w:rPr>
        <w:t>Field</w:t>
      </w:r>
      <w:r w:rsidR="00A67863">
        <w:rPr>
          <w:sz w:val="24"/>
          <w:szCs w:val="24"/>
          <w:lang w:val="en-US"/>
        </w:rPr>
        <w:t>, R. (1998)</w:t>
      </w:r>
      <w:r w:rsidRPr="005566D4">
        <w:rPr>
          <w:sz w:val="24"/>
          <w:szCs w:val="24"/>
          <w:lang w:val="en-US"/>
        </w:rPr>
        <w:t xml:space="preserve"> ‘Mediation and the Art of Power (Im)balancing’</w:t>
      </w:r>
      <w:r w:rsidR="00A67863">
        <w:rPr>
          <w:sz w:val="24"/>
          <w:szCs w:val="24"/>
          <w:lang w:val="en-US"/>
        </w:rPr>
        <w:t xml:space="preserve">, </w:t>
      </w:r>
      <w:r w:rsidRPr="005566D4">
        <w:rPr>
          <w:sz w:val="24"/>
          <w:szCs w:val="24"/>
          <w:lang w:val="en-US"/>
        </w:rPr>
        <w:t xml:space="preserve">12 </w:t>
      </w:r>
      <w:r w:rsidRPr="005566D4">
        <w:rPr>
          <w:i/>
          <w:sz w:val="24"/>
          <w:szCs w:val="24"/>
          <w:lang w:val="en-US"/>
        </w:rPr>
        <w:t>Queensland University of Technology and Law Journal</w:t>
      </w:r>
      <w:r w:rsidR="00A67863">
        <w:rPr>
          <w:i/>
          <w:sz w:val="24"/>
          <w:szCs w:val="24"/>
          <w:lang w:val="en-US"/>
        </w:rPr>
        <w:t xml:space="preserve">, </w:t>
      </w:r>
      <w:r w:rsidR="00A67863">
        <w:rPr>
          <w:sz w:val="24"/>
          <w:szCs w:val="24"/>
          <w:lang w:val="en-US"/>
        </w:rPr>
        <w:t xml:space="preserve">12, </w:t>
      </w:r>
      <w:r w:rsidRPr="005566D4">
        <w:rPr>
          <w:sz w:val="24"/>
          <w:szCs w:val="24"/>
          <w:lang w:val="en-US"/>
        </w:rPr>
        <w:t>264</w:t>
      </w:r>
      <w:r w:rsidR="00962434">
        <w:rPr>
          <w:sz w:val="24"/>
          <w:szCs w:val="24"/>
          <w:lang w:val="en-US"/>
        </w:rPr>
        <w:t>-273.</w:t>
      </w:r>
    </w:p>
    <w:p w14:paraId="2EF1BB33" w14:textId="77777777" w:rsidR="00956607" w:rsidRDefault="00956607" w:rsidP="00956607">
      <w:pPr>
        <w:pStyle w:val="EndnoteText"/>
        <w:spacing w:line="240" w:lineRule="auto"/>
        <w:rPr>
          <w:sz w:val="24"/>
          <w:szCs w:val="24"/>
        </w:rPr>
      </w:pPr>
    </w:p>
    <w:p w14:paraId="0AA74DD3" w14:textId="5C5BA048" w:rsidR="00956607" w:rsidRPr="00E14640" w:rsidRDefault="00956607" w:rsidP="00956607">
      <w:pPr>
        <w:pStyle w:val="EndnoteText"/>
        <w:spacing w:line="240" w:lineRule="auto"/>
        <w:rPr>
          <w:color w:val="000000"/>
          <w:sz w:val="24"/>
          <w:szCs w:val="24"/>
        </w:rPr>
      </w:pPr>
      <w:r w:rsidRPr="00E14640">
        <w:rPr>
          <w:sz w:val="24"/>
          <w:szCs w:val="24"/>
        </w:rPr>
        <w:t>Field</w:t>
      </w:r>
      <w:r w:rsidR="00A67863">
        <w:rPr>
          <w:sz w:val="24"/>
          <w:szCs w:val="24"/>
        </w:rPr>
        <w:t>,</w:t>
      </w:r>
      <w:r w:rsidRPr="00E14640">
        <w:rPr>
          <w:sz w:val="24"/>
          <w:szCs w:val="24"/>
        </w:rPr>
        <w:t xml:space="preserve"> </w:t>
      </w:r>
      <w:r w:rsidR="00A67863">
        <w:rPr>
          <w:sz w:val="24"/>
          <w:szCs w:val="24"/>
        </w:rPr>
        <w:t xml:space="preserve">R. </w:t>
      </w:r>
      <w:r w:rsidRPr="00E14640">
        <w:rPr>
          <w:sz w:val="24"/>
          <w:szCs w:val="24"/>
        </w:rPr>
        <w:t xml:space="preserve">‘Women and ADR’ in P Easteal (ed) </w:t>
      </w:r>
      <w:r w:rsidRPr="00E14640">
        <w:rPr>
          <w:i/>
          <w:sz w:val="24"/>
          <w:szCs w:val="24"/>
        </w:rPr>
        <w:t>Women and the Law in Australia</w:t>
      </w:r>
      <w:r w:rsidR="00A67863">
        <w:rPr>
          <w:i/>
          <w:sz w:val="24"/>
          <w:szCs w:val="24"/>
        </w:rPr>
        <w:t>,</w:t>
      </w:r>
      <w:r w:rsidRPr="00E14640">
        <w:rPr>
          <w:sz w:val="24"/>
          <w:szCs w:val="24"/>
        </w:rPr>
        <w:t xml:space="preserve"> </w:t>
      </w:r>
      <w:r w:rsidR="00F77AD8">
        <w:rPr>
          <w:sz w:val="24"/>
          <w:szCs w:val="24"/>
        </w:rPr>
        <w:t xml:space="preserve">Sydney: </w:t>
      </w:r>
      <w:r w:rsidRPr="00E14640">
        <w:rPr>
          <w:sz w:val="24"/>
          <w:szCs w:val="24"/>
        </w:rPr>
        <w:t>LexisNexis 2010</w:t>
      </w:r>
      <w:r w:rsidR="00A67863">
        <w:rPr>
          <w:sz w:val="24"/>
          <w:szCs w:val="24"/>
        </w:rPr>
        <w:t>,</w:t>
      </w:r>
      <w:r w:rsidRPr="00E14640">
        <w:rPr>
          <w:sz w:val="24"/>
          <w:szCs w:val="24"/>
        </w:rPr>
        <w:t xml:space="preserve"> 21</w:t>
      </w:r>
      <w:r w:rsidR="00962434">
        <w:rPr>
          <w:sz w:val="24"/>
          <w:szCs w:val="24"/>
        </w:rPr>
        <w:t>-34</w:t>
      </w:r>
      <w:r w:rsidR="00A67863">
        <w:rPr>
          <w:sz w:val="24"/>
          <w:szCs w:val="24"/>
        </w:rPr>
        <w:t>.</w:t>
      </w:r>
    </w:p>
    <w:p w14:paraId="52AA7C04" w14:textId="77777777" w:rsidR="00A67863" w:rsidRDefault="00A67863" w:rsidP="00956607">
      <w:pPr>
        <w:pStyle w:val="EndnoteText"/>
        <w:spacing w:line="240" w:lineRule="auto"/>
        <w:rPr>
          <w:sz w:val="24"/>
          <w:szCs w:val="24"/>
        </w:rPr>
      </w:pPr>
    </w:p>
    <w:p w14:paraId="645DADB5" w14:textId="6FBE699F" w:rsidR="00956607" w:rsidRPr="0051332A" w:rsidRDefault="00956607" w:rsidP="00956607">
      <w:pPr>
        <w:pStyle w:val="EndnoteText"/>
        <w:spacing w:line="240" w:lineRule="auto"/>
        <w:rPr>
          <w:sz w:val="24"/>
          <w:szCs w:val="24"/>
        </w:rPr>
      </w:pPr>
      <w:r w:rsidRPr="0051332A">
        <w:rPr>
          <w:color w:val="000000"/>
          <w:sz w:val="24"/>
          <w:szCs w:val="24"/>
        </w:rPr>
        <w:t>Field</w:t>
      </w:r>
      <w:r w:rsidR="00A67863">
        <w:rPr>
          <w:color w:val="000000"/>
          <w:sz w:val="24"/>
          <w:szCs w:val="24"/>
        </w:rPr>
        <w:t>, R.</w:t>
      </w:r>
      <w:r w:rsidRPr="0051332A">
        <w:rPr>
          <w:color w:val="000000"/>
          <w:sz w:val="24"/>
          <w:szCs w:val="24"/>
        </w:rPr>
        <w:t xml:space="preserve"> </w:t>
      </w:r>
      <w:r w:rsidR="00A67863">
        <w:rPr>
          <w:color w:val="000000"/>
          <w:sz w:val="24"/>
          <w:szCs w:val="24"/>
        </w:rPr>
        <w:t xml:space="preserve">(2010) </w:t>
      </w:r>
      <w:r w:rsidRPr="0051332A">
        <w:rPr>
          <w:color w:val="000000"/>
          <w:sz w:val="24"/>
          <w:szCs w:val="24"/>
        </w:rPr>
        <w:t>‘FDR and Victims of Family Violence: Ensuring a Safe Process and Outcomes</w:t>
      </w:r>
      <w:r w:rsidR="00A67863">
        <w:rPr>
          <w:color w:val="000000"/>
          <w:sz w:val="24"/>
          <w:szCs w:val="24"/>
        </w:rPr>
        <w:t xml:space="preserve">’, </w:t>
      </w:r>
      <w:r w:rsidRPr="00A67863">
        <w:rPr>
          <w:i/>
          <w:color w:val="000000"/>
          <w:sz w:val="24"/>
          <w:szCs w:val="24"/>
        </w:rPr>
        <w:t>A</w:t>
      </w:r>
      <w:r w:rsidR="00550BAF">
        <w:rPr>
          <w:i/>
          <w:color w:val="000000"/>
          <w:sz w:val="24"/>
          <w:szCs w:val="24"/>
        </w:rPr>
        <w:t xml:space="preserve">ustralasian </w:t>
      </w:r>
      <w:r w:rsidRPr="00A67863">
        <w:rPr>
          <w:i/>
          <w:color w:val="000000"/>
          <w:sz w:val="24"/>
          <w:szCs w:val="24"/>
        </w:rPr>
        <w:t>D</w:t>
      </w:r>
      <w:r w:rsidR="00550BAF">
        <w:rPr>
          <w:i/>
          <w:color w:val="000000"/>
          <w:sz w:val="24"/>
          <w:szCs w:val="24"/>
        </w:rPr>
        <w:t xml:space="preserve">ispute </w:t>
      </w:r>
      <w:r w:rsidRPr="00A67863">
        <w:rPr>
          <w:i/>
          <w:color w:val="000000"/>
          <w:sz w:val="24"/>
          <w:szCs w:val="24"/>
        </w:rPr>
        <w:t>R</w:t>
      </w:r>
      <w:r w:rsidR="00550BAF">
        <w:rPr>
          <w:i/>
          <w:color w:val="000000"/>
          <w:sz w:val="24"/>
          <w:szCs w:val="24"/>
        </w:rPr>
        <w:t xml:space="preserve">esolution </w:t>
      </w:r>
      <w:r w:rsidRPr="00A67863">
        <w:rPr>
          <w:i/>
          <w:color w:val="000000"/>
          <w:sz w:val="24"/>
          <w:szCs w:val="24"/>
        </w:rPr>
        <w:t>J</w:t>
      </w:r>
      <w:r w:rsidR="00550BAF">
        <w:rPr>
          <w:i/>
          <w:color w:val="000000"/>
          <w:sz w:val="24"/>
          <w:szCs w:val="24"/>
        </w:rPr>
        <w:t>ournal</w:t>
      </w:r>
      <w:r w:rsidR="00A67863">
        <w:rPr>
          <w:color w:val="000000"/>
          <w:sz w:val="24"/>
          <w:szCs w:val="24"/>
        </w:rPr>
        <w:t>, 21,</w:t>
      </w:r>
      <w:r w:rsidRPr="0051332A">
        <w:rPr>
          <w:color w:val="000000"/>
          <w:sz w:val="24"/>
          <w:szCs w:val="24"/>
        </w:rPr>
        <w:t xml:space="preserve"> 185</w:t>
      </w:r>
      <w:r w:rsidR="00550BAF">
        <w:rPr>
          <w:color w:val="000000"/>
          <w:sz w:val="24"/>
          <w:szCs w:val="24"/>
        </w:rPr>
        <w:t>-193</w:t>
      </w:r>
      <w:r w:rsidRPr="0051332A">
        <w:rPr>
          <w:color w:val="000000"/>
          <w:sz w:val="24"/>
          <w:szCs w:val="24"/>
        </w:rPr>
        <w:t>.</w:t>
      </w:r>
    </w:p>
    <w:p w14:paraId="22BFB0D6" w14:textId="77777777" w:rsidR="00A67863" w:rsidRDefault="00A67863" w:rsidP="00956607">
      <w:pPr>
        <w:pStyle w:val="EndnoteText"/>
        <w:spacing w:line="240" w:lineRule="auto"/>
        <w:rPr>
          <w:sz w:val="24"/>
          <w:szCs w:val="24"/>
          <w:lang w:val="en-GB"/>
        </w:rPr>
      </w:pPr>
    </w:p>
    <w:p w14:paraId="78DDE911" w14:textId="11F46629" w:rsidR="00956607" w:rsidRPr="003E1068" w:rsidRDefault="00956607" w:rsidP="00956607">
      <w:pPr>
        <w:pStyle w:val="EndnoteText"/>
        <w:spacing w:line="240" w:lineRule="auto"/>
        <w:rPr>
          <w:sz w:val="24"/>
          <w:szCs w:val="24"/>
          <w:lang w:val="en-GB"/>
        </w:rPr>
      </w:pPr>
      <w:r w:rsidRPr="0061278B">
        <w:rPr>
          <w:sz w:val="24"/>
          <w:szCs w:val="24"/>
          <w:lang w:val="en-GB"/>
        </w:rPr>
        <w:t>Fineman,</w:t>
      </w:r>
      <w:r w:rsidR="00A67863" w:rsidRPr="0061278B">
        <w:rPr>
          <w:sz w:val="24"/>
          <w:szCs w:val="24"/>
          <w:lang w:val="en-GB"/>
        </w:rPr>
        <w:t xml:space="preserve"> M</w:t>
      </w:r>
      <w:r w:rsidR="0061278B">
        <w:rPr>
          <w:sz w:val="24"/>
          <w:szCs w:val="24"/>
          <w:lang w:val="en-GB"/>
        </w:rPr>
        <w:t>.</w:t>
      </w:r>
      <w:r w:rsidR="00A67863" w:rsidRPr="0061278B">
        <w:rPr>
          <w:sz w:val="24"/>
          <w:szCs w:val="24"/>
          <w:lang w:val="en-GB"/>
        </w:rPr>
        <w:t xml:space="preserve"> (2011)</w:t>
      </w:r>
      <w:r w:rsidRPr="0061278B">
        <w:rPr>
          <w:sz w:val="24"/>
          <w:szCs w:val="24"/>
          <w:lang w:val="en-GB"/>
        </w:rPr>
        <w:t xml:space="preserve"> ‘Women, Marriage and Motherhood in the United States: Allocating Responsibility in a Changing World’, </w:t>
      </w:r>
      <w:r w:rsidRPr="0061278B">
        <w:rPr>
          <w:i/>
          <w:sz w:val="24"/>
          <w:szCs w:val="24"/>
          <w:lang w:val="en-GB"/>
        </w:rPr>
        <w:t>Singapore Journal of Legal Studies</w:t>
      </w:r>
      <w:r w:rsidR="0061278B" w:rsidRPr="0061278B">
        <w:rPr>
          <w:i/>
          <w:sz w:val="24"/>
          <w:szCs w:val="24"/>
          <w:lang w:val="en-GB"/>
        </w:rPr>
        <w:t xml:space="preserve"> </w:t>
      </w:r>
      <w:r w:rsidR="0061278B" w:rsidRPr="0061278B">
        <w:rPr>
          <w:sz w:val="24"/>
          <w:szCs w:val="24"/>
          <w:lang w:val="en-GB"/>
        </w:rPr>
        <w:t>1</w:t>
      </w:r>
      <w:r w:rsidRPr="0061278B">
        <w:rPr>
          <w:sz w:val="24"/>
          <w:szCs w:val="24"/>
          <w:lang w:val="en-GB"/>
        </w:rPr>
        <w:t>,</w:t>
      </w:r>
      <w:r w:rsidRPr="0061278B">
        <w:rPr>
          <w:i/>
          <w:sz w:val="24"/>
          <w:szCs w:val="24"/>
          <w:lang w:val="en-GB"/>
        </w:rPr>
        <w:t xml:space="preserve"> </w:t>
      </w:r>
      <w:r w:rsidRPr="0061278B">
        <w:rPr>
          <w:sz w:val="24"/>
          <w:szCs w:val="24"/>
          <w:lang w:val="en-GB"/>
        </w:rPr>
        <w:t>1-17</w:t>
      </w:r>
      <w:r w:rsidR="005B6DF5" w:rsidRPr="0061278B">
        <w:rPr>
          <w:sz w:val="24"/>
          <w:szCs w:val="24"/>
          <w:lang w:val="en-GB"/>
        </w:rPr>
        <w:t>.</w:t>
      </w:r>
      <w:r w:rsidRPr="003E1068">
        <w:rPr>
          <w:sz w:val="24"/>
          <w:szCs w:val="24"/>
          <w:lang w:val="en-GB"/>
        </w:rPr>
        <w:t xml:space="preserve"> </w:t>
      </w:r>
    </w:p>
    <w:p w14:paraId="74433C17" w14:textId="77777777" w:rsidR="00956607" w:rsidRDefault="00956607" w:rsidP="00956607">
      <w:pPr>
        <w:pStyle w:val="EndnoteText"/>
        <w:spacing w:line="240" w:lineRule="auto"/>
        <w:rPr>
          <w:sz w:val="24"/>
          <w:szCs w:val="24"/>
          <w:lang w:val="en-GB"/>
        </w:rPr>
      </w:pPr>
    </w:p>
    <w:p w14:paraId="52653591" w14:textId="45AC278A" w:rsidR="00956607" w:rsidRDefault="00956607" w:rsidP="00956607">
      <w:pPr>
        <w:pStyle w:val="EndnoteText"/>
        <w:spacing w:line="240" w:lineRule="auto"/>
        <w:rPr>
          <w:color w:val="202020"/>
          <w:sz w:val="24"/>
          <w:szCs w:val="24"/>
          <w:lang w:val="en-US"/>
        </w:rPr>
      </w:pPr>
      <w:r w:rsidRPr="00430EED">
        <w:rPr>
          <w:sz w:val="24"/>
          <w:szCs w:val="24"/>
        </w:rPr>
        <w:t>Fitch</w:t>
      </w:r>
      <w:r w:rsidR="005B6DF5">
        <w:rPr>
          <w:sz w:val="24"/>
          <w:szCs w:val="24"/>
        </w:rPr>
        <w:t>, E.</w:t>
      </w:r>
      <w:r w:rsidRPr="00430EED">
        <w:rPr>
          <w:sz w:val="24"/>
          <w:szCs w:val="24"/>
        </w:rPr>
        <w:t xml:space="preserve"> and Easteal</w:t>
      </w:r>
      <w:r w:rsidR="005B6DF5">
        <w:rPr>
          <w:sz w:val="24"/>
          <w:szCs w:val="24"/>
        </w:rPr>
        <w:t>,</w:t>
      </w:r>
      <w:r w:rsidRPr="00430EED">
        <w:rPr>
          <w:sz w:val="24"/>
          <w:szCs w:val="24"/>
        </w:rPr>
        <w:t xml:space="preserve"> </w:t>
      </w:r>
      <w:r w:rsidR="005B6DF5">
        <w:rPr>
          <w:sz w:val="24"/>
          <w:szCs w:val="24"/>
        </w:rPr>
        <w:t xml:space="preserve">P. </w:t>
      </w:r>
      <w:r w:rsidRPr="00430EED">
        <w:rPr>
          <w:sz w:val="24"/>
          <w:szCs w:val="24"/>
        </w:rPr>
        <w:t xml:space="preserve">(2017) </w:t>
      </w:r>
      <w:r w:rsidR="005B6DF5">
        <w:rPr>
          <w:sz w:val="24"/>
          <w:szCs w:val="24"/>
        </w:rPr>
        <w:t>‘</w:t>
      </w:r>
      <w:r w:rsidRPr="00430EED">
        <w:rPr>
          <w:color w:val="202020"/>
          <w:sz w:val="24"/>
          <w:szCs w:val="24"/>
          <w:lang w:val="en-US"/>
        </w:rPr>
        <w:t xml:space="preserve">Vexatious Litigation in Family Law and Coercive Control: Ways to Improve Legal Remedies and Better Protect the Victims,’ </w:t>
      </w:r>
      <w:r w:rsidRPr="00430EED">
        <w:rPr>
          <w:i/>
          <w:color w:val="202020"/>
          <w:sz w:val="24"/>
          <w:szCs w:val="24"/>
          <w:lang w:val="en-US"/>
        </w:rPr>
        <w:t>Family Law Review</w:t>
      </w:r>
      <w:r w:rsidRPr="00430EED">
        <w:rPr>
          <w:color w:val="202020"/>
          <w:sz w:val="24"/>
          <w:szCs w:val="24"/>
          <w:lang w:val="en-US"/>
        </w:rPr>
        <w:t>, 7:103</w:t>
      </w:r>
      <w:r w:rsidR="00323790">
        <w:rPr>
          <w:color w:val="202020"/>
          <w:sz w:val="24"/>
          <w:szCs w:val="24"/>
          <w:lang w:val="en-US"/>
        </w:rPr>
        <w:t>-115</w:t>
      </w:r>
      <w:r w:rsidRPr="00430EED">
        <w:rPr>
          <w:color w:val="202020"/>
          <w:sz w:val="24"/>
          <w:szCs w:val="24"/>
          <w:lang w:val="en-US"/>
        </w:rPr>
        <w:t>.</w:t>
      </w:r>
    </w:p>
    <w:p w14:paraId="5B34265A" w14:textId="4011EC0C" w:rsidR="00B736BA" w:rsidRDefault="00B736BA" w:rsidP="00956607">
      <w:pPr>
        <w:pStyle w:val="EndnoteText"/>
        <w:spacing w:line="240" w:lineRule="auto"/>
        <w:rPr>
          <w:sz w:val="24"/>
          <w:szCs w:val="24"/>
          <w:lang w:val="en-GB"/>
        </w:rPr>
      </w:pPr>
    </w:p>
    <w:p w14:paraId="0A9969C5" w14:textId="04298084" w:rsidR="00B736BA" w:rsidRPr="0092466C" w:rsidRDefault="00B736BA" w:rsidP="00956607">
      <w:pPr>
        <w:pStyle w:val="EndnoteText"/>
        <w:spacing w:line="240" w:lineRule="auto"/>
        <w:rPr>
          <w:sz w:val="24"/>
        </w:rPr>
      </w:pPr>
      <w:r w:rsidRPr="00B736BA">
        <w:rPr>
          <w:sz w:val="24"/>
        </w:rPr>
        <w:t>Graycar</w:t>
      </w:r>
      <w:r>
        <w:rPr>
          <w:sz w:val="24"/>
        </w:rPr>
        <w:t>, R.</w:t>
      </w:r>
      <w:r w:rsidRPr="00B736BA">
        <w:rPr>
          <w:sz w:val="24"/>
        </w:rPr>
        <w:t xml:space="preserve"> and Morgan,</w:t>
      </w:r>
      <w:r>
        <w:rPr>
          <w:sz w:val="24"/>
        </w:rPr>
        <w:t xml:space="preserve"> J. (2002)</w:t>
      </w:r>
      <w:r w:rsidRPr="00B736BA">
        <w:rPr>
          <w:sz w:val="24"/>
        </w:rPr>
        <w:t xml:space="preserve"> </w:t>
      </w:r>
      <w:r w:rsidRPr="00B736BA">
        <w:rPr>
          <w:i/>
          <w:sz w:val="24"/>
        </w:rPr>
        <w:t>The Hidden Gender of Law</w:t>
      </w:r>
      <w:r w:rsidRPr="00B736BA">
        <w:rPr>
          <w:sz w:val="24"/>
        </w:rPr>
        <w:t>,</w:t>
      </w:r>
      <w:r w:rsidR="00F77AD8">
        <w:rPr>
          <w:sz w:val="24"/>
        </w:rPr>
        <w:t xml:space="preserve"> Sydney:</w:t>
      </w:r>
      <w:r w:rsidRPr="00B736BA">
        <w:rPr>
          <w:sz w:val="24"/>
        </w:rPr>
        <w:t xml:space="preserve"> Federation Press</w:t>
      </w:r>
      <w:r w:rsidR="0092466C">
        <w:rPr>
          <w:sz w:val="24"/>
        </w:rPr>
        <w:t>.</w:t>
      </w:r>
    </w:p>
    <w:p w14:paraId="0FC4D538" w14:textId="77777777" w:rsidR="00956607" w:rsidRPr="00B736BA" w:rsidRDefault="00956607" w:rsidP="00956607">
      <w:pPr>
        <w:pStyle w:val="EndnoteText"/>
        <w:spacing w:line="240" w:lineRule="auto"/>
        <w:rPr>
          <w:sz w:val="32"/>
          <w:szCs w:val="24"/>
          <w:lang w:val="en-GB"/>
        </w:rPr>
      </w:pPr>
    </w:p>
    <w:p w14:paraId="0D347B25" w14:textId="5BC156EE" w:rsidR="00956607" w:rsidRPr="0066638E" w:rsidRDefault="00956607" w:rsidP="00956607">
      <w:pPr>
        <w:pStyle w:val="EndnoteText"/>
        <w:spacing w:line="240" w:lineRule="auto"/>
        <w:rPr>
          <w:sz w:val="24"/>
          <w:szCs w:val="24"/>
        </w:rPr>
      </w:pPr>
      <w:r w:rsidRPr="0066638E">
        <w:rPr>
          <w:color w:val="000000" w:themeColor="text1"/>
          <w:sz w:val="24"/>
          <w:szCs w:val="24"/>
        </w:rPr>
        <w:t xml:space="preserve">Hegarty, </w:t>
      </w:r>
      <w:r w:rsidR="005B6DF5">
        <w:rPr>
          <w:color w:val="000000" w:themeColor="text1"/>
          <w:sz w:val="24"/>
          <w:szCs w:val="24"/>
        </w:rPr>
        <w:t xml:space="preserve">K. </w:t>
      </w:r>
      <w:r w:rsidRPr="0066638E">
        <w:rPr>
          <w:color w:val="000000" w:themeColor="text1"/>
          <w:sz w:val="24"/>
          <w:szCs w:val="24"/>
        </w:rPr>
        <w:t xml:space="preserve">O'Doherty, </w:t>
      </w:r>
      <w:r w:rsidR="005B6DF5">
        <w:rPr>
          <w:color w:val="000000" w:themeColor="text1"/>
          <w:sz w:val="24"/>
          <w:szCs w:val="24"/>
        </w:rPr>
        <w:t xml:space="preserve">L. </w:t>
      </w:r>
      <w:r w:rsidRPr="0066638E">
        <w:rPr>
          <w:color w:val="000000" w:themeColor="text1"/>
          <w:sz w:val="24"/>
          <w:szCs w:val="24"/>
        </w:rPr>
        <w:t>Chondros,</w:t>
      </w:r>
      <w:r w:rsidR="005B6DF5">
        <w:rPr>
          <w:color w:val="000000" w:themeColor="text1"/>
          <w:sz w:val="24"/>
          <w:szCs w:val="24"/>
        </w:rPr>
        <w:t xml:space="preserve"> P.</w:t>
      </w:r>
      <w:r w:rsidRPr="0066638E">
        <w:rPr>
          <w:color w:val="000000" w:themeColor="text1"/>
          <w:sz w:val="24"/>
          <w:szCs w:val="24"/>
        </w:rPr>
        <w:t xml:space="preserve"> et al, </w:t>
      </w:r>
      <w:r w:rsidR="005B6DF5">
        <w:rPr>
          <w:color w:val="000000" w:themeColor="text1"/>
          <w:sz w:val="24"/>
          <w:szCs w:val="24"/>
        </w:rPr>
        <w:t xml:space="preserve">(2013) </w:t>
      </w:r>
      <w:r w:rsidRPr="0066638E">
        <w:rPr>
          <w:color w:val="000000" w:themeColor="text1"/>
          <w:sz w:val="24"/>
          <w:szCs w:val="24"/>
        </w:rPr>
        <w:t>‘Effect of Type and Severity of Intimate Partner Violence on Women's Health and Service Use: Findings from a Primary Care Trial of Women Afraid of their Partners’</w:t>
      </w:r>
      <w:r w:rsidR="005B6DF5">
        <w:rPr>
          <w:color w:val="000000" w:themeColor="text1"/>
          <w:sz w:val="24"/>
          <w:szCs w:val="24"/>
        </w:rPr>
        <w:t>,</w:t>
      </w:r>
      <w:r w:rsidRPr="0066638E">
        <w:rPr>
          <w:color w:val="000000" w:themeColor="text1"/>
          <w:sz w:val="24"/>
          <w:szCs w:val="24"/>
        </w:rPr>
        <w:t xml:space="preserve"> </w:t>
      </w:r>
      <w:r w:rsidRPr="0066638E">
        <w:rPr>
          <w:i/>
          <w:color w:val="000000" w:themeColor="text1"/>
          <w:sz w:val="24"/>
          <w:szCs w:val="24"/>
        </w:rPr>
        <w:t>Journal of Interpersonal Violence</w:t>
      </w:r>
      <w:r w:rsidR="005B6DF5">
        <w:rPr>
          <w:i/>
          <w:color w:val="000000" w:themeColor="text1"/>
          <w:sz w:val="24"/>
          <w:szCs w:val="24"/>
        </w:rPr>
        <w:t xml:space="preserve"> </w:t>
      </w:r>
      <w:r w:rsidR="005B6DF5">
        <w:rPr>
          <w:color w:val="000000" w:themeColor="text1"/>
          <w:sz w:val="24"/>
          <w:szCs w:val="24"/>
        </w:rPr>
        <w:t>28(2)</w:t>
      </w:r>
      <w:r w:rsidRPr="0066638E">
        <w:rPr>
          <w:i/>
          <w:color w:val="000000" w:themeColor="text1"/>
          <w:sz w:val="24"/>
          <w:szCs w:val="24"/>
        </w:rPr>
        <w:t xml:space="preserve"> </w:t>
      </w:r>
      <w:r w:rsidRPr="0066638E">
        <w:rPr>
          <w:color w:val="000000" w:themeColor="text1"/>
          <w:sz w:val="24"/>
          <w:szCs w:val="24"/>
        </w:rPr>
        <w:t>273</w:t>
      </w:r>
      <w:r w:rsidR="00513DDF">
        <w:rPr>
          <w:color w:val="000000" w:themeColor="text1"/>
          <w:sz w:val="24"/>
          <w:szCs w:val="24"/>
        </w:rPr>
        <w:t>-294</w:t>
      </w:r>
      <w:r w:rsidRPr="0066638E">
        <w:rPr>
          <w:sz w:val="24"/>
          <w:szCs w:val="24"/>
        </w:rPr>
        <w:t>.</w:t>
      </w:r>
    </w:p>
    <w:p w14:paraId="3164FDF4" w14:textId="77777777" w:rsidR="00956607" w:rsidRPr="0066638E" w:rsidRDefault="00956607" w:rsidP="00956607">
      <w:pPr>
        <w:pStyle w:val="EndnoteText"/>
        <w:spacing w:line="240" w:lineRule="auto"/>
        <w:rPr>
          <w:sz w:val="24"/>
          <w:szCs w:val="24"/>
          <w:lang w:val="en-GB"/>
        </w:rPr>
      </w:pPr>
    </w:p>
    <w:p w14:paraId="0A6F465F" w14:textId="39476641" w:rsidR="00956607" w:rsidRDefault="00956607" w:rsidP="00956607">
      <w:r w:rsidRPr="00A0783B">
        <w:t>Holmes,</w:t>
      </w:r>
      <w:r w:rsidR="005B6DF5">
        <w:t xml:space="preserve"> J. (2006)</w:t>
      </w:r>
      <w:r w:rsidRPr="00A0783B">
        <w:t xml:space="preserve"> </w:t>
      </w:r>
      <w:r w:rsidRPr="00A0783B">
        <w:rPr>
          <w:i/>
        </w:rPr>
        <w:t>Gendered Talk at Work</w:t>
      </w:r>
      <w:r w:rsidR="005B6DF5">
        <w:rPr>
          <w:i/>
        </w:rPr>
        <w:t xml:space="preserve">, </w:t>
      </w:r>
      <w:r w:rsidR="00E04A7C">
        <w:t xml:space="preserve">Oxford: </w:t>
      </w:r>
      <w:r w:rsidRPr="00A0783B">
        <w:t>Blackwell</w:t>
      </w:r>
      <w:r w:rsidR="005B6DF5">
        <w:t>.</w:t>
      </w:r>
    </w:p>
    <w:p w14:paraId="69EB5DFC" w14:textId="77777777" w:rsidR="00956607" w:rsidRDefault="00956607" w:rsidP="00956607">
      <w:pPr>
        <w:pStyle w:val="EndnoteText"/>
        <w:spacing w:line="240" w:lineRule="auto"/>
        <w:rPr>
          <w:sz w:val="24"/>
          <w:szCs w:val="24"/>
          <w:lang w:val="en-GB"/>
        </w:rPr>
      </w:pPr>
    </w:p>
    <w:p w14:paraId="34EA1C88" w14:textId="5A9E7E05" w:rsidR="003B2C0D" w:rsidRPr="003B2C0D" w:rsidRDefault="003B2C0D" w:rsidP="00956607">
      <w:pPr>
        <w:pStyle w:val="EndnoteText"/>
        <w:spacing w:line="240" w:lineRule="auto"/>
        <w:rPr>
          <w:color w:val="000000" w:themeColor="text1"/>
          <w:sz w:val="24"/>
          <w:szCs w:val="24"/>
        </w:rPr>
      </w:pPr>
      <w:r w:rsidRPr="003B2C0D">
        <w:rPr>
          <w:color w:val="000000" w:themeColor="text1"/>
          <w:sz w:val="24"/>
          <w:szCs w:val="24"/>
        </w:rPr>
        <w:lastRenderedPageBreak/>
        <w:t>Hosiosky</w:t>
      </w:r>
      <w:r w:rsidR="005B6DF5">
        <w:rPr>
          <w:color w:val="000000" w:themeColor="text1"/>
          <w:sz w:val="24"/>
          <w:szCs w:val="24"/>
        </w:rPr>
        <w:t>, M.</w:t>
      </w:r>
      <w:r w:rsidRPr="003B2C0D">
        <w:rPr>
          <w:color w:val="000000" w:themeColor="text1"/>
          <w:sz w:val="24"/>
          <w:szCs w:val="24"/>
        </w:rPr>
        <w:t xml:space="preserve"> </w:t>
      </w:r>
      <w:r w:rsidR="005B6DF5">
        <w:rPr>
          <w:color w:val="000000" w:themeColor="text1"/>
          <w:sz w:val="24"/>
          <w:szCs w:val="24"/>
        </w:rPr>
        <w:t xml:space="preserve">(2014) </w:t>
      </w:r>
      <w:r w:rsidRPr="003B2C0D">
        <w:rPr>
          <w:color w:val="000000" w:themeColor="text1"/>
          <w:sz w:val="24"/>
          <w:szCs w:val="24"/>
        </w:rPr>
        <w:t>‘Vexatious Litigants and Family Law Proceedings in Australia’</w:t>
      </w:r>
      <w:r w:rsidR="005B6DF5">
        <w:rPr>
          <w:color w:val="000000" w:themeColor="text1"/>
          <w:sz w:val="24"/>
          <w:szCs w:val="24"/>
        </w:rPr>
        <w:t>,</w:t>
      </w:r>
      <w:r w:rsidRPr="003B2C0D">
        <w:rPr>
          <w:color w:val="000000" w:themeColor="text1"/>
          <w:sz w:val="24"/>
          <w:szCs w:val="24"/>
        </w:rPr>
        <w:t xml:space="preserve"> </w:t>
      </w:r>
      <w:r w:rsidRPr="003B2C0D">
        <w:rPr>
          <w:i/>
          <w:color w:val="000000" w:themeColor="text1"/>
          <w:sz w:val="24"/>
          <w:szCs w:val="24"/>
        </w:rPr>
        <w:t>Family Law Express</w:t>
      </w:r>
      <w:r w:rsidR="005B6DF5">
        <w:rPr>
          <w:i/>
          <w:color w:val="000000" w:themeColor="text1"/>
          <w:sz w:val="24"/>
          <w:szCs w:val="24"/>
        </w:rPr>
        <w:t xml:space="preserve">. </w:t>
      </w:r>
      <w:r w:rsidR="005B6DF5">
        <w:rPr>
          <w:color w:val="000000" w:themeColor="text1"/>
          <w:sz w:val="24"/>
          <w:szCs w:val="24"/>
        </w:rPr>
        <w:t>Available online:</w:t>
      </w:r>
      <w:r w:rsidRPr="003B2C0D">
        <w:rPr>
          <w:color w:val="000000" w:themeColor="text1"/>
          <w:sz w:val="24"/>
          <w:szCs w:val="24"/>
        </w:rPr>
        <w:t xml:space="preserve"> </w:t>
      </w:r>
      <w:hyperlink r:id="rId14" w:anchor="fn-2756-30" w:history="1">
        <w:r w:rsidRPr="003B2C0D">
          <w:rPr>
            <w:rStyle w:val="Hyperlink"/>
            <w:sz w:val="24"/>
            <w:szCs w:val="24"/>
          </w:rPr>
          <w:t>http://www.familylawexpress.com.au/family-law-brief/legal-proceedings/vexatious-litigant/vexatious-litigants-family-law-proceedings-in-australia/2756/#fn-2756-30</w:t>
        </w:r>
      </w:hyperlink>
    </w:p>
    <w:p w14:paraId="29EB3EA2" w14:textId="77777777" w:rsidR="003B2C0D" w:rsidRDefault="003B2C0D" w:rsidP="00956607">
      <w:pPr>
        <w:pStyle w:val="EndnoteText"/>
        <w:spacing w:line="240" w:lineRule="auto"/>
        <w:rPr>
          <w:sz w:val="24"/>
          <w:szCs w:val="24"/>
          <w:lang w:val="en-GB"/>
        </w:rPr>
      </w:pPr>
    </w:p>
    <w:p w14:paraId="05818496" w14:textId="01D0F7DF" w:rsidR="00956607" w:rsidRPr="00711226" w:rsidRDefault="00956607" w:rsidP="00956607">
      <w:pPr>
        <w:pStyle w:val="EndnoteText"/>
        <w:spacing w:line="240" w:lineRule="auto"/>
        <w:rPr>
          <w:sz w:val="24"/>
          <w:szCs w:val="24"/>
          <w:lang w:val="en-GB"/>
        </w:rPr>
      </w:pPr>
      <w:r w:rsidRPr="00711226">
        <w:rPr>
          <w:sz w:val="24"/>
          <w:szCs w:val="24"/>
        </w:rPr>
        <w:t xml:space="preserve">Hunter, </w:t>
      </w:r>
      <w:r w:rsidR="00C10355">
        <w:rPr>
          <w:sz w:val="24"/>
          <w:szCs w:val="24"/>
        </w:rPr>
        <w:t>R</w:t>
      </w:r>
      <w:r w:rsidR="00AC1A49">
        <w:rPr>
          <w:sz w:val="24"/>
          <w:szCs w:val="24"/>
        </w:rPr>
        <w:t>.</w:t>
      </w:r>
      <w:r w:rsidR="00C10355">
        <w:rPr>
          <w:sz w:val="24"/>
          <w:szCs w:val="24"/>
        </w:rPr>
        <w:t xml:space="preserve"> (2008) </w:t>
      </w:r>
      <w:r w:rsidRPr="00711226">
        <w:rPr>
          <w:i/>
          <w:sz w:val="24"/>
          <w:szCs w:val="24"/>
        </w:rPr>
        <w:t>Domestic Violence Law Reform and Women’s Experience in Court: The Implementation of Feminist Reforms in Civil Proceedings</w:t>
      </w:r>
      <w:r w:rsidR="00C10355">
        <w:rPr>
          <w:sz w:val="24"/>
          <w:szCs w:val="24"/>
        </w:rPr>
        <w:t xml:space="preserve">, </w:t>
      </w:r>
      <w:r w:rsidR="00AC1A49">
        <w:rPr>
          <w:sz w:val="24"/>
          <w:szCs w:val="24"/>
        </w:rPr>
        <w:t xml:space="preserve">New York: </w:t>
      </w:r>
      <w:r w:rsidR="00C10355">
        <w:rPr>
          <w:sz w:val="24"/>
          <w:szCs w:val="24"/>
        </w:rPr>
        <w:t>Cambria Press.</w:t>
      </w:r>
    </w:p>
    <w:p w14:paraId="54C82184" w14:textId="77777777" w:rsidR="00956607" w:rsidRDefault="00956607" w:rsidP="00956607">
      <w:pPr>
        <w:pStyle w:val="EndnoteText"/>
        <w:spacing w:line="240" w:lineRule="auto"/>
        <w:rPr>
          <w:sz w:val="24"/>
          <w:szCs w:val="24"/>
          <w:lang w:val="en-GB"/>
        </w:rPr>
      </w:pPr>
    </w:p>
    <w:p w14:paraId="1CBAB98B" w14:textId="456FDA1A" w:rsidR="00956607" w:rsidRPr="00FB52FD" w:rsidRDefault="00956607" w:rsidP="00956607">
      <w:pPr>
        <w:pStyle w:val="EndnoteText"/>
        <w:spacing w:line="240" w:lineRule="auto"/>
        <w:rPr>
          <w:sz w:val="24"/>
          <w:szCs w:val="24"/>
          <w:lang w:val="en-GB"/>
        </w:rPr>
      </w:pPr>
      <w:r w:rsidRPr="0061278B">
        <w:rPr>
          <w:sz w:val="24"/>
          <w:szCs w:val="24"/>
          <w:lang w:val="en-GB"/>
        </w:rPr>
        <w:t>Inglis</w:t>
      </w:r>
      <w:r w:rsidR="00FB52FD" w:rsidRPr="0061278B">
        <w:rPr>
          <w:sz w:val="24"/>
          <w:szCs w:val="24"/>
          <w:lang w:val="en-GB"/>
        </w:rPr>
        <w:t>, A. (2003)</w:t>
      </w:r>
      <w:r w:rsidRPr="0061278B">
        <w:rPr>
          <w:sz w:val="24"/>
          <w:szCs w:val="24"/>
          <w:lang w:val="en-GB"/>
        </w:rPr>
        <w:t xml:space="preserve"> ‘“The Ordinary Run of Fighting”? - Domestic Violence and Financial Provision’, </w:t>
      </w:r>
      <w:r w:rsidRPr="0061278B">
        <w:rPr>
          <w:i/>
          <w:sz w:val="24"/>
          <w:szCs w:val="24"/>
          <w:lang w:val="en-GB"/>
        </w:rPr>
        <w:t>Family Law</w:t>
      </w:r>
      <w:r w:rsidR="00FB52FD" w:rsidRPr="0061278B">
        <w:rPr>
          <w:i/>
          <w:sz w:val="24"/>
          <w:szCs w:val="24"/>
          <w:lang w:val="en-GB"/>
        </w:rPr>
        <w:t xml:space="preserve"> </w:t>
      </w:r>
      <w:r w:rsidR="00FB52FD" w:rsidRPr="0061278B">
        <w:rPr>
          <w:sz w:val="24"/>
          <w:szCs w:val="24"/>
          <w:lang w:val="en-GB"/>
        </w:rPr>
        <w:t>33</w:t>
      </w:r>
      <w:r w:rsidR="0061278B" w:rsidRPr="0061278B">
        <w:rPr>
          <w:sz w:val="24"/>
          <w:szCs w:val="24"/>
          <w:lang w:val="en-GB"/>
        </w:rPr>
        <w:t>,</w:t>
      </w:r>
      <w:r w:rsidR="0061278B">
        <w:rPr>
          <w:sz w:val="24"/>
          <w:szCs w:val="24"/>
          <w:lang w:val="en-GB"/>
        </w:rPr>
        <w:t xml:space="preserve"> 181-185.</w:t>
      </w:r>
    </w:p>
    <w:p w14:paraId="426CD540" w14:textId="77777777" w:rsidR="00956607" w:rsidRPr="002D5D6B" w:rsidRDefault="00956607" w:rsidP="00956607">
      <w:pPr>
        <w:pStyle w:val="EndnoteText"/>
        <w:spacing w:line="240" w:lineRule="auto"/>
        <w:rPr>
          <w:sz w:val="24"/>
          <w:szCs w:val="24"/>
          <w:lang w:val="en-GB"/>
        </w:rPr>
      </w:pPr>
    </w:p>
    <w:p w14:paraId="643DC43A" w14:textId="0EA721D0" w:rsidR="00956607" w:rsidRDefault="00956607" w:rsidP="00956607">
      <w:pPr>
        <w:pStyle w:val="EndnoteText"/>
        <w:spacing w:line="240" w:lineRule="auto"/>
        <w:rPr>
          <w:sz w:val="24"/>
          <w:szCs w:val="24"/>
        </w:rPr>
      </w:pPr>
      <w:r w:rsidRPr="00316459">
        <w:rPr>
          <w:sz w:val="24"/>
          <w:szCs w:val="24"/>
        </w:rPr>
        <w:t>Kaspiew,</w:t>
      </w:r>
      <w:r w:rsidR="00FB52FD">
        <w:rPr>
          <w:sz w:val="24"/>
          <w:szCs w:val="24"/>
        </w:rPr>
        <w:t xml:space="preserve"> R.</w:t>
      </w:r>
      <w:r w:rsidRPr="00316459">
        <w:rPr>
          <w:sz w:val="24"/>
          <w:szCs w:val="24"/>
        </w:rPr>
        <w:t xml:space="preserve"> De Maio, </w:t>
      </w:r>
      <w:r w:rsidR="00FB52FD">
        <w:rPr>
          <w:sz w:val="24"/>
          <w:szCs w:val="24"/>
        </w:rPr>
        <w:t xml:space="preserve">J. </w:t>
      </w:r>
      <w:r w:rsidRPr="00316459">
        <w:rPr>
          <w:sz w:val="24"/>
          <w:szCs w:val="24"/>
        </w:rPr>
        <w:t xml:space="preserve"> Deblaquiere </w:t>
      </w:r>
      <w:r w:rsidR="00FB52FD">
        <w:rPr>
          <w:sz w:val="24"/>
          <w:szCs w:val="24"/>
        </w:rPr>
        <w:t>J.</w:t>
      </w:r>
      <w:r w:rsidR="00AC1A49">
        <w:rPr>
          <w:sz w:val="24"/>
          <w:szCs w:val="24"/>
        </w:rPr>
        <w:t xml:space="preserve"> </w:t>
      </w:r>
      <w:r w:rsidRPr="00316459">
        <w:rPr>
          <w:sz w:val="24"/>
          <w:szCs w:val="24"/>
        </w:rPr>
        <w:t>and Horsfall,</w:t>
      </w:r>
      <w:r w:rsidR="00FB52FD">
        <w:rPr>
          <w:sz w:val="24"/>
          <w:szCs w:val="24"/>
        </w:rPr>
        <w:t xml:space="preserve"> B. (2017) </w:t>
      </w:r>
      <w:r w:rsidRPr="00FB52FD">
        <w:rPr>
          <w:i/>
          <w:sz w:val="24"/>
          <w:szCs w:val="24"/>
        </w:rPr>
        <w:t xml:space="preserve">Evaluation of a </w:t>
      </w:r>
      <w:r w:rsidR="00FB52FD">
        <w:rPr>
          <w:i/>
          <w:sz w:val="24"/>
          <w:szCs w:val="24"/>
        </w:rPr>
        <w:t>P</w:t>
      </w:r>
      <w:r w:rsidRPr="00FB52FD">
        <w:rPr>
          <w:i/>
          <w:sz w:val="24"/>
          <w:szCs w:val="24"/>
        </w:rPr>
        <w:t xml:space="preserve">ilot of </w:t>
      </w:r>
      <w:r w:rsidR="00FB52FD">
        <w:rPr>
          <w:i/>
          <w:sz w:val="24"/>
          <w:szCs w:val="24"/>
        </w:rPr>
        <w:t>L</w:t>
      </w:r>
      <w:r w:rsidRPr="00FB52FD">
        <w:rPr>
          <w:i/>
          <w:sz w:val="24"/>
          <w:szCs w:val="24"/>
        </w:rPr>
        <w:t xml:space="preserve">egally </w:t>
      </w:r>
      <w:r w:rsidR="00FB52FD">
        <w:rPr>
          <w:i/>
          <w:sz w:val="24"/>
          <w:szCs w:val="24"/>
        </w:rPr>
        <w:t>A</w:t>
      </w:r>
      <w:r w:rsidRPr="00FB52FD">
        <w:rPr>
          <w:i/>
          <w:sz w:val="24"/>
          <w:szCs w:val="24"/>
        </w:rPr>
        <w:t xml:space="preserve">ssisted and </w:t>
      </w:r>
      <w:r w:rsidR="00FB52FD">
        <w:rPr>
          <w:i/>
          <w:sz w:val="24"/>
          <w:szCs w:val="24"/>
        </w:rPr>
        <w:t>S</w:t>
      </w:r>
      <w:r w:rsidRPr="00FB52FD">
        <w:rPr>
          <w:i/>
          <w:sz w:val="24"/>
          <w:szCs w:val="24"/>
        </w:rPr>
        <w:t xml:space="preserve">upported </w:t>
      </w:r>
      <w:r w:rsidR="00FB52FD">
        <w:rPr>
          <w:i/>
          <w:sz w:val="24"/>
          <w:szCs w:val="24"/>
        </w:rPr>
        <w:t>F</w:t>
      </w:r>
      <w:r w:rsidRPr="00FB52FD">
        <w:rPr>
          <w:i/>
          <w:sz w:val="24"/>
          <w:szCs w:val="24"/>
        </w:rPr>
        <w:t xml:space="preserve">amily </w:t>
      </w:r>
      <w:r w:rsidR="00FB52FD">
        <w:rPr>
          <w:i/>
          <w:sz w:val="24"/>
          <w:szCs w:val="24"/>
        </w:rPr>
        <w:t>D</w:t>
      </w:r>
      <w:r w:rsidRPr="00FB52FD">
        <w:rPr>
          <w:i/>
          <w:sz w:val="24"/>
          <w:szCs w:val="24"/>
        </w:rPr>
        <w:t xml:space="preserve">ispute </w:t>
      </w:r>
      <w:r w:rsidR="00FB52FD">
        <w:rPr>
          <w:i/>
          <w:sz w:val="24"/>
          <w:szCs w:val="24"/>
        </w:rPr>
        <w:t>R</w:t>
      </w:r>
      <w:r w:rsidRPr="00FB52FD">
        <w:rPr>
          <w:i/>
          <w:sz w:val="24"/>
          <w:szCs w:val="24"/>
        </w:rPr>
        <w:t xml:space="preserve">esolution in </w:t>
      </w:r>
      <w:r w:rsidR="00FB52FD">
        <w:rPr>
          <w:i/>
          <w:sz w:val="24"/>
          <w:szCs w:val="24"/>
        </w:rPr>
        <w:t>F</w:t>
      </w:r>
      <w:r w:rsidRPr="00FB52FD">
        <w:rPr>
          <w:i/>
          <w:sz w:val="24"/>
          <w:szCs w:val="24"/>
        </w:rPr>
        <w:t xml:space="preserve">amily </w:t>
      </w:r>
      <w:r w:rsidR="00FB52FD">
        <w:rPr>
          <w:i/>
          <w:sz w:val="24"/>
          <w:szCs w:val="24"/>
        </w:rPr>
        <w:t>V</w:t>
      </w:r>
      <w:r w:rsidRPr="00FB52FD">
        <w:rPr>
          <w:i/>
          <w:sz w:val="24"/>
          <w:szCs w:val="24"/>
        </w:rPr>
        <w:t xml:space="preserve">iolence </w:t>
      </w:r>
      <w:r w:rsidR="00FB52FD">
        <w:rPr>
          <w:i/>
          <w:sz w:val="24"/>
          <w:szCs w:val="24"/>
        </w:rPr>
        <w:t>C</w:t>
      </w:r>
      <w:r w:rsidRPr="00FB52FD">
        <w:rPr>
          <w:i/>
          <w:sz w:val="24"/>
          <w:szCs w:val="24"/>
        </w:rPr>
        <w:t>ases: Final Report</w:t>
      </w:r>
      <w:r w:rsidR="00FB52FD">
        <w:rPr>
          <w:i/>
          <w:sz w:val="24"/>
          <w:szCs w:val="24"/>
        </w:rPr>
        <w:t xml:space="preserve">, </w:t>
      </w:r>
      <w:r w:rsidRPr="00316459">
        <w:rPr>
          <w:sz w:val="24"/>
          <w:szCs w:val="24"/>
        </w:rPr>
        <w:t xml:space="preserve">Australian Institute of Family Studies at </w:t>
      </w:r>
      <w:hyperlink r:id="rId15" w:history="1">
        <w:r w:rsidRPr="00316459">
          <w:rPr>
            <w:rStyle w:val="Hyperlink"/>
            <w:rFonts w:cstheme="minorBidi"/>
            <w:sz w:val="24"/>
            <w:szCs w:val="24"/>
          </w:rPr>
          <w:t>www.ag.gov.au</w:t>
        </w:r>
      </w:hyperlink>
      <w:r w:rsidRPr="00316459">
        <w:rPr>
          <w:sz w:val="24"/>
          <w:szCs w:val="24"/>
        </w:rPr>
        <w:t xml:space="preserve"> (accessed 12 November 2017).</w:t>
      </w:r>
    </w:p>
    <w:p w14:paraId="7F8D7D8D" w14:textId="108DB80E" w:rsidR="0092466C" w:rsidRDefault="0092466C" w:rsidP="00956607">
      <w:pPr>
        <w:pStyle w:val="EndnoteText"/>
        <w:spacing w:line="240" w:lineRule="auto"/>
        <w:rPr>
          <w:sz w:val="24"/>
          <w:szCs w:val="24"/>
        </w:rPr>
      </w:pPr>
    </w:p>
    <w:p w14:paraId="27DAB619" w14:textId="0BAFA6E0" w:rsidR="0092466C" w:rsidRPr="00316459" w:rsidRDefault="0092466C" w:rsidP="00956607">
      <w:pPr>
        <w:pStyle w:val="EndnoteText"/>
        <w:spacing w:line="240" w:lineRule="auto"/>
        <w:rPr>
          <w:sz w:val="24"/>
          <w:szCs w:val="24"/>
        </w:rPr>
      </w:pPr>
      <w:r w:rsidRPr="00B736BA">
        <w:rPr>
          <w:color w:val="000000"/>
          <w:sz w:val="24"/>
        </w:rPr>
        <w:t>Katzen</w:t>
      </w:r>
      <w:r>
        <w:rPr>
          <w:color w:val="000000"/>
          <w:sz w:val="24"/>
        </w:rPr>
        <w:t>, H. (2000)</w:t>
      </w:r>
      <w:r w:rsidRPr="00B736BA">
        <w:rPr>
          <w:color w:val="000000"/>
          <w:sz w:val="24"/>
        </w:rPr>
        <w:t xml:space="preserve"> ‘A Family Matter, Not a Police Matter: The Enforcement of Protection Orders’, </w:t>
      </w:r>
      <w:r w:rsidRPr="00B736BA">
        <w:rPr>
          <w:i/>
          <w:iCs/>
          <w:color w:val="000000"/>
          <w:sz w:val="24"/>
        </w:rPr>
        <w:t>Australian Journal of Family Law</w:t>
      </w:r>
      <w:r>
        <w:rPr>
          <w:i/>
          <w:iCs/>
          <w:color w:val="000000"/>
          <w:sz w:val="24"/>
        </w:rPr>
        <w:t xml:space="preserve"> </w:t>
      </w:r>
      <w:r>
        <w:rPr>
          <w:iCs/>
          <w:color w:val="000000"/>
          <w:sz w:val="24"/>
        </w:rPr>
        <w:t>14(2),</w:t>
      </w:r>
      <w:r w:rsidRPr="00B736BA">
        <w:rPr>
          <w:i/>
          <w:iCs/>
          <w:color w:val="000000"/>
          <w:sz w:val="24"/>
        </w:rPr>
        <w:t xml:space="preserve"> </w:t>
      </w:r>
      <w:r w:rsidRPr="00B736BA">
        <w:rPr>
          <w:color w:val="000000"/>
          <w:sz w:val="24"/>
        </w:rPr>
        <w:t>119</w:t>
      </w:r>
      <w:r w:rsidR="00151795">
        <w:rPr>
          <w:color w:val="000000"/>
          <w:sz w:val="24"/>
        </w:rPr>
        <w:t>-141</w:t>
      </w:r>
      <w:r>
        <w:rPr>
          <w:color w:val="000000"/>
          <w:sz w:val="24"/>
        </w:rPr>
        <w:t>.</w:t>
      </w:r>
    </w:p>
    <w:p w14:paraId="309DC5F4" w14:textId="77777777" w:rsidR="00956607" w:rsidRDefault="00956607" w:rsidP="00956607">
      <w:pPr>
        <w:pStyle w:val="EndnoteText"/>
        <w:spacing w:line="240" w:lineRule="auto"/>
        <w:rPr>
          <w:sz w:val="24"/>
          <w:szCs w:val="24"/>
          <w:lang w:val="en-GB"/>
        </w:rPr>
      </w:pPr>
    </w:p>
    <w:p w14:paraId="28FAC32C" w14:textId="45D96212" w:rsidR="00B736BA" w:rsidRDefault="00956607" w:rsidP="00956607">
      <w:pPr>
        <w:pStyle w:val="EndnoteText"/>
        <w:spacing w:line="240" w:lineRule="auto"/>
        <w:rPr>
          <w:sz w:val="24"/>
          <w:szCs w:val="24"/>
        </w:rPr>
      </w:pPr>
      <w:r w:rsidRPr="008272F2">
        <w:rPr>
          <w:sz w:val="24"/>
          <w:szCs w:val="24"/>
        </w:rPr>
        <w:t>Kelly,</w:t>
      </w:r>
      <w:r w:rsidR="00FB52FD">
        <w:rPr>
          <w:sz w:val="24"/>
          <w:szCs w:val="24"/>
        </w:rPr>
        <w:t xml:space="preserve"> F</w:t>
      </w:r>
      <w:r w:rsidR="00AC1A49">
        <w:rPr>
          <w:sz w:val="24"/>
          <w:szCs w:val="24"/>
        </w:rPr>
        <w:t>.</w:t>
      </w:r>
      <w:r w:rsidR="00FB52FD">
        <w:rPr>
          <w:sz w:val="24"/>
          <w:szCs w:val="24"/>
        </w:rPr>
        <w:t xml:space="preserve"> (2009)</w:t>
      </w:r>
      <w:r w:rsidRPr="008272F2">
        <w:rPr>
          <w:sz w:val="24"/>
          <w:szCs w:val="24"/>
        </w:rPr>
        <w:t xml:space="preserve"> </w:t>
      </w:r>
      <w:r w:rsidR="00FB52FD">
        <w:rPr>
          <w:sz w:val="24"/>
          <w:szCs w:val="24"/>
        </w:rPr>
        <w:t>‘</w:t>
      </w:r>
      <w:r w:rsidRPr="008272F2">
        <w:rPr>
          <w:sz w:val="24"/>
          <w:szCs w:val="24"/>
        </w:rPr>
        <w:t>Private Law Responses to Domestic Violence: The Intersection of Family Law and Tort</w:t>
      </w:r>
      <w:r w:rsidR="00FB52FD">
        <w:rPr>
          <w:sz w:val="24"/>
          <w:szCs w:val="24"/>
        </w:rPr>
        <w:t>’</w:t>
      </w:r>
      <w:r w:rsidRPr="008272F2">
        <w:rPr>
          <w:sz w:val="24"/>
          <w:szCs w:val="24"/>
        </w:rPr>
        <w:t xml:space="preserve">, </w:t>
      </w:r>
      <w:r w:rsidRPr="008272F2">
        <w:rPr>
          <w:i/>
          <w:sz w:val="24"/>
          <w:szCs w:val="24"/>
        </w:rPr>
        <w:t>The Supreme Court Law Review</w:t>
      </w:r>
      <w:r w:rsidR="00FB52FD">
        <w:rPr>
          <w:i/>
          <w:sz w:val="24"/>
          <w:szCs w:val="24"/>
        </w:rPr>
        <w:t xml:space="preserve"> </w:t>
      </w:r>
      <w:r w:rsidR="00FB52FD">
        <w:rPr>
          <w:sz w:val="24"/>
          <w:szCs w:val="24"/>
        </w:rPr>
        <w:t>44,</w:t>
      </w:r>
      <w:r w:rsidRPr="008272F2">
        <w:rPr>
          <w:i/>
          <w:sz w:val="24"/>
          <w:szCs w:val="24"/>
        </w:rPr>
        <w:t xml:space="preserve"> </w:t>
      </w:r>
      <w:r w:rsidRPr="008272F2">
        <w:rPr>
          <w:sz w:val="24"/>
          <w:szCs w:val="24"/>
        </w:rPr>
        <w:t>32</w:t>
      </w:r>
      <w:r w:rsidR="00EE6FB3">
        <w:rPr>
          <w:sz w:val="24"/>
          <w:szCs w:val="24"/>
        </w:rPr>
        <w:t>1-342.</w:t>
      </w:r>
    </w:p>
    <w:p w14:paraId="3F9AEC2E" w14:textId="77777777" w:rsidR="00B736BA" w:rsidRDefault="00B736BA" w:rsidP="00956607">
      <w:pPr>
        <w:pStyle w:val="EndnoteText"/>
        <w:spacing w:line="240" w:lineRule="auto"/>
        <w:rPr>
          <w:color w:val="000000" w:themeColor="text1"/>
          <w:sz w:val="24"/>
          <w:szCs w:val="24"/>
        </w:rPr>
      </w:pPr>
    </w:p>
    <w:p w14:paraId="2C759CD8" w14:textId="1933B550" w:rsidR="00B736BA" w:rsidRPr="00B736BA" w:rsidRDefault="00B736BA" w:rsidP="00956607">
      <w:pPr>
        <w:pStyle w:val="EndnoteText"/>
        <w:spacing w:line="240" w:lineRule="auto"/>
        <w:rPr>
          <w:sz w:val="24"/>
          <w:szCs w:val="24"/>
        </w:rPr>
      </w:pPr>
      <w:r w:rsidRPr="00B736BA">
        <w:rPr>
          <w:color w:val="000000" w:themeColor="text1"/>
          <w:sz w:val="24"/>
          <w:szCs w:val="24"/>
        </w:rPr>
        <w:t>Kelly</w:t>
      </w:r>
      <w:r>
        <w:rPr>
          <w:color w:val="000000" w:themeColor="text1"/>
          <w:sz w:val="24"/>
          <w:szCs w:val="24"/>
        </w:rPr>
        <w:t>,</w:t>
      </w:r>
      <w:r w:rsidRPr="00B736BA">
        <w:rPr>
          <w:color w:val="000000" w:themeColor="text1"/>
          <w:sz w:val="24"/>
          <w:szCs w:val="24"/>
        </w:rPr>
        <w:t xml:space="preserve"> </w:t>
      </w:r>
      <w:r>
        <w:rPr>
          <w:color w:val="000000" w:themeColor="text1"/>
          <w:sz w:val="24"/>
          <w:szCs w:val="24"/>
        </w:rPr>
        <w:t xml:space="preserve">J. </w:t>
      </w:r>
      <w:r w:rsidRPr="00B736BA">
        <w:rPr>
          <w:color w:val="000000" w:themeColor="text1"/>
          <w:sz w:val="24"/>
          <w:szCs w:val="24"/>
        </w:rPr>
        <w:t>(1995) ‘Power Imbalance in Divorce and Interpersonal Mediation: Assessment and Intervention’</w:t>
      </w:r>
      <w:r>
        <w:rPr>
          <w:color w:val="000000" w:themeColor="text1"/>
          <w:sz w:val="24"/>
          <w:szCs w:val="24"/>
        </w:rPr>
        <w:t xml:space="preserve">, </w:t>
      </w:r>
      <w:r w:rsidRPr="00B736BA">
        <w:rPr>
          <w:i/>
          <w:color w:val="000000" w:themeColor="text1"/>
          <w:sz w:val="24"/>
          <w:szCs w:val="24"/>
        </w:rPr>
        <w:t>Mediation Quarterly</w:t>
      </w:r>
      <w:r w:rsidRPr="00B736BA">
        <w:rPr>
          <w:color w:val="000000" w:themeColor="text1"/>
          <w:sz w:val="24"/>
          <w:szCs w:val="24"/>
        </w:rPr>
        <w:t xml:space="preserve"> </w:t>
      </w:r>
      <w:r>
        <w:rPr>
          <w:color w:val="000000" w:themeColor="text1"/>
          <w:sz w:val="24"/>
          <w:szCs w:val="24"/>
        </w:rPr>
        <w:t xml:space="preserve">13(2), </w:t>
      </w:r>
      <w:r w:rsidRPr="00B736BA">
        <w:rPr>
          <w:color w:val="000000" w:themeColor="text1"/>
          <w:sz w:val="24"/>
          <w:szCs w:val="24"/>
        </w:rPr>
        <w:t>85</w:t>
      </w:r>
      <w:r w:rsidR="002B0293">
        <w:rPr>
          <w:color w:val="000000" w:themeColor="text1"/>
          <w:sz w:val="24"/>
          <w:szCs w:val="24"/>
        </w:rPr>
        <w:t>-98</w:t>
      </w:r>
      <w:r w:rsidRPr="00B736BA">
        <w:rPr>
          <w:color w:val="000000" w:themeColor="text1"/>
          <w:sz w:val="24"/>
          <w:szCs w:val="24"/>
        </w:rPr>
        <w:t>.</w:t>
      </w:r>
    </w:p>
    <w:p w14:paraId="6412B28F" w14:textId="77777777" w:rsidR="00B736BA" w:rsidRDefault="00B736BA" w:rsidP="00956607">
      <w:pPr>
        <w:pStyle w:val="EndnoteText"/>
        <w:spacing w:line="240" w:lineRule="auto"/>
        <w:rPr>
          <w:color w:val="000000" w:themeColor="text1"/>
          <w:sz w:val="24"/>
          <w:szCs w:val="24"/>
        </w:rPr>
      </w:pPr>
    </w:p>
    <w:p w14:paraId="2FC927DA" w14:textId="74F01740" w:rsidR="00B736BA" w:rsidRPr="00B736BA" w:rsidRDefault="00B736BA" w:rsidP="00956607">
      <w:pPr>
        <w:pStyle w:val="EndnoteText"/>
        <w:spacing w:line="240" w:lineRule="auto"/>
        <w:rPr>
          <w:color w:val="000000" w:themeColor="text1"/>
          <w:sz w:val="24"/>
          <w:szCs w:val="24"/>
        </w:rPr>
      </w:pPr>
      <w:r w:rsidRPr="00F32193">
        <w:rPr>
          <w:color w:val="000000" w:themeColor="text1"/>
          <w:sz w:val="24"/>
          <w:szCs w:val="24"/>
        </w:rPr>
        <w:t>Kelly</w:t>
      </w:r>
      <w:r>
        <w:rPr>
          <w:color w:val="000000" w:themeColor="text1"/>
          <w:sz w:val="24"/>
          <w:szCs w:val="24"/>
        </w:rPr>
        <w:t>,</w:t>
      </w:r>
      <w:r w:rsidRPr="00F32193">
        <w:rPr>
          <w:color w:val="000000" w:themeColor="text1"/>
          <w:sz w:val="24"/>
          <w:szCs w:val="24"/>
        </w:rPr>
        <w:t xml:space="preserve"> </w:t>
      </w:r>
      <w:r>
        <w:rPr>
          <w:color w:val="000000" w:themeColor="text1"/>
          <w:sz w:val="24"/>
          <w:szCs w:val="24"/>
        </w:rPr>
        <w:t xml:space="preserve">J. </w:t>
      </w:r>
      <w:r w:rsidRPr="00F32193">
        <w:rPr>
          <w:color w:val="000000" w:themeColor="text1"/>
          <w:sz w:val="24"/>
          <w:szCs w:val="24"/>
        </w:rPr>
        <w:t>and Johnson,</w:t>
      </w:r>
      <w:r>
        <w:rPr>
          <w:color w:val="000000" w:themeColor="text1"/>
          <w:sz w:val="24"/>
          <w:szCs w:val="24"/>
        </w:rPr>
        <w:t xml:space="preserve"> M. (2008)</w:t>
      </w:r>
      <w:r w:rsidRPr="00F32193">
        <w:rPr>
          <w:color w:val="000000" w:themeColor="text1"/>
          <w:sz w:val="24"/>
          <w:szCs w:val="24"/>
        </w:rPr>
        <w:t xml:space="preserve"> ‘Differentiation </w:t>
      </w:r>
      <w:r>
        <w:rPr>
          <w:color w:val="000000" w:themeColor="text1"/>
          <w:sz w:val="24"/>
          <w:szCs w:val="24"/>
        </w:rPr>
        <w:t>A</w:t>
      </w:r>
      <w:r w:rsidRPr="00F32193">
        <w:rPr>
          <w:color w:val="000000" w:themeColor="text1"/>
          <w:sz w:val="24"/>
          <w:szCs w:val="24"/>
        </w:rPr>
        <w:t xml:space="preserve">mong </w:t>
      </w:r>
      <w:r>
        <w:rPr>
          <w:color w:val="000000" w:themeColor="text1"/>
          <w:sz w:val="24"/>
          <w:szCs w:val="24"/>
        </w:rPr>
        <w:t>T</w:t>
      </w:r>
      <w:r w:rsidRPr="00F32193">
        <w:rPr>
          <w:color w:val="000000" w:themeColor="text1"/>
          <w:sz w:val="24"/>
          <w:szCs w:val="24"/>
        </w:rPr>
        <w:t xml:space="preserve">ypes of </w:t>
      </w:r>
      <w:r>
        <w:rPr>
          <w:color w:val="000000" w:themeColor="text1"/>
          <w:sz w:val="24"/>
          <w:szCs w:val="24"/>
        </w:rPr>
        <w:t>I</w:t>
      </w:r>
      <w:r w:rsidRPr="00F32193">
        <w:rPr>
          <w:color w:val="000000" w:themeColor="text1"/>
          <w:sz w:val="24"/>
          <w:szCs w:val="24"/>
        </w:rPr>
        <w:t xml:space="preserve">ntimate </w:t>
      </w:r>
      <w:r>
        <w:rPr>
          <w:color w:val="000000" w:themeColor="text1"/>
          <w:sz w:val="24"/>
          <w:szCs w:val="24"/>
        </w:rPr>
        <w:t>P</w:t>
      </w:r>
      <w:r w:rsidRPr="00F32193">
        <w:rPr>
          <w:color w:val="000000" w:themeColor="text1"/>
          <w:sz w:val="24"/>
          <w:szCs w:val="24"/>
        </w:rPr>
        <w:t xml:space="preserve">artner </w:t>
      </w:r>
      <w:r>
        <w:rPr>
          <w:color w:val="000000" w:themeColor="text1"/>
          <w:sz w:val="24"/>
          <w:szCs w:val="24"/>
        </w:rPr>
        <w:t>V</w:t>
      </w:r>
      <w:r w:rsidRPr="00F32193">
        <w:rPr>
          <w:color w:val="000000" w:themeColor="text1"/>
          <w:sz w:val="24"/>
          <w:szCs w:val="24"/>
        </w:rPr>
        <w:t xml:space="preserve">iolence: Research </w:t>
      </w:r>
      <w:r>
        <w:rPr>
          <w:color w:val="000000" w:themeColor="text1"/>
          <w:sz w:val="24"/>
          <w:szCs w:val="24"/>
        </w:rPr>
        <w:t>U</w:t>
      </w:r>
      <w:r w:rsidRPr="00F32193">
        <w:rPr>
          <w:color w:val="000000" w:themeColor="text1"/>
          <w:sz w:val="24"/>
          <w:szCs w:val="24"/>
        </w:rPr>
        <w:t xml:space="preserve">pdate and </w:t>
      </w:r>
      <w:r>
        <w:rPr>
          <w:color w:val="000000" w:themeColor="text1"/>
          <w:sz w:val="24"/>
          <w:szCs w:val="24"/>
        </w:rPr>
        <w:t>I</w:t>
      </w:r>
      <w:r w:rsidRPr="00F32193">
        <w:rPr>
          <w:color w:val="000000" w:themeColor="text1"/>
          <w:sz w:val="24"/>
          <w:szCs w:val="24"/>
        </w:rPr>
        <w:t xml:space="preserve">mplications for </w:t>
      </w:r>
      <w:r>
        <w:rPr>
          <w:color w:val="000000" w:themeColor="text1"/>
          <w:sz w:val="24"/>
          <w:szCs w:val="24"/>
        </w:rPr>
        <w:t>I</w:t>
      </w:r>
      <w:r w:rsidRPr="00F32193">
        <w:rPr>
          <w:color w:val="000000" w:themeColor="text1"/>
          <w:sz w:val="24"/>
          <w:szCs w:val="24"/>
        </w:rPr>
        <w:t>nterventions’</w:t>
      </w:r>
      <w:r>
        <w:rPr>
          <w:color w:val="000000" w:themeColor="text1"/>
          <w:sz w:val="24"/>
          <w:szCs w:val="24"/>
        </w:rPr>
        <w:t xml:space="preserve">, </w:t>
      </w:r>
      <w:r w:rsidRPr="00F32193">
        <w:rPr>
          <w:i/>
          <w:iCs/>
          <w:color w:val="000000" w:themeColor="text1"/>
          <w:sz w:val="24"/>
          <w:szCs w:val="24"/>
        </w:rPr>
        <w:t>Family Court Review</w:t>
      </w:r>
      <w:r w:rsidRPr="00F32193">
        <w:rPr>
          <w:color w:val="000000" w:themeColor="text1"/>
          <w:sz w:val="24"/>
          <w:szCs w:val="24"/>
        </w:rPr>
        <w:t xml:space="preserve"> </w:t>
      </w:r>
      <w:r>
        <w:rPr>
          <w:color w:val="000000" w:themeColor="text1"/>
          <w:sz w:val="24"/>
          <w:szCs w:val="24"/>
        </w:rPr>
        <w:t xml:space="preserve">46(3), </w:t>
      </w:r>
      <w:r w:rsidR="0035355D">
        <w:rPr>
          <w:color w:val="000000" w:themeColor="text1"/>
          <w:sz w:val="24"/>
          <w:szCs w:val="24"/>
        </w:rPr>
        <w:t>476-499</w:t>
      </w:r>
      <w:r w:rsidRPr="00F32193">
        <w:rPr>
          <w:color w:val="000000" w:themeColor="text1"/>
          <w:sz w:val="24"/>
          <w:szCs w:val="24"/>
        </w:rPr>
        <w:t>.</w:t>
      </w:r>
    </w:p>
    <w:p w14:paraId="5B2D0AC1" w14:textId="77777777" w:rsidR="00B736BA" w:rsidRPr="008272F2" w:rsidRDefault="00B736BA" w:rsidP="00956607">
      <w:pPr>
        <w:pStyle w:val="EndnoteText"/>
        <w:spacing w:line="240" w:lineRule="auto"/>
        <w:rPr>
          <w:sz w:val="24"/>
          <w:szCs w:val="24"/>
          <w:lang w:val="en-GB"/>
        </w:rPr>
      </w:pPr>
    </w:p>
    <w:p w14:paraId="02787137" w14:textId="6346ED1F" w:rsidR="00956607" w:rsidRPr="00867923" w:rsidRDefault="00956607" w:rsidP="00956607">
      <w:pPr>
        <w:pStyle w:val="EndnoteText"/>
        <w:spacing w:line="240" w:lineRule="auto"/>
        <w:rPr>
          <w:sz w:val="24"/>
          <w:szCs w:val="24"/>
          <w:lang w:val="en-GB"/>
        </w:rPr>
      </w:pPr>
      <w:r w:rsidRPr="00867923">
        <w:rPr>
          <w:sz w:val="24"/>
          <w:szCs w:val="24"/>
        </w:rPr>
        <w:t>Laing,</w:t>
      </w:r>
      <w:r w:rsidR="00FB52FD">
        <w:rPr>
          <w:sz w:val="24"/>
          <w:szCs w:val="24"/>
        </w:rPr>
        <w:t xml:space="preserve"> L</w:t>
      </w:r>
      <w:r w:rsidR="00AC1A49">
        <w:rPr>
          <w:sz w:val="24"/>
          <w:szCs w:val="24"/>
        </w:rPr>
        <w:t>.</w:t>
      </w:r>
      <w:r w:rsidR="00FB52FD">
        <w:rPr>
          <w:sz w:val="24"/>
          <w:szCs w:val="24"/>
        </w:rPr>
        <w:t xml:space="preserve"> (2010)</w:t>
      </w:r>
      <w:r w:rsidRPr="00867923">
        <w:rPr>
          <w:sz w:val="24"/>
          <w:szCs w:val="24"/>
        </w:rPr>
        <w:t xml:space="preserve"> </w:t>
      </w:r>
      <w:r w:rsidRPr="00FB52FD">
        <w:rPr>
          <w:i/>
          <w:sz w:val="24"/>
          <w:szCs w:val="24"/>
        </w:rPr>
        <w:t>No Way to Live – Women’s Experiences of Negotiating the Family Law System in the Context of Domestic Violence</w:t>
      </w:r>
      <w:r w:rsidR="00FB52FD">
        <w:rPr>
          <w:i/>
          <w:sz w:val="24"/>
          <w:szCs w:val="24"/>
        </w:rPr>
        <w:t>,</w:t>
      </w:r>
      <w:r w:rsidRPr="00867923">
        <w:rPr>
          <w:sz w:val="24"/>
          <w:szCs w:val="24"/>
        </w:rPr>
        <w:t xml:space="preserve"> </w:t>
      </w:r>
      <w:r w:rsidR="00AC1A49">
        <w:rPr>
          <w:sz w:val="24"/>
          <w:szCs w:val="24"/>
        </w:rPr>
        <w:t xml:space="preserve">Sydney: </w:t>
      </w:r>
      <w:r w:rsidRPr="00867923">
        <w:rPr>
          <w:sz w:val="24"/>
          <w:szCs w:val="24"/>
          <w:shd w:val="clear" w:color="auto" w:fill="FFFFFF"/>
        </w:rPr>
        <w:t>University of Sydney</w:t>
      </w:r>
      <w:r w:rsidR="00FB52FD">
        <w:rPr>
          <w:sz w:val="24"/>
          <w:szCs w:val="24"/>
          <w:shd w:val="clear" w:color="auto" w:fill="FFFFFF"/>
        </w:rPr>
        <w:t>.</w:t>
      </w:r>
      <w:r w:rsidRPr="00867923">
        <w:rPr>
          <w:sz w:val="24"/>
          <w:szCs w:val="24"/>
          <w:shd w:val="clear" w:color="auto" w:fill="FFFFFF"/>
        </w:rPr>
        <w:t xml:space="preserve"> </w:t>
      </w:r>
    </w:p>
    <w:p w14:paraId="619BFEC1" w14:textId="77777777" w:rsidR="00956607" w:rsidRDefault="00956607" w:rsidP="00956607">
      <w:pPr>
        <w:pStyle w:val="EndnoteText"/>
        <w:spacing w:line="240" w:lineRule="auto"/>
        <w:rPr>
          <w:sz w:val="24"/>
          <w:szCs w:val="24"/>
          <w:lang w:val="en-GB"/>
        </w:rPr>
      </w:pPr>
    </w:p>
    <w:p w14:paraId="38891FA9" w14:textId="58138E13" w:rsidR="00956607" w:rsidRPr="00147B3E" w:rsidRDefault="00956607" w:rsidP="00956607">
      <w:pPr>
        <w:pStyle w:val="EndnoteText"/>
        <w:spacing w:line="240" w:lineRule="auto"/>
        <w:rPr>
          <w:sz w:val="24"/>
          <w:szCs w:val="24"/>
          <w:lang w:val="en-GB"/>
        </w:rPr>
      </w:pPr>
      <w:r w:rsidRPr="00147B3E">
        <w:rPr>
          <w:color w:val="000000"/>
          <w:sz w:val="24"/>
          <w:szCs w:val="24"/>
        </w:rPr>
        <w:t xml:space="preserve">Lee, </w:t>
      </w:r>
      <w:r w:rsidR="00FB52FD">
        <w:rPr>
          <w:color w:val="000000"/>
          <w:sz w:val="24"/>
          <w:szCs w:val="24"/>
        </w:rPr>
        <w:t xml:space="preserve">C. (2002) </w:t>
      </w:r>
      <w:r w:rsidRPr="00147B3E">
        <w:rPr>
          <w:color w:val="000000"/>
          <w:sz w:val="24"/>
          <w:szCs w:val="24"/>
        </w:rPr>
        <w:t>‘Escaping the Lion’s Den and Going Back for Your Hat – Why Domestic Violence Should be Considered in the Distribution of Marital Property Upon Dissolution of Marriage’</w:t>
      </w:r>
      <w:r w:rsidR="00FB52FD">
        <w:rPr>
          <w:color w:val="000000"/>
          <w:sz w:val="24"/>
          <w:szCs w:val="24"/>
        </w:rPr>
        <w:t xml:space="preserve">, </w:t>
      </w:r>
      <w:r w:rsidRPr="00147B3E">
        <w:rPr>
          <w:i/>
          <w:iCs/>
          <w:color w:val="000000"/>
          <w:sz w:val="24"/>
          <w:szCs w:val="24"/>
        </w:rPr>
        <w:t>Pace Law Review</w:t>
      </w:r>
      <w:r w:rsidRPr="00147B3E">
        <w:rPr>
          <w:color w:val="000000"/>
          <w:sz w:val="24"/>
          <w:szCs w:val="24"/>
        </w:rPr>
        <w:t xml:space="preserve"> </w:t>
      </w:r>
      <w:r w:rsidR="00FB52FD">
        <w:rPr>
          <w:color w:val="000000"/>
          <w:sz w:val="24"/>
          <w:szCs w:val="24"/>
        </w:rPr>
        <w:t>23(1)</w:t>
      </w:r>
      <w:r w:rsidR="00AC1A49">
        <w:rPr>
          <w:color w:val="000000"/>
          <w:sz w:val="24"/>
          <w:szCs w:val="24"/>
        </w:rPr>
        <w:t>,</w:t>
      </w:r>
      <w:r w:rsidR="00FB52FD">
        <w:rPr>
          <w:color w:val="000000"/>
          <w:sz w:val="24"/>
          <w:szCs w:val="24"/>
        </w:rPr>
        <w:t xml:space="preserve"> </w:t>
      </w:r>
      <w:r w:rsidRPr="00147B3E">
        <w:rPr>
          <w:color w:val="000000"/>
          <w:sz w:val="24"/>
          <w:szCs w:val="24"/>
        </w:rPr>
        <w:t>273</w:t>
      </w:r>
      <w:r w:rsidR="0035355D">
        <w:rPr>
          <w:color w:val="000000"/>
          <w:sz w:val="24"/>
          <w:szCs w:val="24"/>
        </w:rPr>
        <w:t>-311</w:t>
      </w:r>
      <w:r w:rsidR="00FB52FD">
        <w:rPr>
          <w:color w:val="000000"/>
          <w:sz w:val="24"/>
          <w:szCs w:val="24"/>
        </w:rPr>
        <w:t>.</w:t>
      </w:r>
    </w:p>
    <w:p w14:paraId="7F90764D" w14:textId="77777777" w:rsidR="00956607" w:rsidRDefault="00956607" w:rsidP="00956607">
      <w:pPr>
        <w:pStyle w:val="EndnoteText"/>
        <w:spacing w:line="240" w:lineRule="auto"/>
        <w:rPr>
          <w:sz w:val="24"/>
          <w:szCs w:val="24"/>
          <w:lang w:val="en-GB"/>
        </w:rPr>
      </w:pPr>
    </w:p>
    <w:p w14:paraId="6E247933" w14:textId="2E881E28" w:rsidR="00956607" w:rsidRPr="00B736BA" w:rsidRDefault="00956607" w:rsidP="00956607">
      <w:pPr>
        <w:pStyle w:val="EndnoteText"/>
        <w:spacing w:line="240" w:lineRule="auto"/>
        <w:rPr>
          <w:bCs/>
          <w:sz w:val="24"/>
          <w:szCs w:val="24"/>
        </w:rPr>
      </w:pPr>
      <w:r w:rsidRPr="000C195C">
        <w:rPr>
          <w:sz w:val="24"/>
          <w:szCs w:val="24"/>
        </w:rPr>
        <w:t xml:space="preserve">Lynch, </w:t>
      </w:r>
      <w:r w:rsidR="008A38C3">
        <w:rPr>
          <w:sz w:val="24"/>
          <w:szCs w:val="24"/>
        </w:rPr>
        <w:t xml:space="preserve">A. </w:t>
      </w:r>
      <w:r w:rsidRPr="000C195C">
        <w:rPr>
          <w:sz w:val="24"/>
          <w:szCs w:val="24"/>
        </w:rPr>
        <w:t xml:space="preserve">Loughman, </w:t>
      </w:r>
      <w:r w:rsidR="008A38C3">
        <w:rPr>
          <w:sz w:val="24"/>
          <w:szCs w:val="24"/>
        </w:rPr>
        <w:t xml:space="preserve">J. </w:t>
      </w:r>
      <w:r w:rsidRPr="000C195C">
        <w:rPr>
          <w:sz w:val="24"/>
          <w:szCs w:val="24"/>
        </w:rPr>
        <w:t xml:space="preserve">and </w:t>
      </w:r>
      <w:r w:rsidR="00FB52FD">
        <w:rPr>
          <w:sz w:val="24"/>
          <w:szCs w:val="24"/>
        </w:rPr>
        <w:t>‘</w:t>
      </w:r>
      <w:r w:rsidRPr="000C195C">
        <w:rPr>
          <w:sz w:val="24"/>
          <w:szCs w:val="24"/>
        </w:rPr>
        <w:t>Eleanor</w:t>
      </w:r>
      <w:r w:rsidR="00FB52FD">
        <w:rPr>
          <w:sz w:val="24"/>
          <w:szCs w:val="24"/>
        </w:rPr>
        <w:t>’</w:t>
      </w:r>
      <w:r w:rsidR="008A38C3">
        <w:rPr>
          <w:sz w:val="24"/>
          <w:szCs w:val="24"/>
        </w:rPr>
        <w:t>,</w:t>
      </w:r>
      <w:r w:rsidR="00FB52FD">
        <w:rPr>
          <w:sz w:val="24"/>
          <w:szCs w:val="24"/>
        </w:rPr>
        <w:t xml:space="preserve"> </w:t>
      </w:r>
      <w:r w:rsidRPr="000C195C">
        <w:rPr>
          <w:sz w:val="24"/>
          <w:szCs w:val="24"/>
        </w:rPr>
        <w:t>with commentary by Alongi</w:t>
      </w:r>
      <w:r w:rsidR="008A38C3">
        <w:rPr>
          <w:sz w:val="24"/>
          <w:szCs w:val="24"/>
        </w:rPr>
        <w:t xml:space="preserve"> T. P.</w:t>
      </w:r>
      <w:r w:rsidRPr="000C195C">
        <w:rPr>
          <w:sz w:val="24"/>
          <w:szCs w:val="24"/>
        </w:rPr>
        <w:t xml:space="preserve"> </w:t>
      </w:r>
      <w:r w:rsidR="008A38C3">
        <w:rPr>
          <w:sz w:val="24"/>
          <w:szCs w:val="24"/>
        </w:rPr>
        <w:t xml:space="preserve">(2017) </w:t>
      </w:r>
      <w:r w:rsidRPr="000C195C">
        <w:rPr>
          <w:sz w:val="24"/>
          <w:szCs w:val="24"/>
        </w:rPr>
        <w:t xml:space="preserve">‘Intimate Partner Sexual Violence and Family Law’ </w:t>
      </w:r>
      <w:r w:rsidRPr="000C195C">
        <w:rPr>
          <w:bCs/>
          <w:sz w:val="24"/>
          <w:szCs w:val="24"/>
        </w:rPr>
        <w:t>in L McOrmond-Plummer,</w:t>
      </w:r>
      <w:r w:rsidRPr="000C195C">
        <w:rPr>
          <w:rStyle w:val="apple-converted-space"/>
          <w:bCs/>
          <w:sz w:val="24"/>
          <w:szCs w:val="24"/>
        </w:rPr>
        <w:t> </w:t>
      </w:r>
      <w:hyperlink r:id="rId16" w:tooltip="search for all books by Jennifer Y. Levy-Peck" w:history="1">
        <w:r w:rsidRPr="00FB52FD">
          <w:rPr>
            <w:rStyle w:val="Hyperlink"/>
            <w:color w:val="000000" w:themeColor="text1"/>
            <w:sz w:val="24"/>
            <w:szCs w:val="24"/>
            <w:u w:val="none"/>
          </w:rPr>
          <w:t>J Y. Levy-Peck</w:t>
        </w:r>
      </w:hyperlink>
      <w:r w:rsidRPr="00FB52FD">
        <w:rPr>
          <w:bCs/>
          <w:color w:val="000000" w:themeColor="text1"/>
          <w:sz w:val="24"/>
          <w:szCs w:val="24"/>
        </w:rPr>
        <w:t>,</w:t>
      </w:r>
      <w:r w:rsidRPr="00FB52FD">
        <w:rPr>
          <w:rStyle w:val="apple-converted-space"/>
          <w:bCs/>
          <w:color w:val="000000" w:themeColor="text1"/>
          <w:sz w:val="24"/>
          <w:szCs w:val="24"/>
        </w:rPr>
        <w:t> </w:t>
      </w:r>
      <w:hyperlink r:id="rId17" w:tooltip="search for all books by Patricia Easteal" w:history="1">
        <w:r w:rsidRPr="00FB52FD">
          <w:rPr>
            <w:rStyle w:val="Hyperlink"/>
            <w:color w:val="000000" w:themeColor="text1"/>
            <w:sz w:val="24"/>
            <w:szCs w:val="24"/>
            <w:u w:val="none"/>
          </w:rPr>
          <w:t>P Easteal</w:t>
        </w:r>
      </w:hyperlink>
      <w:r w:rsidRPr="000C195C">
        <w:rPr>
          <w:bCs/>
          <w:sz w:val="24"/>
          <w:szCs w:val="24"/>
        </w:rPr>
        <w:t xml:space="preserve"> (eds) </w:t>
      </w:r>
      <w:r w:rsidRPr="000C195C">
        <w:rPr>
          <w:bCs/>
          <w:i/>
          <w:sz w:val="24"/>
          <w:szCs w:val="24"/>
        </w:rPr>
        <w:t>Perpetrators of Intimate Partner Sexual Violence: A Multidisciplinary Approach to Prevention, Recognition, and Intervention</w:t>
      </w:r>
      <w:r w:rsidR="008A38C3">
        <w:rPr>
          <w:bCs/>
          <w:sz w:val="24"/>
          <w:szCs w:val="24"/>
        </w:rPr>
        <w:t xml:space="preserve">, </w:t>
      </w:r>
      <w:r w:rsidR="00AC1A49">
        <w:rPr>
          <w:bCs/>
          <w:sz w:val="24"/>
          <w:szCs w:val="24"/>
        </w:rPr>
        <w:t xml:space="preserve">Abingdon: </w:t>
      </w:r>
      <w:r w:rsidRPr="000C195C">
        <w:rPr>
          <w:bCs/>
          <w:sz w:val="24"/>
          <w:szCs w:val="24"/>
        </w:rPr>
        <w:t>Routledge</w:t>
      </w:r>
      <w:r w:rsidR="008A38C3">
        <w:rPr>
          <w:bCs/>
          <w:sz w:val="24"/>
          <w:szCs w:val="24"/>
        </w:rPr>
        <w:t>,</w:t>
      </w:r>
      <w:r w:rsidRPr="000C195C">
        <w:rPr>
          <w:bCs/>
          <w:sz w:val="24"/>
          <w:szCs w:val="24"/>
        </w:rPr>
        <w:t xml:space="preserve"> 153</w:t>
      </w:r>
      <w:r w:rsidR="006C068C">
        <w:rPr>
          <w:bCs/>
          <w:sz w:val="24"/>
          <w:szCs w:val="24"/>
        </w:rPr>
        <w:t>-165</w:t>
      </w:r>
      <w:r w:rsidRPr="000C195C">
        <w:rPr>
          <w:bCs/>
          <w:sz w:val="24"/>
          <w:szCs w:val="24"/>
        </w:rPr>
        <w:t>.</w:t>
      </w:r>
    </w:p>
    <w:p w14:paraId="2F12A29D" w14:textId="77777777" w:rsidR="00956607" w:rsidRDefault="00956607" w:rsidP="00956607">
      <w:pPr>
        <w:pStyle w:val="EndnoteText"/>
        <w:spacing w:line="240" w:lineRule="auto"/>
        <w:rPr>
          <w:sz w:val="24"/>
          <w:szCs w:val="24"/>
          <w:lang w:val="en-GB"/>
        </w:rPr>
      </w:pPr>
    </w:p>
    <w:p w14:paraId="78F527EA" w14:textId="6DC48EB0" w:rsidR="00956607" w:rsidRPr="00A12A3B" w:rsidRDefault="00956607" w:rsidP="00956607">
      <w:pPr>
        <w:pStyle w:val="EndnoteText"/>
        <w:spacing w:line="240" w:lineRule="auto"/>
        <w:rPr>
          <w:sz w:val="24"/>
          <w:szCs w:val="24"/>
          <w:lang w:val="en-GB"/>
        </w:rPr>
      </w:pPr>
      <w:r w:rsidRPr="00A12A3B">
        <w:rPr>
          <w:color w:val="000000" w:themeColor="text1"/>
          <w:sz w:val="24"/>
          <w:szCs w:val="24"/>
        </w:rPr>
        <w:t>Lester</w:t>
      </w:r>
      <w:r w:rsidR="008A38C3">
        <w:rPr>
          <w:color w:val="000000" w:themeColor="text1"/>
          <w:sz w:val="24"/>
          <w:szCs w:val="24"/>
        </w:rPr>
        <w:t>, G.</w:t>
      </w:r>
      <w:r w:rsidRPr="00A12A3B">
        <w:rPr>
          <w:color w:val="000000" w:themeColor="text1"/>
          <w:sz w:val="24"/>
          <w:szCs w:val="24"/>
        </w:rPr>
        <w:t xml:space="preserve"> an</w:t>
      </w:r>
      <w:r w:rsidR="008A38C3">
        <w:rPr>
          <w:color w:val="000000" w:themeColor="text1"/>
          <w:sz w:val="24"/>
          <w:szCs w:val="24"/>
        </w:rPr>
        <w:t>d</w:t>
      </w:r>
      <w:r w:rsidRPr="00A12A3B">
        <w:rPr>
          <w:color w:val="000000" w:themeColor="text1"/>
          <w:sz w:val="24"/>
          <w:szCs w:val="24"/>
        </w:rPr>
        <w:t xml:space="preserve"> Smith,</w:t>
      </w:r>
      <w:r w:rsidR="008A38C3">
        <w:rPr>
          <w:color w:val="000000" w:themeColor="text1"/>
          <w:sz w:val="24"/>
          <w:szCs w:val="24"/>
        </w:rPr>
        <w:t xml:space="preserve"> S (2006)</w:t>
      </w:r>
      <w:r w:rsidRPr="00A12A3B">
        <w:rPr>
          <w:color w:val="000000" w:themeColor="text1"/>
          <w:sz w:val="24"/>
          <w:szCs w:val="24"/>
        </w:rPr>
        <w:t xml:space="preserve"> ‘Inventor, Entrepreneur, Rascal, Crank or Querulent?: Australia’s Vexatious Litigant Section 75 Years On’</w:t>
      </w:r>
      <w:r w:rsidR="008A38C3">
        <w:rPr>
          <w:color w:val="000000" w:themeColor="text1"/>
          <w:sz w:val="24"/>
          <w:szCs w:val="24"/>
        </w:rPr>
        <w:t xml:space="preserve">, </w:t>
      </w:r>
      <w:r w:rsidRPr="00A12A3B">
        <w:rPr>
          <w:i/>
          <w:color w:val="000000" w:themeColor="text1"/>
          <w:sz w:val="24"/>
          <w:szCs w:val="24"/>
        </w:rPr>
        <w:t xml:space="preserve">Psychiatry, Psychology and Law </w:t>
      </w:r>
      <w:r w:rsidR="008A38C3">
        <w:rPr>
          <w:color w:val="000000" w:themeColor="text1"/>
          <w:sz w:val="24"/>
          <w:szCs w:val="24"/>
        </w:rPr>
        <w:t xml:space="preserve">13, </w:t>
      </w:r>
      <w:r w:rsidR="006C068C">
        <w:rPr>
          <w:color w:val="000000" w:themeColor="text1"/>
          <w:sz w:val="24"/>
          <w:szCs w:val="24"/>
        </w:rPr>
        <w:t>1-27</w:t>
      </w:r>
      <w:r w:rsidRPr="00A12A3B">
        <w:rPr>
          <w:color w:val="000000" w:themeColor="text1"/>
          <w:sz w:val="24"/>
          <w:szCs w:val="24"/>
        </w:rPr>
        <w:t>.</w:t>
      </w:r>
    </w:p>
    <w:p w14:paraId="700935C4" w14:textId="77777777" w:rsidR="00956607" w:rsidRPr="00A12A3B" w:rsidRDefault="00956607" w:rsidP="00956607">
      <w:pPr>
        <w:pStyle w:val="EndnoteText"/>
        <w:spacing w:line="240" w:lineRule="auto"/>
        <w:rPr>
          <w:sz w:val="24"/>
          <w:szCs w:val="24"/>
          <w:lang w:val="en-GB"/>
        </w:rPr>
      </w:pPr>
    </w:p>
    <w:p w14:paraId="2C60807D" w14:textId="4CAA32BA" w:rsidR="00956607" w:rsidRPr="008B2130" w:rsidRDefault="00956607" w:rsidP="00956607">
      <w:pPr>
        <w:pStyle w:val="EndnoteText"/>
        <w:spacing w:line="240" w:lineRule="auto"/>
        <w:rPr>
          <w:sz w:val="24"/>
          <w:szCs w:val="24"/>
        </w:rPr>
      </w:pPr>
      <w:r w:rsidRPr="00A12A3B">
        <w:rPr>
          <w:sz w:val="24"/>
          <w:szCs w:val="24"/>
          <w:lang w:val="en-GB"/>
        </w:rPr>
        <w:lastRenderedPageBreak/>
        <w:t>McKinnon,</w:t>
      </w:r>
      <w:r w:rsidR="008A38C3">
        <w:rPr>
          <w:sz w:val="24"/>
          <w:szCs w:val="24"/>
          <w:lang w:val="en-GB"/>
        </w:rPr>
        <w:t xml:space="preserve"> C. (1989)</w:t>
      </w:r>
      <w:r w:rsidRPr="00A12A3B">
        <w:rPr>
          <w:sz w:val="24"/>
          <w:szCs w:val="24"/>
          <w:lang w:val="en-GB"/>
        </w:rPr>
        <w:t xml:space="preserve"> </w:t>
      </w:r>
      <w:r w:rsidRPr="00A12A3B">
        <w:rPr>
          <w:i/>
          <w:sz w:val="24"/>
          <w:szCs w:val="24"/>
          <w:lang w:val="en-GB"/>
        </w:rPr>
        <w:t>Toward a Feminist Theory of</w:t>
      </w:r>
      <w:r w:rsidRPr="003E1068">
        <w:rPr>
          <w:i/>
          <w:sz w:val="24"/>
          <w:szCs w:val="24"/>
          <w:lang w:val="en-GB"/>
        </w:rPr>
        <w:t xml:space="preserve"> the State</w:t>
      </w:r>
      <w:r w:rsidRPr="003E1068">
        <w:rPr>
          <w:sz w:val="24"/>
          <w:szCs w:val="24"/>
          <w:lang w:val="en-GB"/>
        </w:rPr>
        <w:t>, Harvard University Press</w:t>
      </w:r>
      <w:r w:rsidR="008A38C3">
        <w:rPr>
          <w:sz w:val="24"/>
          <w:szCs w:val="24"/>
          <w:lang w:val="en-GB"/>
        </w:rPr>
        <w:t>.</w:t>
      </w:r>
    </w:p>
    <w:p w14:paraId="0D2DFEA0" w14:textId="77777777" w:rsidR="00956607" w:rsidRPr="00DC5ECB" w:rsidRDefault="00956607" w:rsidP="00956607">
      <w:pPr>
        <w:pStyle w:val="EndnoteText"/>
        <w:spacing w:line="240" w:lineRule="auto"/>
        <w:rPr>
          <w:sz w:val="24"/>
          <w:szCs w:val="24"/>
        </w:rPr>
      </w:pPr>
    </w:p>
    <w:p w14:paraId="388DF0FB" w14:textId="67A462AC" w:rsidR="00956607" w:rsidRPr="00DC5ECB" w:rsidRDefault="00956607" w:rsidP="00956607">
      <w:pPr>
        <w:pStyle w:val="EndnoteText"/>
        <w:spacing w:line="240" w:lineRule="auto"/>
        <w:rPr>
          <w:noProof/>
          <w:sz w:val="24"/>
          <w:szCs w:val="24"/>
        </w:rPr>
      </w:pPr>
      <w:r w:rsidRPr="00DC5ECB">
        <w:rPr>
          <w:noProof/>
          <w:sz w:val="24"/>
          <w:szCs w:val="24"/>
        </w:rPr>
        <w:t xml:space="preserve">Mesthrie, </w:t>
      </w:r>
      <w:r w:rsidR="008A38C3">
        <w:rPr>
          <w:bCs/>
          <w:color w:val="000000"/>
          <w:sz w:val="24"/>
          <w:szCs w:val="24"/>
          <w:shd w:val="clear" w:color="auto" w:fill="FFFFFF"/>
        </w:rPr>
        <w:t xml:space="preserve">R. </w:t>
      </w:r>
      <w:r w:rsidRPr="00DC5ECB">
        <w:rPr>
          <w:bCs/>
          <w:color w:val="000000"/>
          <w:sz w:val="24"/>
          <w:szCs w:val="24"/>
          <w:shd w:val="clear" w:color="auto" w:fill="FFFFFF"/>
        </w:rPr>
        <w:t>Swann,</w:t>
      </w:r>
      <w:r w:rsidR="008A38C3">
        <w:rPr>
          <w:bCs/>
          <w:color w:val="000000"/>
          <w:sz w:val="24"/>
          <w:szCs w:val="24"/>
          <w:shd w:val="clear" w:color="auto" w:fill="FFFFFF"/>
        </w:rPr>
        <w:t xml:space="preserve"> J.</w:t>
      </w:r>
      <w:r w:rsidRPr="00DC5ECB">
        <w:rPr>
          <w:bCs/>
          <w:color w:val="000000"/>
          <w:sz w:val="24"/>
          <w:szCs w:val="24"/>
          <w:shd w:val="clear" w:color="auto" w:fill="FFFFFF"/>
        </w:rPr>
        <w:t xml:space="preserve"> Deumert</w:t>
      </w:r>
      <w:r w:rsidR="008A38C3">
        <w:rPr>
          <w:bCs/>
          <w:color w:val="000000"/>
          <w:sz w:val="24"/>
          <w:szCs w:val="24"/>
          <w:shd w:val="clear" w:color="auto" w:fill="FFFFFF"/>
        </w:rPr>
        <w:t>,</w:t>
      </w:r>
      <w:r w:rsidRPr="00DC5ECB">
        <w:rPr>
          <w:bCs/>
          <w:color w:val="000000"/>
          <w:sz w:val="24"/>
          <w:szCs w:val="24"/>
          <w:shd w:val="clear" w:color="auto" w:fill="FFFFFF"/>
        </w:rPr>
        <w:t xml:space="preserve"> </w:t>
      </w:r>
      <w:r w:rsidR="008A38C3">
        <w:rPr>
          <w:bCs/>
          <w:color w:val="000000"/>
          <w:sz w:val="24"/>
          <w:szCs w:val="24"/>
          <w:shd w:val="clear" w:color="auto" w:fill="FFFFFF"/>
        </w:rPr>
        <w:t xml:space="preserve">A. </w:t>
      </w:r>
      <w:r w:rsidRPr="00DC5ECB">
        <w:rPr>
          <w:bCs/>
          <w:color w:val="000000"/>
          <w:sz w:val="24"/>
          <w:szCs w:val="24"/>
          <w:shd w:val="clear" w:color="auto" w:fill="FFFFFF"/>
        </w:rPr>
        <w:t>and Leap</w:t>
      </w:r>
      <w:r w:rsidRPr="00DC5ECB">
        <w:rPr>
          <w:noProof/>
          <w:sz w:val="24"/>
          <w:szCs w:val="24"/>
        </w:rPr>
        <w:t xml:space="preserve">, </w:t>
      </w:r>
      <w:r w:rsidR="008A38C3">
        <w:rPr>
          <w:noProof/>
          <w:sz w:val="24"/>
          <w:szCs w:val="24"/>
        </w:rPr>
        <w:t xml:space="preserve">W. (2009) </w:t>
      </w:r>
      <w:r w:rsidRPr="00DC5ECB">
        <w:rPr>
          <w:i/>
          <w:noProof/>
          <w:sz w:val="24"/>
          <w:szCs w:val="24"/>
        </w:rPr>
        <w:t>Introducing Sociolingustics</w:t>
      </w:r>
      <w:r w:rsidRPr="00DC5ECB">
        <w:rPr>
          <w:noProof/>
          <w:sz w:val="24"/>
          <w:szCs w:val="24"/>
        </w:rPr>
        <w:t>, Edinburgh University Press</w:t>
      </w:r>
      <w:r w:rsidR="008A38C3">
        <w:rPr>
          <w:noProof/>
          <w:sz w:val="24"/>
          <w:szCs w:val="24"/>
        </w:rPr>
        <w:t>.</w:t>
      </w:r>
    </w:p>
    <w:p w14:paraId="38629125" w14:textId="77777777" w:rsidR="00956607" w:rsidRDefault="00956607" w:rsidP="00956607">
      <w:pPr>
        <w:pStyle w:val="EndnoteText"/>
        <w:spacing w:line="240" w:lineRule="auto"/>
        <w:rPr>
          <w:sz w:val="24"/>
          <w:szCs w:val="24"/>
        </w:rPr>
      </w:pPr>
    </w:p>
    <w:p w14:paraId="3867089E" w14:textId="17D5097F" w:rsidR="00956607" w:rsidRPr="003A18C2" w:rsidRDefault="00956607" w:rsidP="00956607">
      <w:pPr>
        <w:pStyle w:val="EndnoteText"/>
        <w:spacing w:line="240" w:lineRule="auto"/>
        <w:rPr>
          <w:sz w:val="24"/>
          <w:szCs w:val="24"/>
        </w:rPr>
      </w:pPr>
      <w:r w:rsidRPr="003A18C2">
        <w:rPr>
          <w:sz w:val="24"/>
          <w:szCs w:val="24"/>
        </w:rPr>
        <w:t xml:space="preserve">Middleton, </w:t>
      </w:r>
      <w:r w:rsidR="008A38C3">
        <w:rPr>
          <w:sz w:val="24"/>
          <w:szCs w:val="24"/>
        </w:rPr>
        <w:t xml:space="preserve">S. (2001) </w:t>
      </w:r>
      <w:r w:rsidRPr="003A18C2">
        <w:rPr>
          <w:sz w:val="24"/>
          <w:szCs w:val="24"/>
        </w:rPr>
        <w:t>‘Domestic Violence, Contributions, and s 75(2) Considerations: An Analysis of Unreported Property Judgments’</w:t>
      </w:r>
      <w:r w:rsidR="00AC1A49">
        <w:rPr>
          <w:sz w:val="24"/>
          <w:szCs w:val="24"/>
        </w:rPr>
        <w:t>,</w:t>
      </w:r>
      <w:r w:rsidRPr="003A18C2">
        <w:rPr>
          <w:sz w:val="24"/>
          <w:szCs w:val="24"/>
        </w:rPr>
        <w:t xml:space="preserve"> </w:t>
      </w:r>
      <w:r w:rsidRPr="003A18C2">
        <w:rPr>
          <w:i/>
          <w:sz w:val="24"/>
          <w:szCs w:val="24"/>
        </w:rPr>
        <w:t>Australian Journal of Family Law</w:t>
      </w:r>
      <w:r w:rsidRPr="003A18C2">
        <w:rPr>
          <w:sz w:val="24"/>
          <w:szCs w:val="24"/>
        </w:rPr>
        <w:t xml:space="preserve"> </w:t>
      </w:r>
      <w:r w:rsidR="008A38C3">
        <w:rPr>
          <w:sz w:val="24"/>
          <w:szCs w:val="24"/>
        </w:rPr>
        <w:t xml:space="preserve">15, </w:t>
      </w:r>
      <w:r w:rsidRPr="003A18C2">
        <w:rPr>
          <w:sz w:val="24"/>
          <w:szCs w:val="24"/>
        </w:rPr>
        <w:t>230</w:t>
      </w:r>
      <w:r w:rsidR="00C9139C">
        <w:rPr>
          <w:sz w:val="24"/>
          <w:szCs w:val="24"/>
        </w:rPr>
        <w:t>-260</w:t>
      </w:r>
      <w:r w:rsidRPr="003A18C2">
        <w:rPr>
          <w:sz w:val="24"/>
          <w:szCs w:val="24"/>
        </w:rPr>
        <w:t>.</w:t>
      </w:r>
    </w:p>
    <w:p w14:paraId="63C25682" w14:textId="77777777" w:rsidR="00956607" w:rsidRDefault="00956607" w:rsidP="00956607">
      <w:pPr>
        <w:pStyle w:val="EndnoteText"/>
        <w:spacing w:line="240" w:lineRule="auto"/>
        <w:rPr>
          <w:sz w:val="24"/>
          <w:szCs w:val="24"/>
        </w:rPr>
      </w:pPr>
    </w:p>
    <w:p w14:paraId="317DB383" w14:textId="221E7D7F" w:rsidR="00956607" w:rsidRPr="0046218B" w:rsidRDefault="00956607" w:rsidP="00956607">
      <w:pPr>
        <w:pStyle w:val="EndnoteText"/>
        <w:spacing w:line="240" w:lineRule="auto"/>
        <w:rPr>
          <w:sz w:val="24"/>
          <w:szCs w:val="24"/>
        </w:rPr>
      </w:pPr>
      <w:r w:rsidRPr="0046218B">
        <w:rPr>
          <w:sz w:val="24"/>
          <w:szCs w:val="24"/>
        </w:rPr>
        <w:t>Neilson,</w:t>
      </w:r>
      <w:r w:rsidR="008A38C3">
        <w:rPr>
          <w:sz w:val="24"/>
          <w:szCs w:val="24"/>
        </w:rPr>
        <w:t xml:space="preserve"> L</w:t>
      </w:r>
      <w:r w:rsidR="00E04A7C">
        <w:rPr>
          <w:sz w:val="24"/>
          <w:szCs w:val="24"/>
        </w:rPr>
        <w:t>.</w:t>
      </w:r>
      <w:r w:rsidR="008A38C3">
        <w:rPr>
          <w:sz w:val="24"/>
          <w:szCs w:val="24"/>
        </w:rPr>
        <w:t xml:space="preserve"> (2004)</w:t>
      </w:r>
      <w:r w:rsidRPr="0046218B">
        <w:rPr>
          <w:sz w:val="24"/>
          <w:szCs w:val="24"/>
        </w:rPr>
        <w:t xml:space="preserve"> ‘Assessing Mutual Partner Abuse Claims in Child Custody and Access Cases’</w:t>
      </w:r>
      <w:r w:rsidR="008A38C3">
        <w:rPr>
          <w:sz w:val="24"/>
          <w:szCs w:val="24"/>
        </w:rPr>
        <w:t xml:space="preserve">, </w:t>
      </w:r>
      <w:r w:rsidRPr="0046218B">
        <w:rPr>
          <w:i/>
          <w:sz w:val="24"/>
          <w:szCs w:val="24"/>
        </w:rPr>
        <w:t>Family Court Review</w:t>
      </w:r>
      <w:r w:rsidRPr="0046218B">
        <w:rPr>
          <w:sz w:val="24"/>
          <w:szCs w:val="24"/>
        </w:rPr>
        <w:t xml:space="preserve"> </w:t>
      </w:r>
      <w:r w:rsidR="008A38C3">
        <w:rPr>
          <w:sz w:val="24"/>
          <w:szCs w:val="24"/>
        </w:rPr>
        <w:t xml:space="preserve">42(3), </w:t>
      </w:r>
      <w:r w:rsidR="00C9139C">
        <w:rPr>
          <w:sz w:val="24"/>
          <w:szCs w:val="24"/>
        </w:rPr>
        <w:t>411-438</w:t>
      </w:r>
      <w:r w:rsidRPr="0046218B">
        <w:rPr>
          <w:sz w:val="24"/>
          <w:szCs w:val="24"/>
        </w:rPr>
        <w:t>.</w:t>
      </w:r>
    </w:p>
    <w:p w14:paraId="3E5C6CDA" w14:textId="77777777" w:rsidR="00956607" w:rsidRDefault="00956607" w:rsidP="00956607">
      <w:pPr>
        <w:pStyle w:val="EndnoteText"/>
        <w:spacing w:line="240" w:lineRule="auto"/>
        <w:rPr>
          <w:sz w:val="24"/>
          <w:szCs w:val="24"/>
        </w:rPr>
      </w:pPr>
    </w:p>
    <w:p w14:paraId="7AC8ACE0" w14:textId="6D828EFD" w:rsidR="00956607" w:rsidRPr="00CF7BD7" w:rsidRDefault="00956607" w:rsidP="00956607">
      <w:pPr>
        <w:pStyle w:val="EndnoteText"/>
        <w:spacing w:line="240" w:lineRule="auto"/>
        <w:rPr>
          <w:color w:val="000000"/>
          <w:sz w:val="24"/>
          <w:szCs w:val="24"/>
        </w:rPr>
      </w:pPr>
      <w:r w:rsidRPr="00CF7BD7">
        <w:rPr>
          <w:color w:val="000000"/>
          <w:sz w:val="24"/>
          <w:szCs w:val="24"/>
        </w:rPr>
        <w:t>New South Wales Law Reform Commission</w:t>
      </w:r>
      <w:r w:rsidR="008A38C3">
        <w:rPr>
          <w:color w:val="000000"/>
          <w:sz w:val="24"/>
          <w:szCs w:val="24"/>
        </w:rPr>
        <w:t>, (2006)</w:t>
      </w:r>
      <w:r w:rsidRPr="00CF7BD7">
        <w:rPr>
          <w:color w:val="000000"/>
          <w:sz w:val="24"/>
          <w:szCs w:val="24"/>
        </w:rPr>
        <w:t xml:space="preserve"> </w:t>
      </w:r>
      <w:r w:rsidRPr="00CF7BD7">
        <w:rPr>
          <w:i/>
          <w:iCs/>
          <w:color w:val="000000"/>
          <w:sz w:val="24"/>
          <w:szCs w:val="24"/>
        </w:rPr>
        <w:t>Relationships</w:t>
      </w:r>
      <w:r w:rsidRPr="00CF7BD7">
        <w:rPr>
          <w:color w:val="000000"/>
          <w:sz w:val="24"/>
          <w:szCs w:val="24"/>
        </w:rPr>
        <w:t>, Report No 113</w:t>
      </w:r>
      <w:r w:rsidR="008A38C3">
        <w:rPr>
          <w:color w:val="000000"/>
          <w:sz w:val="24"/>
          <w:szCs w:val="24"/>
        </w:rPr>
        <w:t xml:space="preserve">, </w:t>
      </w:r>
      <w:r w:rsidR="00AC1A49">
        <w:rPr>
          <w:color w:val="000000"/>
          <w:sz w:val="24"/>
          <w:szCs w:val="24"/>
        </w:rPr>
        <w:t xml:space="preserve">New South Wales: </w:t>
      </w:r>
      <w:r w:rsidRPr="00CF7BD7">
        <w:rPr>
          <w:color w:val="000000"/>
          <w:sz w:val="24"/>
          <w:szCs w:val="24"/>
        </w:rPr>
        <w:t>New South Wales Law Reform Commission</w:t>
      </w:r>
      <w:r w:rsidR="008A38C3">
        <w:rPr>
          <w:color w:val="000000"/>
          <w:sz w:val="24"/>
          <w:szCs w:val="24"/>
        </w:rPr>
        <w:t>.</w:t>
      </w:r>
    </w:p>
    <w:p w14:paraId="7F9D0ABA" w14:textId="77777777" w:rsidR="00956607" w:rsidRDefault="00956607" w:rsidP="00956607">
      <w:pPr>
        <w:pStyle w:val="EndnoteText"/>
        <w:spacing w:line="240" w:lineRule="auto"/>
        <w:rPr>
          <w:sz w:val="24"/>
          <w:szCs w:val="24"/>
        </w:rPr>
      </w:pPr>
    </w:p>
    <w:p w14:paraId="77D0E818" w14:textId="7977C7EF" w:rsidR="003D6B38" w:rsidRPr="003D6B38" w:rsidRDefault="003D6B38" w:rsidP="00956607">
      <w:pPr>
        <w:pStyle w:val="EndnoteText"/>
        <w:spacing w:line="240" w:lineRule="auto"/>
        <w:rPr>
          <w:sz w:val="24"/>
          <w:szCs w:val="24"/>
        </w:rPr>
      </w:pPr>
      <w:r w:rsidRPr="003D6B38">
        <w:rPr>
          <w:sz w:val="24"/>
          <w:szCs w:val="24"/>
        </w:rPr>
        <w:t xml:space="preserve">O’Brien, </w:t>
      </w:r>
      <w:r w:rsidR="008A38C3">
        <w:rPr>
          <w:sz w:val="24"/>
          <w:szCs w:val="24"/>
        </w:rPr>
        <w:t>R</w:t>
      </w:r>
      <w:r w:rsidR="00AC1A49">
        <w:rPr>
          <w:sz w:val="24"/>
          <w:szCs w:val="24"/>
        </w:rPr>
        <w:t>.</w:t>
      </w:r>
      <w:r w:rsidR="008A38C3">
        <w:rPr>
          <w:sz w:val="24"/>
          <w:szCs w:val="24"/>
        </w:rPr>
        <w:t xml:space="preserve"> (2010) ‘</w:t>
      </w:r>
      <w:r w:rsidRPr="003D6B38">
        <w:rPr>
          <w:sz w:val="24"/>
          <w:szCs w:val="24"/>
        </w:rPr>
        <w:t xml:space="preserve">Simplifying the </w:t>
      </w:r>
      <w:r w:rsidR="008A38C3">
        <w:rPr>
          <w:sz w:val="24"/>
          <w:szCs w:val="24"/>
        </w:rPr>
        <w:t>S</w:t>
      </w:r>
      <w:r w:rsidRPr="003D6B38">
        <w:rPr>
          <w:sz w:val="24"/>
          <w:szCs w:val="24"/>
        </w:rPr>
        <w:t xml:space="preserve">ystem: Family Law Challenges – </w:t>
      </w:r>
      <w:r w:rsidR="008A38C3">
        <w:rPr>
          <w:sz w:val="24"/>
          <w:szCs w:val="24"/>
        </w:rPr>
        <w:t>C</w:t>
      </w:r>
      <w:r w:rsidRPr="003D6B38">
        <w:rPr>
          <w:sz w:val="24"/>
          <w:szCs w:val="24"/>
        </w:rPr>
        <w:t xml:space="preserve">an the </w:t>
      </w:r>
      <w:r w:rsidR="008A38C3">
        <w:rPr>
          <w:sz w:val="24"/>
          <w:szCs w:val="24"/>
        </w:rPr>
        <w:t>S</w:t>
      </w:r>
      <w:r w:rsidRPr="003D6B38">
        <w:rPr>
          <w:sz w:val="24"/>
          <w:szCs w:val="24"/>
        </w:rPr>
        <w:t xml:space="preserve">ystem </w:t>
      </w:r>
      <w:r w:rsidR="008A38C3">
        <w:rPr>
          <w:sz w:val="24"/>
          <w:szCs w:val="24"/>
        </w:rPr>
        <w:t>E</w:t>
      </w:r>
      <w:r w:rsidRPr="003D6B38">
        <w:rPr>
          <w:sz w:val="24"/>
          <w:szCs w:val="24"/>
        </w:rPr>
        <w:t xml:space="preserve">ver </w:t>
      </w:r>
      <w:r w:rsidR="008A38C3">
        <w:rPr>
          <w:sz w:val="24"/>
          <w:szCs w:val="24"/>
        </w:rPr>
        <w:t>B</w:t>
      </w:r>
      <w:r w:rsidRPr="003D6B38">
        <w:rPr>
          <w:sz w:val="24"/>
          <w:szCs w:val="24"/>
        </w:rPr>
        <w:t xml:space="preserve">e </w:t>
      </w:r>
      <w:r w:rsidR="008A38C3">
        <w:rPr>
          <w:sz w:val="24"/>
          <w:szCs w:val="24"/>
        </w:rPr>
        <w:t>S</w:t>
      </w:r>
      <w:r w:rsidRPr="003D6B38">
        <w:rPr>
          <w:sz w:val="24"/>
          <w:szCs w:val="24"/>
        </w:rPr>
        <w:t>imple?</w:t>
      </w:r>
      <w:r w:rsidR="008A38C3">
        <w:rPr>
          <w:sz w:val="24"/>
          <w:szCs w:val="24"/>
        </w:rPr>
        <w:t>’,</w:t>
      </w:r>
      <w:r w:rsidRPr="003D6B38">
        <w:rPr>
          <w:sz w:val="24"/>
          <w:szCs w:val="24"/>
        </w:rPr>
        <w:t xml:space="preserve"> </w:t>
      </w:r>
      <w:r w:rsidRPr="003D6B38">
        <w:rPr>
          <w:i/>
          <w:sz w:val="24"/>
          <w:szCs w:val="24"/>
        </w:rPr>
        <w:t>Journal of Family Studies</w:t>
      </w:r>
      <w:r w:rsidR="008A38C3">
        <w:rPr>
          <w:sz w:val="24"/>
          <w:szCs w:val="24"/>
        </w:rPr>
        <w:t xml:space="preserve"> 16(3), </w:t>
      </w:r>
      <w:r w:rsidRPr="003D6B38">
        <w:rPr>
          <w:sz w:val="24"/>
          <w:szCs w:val="24"/>
        </w:rPr>
        <w:t>264</w:t>
      </w:r>
      <w:r w:rsidR="00EE00AA">
        <w:rPr>
          <w:sz w:val="24"/>
          <w:szCs w:val="24"/>
        </w:rPr>
        <w:t>-270</w:t>
      </w:r>
      <w:r w:rsidRPr="003D6B38">
        <w:rPr>
          <w:sz w:val="24"/>
          <w:szCs w:val="24"/>
        </w:rPr>
        <w:t>.</w:t>
      </w:r>
    </w:p>
    <w:p w14:paraId="4E4C0183" w14:textId="77777777" w:rsidR="003D6B38" w:rsidRPr="00CF7BD7" w:rsidRDefault="003D6B38" w:rsidP="00956607">
      <w:pPr>
        <w:pStyle w:val="EndnoteText"/>
        <w:spacing w:line="240" w:lineRule="auto"/>
        <w:rPr>
          <w:sz w:val="24"/>
          <w:szCs w:val="24"/>
        </w:rPr>
      </w:pPr>
    </w:p>
    <w:p w14:paraId="46B17D6D" w14:textId="0A8F54AB" w:rsidR="00956607" w:rsidRPr="001E65E5" w:rsidRDefault="00956607" w:rsidP="00956607">
      <w:pPr>
        <w:pStyle w:val="EndnoteText"/>
        <w:spacing w:line="240" w:lineRule="auto"/>
        <w:rPr>
          <w:sz w:val="24"/>
          <w:szCs w:val="24"/>
        </w:rPr>
      </w:pPr>
      <w:r w:rsidRPr="001E65E5">
        <w:rPr>
          <w:sz w:val="24"/>
          <w:szCs w:val="24"/>
        </w:rPr>
        <w:t xml:space="preserve">Paxton, </w:t>
      </w:r>
      <w:r w:rsidR="008A38C3">
        <w:rPr>
          <w:sz w:val="24"/>
          <w:szCs w:val="24"/>
        </w:rPr>
        <w:t xml:space="preserve">B. (2003) </w:t>
      </w:r>
      <w:r w:rsidRPr="001E65E5">
        <w:rPr>
          <w:sz w:val="24"/>
          <w:szCs w:val="24"/>
        </w:rPr>
        <w:t xml:space="preserve">‘Domestic Violence and Abuse of Process’ </w:t>
      </w:r>
      <w:r w:rsidRPr="001E65E5">
        <w:rPr>
          <w:i/>
          <w:sz w:val="24"/>
          <w:szCs w:val="24"/>
        </w:rPr>
        <w:t>Australian Family Lawyer</w:t>
      </w:r>
      <w:r w:rsidR="008A38C3">
        <w:rPr>
          <w:sz w:val="24"/>
          <w:szCs w:val="24"/>
        </w:rPr>
        <w:t xml:space="preserve"> 17(1), </w:t>
      </w:r>
      <w:r w:rsidRPr="001E65E5">
        <w:rPr>
          <w:sz w:val="24"/>
          <w:szCs w:val="24"/>
        </w:rPr>
        <w:t>7</w:t>
      </w:r>
      <w:r w:rsidR="00E200F7">
        <w:rPr>
          <w:sz w:val="24"/>
          <w:szCs w:val="24"/>
        </w:rPr>
        <w:t>-13</w:t>
      </w:r>
      <w:r w:rsidRPr="001E65E5">
        <w:rPr>
          <w:sz w:val="24"/>
          <w:szCs w:val="24"/>
        </w:rPr>
        <w:t>.</w:t>
      </w:r>
    </w:p>
    <w:p w14:paraId="2225A22E" w14:textId="77777777" w:rsidR="00956607" w:rsidRDefault="00956607" w:rsidP="00956607">
      <w:pPr>
        <w:pStyle w:val="EndnoteText"/>
        <w:spacing w:line="240" w:lineRule="auto"/>
        <w:rPr>
          <w:sz w:val="24"/>
          <w:szCs w:val="24"/>
        </w:rPr>
      </w:pPr>
    </w:p>
    <w:p w14:paraId="18CB818D" w14:textId="6B5D62AC" w:rsidR="00956607" w:rsidRPr="00867DE1" w:rsidRDefault="00956607" w:rsidP="00956607">
      <w:pPr>
        <w:pStyle w:val="EndnoteText"/>
        <w:spacing w:line="240" w:lineRule="auto"/>
        <w:rPr>
          <w:sz w:val="24"/>
          <w:szCs w:val="24"/>
        </w:rPr>
      </w:pPr>
      <w:r w:rsidRPr="00867DE1">
        <w:rPr>
          <w:color w:val="000000" w:themeColor="text1"/>
          <w:sz w:val="24"/>
          <w:szCs w:val="24"/>
        </w:rPr>
        <w:t xml:space="preserve">Pico-Alfonso, </w:t>
      </w:r>
      <w:r w:rsidR="008A38C3">
        <w:rPr>
          <w:color w:val="000000" w:themeColor="text1"/>
          <w:sz w:val="24"/>
          <w:szCs w:val="24"/>
        </w:rPr>
        <w:t xml:space="preserve">M. </w:t>
      </w:r>
      <w:r w:rsidRPr="00867DE1">
        <w:rPr>
          <w:color w:val="000000" w:themeColor="text1"/>
          <w:sz w:val="24"/>
          <w:szCs w:val="24"/>
        </w:rPr>
        <w:t>Garcia-Linares,</w:t>
      </w:r>
      <w:r w:rsidR="008A38C3">
        <w:rPr>
          <w:color w:val="000000" w:themeColor="text1"/>
          <w:sz w:val="24"/>
          <w:szCs w:val="24"/>
        </w:rPr>
        <w:t xml:space="preserve"> I.</w:t>
      </w:r>
      <w:r w:rsidRPr="00867DE1">
        <w:rPr>
          <w:color w:val="000000" w:themeColor="text1"/>
          <w:sz w:val="24"/>
          <w:szCs w:val="24"/>
        </w:rPr>
        <w:t xml:space="preserve"> Celda-Navarro, </w:t>
      </w:r>
      <w:r w:rsidR="008A38C3">
        <w:rPr>
          <w:color w:val="000000" w:themeColor="text1"/>
          <w:sz w:val="24"/>
          <w:szCs w:val="24"/>
        </w:rPr>
        <w:t xml:space="preserve">N. </w:t>
      </w:r>
      <w:r w:rsidRPr="00867DE1">
        <w:rPr>
          <w:color w:val="000000" w:themeColor="text1"/>
          <w:sz w:val="24"/>
          <w:szCs w:val="24"/>
        </w:rPr>
        <w:t>et al</w:t>
      </w:r>
      <w:r w:rsidR="00AC1A49">
        <w:rPr>
          <w:color w:val="000000" w:themeColor="text1"/>
          <w:sz w:val="24"/>
          <w:szCs w:val="24"/>
        </w:rPr>
        <w:t>.</w:t>
      </w:r>
      <w:r w:rsidRPr="00867DE1">
        <w:rPr>
          <w:color w:val="000000" w:themeColor="text1"/>
          <w:sz w:val="24"/>
          <w:szCs w:val="24"/>
        </w:rPr>
        <w:t xml:space="preserve"> </w:t>
      </w:r>
      <w:r w:rsidR="008A38C3">
        <w:rPr>
          <w:color w:val="000000" w:themeColor="text1"/>
          <w:sz w:val="24"/>
          <w:szCs w:val="24"/>
        </w:rPr>
        <w:t xml:space="preserve">(2006) </w:t>
      </w:r>
      <w:r w:rsidRPr="00867DE1">
        <w:rPr>
          <w:color w:val="000000" w:themeColor="text1"/>
          <w:sz w:val="24"/>
          <w:szCs w:val="24"/>
        </w:rPr>
        <w:t>‘The Impact of Physical, Psychological and Sexual Intimate Male Partner Violence on Women’s Mental Health: Depressive Symptoms, Posttraumatic Stress Disorder, State Anxiety, and Suicide’</w:t>
      </w:r>
      <w:r w:rsidR="008A38C3">
        <w:rPr>
          <w:color w:val="000000" w:themeColor="text1"/>
          <w:sz w:val="24"/>
          <w:szCs w:val="24"/>
        </w:rPr>
        <w:t xml:space="preserve">, </w:t>
      </w:r>
      <w:r w:rsidRPr="00867DE1">
        <w:rPr>
          <w:i/>
          <w:color w:val="000000" w:themeColor="text1"/>
          <w:sz w:val="24"/>
          <w:szCs w:val="24"/>
        </w:rPr>
        <w:t>Journal of Women’s Health</w:t>
      </w:r>
      <w:r w:rsidRPr="00867DE1">
        <w:rPr>
          <w:color w:val="000000" w:themeColor="text1"/>
          <w:sz w:val="24"/>
          <w:szCs w:val="24"/>
        </w:rPr>
        <w:t xml:space="preserve"> </w:t>
      </w:r>
      <w:r w:rsidR="008A38C3">
        <w:rPr>
          <w:color w:val="000000" w:themeColor="text1"/>
          <w:sz w:val="24"/>
          <w:szCs w:val="24"/>
        </w:rPr>
        <w:t xml:space="preserve">15(5), </w:t>
      </w:r>
      <w:r w:rsidRPr="00867DE1">
        <w:rPr>
          <w:color w:val="000000" w:themeColor="text1"/>
          <w:sz w:val="24"/>
          <w:szCs w:val="24"/>
        </w:rPr>
        <w:t>599</w:t>
      </w:r>
      <w:r w:rsidR="00E200F7">
        <w:rPr>
          <w:color w:val="000000" w:themeColor="text1"/>
          <w:sz w:val="24"/>
          <w:szCs w:val="24"/>
        </w:rPr>
        <w:t>-611</w:t>
      </w:r>
      <w:r w:rsidRPr="00867DE1">
        <w:rPr>
          <w:sz w:val="24"/>
          <w:szCs w:val="24"/>
        </w:rPr>
        <w:t>.</w:t>
      </w:r>
    </w:p>
    <w:p w14:paraId="5235B299" w14:textId="77777777" w:rsidR="00956607" w:rsidRDefault="00956607" w:rsidP="00956607">
      <w:pPr>
        <w:pStyle w:val="EndnoteText"/>
        <w:spacing w:line="240" w:lineRule="auto"/>
        <w:rPr>
          <w:sz w:val="24"/>
          <w:szCs w:val="24"/>
        </w:rPr>
      </w:pPr>
    </w:p>
    <w:p w14:paraId="4C411B85" w14:textId="576A47A5" w:rsidR="00620331" w:rsidRPr="00620331" w:rsidRDefault="00620331" w:rsidP="00956607">
      <w:pPr>
        <w:pStyle w:val="EndnoteText"/>
        <w:spacing w:line="240" w:lineRule="auto"/>
        <w:rPr>
          <w:rStyle w:val="A9"/>
          <w:rFonts w:cs="Times New Roman"/>
          <w:color w:val="auto"/>
          <w:sz w:val="24"/>
          <w:szCs w:val="24"/>
        </w:rPr>
      </w:pPr>
      <w:r w:rsidRPr="00620331">
        <w:rPr>
          <w:rStyle w:val="A9"/>
          <w:rFonts w:cs="Times New Roman"/>
          <w:color w:val="auto"/>
          <w:sz w:val="24"/>
          <w:szCs w:val="24"/>
        </w:rPr>
        <w:t xml:space="preserve">Rendell, </w:t>
      </w:r>
      <w:r w:rsidR="008A38C3">
        <w:rPr>
          <w:rStyle w:val="A9"/>
          <w:rFonts w:cs="Times New Roman"/>
          <w:color w:val="auto"/>
          <w:sz w:val="24"/>
          <w:szCs w:val="24"/>
        </w:rPr>
        <w:t xml:space="preserve">K. </w:t>
      </w:r>
      <w:r w:rsidRPr="00620331">
        <w:rPr>
          <w:rStyle w:val="A9"/>
          <w:rFonts w:cs="Times New Roman"/>
          <w:color w:val="auto"/>
          <w:sz w:val="24"/>
          <w:szCs w:val="24"/>
        </w:rPr>
        <w:t>Rathus,</w:t>
      </w:r>
      <w:r w:rsidR="008A38C3">
        <w:rPr>
          <w:rStyle w:val="A9"/>
          <w:rFonts w:cs="Times New Roman"/>
          <w:color w:val="auto"/>
          <w:sz w:val="24"/>
          <w:szCs w:val="24"/>
        </w:rPr>
        <w:t xml:space="preserve"> Z.</w:t>
      </w:r>
      <w:r w:rsidRPr="00620331">
        <w:rPr>
          <w:rStyle w:val="A9"/>
          <w:rFonts w:cs="Times New Roman"/>
          <w:color w:val="auto"/>
          <w:sz w:val="24"/>
          <w:szCs w:val="24"/>
        </w:rPr>
        <w:t xml:space="preserve"> and Lynch,</w:t>
      </w:r>
      <w:r w:rsidR="008A38C3">
        <w:rPr>
          <w:rStyle w:val="A9"/>
          <w:rFonts w:cs="Times New Roman"/>
          <w:color w:val="auto"/>
          <w:sz w:val="24"/>
          <w:szCs w:val="24"/>
        </w:rPr>
        <w:t xml:space="preserve"> A. (2000)</w:t>
      </w:r>
      <w:r w:rsidRPr="00620331">
        <w:rPr>
          <w:rStyle w:val="A9"/>
          <w:rFonts w:cs="Times New Roman"/>
          <w:color w:val="auto"/>
          <w:sz w:val="24"/>
          <w:szCs w:val="24"/>
        </w:rPr>
        <w:t xml:space="preserve"> </w:t>
      </w:r>
      <w:r w:rsidRPr="00620331">
        <w:rPr>
          <w:rStyle w:val="A9"/>
          <w:rFonts w:cs="Times New Roman"/>
          <w:i/>
          <w:iCs/>
          <w:color w:val="auto"/>
          <w:sz w:val="24"/>
          <w:szCs w:val="24"/>
        </w:rPr>
        <w:t xml:space="preserve">An Unacceptable Risk: </w:t>
      </w:r>
      <w:r w:rsidR="008A38C3">
        <w:rPr>
          <w:rStyle w:val="A9"/>
          <w:rFonts w:cs="Times New Roman"/>
          <w:i/>
          <w:iCs/>
          <w:color w:val="auto"/>
          <w:sz w:val="24"/>
          <w:szCs w:val="24"/>
        </w:rPr>
        <w:t xml:space="preserve">A </w:t>
      </w:r>
      <w:r w:rsidRPr="00620331">
        <w:rPr>
          <w:rStyle w:val="A9"/>
          <w:rFonts w:cs="Times New Roman"/>
          <w:i/>
          <w:iCs/>
          <w:color w:val="auto"/>
          <w:sz w:val="24"/>
          <w:szCs w:val="24"/>
        </w:rPr>
        <w:t>Report on Child Contact Arrangements Where There is Violence in the Family</w:t>
      </w:r>
      <w:r w:rsidRPr="00620331">
        <w:rPr>
          <w:rStyle w:val="A9"/>
          <w:rFonts w:cs="Times New Roman"/>
          <w:color w:val="auto"/>
          <w:sz w:val="24"/>
          <w:szCs w:val="24"/>
        </w:rPr>
        <w:t xml:space="preserve">, </w:t>
      </w:r>
      <w:r w:rsidR="00AC1A49">
        <w:rPr>
          <w:rStyle w:val="A9"/>
          <w:rFonts w:cs="Times New Roman"/>
          <w:color w:val="auto"/>
          <w:sz w:val="24"/>
          <w:szCs w:val="24"/>
        </w:rPr>
        <w:t xml:space="preserve">Brisbane: </w:t>
      </w:r>
      <w:r w:rsidRPr="00620331">
        <w:rPr>
          <w:rStyle w:val="A9"/>
          <w:rFonts w:cs="Times New Roman"/>
          <w:color w:val="auto"/>
          <w:sz w:val="24"/>
          <w:szCs w:val="24"/>
        </w:rPr>
        <w:t xml:space="preserve">Women’s Legal Service, </w:t>
      </w:r>
      <w:r w:rsidR="00AC1A49">
        <w:rPr>
          <w:rStyle w:val="A9"/>
          <w:rFonts w:cs="Times New Roman"/>
          <w:color w:val="auto"/>
          <w:sz w:val="24"/>
          <w:szCs w:val="24"/>
        </w:rPr>
        <w:t>i</w:t>
      </w:r>
      <w:r w:rsidRPr="00620331">
        <w:rPr>
          <w:rStyle w:val="A9"/>
          <w:rFonts w:cs="Times New Roman"/>
          <w:color w:val="auto"/>
          <w:sz w:val="24"/>
          <w:szCs w:val="24"/>
        </w:rPr>
        <w:t>nc</w:t>
      </w:r>
      <w:r w:rsidR="00AC1A49">
        <w:rPr>
          <w:rStyle w:val="A9"/>
          <w:rFonts w:cs="Times New Roman"/>
          <w:color w:val="auto"/>
          <w:sz w:val="24"/>
          <w:szCs w:val="24"/>
        </w:rPr>
        <w:t>,</w:t>
      </w:r>
    </w:p>
    <w:p w14:paraId="6817B271" w14:textId="77777777" w:rsidR="00620331" w:rsidRDefault="00620331" w:rsidP="00956607">
      <w:pPr>
        <w:pStyle w:val="EndnoteText"/>
        <w:spacing w:line="240" w:lineRule="auto"/>
        <w:rPr>
          <w:sz w:val="24"/>
          <w:szCs w:val="24"/>
        </w:rPr>
      </w:pPr>
    </w:p>
    <w:p w14:paraId="73A843BB" w14:textId="3379D331" w:rsidR="006067C1" w:rsidRDefault="006067C1" w:rsidP="00956607">
      <w:pPr>
        <w:pStyle w:val="EndnoteText"/>
        <w:spacing w:line="240" w:lineRule="auto"/>
        <w:rPr>
          <w:sz w:val="24"/>
          <w:szCs w:val="24"/>
        </w:rPr>
      </w:pPr>
      <w:r w:rsidRPr="006067C1">
        <w:rPr>
          <w:sz w:val="24"/>
          <w:szCs w:val="24"/>
        </w:rPr>
        <w:t>Robertson</w:t>
      </w:r>
      <w:r w:rsidR="008A38C3">
        <w:rPr>
          <w:sz w:val="24"/>
          <w:szCs w:val="24"/>
        </w:rPr>
        <w:t>, M.</w:t>
      </w:r>
      <w:r w:rsidRPr="006067C1">
        <w:rPr>
          <w:sz w:val="24"/>
          <w:szCs w:val="24"/>
        </w:rPr>
        <w:t xml:space="preserve"> and Giddings,</w:t>
      </w:r>
      <w:r w:rsidR="008A38C3">
        <w:rPr>
          <w:sz w:val="24"/>
          <w:szCs w:val="24"/>
        </w:rPr>
        <w:t xml:space="preserve"> J. (2001)</w:t>
      </w:r>
      <w:r w:rsidRPr="006067C1">
        <w:rPr>
          <w:sz w:val="24"/>
          <w:szCs w:val="24"/>
        </w:rPr>
        <w:t xml:space="preserve"> ‘“Informed Litigants with Nowhere to Go”: Self-Help Legal Aid Services in Australia’</w:t>
      </w:r>
      <w:r w:rsidR="008A38C3">
        <w:rPr>
          <w:sz w:val="24"/>
          <w:szCs w:val="24"/>
        </w:rPr>
        <w:t>,</w:t>
      </w:r>
      <w:r w:rsidRPr="006067C1">
        <w:rPr>
          <w:sz w:val="24"/>
          <w:szCs w:val="24"/>
        </w:rPr>
        <w:t xml:space="preserve"> </w:t>
      </w:r>
      <w:r w:rsidRPr="006067C1">
        <w:rPr>
          <w:i/>
          <w:sz w:val="24"/>
          <w:szCs w:val="24"/>
        </w:rPr>
        <w:t>Alternative Law Journal</w:t>
      </w:r>
      <w:r w:rsidR="008A38C3">
        <w:rPr>
          <w:i/>
          <w:sz w:val="24"/>
          <w:szCs w:val="24"/>
        </w:rPr>
        <w:t xml:space="preserve">, </w:t>
      </w:r>
      <w:r w:rsidR="008A38C3">
        <w:rPr>
          <w:sz w:val="24"/>
          <w:szCs w:val="24"/>
        </w:rPr>
        <w:t>26</w:t>
      </w:r>
      <w:r w:rsidRPr="006067C1">
        <w:rPr>
          <w:i/>
          <w:sz w:val="24"/>
          <w:szCs w:val="24"/>
        </w:rPr>
        <w:t xml:space="preserve"> </w:t>
      </w:r>
      <w:r w:rsidRPr="006067C1">
        <w:rPr>
          <w:sz w:val="24"/>
          <w:szCs w:val="24"/>
        </w:rPr>
        <w:t>184</w:t>
      </w:r>
      <w:r w:rsidR="00E200F7">
        <w:rPr>
          <w:sz w:val="24"/>
          <w:szCs w:val="24"/>
        </w:rPr>
        <w:t>-190</w:t>
      </w:r>
      <w:r w:rsidR="008A38C3">
        <w:rPr>
          <w:sz w:val="24"/>
          <w:szCs w:val="24"/>
        </w:rPr>
        <w:t>.</w:t>
      </w:r>
    </w:p>
    <w:p w14:paraId="4AC0A131" w14:textId="65C1CEAB" w:rsidR="00026B66" w:rsidRDefault="00026B66" w:rsidP="00956607">
      <w:pPr>
        <w:pStyle w:val="EndnoteText"/>
        <w:spacing w:line="240" w:lineRule="auto"/>
        <w:rPr>
          <w:sz w:val="24"/>
          <w:szCs w:val="24"/>
        </w:rPr>
      </w:pPr>
    </w:p>
    <w:p w14:paraId="6DE87E5F" w14:textId="40C13AEC" w:rsidR="00026B66" w:rsidRDefault="00026B66" w:rsidP="00026B66">
      <w:pPr>
        <w:spacing w:line="240" w:lineRule="auto"/>
      </w:pPr>
      <w:r w:rsidRPr="00A0783B">
        <w:rPr>
          <w:noProof/>
        </w:rPr>
        <w:t>Salzmann,</w:t>
      </w:r>
      <w:r>
        <w:rPr>
          <w:noProof/>
        </w:rPr>
        <w:t xml:space="preserve"> Z. (2004)</w:t>
      </w:r>
      <w:r w:rsidRPr="00A0783B">
        <w:rPr>
          <w:noProof/>
        </w:rPr>
        <w:t xml:space="preserve"> </w:t>
      </w:r>
      <w:r w:rsidRPr="00A0783B">
        <w:rPr>
          <w:i/>
          <w:noProof/>
        </w:rPr>
        <w:t>Language, Culture and Society: An Introduction to Linguistic Anthropology</w:t>
      </w:r>
      <w:r>
        <w:rPr>
          <w:i/>
          <w:noProof/>
        </w:rPr>
        <w:t>,</w:t>
      </w:r>
      <w:r>
        <w:rPr>
          <w:noProof/>
        </w:rPr>
        <w:t xml:space="preserve"> </w:t>
      </w:r>
      <w:r w:rsidRPr="00A0783B">
        <w:rPr>
          <w:noProof/>
        </w:rPr>
        <w:t>Westview Press, 3</w:t>
      </w:r>
      <w:r w:rsidRPr="00A0783B">
        <w:rPr>
          <w:noProof/>
          <w:vertAlign w:val="superscript"/>
        </w:rPr>
        <w:t>rd</w:t>
      </w:r>
      <w:r w:rsidRPr="00A0783B">
        <w:rPr>
          <w:noProof/>
        </w:rPr>
        <w:t xml:space="preserve"> ed.</w:t>
      </w:r>
    </w:p>
    <w:p w14:paraId="117FE6C9" w14:textId="77777777" w:rsidR="006067C1" w:rsidRPr="006067C1" w:rsidRDefault="006067C1" w:rsidP="00956607">
      <w:pPr>
        <w:pStyle w:val="EndnoteText"/>
        <w:spacing w:line="240" w:lineRule="auto"/>
        <w:rPr>
          <w:sz w:val="24"/>
          <w:szCs w:val="24"/>
        </w:rPr>
      </w:pPr>
    </w:p>
    <w:p w14:paraId="429A7D61" w14:textId="04EAB650" w:rsidR="00CB5816" w:rsidRPr="007D4E5E" w:rsidRDefault="00CB5816" w:rsidP="00956607">
      <w:pPr>
        <w:pStyle w:val="EndnoteText"/>
        <w:spacing w:line="240" w:lineRule="auto"/>
        <w:rPr>
          <w:sz w:val="24"/>
          <w:szCs w:val="24"/>
        </w:rPr>
      </w:pPr>
      <w:r w:rsidRPr="007D4E5E">
        <w:rPr>
          <w:sz w:val="24"/>
          <w:szCs w:val="24"/>
        </w:rPr>
        <w:t>Sheehan</w:t>
      </w:r>
      <w:r w:rsidR="008A38C3">
        <w:rPr>
          <w:sz w:val="24"/>
          <w:szCs w:val="24"/>
        </w:rPr>
        <w:t>,</w:t>
      </w:r>
      <w:r w:rsidRPr="007D4E5E">
        <w:rPr>
          <w:sz w:val="24"/>
          <w:szCs w:val="24"/>
        </w:rPr>
        <w:t xml:space="preserve"> </w:t>
      </w:r>
      <w:r w:rsidR="008A38C3">
        <w:rPr>
          <w:sz w:val="24"/>
          <w:szCs w:val="24"/>
        </w:rPr>
        <w:t xml:space="preserve">G. </w:t>
      </w:r>
      <w:r w:rsidRPr="007D4E5E">
        <w:rPr>
          <w:sz w:val="24"/>
          <w:szCs w:val="24"/>
        </w:rPr>
        <w:t>and Hughes,</w:t>
      </w:r>
      <w:r w:rsidR="008A38C3">
        <w:rPr>
          <w:sz w:val="24"/>
          <w:szCs w:val="24"/>
        </w:rPr>
        <w:t xml:space="preserve"> J. (2001)</w:t>
      </w:r>
      <w:r w:rsidRPr="007D4E5E">
        <w:rPr>
          <w:sz w:val="24"/>
          <w:szCs w:val="24"/>
        </w:rPr>
        <w:t xml:space="preserve"> </w:t>
      </w:r>
      <w:r w:rsidRPr="007D4E5E">
        <w:rPr>
          <w:i/>
          <w:sz w:val="24"/>
          <w:szCs w:val="24"/>
        </w:rPr>
        <w:t>Division of Matrimonial Property in Australia</w:t>
      </w:r>
      <w:r w:rsidRPr="007D4E5E">
        <w:rPr>
          <w:sz w:val="24"/>
          <w:szCs w:val="24"/>
        </w:rPr>
        <w:t>, Australian Institute of Family Studies, Research Paper 25</w:t>
      </w:r>
      <w:r w:rsidR="006003E5">
        <w:rPr>
          <w:sz w:val="24"/>
          <w:szCs w:val="24"/>
        </w:rPr>
        <w:t>.</w:t>
      </w:r>
    </w:p>
    <w:p w14:paraId="1FCB9E24" w14:textId="77777777" w:rsidR="00CB5816" w:rsidRPr="007D4E5E" w:rsidRDefault="00CB5816" w:rsidP="00956607">
      <w:pPr>
        <w:pStyle w:val="EndnoteText"/>
        <w:spacing w:line="240" w:lineRule="auto"/>
        <w:rPr>
          <w:sz w:val="24"/>
          <w:szCs w:val="24"/>
        </w:rPr>
      </w:pPr>
    </w:p>
    <w:p w14:paraId="344F12F3" w14:textId="4EAFFDCD" w:rsidR="007D4E5E" w:rsidRPr="007D4E5E" w:rsidRDefault="00CB5816" w:rsidP="00956607">
      <w:pPr>
        <w:pStyle w:val="EndnoteText"/>
        <w:spacing w:line="240" w:lineRule="auto"/>
        <w:rPr>
          <w:sz w:val="24"/>
          <w:szCs w:val="24"/>
        </w:rPr>
      </w:pPr>
      <w:r w:rsidRPr="007D4E5E">
        <w:rPr>
          <w:sz w:val="24"/>
          <w:szCs w:val="24"/>
        </w:rPr>
        <w:t>Sheehan</w:t>
      </w:r>
      <w:r w:rsidR="006003E5">
        <w:rPr>
          <w:sz w:val="24"/>
          <w:szCs w:val="24"/>
        </w:rPr>
        <w:t>, G.</w:t>
      </w:r>
      <w:r w:rsidRPr="007D4E5E">
        <w:rPr>
          <w:sz w:val="24"/>
          <w:szCs w:val="24"/>
        </w:rPr>
        <w:t xml:space="preserve"> an</w:t>
      </w:r>
      <w:r w:rsidR="006003E5">
        <w:rPr>
          <w:sz w:val="24"/>
          <w:szCs w:val="24"/>
        </w:rPr>
        <w:t>d</w:t>
      </w:r>
      <w:r w:rsidRPr="007D4E5E">
        <w:rPr>
          <w:sz w:val="24"/>
          <w:szCs w:val="24"/>
        </w:rPr>
        <w:t xml:space="preserve"> Smyth, </w:t>
      </w:r>
      <w:r w:rsidR="006003E5">
        <w:rPr>
          <w:sz w:val="24"/>
          <w:szCs w:val="24"/>
        </w:rPr>
        <w:t xml:space="preserve">B. (2000) </w:t>
      </w:r>
      <w:r w:rsidRPr="007D4E5E">
        <w:rPr>
          <w:sz w:val="24"/>
          <w:szCs w:val="24"/>
        </w:rPr>
        <w:t>‘Spousal Violence and Post-Separation Financial Outcomes’</w:t>
      </w:r>
      <w:r w:rsidR="006003E5">
        <w:rPr>
          <w:sz w:val="24"/>
          <w:szCs w:val="24"/>
        </w:rPr>
        <w:t xml:space="preserve">, </w:t>
      </w:r>
      <w:r w:rsidRPr="007D4E5E">
        <w:rPr>
          <w:i/>
          <w:sz w:val="24"/>
          <w:szCs w:val="24"/>
        </w:rPr>
        <w:t>Australian Journal of Family Law</w:t>
      </w:r>
      <w:r w:rsidRPr="007D4E5E">
        <w:rPr>
          <w:sz w:val="24"/>
          <w:szCs w:val="24"/>
        </w:rPr>
        <w:t xml:space="preserve"> </w:t>
      </w:r>
      <w:r w:rsidR="006003E5">
        <w:rPr>
          <w:sz w:val="24"/>
          <w:szCs w:val="24"/>
        </w:rPr>
        <w:t xml:space="preserve">14(3), </w:t>
      </w:r>
      <w:r w:rsidRPr="007D4E5E">
        <w:rPr>
          <w:sz w:val="24"/>
          <w:szCs w:val="24"/>
        </w:rPr>
        <w:t>102-118</w:t>
      </w:r>
      <w:r w:rsidR="006003E5">
        <w:rPr>
          <w:sz w:val="24"/>
          <w:szCs w:val="24"/>
        </w:rPr>
        <w:t>.</w:t>
      </w:r>
      <w:r w:rsidRPr="007D4E5E">
        <w:rPr>
          <w:sz w:val="24"/>
          <w:szCs w:val="24"/>
        </w:rPr>
        <w:t xml:space="preserve"> </w:t>
      </w:r>
    </w:p>
    <w:p w14:paraId="2CDB61A8" w14:textId="77777777" w:rsidR="007D4E5E" w:rsidRPr="007D4E5E" w:rsidRDefault="007D4E5E" w:rsidP="00956607">
      <w:pPr>
        <w:pStyle w:val="EndnoteText"/>
        <w:spacing w:line="240" w:lineRule="auto"/>
        <w:rPr>
          <w:sz w:val="24"/>
          <w:szCs w:val="24"/>
        </w:rPr>
      </w:pPr>
    </w:p>
    <w:p w14:paraId="71117025" w14:textId="07FB761A" w:rsidR="00956607" w:rsidRPr="003E1068" w:rsidRDefault="00956607" w:rsidP="00956607">
      <w:pPr>
        <w:pStyle w:val="EndnoteText"/>
        <w:spacing w:line="240" w:lineRule="auto"/>
        <w:rPr>
          <w:sz w:val="24"/>
          <w:szCs w:val="24"/>
        </w:rPr>
      </w:pPr>
      <w:r w:rsidRPr="003E1068">
        <w:rPr>
          <w:sz w:val="24"/>
          <w:szCs w:val="24"/>
        </w:rPr>
        <w:t>Smyth</w:t>
      </w:r>
      <w:r w:rsidR="006003E5">
        <w:rPr>
          <w:sz w:val="24"/>
          <w:szCs w:val="24"/>
        </w:rPr>
        <w:t>, B.</w:t>
      </w:r>
      <w:r w:rsidRPr="003E1068">
        <w:rPr>
          <w:sz w:val="24"/>
          <w:szCs w:val="24"/>
        </w:rPr>
        <w:t xml:space="preserve"> and Weston,</w:t>
      </w:r>
      <w:r w:rsidR="006003E5">
        <w:rPr>
          <w:sz w:val="24"/>
          <w:szCs w:val="24"/>
        </w:rPr>
        <w:t xml:space="preserve"> R. (2000)</w:t>
      </w:r>
      <w:r w:rsidRPr="003E1068">
        <w:rPr>
          <w:sz w:val="24"/>
          <w:szCs w:val="24"/>
        </w:rPr>
        <w:t xml:space="preserve"> </w:t>
      </w:r>
      <w:r w:rsidRPr="003E1068">
        <w:rPr>
          <w:i/>
          <w:sz w:val="24"/>
          <w:szCs w:val="24"/>
        </w:rPr>
        <w:t>Financial Living Standards after Divorce A Recent Snapshot</w:t>
      </w:r>
      <w:r w:rsidR="006003E5">
        <w:rPr>
          <w:sz w:val="24"/>
          <w:szCs w:val="24"/>
        </w:rPr>
        <w:t xml:space="preserve">, </w:t>
      </w:r>
      <w:r w:rsidRPr="003E1068">
        <w:rPr>
          <w:sz w:val="24"/>
          <w:szCs w:val="24"/>
        </w:rPr>
        <w:t>Australian Institute of Family Studies Research Paper No.23</w:t>
      </w:r>
      <w:r w:rsidR="006003E5">
        <w:rPr>
          <w:sz w:val="24"/>
          <w:szCs w:val="24"/>
        </w:rPr>
        <w:t>.</w:t>
      </w:r>
    </w:p>
    <w:p w14:paraId="4508301B" w14:textId="77777777" w:rsidR="00956607" w:rsidRDefault="00956607" w:rsidP="00956607">
      <w:pPr>
        <w:pStyle w:val="EndnoteText"/>
        <w:spacing w:line="240" w:lineRule="auto"/>
        <w:rPr>
          <w:sz w:val="24"/>
          <w:szCs w:val="24"/>
        </w:rPr>
      </w:pPr>
    </w:p>
    <w:p w14:paraId="662A4E9A" w14:textId="27033314" w:rsidR="00956607" w:rsidRPr="00F86308" w:rsidRDefault="00956607" w:rsidP="00956607">
      <w:pPr>
        <w:pStyle w:val="EndnoteText"/>
        <w:spacing w:line="240" w:lineRule="auto"/>
        <w:rPr>
          <w:sz w:val="24"/>
          <w:szCs w:val="24"/>
        </w:rPr>
      </w:pPr>
      <w:r w:rsidRPr="00F86308">
        <w:rPr>
          <w:sz w:val="24"/>
          <w:szCs w:val="24"/>
        </w:rPr>
        <w:t>Tannen</w:t>
      </w:r>
      <w:r w:rsidR="006003E5">
        <w:rPr>
          <w:sz w:val="24"/>
          <w:szCs w:val="24"/>
        </w:rPr>
        <w:t>.</w:t>
      </w:r>
      <w:r w:rsidRPr="00F86308">
        <w:rPr>
          <w:sz w:val="24"/>
          <w:szCs w:val="24"/>
        </w:rPr>
        <w:t xml:space="preserve"> </w:t>
      </w:r>
      <w:r w:rsidR="006003E5">
        <w:rPr>
          <w:sz w:val="24"/>
          <w:szCs w:val="24"/>
        </w:rPr>
        <w:t xml:space="preserve">D, (1990) </w:t>
      </w:r>
      <w:r w:rsidRPr="00F86308">
        <w:rPr>
          <w:sz w:val="24"/>
          <w:szCs w:val="24"/>
        </w:rPr>
        <w:t xml:space="preserve">See </w:t>
      </w:r>
      <w:r w:rsidRPr="00F86308">
        <w:rPr>
          <w:i/>
          <w:iCs/>
          <w:sz w:val="24"/>
          <w:szCs w:val="24"/>
        </w:rPr>
        <w:t>You Just Don’t Understand - Women and Men in Conversation</w:t>
      </w:r>
      <w:r w:rsidRPr="00F86308">
        <w:rPr>
          <w:sz w:val="24"/>
          <w:szCs w:val="24"/>
        </w:rPr>
        <w:t>, Random House Australia</w:t>
      </w:r>
      <w:r w:rsidR="006003E5">
        <w:rPr>
          <w:sz w:val="24"/>
          <w:szCs w:val="24"/>
        </w:rPr>
        <w:t>.</w:t>
      </w:r>
    </w:p>
    <w:p w14:paraId="00165F23" w14:textId="77777777" w:rsidR="00956607" w:rsidRDefault="00956607" w:rsidP="00956607">
      <w:pPr>
        <w:pStyle w:val="EndnoteText"/>
        <w:spacing w:line="240" w:lineRule="auto"/>
        <w:rPr>
          <w:sz w:val="24"/>
          <w:szCs w:val="24"/>
        </w:rPr>
      </w:pPr>
    </w:p>
    <w:p w14:paraId="754C787C" w14:textId="495670C5" w:rsidR="00956607" w:rsidRPr="007E2A91" w:rsidRDefault="00956607" w:rsidP="00956607">
      <w:pPr>
        <w:pStyle w:val="EndnoteText"/>
        <w:spacing w:line="240" w:lineRule="auto"/>
        <w:rPr>
          <w:color w:val="000000" w:themeColor="text1"/>
          <w:sz w:val="24"/>
          <w:szCs w:val="24"/>
        </w:rPr>
      </w:pPr>
      <w:r w:rsidRPr="007E2A91">
        <w:rPr>
          <w:color w:val="000000" w:themeColor="text1"/>
          <w:sz w:val="24"/>
          <w:szCs w:val="24"/>
        </w:rPr>
        <w:t>Tolmie,</w:t>
      </w:r>
      <w:r w:rsidR="006003E5">
        <w:rPr>
          <w:color w:val="000000" w:themeColor="text1"/>
          <w:sz w:val="24"/>
          <w:szCs w:val="24"/>
        </w:rPr>
        <w:t xml:space="preserve"> J.</w:t>
      </w:r>
      <w:r w:rsidRPr="007E2A91">
        <w:rPr>
          <w:color w:val="000000" w:themeColor="text1"/>
          <w:sz w:val="24"/>
          <w:szCs w:val="24"/>
        </w:rPr>
        <w:t xml:space="preserve"> Elizabeth</w:t>
      </w:r>
      <w:r w:rsidR="006003E5">
        <w:rPr>
          <w:color w:val="000000" w:themeColor="text1"/>
          <w:sz w:val="24"/>
          <w:szCs w:val="24"/>
        </w:rPr>
        <w:t>, V.</w:t>
      </w:r>
      <w:r w:rsidRPr="007E2A91">
        <w:rPr>
          <w:color w:val="000000" w:themeColor="text1"/>
          <w:sz w:val="24"/>
          <w:szCs w:val="24"/>
        </w:rPr>
        <w:t xml:space="preserve"> and Gavey,</w:t>
      </w:r>
      <w:r w:rsidR="006003E5">
        <w:rPr>
          <w:color w:val="000000" w:themeColor="text1"/>
          <w:sz w:val="24"/>
          <w:szCs w:val="24"/>
        </w:rPr>
        <w:t xml:space="preserve"> N. (2010)</w:t>
      </w:r>
      <w:r w:rsidRPr="007E2A91">
        <w:rPr>
          <w:color w:val="000000" w:themeColor="text1"/>
          <w:sz w:val="24"/>
          <w:szCs w:val="24"/>
        </w:rPr>
        <w:t xml:space="preserve"> ‘Imposing Gender Neutral Standards on a Gendered World: Parenting Arrangements in Family Law Post-Separation’</w:t>
      </w:r>
      <w:r w:rsidR="006003E5">
        <w:rPr>
          <w:color w:val="000000" w:themeColor="text1"/>
          <w:sz w:val="24"/>
          <w:szCs w:val="24"/>
        </w:rPr>
        <w:t xml:space="preserve">, </w:t>
      </w:r>
      <w:r w:rsidRPr="007E2A91">
        <w:rPr>
          <w:i/>
          <w:color w:val="000000" w:themeColor="text1"/>
          <w:sz w:val="24"/>
          <w:szCs w:val="24"/>
        </w:rPr>
        <w:t>Canterbury Law Review</w:t>
      </w:r>
      <w:r w:rsidR="006003E5">
        <w:rPr>
          <w:i/>
          <w:color w:val="000000" w:themeColor="text1"/>
          <w:sz w:val="24"/>
          <w:szCs w:val="24"/>
        </w:rPr>
        <w:t xml:space="preserve"> </w:t>
      </w:r>
      <w:r w:rsidR="006003E5">
        <w:rPr>
          <w:color w:val="000000" w:themeColor="text1"/>
          <w:sz w:val="24"/>
          <w:szCs w:val="24"/>
        </w:rPr>
        <w:t>16,</w:t>
      </w:r>
      <w:r w:rsidRPr="007E2A91">
        <w:rPr>
          <w:i/>
          <w:color w:val="000000" w:themeColor="text1"/>
          <w:sz w:val="24"/>
          <w:szCs w:val="24"/>
        </w:rPr>
        <w:t xml:space="preserve"> </w:t>
      </w:r>
      <w:r w:rsidRPr="007E2A91">
        <w:rPr>
          <w:color w:val="000000" w:themeColor="text1"/>
          <w:sz w:val="24"/>
          <w:szCs w:val="24"/>
        </w:rPr>
        <w:t>302</w:t>
      </w:r>
      <w:r w:rsidR="00E200F7">
        <w:rPr>
          <w:color w:val="000000" w:themeColor="text1"/>
          <w:sz w:val="24"/>
          <w:szCs w:val="24"/>
        </w:rPr>
        <w:t>-330</w:t>
      </w:r>
      <w:r w:rsidRPr="007E2A91">
        <w:rPr>
          <w:color w:val="000000" w:themeColor="text1"/>
          <w:sz w:val="24"/>
          <w:szCs w:val="24"/>
        </w:rPr>
        <w:t>.</w:t>
      </w:r>
    </w:p>
    <w:p w14:paraId="11B724C9" w14:textId="77777777" w:rsidR="00956607" w:rsidRPr="007E2A91" w:rsidRDefault="00956607" w:rsidP="00956607">
      <w:pPr>
        <w:pStyle w:val="EndnoteText"/>
        <w:spacing w:line="240" w:lineRule="auto"/>
        <w:rPr>
          <w:sz w:val="22"/>
          <w:szCs w:val="22"/>
        </w:rPr>
      </w:pPr>
    </w:p>
    <w:p w14:paraId="3A0AFE53" w14:textId="64DCB0D4" w:rsidR="00956607" w:rsidRPr="001E65E5" w:rsidRDefault="00956607" w:rsidP="00956607">
      <w:pPr>
        <w:pStyle w:val="EndnoteText"/>
        <w:spacing w:line="240" w:lineRule="auto"/>
        <w:rPr>
          <w:sz w:val="24"/>
          <w:szCs w:val="24"/>
        </w:rPr>
      </w:pPr>
      <w:r w:rsidRPr="001E65E5">
        <w:rPr>
          <w:sz w:val="24"/>
          <w:szCs w:val="24"/>
        </w:rPr>
        <w:t>Trinder,</w:t>
      </w:r>
      <w:r w:rsidR="006003E5">
        <w:rPr>
          <w:sz w:val="24"/>
          <w:szCs w:val="24"/>
        </w:rPr>
        <w:t xml:space="preserve"> L</w:t>
      </w:r>
      <w:r w:rsidR="00AC1A49">
        <w:rPr>
          <w:sz w:val="24"/>
          <w:szCs w:val="24"/>
        </w:rPr>
        <w:t>.</w:t>
      </w:r>
      <w:r w:rsidR="006003E5">
        <w:rPr>
          <w:sz w:val="24"/>
          <w:szCs w:val="24"/>
        </w:rPr>
        <w:t xml:space="preserve"> (2008)</w:t>
      </w:r>
      <w:r w:rsidRPr="001E65E5">
        <w:rPr>
          <w:sz w:val="24"/>
          <w:szCs w:val="24"/>
        </w:rPr>
        <w:t xml:space="preserve"> ‘Conciliation, the Private Law Programmes and Children’s Wellbeing: Two Steps Forward, One Step Back?’</w:t>
      </w:r>
      <w:r w:rsidR="006003E5">
        <w:rPr>
          <w:sz w:val="24"/>
          <w:szCs w:val="24"/>
        </w:rPr>
        <w:t xml:space="preserve">, </w:t>
      </w:r>
      <w:r w:rsidRPr="001E65E5">
        <w:rPr>
          <w:i/>
          <w:sz w:val="24"/>
          <w:szCs w:val="24"/>
        </w:rPr>
        <w:t>Family Law</w:t>
      </w:r>
      <w:r w:rsidRPr="001E65E5">
        <w:rPr>
          <w:sz w:val="24"/>
          <w:szCs w:val="24"/>
        </w:rPr>
        <w:t xml:space="preserve"> </w:t>
      </w:r>
      <w:r w:rsidR="006003E5">
        <w:rPr>
          <w:sz w:val="24"/>
          <w:szCs w:val="24"/>
        </w:rPr>
        <w:t xml:space="preserve">38, </w:t>
      </w:r>
      <w:r w:rsidRPr="001E65E5">
        <w:rPr>
          <w:sz w:val="24"/>
          <w:szCs w:val="24"/>
        </w:rPr>
        <w:t>338</w:t>
      </w:r>
      <w:r w:rsidR="00E200F7">
        <w:rPr>
          <w:sz w:val="24"/>
          <w:szCs w:val="24"/>
        </w:rPr>
        <w:t>-342</w:t>
      </w:r>
      <w:r w:rsidRPr="001E65E5">
        <w:rPr>
          <w:sz w:val="24"/>
          <w:szCs w:val="24"/>
        </w:rPr>
        <w:t>.</w:t>
      </w:r>
    </w:p>
    <w:p w14:paraId="52CB7EAF" w14:textId="77777777" w:rsidR="00956607" w:rsidRDefault="00956607" w:rsidP="00956607">
      <w:pPr>
        <w:pStyle w:val="EndnoteText"/>
        <w:spacing w:line="240" w:lineRule="auto"/>
        <w:rPr>
          <w:sz w:val="24"/>
          <w:szCs w:val="24"/>
        </w:rPr>
      </w:pPr>
    </w:p>
    <w:p w14:paraId="63C7D2D1" w14:textId="187718A2" w:rsidR="00956607" w:rsidRPr="003A18B3" w:rsidRDefault="00956607" w:rsidP="006003E5">
      <w:pPr>
        <w:spacing w:line="240" w:lineRule="auto"/>
        <w:rPr>
          <w:rFonts w:cs="Times New Roman"/>
        </w:rPr>
      </w:pPr>
      <w:r w:rsidRPr="003A18B3">
        <w:rPr>
          <w:rFonts w:cs="Times New Roman"/>
          <w:color w:val="000000"/>
        </w:rPr>
        <w:t>Trinder</w:t>
      </w:r>
      <w:r w:rsidR="006003E5">
        <w:rPr>
          <w:rFonts w:cs="Times New Roman"/>
          <w:color w:val="000000"/>
        </w:rPr>
        <w:t>, L.</w:t>
      </w:r>
      <w:r w:rsidRPr="003A18B3">
        <w:rPr>
          <w:rFonts w:cs="Times New Roman"/>
          <w:color w:val="000000"/>
        </w:rPr>
        <w:t xml:space="preserve"> and Kellett,</w:t>
      </w:r>
      <w:r w:rsidR="006003E5">
        <w:rPr>
          <w:rFonts w:cs="Times New Roman"/>
          <w:color w:val="000000"/>
        </w:rPr>
        <w:t xml:space="preserve"> J. (2007)</w:t>
      </w:r>
      <w:r w:rsidRPr="003A18B3">
        <w:rPr>
          <w:rFonts w:cs="Times New Roman"/>
          <w:color w:val="000000"/>
        </w:rPr>
        <w:t xml:space="preserve"> </w:t>
      </w:r>
      <w:r w:rsidRPr="003A18B3">
        <w:rPr>
          <w:rFonts w:cs="Times New Roman"/>
          <w:i/>
          <w:iCs/>
          <w:color w:val="000000"/>
        </w:rPr>
        <w:t>The Longer-Term Outcomes of In-Court Conciliation</w:t>
      </w:r>
      <w:r w:rsidR="006003E5">
        <w:rPr>
          <w:rFonts w:cs="Times New Roman"/>
          <w:color w:val="000000"/>
        </w:rPr>
        <w:t xml:space="preserve">, </w:t>
      </w:r>
      <w:r w:rsidR="00AC1A49">
        <w:rPr>
          <w:rFonts w:cs="Times New Roman"/>
          <w:color w:val="000000"/>
        </w:rPr>
        <w:t xml:space="preserve">London: </w:t>
      </w:r>
      <w:r w:rsidRPr="003A18B3">
        <w:rPr>
          <w:rFonts w:cs="Times New Roman"/>
          <w:color w:val="000000"/>
        </w:rPr>
        <w:t>Ministry of Justice Research Series.</w:t>
      </w:r>
    </w:p>
    <w:p w14:paraId="03EF9490" w14:textId="77777777" w:rsidR="00956607" w:rsidRDefault="00956607" w:rsidP="006003E5">
      <w:pPr>
        <w:spacing w:line="240" w:lineRule="auto"/>
        <w:rPr>
          <w:rFonts w:cs="Times New Roman"/>
        </w:rPr>
      </w:pPr>
    </w:p>
    <w:p w14:paraId="19231CBA" w14:textId="30B35DCF" w:rsidR="00956607" w:rsidRDefault="00956607" w:rsidP="006003E5">
      <w:pPr>
        <w:spacing w:line="240" w:lineRule="auto"/>
        <w:rPr>
          <w:shd w:val="clear" w:color="auto" w:fill="FFFFFF"/>
        </w:rPr>
      </w:pPr>
      <w:r w:rsidRPr="00A0783B">
        <w:rPr>
          <w:shd w:val="clear" w:color="auto" w:fill="FFFFFF"/>
        </w:rPr>
        <w:t>Victorian Law Reform Commission</w:t>
      </w:r>
      <w:r w:rsidR="00E200F7">
        <w:rPr>
          <w:shd w:val="clear" w:color="auto" w:fill="FFFFFF"/>
        </w:rPr>
        <w:t xml:space="preserve"> (2006)</w:t>
      </w:r>
      <w:r w:rsidRPr="00A0783B">
        <w:rPr>
          <w:shd w:val="clear" w:color="auto" w:fill="FFFFFF"/>
        </w:rPr>
        <w:t>,</w:t>
      </w:r>
      <w:r w:rsidRPr="00A0783B">
        <w:rPr>
          <w:rStyle w:val="apple-converted-space"/>
          <w:color w:val="000000" w:themeColor="text1"/>
          <w:shd w:val="clear" w:color="auto" w:fill="FFFFFF"/>
        </w:rPr>
        <w:t> </w:t>
      </w:r>
      <w:r w:rsidRPr="00A0783B">
        <w:rPr>
          <w:i/>
          <w:iCs/>
          <w:bdr w:val="none" w:sz="0" w:space="0" w:color="auto" w:frame="1"/>
          <w:shd w:val="clear" w:color="auto" w:fill="FFFFFF"/>
        </w:rPr>
        <w:t>Review of Family Violence Laws: Report</w:t>
      </w:r>
      <w:r w:rsidR="00E200F7">
        <w:rPr>
          <w:rStyle w:val="apple-converted-space"/>
          <w:color w:val="000000" w:themeColor="text1"/>
          <w:shd w:val="clear" w:color="auto" w:fill="FFFFFF"/>
        </w:rPr>
        <w:t xml:space="preserve">, </w:t>
      </w:r>
      <w:r w:rsidR="00AC1A49">
        <w:rPr>
          <w:rStyle w:val="apple-converted-space"/>
          <w:color w:val="000000" w:themeColor="text1"/>
          <w:shd w:val="clear" w:color="auto" w:fill="FFFFFF"/>
        </w:rPr>
        <w:t xml:space="preserve">Melbourne: </w:t>
      </w:r>
      <w:r w:rsidRPr="00A0783B">
        <w:rPr>
          <w:shd w:val="clear" w:color="auto" w:fill="FFFFFF"/>
        </w:rPr>
        <w:t>V</w:t>
      </w:r>
      <w:r w:rsidR="00E200F7">
        <w:rPr>
          <w:shd w:val="clear" w:color="auto" w:fill="FFFFFF"/>
        </w:rPr>
        <w:t>ictorian Law Reform Commission.</w:t>
      </w:r>
    </w:p>
    <w:p w14:paraId="7311B8D3" w14:textId="77777777" w:rsidR="00956607" w:rsidRPr="003A18B3" w:rsidRDefault="00956607" w:rsidP="00956607">
      <w:pPr>
        <w:rPr>
          <w:rFonts w:cs="Times New Roman"/>
        </w:rPr>
      </w:pPr>
    </w:p>
    <w:p w14:paraId="09EC6BC5" w14:textId="7BDAD703" w:rsidR="00956607" w:rsidRDefault="00956607" w:rsidP="00956607">
      <w:r w:rsidRPr="00A0783B">
        <w:t xml:space="preserve">Wardhaugh, </w:t>
      </w:r>
      <w:r w:rsidR="006003E5">
        <w:t xml:space="preserve">R. (2010) </w:t>
      </w:r>
      <w:r w:rsidRPr="00A0783B">
        <w:rPr>
          <w:i/>
          <w:noProof/>
        </w:rPr>
        <w:t>An Introduction to Sociolinguistics</w:t>
      </w:r>
      <w:r w:rsidR="006003E5">
        <w:rPr>
          <w:i/>
          <w:noProof/>
        </w:rPr>
        <w:t xml:space="preserve">, </w:t>
      </w:r>
      <w:r w:rsidR="00AC1A49">
        <w:rPr>
          <w:noProof/>
        </w:rPr>
        <w:t xml:space="preserve">Oxford: </w:t>
      </w:r>
      <w:r w:rsidRPr="00A0783B">
        <w:rPr>
          <w:noProof/>
        </w:rPr>
        <w:t>Blackwell Publishing</w:t>
      </w:r>
      <w:r w:rsidR="006003E5">
        <w:rPr>
          <w:noProof/>
        </w:rPr>
        <w:t>.</w:t>
      </w:r>
      <w:r w:rsidRPr="00A0783B">
        <w:rPr>
          <w:noProof/>
        </w:rPr>
        <w:t xml:space="preserve"> </w:t>
      </w:r>
    </w:p>
    <w:p w14:paraId="4DEF1472" w14:textId="77777777" w:rsidR="00956607" w:rsidRDefault="00956607" w:rsidP="00956607">
      <w:pPr>
        <w:pStyle w:val="EndnoteText"/>
        <w:spacing w:line="240" w:lineRule="auto"/>
        <w:rPr>
          <w:sz w:val="24"/>
          <w:szCs w:val="24"/>
        </w:rPr>
      </w:pPr>
    </w:p>
    <w:p w14:paraId="67F035E0" w14:textId="30F98775" w:rsidR="00956607" w:rsidRPr="00716CD7" w:rsidRDefault="00956607" w:rsidP="00956607">
      <w:pPr>
        <w:pStyle w:val="EndnoteText"/>
        <w:spacing w:line="240" w:lineRule="auto"/>
        <w:rPr>
          <w:sz w:val="24"/>
          <w:szCs w:val="24"/>
        </w:rPr>
      </w:pPr>
      <w:r w:rsidRPr="00716CD7">
        <w:rPr>
          <w:sz w:val="24"/>
          <w:szCs w:val="24"/>
        </w:rPr>
        <w:t xml:space="preserve">White, </w:t>
      </w:r>
      <w:r w:rsidR="006003E5">
        <w:rPr>
          <w:sz w:val="24"/>
          <w:szCs w:val="24"/>
        </w:rPr>
        <w:t xml:space="preserve">L. (1991) </w:t>
      </w:r>
      <w:r w:rsidRPr="00716CD7">
        <w:rPr>
          <w:sz w:val="24"/>
          <w:szCs w:val="24"/>
        </w:rPr>
        <w:t xml:space="preserve">‘Subordination, Rhetorical Survival Skills, and Sunday Shoes: Notes on the Hearing of Mrs. G’, in K Bartlett and R Kennedy (eds), </w:t>
      </w:r>
      <w:r w:rsidRPr="00716CD7">
        <w:rPr>
          <w:i/>
          <w:iCs/>
          <w:sz w:val="24"/>
          <w:szCs w:val="24"/>
        </w:rPr>
        <w:t>Feminist Legal Theory: Readings in Law and Gender</w:t>
      </w:r>
      <w:r w:rsidRPr="00716CD7">
        <w:rPr>
          <w:sz w:val="24"/>
          <w:szCs w:val="24"/>
        </w:rPr>
        <w:t>,</w:t>
      </w:r>
      <w:r w:rsidR="00E04A7C">
        <w:rPr>
          <w:sz w:val="24"/>
          <w:szCs w:val="24"/>
        </w:rPr>
        <w:t xml:space="preserve"> Boulder:</w:t>
      </w:r>
      <w:r w:rsidRPr="00716CD7">
        <w:rPr>
          <w:sz w:val="24"/>
          <w:szCs w:val="24"/>
        </w:rPr>
        <w:t xml:space="preserve"> Westview Press</w:t>
      </w:r>
      <w:r w:rsidR="006003E5">
        <w:rPr>
          <w:sz w:val="24"/>
          <w:szCs w:val="24"/>
        </w:rPr>
        <w:t>,</w:t>
      </w:r>
      <w:r w:rsidRPr="00716CD7">
        <w:rPr>
          <w:sz w:val="24"/>
          <w:szCs w:val="24"/>
        </w:rPr>
        <w:t xml:space="preserve"> 404</w:t>
      </w:r>
      <w:r w:rsidR="00E200F7">
        <w:rPr>
          <w:sz w:val="24"/>
          <w:szCs w:val="24"/>
        </w:rPr>
        <w:t>-430</w:t>
      </w:r>
      <w:r w:rsidRPr="00716CD7">
        <w:rPr>
          <w:sz w:val="24"/>
          <w:szCs w:val="24"/>
        </w:rPr>
        <w:t>.</w:t>
      </w:r>
    </w:p>
    <w:p w14:paraId="054FB1C3" w14:textId="77777777" w:rsidR="00956607" w:rsidRPr="00716CD7" w:rsidRDefault="00956607" w:rsidP="00956607">
      <w:pPr>
        <w:pStyle w:val="EndnoteText"/>
        <w:spacing w:line="240" w:lineRule="auto"/>
        <w:rPr>
          <w:sz w:val="24"/>
          <w:szCs w:val="24"/>
        </w:rPr>
      </w:pPr>
    </w:p>
    <w:p w14:paraId="5D634215" w14:textId="31AB47DF" w:rsidR="00956607" w:rsidRPr="008A5F01" w:rsidRDefault="00956607" w:rsidP="00956607">
      <w:pPr>
        <w:pStyle w:val="EndnoteText"/>
        <w:spacing w:line="240" w:lineRule="auto"/>
        <w:rPr>
          <w:sz w:val="24"/>
          <w:szCs w:val="24"/>
        </w:rPr>
      </w:pPr>
      <w:r w:rsidRPr="003E1068">
        <w:rPr>
          <w:sz w:val="24"/>
          <w:szCs w:val="24"/>
        </w:rPr>
        <w:t>Workplace Gender Equality Agency,</w:t>
      </w:r>
      <w:r w:rsidR="006003E5">
        <w:rPr>
          <w:sz w:val="24"/>
          <w:szCs w:val="24"/>
        </w:rPr>
        <w:t xml:space="preserve"> (2017)</w:t>
      </w:r>
      <w:r w:rsidRPr="003E1068">
        <w:rPr>
          <w:sz w:val="24"/>
          <w:szCs w:val="24"/>
        </w:rPr>
        <w:t xml:space="preserve"> </w:t>
      </w:r>
      <w:r w:rsidRPr="003E1068">
        <w:rPr>
          <w:i/>
          <w:sz w:val="24"/>
          <w:szCs w:val="24"/>
        </w:rPr>
        <w:t>Gender Equity Insights</w:t>
      </w:r>
      <w:r w:rsidRPr="003E1068">
        <w:rPr>
          <w:sz w:val="24"/>
          <w:szCs w:val="24"/>
        </w:rPr>
        <w:t xml:space="preserve"> 2017</w:t>
      </w:r>
      <w:r w:rsidR="006003E5">
        <w:rPr>
          <w:sz w:val="24"/>
          <w:szCs w:val="24"/>
        </w:rPr>
        <w:t xml:space="preserve">, </w:t>
      </w:r>
      <w:r w:rsidRPr="003E1068">
        <w:rPr>
          <w:sz w:val="24"/>
          <w:szCs w:val="24"/>
        </w:rPr>
        <w:t>Bankwest Curtin Economics Centre and Workplace Gender Equality Agency</w:t>
      </w:r>
      <w:r w:rsidR="006003E5">
        <w:rPr>
          <w:sz w:val="24"/>
          <w:szCs w:val="24"/>
        </w:rPr>
        <w:t>.</w:t>
      </w:r>
    </w:p>
    <w:p w14:paraId="43EAFAF7" w14:textId="77777777" w:rsidR="00956607" w:rsidRDefault="00956607" w:rsidP="00956607">
      <w:pPr>
        <w:pStyle w:val="EndnoteText"/>
        <w:spacing w:line="240" w:lineRule="auto"/>
        <w:rPr>
          <w:sz w:val="24"/>
          <w:szCs w:val="24"/>
        </w:rPr>
      </w:pPr>
    </w:p>
    <w:p w14:paraId="28AABFAE" w14:textId="448872DE" w:rsidR="00956607" w:rsidRDefault="00956607" w:rsidP="00956607">
      <w:pPr>
        <w:pStyle w:val="EndnoteText"/>
        <w:spacing w:line="240" w:lineRule="auto"/>
        <w:rPr>
          <w:sz w:val="24"/>
          <w:szCs w:val="24"/>
        </w:rPr>
      </w:pPr>
      <w:r w:rsidRPr="00FE79A1">
        <w:rPr>
          <w:sz w:val="24"/>
          <w:szCs w:val="24"/>
        </w:rPr>
        <w:t xml:space="preserve">Young, </w:t>
      </w:r>
      <w:r w:rsidR="006003E5">
        <w:rPr>
          <w:sz w:val="24"/>
          <w:szCs w:val="24"/>
        </w:rPr>
        <w:t xml:space="preserve">L. (1997) </w:t>
      </w:r>
      <w:r w:rsidRPr="00FE79A1">
        <w:rPr>
          <w:sz w:val="24"/>
          <w:szCs w:val="24"/>
        </w:rPr>
        <w:t>“Sissinghurst, Sackville-West and ‘Special Skill’”</w:t>
      </w:r>
      <w:r w:rsidR="006003E5">
        <w:rPr>
          <w:sz w:val="24"/>
          <w:szCs w:val="24"/>
        </w:rPr>
        <w:t>,</w:t>
      </w:r>
      <w:r w:rsidRPr="00FE79A1">
        <w:rPr>
          <w:i/>
          <w:sz w:val="24"/>
          <w:szCs w:val="24"/>
        </w:rPr>
        <w:t xml:space="preserve"> Australian Journal of Family Law</w:t>
      </w:r>
      <w:r w:rsidR="006003E5">
        <w:rPr>
          <w:i/>
          <w:sz w:val="24"/>
          <w:szCs w:val="24"/>
        </w:rPr>
        <w:t xml:space="preserve"> </w:t>
      </w:r>
      <w:r w:rsidR="006003E5">
        <w:rPr>
          <w:sz w:val="24"/>
          <w:szCs w:val="24"/>
        </w:rPr>
        <w:t>11(3)</w:t>
      </w:r>
      <w:r w:rsidRPr="00FE79A1">
        <w:rPr>
          <w:sz w:val="24"/>
          <w:szCs w:val="24"/>
        </w:rPr>
        <w:t>, 268</w:t>
      </w:r>
      <w:r w:rsidR="00E200F7">
        <w:rPr>
          <w:sz w:val="24"/>
          <w:szCs w:val="24"/>
        </w:rPr>
        <w:t xml:space="preserve">- </w:t>
      </w:r>
      <w:r w:rsidR="009E79A2" w:rsidRPr="009E79A2">
        <w:rPr>
          <w:sz w:val="24"/>
          <w:szCs w:val="24"/>
        </w:rPr>
        <w:t>282</w:t>
      </w:r>
      <w:r w:rsidRPr="009E79A2">
        <w:rPr>
          <w:sz w:val="24"/>
          <w:szCs w:val="24"/>
        </w:rPr>
        <w:t>.</w:t>
      </w:r>
    </w:p>
    <w:p w14:paraId="398849E8" w14:textId="77777777" w:rsidR="00956607" w:rsidRDefault="00956607" w:rsidP="00956607">
      <w:pPr>
        <w:pStyle w:val="EndnoteText"/>
        <w:spacing w:line="240" w:lineRule="auto"/>
        <w:rPr>
          <w:sz w:val="24"/>
          <w:szCs w:val="24"/>
        </w:rPr>
      </w:pPr>
    </w:p>
    <w:p w14:paraId="3C881F00" w14:textId="7CC8B044" w:rsidR="00956607" w:rsidRPr="00EE628F" w:rsidRDefault="00956607" w:rsidP="00956607">
      <w:pPr>
        <w:pStyle w:val="EndnoteText"/>
        <w:spacing w:line="240" w:lineRule="auto"/>
        <w:rPr>
          <w:sz w:val="24"/>
          <w:szCs w:val="24"/>
          <w:lang w:val="en-GB" w:eastAsia="en-GB"/>
        </w:rPr>
      </w:pPr>
      <w:r w:rsidRPr="00EE628F">
        <w:rPr>
          <w:sz w:val="24"/>
          <w:szCs w:val="24"/>
        </w:rPr>
        <w:t xml:space="preserve">Young, </w:t>
      </w:r>
      <w:r w:rsidR="006003E5">
        <w:rPr>
          <w:sz w:val="24"/>
          <w:szCs w:val="24"/>
        </w:rPr>
        <w:t>L. (1998) ‘</w:t>
      </w:r>
      <w:r w:rsidRPr="00EE628F">
        <w:rPr>
          <w:sz w:val="24"/>
          <w:szCs w:val="24"/>
        </w:rPr>
        <w:t>Child Sexual Abuse Allegations in the Family Court: An Old Light on An Old Problem</w:t>
      </w:r>
      <w:r w:rsidR="006003E5">
        <w:rPr>
          <w:sz w:val="24"/>
          <w:szCs w:val="24"/>
        </w:rPr>
        <w:t xml:space="preserve">’, </w:t>
      </w:r>
      <w:r w:rsidRPr="00EE628F">
        <w:rPr>
          <w:i/>
          <w:sz w:val="24"/>
          <w:szCs w:val="24"/>
        </w:rPr>
        <w:t>Sister in Law</w:t>
      </w:r>
      <w:r w:rsidR="006003E5">
        <w:rPr>
          <w:i/>
          <w:sz w:val="24"/>
          <w:szCs w:val="24"/>
        </w:rPr>
        <w:t xml:space="preserve"> </w:t>
      </w:r>
      <w:r w:rsidR="00E200F7">
        <w:rPr>
          <w:sz w:val="24"/>
          <w:szCs w:val="24"/>
        </w:rPr>
        <w:t>3</w:t>
      </w:r>
      <w:r w:rsidR="006003E5">
        <w:rPr>
          <w:sz w:val="24"/>
          <w:szCs w:val="24"/>
        </w:rPr>
        <w:t>,</w:t>
      </w:r>
      <w:r w:rsidRPr="00EE628F">
        <w:rPr>
          <w:sz w:val="24"/>
          <w:szCs w:val="24"/>
        </w:rPr>
        <w:t xml:space="preserve"> 98</w:t>
      </w:r>
      <w:r w:rsidR="00E200F7">
        <w:rPr>
          <w:sz w:val="24"/>
          <w:szCs w:val="24"/>
        </w:rPr>
        <w:t>-121.</w:t>
      </w:r>
      <w:r w:rsidRPr="00EE628F">
        <w:rPr>
          <w:sz w:val="24"/>
          <w:szCs w:val="24"/>
          <w:lang w:val="en-GB" w:eastAsia="en-GB"/>
        </w:rPr>
        <w:t xml:space="preserve"> </w:t>
      </w:r>
    </w:p>
    <w:p w14:paraId="4D1A150C" w14:textId="77777777" w:rsidR="00956607" w:rsidRPr="00EE628F" w:rsidRDefault="00956607" w:rsidP="00956607">
      <w:pPr>
        <w:pStyle w:val="EndnoteText"/>
        <w:spacing w:line="240" w:lineRule="auto"/>
        <w:rPr>
          <w:sz w:val="24"/>
          <w:szCs w:val="24"/>
          <w:lang w:val="en-GB" w:eastAsia="en-GB"/>
        </w:rPr>
      </w:pPr>
    </w:p>
    <w:p w14:paraId="7CA64339" w14:textId="6AF24985" w:rsidR="00956607" w:rsidRPr="00EE628F" w:rsidRDefault="00956607" w:rsidP="00956607">
      <w:pPr>
        <w:pStyle w:val="EndnoteText"/>
        <w:spacing w:line="240" w:lineRule="auto"/>
        <w:rPr>
          <w:sz w:val="24"/>
          <w:szCs w:val="24"/>
        </w:rPr>
      </w:pPr>
      <w:r w:rsidRPr="00EE628F">
        <w:rPr>
          <w:sz w:val="24"/>
          <w:szCs w:val="24"/>
          <w:lang w:val="en-GB" w:eastAsia="en-GB"/>
        </w:rPr>
        <w:t xml:space="preserve">Young, </w:t>
      </w:r>
      <w:r w:rsidR="006003E5">
        <w:rPr>
          <w:sz w:val="24"/>
          <w:szCs w:val="24"/>
          <w:lang w:val="en-GB" w:eastAsia="en-GB"/>
        </w:rPr>
        <w:t xml:space="preserve">L. </w:t>
      </w:r>
      <w:r w:rsidRPr="00EE628F">
        <w:rPr>
          <w:sz w:val="24"/>
          <w:szCs w:val="24"/>
          <w:lang w:val="en-GB" w:eastAsia="en-GB"/>
        </w:rPr>
        <w:t>Dhillon</w:t>
      </w:r>
      <w:r w:rsidR="006003E5">
        <w:rPr>
          <w:sz w:val="24"/>
          <w:szCs w:val="24"/>
          <w:lang w:val="en-GB" w:eastAsia="en-GB"/>
        </w:rPr>
        <w:t>, S.</w:t>
      </w:r>
      <w:r w:rsidRPr="00EE628F">
        <w:rPr>
          <w:sz w:val="24"/>
          <w:szCs w:val="24"/>
          <w:lang w:val="en-GB" w:eastAsia="en-GB"/>
        </w:rPr>
        <w:t xml:space="preserve"> and Groves, </w:t>
      </w:r>
      <w:r w:rsidR="006003E5">
        <w:rPr>
          <w:sz w:val="24"/>
          <w:szCs w:val="24"/>
          <w:lang w:val="en-GB" w:eastAsia="en-GB"/>
        </w:rPr>
        <w:t xml:space="preserve">L. (2014) </w:t>
      </w:r>
      <w:r w:rsidRPr="00EE628F">
        <w:rPr>
          <w:sz w:val="24"/>
          <w:szCs w:val="24"/>
          <w:lang w:val="en-GB" w:eastAsia="en-GB"/>
        </w:rPr>
        <w:t xml:space="preserve">Child Sexual Abuse Allegations and s 60CC(2A): A </w:t>
      </w:r>
      <w:r w:rsidR="006003E5">
        <w:rPr>
          <w:sz w:val="24"/>
          <w:szCs w:val="24"/>
          <w:lang w:val="en-GB" w:eastAsia="en-GB"/>
        </w:rPr>
        <w:t>N</w:t>
      </w:r>
      <w:r w:rsidRPr="00EE628F">
        <w:rPr>
          <w:sz w:val="24"/>
          <w:szCs w:val="24"/>
          <w:lang w:val="en-GB" w:eastAsia="en-GB"/>
        </w:rPr>
        <w:t xml:space="preserve">ew </w:t>
      </w:r>
      <w:r w:rsidR="006003E5">
        <w:rPr>
          <w:sz w:val="24"/>
          <w:szCs w:val="24"/>
          <w:lang w:val="en-GB" w:eastAsia="en-GB"/>
        </w:rPr>
        <w:t>E</w:t>
      </w:r>
      <w:r w:rsidRPr="00EE628F">
        <w:rPr>
          <w:sz w:val="24"/>
          <w:szCs w:val="24"/>
          <w:lang w:val="en-GB" w:eastAsia="en-GB"/>
        </w:rPr>
        <w:t>ra?</w:t>
      </w:r>
      <w:r w:rsidR="006003E5">
        <w:rPr>
          <w:sz w:val="24"/>
          <w:szCs w:val="24"/>
          <w:lang w:val="en-GB" w:eastAsia="en-GB"/>
        </w:rPr>
        <w:t xml:space="preserve">’, </w:t>
      </w:r>
      <w:r w:rsidRPr="00EE628F">
        <w:rPr>
          <w:i/>
          <w:sz w:val="24"/>
          <w:szCs w:val="24"/>
        </w:rPr>
        <w:t>Australian Journal of Family Law</w:t>
      </w:r>
      <w:r w:rsidR="006003E5">
        <w:rPr>
          <w:i/>
          <w:sz w:val="24"/>
          <w:szCs w:val="24"/>
        </w:rPr>
        <w:t xml:space="preserve"> </w:t>
      </w:r>
      <w:r w:rsidR="006003E5">
        <w:rPr>
          <w:sz w:val="24"/>
          <w:szCs w:val="24"/>
        </w:rPr>
        <w:t>28,</w:t>
      </w:r>
      <w:r w:rsidRPr="00EE628F">
        <w:rPr>
          <w:sz w:val="24"/>
          <w:szCs w:val="24"/>
          <w:lang w:val="en-GB" w:eastAsia="en-GB"/>
        </w:rPr>
        <w:t xml:space="preserve"> 233</w:t>
      </w:r>
      <w:r w:rsidR="00311293">
        <w:rPr>
          <w:sz w:val="24"/>
          <w:szCs w:val="24"/>
          <w:lang w:val="en-GB" w:eastAsia="en-GB"/>
        </w:rPr>
        <w:t>-265</w:t>
      </w:r>
      <w:r w:rsidRPr="00EE628F">
        <w:rPr>
          <w:sz w:val="24"/>
          <w:szCs w:val="24"/>
          <w:lang w:val="en-GB" w:eastAsia="en-GB"/>
        </w:rPr>
        <w:t>.</w:t>
      </w:r>
    </w:p>
    <w:p w14:paraId="116DE80E" w14:textId="77777777" w:rsidR="00956607" w:rsidRPr="00EE628F" w:rsidRDefault="00956607" w:rsidP="00956607">
      <w:pPr>
        <w:pStyle w:val="EndnoteText"/>
        <w:spacing w:line="240" w:lineRule="auto"/>
        <w:rPr>
          <w:sz w:val="24"/>
          <w:szCs w:val="24"/>
        </w:rPr>
      </w:pPr>
    </w:p>
    <w:p w14:paraId="406C2EC9" w14:textId="23222E01" w:rsidR="00956607" w:rsidRPr="003E1068" w:rsidRDefault="00956607" w:rsidP="00956607">
      <w:pPr>
        <w:pStyle w:val="EndnoteText"/>
        <w:spacing w:line="240" w:lineRule="auto"/>
        <w:rPr>
          <w:sz w:val="24"/>
          <w:szCs w:val="24"/>
        </w:rPr>
      </w:pPr>
      <w:r w:rsidRPr="003E1068">
        <w:rPr>
          <w:sz w:val="24"/>
          <w:szCs w:val="24"/>
        </w:rPr>
        <w:t>Young,</w:t>
      </w:r>
      <w:r w:rsidR="006003E5">
        <w:rPr>
          <w:sz w:val="24"/>
          <w:szCs w:val="24"/>
        </w:rPr>
        <w:t xml:space="preserve"> L.</w:t>
      </w:r>
      <w:r w:rsidRPr="003E1068">
        <w:rPr>
          <w:sz w:val="24"/>
          <w:szCs w:val="24"/>
        </w:rPr>
        <w:t xml:space="preserve"> </w:t>
      </w:r>
      <w:r w:rsidR="006003E5">
        <w:rPr>
          <w:sz w:val="24"/>
          <w:szCs w:val="24"/>
        </w:rPr>
        <w:t>S</w:t>
      </w:r>
      <w:r w:rsidRPr="003E1068">
        <w:rPr>
          <w:sz w:val="24"/>
          <w:szCs w:val="24"/>
        </w:rPr>
        <w:t xml:space="preserve">ifris, </w:t>
      </w:r>
      <w:r w:rsidR="006003E5">
        <w:rPr>
          <w:sz w:val="24"/>
          <w:szCs w:val="24"/>
        </w:rPr>
        <w:t xml:space="preserve">A. </w:t>
      </w:r>
      <w:r w:rsidRPr="003E1068">
        <w:rPr>
          <w:sz w:val="24"/>
          <w:szCs w:val="24"/>
        </w:rPr>
        <w:t>Carroll</w:t>
      </w:r>
      <w:r w:rsidR="006003E5">
        <w:rPr>
          <w:sz w:val="24"/>
          <w:szCs w:val="24"/>
        </w:rPr>
        <w:t>, R.</w:t>
      </w:r>
      <w:r w:rsidRPr="003E1068">
        <w:rPr>
          <w:sz w:val="24"/>
          <w:szCs w:val="24"/>
        </w:rPr>
        <w:t xml:space="preserve"> and Monahan, </w:t>
      </w:r>
      <w:r w:rsidR="006003E5">
        <w:rPr>
          <w:sz w:val="24"/>
          <w:szCs w:val="24"/>
        </w:rPr>
        <w:t xml:space="preserve">G. (2016) </w:t>
      </w:r>
      <w:r w:rsidRPr="003E1068">
        <w:rPr>
          <w:i/>
          <w:sz w:val="24"/>
          <w:szCs w:val="24"/>
        </w:rPr>
        <w:t>Family Law in Australia</w:t>
      </w:r>
      <w:r w:rsidRPr="003E1068">
        <w:rPr>
          <w:sz w:val="24"/>
          <w:szCs w:val="24"/>
        </w:rPr>
        <w:t>, 9</w:t>
      </w:r>
      <w:r w:rsidRPr="003E1068">
        <w:rPr>
          <w:sz w:val="24"/>
          <w:szCs w:val="24"/>
          <w:vertAlign w:val="superscript"/>
        </w:rPr>
        <w:t>th</w:t>
      </w:r>
      <w:r w:rsidRPr="003E1068">
        <w:rPr>
          <w:sz w:val="24"/>
          <w:szCs w:val="24"/>
        </w:rPr>
        <w:t xml:space="preserve"> ed,</w:t>
      </w:r>
      <w:r w:rsidR="00E04A7C">
        <w:rPr>
          <w:sz w:val="24"/>
          <w:szCs w:val="24"/>
        </w:rPr>
        <w:t xml:space="preserve"> Sydney:</w:t>
      </w:r>
      <w:r w:rsidRPr="003E1068">
        <w:rPr>
          <w:sz w:val="24"/>
          <w:szCs w:val="24"/>
        </w:rPr>
        <w:t xml:space="preserve"> LexisNexis</w:t>
      </w:r>
      <w:r w:rsidR="006003E5">
        <w:rPr>
          <w:sz w:val="24"/>
          <w:szCs w:val="24"/>
        </w:rPr>
        <w:t>,</w:t>
      </w:r>
      <w:r w:rsidRPr="003E1068">
        <w:rPr>
          <w:sz w:val="24"/>
          <w:szCs w:val="24"/>
        </w:rPr>
        <w:t xml:space="preserve"> Butter</w:t>
      </w:r>
      <w:r w:rsidR="006003E5">
        <w:rPr>
          <w:sz w:val="24"/>
          <w:szCs w:val="24"/>
        </w:rPr>
        <w:t>w</w:t>
      </w:r>
      <w:r w:rsidRPr="003E1068">
        <w:rPr>
          <w:sz w:val="24"/>
          <w:szCs w:val="24"/>
        </w:rPr>
        <w:t>orths</w:t>
      </w:r>
      <w:r w:rsidR="006003E5">
        <w:rPr>
          <w:sz w:val="24"/>
          <w:szCs w:val="24"/>
        </w:rPr>
        <w:t>.</w:t>
      </w:r>
    </w:p>
    <w:p w14:paraId="66343792" w14:textId="77777777" w:rsidR="00956607" w:rsidRPr="00A30192" w:rsidRDefault="00956607" w:rsidP="00956607">
      <w:pPr>
        <w:pStyle w:val="EndnoteText"/>
        <w:spacing w:line="240" w:lineRule="auto"/>
        <w:rPr>
          <w:sz w:val="24"/>
          <w:szCs w:val="24"/>
        </w:rPr>
      </w:pPr>
    </w:p>
    <w:p w14:paraId="3DB8F03D" w14:textId="77777777" w:rsidR="00956607" w:rsidRPr="00C01D84" w:rsidRDefault="00956607" w:rsidP="00956607">
      <w:pPr>
        <w:widowControl w:val="0"/>
        <w:autoSpaceDE w:val="0"/>
        <w:autoSpaceDN w:val="0"/>
        <w:adjustRightInd w:val="0"/>
        <w:spacing w:line="240" w:lineRule="auto"/>
        <w:rPr>
          <w:rFonts w:cs="Times New Roman"/>
        </w:rPr>
      </w:pPr>
    </w:p>
    <w:sectPr w:rsidR="00956607" w:rsidRPr="00C01D84" w:rsidSect="008A478C">
      <w:endnotePr>
        <w:numFmt w:val="decimal"/>
      </w:endnotePr>
      <w:pgSz w:w="11900" w:h="16840"/>
      <w:pgMar w:top="1701" w:right="1837" w:bottom="1701" w:left="1837" w:header="709" w:footer="709"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3DFA32" w16cid:durableId="1DF76B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C216B8" w14:textId="77777777" w:rsidR="00F853FD" w:rsidRDefault="00F853FD" w:rsidP="00371409">
      <w:r>
        <w:separator/>
      </w:r>
    </w:p>
  </w:endnote>
  <w:endnote w:type="continuationSeparator" w:id="0">
    <w:p w14:paraId="53A8797A" w14:textId="77777777" w:rsidR="00F853FD" w:rsidRDefault="00F853FD" w:rsidP="00371409">
      <w:r>
        <w:continuationSeparator/>
      </w:r>
    </w:p>
  </w:endnote>
  <w:endnote w:id="1">
    <w:p w14:paraId="10990754" w14:textId="716FB016" w:rsidR="00E16FC3" w:rsidRDefault="00E16FC3" w:rsidP="006C5FF2">
      <w:pPr>
        <w:pStyle w:val="EndnoteText"/>
        <w:spacing w:line="240" w:lineRule="auto"/>
        <w:jc w:val="center"/>
      </w:pPr>
      <w:r>
        <w:t>NOTES</w:t>
      </w:r>
    </w:p>
    <w:p w14:paraId="59BAE1A7" w14:textId="77777777" w:rsidR="00E16FC3" w:rsidRDefault="00E16FC3" w:rsidP="00A50051">
      <w:pPr>
        <w:pStyle w:val="EndnoteText"/>
        <w:spacing w:line="240" w:lineRule="auto"/>
      </w:pPr>
    </w:p>
    <w:p w14:paraId="6831DE97" w14:textId="61BC65C1" w:rsidR="00E16FC3" w:rsidRPr="00A0783B" w:rsidRDefault="00E16FC3" w:rsidP="00A50051">
      <w:pPr>
        <w:pStyle w:val="EndnoteText"/>
        <w:spacing w:line="240" w:lineRule="auto"/>
        <w:rPr>
          <w:lang w:val="en-US"/>
        </w:rPr>
      </w:pPr>
      <w:r w:rsidRPr="00A0783B">
        <w:rPr>
          <w:rStyle w:val="EndnoteReference"/>
        </w:rPr>
        <w:endnoteRef/>
      </w:r>
      <w:r w:rsidRPr="00A0783B">
        <w:t xml:space="preserve"> </w:t>
      </w:r>
      <w:r>
        <w:t>T</w:t>
      </w:r>
      <w:r w:rsidRPr="00A0783B">
        <w:t xml:space="preserve">he </w:t>
      </w:r>
      <w:r w:rsidRPr="00021FF5">
        <w:t>FLA</w:t>
      </w:r>
      <w:r w:rsidRPr="00A0783B">
        <w:t xml:space="preserve"> </w:t>
      </w:r>
      <w:r>
        <w:t>applies nationally, except in Western Australia, however, the laws in that state mirror the national legislation</w:t>
      </w:r>
      <w:r w:rsidRPr="00A0783B">
        <w:t>.</w:t>
      </w:r>
    </w:p>
  </w:endnote>
  <w:endnote w:id="2">
    <w:p w14:paraId="563CF293" w14:textId="5B634A46" w:rsidR="00E16FC3" w:rsidRPr="00F72BFD" w:rsidRDefault="00E16FC3" w:rsidP="00A50051">
      <w:pPr>
        <w:pStyle w:val="EndnoteText"/>
        <w:spacing w:line="240" w:lineRule="auto"/>
      </w:pPr>
      <w:r w:rsidRPr="00F72BFD">
        <w:rPr>
          <w:rStyle w:val="EndnoteReference"/>
        </w:rPr>
        <w:endnoteRef/>
      </w:r>
      <w:r w:rsidRPr="00F72BFD">
        <w:t xml:space="preserve"> While the term ‘family violence’ is adopted in the FLA (see s 4</w:t>
      </w:r>
      <w:r>
        <w:t>AB), in other contexts the term</w:t>
      </w:r>
      <w:r w:rsidRPr="00F72BFD">
        <w:t xml:space="preserve"> ‘domestic violence’ is also routinely used. We use the terms interchangeably in this paper.</w:t>
      </w:r>
    </w:p>
  </w:endnote>
  <w:endnote w:id="3">
    <w:p w14:paraId="4032157B" w14:textId="62B331D0" w:rsidR="00E16FC3" w:rsidRDefault="00E16FC3" w:rsidP="00A50051">
      <w:pPr>
        <w:pStyle w:val="EndnoteText"/>
        <w:spacing w:line="240" w:lineRule="auto"/>
      </w:pPr>
      <w:r w:rsidRPr="00A50051">
        <w:rPr>
          <w:rStyle w:val="EndnoteReference"/>
        </w:rPr>
        <w:endnoteRef/>
      </w:r>
      <w:r w:rsidRPr="00A50051">
        <w:t xml:space="preserve"> </w:t>
      </w:r>
      <w:r w:rsidRPr="00F72BFD">
        <w:t>See for example the work of activist, and 2015 Australian of the Year, Rosie Batty:</w:t>
      </w:r>
      <w:r>
        <w:t xml:space="preserve"> </w:t>
      </w:r>
      <w:hyperlink r:id="rId1" w:history="1">
        <w:r w:rsidRPr="00273379">
          <w:rPr>
            <w:rStyle w:val="Hyperlink"/>
            <w:rFonts w:cstheme="minorBidi"/>
            <w:color w:val="auto"/>
            <w:u w:val="none"/>
          </w:rPr>
          <w:t>http://www.neveralone.com.au/</w:t>
        </w:r>
      </w:hyperlink>
      <w:r w:rsidRPr="00273379">
        <w:t xml:space="preserve"> (</w:t>
      </w:r>
      <w:r>
        <w:t>accessed 31 October 2017).</w:t>
      </w:r>
    </w:p>
  </w:endnote>
  <w:endnote w:id="4">
    <w:p w14:paraId="5302417C" w14:textId="21B7CB92" w:rsidR="00E16FC3" w:rsidRPr="00A0783B" w:rsidRDefault="00E16FC3" w:rsidP="00A50051">
      <w:pPr>
        <w:spacing w:line="240" w:lineRule="auto"/>
        <w:rPr>
          <w:rFonts w:cs="Times New Roman"/>
          <w:sz w:val="20"/>
          <w:szCs w:val="20"/>
        </w:rPr>
      </w:pPr>
      <w:r w:rsidRPr="00A0783B">
        <w:rPr>
          <w:rStyle w:val="EndnoteReference"/>
          <w:rFonts w:cs="Times New Roman"/>
          <w:sz w:val="20"/>
          <w:szCs w:val="20"/>
        </w:rPr>
        <w:endnoteRef/>
      </w:r>
      <w:r w:rsidRPr="00A0783B">
        <w:rPr>
          <w:rFonts w:cs="Times New Roman"/>
          <w:sz w:val="20"/>
          <w:szCs w:val="20"/>
        </w:rPr>
        <w:t xml:space="preserve"> </w:t>
      </w:r>
      <w:r w:rsidRPr="00A0783B">
        <w:rPr>
          <w:rFonts w:cs="Times New Roman"/>
          <w:i/>
          <w:sz w:val="20"/>
          <w:szCs w:val="20"/>
        </w:rPr>
        <w:t>In the Marriage of Kennon</w:t>
      </w:r>
      <w:r w:rsidRPr="00A0783B">
        <w:rPr>
          <w:rFonts w:cs="Times New Roman"/>
          <w:sz w:val="20"/>
          <w:szCs w:val="20"/>
        </w:rPr>
        <w:t xml:space="preserve"> (1997) 22 Fam LR 1, 24 (Fogarty and Lindenmayer JJ) (emphasis added). In addition, in considering </w:t>
      </w:r>
      <w:r w:rsidRPr="00A50051">
        <w:rPr>
          <w:rFonts w:cs="Times New Roman"/>
          <w:sz w:val="20"/>
          <w:szCs w:val="20"/>
        </w:rPr>
        <w:t>FLA</w:t>
      </w:r>
      <w:r w:rsidRPr="00A0783B">
        <w:rPr>
          <w:rFonts w:cs="Times New Roman"/>
          <w:sz w:val="20"/>
          <w:szCs w:val="20"/>
        </w:rPr>
        <w:t xml:space="preserve"> s 75(2) factors</w:t>
      </w:r>
      <w:r>
        <w:rPr>
          <w:rFonts w:cs="Times New Roman"/>
          <w:sz w:val="20"/>
          <w:szCs w:val="20"/>
        </w:rPr>
        <w:t xml:space="preserve"> (the spousal maintenance factors also relevant to property settlement),</w:t>
      </w:r>
      <w:r w:rsidRPr="00A0783B">
        <w:rPr>
          <w:rFonts w:cs="Times New Roman"/>
          <w:sz w:val="20"/>
          <w:szCs w:val="20"/>
        </w:rPr>
        <w:t xml:space="preserve"> the court can look at any disability resulting from the violence</w:t>
      </w:r>
      <w:r>
        <w:rPr>
          <w:rFonts w:cs="Times New Roman"/>
          <w:sz w:val="20"/>
          <w:szCs w:val="20"/>
        </w:rPr>
        <w:t xml:space="preserve"> as a party’s capacity to work and physical and mental health are relevant factors</w:t>
      </w:r>
      <w:r w:rsidRPr="00A0783B">
        <w:rPr>
          <w:rFonts w:cs="Times New Roman"/>
          <w:sz w:val="20"/>
          <w:szCs w:val="20"/>
        </w:rPr>
        <w:t xml:space="preserve">. </w:t>
      </w:r>
      <w:r w:rsidRPr="00A0783B">
        <w:rPr>
          <w:rFonts w:cs="Times New Roman"/>
          <w:color w:val="000000"/>
          <w:sz w:val="20"/>
          <w:szCs w:val="20"/>
        </w:rPr>
        <w:t xml:space="preserve">The italicized phrases </w:t>
      </w:r>
      <w:r>
        <w:rPr>
          <w:rFonts w:cs="Times New Roman"/>
          <w:color w:val="000000"/>
          <w:sz w:val="20"/>
          <w:szCs w:val="20"/>
        </w:rPr>
        <w:t xml:space="preserve">highlight the </w:t>
      </w:r>
      <w:r w:rsidRPr="00A0783B">
        <w:rPr>
          <w:rFonts w:cs="Times New Roman"/>
          <w:color w:val="000000"/>
          <w:sz w:val="20"/>
          <w:szCs w:val="20"/>
        </w:rPr>
        <w:t>vague and indeterminate</w:t>
      </w:r>
      <w:r>
        <w:rPr>
          <w:rFonts w:cs="Times New Roman"/>
          <w:color w:val="000000"/>
          <w:sz w:val="20"/>
          <w:szCs w:val="20"/>
        </w:rPr>
        <w:t xml:space="preserve"> nature of this section</w:t>
      </w:r>
      <w:r w:rsidRPr="00A0783B">
        <w:rPr>
          <w:rFonts w:cs="Times New Roman"/>
          <w:color w:val="000000"/>
          <w:sz w:val="20"/>
          <w:szCs w:val="20"/>
        </w:rPr>
        <w:t>.</w:t>
      </w:r>
    </w:p>
  </w:endnote>
  <w:endnote w:id="5">
    <w:p w14:paraId="76BE109A" w14:textId="7FA4A73F" w:rsidR="00E16FC3" w:rsidRDefault="00E16FC3" w:rsidP="00A50051">
      <w:pPr>
        <w:pStyle w:val="EndnoteText"/>
        <w:spacing w:line="240" w:lineRule="auto"/>
      </w:pPr>
      <w:r>
        <w:rPr>
          <w:rStyle w:val="EndnoteReference"/>
        </w:rPr>
        <w:endnoteRef/>
      </w:r>
      <w:r>
        <w:t xml:space="preserve"> </w:t>
      </w:r>
      <w:r w:rsidRPr="00B175EE">
        <w:t>See Young et al</w:t>
      </w:r>
      <w:r>
        <w:t>.</w:t>
      </w:r>
      <w:r w:rsidRPr="00A50051">
        <w:t>,</w:t>
      </w:r>
      <w:r>
        <w:t xml:space="preserve"> (2016:</w:t>
      </w:r>
      <w:r w:rsidRPr="00B175EE">
        <w:t xml:space="preserve"> [</w:t>
      </w:r>
      <w:r w:rsidRPr="00A50051">
        <w:t>9.29</w:t>
      </w:r>
      <w:r w:rsidRPr="00B175EE">
        <w:t>]</w:t>
      </w:r>
      <w:r w:rsidRPr="00A50051">
        <w:t>ff</w:t>
      </w:r>
      <w:r>
        <w:t>)</w:t>
      </w:r>
      <w:r w:rsidRPr="00B175EE">
        <w:t xml:space="preserve"> where a series of leg</w:t>
      </w:r>
      <w:r>
        <w:t>islative reforms starting in 1996 are set out.</w:t>
      </w:r>
    </w:p>
  </w:endnote>
  <w:endnote w:id="6">
    <w:p w14:paraId="568E7E81" w14:textId="4020A810" w:rsidR="00E16FC3" w:rsidRDefault="00E16FC3" w:rsidP="00A50051">
      <w:pPr>
        <w:pStyle w:val="EndnoteText"/>
        <w:spacing w:line="240" w:lineRule="auto"/>
      </w:pPr>
      <w:r>
        <w:rPr>
          <w:rStyle w:val="EndnoteReference"/>
        </w:rPr>
        <w:endnoteRef/>
      </w:r>
      <w:r>
        <w:t xml:space="preserve"> See </w:t>
      </w:r>
      <w:r w:rsidRPr="005B2F67">
        <w:t>https://www.attorneygeneral.gov.au/Mediareleases/Pages/2017/ThirdQuarter/First-comprehensive-review-of-the-family-law-act-27-September-2017.aspx</w:t>
      </w:r>
      <w:r>
        <w:t xml:space="preserve"> (accessed 21 October 2017).</w:t>
      </w:r>
    </w:p>
  </w:endnote>
  <w:endnote w:id="7">
    <w:p w14:paraId="095D65E5" w14:textId="74A0C4DA" w:rsidR="00E16FC3" w:rsidRPr="00A0783B" w:rsidRDefault="00E16FC3" w:rsidP="00A50051">
      <w:pPr>
        <w:pStyle w:val="EndnoteText"/>
        <w:spacing w:line="240" w:lineRule="auto"/>
      </w:pPr>
      <w:r w:rsidRPr="00A0783B">
        <w:rPr>
          <w:rStyle w:val="EndnoteReference"/>
        </w:rPr>
        <w:endnoteRef/>
      </w:r>
      <w:r w:rsidRPr="00A0783B">
        <w:t xml:space="preserve"> According to the Workplace Gender Equality Agency</w:t>
      </w:r>
      <w:r>
        <w:t xml:space="preserve"> (2016) </w:t>
      </w:r>
      <w:r w:rsidRPr="00A0783B">
        <w:rPr>
          <w:bCs/>
        </w:rPr>
        <w:t xml:space="preserve">in 2016, women only comprised 16.3% of CEOs. </w:t>
      </w:r>
    </w:p>
  </w:endnote>
  <w:endnote w:id="8">
    <w:p w14:paraId="67D57790" w14:textId="0D3A3092" w:rsidR="00E16FC3" w:rsidRPr="00A0783B" w:rsidRDefault="00E16FC3" w:rsidP="00A50051">
      <w:pPr>
        <w:spacing w:line="240" w:lineRule="auto"/>
        <w:rPr>
          <w:rFonts w:eastAsia="Times New Roman" w:cs="Times New Roman"/>
          <w:sz w:val="20"/>
          <w:szCs w:val="20"/>
        </w:rPr>
      </w:pPr>
      <w:r w:rsidRPr="00A0783B">
        <w:rPr>
          <w:rStyle w:val="EndnoteReference"/>
          <w:rFonts w:cs="Times New Roman"/>
          <w:sz w:val="20"/>
          <w:szCs w:val="20"/>
        </w:rPr>
        <w:endnoteRef/>
      </w:r>
      <w:r w:rsidRPr="00A0783B">
        <w:rPr>
          <w:rFonts w:cs="Times New Roman"/>
          <w:sz w:val="20"/>
          <w:szCs w:val="20"/>
        </w:rPr>
        <w:t xml:space="preserve"> </w:t>
      </w:r>
      <w:r w:rsidRPr="00A0783B">
        <w:rPr>
          <w:rFonts w:cs="Times New Roman"/>
          <w:bCs/>
          <w:sz w:val="20"/>
          <w:szCs w:val="20"/>
        </w:rPr>
        <w:t xml:space="preserve">Women are concentrated in health, education and retail occupations, which </w:t>
      </w:r>
      <w:r w:rsidRPr="00A0783B">
        <w:rPr>
          <w:rFonts w:eastAsia="Times New Roman" w:cs="Times New Roman"/>
          <w:sz w:val="20"/>
          <w:szCs w:val="20"/>
        </w:rPr>
        <w:t>‘is one contributing factor to the overall gender pay gap, with female-dominated industries traditionally offering lower pay than male-dominated industries’</w:t>
      </w:r>
      <w:r>
        <w:rPr>
          <w:rFonts w:eastAsia="Times New Roman" w:cs="Times New Roman"/>
          <w:sz w:val="20"/>
          <w:szCs w:val="20"/>
        </w:rPr>
        <w:t>:</w:t>
      </w:r>
      <w:r w:rsidRPr="00A0783B">
        <w:rPr>
          <w:rFonts w:eastAsia="Times New Roman" w:cs="Times New Roman"/>
          <w:sz w:val="20"/>
          <w:szCs w:val="20"/>
        </w:rPr>
        <w:t xml:space="preserve"> </w:t>
      </w:r>
      <w:r w:rsidRPr="00A0783B">
        <w:rPr>
          <w:rFonts w:cs="Times New Roman"/>
          <w:sz w:val="20"/>
          <w:szCs w:val="20"/>
        </w:rPr>
        <w:t>Workplace Gender Equality Agency</w:t>
      </w:r>
      <w:r>
        <w:rPr>
          <w:rFonts w:cs="Times New Roman"/>
          <w:sz w:val="20"/>
          <w:szCs w:val="20"/>
        </w:rPr>
        <w:t xml:space="preserve"> (2016: 5)</w:t>
      </w:r>
      <w:r w:rsidRPr="00A0783B">
        <w:rPr>
          <w:rFonts w:cs="Times New Roman"/>
          <w:sz w:val="20"/>
          <w:szCs w:val="20"/>
        </w:rPr>
        <w:t>.</w:t>
      </w:r>
    </w:p>
  </w:endnote>
  <w:endnote w:id="9">
    <w:p w14:paraId="490706E5" w14:textId="71D123DC" w:rsidR="00E16FC3" w:rsidRPr="005251FD" w:rsidRDefault="00E16FC3" w:rsidP="00A50051">
      <w:pPr>
        <w:spacing w:line="240" w:lineRule="auto"/>
        <w:rPr>
          <w:rFonts w:eastAsia="Times New Roman" w:cs="Times New Roman"/>
          <w:sz w:val="20"/>
          <w:szCs w:val="20"/>
          <w:lang w:val="en-AU"/>
        </w:rPr>
      </w:pPr>
      <w:r>
        <w:rPr>
          <w:rStyle w:val="EndnoteReference"/>
        </w:rPr>
        <w:endnoteRef/>
      </w:r>
      <w:r>
        <w:t xml:space="preserve"> </w:t>
      </w:r>
      <w:r w:rsidRPr="005251FD">
        <w:rPr>
          <w:rFonts w:cs="Times New Roman"/>
          <w:sz w:val="20"/>
          <w:szCs w:val="20"/>
        </w:rPr>
        <w:t xml:space="preserve">Australian Bureau of Statistics </w:t>
      </w:r>
      <w:r>
        <w:rPr>
          <w:rFonts w:cs="Times New Roman"/>
          <w:sz w:val="20"/>
          <w:szCs w:val="20"/>
        </w:rPr>
        <w:t>(</w:t>
      </w:r>
      <w:r w:rsidRPr="005251FD">
        <w:rPr>
          <w:rFonts w:cs="Times New Roman"/>
          <w:sz w:val="20"/>
          <w:szCs w:val="20"/>
        </w:rPr>
        <w:t>201</w:t>
      </w:r>
      <w:r>
        <w:rPr>
          <w:rFonts w:cs="Times New Roman"/>
          <w:sz w:val="20"/>
          <w:szCs w:val="20"/>
        </w:rPr>
        <w:t xml:space="preserve">7) </w:t>
      </w:r>
      <w:r w:rsidRPr="005251FD">
        <w:rPr>
          <w:rFonts w:cs="Times New Roman"/>
          <w:sz w:val="20"/>
          <w:szCs w:val="20"/>
        </w:rPr>
        <w:t>‘</w:t>
      </w:r>
      <w:r w:rsidRPr="005251FD">
        <w:rPr>
          <w:rFonts w:eastAsia="Times New Roman" w:cs="Times New Roman"/>
          <w:color w:val="333333"/>
          <w:sz w:val="20"/>
          <w:szCs w:val="20"/>
          <w:shd w:val="clear" w:color="auto" w:fill="FFFFFF"/>
          <w:lang w:val="en-AU"/>
        </w:rPr>
        <w:t>the “typical” male spends fewer than five hours a week on domestic work, compared with between five and 14 hours a week by women</w:t>
      </w:r>
      <w:r>
        <w:rPr>
          <w:rFonts w:eastAsia="Times New Roman" w:cs="Times New Roman"/>
          <w:color w:val="333333"/>
          <w:sz w:val="20"/>
          <w:szCs w:val="20"/>
          <w:shd w:val="clear" w:color="auto" w:fill="FFFFFF"/>
          <w:lang w:val="en-AU"/>
        </w:rPr>
        <w:t>:’ &lt;</w:t>
      </w:r>
      <w:r w:rsidRPr="005251FD">
        <w:t xml:space="preserve"> </w:t>
      </w:r>
      <w:r w:rsidRPr="005251FD">
        <w:rPr>
          <w:rFonts w:eastAsia="Times New Roman" w:cs="Times New Roman"/>
          <w:color w:val="333333"/>
          <w:sz w:val="20"/>
          <w:szCs w:val="20"/>
          <w:shd w:val="clear" w:color="auto" w:fill="FFFFFF"/>
          <w:lang w:val="en-AU"/>
        </w:rPr>
        <w:t>http://www.abs.gov.au/websitedbs/D3310114.nsf/home/2016+Census+National</w:t>
      </w:r>
      <w:r>
        <w:rPr>
          <w:rFonts w:eastAsia="Times New Roman" w:cs="Times New Roman"/>
          <w:color w:val="333333"/>
          <w:sz w:val="20"/>
          <w:szCs w:val="20"/>
          <w:shd w:val="clear" w:color="auto" w:fill="FFFFFF"/>
          <w:lang w:val="en-AU"/>
        </w:rPr>
        <w:t>&gt;</w:t>
      </w:r>
    </w:p>
  </w:endnote>
  <w:endnote w:id="10">
    <w:p w14:paraId="5388B0B1" w14:textId="696CA55B" w:rsidR="00E16FC3" w:rsidRPr="00EC00FB" w:rsidRDefault="00E16FC3" w:rsidP="00A50051">
      <w:pPr>
        <w:pStyle w:val="EndnoteText"/>
        <w:spacing w:line="240" w:lineRule="auto"/>
        <w:rPr>
          <w:lang w:val="en-US"/>
        </w:rPr>
      </w:pPr>
      <w:r>
        <w:rPr>
          <w:rStyle w:val="EndnoteReference"/>
        </w:rPr>
        <w:endnoteRef/>
      </w:r>
      <w:r>
        <w:t xml:space="preserve"> See </w:t>
      </w:r>
      <w:r w:rsidRPr="00A0783B">
        <w:t>Field</w:t>
      </w:r>
      <w:r>
        <w:t xml:space="preserve"> (2010) for a discussion both of possible concerns for women in facilitative mediation and also the polarity of perspectives in the literature with one study finding that women felt</w:t>
      </w:r>
      <w:r w:rsidRPr="008F41CA">
        <w:t xml:space="preserve"> that they had equal influence over the terms of the agreements</w:t>
      </w:r>
      <w:r>
        <w:t xml:space="preserve"> reached. Also see </w:t>
      </w:r>
      <w:bookmarkStart w:id="8" w:name="_Hlk501358831"/>
      <w:r w:rsidRPr="00A0783B">
        <w:t>Kelly</w:t>
      </w:r>
      <w:r>
        <w:t xml:space="preserve"> (1995).</w:t>
      </w:r>
    </w:p>
    <w:bookmarkEnd w:id="8"/>
  </w:endnote>
  <w:endnote w:id="11">
    <w:p w14:paraId="2118F013" w14:textId="77777777" w:rsidR="00E16FC3" w:rsidRPr="00A0783B" w:rsidRDefault="00E16FC3" w:rsidP="00E16FC3">
      <w:pPr>
        <w:pStyle w:val="EndnoteText"/>
        <w:spacing w:line="240" w:lineRule="auto"/>
        <w:rPr>
          <w:lang w:val="en-US"/>
        </w:rPr>
      </w:pPr>
      <w:r w:rsidRPr="00FE2CDF">
        <w:rPr>
          <w:rStyle w:val="EndnoteReference"/>
        </w:rPr>
        <w:endnoteRef/>
      </w:r>
      <w:r w:rsidRPr="001F6980">
        <w:t xml:space="preserve"> </w:t>
      </w:r>
      <w:r w:rsidRPr="006F56B4">
        <w:rPr>
          <w:lang w:val="en-US"/>
        </w:rPr>
        <w:t>For example, in the 16-17 year in the Family Court of Australia, 85% of the matters (both parenting</w:t>
      </w:r>
      <w:r>
        <w:rPr>
          <w:lang w:val="en-US"/>
        </w:rPr>
        <w:t xml:space="preserve"> and property) where an application was actually filed did not proceed to a final trial</w:t>
      </w:r>
      <w:r w:rsidRPr="009E79A2">
        <w:rPr>
          <w:lang w:val="en-US"/>
        </w:rPr>
        <w:t xml:space="preserve">: Family Court of Australia, </w:t>
      </w:r>
      <w:r w:rsidRPr="009E79A2">
        <w:rPr>
          <w:i/>
          <w:lang w:val="en-US"/>
        </w:rPr>
        <w:t>16:17 Annual Report</w:t>
      </w:r>
      <w:r w:rsidRPr="009E79A2">
        <w:rPr>
          <w:lang w:val="en-US"/>
        </w:rPr>
        <w:t>, 29.</w:t>
      </w:r>
    </w:p>
  </w:endnote>
  <w:endnote w:id="12">
    <w:p w14:paraId="7A67FE13" w14:textId="3E2515E7" w:rsidR="00E16FC3" w:rsidRPr="006E4307" w:rsidRDefault="00E16FC3" w:rsidP="00A50051">
      <w:pPr>
        <w:pStyle w:val="EndnoteText"/>
        <w:spacing w:line="240" w:lineRule="auto"/>
        <w:rPr>
          <w:lang w:val="en-US"/>
        </w:rPr>
      </w:pPr>
      <w:r w:rsidRPr="00DE0AC1">
        <w:rPr>
          <w:rStyle w:val="EndnoteReference"/>
        </w:rPr>
        <w:endnoteRef/>
      </w:r>
      <w:r w:rsidRPr="00DE0AC1">
        <w:t xml:space="preserve"> </w:t>
      </w:r>
      <w:r w:rsidRPr="00273379">
        <w:t xml:space="preserve">See </w:t>
      </w:r>
      <w:hyperlink r:id="rId2" w:history="1">
        <w:r w:rsidRPr="00273379">
          <w:rPr>
            <w:rStyle w:val="Hyperlink"/>
            <w:color w:val="auto"/>
            <w:u w:val="none"/>
          </w:rPr>
          <w:t>https://www.ag.gov.au/Consultations/Pages/Family-violence-cross-examination-amendments.aspx</w:t>
        </w:r>
      </w:hyperlink>
      <w:r w:rsidRPr="00273379">
        <w:t xml:space="preserve"> (</w:t>
      </w:r>
      <w:r>
        <w:rPr>
          <w:color w:val="000000"/>
        </w:rPr>
        <w:t>accessed 14 September 2017).</w:t>
      </w:r>
      <w:r w:rsidRPr="006E4307">
        <w:rPr>
          <w:color w:val="000000"/>
        </w:rPr>
        <w:t xml:space="preserve"> </w:t>
      </w:r>
    </w:p>
  </w:endnote>
  <w:endnote w:id="13">
    <w:p w14:paraId="6839E238" w14:textId="311694A6" w:rsidR="00E16FC3" w:rsidRPr="00134961" w:rsidRDefault="00E16FC3" w:rsidP="00A50051">
      <w:pPr>
        <w:pStyle w:val="EndnoteText"/>
        <w:spacing w:line="240" w:lineRule="auto"/>
      </w:pPr>
      <w:r w:rsidRPr="00A0783B">
        <w:rPr>
          <w:rStyle w:val="EndnoteReference"/>
        </w:rPr>
        <w:endnoteRef/>
      </w:r>
      <w:r w:rsidRPr="00A0783B">
        <w:t xml:space="preserve"> </w:t>
      </w:r>
      <w:r>
        <w:t xml:space="preserve">This is known as the ‘Briginshaw’ test from the case </w:t>
      </w:r>
      <w:r w:rsidRPr="00A0783B">
        <w:rPr>
          <w:i/>
        </w:rPr>
        <w:t xml:space="preserve">Briginshaw v Briginshaw </w:t>
      </w:r>
      <w:r w:rsidRPr="00A0783B">
        <w:t>[1938] HCA at 361-362.</w:t>
      </w:r>
      <w:r>
        <w:t xml:space="preserve"> This test is now reflected in s 140(2) of the Evidence Act 1995 (Cth). </w:t>
      </w:r>
      <w:r w:rsidRPr="00134961">
        <w:t xml:space="preserve">  </w:t>
      </w:r>
    </w:p>
  </w:endnote>
  <w:endnote w:id="14">
    <w:p w14:paraId="7EAD3F93" w14:textId="42700330" w:rsidR="00E16FC3" w:rsidRPr="00A0783B" w:rsidRDefault="00E16FC3" w:rsidP="00A50051">
      <w:pPr>
        <w:widowControl w:val="0"/>
        <w:tabs>
          <w:tab w:val="left" w:pos="220"/>
          <w:tab w:val="left" w:pos="720"/>
        </w:tabs>
        <w:autoSpaceDE w:val="0"/>
        <w:autoSpaceDN w:val="0"/>
        <w:adjustRightInd w:val="0"/>
        <w:spacing w:line="240" w:lineRule="auto"/>
        <w:rPr>
          <w:rFonts w:cs="Times New Roman"/>
          <w:color w:val="000000"/>
          <w:sz w:val="20"/>
          <w:szCs w:val="20"/>
        </w:rPr>
      </w:pPr>
      <w:r w:rsidRPr="00A0783B">
        <w:rPr>
          <w:rStyle w:val="EndnoteReference"/>
          <w:rFonts w:cs="Times New Roman"/>
          <w:sz w:val="20"/>
          <w:szCs w:val="20"/>
        </w:rPr>
        <w:endnoteRef/>
      </w:r>
      <w:r w:rsidRPr="00A0783B">
        <w:rPr>
          <w:rFonts w:cs="Times New Roman"/>
          <w:sz w:val="20"/>
          <w:szCs w:val="20"/>
        </w:rPr>
        <w:t xml:space="preserve"> </w:t>
      </w:r>
      <w:r>
        <w:rPr>
          <w:rFonts w:cs="Times New Roman"/>
          <w:sz w:val="20"/>
          <w:szCs w:val="20"/>
        </w:rPr>
        <w:t>On these issues generally, see the seminal work of Graycar and Morgan (2002) and Katzen (2000).</w:t>
      </w:r>
      <w:r>
        <w:rPr>
          <w:rFonts w:cs="Times New Roman"/>
          <w:color w:val="000000"/>
          <w:sz w:val="20"/>
          <w:szCs w:val="20"/>
        </w:rPr>
        <w:t xml:space="preserve">  </w:t>
      </w:r>
    </w:p>
  </w:endnote>
  <w:endnote w:id="15">
    <w:p w14:paraId="42158C53" w14:textId="47F4728F" w:rsidR="00E16FC3" w:rsidRDefault="00E16FC3" w:rsidP="00A50051">
      <w:pPr>
        <w:pStyle w:val="EndnoteText"/>
        <w:spacing w:line="240" w:lineRule="auto"/>
      </w:pPr>
      <w:r>
        <w:rPr>
          <w:rStyle w:val="EndnoteReference"/>
        </w:rPr>
        <w:endnoteRef/>
      </w:r>
      <w:r>
        <w:t xml:space="preserve"> This last matter was not tested fully as the statements were allegedly made to the teacher’s father who was not able to be called as a witness: at [203]ff.</w:t>
      </w:r>
    </w:p>
  </w:endnote>
  <w:endnote w:id="16">
    <w:p w14:paraId="17B3DDA6" w14:textId="6B204CC0" w:rsidR="00E16FC3" w:rsidRPr="00A0783B" w:rsidRDefault="00E16FC3" w:rsidP="00A50051">
      <w:pPr>
        <w:pStyle w:val="EndnoteText"/>
        <w:spacing w:line="240" w:lineRule="auto"/>
        <w:rPr>
          <w:lang w:val="en-US"/>
        </w:rPr>
      </w:pPr>
      <w:r w:rsidRPr="00A0783B">
        <w:rPr>
          <w:rStyle w:val="EndnoteReference"/>
        </w:rPr>
        <w:endnoteRef/>
      </w:r>
      <w:r w:rsidRPr="00A0783B">
        <w:t xml:space="preserve"> </w:t>
      </w:r>
      <w:r w:rsidRPr="00A0783B">
        <w:rPr>
          <w:i/>
          <w:color w:val="000000"/>
        </w:rPr>
        <w:t>Hashim v Hashim</w:t>
      </w:r>
      <w:r w:rsidRPr="00A0783B">
        <w:rPr>
          <w:color w:val="000000"/>
        </w:rPr>
        <w:t xml:space="preserve"> [2012] FamCA 135; BC201250172 at [212], [206], [226].</w:t>
      </w:r>
      <w:r>
        <w:rPr>
          <w:color w:val="000000"/>
        </w:rPr>
        <w:t xml:space="preserve"> The Judge accepted the teacher was a truthful witness, but as the claims were hearsay and the father was not recalled to give evidence about this, no finding was made. See also </w:t>
      </w:r>
      <w:r w:rsidRPr="00A0783B">
        <w:rPr>
          <w:i/>
        </w:rPr>
        <w:t xml:space="preserve">In the Marriage of </w:t>
      </w:r>
      <w:r w:rsidRPr="00A0783B">
        <w:rPr>
          <w:i/>
          <w:color w:val="000000"/>
        </w:rPr>
        <w:t xml:space="preserve">Blanch </w:t>
      </w:r>
      <w:r w:rsidRPr="00A0783B">
        <w:rPr>
          <w:color w:val="000000"/>
        </w:rPr>
        <w:t>(1998) 148 FLR 156</w:t>
      </w:r>
      <w:r>
        <w:rPr>
          <w:color w:val="000000"/>
        </w:rPr>
        <w:t>.</w:t>
      </w:r>
    </w:p>
  </w:endnote>
  <w:endnote w:id="17">
    <w:p w14:paraId="5C208497" w14:textId="77777777" w:rsidR="00E16FC3" w:rsidRPr="00A0783B" w:rsidRDefault="00E16FC3" w:rsidP="00A50051">
      <w:pPr>
        <w:pStyle w:val="EndnoteText"/>
        <w:spacing w:line="240" w:lineRule="auto"/>
        <w:jc w:val="both"/>
      </w:pPr>
      <w:r w:rsidRPr="00A0783B">
        <w:rPr>
          <w:rStyle w:val="EndnoteReference"/>
        </w:rPr>
        <w:endnoteRef/>
      </w:r>
      <w:r w:rsidRPr="00A0783B">
        <w:t xml:space="preserve"> In </w:t>
      </w:r>
      <w:r w:rsidRPr="00A0783B">
        <w:rPr>
          <w:i/>
        </w:rPr>
        <w:t>T v S</w:t>
      </w:r>
      <w:r w:rsidRPr="00A0783B">
        <w:t xml:space="preserve"> (2001)</w:t>
      </w:r>
      <w:r w:rsidRPr="00A0783B">
        <w:rPr>
          <w:color w:val="000000"/>
        </w:rPr>
        <w:t xml:space="preserve"> 28 Fam LR 342, </w:t>
      </w:r>
      <w:r w:rsidRPr="00A0783B">
        <w:t xml:space="preserve">the Full Court upheld the woman’s appeal and ordered a new trial. </w:t>
      </w:r>
    </w:p>
  </w:endnote>
  <w:endnote w:id="18">
    <w:p w14:paraId="668B8DF0" w14:textId="77777777" w:rsidR="00E16FC3" w:rsidRPr="00A0783B" w:rsidRDefault="00E16FC3" w:rsidP="00A50051">
      <w:pPr>
        <w:pStyle w:val="EndnoteText"/>
        <w:spacing w:line="240" w:lineRule="auto"/>
        <w:jc w:val="both"/>
      </w:pPr>
      <w:r w:rsidRPr="00A0783B">
        <w:rPr>
          <w:rStyle w:val="EndnoteReference"/>
        </w:rPr>
        <w:endnoteRef/>
      </w:r>
      <w:r w:rsidRPr="00A0783B">
        <w:t xml:space="preserve"> Stated by Baker J in first instance hearing, as reported in the appellate judgment, </w:t>
      </w:r>
      <w:r w:rsidRPr="00A0783B">
        <w:rPr>
          <w:i/>
        </w:rPr>
        <w:t xml:space="preserve">In the Marriage of A </w:t>
      </w:r>
      <w:r w:rsidRPr="00A0783B">
        <w:t xml:space="preserve">(1998) 22 Fam LR 756, 759. </w:t>
      </w:r>
    </w:p>
  </w:endnote>
  <w:endnote w:id="19">
    <w:p w14:paraId="12D11E69" w14:textId="1B399A49" w:rsidR="00E16FC3" w:rsidRPr="00A0783B" w:rsidRDefault="00E16FC3" w:rsidP="00A50051">
      <w:pPr>
        <w:pStyle w:val="EndnoteText"/>
        <w:spacing w:line="240" w:lineRule="auto"/>
      </w:pPr>
      <w:r w:rsidRPr="00A0783B">
        <w:rPr>
          <w:rStyle w:val="EndnoteReference"/>
        </w:rPr>
        <w:endnoteRef/>
      </w:r>
      <w:r w:rsidRPr="00A0783B">
        <w:t xml:space="preserve"> </w:t>
      </w:r>
      <w:r w:rsidRPr="00DC0B43">
        <w:rPr>
          <w:i/>
          <w:color w:val="000000"/>
        </w:rPr>
        <w:t>Pilch &amp; Pilch</w:t>
      </w:r>
      <w:r w:rsidRPr="00A0783B">
        <w:rPr>
          <w:color w:val="000000"/>
        </w:rPr>
        <w:t xml:space="preserve"> [2016] FamCA 740 at </w:t>
      </w:r>
      <w:r>
        <w:rPr>
          <w:color w:val="000000"/>
        </w:rPr>
        <w:t>[</w:t>
      </w:r>
      <w:r w:rsidRPr="00A0783B">
        <w:rPr>
          <w:color w:val="000000"/>
        </w:rPr>
        <w:t>143</w:t>
      </w:r>
      <w:r>
        <w:rPr>
          <w:color w:val="000000"/>
        </w:rPr>
        <w:t>]</w:t>
      </w:r>
      <w:r w:rsidRPr="00A0783B">
        <w:rPr>
          <w:color w:val="000000"/>
        </w:rPr>
        <w:t>.</w:t>
      </w:r>
    </w:p>
  </w:endnote>
  <w:endnote w:id="20">
    <w:p w14:paraId="7B885D09" w14:textId="6767CFF4" w:rsidR="00E16FC3" w:rsidRPr="00A0783B" w:rsidRDefault="00E16FC3" w:rsidP="00A50051">
      <w:pPr>
        <w:pStyle w:val="EndnoteText"/>
        <w:spacing w:line="240" w:lineRule="auto"/>
      </w:pPr>
      <w:r w:rsidRPr="00A0783B">
        <w:rPr>
          <w:rStyle w:val="EndnoteReference"/>
        </w:rPr>
        <w:endnoteRef/>
      </w:r>
      <w:r w:rsidRPr="00A0783B">
        <w:t xml:space="preserve"> </w:t>
      </w:r>
      <w:r w:rsidRPr="00A0783B">
        <w:rPr>
          <w:i/>
          <w:color w:val="000000"/>
        </w:rPr>
        <w:t>Charlton &amp; Charlton</w:t>
      </w:r>
      <w:r w:rsidRPr="00A0783B">
        <w:rPr>
          <w:color w:val="000000"/>
        </w:rPr>
        <w:t xml:space="preserve"> [2016] FCCA 1846 at [290].</w:t>
      </w:r>
      <w:r>
        <w:rPr>
          <w:color w:val="000000"/>
        </w:rPr>
        <w:t xml:space="preserve"> See also </w:t>
      </w:r>
      <w:r w:rsidRPr="004E1697">
        <w:rPr>
          <w:i/>
        </w:rPr>
        <w:t>Graf-Salzman and Graf</w:t>
      </w:r>
      <w:r w:rsidRPr="00A0783B">
        <w:t xml:space="preserve"> [2015] FCWA 68</w:t>
      </w:r>
      <w:r>
        <w:t xml:space="preserve"> a</w:t>
      </w:r>
      <w:r w:rsidRPr="00A0783B">
        <w:t xml:space="preserve">t </w:t>
      </w:r>
      <w:r>
        <w:t>[</w:t>
      </w:r>
      <w:r w:rsidRPr="00A0783B">
        <w:t>366</w:t>
      </w:r>
      <w:r>
        <w:t>]</w:t>
      </w:r>
      <w:r w:rsidRPr="00A0783B">
        <w:t xml:space="preserve"> and </w:t>
      </w:r>
      <w:r>
        <w:t>[</w:t>
      </w:r>
      <w:r w:rsidRPr="00A0783B">
        <w:t>369</w:t>
      </w:r>
      <w:r>
        <w:t xml:space="preserve">] where a </w:t>
      </w:r>
      <w:r w:rsidRPr="00DE0AC1">
        <w:rPr>
          <w:i/>
        </w:rPr>
        <w:t>Kennon</w:t>
      </w:r>
      <w:r>
        <w:t xml:space="preserve"> adjustment was made recognising, inter alia, the serious consequences to the wife’s confidence and self-esteem caused by the husband’s physical violence.</w:t>
      </w:r>
    </w:p>
  </w:endnote>
  <w:endnote w:id="21">
    <w:p w14:paraId="5E117C0A" w14:textId="5CA59007" w:rsidR="00E16FC3" w:rsidRPr="00273379" w:rsidRDefault="00E16FC3" w:rsidP="00A50051">
      <w:pPr>
        <w:pStyle w:val="EndnoteText"/>
        <w:spacing w:line="240" w:lineRule="auto"/>
      </w:pPr>
      <w:r w:rsidRPr="002F2C0E">
        <w:rPr>
          <w:rStyle w:val="EndnoteReference"/>
        </w:rPr>
        <w:endnoteRef/>
      </w:r>
      <w:r w:rsidRPr="002F2C0E">
        <w:t xml:space="preserve"> </w:t>
      </w:r>
      <w:r w:rsidRPr="00DC68C4">
        <w:t xml:space="preserve">Which is not to say that there does not remain much work to be done in this area as reflected in the terms of reference </w:t>
      </w:r>
      <w:r>
        <w:t>given to</w:t>
      </w:r>
      <w:r w:rsidRPr="00DC68C4">
        <w:t xml:space="preserve"> the Australian Law Reform Commission inquiry</w:t>
      </w:r>
      <w:r>
        <w:t xml:space="preserve"> </w:t>
      </w:r>
      <w:r w:rsidRPr="00DC68C4">
        <w:t xml:space="preserve">into family law (see </w:t>
      </w:r>
      <w:hyperlink r:id="rId3" w:history="1">
        <w:r w:rsidRPr="00273379">
          <w:rPr>
            <w:rStyle w:val="Hyperlink"/>
            <w:rFonts w:cstheme="minorBidi"/>
            <w:color w:val="auto"/>
            <w:u w:val="none"/>
          </w:rPr>
          <w:t>https://www.alrc.gov.au/news-media/alrc-news/review-family-law-system-terms-reference-and-commissioners</w:t>
        </w:r>
      </w:hyperlink>
      <w:r w:rsidRPr="00273379">
        <w:t xml:space="preserve">).  </w:t>
      </w:r>
    </w:p>
  </w:endnote>
  <w:endnote w:id="22">
    <w:p w14:paraId="06F08DDD" w14:textId="428DE2D4" w:rsidR="00E16FC3" w:rsidRDefault="00E16FC3" w:rsidP="00A50051">
      <w:pPr>
        <w:pStyle w:val="EndnoteText"/>
        <w:spacing w:line="240" w:lineRule="auto"/>
      </w:pPr>
      <w:r>
        <w:rPr>
          <w:rStyle w:val="EndnoteReference"/>
        </w:rPr>
        <w:endnoteRef/>
      </w:r>
      <w:r>
        <w:t xml:space="preserve"> Though there had been judicial doubt cast on the ‘special skills’ rule for some years, most notably in </w:t>
      </w:r>
      <w:r w:rsidRPr="00214C5D">
        <w:rPr>
          <w:i/>
        </w:rPr>
        <w:t>Figgins &amp; Figgins</w:t>
      </w:r>
      <w:r>
        <w:t xml:space="preserve"> [2002] FamCA 688.</w:t>
      </w:r>
    </w:p>
  </w:endnote>
  <w:endnote w:id="23">
    <w:p w14:paraId="5828880A" w14:textId="691A5348" w:rsidR="00E16FC3" w:rsidRDefault="00E16FC3" w:rsidP="00A50051">
      <w:pPr>
        <w:pStyle w:val="EndnoteText"/>
        <w:spacing w:line="240" w:lineRule="auto"/>
      </w:pPr>
      <w:r w:rsidRPr="00214C5D">
        <w:rPr>
          <w:rStyle w:val="EndnoteReference"/>
        </w:rPr>
        <w:endnoteRef/>
      </w:r>
      <w:r w:rsidRPr="00214C5D">
        <w:t xml:space="preserve"> </w:t>
      </w:r>
      <w:r w:rsidRPr="00214C5D">
        <w:rPr>
          <w:i/>
        </w:rPr>
        <w:t>Fields &amp; Smith</w:t>
      </w:r>
      <w:r w:rsidRPr="00214C5D">
        <w:t xml:space="preserve"> [2015] FamCAFC 57; </w:t>
      </w:r>
      <w:r w:rsidRPr="00214C5D">
        <w:rPr>
          <w:i/>
        </w:rPr>
        <w:t>Hoffman &amp; Hoffman</w:t>
      </w:r>
      <w:r>
        <w:t xml:space="preserve"> [2014] FamCAFC 92.</w:t>
      </w:r>
    </w:p>
  </w:endnote>
  <w:endnote w:id="24">
    <w:p w14:paraId="2D5FA857" w14:textId="6080AB6B" w:rsidR="00E16FC3" w:rsidRDefault="00E16FC3" w:rsidP="00A50051">
      <w:pPr>
        <w:pStyle w:val="EndnoteText"/>
        <w:spacing w:line="240" w:lineRule="auto"/>
      </w:pPr>
      <w:r>
        <w:rPr>
          <w:rStyle w:val="EndnoteReference"/>
        </w:rPr>
        <w:endnoteRef/>
      </w:r>
      <w:r>
        <w:t xml:space="preserve"> FLA, s 79(4).</w:t>
      </w:r>
    </w:p>
  </w:endnote>
  <w:endnote w:id="25">
    <w:p w14:paraId="4857FE71" w14:textId="010FDD4D" w:rsidR="00E16FC3" w:rsidRDefault="00E16FC3" w:rsidP="00A50051">
      <w:pPr>
        <w:pStyle w:val="EndnoteText"/>
        <w:spacing w:line="240" w:lineRule="auto"/>
      </w:pPr>
      <w:r>
        <w:rPr>
          <w:rStyle w:val="EndnoteReference"/>
        </w:rPr>
        <w:endnoteRef/>
      </w:r>
      <w:r>
        <w:t xml:space="preserve"> FLA, s 75(2) incorporated by s 79(4)(e).</w:t>
      </w:r>
    </w:p>
  </w:endnote>
  <w:endnote w:id="26">
    <w:p w14:paraId="50DC96E7" w14:textId="77777777" w:rsidR="00E16FC3" w:rsidRPr="003B23B9" w:rsidRDefault="00E16FC3" w:rsidP="00CF7D13">
      <w:pPr>
        <w:pStyle w:val="Heading1"/>
        <w:shd w:val="clear" w:color="auto" w:fill="FFFFFF"/>
        <w:spacing w:before="0" w:line="240" w:lineRule="auto"/>
        <w:rPr>
          <w:rFonts w:ascii="Times New Roman" w:eastAsia="Times New Roman" w:hAnsi="Times New Roman" w:cs="Times New Roman"/>
          <w:b w:val="0"/>
          <w:color w:val="auto"/>
          <w:spacing w:val="-5"/>
          <w:kern w:val="36"/>
          <w:sz w:val="20"/>
          <w:szCs w:val="20"/>
          <w:lang w:val="en-AU" w:eastAsia="en-AU"/>
        </w:rPr>
      </w:pPr>
      <w:r w:rsidRPr="00CA7A2E">
        <w:rPr>
          <w:rStyle w:val="EndnoteReference"/>
          <w:rFonts w:ascii="Times New Roman" w:hAnsi="Times New Roman" w:cs="Times New Roman"/>
          <w:b w:val="0"/>
          <w:color w:val="auto"/>
          <w:sz w:val="20"/>
          <w:szCs w:val="20"/>
        </w:rPr>
        <w:endnoteRef/>
      </w:r>
      <w:r w:rsidRPr="00CA7A2E">
        <w:rPr>
          <w:rFonts w:ascii="Times New Roman" w:hAnsi="Times New Roman" w:cs="Times New Roman"/>
          <w:b w:val="0"/>
          <w:color w:val="auto"/>
          <w:sz w:val="20"/>
          <w:szCs w:val="20"/>
        </w:rPr>
        <w:t xml:space="preserve"> </w:t>
      </w:r>
      <w:r w:rsidRPr="00CA7A2E">
        <w:rPr>
          <w:rFonts w:ascii="Times New Roman" w:eastAsia="Times New Roman" w:hAnsi="Times New Roman" w:cs="Times New Roman"/>
          <w:b w:val="0"/>
          <w:i/>
          <w:color w:val="auto"/>
          <w:spacing w:val="-5"/>
          <w:kern w:val="36"/>
          <w:sz w:val="20"/>
          <w:szCs w:val="20"/>
          <w:lang w:val="en-AU" w:eastAsia="en-AU"/>
        </w:rPr>
        <w:t>CCD &amp; AGMD</w:t>
      </w:r>
      <w:r>
        <w:rPr>
          <w:rFonts w:ascii="Times New Roman" w:eastAsia="Times New Roman" w:hAnsi="Times New Roman" w:cs="Times New Roman"/>
          <w:b w:val="0"/>
          <w:color w:val="auto"/>
          <w:spacing w:val="-5"/>
          <w:kern w:val="36"/>
          <w:sz w:val="20"/>
          <w:szCs w:val="20"/>
          <w:lang w:val="en-AU" w:eastAsia="en-AU"/>
        </w:rPr>
        <w:t xml:space="preserve"> [2006] FamCA 1291 at [43].</w:t>
      </w:r>
    </w:p>
  </w:endnote>
  <w:endnote w:id="27">
    <w:p w14:paraId="36FBA851" w14:textId="2CDD6FF2" w:rsidR="00E16FC3" w:rsidRPr="00A0783B" w:rsidRDefault="00E16FC3" w:rsidP="00CA7A2E">
      <w:pPr>
        <w:pStyle w:val="EndnoteText"/>
        <w:spacing w:line="240" w:lineRule="auto"/>
      </w:pPr>
      <w:r w:rsidRPr="00A0783B">
        <w:rPr>
          <w:rStyle w:val="EndnoteReference"/>
        </w:rPr>
        <w:endnoteRef/>
      </w:r>
      <w:r w:rsidRPr="00A0783B">
        <w:t xml:space="preserve"> </w:t>
      </w:r>
      <w:r w:rsidRPr="00A0783B">
        <w:rPr>
          <w:i/>
          <w:color w:val="000000"/>
        </w:rPr>
        <w:t>Owen &amp; Owen</w:t>
      </w:r>
      <w:r w:rsidRPr="00A0783B">
        <w:rPr>
          <w:color w:val="000000"/>
        </w:rPr>
        <w:t xml:space="preserve"> [2015] FCCA 2823 at [39]</w:t>
      </w:r>
      <w:r>
        <w:rPr>
          <w:color w:val="000000"/>
        </w:rPr>
        <w:t>.</w:t>
      </w:r>
    </w:p>
  </w:endnote>
  <w:endnote w:id="28">
    <w:p w14:paraId="5AD9FFDD" w14:textId="23E11810" w:rsidR="00E16FC3" w:rsidRPr="00B5704F" w:rsidRDefault="00E16FC3" w:rsidP="00CA7A2E">
      <w:pPr>
        <w:spacing w:line="240" w:lineRule="auto"/>
        <w:rPr>
          <w:rFonts w:eastAsia="Times New Roman" w:cs="Times New Roman"/>
          <w:sz w:val="20"/>
          <w:szCs w:val="20"/>
          <w:lang w:val="en-AU"/>
        </w:rPr>
      </w:pPr>
      <w:r w:rsidRPr="00B5704F">
        <w:rPr>
          <w:rStyle w:val="EndnoteReference"/>
          <w:rFonts w:cs="Times New Roman"/>
          <w:sz w:val="20"/>
          <w:szCs w:val="20"/>
        </w:rPr>
        <w:endnoteRef/>
      </w:r>
      <w:r w:rsidRPr="00B5704F">
        <w:rPr>
          <w:rFonts w:cs="Times New Roman"/>
          <w:sz w:val="20"/>
          <w:szCs w:val="20"/>
        </w:rPr>
        <w:t xml:space="preserve"> First </w:t>
      </w:r>
      <w:r w:rsidRPr="00B5704F">
        <w:rPr>
          <w:rFonts w:eastAsia="Times New Roman" w:cs="Times New Roman"/>
          <w:i/>
          <w:iCs/>
          <w:color w:val="202020"/>
          <w:sz w:val="20"/>
          <w:szCs w:val="20"/>
          <w:shd w:val="clear" w:color="auto" w:fill="FFFFFF"/>
          <w:lang w:val="en-AU"/>
        </w:rPr>
        <w:t>In the Marriage of Doherty</w:t>
      </w:r>
      <w:r w:rsidRPr="00B5704F">
        <w:rPr>
          <w:rFonts w:eastAsia="Times New Roman" w:cs="Times New Roman"/>
          <w:color w:val="202020"/>
          <w:sz w:val="20"/>
          <w:szCs w:val="20"/>
          <w:shd w:val="clear" w:color="auto" w:fill="FFFFFF"/>
          <w:lang w:val="en-AU"/>
        </w:rPr>
        <w:t xml:space="preserve"> (1995) 20 Fam LR 137 </w:t>
      </w:r>
      <w:r w:rsidRPr="00CA7A2E">
        <w:rPr>
          <w:rFonts w:cs="Times New Roman"/>
          <w:iCs/>
          <w:color w:val="000000"/>
          <w:sz w:val="20"/>
          <w:szCs w:val="20"/>
        </w:rPr>
        <w:t>and then</w:t>
      </w:r>
      <w:r w:rsidRPr="00B5704F">
        <w:rPr>
          <w:rFonts w:cs="Times New Roman"/>
          <w:i/>
          <w:iCs/>
          <w:color w:val="000000"/>
          <w:sz w:val="20"/>
          <w:szCs w:val="20"/>
        </w:rPr>
        <w:t xml:space="preserve"> </w:t>
      </w:r>
      <w:r w:rsidRPr="00B5704F">
        <w:rPr>
          <w:rFonts w:cs="Times New Roman"/>
          <w:i/>
          <w:sz w:val="20"/>
          <w:szCs w:val="20"/>
        </w:rPr>
        <w:t>Marriage of Kennon</w:t>
      </w:r>
      <w:r w:rsidRPr="00B5704F">
        <w:rPr>
          <w:rFonts w:cs="Times New Roman"/>
          <w:sz w:val="20"/>
          <w:szCs w:val="20"/>
        </w:rPr>
        <w:t xml:space="preserve"> (1997) 22 Fam LR 1</w:t>
      </w:r>
      <w:r>
        <w:rPr>
          <w:rFonts w:cs="Times New Roman"/>
          <w:sz w:val="20"/>
          <w:szCs w:val="20"/>
        </w:rPr>
        <w:t>, 24.</w:t>
      </w:r>
    </w:p>
  </w:endnote>
  <w:endnote w:id="29">
    <w:p w14:paraId="2E725B45" w14:textId="77777777" w:rsidR="00E16FC3" w:rsidRPr="00A0783B" w:rsidRDefault="00E16FC3" w:rsidP="002F2C0E">
      <w:pPr>
        <w:spacing w:line="240" w:lineRule="auto"/>
        <w:rPr>
          <w:rFonts w:cs="Times New Roman"/>
          <w:sz w:val="20"/>
          <w:szCs w:val="20"/>
        </w:rPr>
      </w:pPr>
      <w:r w:rsidRPr="00A0783B">
        <w:rPr>
          <w:rStyle w:val="EndnoteReference"/>
          <w:rFonts w:cs="Times New Roman"/>
          <w:sz w:val="20"/>
          <w:szCs w:val="20"/>
        </w:rPr>
        <w:endnoteRef/>
      </w:r>
      <w:r w:rsidRPr="00A0783B">
        <w:rPr>
          <w:rFonts w:cs="Times New Roman"/>
          <w:sz w:val="20"/>
          <w:szCs w:val="20"/>
        </w:rPr>
        <w:t xml:space="preserve"> </w:t>
      </w:r>
      <w:r w:rsidRPr="00A0783B">
        <w:rPr>
          <w:rFonts w:cs="Times New Roman"/>
          <w:i/>
          <w:sz w:val="20"/>
          <w:szCs w:val="20"/>
        </w:rPr>
        <w:t>In the Marriage of Kennon</w:t>
      </w:r>
      <w:r w:rsidRPr="00A0783B">
        <w:rPr>
          <w:rFonts w:cs="Times New Roman"/>
          <w:sz w:val="20"/>
          <w:szCs w:val="20"/>
        </w:rPr>
        <w:t xml:space="preserve"> (1997) 22 Fam LR 1, 24 (Fogarty and Lindenmayer JJ) (emphasis added). In addition, in considering </w:t>
      </w:r>
      <w:r w:rsidRPr="00FD1D55">
        <w:rPr>
          <w:rFonts w:cs="Times New Roman"/>
          <w:sz w:val="20"/>
          <w:szCs w:val="20"/>
        </w:rPr>
        <w:t>FLA</w:t>
      </w:r>
      <w:r w:rsidRPr="00A0783B">
        <w:rPr>
          <w:rFonts w:cs="Times New Roman"/>
          <w:sz w:val="20"/>
          <w:szCs w:val="20"/>
        </w:rPr>
        <w:t xml:space="preserve"> s 75(2) factors</w:t>
      </w:r>
      <w:r>
        <w:rPr>
          <w:rFonts w:cs="Times New Roman"/>
          <w:sz w:val="20"/>
          <w:szCs w:val="20"/>
        </w:rPr>
        <w:t xml:space="preserve"> (the spousal maintenance factors also relevant to property settlement)</w:t>
      </w:r>
      <w:r w:rsidRPr="00A0783B">
        <w:rPr>
          <w:rFonts w:cs="Times New Roman"/>
          <w:sz w:val="20"/>
          <w:szCs w:val="20"/>
        </w:rPr>
        <w:t xml:space="preserve"> the court can look at any disability resulting from the violence</w:t>
      </w:r>
      <w:r>
        <w:rPr>
          <w:rFonts w:cs="Times New Roman"/>
          <w:sz w:val="20"/>
          <w:szCs w:val="20"/>
        </w:rPr>
        <w:t xml:space="preserve"> as a party’s capacity to work and physical and mental health are relevant factors</w:t>
      </w:r>
      <w:r w:rsidRPr="00A0783B">
        <w:rPr>
          <w:rFonts w:cs="Times New Roman"/>
          <w:sz w:val="20"/>
          <w:szCs w:val="20"/>
        </w:rPr>
        <w:t xml:space="preserve">. </w:t>
      </w:r>
      <w:r w:rsidRPr="00A0783B">
        <w:rPr>
          <w:rFonts w:cs="Times New Roman"/>
          <w:color w:val="000000"/>
          <w:sz w:val="20"/>
          <w:szCs w:val="20"/>
        </w:rPr>
        <w:t xml:space="preserve">The italicized phrases </w:t>
      </w:r>
      <w:r>
        <w:rPr>
          <w:rFonts w:cs="Times New Roman"/>
          <w:color w:val="000000"/>
          <w:sz w:val="20"/>
          <w:szCs w:val="20"/>
        </w:rPr>
        <w:t xml:space="preserve">highlight the </w:t>
      </w:r>
      <w:r w:rsidRPr="00A0783B">
        <w:rPr>
          <w:rFonts w:cs="Times New Roman"/>
          <w:color w:val="000000"/>
          <w:sz w:val="20"/>
          <w:szCs w:val="20"/>
        </w:rPr>
        <w:t>vague and indeterminate</w:t>
      </w:r>
      <w:r>
        <w:rPr>
          <w:rFonts w:cs="Times New Roman"/>
          <w:color w:val="000000"/>
          <w:sz w:val="20"/>
          <w:szCs w:val="20"/>
        </w:rPr>
        <w:t xml:space="preserve"> nature of this section</w:t>
      </w:r>
      <w:r w:rsidRPr="00A0783B">
        <w:rPr>
          <w:rFonts w:cs="Times New Roman"/>
          <w:color w:val="000000"/>
          <w:sz w:val="20"/>
          <w:szCs w:val="20"/>
        </w:rPr>
        <w:t>.</w:t>
      </w:r>
    </w:p>
  </w:endnote>
  <w:endnote w:id="30">
    <w:p w14:paraId="4A1E565B" w14:textId="155BFBB0" w:rsidR="00E16FC3" w:rsidRDefault="00E16FC3" w:rsidP="00814B0E">
      <w:pPr>
        <w:pStyle w:val="EndnoteText"/>
        <w:spacing w:line="240" w:lineRule="auto"/>
      </w:pPr>
      <w:r>
        <w:rPr>
          <w:rStyle w:val="EndnoteReference"/>
        </w:rPr>
        <w:endnoteRef/>
      </w:r>
      <w:r>
        <w:t xml:space="preserve"> (1997) 22 FamLR 1 at 24.</w:t>
      </w:r>
    </w:p>
  </w:endnote>
  <w:endnote w:id="31">
    <w:p w14:paraId="15A9DD1B" w14:textId="574E27B3" w:rsidR="00E16FC3" w:rsidRPr="00D573CB" w:rsidRDefault="00E16FC3" w:rsidP="00814B0E">
      <w:pPr>
        <w:pStyle w:val="EndnoteText"/>
        <w:spacing w:line="240" w:lineRule="auto"/>
        <w:rPr>
          <w:lang w:val="en-US"/>
        </w:rPr>
      </w:pPr>
      <w:r w:rsidRPr="00923AE9">
        <w:rPr>
          <w:rStyle w:val="EndnoteReference"/>
        </w:rPr>
        <w:endnoteRef/>
      </w:r>
      <w:r w:rsidRPr="00923AE9">
        <w:t xml:space="preserve"> </w:t>
      </w:r>
      <w:r w:rsidRPr="00814B0E">
        <w:t>A</w:t>
      </w:r>
      <w:r w:rsidRPr="002F2C0E">
        <w:t>t 24.</w:t>
      </w:r>
    </w:p>
  </w:endnote>
  <w:endnote w:id="32">
    <w:p w14:paraId="77920DE3" w14:textId="65EFB6F5" w:rsidR="00E16FC3" w:rsidRDefault="00E16FC3" w:rsidP="00814B0E">
      <w:pPr>
        <w:pStyle w:val="EndnoteText"/>
        <w:spacing w:line="240" w:lineRule="auto"/>
      </w:pPr>
      <w:r>
        <w:rPr>
          <w:rStyle w:val="EndnoteReference"/>
        </w:rPr>
        <w:endnoteRef/>
      </w:r>
      <w:r>
        <w:t xml:space="preserve"> At 24.</w:t>
      </w:r>
    </w:p>
  </w:endnote>
  <w:endnote w:id="33">
    <w:p w14:paraId="2332B08F" w14:textId="384AC579" w:rsidR="00E16FC3" w:rsidRDefault="00E16FC3" w:rsidP="00814B0E">
      <w:pPr>
        <w:pStyle w:val="EndnoteText"/>
        <w:spacing w:line="240" w:lineRule="auto"/>
      </w:pPr>
      <w:r>
        <w:rPr>
          <w:rStyle w:val="EndnoteReference"/>
        </w:rPr>
        <w:endnoteRef/>
      </w:r>
      <w:r>
        <w:t xml:space="preserve"> Ibid.</w:t>
      </w:r>
    </w:p>
  </w:endnote>
  <w:endnote w:id="34">
    <w:p w14:paraId="5EF32A59" w14:textId="58921DA9" w:rsidR="00E16FC3" w:rsidRDefault="00E16FC3" w:rsidP="00814B0E">
      <w:pPr>
        <w:pStyle w:val="EndnoteText"/>
        <w:spacing w:line="240" w:lineRule="auto"/>
      </w:pPr>
      <w:r>
        <w:rPr>
          <w:rStyle w:val="EndnoteReference"/>
        </w:rPr>
        <w:endnoteRef/>
      </w:r>
      <w:r>
        <w:t xml:space="preserve"> However, as P </w:t>
      </w:r>
      <w:r w:rsidRPr="00A0783B">
        <w:t>Easteal</w:t>
      </w:r>
      <w:r>
        <w:t xml:space="preserve"> et al. have </w:t>
      </w:r>
      <w:r w:rsidRPr="002F2C0E">
        <w:t xml:space="preserve">shown, some judges still apply a </w:t>
      </w:r>
      <w:r w:rsidRPr="00B45D12">
        <w:t xml:space="preserve">test of ‘exceptionality’, at </w:t>
      </w:r>
      <w:r>
        <w:t xml:space="preserve">(2014: </w:t>
      </w:r>
      <w:r w:rsidRPr="002F2C0E">
        <w:t>13-14</w:t>
      </w:r>
      <w:r>
        <w:t>)</w:t>
      </w:r>
      <w:r w:rsidRPr="002F2C0E">
        <w:t>.</w:t>
      </w:r>
      <w:r>
        <w:t xml:space="preserve"> Note the comment of Carmody J in </w:t>
      </w:r>
      <w:r w:rsidRPr="00B45D12">
        <w:rPr>
          <w:i/>
        </w:rPr>
        <w:t>Moore &amp; Moore</w:t>
      </w:r>
      <w:r>
        <w:t xml:space="preserve"> [2008] FamCA 32 at [284] to the effect that there is doubt as to the requirement of exceptionality.</w:t>
      </w:r>
    </w:p>
  </w:endnote>
  <w:endnote w:id="35">
    <w:p w14:paraId="7C98A635" w14:textId="0E58389D" w:rsidR="00E16FC3" w:rsidRPr="00A0783B" w:rsidRDefault="00E16FC3" w:rsidP="00814B0E">
      <w:pPr>
        <w:pStyle w:val="EndnoteText"/>
        <w:spacing w:line="240" w:lineRule="auto"/>
      </w:pPr>
      <w:r w:rsidRPr="00A0783B">
        <w:rPr>
          <w:rStyle w:val="EndnoteReference"/>
        </w:rPr>
        <w:endnoteRef/>
      </w:r>
      <w:r w:rsidRPr="00A0783B">
        <w:t xml:space="preserve"> </w:t>
      </w:r>
      <w:r w:rsidRPr="00F33A38">
        <w:t>See N</w:t>
      </w:r>
      <w:r>
        <w:t xml:space="preserve">ew </w:t>
      </w:r>
      <w:r w:rsidRPr="00F33A38">
        <w:t>S</w:t>
      </w:r>
      <w:r>
        <w:t xml:space="preserve">outh </w:t>
      </w:r>
      <w:r w:rsidRPr="00F33A38">
        <w:t>W</w:t>
      </w:r>
      <w:r>
        <w:t>ales</w:t>
      </w:r>
      <w:r w:rsidRPr="00F33A38">
        <w:t xml:space="preserve"> Law Reform Commission</w:t>
      </w:r>
      <w:r>
        <w:t xml:space="preserve"> (2006: 219)</w:t>
      </w:r>
      <w:r w:rsidRPr="00F33A38">
        <w:t xml:space="preserve"> for a</w:t>
      </w:r>
      <w:r w:rsidRPr="00814B0E">
        <w:t xml:space="preserve"> discussion of </w:t>
      </w:r>
      <w:r w:rsidRPr="00814B0E">
        <w:rPr>
          <w:i/>
        </w:rPr>
        <w:t>Kennon</w:t>
      </w:r>
      <w:r w:rsidRPr="00814B0E">
        <w:t xml:space="preserve"> and how it has been applied, or not, in de facto property matters in New South Wales.</w:t>
      </w:r>
      <w:r>
        <w:t xml:space="preserve"> See also Easteal et al., (2014: 9,12,18).</w:t>
      </w:r>
    </w:p>
  </w:endnote>
  <w:endnote w:id="36">
    <w:p w14:paraId="3C7F921B" w14:textId="7EC2C204" w:rsidR="00E16FC3" w:rsidRPr="00A0783B" w:rsidRDefault="00E16FC3" w:rsidP="00814B0E">
      <w:pPr>
        <w:pStyle w:val="EndnoteText"/>
        <w:spacing w:line="240" w:lineRule="auto"/>
      </w:pPr>
      <w:r w:rsidRPr="00A0783B">
        <w:rPr>
          <w:rStyle w:val="EndnoteReference"/>
        </w:rPr>
        <w:endnoteRef/>
      </w:r>
      <w:r w:rsidRPr="00A0783B">
        <w:t xml:space="preserve"> Brewster FM outlined his reasons in detail in </w:t>
      </w:r>
      <w:r w:rsidRPr="00A0783B">
        <w:rPr>
          <w:i/>
        </w:rPr>
        <w:t xml:space="preserve">Palmer v Palmer </w:t>
      </w:r>
      <w:r w:rsidRPr="00A0783B">
        <w:t xml:space="preserve">(2010) 244 FLR 121, 131-136 and as an addendum in </w:t>
      </w:r>
      <w:r w:rsidRPr="00A0783B">
        <w:rPr>
          <w:i/>
        </w:rPr>
        <w:t xml:space="preserve">Brandow v Brandow </w:t>
      </w:r>
      <w:r w:rsidRPr="00A0783B">
        <w:t xml:space="preserve">[2010] FMCAfam 1026, [27]. In </w:t>
      </w:r>
      <w:r w:rsidRPr="00A0783B">
        <w:rPr>
          <w:i/>
        </w:rPr>
        <w:t xml:space="preserve">Palmer v Palmer </w:t>
      </w:r>
      <w:r w:rsidRPr="00A0783B">
        <w:t>(2010) 244 FLR 121</w:t>
      </w:r>
      <w:r>
        <w:t xml:space="preserve"> at</w:t>
      </w:r>
      <w:r w:rsidRPr="00A0783B">
        <w:t xml:space="preserve"> </w:t>
      </w:r>
      <w:r>
        <w:t>[</w:t>
      </w:r>
      <w:r w:rsidRPr="00A0783B">
        <w:t>134-135</w:t>
      </w:r>
      <w:r>
        <w:t>]</w:t>
      </w:r>
      <w:r w:rsidRPr="00A0783B">
        <w:t xml:space="preserve">, his Honour suggested that, if violence is to be relevant to contributions, perhaps a more appropriate consideration would be to reduce the contributions of the perpetrator to the welfare of the family, rather than to increase the weight of the victim’s contributions. </w:t>
      </w:r>
    </w:p>
  </w:endnote>
  <w:endnote w:id="37">
    <w:p w14:paraId="0514FA71" w14:textId="1B07D513" w:rsidR="00E16FC3" w:rsidRPr="00A0783B" w:rsidRDefault="00E16FC3" w:rsidP="00814B0E">
      <w:pPr>
        <w:pStyle w:val="EndnoteText"/>
        <w:spacing w:line="240" w:lineRule="auto"/>
      </w:pPr>
      <w:r w:rsidRPr="00A0783B">
        <w:rPr>
          <w:rStyle w:val="EndnoteReference"/>
        </w:rPr>
        <w:endnoteRef/>
      </w:r>
      <w:r w:rsidRPr="00A0783B">
        <w:t xml:space="preserve"> </w:t>
      </w:r>
      <w:r w:rsidRPr="00A0783B">
        <w:rPr>
          <w:i/>
        </w:rPr>
        <w:t xml:space="preserve">Palmer v Palmer </w:t>
      </w:r>
      <w:r>
        <w:t>(2010) 244 FLR 121 at</w:t>
      </w:r>
      <w:r w:rsidRPr="00A0783B">
        <w:t xml:space="preserve"> 135.</w:t>
      </w:r>
    </w:p>
  </w:endnote>
  <w:endnote w:id="38">
    <w:p w14:paraId="08968115" w14:textId="77777777" w:rsidR="00E16FC3" w:rsidRPr="00A0783B" w:rsidRDefault="00E16FC3" w:rsidP="002C12FE">
      <w:pPr>
        <w:pStyle w:val="EndnoteText"/>
        <w:spacing w:line="240" w:lineRule="auto"/>
      </w:pPr>
      <w:r w:rsidRPr="00A0783B">
        <w:rPr>
          <w:rStyle w:val="EndnoteReference"/>
        </w:rPr>
        <w:endnoteRef/>
      </w:r>
      <w:r w:rsidRPr="00A0783B">
        <w:t xml:space="preserve"> </w:t>
      </w:r>
      <w:r w:rsidRPr="00A0783B">
        <w:rPr>
          <w:i/>
          <w:color w:val="000000"/>
        </w:rPr>
        <w:t>Maine &amp; Maine</w:t>
      </w:r>
      <w:r w:rsidRPr="00A0783B">
        <w:rPr>
          <w:color w:val="000000"/>
        </w:rPr>
        <w:t xml:space="preserve"> [2016] FamCAFC 270 </w:t>
      </w:r>
      <w:r w:rsidRPr="00A0783B">
        <w:t>at 52.</w:t>
      </w:r>
    </w:p>
  </w:endnote>
  <w:endnote w:id="39">
    <w:p w14:paraId="2EEFA510" w14:textId="59E21B81" w:rsidR="00E16FC3" w:rsidRPr="0054358F" w:rsidRDefault="00E16FC3">
      <w:pPr>
        <w:widowControl w:val="0"/>
        <w:autoSpaceDE w:val="0"/>
        <w:autoSpaceDN w:val="0"/>
        <w:adjustRightInd w:val="0"/>
        <w:spacing w:line="240" w:lineRule="auto"/>
        <w:rPr>
          <w:rFonts w:cs="Times New Roman"/>
          <w:color w:val="000000"/>
          <w:sz w:val="20"/>
          <w:szCs w:val="20"/>
        </w:rPr>
      </w:pPr>
      <w:r w:rsidRPr="0054358F">
        <w:rPr>
          <w:rStyle w:val="EndnoteReference"/>
          <w:rFonts w:cs="Times New Roman"/>
          <w:sz w:val="20"/>
          <w:szCs w:val="20"/>
        </w:rPr>
        <w:endnoteRef/>
      </w:r>
      <w:r w:rsidRPr="0054358F">
        <w:rPr>
          <w:rFonts w:cs="Times New Roman"/>
          <w:sz w:val="20"/>
          <w:szCs w:val="20"/>
        </w:rPr>
        <w:t xml:space="preserve"> </w:t>
      </w:r>
      <w:r w:rsidRPr="0054358F">
        <w:rPr>
          <w:rFonts w:cs="Times New Roman"/>
          <w:color w:val="000000"/>
          <w:sz w:val="20"/>
          <w:szCs w:val="20"/>
        </w:rPr>
        <w:t>O</w:t>
      </w:r>
      <w:r>
        <w:rPr>
          <w:rFonts w:cs="Times New Roman"/>
          <w:color w:val="000000"/>
          <w:sz w:val="20"/>
          <w:szCs w:val="20"/>
        </w:rPr>
        <w:t>nly one out of the 17 successful matters in the 2001 sample identified</w:t>
      </w:r>
      <w:r w:rsidRPr="0054358F">
        <w:rPr>
          <w:rFonts w:cs="Times New Roman"/>
          <w:color w:val="000000"/>
          <w:sz w:val="20"/>
          <w:szCs w:val="20"/>
        </w:rPr>
        <w:t xml:space="preserve"> the specific percentage increase (5%)</w:t>
      </w:r>
      <w:r>
        <w:rPr>
          <w:rFonts w:cs="Times New Roman"/>
          <w:color w:val="000000"/>
          <w:sz w:val="20"/>
          <w:szCs w:val="20"/>
        </w:rPr>
        <w:t xml:space="preserve">: Middleton (2001: 231). </w:t>
      </w:r>
    </w:p>
  </w:endnote>
  <w:endnote w:id="40">
    <w:p w14:paraId="3A9C1A19" w14:textId="33308A3D" w:rsidR="00E16FC3" w:rsidRPr="0056763B" w:rsidRDefault="00E16FC3" w:rsidP="00814B0E">
      <w:pPr>
        <w:pStyle w:val="EndnoteText"/>
        <w:spacing w:line="240" w:lineRule="auto"/>
        <w:rPr>
          <w:lang w:val="en-US"/>
        </w:rPr>
      </w:pPr>
      <w:r>
        <w:rPr>
          <w:rStyle w:val="EndnoteReference"/>
        </w:rPr>
        <w:endnoteRef/>
      </w:r>
      <w:r>
        <w:t xml:space="preserve"> </w:t>
      </w:r>
      <w:r w:rsidRPr="0056763B">
        <w:rPr>
          <w:i/>
          <w:color w:val="000000"/>
        </w:rPr>
        <w:t>Charlton &amp; Charlton</w:t>
      </w:r>
      <w:r w:rsidRPr="00A0783B">
        <w:rPr>
          <w:color w:val="000000"/>
        </w:rPr>
        <w:t xml:space="preserve"> [2016] FCCA 1846 at</w:t>
      </w:r>
      <w:r>
        <w:rPr>
          <w:color w:val="000000"/>
        </w:rPr>
        <w:t xml:space="preserve"> [314]. </w:t>
      </w:r>
    </w:p>
  </w:endnote>
  <w:endnote w:id="41">
    <w:p w14:paraId="008D7445" w14:textId="68342744" w:rsidR="00E16FC3" w:rsidRPr="00837EBE" w:rsidRDefault="00E16FC3" w:rsidP="00814B0E">
      <w:pPr>
        <w:pStyle w:val="EndnoteText"/>
        <w:spacing w:line="240" w:lineRule="auto"/>
        <w:rPr>
          <w:lang w:val="en-US"/>
        </w:rPr>
      </w:pPr>
      <w:r>
        <w:rPr>
          <w:rStyle w:val="EndnoteReference"/>
        </w:rPr>
        <w:endnoteRef/>
      </w:r>
      <w:r>
        <w:t xml:space="preserve"> </w:t>
      </w:r>
      <w:r w:rsidRPr="00A0783B">
        <w:rPr>
          <w:i/>
        </w:rPr>
        <w:t xml:space="preserve">Stevens v Stevens </w:t>
      </w:r>
      <w:r w:rsidRPr="00A0783B">
        <w:t>(2005) FLC 93-246</w:t>
      </w:r>
      <w:r>
        <w:t xml:space="preserve"> at [65].</w:t>
      </w:r>
    </w:p>
  </w:endnote>
  <w:endnote w:id="42">
    <w:p w14:paraId="4D35EBCF" w14:textId="77777777" w:rsidR="00E16FC3" w:rsidRPr="00A0783B" w:rsidRDefault="00E16FC3" w:rsidP="00814B0E">
      <w:pPr>
        <w:pStyle w:val="EndnoteText"/>
        <w:spacing w:line="240" w:lineRule="auto"/>
      </w:pPr>
      <w:r w:rsidRPr="00A0783B">
        <w:rPr>
          <w:rStyle w:val="EndnoteReference"/>
        </w:rPr>
        <w:endnoteRef/>
      </w:r>
      <w:r w:rsidRPr="00A0783B">
        <w:t xml:space="preserve"> </w:t>
      </w:r>
      <w:r w:rsidRPr="00C13834">
        <w:rPr>
          <w:i/>
          <w:color w:val="000000"/>
        </w:rPr>
        <w:t>Hunter &amp; Hunter</w:t>
      </w:r>
      <w:r w:rsidRPr="00A0783B">
        <w:rPr>
          <w:color w:val="000000"/>
        </w:rPr>
        <w:t xml:space="preserve"> [2015] FamCA 1075 at </w:t>
      </w:r>
      <w:r>
        <w:rPr>
          <w:color w:val="000000"/>
        </w:rPr>
        <w:t>[</w:t>
      </w:r>
      <w:r w:rsidRPr="00A0783B">
        <w:rPr>
          <w:color w:val="000000"/>
        </w:rPr>
        <w:t>235</w:t>
      </w:r>
      <w:r>
        <w:rPr>
          <w:color w:val="000000"/>
        </w:rPr>
        <w:t>].</w:t>
      </w:r>
    </w:p>
  </w:endnote>
  <w:endnote w:id="43">
    <w:p w14:paraId="2E735246" w14:textId="3A71B2BE" w:rsidR="00E16FC3" w:rsidRDefault="00E16FC3" w:rsidP="00814B0E">
      <w:pPr>
        <w:pStyle w:val="EndnoteText"/>
        <w:spacing w:line="240" w:lineRule="auto"/>
      </w:pPr>
      <w:r>
        <w:rPr>
          <w:rStyle w:val="EndnoteReference"/>
        </w:rPr>
        <w:endnoteRef/>
      </w:r>
      <w:r>
        <w:t xml:space="preserve"> At [238].</w:t>
      </w:r>
    </w:p>
  </w:endnote>
  <w:endnote w:id="44">
    <w:p w14:paraId="542A2EDA" w14:textId="5CA4B0DE" w:rsidR="00E16FC3" w:rsidRPr="00A0783B" w:rsidRDefault="00E16FC3" w:rsidP="00814B0E">
      <w:pPr>
        <w:pStyle w:val="EndnoteText"/>
        <w:spacing w:line="240" w:lineRule="auto"/>
      </w:pPr>
      <w:r w:rsidRPr="00A0783B">
        <w:rPr>
          <w:rStyle w:val="EndnoteReference"/>
        </w:rPr>
        <w:endnoteRef/>
      </w:r>
      <w:r w:rsidRPr="00A0783B">
        <w:t xml:space="preserve"> </w:t>
      </w:r>
      <w:r w:rsidRPr="00C13834">
        <w:rPr>
          <w:i/>
          <w:color w:val="000000"/>
        </w:rPr>
        <w:t>Hunter &amp; Hunter</w:t>
      </w:r>
      <w:r w:rsidRPr="00A0783B">
        <w:rPr>
          <w:color w:val="000000"/>
        </w:rPr>
        <w:t xml:space="preserve"> [2015] FamCA 1075 at </w:t>
      </w:r>
      <w:r>
        <w:rPr>
          <w:color w:val="000000"/>
        </w:rPr>
        <w:t>[</w:t>
      </w:r>
      <w:r w:rsidRPr="00A0783B">
        <w:rPr>
          <w:color w:val="000000"/>
        </w:rPr>
        <w:t>239</w:t>
      </w:r>
      <w:r>
        <w:rPr>
          <w:color w:val="000000"/>
        </w:rPr>
        <w:t>].</w:t>
      </w:r>
    </w:p>
  </w:endnote>
  <w:endnote w:id="45">
    <w:p w14:paraId="0C8BECE2" w14:textId="6515AD42" w:rsidR="00E16FC3" w:rsidRDefault="00E16FC3" w:rsidP="00814B0E">
      <w:pPr>
        <w:pStyle w:val="EndnoteText"/>
        <w:spacing w:line="240" w:lineRule="auto"/>
      </w:pPr>
      <w:r>
        <w:rPr>
          <w:rStyle w:val="EndnoteReference"/>
        </w:rPr>
        <w:endnoteRef/>
      </w:r>
      <w:r>
        <w:t xml:space="preserve"> At [16].</w:t>
      </w:r>
    </w:p>
  </w:endnote>
  <w:endnote w:id="46">
    <w:p w14:paraId="4AD6044C" w14:textId="0A4ABC58" w:rsidR="00E16FC3" w:rsidRPr="00A0783B" w:rsidRDefault="00E16FC3" w:rsidP="00814B0E">
      <w:pPr>
        <w:pStyle w:val="EndnoteText"/>
        <w:spacing w:line="240" w:lineRule="auto"/>
      </w:pPr>
      <w:r w:rsidRPr="00A0783B">
        <w:rPr>
          <w:rStyle w:val="EndnoteReference"/>
        </w:rPr>
        <w:endnoteRef/>
      </w:r>
      <w:r w:rsidRPr="00A0783B">
        <w:t xml:space="preserve"> </w:t>
      </w:r>
      <w:r w:rsidRPr="00C13834">
        <w:rPr>
          <w:i/>
          <w:color w:val="000000"/>
        </w:rPr>
        <w:t>Tumlin &amp; Tumlin</w:t>
      </w:r>
      <w:r w:rsidRPr="00A0783B">
        <w:rPr>
          <w:color w:val="000000"/>
        </w:rPr>
        <w:t xml:space="preserve"> [2016] FamCA 944 at </w:t>
      </w:r>
      <w:r>
        <w:rPr>
          <w:color w:val="000000"/>
        </w:rPr>
        <w:t>[</w:t>
      </w:r>
      <w:r w:rsidRPr="00A0783B">
        <w:rPr>
          <w:color w:val="000000"/>
        </w:rPr>
        <w:t>236</w:t>
      </w:r>
      <w:r>
        <w:rPr>
          <w:color w:val="000000"/>
        </w:rPr>
        <w:t>] (emphasis added).</w:t>
      </w:r>
    </w:p>
  </w:endnote>
  <w:endnote w:id="47">
    <w:p w14:paraId="3F8AEC85" w14:textId="290C3052" w:rsidR="00E16FC3" w:rsidRPr="00A0783B" w:rsidRDefault="00E16FC3" w:rsidP="00814B0E">
      <w:pPr>
        <w:widowControl w:val="0"/>
        <w:tabs>
          <w:tab w:val="left" w:pos="220"/>
          <w:tab w:val="left" w:pos="720"/>
        </w:tabs>
        <w:autoSpaceDE w:val="0"/>
        <w:autoSpaceDN w:val="0"/>
        <w:adjustRightInd w:val="0"/>
        <w:spacing w:line="240" w:lineRule="auto"/>
        <w:rPr>
          <w:rFonts w:cs="Times New Roman"/>
          <w:color w:val="000000"/>
          <w:sz w:val="20"/>
          <w:szCs w:val="20"/>
        </w:rPr>
      </w:pPr>
      <w:r w:rsidRPr="00A0783B">
        <w:rPr>
          <w:rStyle w:val="EndnoteReference"/>
          <w:rFonts w:cs="Times New Roman"/>
          <w:sz w:val="20"/>
          <w:szCs w:val="20"/>
        </w:rPr>
        <w:endnoteRef/>
      </w:r>
      <w:r w:rsidRPr="00A0783B">
        <w:rPr>
          <w:rFonts w:cs="Times New Roman"/>
          <w:sz w:val="20"/>
          <w:szCs w:val="20"/>
        </w:rPr>
        <w:t xml:space="preserve"> </w:t>
      </w:r>
      <w:r w:rsidRPr="00A0783B">
        <w:rPr>
          <w:rFonts w:cs="Times New Roman"/>
          <w:color w:val="000000"/>
          <w:sz w:val="20"/>
          <w:szCs w:val="20"/>
        </w:rPr>
        <w:t>(2012) 259 FLR 122; [2012] FamCAFC 18</w:t>
      </w:r>
      <w:r>
        <w:rPr>
          <w:rFonts w:cs="Times New Roman"/>
          <w:color w:val="000000"/>
          <w:sz w:val="20"/>
          <w:szCs w:val="20"/>
        </w:rPr>
        <w:t xml:space="preserve"> </w:t>
      </w:r>
      <w:r w:rsidRPr="00DC75C6">
        <w:rPr>
          <w:rFonts w:cs="Times New Roman"/>
          <w:color w:val="000000"/>
          <w:sz w:val="20"/>
          <w:szCs w:val="20"/>
        </w:rPr>
        <w:t>per Diana Bryant CJ, Ian Coleman and Ann Ainslie-Wallace JJ</w:t>
      </w:r>
      <w:r>
        <w:rPr>
          <w:rFonts w:cs="Times New Roman"/>
          <w:color w:val="000000"/>
          <w:sz w:val="20"/>
          <w:szCs w:val="20"/>
        </w:rPr>
        <w:t xml:space="preserve">. </w:t>
      </w:r>
    </w:p>
  </w:endnote>
  <w:endnote w:id="48">
    <w:p w14:paraId="4FA0752B" w14:textId="204176ED" w:rsidR="00E16FC3" w:rsidRPr="00A0783B" w:rsidRDefault="00E16FC3" w:rsidP="00814B0E">
      <w:pPr>
        <w:pStyle w:val="EndnoteText"/>
        <w:spacing w:line="240" w:lineRule="auto"/>
      </w:pPr>
      <w:r w:rsidRPr="00A0783B">
        <w:rPr>
          <w:rStyle w:val="EndnoteReference"/>
        </w:rPr>
        <w:endnoteRef/>
      </w:r>
      <w:r w:rsidRPr="00A0783B">
        <w:t xml:space="preserve"> </w:t>
      </w:r>
      <w:r w:rsidRPr="00A0783B">
        <w:rPr>
          <w:i/>
          <w:iCs/>
          <w:color w:val="000000"/>
        </w:rPr>
        <w:t xml:space="preserve">Baranski &amp; Baranski </w:t>
      </w:r>
      <w:r w:rsidRPr="00A0783B">
        <w:rPr>
          <w:color w:val="000000"/>
        </w:rPr>
        <w:t>(2012) 259 FLR 122; [2012] FamCAFC 18 at [259].</w:t>
      </w:r>
    </w:p>
  </w:endnote>
  <w:endnote w:id="49">
    <w:p w14:paraId="12F2C1A9" w14:textId="003F3397" w:rsidR="00E16FC3" w:rsidRPr="00A0783B" w:rsidRDefault="00E16FC3" w:rsidP="00814B0E">
      <w:pPr>
        <w:pStyle w:val="EndnoteText"/>
        <w:spacing w:line="240" w:lineRule="auto"/>
      </w:pPr>
      <w:r w:rsidRPr="00A0783B">
        <w:rPr>
          <w:rStyle w:val="EndnoteReference"/>
        </w:rPr>
        <w:endnoteRef/>
      </w:r>
      <w:r w:rsidRPr="00A0783B">
        <w:t xml:space="preserve"> </w:t>
      </w:r>
      <w:r w:rsidRPr="00FC34D3">
        <w:rPr>
          <w:i/>
          <w:color w:val="000000"/>
        </w:rPr>
        <w:t>Owen &amp; Owen</w:t>
      </w:r>
      <w:r w:rsidRPr="00A0783B">
        <w:rPr>
          <w:color w:val="000000"/>
        </w:rPr>
        <w:t xml:space="preserve"> [2015] FCCA 2823 at </w:t>
      </w:r>
      <w:r>
        <w:rPr>
          <w:color w:val="000000"/>
        </w:rPr>
        <w:t>[40], [</w:t>
      </w:r>
      <w:r w:rsidRPr="00A0783B">
        <w:rPr>
          <w:color w:val="000000"/>
        </w:rPr>
        <w:t>43</w:t>
      </w:r>
      <w:r>
        <w:rPr>
          <w:color w:val="000000"/>
        </w:rPr>
        <w:t>]</w:t>
      </w:r>
      <w:r w:rsidRPr="00A0783B">
        <w:rPr>
          <w:color w:val="000000"/>
        </w:rPr>
        <w:t xml:space="preserve"> and </w:t>
      </w:r>
      <w:r>
        <w:rPr>
          <w:color w:val="000000"/>
        </w:rPr>
        <w:t>[</w:t>
      </w:r>
      <w:r w:rsidRPr="00A0783B">
        <w:rPr>
          <w:color w:val="000000"/>
        </w:rPr>
        <w:t>48</w:t>
      </w:r>
      <w:r>
        <w:rPr>
          <w:color w:val="000000"/>
        </w:rPr>
        <w:t>].</w:t>
      </w:r>
      <w:r w:rsidRPr="00A0783B">
        <w:rPr>
          <w:color w:val="000000"/>
        </w:rPr>
        <w:t xml:space="preserve"> </w:t>
      </w:r>
    </w:p>
  </w:endnote>
  <w:endnote w:id="50">
    <w:p w14:paraId="05F2775C" w14:textId="415E26A9" w:rsidR="00E16FC3" w:rsidRPr="00E937CA" w:rsidRDefault="00E16FC3" w:rsidP="00814B0E">
      <w:pPr>
        <w:pStyle w:val="Heading2"/>
        <w:spacing w:after="0" w:line="240" w:lineRule="auto"/>
        <w:jc w:val="left"/>
        <w:rPr>
          <w:rFonts w:eastAsia="Times New Roman"/>
          <w:color w:val="000000"/>
          <w:sz w:val="20"/>
          <w:szCs w:val="20"/>
        </w:rPr>
      </w:pPr>
      <w:r w:rsidRPr="00E937CA">
        <w:rPr>
          <w:rStyle w:val="EndnoteReference"/>
          <w:sz w:val="20"/>
          <w:szCs w:val="20"/>
        </w:rPr>
        <w:endnoteRef/>
      </w:r>
      <w:r w:rsidRPr="00E937CA">
        <w:rPr>
          <w:sz w:val="20"/>
          <w:szCs w:val="20"/>
        </w:rPr>
        <w:t xml:space="preserve"> </w:t>
      </w:r>
      <w:r w:rsidRPr="00E937CA">
        <w:rPr>
          <w:i/>
          <w:iCs/>
          <w:color w:val="000000"/>
          <w:sz w:val="20"/>
          <w:szCs w:val="20"/>
        </w:rPr>
        <w:t>Spagnardi &amp; Spagnardi</w:t>
      </w:r>
      <w:r>
        <w:rPr>
          <w:iCs/>
          <w:color w:val="000000"/>
          <w:sz w:val="20"/>
          <w:szCs w:val="20"/>
        </w:rPr>
        <w:t>,</w:t>
      </w:r>
      <w:r w:rsidRPr="00E937CA">
        <w:rPr>
          <w:i/>
          <w:iCs/>
          <w:color w:val="000000"/>
          <w:sz w:val="20"/>
          <w:szCs w:val="20"/>
        </w:rPr>
        <w:t xml:space="preserve"> </w:t>
      </w:r>
      <w:r w:rsidRPr="00E937CA">
        <w:rPr>
          <w:color w:val="000000"/>
          <w:sz w:val="20"/>
          <w:szCs w:val="20"/>
        </w:rPr>
        <w:t xml:space="preserve">cited as </w:t>
      </w:r>
      <w:r w:rsidRPr="00874531">
        <w:rPr>
          <w:rFonts w:eastAsia="Times New Roman"/>
          <w:i/>
          <w:color w:val="000000"/>
          <w:sz w:val="20"/>
          <w:szCs w:val="20"/>
        </w:rPr>
        <w:t>S &amp; S</w:t>
      </w:r>
      <w:r w:rsidRPr="00E937CA">
        <w:rPr>
          <w:rFonts w:eastAsia="Times New Roman"/>
          <w:color w:val="000000"/>
          <w:sz w:val="20"/>
          <w:szCs w:val="20"/>
        </w:rPr>
        <w:t xml:space="preserve"> [2003] FamCA 905</w:t>
      </w:r>
      <w:r w:rsidRPr="00E937CA">
        <w:rPr>
          <w:rStyle w:val="apple-converted-space"/>
          <w:rFonts w:eastAsia="Times New Roman"/>
          <w:color w:val="000000"/>
          <w:sz w:val="20"/>
          <w:szCs w:val="20"/>
        </w:rPr>
        <w:t> </w:t>
      </w:r>
      <w:r>
        <w:rPr>
          <w:rStyle w:val="apple-converted-space"/>
          <w:rFonts w:eastAsia="Times New Roman"/>
          <w:color w:val="000000"/>
          <w:sz w:val="20"/>
          <w:szCs w:val="20"/>
        </w:rPr>
        <w:t>at [45].</w:t>
      </w:r>
    </w:p>
  </w:endnote>
  <w:endnote w:id="51">
    <w:p w14:paraId="41D9C59C" w14:textId="77777777" w:rsidR="00E16FC3" w:rsidRDefault="00E16FC3" w:rsidP="00814B0E">
      <w:pPr>
        <w:pStyle w:val="EndnoteText"/>
        <w:spacing w:line="240" w:lineRule="auto"/>
      </w:pPr>
      <w:r>
        <w:rPr>
          <w:rStyle w:val="EndnoteReference"/>
        </w:rPr>
        <w:endnoteRef/>
      </w:r>
      <w:r>
        <w:t xml:space="preserve"> Ibid at [47].</w:t>
      </w:r>
    </w:p>
  </w:endnote>
  <w:endnote w:id="52">
    <w:p w14:paraId="25385AAE" w14:textId="7E04CB43" w:rsidR="00E16FC3" w:rsidRPr="00A0783B" w:rsidRDefault="00E16FC3" w:rsidP="00A656BB">
      <w:pPr>
        <w:pStyle w:val="EndnoteText"/>
        <w:spacing w:line="240" w:lineRule="auto"/>
        <w:jc w:val="both"/>
        <w:rPr>
          <w:color w:val="000000"/>
        </w:rPr>
      </w:pPr>
      <w:r w:rsidRPr="00A0783B">
        <w:rPr>
          <w:rStyle w:val="EndnoteReference"/>
        </w:rPr>
        <w:endnoteRef/>
      </w:r>
      <w:r w:rsidRPr="00A0783B">
        <w:t xml:space="preserve"> </w:t>
      </w:r>
      <w:r w:rsidRPr="0056763B">
        <w:rPr>
          <w:i/>
          <w:color w:val="000000"/>
        </w:rPr>
        <w:t>Charlton &amp; Charlton</w:t>
      </w:r>
      <w:r w:rsidRPr="00A0783B">
        <w:rPr>
          <w:color w:val="000000"/>
        </w:rPr>
        <w:t xml:space="preserve"> [2016] FCCA 1846 at </w:t>
      </w:r>
      <w:r>
        <w:rPr>
          <w:color w:val="000000"/>
        </w:rPr>
        <w:t>[</w:t>
      </w:r>
      <w:r w:rsidRPr="00A0783B">
        <w:rPr>
          <w:color w:val="000000"/>
        </w:rPr>
        <w:t>290</w:t>
      </w:r>
      <w:r>
        <w:rPr>
          <w:color w:val="000000"/>
        </w:rPr>
        <w:t>]</w:t>
      </w:r>
      <w:r w:rsidRPr="00A0783B">
        <w:rPr>
          <w:color w:val="000000"/>
        </w:rPr>
        <w:t xml:space="preserve">. </w:t>
      </w:r>
    </w:p>
  </w:endnote>
  <w:endnote w:id="53">
    <w:p w14:paraId="7DFB98FA" w14:textId="53756CB6" w:rsidR="00E16FC3" w:rsidRPr="004E1697" w:rsidRDefault="00E16FC3" w:rsidP="00A656BB">
      <w:pPr>
        <w:pStyle w:val="EndnoteText"/>
        <w:spacing w:line="240" w:lineRule="auto"/>
        <w:jc w:val="both"/>
        <w:rPr>
          <w:color w:val="000000"/>
        </w:rPr>
      </w:pPr>
      <w:r w:rsidRPr="00A0783B">
        <w:rPr>
          <w:rStyle w:val="EndnoteReference"/>
        </w:rPr>
        <w:endnoteRef/>
      </w:r>
      <w:r w:rsidRPr="00A0783B">
        <w:t xml:space="preserve"> </w:t>
      </w:r>
      <w:r w:rsidRPr="004E1697">
        <w:rPr>
          <w:i/>
          <w:color w:val="000000"/>
        </w:rPr>
        <w:t>Gillard &amp; Gillard and Anor</w:t>
      </w:r>
      <w:r w:rsidRPr="00A0783B">
        <w:rPr>
          <w:color w:val="000000"/>
        </w:rPr>
        <w:t xml:space="preserve"> [2016] FamCA 841 at </w:t>
      </w:r>
      <w:r>
        <w:rPr>
          <w:color w:val="000000"/>
        </w:rPr>
        <w:t>[</w:t>
      </w:r>
      <w:r w:rsidRPr="00A0783B">
        <w:rPr>
          <w:color w:val="000000"/>
        </w:rPr>
        <w:t>214</w:t>
      </w:r>
      <w:r>
        <w:rPr>
          <w:color w:val="000000"/>
        </w:rPr>
        <w:t>]</w:t>
      </w:r>
      <w:r w:rsidRPr="00A0783B">
        <w:rPr>
          <w:color w:val="000000"/>
        </w:rPr>
        <w:t>.</w:t>
      </w:r>
      <w:r>
        <w:rPr>
          <w:color w:val="000000"/>
        </w:rPr>
        <w:t xml:space="preserve"> </w:t>
      </w:r>
    </w:p>
  </w:endnote>
  <w:endnote w:id="54">
    <w:p w14:paraId="6764FFBF" w14:textId="70FDF603" w:rsidR="00E16FC3" w:rsidRPr="00A0783B" w:rsidRDefault="00E16FC3" w:rsidP="00BB213B">
      <w:pPr>
        <w:pStyle w:val="EndnoteText"/>
        <w:spacing w:line="240" w:lineRule="auto"/>
      </w:pPr>
      <w:r w:rsidRPr="00A0783B">
        <w:rPr>
          <w:rStyle w:val="EndnoteReference"/>
        </w:rPr>
        <w:endnoteRef/>
      </w:r>
      <w:r w:rsidRPr="00A0783B">
        <w:t xml:space="preserve"> </w:t>
      </w:r>
      <w:r w:rsidRPr="00A0783B">
        <w:rPr>
          <w:bCs/>
          <w:i/>
          <w:color w:val="000000"/>
        </w:rPr>
        <w:t>Prasad &amp; Shan</w:t>
      </w:r>
      <w:r>
        <w:rPr>
          <w:bCs/>
          <w:color w:val="000000"/>
        </w:rPr>
        <w:t xml:space="preserve"> [2015] FCCA 2801 at 181 (emphasis added).</w:t>
      </w:r>
    </w:p>
  </w:endnote>
  <w:endnote w:id="55">
    <w:p w14:paraId="58E5F334" w14:textId="338983B8" w:rsidR="00E16FC3" w:rsidRDefault="00E16FC3" w:rsidP="00BB213B">
      <w:pPr>
        <w:pStyle w:val="EndnoteText"/>
        <w:spacing w:line="240" w:lineRule="auto"/>
      </w:pPr>
      <w:r>
        <w:rPr>
          <w:rStyle w:val="EndnoteReference"/>
        </w:rPr>
        <w:endnoteRef/>
      </w:r>
      <w:r>
        <w:t xml:space="preserve"> At [95]. The same judge reiterated this view in </w:t>
      </w:r>
      <w:r w:rsidRPr="00FE4EC8">
        <w:rPr>
          <w:bCs/>
          <w:i/>
          <w:color w:val="000000"/>
        </w:rPr>
        <w:t>Sedgley &amp; Irvine</w:t>
      </w:r>
      <w:r>
        <w:rPr>
          <w:bCs/>
          <w:color w:val="000000"/>
        </w:rPr>
        <w:t xml:space="preserve"> [2016] FCCA 2902.</w:t>
      </w:r>
    </w:p>
  </w:endnote>
  <w:endnote w:id="56">
    <w:p w14:paraId="08AFF9AC" w14:textId="495696F2" w:rsidR="00E16FC3" w:rsidRPr="00A0783B" w:rsidRDefault="00E16FC3" w:rsidP="00BB213B">
      <w:pPr>
        <w:spacing w:line="240" w:lineRule="auto"/>
        <w:rPr>
          <w:rFonts w:eastAsia="Times New Roman" w:cs="Times New Roman"/>
          <w:sz w:val="20"/>
          <w:szCs w:val="20"/>
          <w:lang w:val="en-AU"/>
        </w:rPr>
      </w:pPr>
      <w:r w:rsidRPr="00A0783B">
        <w:rPr>
          <w:rStyle w:val="EndnoteReference"/>
          <w:rFonts w:cs="Times New Roman"/>
          <w:sz w:val="20"/>
          <w:szCs w:val="20"/>
        </w:rPr>
        <w:endnoteRef/>
      </w:r>
      <w:r w:rsidRPr="00A0783B">
        <w:rPr>
          <w:rFonts w:cs="Times New Roman"/>
          <w:sz w:val="20"/>
          <w:szCs w:val="20"/>
        </w:rPr>
        <w:t xml:space="preserve"> </w:t>
      </w:r>
      <w:r w:rsidRPr="00A0783B">
        <w:rPr>
          <w:rFonts w:eastAsia="Times New Roman" w:cs="Times New Roman"/>
          <w:i/>
          <w:color w:val="000000"/>
          <w:sz w:val="20"/>
          <w:szCs w:val="20"/>
        </w:rPr>
        <w:t>Scott &amp; Scott</w:t>
      </w:r>
      <w:r>
        <w:rPr>
          <w:rFonts w:eastAsia="Times New Roman" w:cs="Times New Roman"/>
          <w:color w:val="000000"/>
          <w:sz w:val="20"/>
          <w:szCs w:val="20"/>
        </w:rPr>
        <w:t xml:space="preserve"> [2015] FCCA at 95;</w:t>
      </w:r>
      <w:r w:rsidRPr="00A0783B">
        <w:rPr>
          <w:rFonts w:eastAsia="Times New Roman" w:cs="Times New Roman"/>
          <w:color w:val="000000"/>
          <w:sz w:val="20"/>
          <w:szCs w:val="20"/>
        </w:rPr>
        <w:t xml:space="preserve"> </w:t>
      </w:r>
      <w:r w:rsidRPr="00A0783B">
        <w:rPr>
          <w:rFonts w:eastAsia="Times New Roman" w:cs="Times New Roman"/>
          <w:i/>
          <w:iCs/>
          <w:color w:val="000000"/>
          <w:sz w:val="20"/>
          <w:szCs w:val="20"/>
          <w:shd w:val="clear" w:color="auto" w:fill="FFFFFF"/>
          <w:lang w:val="en-AU"/>
        </w:rPr>
        <w:t xml:space="preserve">S &amp; </w:t>
      </w:r>
      <w:r w:rsidRPr="00BB213B">
        <w:rPr>
          <w:rFonts w:eastAsia="Times New Roman" w:cs="Times New Roman"/>
          <w:i/>
          <w:iCs/>
          <w:sz w:val="20"/>
          <w:szCs w:val="20"/>
          <w:shd w:val="clear" w:color="auto" w:fill="FFFFFF"/>
          <w:lang w:val="en-AU"/>
        </w:rPr>
        <w:t>S</w:t>
      </w:r>
      <w:r w:rsidRPr="00BB213B">
        <w:rPr>
          <w:rFonts w:eastAsia="Times New Roman" w:cs="Times New Roman"/>
          <w:sz w:val="20"/>
          <w:szCs w:val="20"/>
          <w:shd w:val="clear" w:color="auto" w:fill="FFFFFF"/>
          <w:lang w:val="en-AU"/>
        </w:rPr>
        <w:t> </w:t>
      </w:r>
      <w:hyperlink r:id="rId4" w:tooltip="View Case" w:history="1">
        <w:r w:rsidRPr="00BB213B">
          <w:rPr>
            <w:rFonts w:eastAsia="Times New Roman" w:cs="Times New Roman"/>
            <w:sz w:val="20"/>
            <w:szCs w:val="20"/>
            <w:shd w:val="clear" w:color="auto" w:fill="FFFFFF"/>
            <w:lang w:val="en-AU"/>
          </w:rPr>
          <w:t>[2003] FamCA 905</w:t>
        </w:r>
      </w:hyperlink>
      <w:r>
        <w:rPr>
          <w:rFonts w:eastAsia="Times New Roman" w:cs="Times New Roman"/>
          <w:color w:val="000000"/>
          <w:sz w:val="20"/>
          <w:szCs w:val="20"/>
          <w:shd w:val="clear" w:color="auto" w:fill="FFFFFF"/>
          <w:lang w:val="en-AU"/>
        </w:rPr>
        <w:t>.</w:t>
      </w:r>
    </w:p>
  </w:endnote>
  <w:endnote w:id="57">
    <w:p w14:paraId="2FABA15D" w14:textId="452CB1E1" w:rsidR="00E16FC3" w:rsidRPr="00A0783B" w:rsidRDefault="00E16FC3" w:rsidP="00BB213B">
      <w:pPr>
        <w:pStyle w:val="EndnoteText"/>
        <w:spacing w:line="240" w:lineRule="auto"/>
      </w:pPr>
      <w:r w:rsidRPr="00A0783B">
        <w:rPr>
          <w:rStyle w:val="EndnoteReference"/>
        </w:rPr>
        <w:endnoteRef/>
      </w:r>
      <w:r w:rsidRPr="00A0783B">
        <w:t xml:space="preserve"> </w:t>
      </w:r>
      <w:r w:rsidRPr="00FC34D3">
        <w:rPr>
          <w:i/>
          <w:color w:val="000000"/>
        </w:rPr>
        <w:t>Tumlin &amp; Tumlin</w:t>
      </w:r>
      <w:r w:rsidRPr="00A0783B">
        <w:rPr>
          <w:color w:val="000000"/>
        </w:rPr>
        <w:t xml:space="preserve"> </w:t>
      </w:r>
      <w:r>
        <w:rPr>
          <w:color w:val="000000"/>
        </w:rPr>
        <w:t>[2016] FamCA 944 at 236.</w:t>
      </w:r>
    </w:p>
  </w:endnote>
  <w:endnote w:id="58">
    <w:p w14:paraId="61AA11BE" w14:textId="198400F4" w:rsidR="00E16FC3" w:rsidRPr="00A0783B" w:rsidRDefault="00E16FC3" w:rsidP="00BB213B">
      <w:pPr>
        <w:spacing w:line="240" w:lineRule="auto"/>
        <w:rPr>
          <w:rFonts w:eastAsia="Times New Roman" w:cs="Times New Roman"/>
          <w:sz w:val="20"/>
          <w:szCs w:val="20"/>
          <w:lang w:val="en-AU"/>
        </w:rPr>
      </w:pPr>
      <w:r w:rsidRPr="00A0783B">
        <w:rPr>
          <w:rStyle w:val="EndnoteReference"/>
          <w:rFonts w:cs="Times New Roman"/>
          <w:sz w:val="20"/>
          <w:szCs w:val="20"/>
        </w:rPr>
        <w:endnoteRef/>
      </w:r>
      <w:r w:rsidRPr="00A0783B">
        <w:rPr>
          <w:rFonts w:cs="Times New Roman"/>
          <w:sz w:val="20"/>
          <w:szCs w:val="20"/>
        </w:rPr>
        <w:t xml:space="preserve"> </w:t>
      </w:r>
      <w:r w:rsidRPr="00A0783B">
        <w:rPr>
          <w:rFonts w:eastAsia="Times New Roman" w:cs="Times New Roman"/>
          <w:i/>
          <w:color w:val="000000"/>
          <w:sz w:val="20"/>
          <w:szCs w:val="20"/>
        </w:rPr>
        <w:t>Maine &amp; Maine</w:t>
      </w:r>
      <w:r w:rsidRPr="00A0783B">
        <w:rPr>
          <w:rFonts w:eastAsia="Times New Roman" w:cs="Times New Roman"/>
          <w:color w:val="000000"/>
          <w:sz w:val="20"/>
          <w:szCs w:val="20"/>
        </w:rPr>
        <w:t xml:space="preserve"> [2016] FamCAFC 270 hearing appeal of </w:t>
      </w:r>
      <w:r w:rsidRPr="00A45213">
        <w:rPr>
          <w:rFonts w:eastAsia="Times New Roman" w:cs="Times New Roman"/>
          <w:i/>
          <w:color w:val="000000"/>
          <w:sz w:val="20"/>
          <w:szCs w:val="20"/>
        </w:rPr>
        <w:t>Maine &amp; Maine</w:t>
      </w:r>
      <w:r w:rsidRPr="00A0783B">
        <w:rPr>
          <w:rFonts w:eastAsia="Times New Roman" w:cs="Times New Roman"/>
          <w:color w:val="000000"/>
          <w:sz w:val="20"/>
          <w:szCs w:val="20"/>
        </w:rPr>
        <w:t xml:space="preserve"> [2015]</w:t>
      </w:r>
      <w:r>
        <w:rPr>
          <w:rFonts w:eastAsia="Times New Roman" w:cs="Times New Roman"/>
          <w:color w:val="000000"/>
          <w:sz w:val="20"/>
          <w:szCs w:val="20"/>
        </w:rPr>
        <w:t xml:space="preserve"> </w:t>
      </w:r>
      <w:r w:rsidRPr="00A0783B">
        <w:rPr>
          <w:rFonts w:eastAsia="Times New Roman" w:cs="Times New Roman"/>
          <w:color w:val="000000"/>
          <w:sz w:val="20"/>
          <w:szCs w:val="20"/>
        </w:rPr>
        <w:t>FCCA 1753</w:t>
      </w:r>
      <w:r>
        <w:rPr>
          <w:rFonts w:eastAsia="Times New Roman" w:cs="Times New Roman"/>
          <w:color w:val="000000"/>
          <w:sz w:val="20"/>
          <w:szCs w:val="20"/>
        </w:rPr>
        <w:t>.</w:t>
      </w:r>
      <w:r w:rsidRPr="00A0783B">
        <w:rPr>
          <w:rFonts w:eastAsia="Times New Roman" w:cs="Times New Roman"/>
          <w:color w:val="000000"/>
          <w:sz w:val="20"/>
          <w:szCs w:val="20"/>
        </w:rPr>
        <w:t xml:space="preserve"> </w:t>
      </w:r>
    </w:p>
  </w:endnote>
  <w:endnote w:id="59">
    <w:p w14:paraId="7DD7F5EB" w14:textId="3FE00FAD" w:rsidR="00E16FC3" w:rsidRDefault="00E16FC3" w:rsidP="00BB213B">
      <w:pPr>
        <w:pStyle w:val="EndnoteText"/>
        <w:spacing w:line="240" w:lineRule="auto"/>
      </w:pPr>
      <w:r>
        <w:rPr>
          <w:rStyle w:val="EndnoteReference"/>
        </w:rPr>
        <w:endnoteRef/>
      </w:r>
      <w:r>
        <w:t xml:space="preserve"> At [47].</w:t>
      </w:r>
    </w:p>
  </w:endnote>
  <w:endnote w:id="60">
    <w:p w14:paraId="2A9F9EBA" w14:textId="54E93C5B" w:rsidR="00E16FC3" w:rsidRPr="00A0783B" w:rsidRDefault="00E16FC3" w:rsidP="00BB213B">
      <w:pPr>
        <w:pStyle w:val="EndnoteText"/>
        <w:spacing w:line="240" w:lineRule="auto"/>
      </w:pPr>
      <w:r w:rsidRPr="00A0783B">
        <w:rPr>
          <w:rStyle w:val="EndnoteReference"/>
        </w:rPr>
        <w:endnoteRef/>
      </w:r>
      <w:r w:rsidRPr="00A0783B">
        <w:t xml:space="preserve"> </w:t>
      </w:r>
      <w:r w:rsidRPr="00A0783B">
        <w:rPr>
          <w:i/>
          <w:color w:val="000000"/>
        </w:rPr>
        <w:t>Maine &amp; Maine</w:t>
      </w:r>
      <w:r w:rsidRPr="00A0783B">
        <w:rPr>
          <w:color w:val="000000"/>
        </w:rPr>
        <w:t xml:space="preserve"> [2016] FamCAFC 270 </w:t>
      </w:r>
      <w:r w:rsidRPr="00A0783B">
        <w:t xml:space="preserve">at </w:t>
      </w:r>
      <w:r>
        <w:t>[</w:t>
      </w:r>
      <w:r w:rsidRPr="00A0783B">
        <w:t>49</w:t>
      </w:r>
      <w:r>
        <w:t>]</w:t>
      </w:r>
      <w:r w:rsidRPr="00A0783B">
        <w:t xml:space="preserve"> and </w:t>
      </w:r>
      <w:r>
        <w:t>[</w:t>
      </w:r>
      <w:r w:rsidRPr="00A0783B">
        <w:t>50</w:t>
      </w:r>
      <w:r>
        <w:t>]</w:t>
      </w:r>
      <w:r w:rsidRPr="00A0783B">
        <w:t>.</w:t>
      </w:r>
    </w:p>
  </w:endnote>
  <w:endnote w:id="61">
    <w:p w14:paraId="7F294FE8" w14:textId="06889BD9" w:rsidR="00E16FC3" w:rsidRPr="00A0783B" w:rsidRDefault="00E16FC3" w:rsidP="00BB213B">
      <w:pPr>
        <w:pStyle w:val="EndnoteText"/>
        <w:spacing w:line="240" w:lineRule="auto"/>
      </w:pPr>
      <w:r w:rsidRPr="00A0783B">
        <w:rPr>
          <w:rStyle w:val="EndnoteReference"/>
        </w:rPr>
        <w:endnoteRef/>
      </w:r>
      <w:r w:rsidRPr="00A0783B">
        <w:t xml:space="preserve"> </w:t>
      </w:r>
      <w:r w:rsidRPr="004E1697">
        <w:rPr>
          <w:bCs/>
          <w:i/>
          <w:color w:val="000000"/>
        </w:rPr>
        <w:t>Proctor &amp; Proctor</w:t>
      </w:r>
      <w:r w:rsidRPr="00A0783B">
        <w:rPr>
          <w:bCs/>
          <w:color w:val="000000"/>
        </w:rPr>
        <w:t xml:space="preserve"> [2016] FCCA 613 (23 March 2016) at </w:t>
      </w:r>
      <w:r>
        <w:rPr>
          <w:bCs/>
          <w:color w:val="000000"/>
        </w:rPr>
        <w:t>[</w:t>
      </w:r>
      <w:r w:rsidRPr="00A0783B">
        <w:rPr>
          <w:bCs/>
          <w:color w:val="000000"/>
        </w:rPr>
        <w:t>998</w:t>
      </w:r>
      <w:r>
        <w:rPr>
          <w:bCs/>
          <w:color w:val="000000"/>
        </w:rPr>
        <w:t xml:space="preserve">]. </w:t>
      </w:r>
    </w:p>
  </w:endnote>
  <w:endnote w:id="62">
    <w:p w14:paraId="6EEB62E0" w14:textId="7D4E7030" w:rsidR="00E16FC3" w:rsidRPr="00A0783B" w:rsidRDefault="00E16FC3" w:rsidP="00BB213B">
      <w:pPr>
        <w:pStyle w:val="EndnoteText"/>
        <w:spacing w:line="240" w:lineRule="auto"/>
      </w:pPr>
      <w:r w:rsidRPr="00A0783B">
        <w:rPr>
          <w:rStyle w:val="EndnoteReference"/>
        </w:rPr>
        <w:endnoteRef/>
      </w:r>
      <w:r w:rsidRPr="00A0783B">
        <w:t xml:space="preserve"> </w:t>
      </w:r>
      <w:r w:rsidRPr="00CE5DD9">
        <w:rPr>
          <w:bCs/>
          <w:i/>
          <w:color w:val="000000"/>
        </w:rPr>
        <w:t>Sharp &amp; Moon</w:t>
      </w:r>
      <w:r w:rsidRPr="00A0783B">
        <w:rPr>
          <w:bCs/>
          <w:color w:val="000000"/>
        </w:rPr>
        <w:t xml:space="preserve"> [2016] FCCA 2141at 40. </w:t>
      </w:r>
    </w:p>
  </w:endnote>
  <w:endnote w:id="63">
    <w:p w14:paraId="573D2548" w14:textId="6F3DE350" w:rsidR="00E16FC3" w:rsidRPr="00A0783B" w:rsidRDefault="00E16FC3" w:rsidP="00BB213B">
      <w:pPr>
        <w:pStyle w:val="EndnoteText"/>
        <w:spacing w:line="240" w:lineRule="auto"/>
      </w:pPr>
      <w:r w:rsidRPr="00A0783B">
        <w:rPr>
          <w:rStyle w:val="EndnoteReference"/>
        </w:rPr>
        <w:endnoteRef/>
      </w:r>
      <w:r w:rsidRPr="00A0783B">
        <w:t xml:space="preserve"> </w:t>
      </w:r>
      <w:r w:rsidRPr="00CE5DD9">
        <w:rPr>
          <w:i/>
          <w:color w:val="000000"/>
        </w:rPr>
        <w:t>Gillard &amp; Gillard and Anor</w:t>
      </w:r>
      <w:r w:rsidRPr="00A0783B">
        <w:rPr>
          <w:color w:val="000000"/>
        </w:rPr>
        <w:t xml:space="preserve"> [2016] FamCA 841 at 212. </w:t>
      </w:r>
    </w:p>
  </w:endnote>
  <w:endnote w:id="64">
    <w:p w14:paraId="5FCC2960" w14:textId="77777777" w:rsidR="00E16FC3" w:rsidRPr="00A0783B" w:rsidRDefault="00E16FC3" w:rsidP="00BB213B">
      <w:pPr>
        <w:pStyle w:val="EndnoteText"/>
        <w:spacing w:line="240" w:lineRule="auto"/>
      </w:pPr>
      <w:r w:rsidRPr="00A0783B">
        <w:rPr>
          <w:rStyle w:val="EndnoteReference"/>
        </w:rPr>
        <w:endnoteRef/>
      </w:r>
      <w:r w:rsidRPr="00A0783B">
        <w:t xml:space="preserve"> </w:t>
      </w:r>
      <w:r w:rsidRPr="00CE5DD9">
        <w:rPr>
          <w:i/>
          <w:color w:val="000000"/>
        </w:rPr>
        <w:t>Gillard &amp; Gillard and Anor</w:t>
      </w:r>
      <w:r w:rsidRPr="00A0783B">
        <w:rPr>
          <w:color w:val="000000"/>
        </w:rPr>
        <w:t xml:space="preserve"> [2016] FamCA 841 at 205.</w:t>
      </w:r>
    </w:p>
  </w:endnote>
  <w:endnote w:id="65">
    <w:p w14:paraId="4BEDBD6F" w14:textId="0E1EFB85" w:rsidR="00E16FC3" w:rsidRDefault="00E16FC3" w:rsidP="00BB213B">
      <w:pPr>
        <w:pStyle w:val="EndnoteText"/>
        <w:spacing w:line="240" w:lineRule="auto"/>
      </w:pPr>
      <w:r>
        <w:rPr>
          <w:rStyle w:val="EndnoteReference"/>
        </w:rPr>
        <w:endnoteRef/>
      </w:r>
      <w:r>
        <w:t xml:space="preserve"> Property laws apply both to married couples and de facto couples.</w:t>
      </w:r>
    </w:p>
  </w:endnote>
  <w:endnote w:id="66">
    <w:p w14:paraId="365C2922" w14:textId="50B3838C" w:rsidR="00E16FC3" w:rsidRPr="00A0783B" w:rsidRDefault="00E16FC3" w:rsidP="00BB213B">
      <w:pPr>
        <w:pStyle w:val="EndnoteText"/>
        <w:spacing w:line="240" w:lineRule="auto"/>
      </w:pPr>
      <w:r w:rsidRPr="00A0783B">
        <w:rPr>
          <w:rStyle w:val="EndnoteReference"/>
        </w:rPr>
        <w:endnoteRef/>
      </w:r>
      <w:r w:rsidRPr="00A0783B">
        <w:t xml:space="preserve"> </w:t>
      </w:r>
      <w:r w:rsidRPr="00A0783B">
        <w:rPr>
          <w:bCs/>
          <w:i/>
          <w:color w:val="000000"/>
        </w:rPr>
        <w:t>Bamford &amp; Bank</w:t>
      </w:r>
      <w:r w:rsidRPr="00A0783B">
        <w:rPr>
          <w:bCs/>
          <w:color w:val="000000"/>
        </w:rPr>
        <w:t xml:space="preserve"> [2016] FCCA 958 at 47, 56. </w:t>
      </w:r>
    </w:p>
  </w:endnote>
  <w:endnote w:id="67">
    <w:p w14:paraId="20321265" w14:textId="4A85451F" w:rsidR="00E16FC3" w:rsidRPr="00A0783B" w:rsidRDefault="00E16FC3" w:rsidP="00BB213B">
      <w:pPr>
        <w:pStyle w:val="EndnoteText"/>
        <w:spacing w:line="240" w:lineRule="auto"/>
      </w:pPr>
      <w:r w:rsidRPr="00A0783B">
        <w:rPr>
          <w:rStyle w:val="EndnoteReference"/>
        </w:rPr>
        <w:endnoteRef/>
      </w:r>
      <w:r w:rsidRPr="00A0783B">
        <w:t xml:space="preserve"> </w:t>
      </w:r>
      <w:r w:rsidRPr="004E1697">
        <w:rPr>
          <w:i/>
          <w:color w:val="000000"/>
        </w:rPr>
        <w:t>Holder &amp; Little</w:t>
      </w:r>
      <w:r w:rsidRPr="00A0783B">
        <w:rPr>
          <w:color w:val="000000"/>
        </w:rPr>
        <w:t xml:space="preserve"> [2015] FCCA 1164 at </w:t>
      </w:r>
      <w:r>
        <w:rPr>
          <w:color w:val="000000"/>
        </w:rPr>
        <w:t>[</w:t>
      </w:r>
      <w:r w:rsidRPr="00A0783B">
        <w:rPr>
          <w:color w:val="000000"/>
        </w:rPr>
        <w:t>279</w:t>
      </w:r>
      <w:r>
        <w:rPr>
          <w:color w:val="000000"/>
        </w:rPr>
        <w:t>]</w:t>
      </w:r>
      <w:r w:rsidRPr="00A0783B">
        <w:rPr>
          <w:color w:val="000000"/>
        </w:rPr>
        <w:t>-</w:t>
      </w:r>
      <w:r>
        <w:rPr>
          <w:color w:val="000000"/>
        </w:rPr>
        <w:t>[</w:t>
      </w:r>
      <w:r w:rsidRPr="00A0783B">
        <w:rPr>
          <w:color w:val="000000"/>
        </w:rPr>
        <w:t>281</w:t>
      </w:r>
      <w:r>
        <w:rPr>
          <w:color w:val="000000"/>
        </w:rPr>
        <w:t>]</w:t>
      </w:r>
      <w:r w:rsidRPr="00A0783B">
        <w:rPr>
          <w:color w:val="000000"/>
        </w:rPr>
        <w:t xml:space="preserve">. </w:t>
      </w:r>
    </w:p>
  </w:endnote>
  <w:endnote w:id="68">
    <w:p w14:paraId="64DBD2C5" w14:textId="3079B88F" w:rsidR="00E16FC3" w:rsidRPr="00A0783B" w:rsidRDefault="00E16FC3" w:rsidP="00BB213B">
      <w:pPr>
        <w:pStyle w:val="EndnoteText"/>
        <w:spacing w:line="240" w:lineRule="auto"/>
      </w:pPr>
      <w:r w:rsidRPr="00A0783B">
        <w:rPr>
          <w:rStyle w:val="EndnoteReference"/>
        </w:rPr>
        <w:endnoteRef/>
      </w:r>
      <w:r w:rsidRPr="00A0783B">
        <w:t xml:space="preserve"> </w:t>
      </w:r>
      <w:r w:rsidRPr="004E1697">
        <w:rPr>
          <w:i/>
          <w:color w:val="000000"/>
        </w:rPr>
        <w:t>Pilch &amp; Pilch</w:t>
      </w:r>
      <w:r w:rsidRPr="00A0783B">
        <w:rPr>
          <w:color w:val="000000"/>
        </w:rPr>
        <w:t xml:space="preserve"> [2016] FamCA 740 at 147</w:t>
      </w:r>
      <w:r>
        <w:rPr>
          <w:color w:val="000000"/>
        </w:rPr>
        <w:t xml:space="preserve"> per </w:t>
      </w:r>
      <w:r>
        <w:t>Justice Sharon Johns.</w:t>
      </w:r>
    </w:p>
  </w:endnote>
  <w:endnote w:id="69">
    <w:p w14:paraId="4E1D26F0" w14:textId="37CC39BC" w:rsidR="00E16FC3" w:rsidRDefault="00E16FC3" w:rsidP="00E216C4">
      <w:pPr>
        <w:pStyle w:val="EndnoteText"/>
        <w:spacing w:line="240" w:lineRule="auto"/>
      </w:pPr>
      <w:r>
        <w:rPr>
          <w:rStyle w:val="EndnoteReference"/>
        </w:rPr>
        <w:endnoteRef/>
      </w:r>
      <w:r>
        <w:t xml:space="preserve"> In fact these principles are worded so as to apply to ‘all cases involving family violence or child abuse or the risk of family violence or child abuse in proceedings before courts exercising jurisdiction under the FLA’; from the way they are structured and worded it is clear they are intended only to operate in parenting matters.</w:t>
      </w:r>
    </w:p>
  </w:endnote>
  <w:endnote w:id="70">
    <w:p w14:paraId="4F6B9FA0" w14:textId="702FBA5B" w:rsidR="00E16FC3" w:rsidRPr="00273379" w:rsidRDefault="00E16FC3" w:rsidP="00E216C4">
      <w:pPr>
        <w:pStyle w:val="EndnoteText"/>
        <w:spacing w:line="240" w:lineRule="auto"/>
      </w:pPr>
      <w:r>
        <w:rPr>
          <w:rStyle w:val="EndnoteReference"/>
        </w:rPr>
        <w:endnoteRef/>
      </w:r>
      <w:r>
        <w:t xml:space="preserve"> Available </w:t>
      </w:r>
      <w:r w:rsidRPr="00273379">
        <w:t xml:space="preserve">at </w:t>
      </w:r>
      <w:hyperlink r:id="rId5" w:history="1">
        <w:r w:rsidRPr="00273379">
          <w:rPr>
            <w:rStyle w:val="Hyperlink"/>
            <w:rFonts w:cstheme="minorBidi"/>
            <w:color w:val="auto"/>
            <w:u w:val="none"/>
          </w:rPr>
          <w:t>http://dfvbenchbook.aija.org.au</w:t>
        </w:r>
      </w:hyperlink>
      <w:r w:rsidRPr="00273379">
        <w:t xml:space="preserve"> (accessed 12 November 2017)</w:t>
      </w:r>
      <w:r>
        <w:t>.</w:t>
      </w:r>
    </w:p>
  </w:endnote>
  <w:endnote w:id="71">
    <w:p w14:paraId="19200375" w14:textId="77777777" w:rsidR="00E16FC3" w:rsidRDefault="00E16FC3" w:rsidP="00045356">
      <w:pPr>
        <w:pStyle w:val="EndnoteText"/>
        <w:spacing w:line="240" w:lineRule="auto"/>
      </w:pPr>
      <w:r>
        <w:rPr>
          <w:rStyle w:val="EndnoteReference"/>
        </w:rPr>
        <w:endnoteRef/>
      </w:r>
      <w:r>
        <w:t xml:space="preserve"> Matrimonial Causes Act 1973 (England and Wales), s 25(2)(g).</w:t>
      </w:r>
    </w:p>
  </w:endnote>
  <w:endnote w:id="72">
    <w:p w14:paraId="7C314E08" w14:textId="77777777" w:rsidR="00E16FC3" w:rsidRPr="008014BB" w:rsidRDefault="00E16FC3" w:rsidP="00045356">
      <w:pPr>
        <w:pStyle w:val="EndnoteText"/>
        <w:spacing w:line="240" w:lineRule="auto"/>
        <w:rPr>
          <w:lang w:val="en-GB"/>
        </w:rPr>
      </w:pPr>
      <w:r>
        <w:rPr>
          <w:rStyle w:val="EndnoteReference"/>
        </w:rPr>
        <w:endnoteRef/>
      </w:r>
      <w:r>
        <w:t xml:space="preserve"> </w:t>
      </w:r>
      <w:r>
        <w:rPr>
          <w:lang w:val="en-GB"/>
        </w:rPr>
        <w:t xml:space="preserve">Ibid; </w:t>
      </w:r>
      <w:r>
        <w:rPr>
          <w:i/>
          <w:lang w:val="en-GB"/>
        </w:rPr>
        <w:t xml:space="preserve">H v H (Financial Provision: Conduct) </w:t>
      </w:r>
      <w:r>
        <w:rPr>
          <w:lang w:val="en-GB"/>
        </w:rPr>
        <w:t>[1994] 2 FLR 801.</w:t>
      </w:r>
    </w:p>
  </w:endnote>
  <w:endnote w:id="73">
    <w:p w14:paraId="0A8B8165" w14:textId="77777777" w:rsidR="00E16FC3" w:rsidRPr="00340508" w:rsidRDefault="00E16FC3" w:rsidP="00045356">
      <w:pPr>
        <w:pStyle w:val="EndnoteText"/>
        <w:spacing w:line="240" w:lineRule="auto"/>
        <w:rPr>
          <w:lang w:val="en-GB"/>
        </w:rPr>
      </w:pPr>
      <w:r>
        <w:rPr>
          <w:rStyle w:val="EndnoteReference"/>
        </w:rPr>
        <w:endnoteRef/>
      </w:r>
      <w:r>
        <w:t xml:space="preserve"> </w:t>
      </w:r>
      <w:r>
        <w:rPr>
          <w:lang w:val="en-GB"/>
        </w:rPr>
        <w:t>[2007] 1 FLR 1496.</w:t>
      </w:r>
    </w:p>
  </w:endnote>
  <w:endnote w:id="74">
    <w:p w14:paraId="0C648444" w14:textId="7625C6B6" w:rsidR="00E16FC3" w:rsidRDefault="00E16FC3" w:rsidP="00045356">
      <w:pPr>
        <w:pStyle w:val="EndnoteText"/>
        <w:spacing w:line="240" w:lineRule="auto"/>
      </w:pPr>
      <w:r>
        <w:rPr>
          <w:rStyle w:val="EndnoteReference"/>
        </w:rPr>
        <w:endnoteRef/>
      </w:r>
      <w:r>
        <w:t xml:space="preserve"> A good proportion of US states permit fault to be considered in property matters and so bad behaviour can be factored in. For example, </w:t>
      </w:r>
      <w:r w:rsidRPr="00E04787">
        <w:rPr>
          <w:i/>
        </w:rPr>
        <w:t>SAV v KGV</w:t>
      </w:r>
      <w:r>
        <w:t xml:space="preserve"> 708 S. W. 2d 651 (Mo. 1986) for Missouri and </w:t>
      </w:r>
      <w:r w:rsidRPr="00E04787">
        <w:rPr>
          <w:i/>
        </w:rPr>
        <w:t>Young v Young</w:t>
      </w:r>
      <w:r>
        <w:t xml:space="preserve"> 609 S. W. 2d 758 (Tex. 1980) for Texas.</w:t>
      </w:r>
    </w:p>
  </w:endnote>
  <w:endnote w:id="75">
    <w:p w14:paraId="451D8890" w14:textId="77777777" w:rsidR="00E16FC3" w:rsidRDefault="00E16FC3" w:rsidP="00045356">
      <w:pPr>
        <w:pStyle w:val="EndnoteText"/>
        <w:spacing w:line="240" w:lineRule="auto"/>
      </w:pPr>
      <w:r>
        <w:rPr>
          <w:rStyle w:val="EndnoteReference"/>
        </w:rPr>
        <w:endnoteRef/>
      </w:r>
      <w:r>
        <w:t xml:space="preserve"> The Family Court has generally eschewed the notion of negative contributions (</w:t>
      </w:r>
      <w:r w:rsidRPr="00E56D1D">
        <w:rPr>
          <w:i/>
        </w:rPr>
        <w:t>Antmann &amp; Antmann</w:t>
      </w:r>
      <w:r>
        <w:t xml:space="preserve"> (1980) 6 Fam LR 560 at [32]), though in reality some principles seem to operate that way (such as the way the court treats wasting of assets as in </w:t>
      </w:r>
      <w:r w:rsidRPr="00E56D1D">
        <w:rPr>
          <w:i/>
        </w:rPr>
        <w:t>Marriage of Kowaliw</w:t>
      </w:r>
      <w:r>
        <w:t xml:space="preserve"> (1981) FLC 91-092). </w:t>
      </w:r>
    </w:p>
  </w:endnote>
  <w:endnote w:id="76">
    <w:p w14:paraId="190CDC13" w14:textId="77777777" w:rsidR="00E16FC3" w:rsidRDefault="00E16FC3" w:rsidP="00045356">
      <w:pPr>
        <w:pStyle w:val="EndnoteText"/>
        <w:spacing w:line="240" w:lineRule="auto"/>
      </w:pPr>
      <w:r>
        <w:rPr>
          <w:rStyle w:val="EndnoteReference"/>
        </w:rPr>
        <w:endnoteRef/>
      </w:r>
      <w:r>
        <w:t xml:space="preserve"> </w:t>
      </w:r>
      <w:r w:rsidRPr="00E56D1D">
        <w:rPr>
          <w:i/>
        </w:rPr>
        <w:t>CCD &amp; AGMD</w:t>
      </w:r>
      <w:r>
        <w:t xml:space="preserve"> [2006] FamCA 1291 at [46]ff per Warnick J. See Carmody J’s response in </w:t>
      </w:r>
      <w:r w:rsidRPr="00E56D1D">
        <w:rPr>
          <w:i/>
        </w:rPr>
        <w:t>Moore &amp; Moore</w:t>
      </w:r>
      <w:r>
        <w:t xml:space="preserve"> [2008] FamCA 32 at [376]ff.</w:t>
      </w:r>
    </w:p>
  </w:endnote>
  <w:endnote w:id="77">
    <w:p w14:paraId="1D637DA0" w14:textId="77777777" w:rsidR="00E16FC3" w:rsidRDefault="00E16FC3" w:rsidP="00045356">
      <w:pPr>
        <w:pStyle w:val="EndnoteText"/>
        <w:spacing w:line="240" w:lineRule="auto"/>
      </w:pPr>
      <w:r>
        <w:rPr>
          <w:rStyle w:val="EndnoteReference"/>
        </w:rPr>
        <w:endnoteRef/>
      </w:r>
      <w:r>
        <w:t xml:space="preserve"> </w:t>
      </w:r>
      <w:r w:rsidRPr="00E56D1D">
        <w:rPr>
          <w:i/>
        </w:rPr>
        <w:t>Moore &amp; Moore</w:t>
      </w:r>
      <w:r>
        <w:t>, ibid.</w:t>
      </w:r>
    </w:p>
  </w:endnote>
  <w:endnote w:id="78">
    <w:p w14:paraId="0CD729DC" w14:textId="68DA530A" w:rsidR="00E16FC3" w:rsidRDefault="00E16FC3" w:rsidP="00045356">
      <w:pPr>
        <w:pStyle w:val="EndnoteText"/>
        <w:spacing w:line="240" w:lineRule="auto"/>
      </w:pPr>
      <w:r>
        <w:rPr>
          <w:rStyle w:val="EndnoteReference"/>
        </w:rPr>
        <w:endnoteRef/>
      </w:r>
      <w:r>
        <w:t xml:space="preserve"> Family Law (Scotland) Act 1985, s 9(1)(b).</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altName w:val="Times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Grande">
    <w:altName w:val="Arial"/>
    <w:charset w:val="00"/>
    <w:family w:val="auto"/>
    <w:pitch w:val="variable"/>
    <w:sig w:usb0="00000000" w:usb1="5000A1FF" w:usb2="00000000" w:usb3="00000000" w:csb0="000001B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7EC60" w14:textId="77777777" w:rsidR="00E16FC3" w:rsidRDefault="00E16FC3" w:rsidP="008A478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A40BD3" w14:textId="77777777" w:rsidR="00E16FC3" w:rsidRDefault="00E16F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E69AE" w14:textId="6EF343F9" w:rsidR="00E16FC3" w:rsidRDefault="00E16FC3" w:rsidP="008A478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E5222">
      <w:rPr>
        <w:rStyle w:val="PageNumber"/>
        <w:noProof/>
      </w:rPr>
      <w:t>20</w:t>
    </w:r>
    <w:r>
      <w:rPr>
        <w:rStyle w:val="PageNumber"/>
      </w:rPr>
      <w:fldChar w:fldCharType="end"/>
    </w:r>
  </w:p>
  <w:p w14:paraId="6388F2E1" w14:textId="77777777" w:rsidR="00E16FC3" w:rsidRDefault="00E16FC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F5BD5" w14:textId="1EE11E62" w:rsidR="00E16FC3" w:rsidRDefault="00E16FC3" w:rsidP="005F4CCA">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8C598F" w14:textId="77777777" w:rsidR="00F853FD" w:rsidRDefault="00F853FD" w:rsidP="00371409">
      <w:r>
        <w:separator/>
      </w:r>
    </w:p>
  </w:footnote>
  <w:footnote w:type="continuationSeparator" w:id="0">
    <w:p w14:paraId="4E90F1B9" w14:textId="77777777" w:rsidR="00F853FD" w:rsidRDefault="00F853FD" w:rsidP="003714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5545B" w14:textId="60746716" w:rsidR="00E16FC3" w:rsidRDefault="00E16FC3" w:rsidP="009C1C8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B1DA"/>
    <w:multiLevelType w:val="singleLevel"/>
    <w:tmpl w:val="00000000"/>
    <w:lvl w:ilvl="0">
      <w:start w:val="1"/>
      <w:numFmt w:val="decimal"/>
      <w:lvlText w:val="o "/>
      <w:lvlJc w:val="left"/>
      <w:pPr>
        <w:tabs>
          <w:tab w:val="num" w:pos="1200"/>
        </w:tabs>
        <w:ind w:left="1200" w:hanging="600"/>
      </w:pPr>
      <w:rPr>
        <w:rFonts w:ascii="Times New Roman" w:hAnsi="Times New Roman" w:cs="Times New Roman"/>
        <w:b w:val="0"/>
        <w:bCs w:val="0"/>
        <w:i w:val="0"/>
        <w:iCs w:val="0"/>
        <w:color w:val="auto"/>
        <w:sz w:val="20"/>
        <w:szCs w:val="20"/>
        <w:u w:val="none"/>
      </w:rPr>
    </w:lvl>
  </w:abstractNum>
  <w:abstractNum w:abstractNumId="1" w15:restartNumberingAfterBreak="0">
    <w:nsid w:val="00000001"/>
    <w:multiLevelType w:val="hybridMultilevel"/>
    <w:tmpl w:val="00000001"/>
    <w:lvl w:ilvl="0" w:tplc="00000001">
      <w:start w:val="142"/>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7D52BB2"/>
    <w:multiLevelType w:val="multilevel"/>
    <w:tmpl w:val="19BC8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D93AC0"/>
    <w:multiLevelType w:val="multilevel"/>
    <w:tmpl w:val="1E144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97E245A"/>
    <w:multiLevelType w:val="hybridMultilevel"/>
    <w:tmpl w:val="77D818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FD67C35"/>
    <w:multiLevelType w:val="hybridMultilevel"/>
    <w:tmpl w:val="A0E6061A"/>
    <w:lvl w:ilvl="0" w:tplc="2AB6FE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4A68F7"/>
    <w:multiLevelType w:val="hybridMultilevel"/>
    <w:tmpl w:val="226ABD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6375344"/>
    <w:multiLevelType w:val="multilevel"/>
    <w:tmpl w:val="45F669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6704729"/>
    <w:multiLevelType w:val="multilevel"/>
    <w:tmpl w:val="53A0A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E374A1"/>
    <w:multiLevelType w:val="multilevel"/>
    <w:tmpl w:val="1D50D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EC2483"/>
    <w:multiLevelType w:val="hybridMultilevel"/>
    <w:tmpl w:val="C5502212"/>
    <w:lvl w:ilvl="0" w:tplc="791A6104">
      <w:start w:val="1"/>
      <w:numFmt w:val="bullet"/>
      <w:lvlText w:val="•"/>
      <w:lvlJc w:val="left"/>
      <w:pPr>
        <w:tabs>
          <w:tab w:val="num" w:pos="720"/>
        </w:tabs>
        <w:ind w:left="720" w:hanging="360"/>
      </w:pPr>
      <w:rPr>
        <w:rFonts w:ascii="Arial" w:hAnsi="Arial" w:hint="default"/>
      </w:rPr>
    </w:lvl>
    <w:lvl w:ilvl="1" w:tplc="63F4F8CE" w:tentative="1">
      <w:start w:val="1"/>
      <w:numFmt w:val="bullet"/>
      <w:lvlText w:val="•"/>
      <w:lvlJc w:val="left"/>
      <w:pPr>
        <w:tabs>
          <w:tab w:val="num" w:pos="1440"/>
        </w:tabs>
        <w:ind w:left="1440" w:hanging="360"/>
      </w:pPr>
      <w:rPr>
        <w:rFonts w:ascii="Arial" w:hAnsi="Arial" w:hint="default"/>
      </w:rPr>
    </w:lvl>
    <w:lvl w:ilvl="2" w:tplc="A5BA5314" w:tentative="1">
      <w:start w:val="1"/>
      <w:numFmt w:val="bullet"/>
      <w:lvlText w:val="•"/>
      <w:lvlJc w:val="left"/>
      <w:pPr>
        <w:tabs>
          <w:tab w:val="num" w:pos="2160"/>
        </w:tabs>
        <w:ind w:left="2160" w:hanging="360"/>
      </w:pPr>
      <w:rPr>
        <w:rFonts w:ascii="Arial" w:hAnsi="Arial" w:hint="default"/>
      </w:rPr>
    </w:lvl>
    <w:lvl w:ilvl="3" w:tplc="AB705EFC" w:tentative="1">
      <w:start w:val="1"/>
      <w:numFmt w:val="bullet"/>
      <w:lvlText w:val="•"/>
      <w:lvlJc w:val="left"/>
      <w:pPr>
        <w:tabs>
          <w:tab w:val="num" w:pos="2880"/>
        </w:tabs>
        <w:ind w:left="2880" w:hanging="360"/>
      </w:pPr>
      <w:rPr>
        <w:rFonts w:ascii="Arial" w:hAnsi="Arial" w:hint="default"/>
      </w:rPr>
    </w:lvl>
    <w:lvl w:ilvl="4" w:tplc="7D70BA08" w:tentative="1">
      <w:start w:val="1"/>
      <w:numFmt w:val="bullet"/>
      <w:lvlText w:val="•"/>
      <w:lvlJc w:val="left"/>
      <w:pPr>
        <w:tabs>
          <w:tab w:val="num" w:pos="3600"/>
        </w:tabs>
        <w:ind w:left="3600" w:hanging="360"/>
      </w:pPr>
      <w:rPr>
        <w:rFonts w:ascii="Arial" w:hAnsi="Arial" w:hint="default"/>
      </w:rPr>
    </w:lvl>
    <w:lvl w:ilvl="5" w:tplc="39746C56" w:tentative="1">
      <w:start w:val="1"/>
      <w:numFmt w:val="bullet"/>
      <w:lvlText w:val="•"/>
      <w:lvlJc w:val="left"/>
      <w:pPr>
        <w:tabs>
          <w:tab w:val="num" w:pos="4320"/>
        </w:tabs>
        <w:ind w:left="4320" w:hanging="360"/>
      </w:pPr>
      <w:rPr>
        <w:rFonts w:ascii="Arial" w:hAnsi="Arial" w:hint="default"/>
      </w:rPr>
    </w:lvl>
    <w:lvl w:ilvl="6" w:tplc="C1569418" w:tentative="1">
      <w:start w:val="1"/>
      <w:numFmt w:val="bullet"/>
      <w:lvlText w:val="•"/>
      <w:lvlJc w:val="left"/>
      <w:pPr>
        <w:tabs>
          <w:tab w:val="num" w:pos="5040"/>
        </w:tabs>
        <w:ind w:left="5040" w:hanging="360"/>
      </w:pPr>
      <w:rPr>
        <w:rFonts w:ascii="Arial" w:hAnsi="Arial" w:hint="default"/>
      </w:rPr>
    </w:lvl>
    <w:lvl w:ilvl="7" w:tplc="EE889BE2" w:tentative="1">
      <w:start w:val="1"/>
      <w:numFmt w:val="bullet"/>
      <w:lvlText w:val="•"/>
      <w:lvlJc w:val="left"/>
      <w:pPr>
        <w:tabs>
          <w:tab w:val="num" w:pos="5760"/>
        </w:tabs>
        <w:ind w:left="5760" w:hanging="360"/>
      </w:pPr>
      <w:rPr>
        <w:rFonts w:ascii="Arial" w:hAnsi="Arial" w:hint="default"/>
      </w:rPr>
    </w:lvl>
    <w:lvl w:ilvl="8" w:tplc="A29222E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5C8018C"/>
    <w:multiLevelType w:val="hybridMultilevel"/>
    <w:tmpl w:val="EC2280C0"/>
    <w:lvl w:ilvl="0" w:tplc="2D6E542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70B5DAA"/>
    <w:multiLevelType w:val="multilevel"/>
    <w:tmpl w:val="1E90C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5B4669"/>
    <w:multiLevelType w:val="hybridMultilevel"/>
    <w:tmpl w:val="D0D03E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15D4941"/>
    <w:multiLevelType w:val="hybridMultilevel"/>
    <w:tmpl w:val="27CE7B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712944"/>
    <w:multiLevelType w:val="multilevel"/>
    <w:tmpl w:val="45F669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A8B6C65"/>
    <w:multiLevelType w:val="hybridMultilevel"/>
    <w:tmpl w:val="FDC0512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B0553F3"/>
    <w:multiLevelType w:val="hybridMultilevel"/>
    <w:tmpl w:val="A29494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DA15B11"/>
    <w:multiLevelType w:val="hybridMultilevel"/>
    <w:tmpl w:val="99AAACB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AD1FDF"/>
    <w:multiLevelType w:val="multilevel"/>
    <w:tmpl w:val="19BC8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FD412C5"/>
    <w:multiLevelType w:val="hybridMultilevel"/>
    <w:tmpl w:val="C846C470"/>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154219F"/>
    <w:multiLevelType w:val="hybridMultilevel"/>
    <w:tmpl w:val="972E4B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BE16BE2"/>
    <w:multiLevelType w:val="hybridMultilevel"/>
    <w:tmpl w:val="EBCCA0F6"/>
    <w:lvl w:ilvl="0" w:tplc="92F4334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C202F07"/>
    <w:multiLevelType w:val="hybridMultilevel"/>
    <w:tmpl w:val="E654A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737DC4"/>
    <w:multiLevelType w:val="hybridMultilevel"/>
    <w:tmpl w:val="9A6CB2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EEB5894"/>
    <w:multiLevelType w:val="hybridMultilevel"/>
    <w:tmpl w:val="55A04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0"/>
  </w:num>
  <w:num w:numId="3">
    <w:abstractNumId w:val="1"/>
  </w:num>
  <w:num w:numId="4">
    <w:abstractNumId w:val="12"/>
  </w:num>
  <w:num w:numId="5">
    <w:abstractNumId w:val="10"/>
  </w:num>
  <w:num w:numId="6">
    <w:abstractNumId w:val="2"/>
    <w:lvlOverride w:ilvl="0">
      <w:startOverride w:val="81"/>
    </w:lvlOverride>
  </w:num>
  <w:num w:numId="7">
    <w:abstractNumId w:val="19"/>
  </w:num>
  <w:num w:numId="8">
    <w:abstractNumId w:val="7"/>
    <w:lvlOverride w:ilvl="0">
      <w:startOverride w:val="6"/>
    </w:lvlOverride>
  </w:num>
  <w:num w:numId="9">
    <w:abstractNumId w:val="15"/>
  </w:num>
  <w:num w:numId="10">
    <w:abstractNumId w:val="8"/>
    <w:lvlOverride w:ilvl="0">
      <w:startOverride w:val="290"/>
    </w:lvlOverride>
  </w:num>
  <w:num w:numId="11">
    <w:abstractNumId w:val="13"/>
  </w:num>
  <w:num w:numId="12">
    <w:abstractNumId w:val="9"/>
  </w:num>
  <w:num w:numId="13">
    <w:abstractNumId w:val="6"/>
  </w:num>
  <w:num w:numId="14">
    <w:abstractNumId w:val="14"/>
  </w:num>
  <w:num w:numId="15">
    <w:abstractNumId w:val="3"/>
  </w:num>
  <w:num w:numId="16">
    <w:abstractNumId w:val="17"/>
  </w:num>
  <w:num w:numId="17">
    <w:abstractNumId w:val="23"/>
  </w:num>
  <w:num w:numId="18">
    <w:abstractNumId w:val="20"/>
  </w:num>
  <w:num w:numId="19">
    <w:abstractNumId w:val="5"/>
  </w:num>
  <w:num w:numId="20">
    <w:abstractNumId w:val="21"/>
  </w:num>
  <w:num w:numId="21">
    <w:abstractNumId w:val="18"/>
  </w:num>
  <w:num w:numId="22">
    <w:abstractNumId w:val="16"/>
  </w:num>
  <w:num w:numId="23">
    <w:abstractNumId w:val="22"/>
  </w:num>
  <w:num w:numId="24">
    <w:abstractNumId w:val="24"/>
  </w:num>
  <w:num w:numId="25">
    <w:abstractNumId w:val="11"/>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43A"/>
    <w:rsid w:val="00001CCC"/>
    <w:rsid w:val="00002F32"/>
    <w:rsid w:val="0000677B"/>
    <w:rsid w:val="00010480"/>
    <w:rsid w:val="00012FC3"/>
    <w:rsid w:val="0001374A"/>
    <w:rsid w:val="000145A7"/>
    <w:rsid w:val="00021FF5"/>
    <w:rsid w:val="000224D8"/>
    <w:rsid w:val="00023438"/>
    <w:rsid w:val="00023C7C"/>
    <w:rsid w:val="00025CB5"/>
    <w:rsid w:val="00025F06"/>
    <w:rsid w:val="00025F8A"/>
    <w:rsid w:val="00026B66"/>
    <w:rsid w:val="00026C41"/>
    <w:rsid w:val="0003051F"/>
    <w:rsid w:val="000314A0"/>
    <w:rsid w:val="00031F65"/>
    <w:rsid w:val="0003270A"/>
    <w:rsid w:val="00032EE6"/>
    <w:rsid w:val="000337C2"/>
    <w:rsid w:val="000337F3"/>
    <w:rsid w:val="00033A07"/>
    <w:rsid w:val="00033E5C"/>
    <w:rsid w:val="000347EA"/>
    <w:rsid w:val="00036E94"/>
    <w:rsid w:val="000401DE"/>
    <w:rsid w:val="00040F6D"/>
    <w:rsid w:val="00041BCA"/>
    <w:rsid w:val="00042542"/>
    <w:rsid w:val="0004367D"/>
    <w:rsid w:val="00043D41"/>
    <w:rsid w:val="00044573"/>
    <w:rsid w:val="00045264"/>
    <w:rsid w:val="00045356"/>
    <w:rsid w:val="000460E6"/>
    <w:rsid w:val="000466A5"/>
    <w:rsid w:val="00047C26"/>
    <w:rsid w:val="00053EB7"/>
    <w:rsid w:val="000549E7"/>
    <w:rsid w:val="00056FBE"/>
    <w:rsid w:val="000611FD"/>
    <w:rsid w:val="00062980"/>
    <w:rsid w:val="00062FC8"/>
    <w:rsid w:val="00063354"/>
    <w:rsid w:val="00063E13"/>
    <w:rsid w:val="00065DEC"/>
    <w:rsid w:val="00065F12"/>
    <w:rsid w:val="00066BCD"/>
    <w:rsid w:val="000672FD"/>
    <w:rsid w:val="0006747B"/>
    <w:rsid w:val="0007217C"/>
    <w:rsid w:val="000721C1"/>
    <w:rsid w:val="00072AE7"/>
    <w:rsid w:val="00072E4A"/>
    <w:rsid w:val="00074D54"/>
    <w:rsid w:val="00075B98"/>
    <w:rsid w:val="00076382"/>
    <w:rsid w:val="00080F17"/>
    <w:rsid w:val="00084A3A"/>
    <w:rsid w:val="000856CC"/>
    <w:rsid w:val="00086BEA"/>
    <w:rsid w:val="00086ED8"/>
    <w:rsid w:val="00086EEE"/>
    <w:rsid w:val="00087238"/>
    <w:rsid w:val="00087938"/>
    <w:rsid w:val="00087BEA"/>
    <w:rsid w:val="00092439"/>
    <w:rsid w:val="00092E70"/>
    <w:rsid w:val="00092F12"/>
    <w:rsid w:val="000930B1"/>
    <w:rsid w:val="0009630A"/>
    <w:rsid w:val="00096786"/>
    <w:rsid w:val="00096CCC"/>
    <w:rsid w:val="000A04CF"/>
    <w:rsid w:val="000A1939"/>
    <w:rsid w:val="000A3B54"/>
    <w:rsid w:val="000A3DD8"/>
    <w:rsid w:val="000A4460"/>
    <w:rsid w:val="000A46E4"/>
    <w:rsid w:val="000A5386"/>
    <w:rsid w:val="000A58A4"/>
    <w:rsid w:val="000A6308"/>
    <w:rsid w:val="000A6979"/>
    <w:rsid w:val="000A707F"/>
    <w:rsid w:val="000B0AD9"/>
    <w:rsid w:val="000B3448"/>
    <w:rsid w:val="000B4803"/>
    <w:rsid w:val="000B7EA3"/>
    <w:rsid w:val="000B7F0D"/>
    <w:rsid w:val="000C141F"/>
    <w:rsid w:val="000C1A99"/>
    <w:rsid w:val="000C1A9F"/>
    <w:rsid w:val="000C3FF7"/>
    <w:rsid w:val="000C407F"/>
    <w:rsid w:val="000C4B9A"/>
    <w:rsid w:val="000C4B9D"/>
    <w:rsid w:val="000C6164"/>
    <w:rsid w:val="000C61A3"/>
    <w:rsid w:val="000C6B2E"/>
    <w:rsid w:val="000C6E30"/>
    <w:rsid w:val="000C77CC"/>
    <w:rsid w:val="000D08CC"/>
    <w:rsid w:val="000D3D5B"/>
    <w:rsid w:val="000E0442"/>
    <w:rsid w:val="000E1C7B"/>
    <w:rsid w:val="000E33EE"/>
    <w:rsid w:val="000E4028"/>
    <w:rsid w:val="000E65B2"/>
    <w:rsid w:val="000E67EF"/>
    <w:rsid w:val="000F0D59"/>
    <w:rsid w:val="000F15DA"/>
    <w:rsid w:val="000F1A4B"/>
    <w:rsid w:val="000F29F5"/>
    <w:rsid w:val="000F63BA"/>
    <w:rsid w:val="001013C6"/>
    <w:rsid w:val="001019D7"/>
    <w:rsid w:val="001049AD"/>
    <w:rsid w:val="00105B64"/>
    <w:rsid w:val="00106132"/>
    <w:rsid w:val="00110F1D"/>
    <w:rsid w:val="001122AC"/>
    <w:rsid w:val="001161EC"/>
    <w:rsid w:val="00117FE7"/>
    <w:rsid w:val="00121F3A"/>
    <w:rsid w:val="00122A70"/>
    <w:rsid w:val="00123F06"/>
    <w:rsid w:val="00123FE8"/>
    <w:rsid w:val="00124C5E"/>
    <w:rsid w:val="0012562A"/>
    <w:rsid w:val="00125899"/>
    <w:rsid w:val="00125C0D"/>
    <w:rsid w:val="001312DC"/>
    <w:rsid w:val="001321F1"/>
    <w:rsid w:val="00133C2C"/>
    <w:rsid w:val="00133EDF"/>
    <w:rsid w:val="0013426B"/>
    <w:rsid w:val="00134961"/>
    <w:rsid w:val="00135E1E"/>
    <w:rsid w:val="00136775"/>
    <w:rsid w:val="001367C3"/>
    <w:rsid w:val="00137BF8"/>
    <w:rsid w:val="00137D94"/>
    <w:rsid w:val="00140B39"/>
    <w:rsid w:val="00141752"/>
    <w:rsid w:val="00142ABB"/>
    <w:rsid w:val="00142B7B"/>
    <w:rsid w:val="00151795"/>
    <w:rsid w:val="00151EF8"/>
    <w:rsid w:val="00151F48"/>
    <w:rsid w:val="001520A9"/>
    <w:rsid w:val="001526DE"/>
    <w:rsid w:val="001528DF"/>
    <w:rsid w:val="00152B40"/>
    <w:rsid w:val="00153A23"/>
    <w:rsid w:val="00153A35"/>
    <w:rsid w:val="001542DC"/>
    <w:rsid w:val="00154CAE"/>
    <w:rsid w:val="00155584"/>
    <w:rsid w:val="00157750"/>
    <w:rsid w:val="00157ED6"/>
    <w:rsid w:val="0016002B"/>
    <w:rsid w:val="00165176"/>
    <w:rsid w:val="00166AFB"/>
    <w:rsid w:val="00170322"/>
    <w:rsid w:val="00172ED0"/>
    <w:rsid w:val="001759DE"/>
    <w:rsid w:val="00177643"/>
    <w:rsid w:val="00177B17"/>
    <w:rsid w:val="001812C3"/>
    <w:rsid w:val="001838A5"/>
    <w:rsid w:val="00183985"/>
    <w:rsid w:val="00184EB4"/>
    <w:rsid w:val="00184F53"/>
    <w:rsid w:val="001856AC"/>
    <w:rsid w:val="00185FA7"/>
    <w:rsid w:val="00186BBA"/>
    <w:rsid w:val="00186E13"/>
    <w:rsid w:val="00187189"/>
    <w:rsid w:val="00187839"/>
    <w:rsid w:val="00190742"/>
    <w:rsid w:val="00191A44"/>
    <w:rsid w:val="001940A1"/>
    <w:rsid w:val="00194DA6"/>
    <w:rsid w:val="00197123"/>
    <w:rsid w:val="00197AFD"/>
    <w:rsid w:val="00197B49"/>
    <w:rsid w:val="001A0648"/>
    <w:rsid w:val="001A0DA6"/>
    <w:rsid w:val="001A1263"/>
    <w:rsid w:val="001A40E0"/>
    <w:rsid w:val="001A55FF"/>
    <w:rsid w:val="001A6AA3"/>
    <w:rsid w:val="001A6DF4"/>
    <w:rsid w:val="001A7A97"/>
    <w:rsid w:val="001B049F"/>
    <w:rsid w:val="001B1D50"/>
    <w:rsid w:val="001B27C0"/>
    <w:rsid w:val="001B311A"/>
    <w:rsid w:val="001B354D"/>
    <w:rsid w:val="001B43B1"/>
    <w:rsid w:val="001B5683"/>
    <w:rsid w:val="001B6207"/>
    <w:rsid w:val="001B6EB2"/>
    <w:rsid w:val="001B6F67"/>
    <w:rsid w:val="001C002F"/>
    <w:rsid w:val="001C1D53"/>
    <w:rsid w:val="001C50F9"/>
    <w:rsid w:val="001C54D2"/>
    <w:rsid w:val="001C6137"/>
    <w:rsid w:val="001D01D1"/>
    <w:rsid w:val="001D0B4D"/>
    <w:rsid w:val="001D22E5"/>
    <w:rsid w:val="001D3112"/>
    <w:rsid w:val="001E1BFB"/>
    <w:rsid w:val="001E38B1"/>
    <w:rsid w:val="001E4302"/>
    <w:rsid w:val="001E4761"/>
    <w:rsid w:val="001E4FDD"/>
    <w:rsid w:val="001E538D"/>
    <w:rsid w:val="001E5C99"/>
    <w:rsid w:val="001E65D7"/>
    <w:rsid w:val="001E77BC"/>
    <w:rsid w:val="001F020B"/>
    <w:rsid w:val="001F2409"/>
    <w:rsid w:val="001F593C"/>
    <w:rsid w:val="001F6805"/>
    <w:rsid w:val="001F68A8"/>
    <w:rsid w:val="001F6980"/>
    <w:rsid w:val="001F6C71"/>
    <w:rsid w:val="001F6CD8"/>
    <w:rsid w:val="00200533"/>
    <w:rsid w:val="00200E93"/>
    <w:rsid w:val="002014F0"/>
    <w:rsid w:val="0020375B"/>
    <w:rsid w:val="002057F2"/>
    <w:rsid w:val="002068E2"/>
    <w:rsid w:val="00207A7C"/>
    <w:rsid w:val="002118AE"/>
    <w:rsid w:val="002131A3"/>
    <w:rsid w:val="00214C5D"/>
    <w:rsid w:val="0021581B"/>
    <w:rsid w:val="002166C8"/>
    <w:rsid w:val="00220A65"/>
    <w:rsid w:val="00222CB9"/>
    <w:rsid w:val="00223C00"/>
    <w:rsid w:val="00225401"/>
    <w:rsid w:val="00226616"/>
    <w:rsid w:val="0022692A"/>
    <w:rsid w:val="002277F3"/>
    <w:rsid w:val="00227AAA"/>
    <w:rsid w:val="002305AF"/>
    <w:rsid w:val="00230F2A"/>
    <w:rsid w:val="002319A8"/>
    <w:rsid w:val="00232601"/>
    <w:rsid w:val="00232F51"/>
    <w:rsid w:val="00235650"/>
    <w:rsid w:val="00235939"/>
    <w:rsid w:val="00237C1C"/>
    <w:rsid w:val="00241144"/>
    <w:rsid w:val="0024165C"/>
    <w:rsid w:val="002448E1"/>
    <w:rsid w:val="00244DA9"/>
    <w:rsid w:val="00245365"/>
    <w:rsid w:val="002459DE"/>
    <w:rsid w:val="00246852"/>
    <w:rsid w:val="0024709E"/>
    <w:rsid w:val="0024755A"/>
    <w:rsid w:val="0025087F"/>
    <w:rsid w:val="00250F35"/>
    <w:rsid w:val="002528AD"/>
    <w:rsid w:val="00252C1E"/>
    <w:rsid w:val="00256A2D"/>
    <w:rsid w:val="00257650"/>
    <w:rsid w:val="00257771"/>
    <w:rsid w:val="002609A3"/>
    <w:rsid w:val="00261649"/>
    <w:rsid w:val="00263008"/>
    <w:rsid w:val="0026311E"/>
    <w:rsid w:val="00264F36"/>
    <w:rsid w:val="002661DD"/>
    <w:rsid w:val="00266D1D"/>
    <w:rsid w:val="002707CC"/>
    <w:rsid w:val="002715D2"/>
    <w:rsid w:val="00273379"/>
    <w:rsid w:val="00274D28"/>
    <w:rsid w:val="002752AA"/>
    <w:rsid w:val="00275FFE"/>
    <w:rsid w:val="002761BA"/>
    <w:rsid w:val="00276276"/>
    <w:rsid w:val="0027629B"/>
    <w:rsid w:val="00277454"/>
    <w:rsid w:val="0028022F"/>
    <w:rsid w:val="00280CA4"/>
    <w:rsid w:val="00281A48"/>
    <w:rsid w:val="002843B4"/>
    <w:rsid w:val="00286CE4"/>
    <w:rsid w:val="00287137"/>
    <w:rsid w:val="00290EF0"/>
    <w:rsid w:val="00291207"/>
    <w:rsid w:val="00291287"/>
    <w:rsid w:val="00291F76"/>
    <w:rsid w:val="00292D17"/>
    <w:rsid w:val="00294ACD"/>
    <w:rsid w:val="00294AD0"/>
    <w:rsid w:val="00295010"/>
    <w:rsid w:val="002950E6"/>
    <w:rsid w:val="00295163"/>
    <w:rsid w:val="002957FE"/>
    <w:rsid w:val="00296053"/>
    <w:rsid w:val="0029785A"/>
    <w:rsid w:val="00297DDE"/>
    <w:rsid w:val="002A21CD"/>
    <w:rsid w:val="002A26D7"/>
    <w:rsid w:val="002A3450"/>
    <w:rsid w:val="002A3DBD"/>
    <w:rsid w:val="002A60FF"/>
    <w:rsid w:val="002A6CBB"/>
    <w:rsid w:val="002A7E45"/>
    <w:rsid w:val="002B0293"/>
    <w:rsid w:val="002B13A9"/>
    <w:rsid w:val="002B16ED"/>
    <w:rsid w:val="002B1842"/>
    <w:rsid w:val="002B1C71"/>
    <w:rsid w:val="002B2E66"/>
    <w:rsid w:val="002B53C9"/>
    <w:rsid w:val="002B6E55"/>
    <w:rsid w:val="002B76CC"/>
    <w:rsid w:val="002C0FDA"/>
    <w:rsid w:val="002C12FE"/>
    <w:rsid w:val="002C21ED"/>
    <w:rsid w:val="002C5482"/>
    <w:rsid w:val="002C5513"/>
    <w:rsid w:val="002C573C"/>
    <w:rsid w:val="002C683E"/>
    <w:rsid w:val="002C6E1E"/>
    <w:rsid w:val="002C6FD0"/>
    <w:rsid w:val="002D064D"/>
    <w:rsid w:val="002D40FB"/>
    <w:rsid w:val="002D4581"/>
    <w:rsid w:val="002D5603"/>
    <w:rsid w:val="002D6876"/>
    <w:rsid w:val="002D68C7"/>
    <w:rsid w:val="002D68EB"/>
    <w:rsid w:val="002D6CCA"/>
    <w:rsid w:val="002D70EB"/>
    <w:rsid w:val="002E078A"/>
    <w:rsid w:val="002E0F39"/>
    <w:rsid w:val="002E1791"/>
    <w:rsid w:val="002E1A77"/>
    <w:rsid w:val="002E22CD"/>
    <w:rsid w:val="002E370B"/>
    <w:rsid w:val="002E42A6"/>
    <w:rsid w:val="002E4E7E"/>
    <w:rsid w:val="002E6AA2"/>
    <w:rsid w:val="002E758F"/>
    <w:rsid w:val="002F173B"/>
    <w:rsid w:val="002F184E"/>
    <w:rsid w:val="002F2017"/>
    <w:rsid w:val="002F261F"/>
    <w:rsid w:val="002F2C0E"/>
    <w:rsid w:val="002F3DF3"/>
    <w:rsid w:val="002F4313"/>
    <w:rsid w:val="002F69AA"/>
    <w:rsid w:val="00303AAA"/>
    <w:rsid w:val="00305558"/>
    <w:rsid w:val="003059A1"/>
    <w:rsid w:val="00310B57"/>
    <w:rsid w:val="00311293"/>
    <w:rsid w:val="003126CC"/>
    <w:rsid w:val="0031271D"/>
    <w:rsid w:val="003136D4"/>
    <w:rsid w:val="00314AD4"/>
    <w:rsid w:val="003153EE"/>
    <w:rsid w:val="0031582D"/>
    <w:rsid w:val="00315887"/>
    <w:rsid w:val="00317780"/>
    <w:rsid w:val="003205F4"/>
    <w:rsid w:val="003212BE"/>
    <w:rsid w:val="003217FD"/>
    <w:rsid w:val="00321FBF"/>
    <w:rsid w:val="0032277F"/>
    <w:rsid w:val="00322DD2"/>
    <w:rsid w:val="00322EC3"/>
    <w:rsid w:val="00323790"/>
    <w:rsid w:val="003277E3"/>
    <w:rsid w:val="00327A2D"/>
    <w:rsid w:val="00331544"/>
    <w:rsid w:val="0033194A"/>
    <w:rsid w:val="003321FF"/>
    <w:rsid w:val="003339FE"/>
    <w:rsid w:val="00333A92"/>
    <w:rsid w:val="00336A90"/>
    <w:rsid w:val="00340508"/>
    <w:rsid w:val="003408C3"/>
    <w:rsid w:val="00340CC2"/>
    <w:rsid w:val="00342B10"/>
    <w:rsid w:val="003448E5"/>
    <w:rsid w:val="00344BF5"/>
    <w:rsid w:val="00347A2F"/>
    <w:rsid w:val="0035134F"/>
    <w:rsid w:val="00352906"/>
    <w:rsid w:val="0035355D"/>
    <w:rsid w:val="00354111"/>
    <w:rsid w:val="00355A61"/>
    <w:rsid w:val="003569C0"/>
    <w:rsid w:val="00360F35"/>
    <w:rsid w:val="00362D42"/>
    <w:rsid w:val="00363683"/>
    <w:rsid w:val="00363684"/>
    <w:rsid w:val="0036379E"/>
    <w:rsid w:val="00363ECE"/>
    <w:rsid w:val="0036407F"/>
    <w:rsid w:val="00365128"/>
    <w:rsid w:val="00366EDF"/>
    <w:rsid w:val="00367331"/>
    <w:rsid w:val="00370D90"/>
    <w:rsid w:val="00371409"/>
    <w:rsid w:val="00372080"/>
    <w:rsid w:val="00372BA8"/>
    <w:rsid w:val="00372CAD"/>
    <w:rsid w:val="00372F00"/>
    <w:rsid w:val="00373776"/>
    <w:rsid w:val="003742A1"/>
    <w:rsid w:val="00374831"/>
    <w:rsid w:val="00377069"/>
    <w:rsid w:val="003816E4"/>
    <w:rsid w:val="00382339"/>
    <w:rsid w:val="003830A5"/>
    <w:rsid w:val="003855C4"/>
    <w:rsid w:val="00385C23"/>
    <w:rsid w:val="00386202"/>
    <w:rsid w:val="00386665"/>
    <w:rsid w:val="00387A85"/>
    <w:rsid w:val="003905EF"/>
    <w:rsid w:val="00390ABB"/>
    <w:rsid w:val="00391DDD"/>
    <w:rsid w:val="0039220A"/>
    <w:rsid w:val="00395CBD"/>
    <w:rsid w:val="00395F10"/>
    <w:rsid w:val="00397491"/>
    <w:rsid w:val="0039772E"/>
    <w:rsid w:val="003A08A1"/>
    <w:rsid w:val="003A0ABE"/>
    <w:rsid w:val="003A2225"/>
    <w:rsid w:val="003A38F0"/>
    <w:rsid w:val="003A511D"/>
    <w:rsid w:val="003A708B"/>
    <w:rsid w:val="003A7484"/>
    <w:rsid w:val="003A7B9E"/>
    <w:rsid w:val="003B1BC0"/>
    <w:rsid w:val="003B23B9"/>
    <w:rsid w:val="003B2C0D"/>
    <w:rsid w:val="003B3A67"/>
    <w:rsid w:val="003B40EA"/>
    <w:rsid w:val="003B73E9"/>
    <w:rsid w:val="003B77F8"/>
    <w:rsid w:val="003B7D9F"/>
    <w:rsid w:val="003C0E1C"/>
    <w:rsid w:val="003C1F80"/>
    <w:rsid w:val="003C2100"/>
    <w:rsid w:val="003C3F4F"/>
    <w:rsid w:val="003C58F1"/>
    <w:rsid w:val="003C5E45"/>
    <w:rsid w:val="003C6888"/>
    <w:rsid w:val="003C7E21"/>
    <w:rsid w:val="003D0A42"/>
    <w:rsid w:val="003D323C"/>
    <w:rsid w:val="003D35AB"/>
    <w:rsid w:val="003D38B2"/>
    <w:rsid w:val="003D4A3D"/>
    <w:rsid w:val="003D5612"/>
    <w:rsid w:val="003D5AC2"/>
    <w:rsid w:val="003D5EFE"/>
    <w:rsid w:val="003D623D"/>
    <w:rsid w:val="003D6B38"/>
    <w:rsid w:val="003D6CF5"/>
    <w:rsid w:val="003D7778"/>
    <w:rsid w:val="003E0C6B"/>
    <w:rsid w:val="003E13BD"/>
    <w:rsid w:val="003E2285"/>
    <w:rsid w:val="003E40EF"/>
    <w:rsid w:val="003E6F8B"/>
    <w:rsid w:val="003F031E"/>
    <w:rsid w:val="003F048B"/>
    <w:rsid w:val="003F057E"/>
    <w:rsid w:val="003F0F62"/>
    <w:rsid w:val="003F21C0"/>
    <w:rsid w:val="003F40EA"/>
    <w:rsid w:val="003F5C6C"/>
    <w:rsid w:val="003F7CFF"/>
    <w:rsid w:val="00401D08"/>
    <w:rsid w:val="0040253D"/>
    <w:rsid w:val="0040373B"/>
    <w:rsid w:val="00403846"/>
    <w:rsid w:val="00403F86"/>
    <w:rsid w:val="00404690"/>
    <w:rsid w:val="004047C6"/>
    <w:rsid w:val="00404C3B"/>
    <w:rsid w:val="00404F16"/>
    <w:rsid w:val="00411AFE"/>
    <w:rsid w:val="0041344E"/>
    <w:rsid w:val="00413BDA"/>
    <w:rsid w:val="004154FF"/>
    <w:rsid w:val="00415D98"/>
    <w:rsid w:val="00415DC6"/>
    <w:rsid w:val="00416685"/>
    <w:rsid w:val="00416E0F"/>
    <w:rsid w:val="00420930"/>
    <w:rsid w:val="00420C9E"/>
    <w:rsid w:val="00423DCE"/>
    <w:rsid w:val="00423FE6"/>
    <w:rsid w:val="00424AA8"/>
    <w:rsid w:val="00425490"/>
    <w:rsid w:val="00425A64"/>
    <w:rsid w:val="00427850"/>
    <w:rsid w:val="004279B7"/>
    <w:rsid w:val="004313FB"/>
    <w:rsid w:val="00431CA1"/>
    <w:rsid w:val="0043396F"/>
    <w:rsid w:val="00434E25"/>
    <w:rsid w:val="0043693C"/>
    <w:rsid w:val="00436FE0"/>
    <w:rsid w:val="00440C8C"/>
    <w:rsid w:val="00440ED6"/>
    <w:rsid w:val="00442176"/>
    <w:rsid w:val="00443768"/>
    <w:rsid w:val="004441D6"/>
    <w:rsid w:val="00444308"/>
    <w:rsid w:val="00444D57"/>
    <w:rsid w:val="00444D59"/>
    <w:rsid w:val="004450E1"/>
    <w:rsid w:val="00447BE9"/>
    <w:rsid w:val="00452E29"/>
    <w:rsid w:val="004532FF"/>
    <w:rsid w:val="00453B8E"/>
    <w:rsid w:val="0045461C"/>
    <w:rsid w:val="004547F0"/>
    <w:rsid w:val="004566BD"/>
    <w:rsid w:val="0045792D"/>
    <w:rsid w:val="00460591"/>
    <w:rsid w:val="00461295"/>
    <w:rsid w:val="00462E2B"/>
    <w:rsid w:val="00463758"/>
    <w:rsid w:val="00463E23"/>
    <w:rsid w:val="00465E5F"/>
    <w:rsid w:val="00470147"/>
    <w:rsid w:val="0047040B"/>
    <w:rsid w:val="004706E6"/>
    <w:rsid w:val="00471152"/>
    <w:rsid w:val="00471BA6"/>
    <w:rsid w:val="0047484E"/>
    <w:rsid w:val="00474CB1"/>
    <w:rsid w:val="0047529B"/>
    <w:rsid w:val="00475E33"/>
    <w:rsid w:val="00475EEC"/>
    <w:rsid w:val="00477064"/>
    <w:rsid w:val="004772EB"/>
    <w:rsid w:val="004773BA"/>
    <w:rsid w:val="00480566"/>
    <w:rsid w:val="00480815"/>
    <w:rsid w:val="00480EDA"/>
    <w:rsid w:val="00482BD4"/>
    <w:rsid w:val="00482F2E"/>
    <w:rsid w:val="004853A4"/>
    <w:rsid w:val="004853F5"/>
    <w:rsid w:val="00486DE4"/>
    <w:rsid w:val="00487A68"/>
    <w:rsid w:val="00490002"/>
    <w:rsid w:val="0049013E"/>
    <w:rsid w:val="0049026F"/>
    <w:rsid w:val="004919C6"/>
    <w:rsid w:val="0049393C"/>
    <w:rsid w:val="004961B4"/>
    <w:rsid w:val="0049639C"/>
    <w:rsid w:val="00497A5C"/>
    <w:rsid w:val="004A0E8D"/>
    <w:rsid w:val="004A198F"/>
    <w:rsid w:val="004A1A67"/>
    <w:rsid w:val="004A2047"/>
    <w:rsid w:val="004A2D73"/>
    <w:rsid w:val="004A4FBA"/>
    <w:rsid w:val="004A70F3"/>
    <w:rsid w:val="004A7AF9"/>
    <w:rsid w:val="004B19F7"/>
    <w:rsid w:val="004B1D59"/>
    <w:rsid w:val="004B2276"/>
    <w:rsid w:val="004B26BA"/>
    <w:rsid w:val="004B2D10"/>
    <w:rsid w:val="004B35D8"/>
    <w:rsid w:val="004B3DE1"/>
    <w:rsid w:val="004B3E6D"/>
    <w:rsid w:val="004B5400"/>
    <w:rsid w:val="004B55CD"/>
    <w:rsid w:val="004B71C9"/>
    <w:rsid w:val="004C0400"/>
    <w:rsid w:val="004C0F96"/>
    <w:rsid w:val="004C14A8"/>
    <w:rsid w:val="004C62A9"/>
    <w:rsid w:val="004D28C1"/>
    <w:rsid w:val="004D343A"/>
    <w:rsid w:val="004D3EEE"/>
    <w:rsid w:val="004D418D"/>
    <w:rsid w:val="004D4200"/>
    <w:rsid w:val="004D5031"/>
    <w:rsid w:val="004D7E37"/>
    <w:rsid w:val="004E1697"/>
    <w:rsid w:val="004E184D"/>
    <w:rsid w:val="004E1ED3"/>
    <w:rsid w:val="004E1FC4"/>
    <w:rsid w:val="004E275E"/>
    <w:rsid w:val="004E27EE"/>
    <w:rsid w:val="004E46F3"/>
    <w:rsid w:val="004E4F57"/>
    <w:rsid w:val="004E5EE2"/>
    <w:rsid w:val="004E7DA5"/>
    <w:rsid w:val="004F0125"/>
    <w:rsid w:val="004F0C0A"/>
    <w:rsid w:val="004F2179"/>
    <w:rsid w:val="004F2673"/>
    <w:rsid w:val="004F2F6F"/>
    <w:rsid w:val="004F3EC0"/>
    <w:rsid w:val="004F41ED"/>
    <w:rsid w:val="004F56AF"/>
    <w:rsid w:val="004F7A57"/>
    <w:rsid w:val="004F7C0D"/>
    <w:rsid w:val="0050039D"/>
    <w:rsid w:val="00500559"/>
    <w:rsid w:val="00502C7B"/>
    <w:rsid w:val="00502EA4"/>
    <w:rsid w:val="00504079"/>
    <w:rsid w:val="00504282"/>
    <w:rsid w:val="0050654A"/>
    <w:rsid w:val="00507DB2"/>
    <w:rsid w:val="0051219F"/>
    <w:rsid w:val="00513DDF"/>
    <w:rsid w:val="00513E6D"/>
    <w:rsid w:val="00523A57"/>
    <w:rsid w:val="0052438A"/>
    <w:rsid w:val="005251FD"/>
    <w:rsid w:val="005255D5"/>
    <w:rsid w:val="00525C08"/>
    <w:rsid w:val="00525CA8"/>
    <w:rsid w:val="00525FC8"/>
    <w:rsid w:val="00526169"/>
    <w:rsid w:val="005270F7"/>
    <w:rsid w:val="005306CE"/>
    <w:rsid w:val="00532555"/>
    <w:rsid w:val="005326FE"/>
    <w:rsid w:val="00533255"/>
    <w:rsid w:val="0053552F"/>
    <w:rsid w:val="005356DD"/>
    <w:rsid w:val="00535956"/>
    <w:rsid w:val="00535F81"/>
    <w:rsid w:val="00537ACB"/>
    <w:rsid w:val="0054358F"/>
    <w:rsid w:val="0054616D"/>
    <w:rsid w:val="00546676"/>
    <w:rsid w:val="0054783A"/>
    <w:rsid w:val="00550BAF"/>
    <w:rsid w:val="00551879"/>
    <w:rsid w:val="0055263B"/>
    <w:rsid w:val="00553014"/>
    <w:rsid w:val="00554D88"/>
    <w:rsid w:val="00554E31"/>
    <w:rsid w:val="00556119"/>
    <w:rsid w:val="00556E8A"/>
    <w:rsid w:val="005627AF"/>
    <w:rsid w:val="00564481"/>
    <w:rsid w:val="00565A56"/>
    <w:rsid w:val="0056757C"/>
    <w:rsid w:val="0056763B"/>
    <w:rsid w:val="00567B48"/>
    <w:rsid w:val="00567E6D"/>
    <w:rsid w:val="00570288"/>
    <w:rsid w:val="00570621"/>
    <w:rsid w:val="005733E4"/>
    <w:rsid w:val="005738A0"/>
    <w:rsid w:val="00573D47"/>
    <w:rsid w:val="005761EF"/>
    <w:rsid w:val="00577310"/>
    <w:rsid w:val="005806D0"/>
    <w:rsid w:val="00581E66"/>
    <w:rsid w:val="00584611"/>
    <w:rsid w:val="005873BC"/>
    <w:rsid w:val="00590D75"/>
    <w:rsid w:val="005914CC"/>
    <w:rsid w:val="005929C1"/>
    <w:rsid w:val="00594235"/>
    <w:rsid w:val="00594334"/>
    <w:rsid w:val="005A0758"/>
    <w:rsid w:val="005A0C69"/>
    <w:rsid w:val="005A15C9"/>
    <w:rsid w:val="005A1B46"/>
    <w:rsid w:val="005A39C1"/>
    <w:rsid w:val="005A3BC7"/>
    <w:rsid w:val="005A504E"/>
    <w:rsid w:val="005A53D6"/>
    <w:rsid w:val="005A5A47"/>
    <w:rsid w:val="005A620C"/>
    <w:rsid w:val="005A63B3"/>
    <w:rsid w:val="005A6D8B"/>
    <w:rsid w:val="005B165B"/>
    <w:rsid w:val="005B2956"/>
    <w:rsid w:val="005B2F67"/>
    <w:rsid w:val="005B3A5C"/>
    <w:rsid w:val="005B511E"/>
    <w:rsid w:val="005B6DF5"/>
    <w:rsid w:val="005B6EF8"/>
    <w:rsid w:val="005B7835"/>
    <w:rsid w:val="005C2319"/>
    <w:rsid w:val="005C29F9"/>
    <w:rsid w:val="005C492E"/>
    <w:rsid w:val="005C4B0E"/>
    <w:rsid w:val="005C62F7"/>
    <w:rsid w:val="005C7407"/>
    <w:rsid w:val="005D14ED"/>
    <w:rsid w:val="005D1CCB"/>
    <w:rsid w:val="005D242E"/>
    <w:rsid w:val="005D3CB2"/>
    <w:rsid w:val="005D41A2"/>
    <w:rsid w:val="005D4DB7"/>
    <w:rsid w:val="005D4E55"/>
    <w:rsid w:val="005D672A"/>
    <w:rsid w:val="005D6E0F"/>
    <w:rsid w:val="005E029F"/>
    <w:rsid w:val="005E05A4"/>
    <w:rsid w:val="005E1889"/>
    <w:rsid w:val="005E220A"/>
    <w:rsid w:val="005E26B5"/>
    <w:rsid w:val="005E322D"/>
    <w:rsid w:val="005E6116"/>
    <w:rsid w:val="005E68E8"/>
    <w:rsid w:val="005E6E47"/>
    <w:rsid w:val="005F2640"/>
    <w:rsid w:val="005F3A28"/>
    <w:rsid w:val="005F4CCA"/>
    <w:rsid w:val="005F6811"/>
    <w:rsid w:val="006003E5"/>
    <w:rsid w:val="0060096D"/>
    <w:rsid w:val="006021BA"/>
    <w:rsid w:val="00602577"/>
    <w:rsid w:val="006052D4"/>
    <w:rsid w:val="006053F6"/>
    <w:rsid w:val="006056F0"/>
    <w:rsid w:val="006056F5"/>
    <w:rsid w:val="0060592B"/>
    <w:rsid w:val="006067C1"/>
    <w:rsid w:val="00606CC6"/>
    <w:rsid w:val="00607C05"/>
    <w:rsid w:val="00607C6D"/>
    <w:rsid w:val="006111F6"/>
    <w:rsid w:val="0061278B"/>
    <w:rsid w:val="00614236"/>
    <w:rsid w:val="0061504E"/>
    <w:rsid w:val="00620331"/>
    <w:rsid w:val="00620AEA"/>
    <w:rsid w:val="00623353"/>
    <w:rsid w:val="00623412"/>
    <w:rsid w:val="00623811"/>
    <w:rsid w:val="00623A12"/>
    <w:rsid w:val="006247AC"/>
    <w:rsid w:val="00624815"/>
    <w:rsid w:val="0062521B"/>
    <w:rsid w:val="006254D6"/>
    <w:rsid w:val="00626985"/>
    <w:rsid w:val="00631170"/>
    <w:rsid w:val="00634F12"/>
    <w:rsid w:val="0063558D"/>
    <w:rsid w:val="006355FB"/>
    <w:rsid w:val="00635C4C"/>
    <w:rsid w:val="00635F4C"/>
    <w:rsid w:val="006418D2"/>
    <w:rsid w:val="00643B15"/>
    <w:rsid w:val="00643CC5"/>
    <w:rsid w:val="00645566"/>
    <w:rsid w:val="00645CA8"/>
    <w:rsid w:val="00650047"/>
    <w:rsid w:val="00650DA5"/>
    <w:rsid w:val="00650EE8"/>
    <w:rsid w:val="00651EDD"/>
    <w:rsid w:val="00652168"/>
    <w:rsid w:val="0065262A"/>
    <w:rsid w:val="00654268"/>
    <w:rsid w:val="006543AC"/>
    <w:rsid w:val="00655556"/>
    <w:rsid w:val="00655943"/>
    <w:rsid w:val="00655964"/>
    <w:rsid w:val="006565B1"/>
    <w:rsid w:val="00661EB6"/>
    <w:rsid w:val="00662287"/>
    <w:rsid w:val="00662EFF"/>
    <w:rsid w:val="00663E9A"/>
    <w:rsid w:val="006656F0"/>
    <w:rsid w:val="00665885"/>
    <w:rsid w:val="00670AE6"/>
    <w:rsid w:val="00673FBF"/>
    <w:rsid w:val="00676B82"/>
    <w:rsid w:val="00676D78"/>
    <w:rsid w:val="00680627"/>
    <w:rsid w:val="0068088E"/>
    <w:rsid w:val="0068182D"/>
    <w:rsid w:val="00682717"/>
    <w:rsid w:val="006833F5"/>
    <w:rsid w:val="0068361D"/>
    <w:rsid w:val="0068388F"/>
    <w:rsid w:val="00683F1D"/>
    <w:rsid w:val="00684F0E"/>
    <w:rsid w:val="006858D0"/>
    <w:rsid w:val="00686190"/>
    <w:rsid w:val="0068724C"/>
    <w:rsid w:val="0068731D"/>
    <w:rsid w:val="00687863"/>
    <w:rsid w:val="00690011"/>
    <w:rsid w:val="00690D29"/>
    <w:rsid w:val="0069459B"/>
    <w:rsid w:val="0069505E"/>
    <w:rsid w:val="006955D5"/>
    <w:rsid w:val="00695BED"/>
    <w:rsid w:val="00695FC6"/>
    <w:rsid w:val="00696F68"/>
    <w:rsid w:val="00697546"/>
    <w:rsid w:val="006A15C3"/>
    <w:rsid w:val="006A2261"/>
    <w:rsid w:val="006A2745"/>
    <w:rsid w:val="006A4775"/>
    <w:rsid w:val="006A5079"/>
    <w:rsid w:val="006A6707"/>
    <w:rsid w:val="006B2D45"/>
    <w:rsid w:val="006B71E8"/>
    <w:rsid w:val="006B7B3E"/>
    <w:rsid w:val="006C068C"/>
    <w:rsid w:val="006C16F8"/>
    <w:rsid w:val="006C325E"/>
    <w:rsid w:val="006C4304"/>
    <w:rsid w:val="006C4AE7"/>
    <w:rsid w:val="006C5A6E"/>
    <w:rsid w:val="006C5B4E"/>
    <w:rsid w:val="006C5FF2"/>
    <w:rsid w:val="006C7C36"/>
    <w:rsid w:val="006D00D0"/>
    <w:rsid w:val="006D2762"/>
    <w:rsid w:val="006D2962"/>
    <w:rsid w:val="006D2ADA"/>
    <w:rsid w:val="006D30F1"/>
    <w:rsid w:val="006D38DD"/>
    <w:rsid w:val="006D3A76"/>
    <w:rsid w:val="006D575F"/>
    <w:rsid w:val="006E22EC"/>
    <w:rsid w:val="006E26CC"/>
    <w:rsid w:val="006E2A2B"/>
    <w:rsid w:val="006E3139"/>
    <w:rsid w:val="006E4307"/>
    <w:rsid w:val="006E7086"/>
    <w:rsid w:val="006F0381"/>
    <w:rsid w:val="006F1F8C"/>
    <w:rsid w:val="006F259C"/>
    <w:rsid w:val="006F4864"/>
    <w:rsid w:val="006F5334"/>
    <w:rsid w:val="006F56B4"/>
    <w:rsid w:val="006F5734"/>
    <w:rsid w:val="006F61EA"/>
    <w:rsid w:val="006F6277"/>
    <w:rsid w:val="006F6818"/>
    <w:rsid w:val="006F75F5"/>
    <w:rsid w:val="00700A09"/>
    <w:rsid w:val="007013BD"/>
    <w:rsid w:val="00701883"/>
    <w:rsid w:val="00701CA0"/>
    <w:rsid w:val="00703580"/>
    <w:rsid w:val="0070374E"/>
    <w:rsid w:val="007066D5"/>
    <w:rsid w:val="00707871"/>
    <w:rsid w:val="00707F21"/>
    <w:rsid w:val="00710B2C"/>
    <w:rsid w:val="00712334"/>
    <w:rsid w:val="007128CA"/>
    <w:rsid w:val="0071386D"/>
    <w:rsid w:val="00717177"/>
    <w:rsid w:val="00721497"/>
    <w:rsid w:val="0072183F"/>
    <w:rsid w:val="00721DA1"/>
    <w:rsid w:val="00721FCC"/>
    <w:rsid w:val="007257FB"/>
    <w:rsid w:val="0072636D"/>
    <w:rsid w:val="00727944"/>
    <w:rsid w:val="00730A86"/>
    <w:rsid w:val="007319E3"/>
    <w:rsid w:val="00731B6C"/>
    <w:rsid w:val="00731E17"/>
    <w:rsid w:val="00731E74"/>
    <w:rsid w:val="00736637"/>
    <w:rsid w:val="00736AB4"/>
    <w:rsid w:val="00736B04"/>
    <w:rsid w:val="00736CEB"/>
    <w:rsid w:val="00737679"/>
    <w:rsid w:val="00741428"/>
    <w:rsid w:val="00741920"/>
    <w:rsid w:val="007435DC"/>
    <w:rsid w:val="0074431E"/>
    <w:rsid w:val="007457CD"/>
    <w:rsid w:val="00745991"/>
    <w:rsid w:val="007460A1"/>
    <w:rsid w:val="00746C03"/>
    <w:rsid w:val="00747433"/>
    <w:rsid w:val="007475FA"/>
    <w:rsid w:val="00750CC8"/>
    <w:rsid w:val="00750FD4"/>
    <w:rsid w:val="00751347"/>
    <w:rsid w:val="00754688"/>
    <w:rsid w:val="0075675D"/>
    <w:rsid w:val="007570CD"/>
    <w:rsid w:val="007573AF"/>
    <w:rsid w:val="0076015C"/>
    <w:rsid w:val="007604B4"/>
    <w:rsid w:val="00763F86"/>
    <w:rsid w:val="00764C97"/>
    <w:rsid w:val="00764EAB"/>
    <w:rsid w:val="00766342"/>
    <w:rsid w:val="00766A1A"/>
    <w:rsid w:val="007701EF"/>
    <w:rsid w:val="0077102C"/>
    <w:rsid w:val="00771511"/>
    <w:rsid w:val="00771A4A"/>
    <w:rsid w:val="00781926"/>
    <w:rsid w:val="007822F1"/>
    <w:rsid w:val="0078287A"/>
    <w:rsid w:val="00783800"/>
    <w:rsid w:val="00783BBB"/>
    <w:rsid w:val="00783D7F"/>
    <w:rsid w:val="00786006"/>
    <w:rsid w:val="00786448"/>
    <w:rsid w:val="007907CC"/>
    <w:rsid w:val="0079664B"/>
    <w:rsid w:val="00797857"/>
    <w:rsid w:val="007979D6"/>
    <w:rsid w:val="007A08C1"/>
    <w:rsid w:val="007A0AA3"/>
    <w:rsid w:val="007A0C47"/>
    <w:rsid w:val="007A12F6"/>
    <w:rsid w:val="007A2C2E"/>
    <w:rsid w:val="007A4D68"/>
    <w:rsid w:val="007A532A"/>
    <w:rsid w:val="007A7464"/>
    <w:rsid w:val="007B3884"/>
    <w:rsid w:val="007B3E91"/>
    <w:rsid w:val="007B48CE"/>
    <w:rsid w:val="007B4DBC"/>
    <w:rsid w:val="007B5128"/>
    <w:rsid w:val="007B6B8B"/>
    <w:rsid w:val="007B7B50"/>
    <w:rsid w:val="007C10C1"/>
    <w:rsid w:val="007C2628"/>
    <w:rsid w:val="007C3CAB"/>
    <w:rsid w:val="007C460D"/>
    <w:rsid w:val="007C5553"/>
    <w:rsid w:val="007C57A7"/>
    <w:rsid w:val="007C5A42"/>
    <w:rsid w:val="007C71DE"/>
    <w:rsid w:val="007D10B9"/>
    <w:rsid w:val="007D2B5C"/>
    <w:rsid w:val="007D34C6"/>
    <w:rsid w:val="007D41A4"/>
    <w:rsid w:val="007D46E5"/>
    <w:rsid w:val="007D4E5E"/>
    <w:rsid w:val="007D580F"/>
    <w:rsid w:val="007D6786"/>
    <w:rsid w:val="007D6A8D"/>
    <w:rsid w:val="007D6C34"/>
    <w:rsid w:val="007D7BBD"/>
    <w:rsid w:val="007E18CB"/>
    <w:rsid w:val="007E2E15"/>
    <w:rsid w:val="007E345B"/>
    <w:rsid w:val="007E3ABB"/>
    <w:rsid w:val="007E4143"/>
    <w:rsid w:val="007E504B"/>
    <w:rsid w:val="007E5222"/>
    <w:rsid w:val="007E5F9D"/>
    <w:rsid w:val="007E7750"/>
    <w:rsid w:val="007F276F"/>
    <w:rsid w:val="007F3CA2"/>
    <w:rsid w:val="007F3FA9"/>
    <w:rsid w:val="007F4709"/>
    <w:rsid w:val="007F4DE3"/>
    <w:rsid w:val="007F5062"/>
    <w:rsid w:val="007F52BD"/>
    <w:rsid w:val="007F52E6"/>
    <w:rsid w:val="007F63AC"/>
    <w:rsid w:val="007F6B8F"/>
    <w:rsid w:val="007F6F72"/>
    <w:rsid w:val="007F79EB"/>
    <w:rsid w:val="008014BB"/>
    <w:rsid w:val="00805683"/>
    <w:rsid w:val="00805A64"/>
    <w:rsid w:val="00807FFA"/>
    <w:rsid w:val="00811420"/>
    <w:rsid w:val="008114BF"/>
    <w:rsid w:val="008126E9"/>
    <w:rsid w:val="00812E4D"/>
    <w:rsid w:val="00814765"/>
    <w:rsid w:val="00814AB3"/>
    <w:rsid w:val="00814B0E"/>
    <w:rsid w:val="008168E6"/>
    <w:rsid w:val="008172C8"/>
    <w:rsid w:val="00822630"/>
    <w:rsid w:val="00822EBE"/>
    <w:rsid w:val="00824416"/>
    <w:rsid w:val="008251CE"/>
    <w:rsid w:val="00826026"/>
    <w:rsid w:val="00826937"/>
    <w:rsid w:val="00826EA3"/>
    <w:rsid w:val="00826F0B"/>
    <w:rsid w:val="00830330"/>
    <w:rsid w:val="00830797"/>
    <w:rsid w:val="00830C45"/>
    <w:rsid w:val="00830CE7"/>
    <w:rsid w:val="00833810"/>
    <w:rsid w:val="00833C16"/>
    <w:rsid w:val="00833D39"/>
    <w:rsid w:val="0083595C"/>
    <w:rsid w:val="008367AD"/>
    <w:rsid w:val="0083685A"/>
    <w:rsid w:val="0083736E"/>
    <w:rsid w:val="00837EBE"/>
    <w:rsid w:val="0084037B"/>
    <w:rsid w:val="0084128D"/>
    <w:rsid w:val="0084250D"/>
    <w:rsid w:val="00843A42"/>
    <w:rsid w:val="00844284"/>
    <w:rsid w:val="00846342"/>
    <w:rsid w:val="00846D9C"/>
    <w:rsid w:val="00847E61"/>
    <w:rsid w:val="0085012A"/>
    <w:rsid w:val="00851272"/>
    <w:rsid w:val="00852D10"/>
    <w:rsid w:val="0085441F"/>
    <w:rsid w:val="00855625"/>
    <w:rsid w:val="008565A3"/>
    <w:rsid w:val="00856F61"/>
    <w:rsid w:val="00860337"/>
    <w:rsid w:val="0086321D"/>
    <w:rsid w:val="00864AE6"/>
    <w:rsid w:val="00865E66"/>
    <w:rsid w:val="00867764"/>
    <w:rsid w:val="00867998"/>
    <w:rsid w:val="008707C3"/>
    <w:rsid w:val="00873627"/>
    <w:rsid w:val="00874531"/>
    <w:rsid w:val="00874AE6"/>
    <w:rsid w:val="00877437"/>
    <w:rsid w:val="00882327"/>
    <w:rsid w:val="00884CD8"/>
    <w:rsid w:val="008858B9"/>
    <w:rsid w:val="00885F4D"/>
    <w:rsid w:val="00886EF4"/>
    <w:rsid w:val="008903A8"/>
    <w:rsid w:val="0089100A"/>
    <w:rsid w:val="00892639"/>
    <w:rsid w:val="00894C05"/>
    <w:rsid w:val="00894C6A"/>
    <w:rsid w:val="00894D2A"/>
    <w:rsid w:val="00894F02"/>
    <w:rsid w:val="00897EBC"/>
    <w:rsid w:val="008A16F9"/>
    <w:rsid w:val="008A26BE"/>
    <w:rsid w:val="008A38C3"/>
    <w:rsid w:val="008A3F29"/>
    <w:rsid w:val="008A460E"/>
    <w:rsid w:val="008A478C"/>
    <w:rsid w:val="008A5A86"/>
    <w:rsid w:val="008A75FC"/>
    <w:rsid w:val="008B0D46"/>
    <w:rsid w:val="008B2536"/>
    <w:rsid w:val="008B264B"/>
    <w:rsid w:val="008B63CF"/>
    <w:rsid w:val="008B6832"/>
    <w:rsid w:val="008B68B5"/>
    <w:rsid w:val="008B6D20"/>
    <w:rsid w:val="008C0422"/>
    <w:rsid w:val="008C0B31"/>
    <w:rsid w:val="008C1E0E"/>
    <w:rsid w:val="008C1F28"/>
    <w:rsid w:val="008C34E1"/>
    <w:rsid w:val="008C62C3"/>
    <w:rsid w:val="008D2062"/>
    <w:rsid w:val="008D2119"/>
    <w:rsid w:val="008D256D"/>
    <w:rsid w:val="008D2C3A"/>
    <w:rsid w:val="008D331C"/>
    <w:rsid w:val="008D446D"/>
    <w:rsid w:val="008D4C2D"/>
    <w:rsid w:val="008D66F5"/>
    <w:rsid w:val="008D7361"/>
    <w:rsid w:val="008E0073"/>
    <w:rsid w:val="008E02FB"/>
    <w:rsid w:val="008E3350"/>
    <w:rsid w:val="008E5BD7"/>
    <w:rsid w:val="008F0A7A"/>
    <w:rsid w:val="008F1A20"/>
    <w:rsid w:val="008F236F"/>
    <w:rsid w:val="008F41CA"/>
    <w:rsid w:val="008F4C48"/>
    <w:rsid w:val="008F500B"/>
    <w:rsid w:val="008F5F50"/>
    <w:rsid w:val="008F632D"/>
    <w:rsid w:val="008F6ACA"/>
    <w:rsid w:val="008F6AF4"/>
    <w:rsid w:val="008F73AF"/>
    <w:rsid w:val="009004CB"/>
    <w:rsid w:val="009005C5"/>
    <w:rsid w:val="00900BBB"/>
    <w:rsid w:val="009031F5"/>
    <w:rsid w:val="009042D6"/>
    <w:rsid w:val="00904429"/>
    <w:rsid w:val="00905110"/>
    <w:rsid w:val="00905FC8"/>
    <w:rsid w:val="00906C27"/>
    <w:rsid w:val="00907F01"/>
    <w:rsid w:val="009106EA"/>
    <w:rsid w:val="0091136D"/>
    <w:rsid w:val="0091146F"/>
    <w:rsid w:val="00912C5D"/>
    <w:rsid w:val="00913394"/>
    <w:rsid w:val="00914443"/>
    <w:rsid w:val="00915E71"/>
    <w:rsid w:val="00917C99"/>
    <w:rsid w:val="0092072D"/>
    <w:rsid w:val="009210C6"/>
    <w:rsid w:val="0092224A"/>
    <w:rsid w:val="00922F54"/>
    <w:rsid w:val="0092382F"/>
    <w:rsid w:val="00923AE9"/>
    <w:rsid w:val="0092466C"/>
    <w:rsid w:val="0093202F"/>
    <w:rsid w:val="00934291"/>
    <w:rsid w:val="00934BA8"/>
    <w:rsid w:val="0093506C"/>
    <w:rsid w:val="00935095"/>
    <w:rsid w:val="00936246"/>
    <w:rsid w:val="00943E28"/>
    <w:rsid w:val="0094445F"/>
    <w:rsid w:val="0094496D"/>
    <w:rsid w:val="00944BA0"/>
    <w:rsid w:val="00944E59"/>
    <w:rsid w:val="00945FE4"/>
    <w:rsid w:val="009468F3"/>
    <w:rsid w:val="00946C03"/>
    <w:rsid w:val="0094789C"/>
    <w:rsid w:val="00947D70"/>
    <w:rsid w:val="00947EB1"/>
    <w:rsid w:val="00951104"/>
    <w:rsid w:val="00951174"/>
    <w:rsid w:val="009532F3"/>
    <w:rsid w:val="0095397B"/>
    <w:rsid w:val="00953CFF"/>
    <w:rsid w:val="00956607"/>
    <w:rsid w:val="00956840"/>
    <w:rsid w:val="00956C0F"/>
    <w:rsid w:val="009604B8"/>
    <w:rsid w:val="00962434"/>
    <w:rsid w:val="0096402C"/>
    <w:rsid w:val="009662F5"/>
    <w:rsid w:val="009671B9"/>
    <w:rsid w:val="00967439"/>
    <w:rsid w:val="00971131"/>
    <w:rsid w:val="009711B3"/>
    <w:rsid w:val="00972A69"/>
    <w:rsid w:val="00973019"/>
    <w:rsid w:val="00974860"/>
    <w:rsid w:val="009757FB"/>
    <w:rsid w:val="00975FB6"/>
    <w:rsid w:val="00977719"/>
    <w:rsid w:val="00980CF3"/>
    <w:rsid w:val="00982240"/>
    <w:rsid w:val="00982409"/>
    <w:rsid w:val="00984C74"/>
    <w:rsid w:val="00984C7E"/>
    <w:rsid w:val="00985EF7"/>
    <w:rsid w:val="00986CC3"/>
    <w:rsid w:val="0098727C"/>
    <w:rsid w:val="009874ED"/>
    <w:rsid w:val="00987558"/>
    <w:rsid w:val="00990D29"/>
    <w:rsid w:val="009921A5"/>
    <w:rsid w:val="0099266E"/>
    <w:rsid w:val="0099291A"/>
    <w:rsid w:val="009942C3"/>
    <w:rsid w:val="00996912"/>
    <w:rsid w:val="00996F2C"/>
    <w:rsid w:val="00997883"/>
    <w:rsid w:val="009A00C7"/>
    <w:rsid w:val="009A1F8A"/>
    <w:rsid w:val="009A24BB"/>
    <w:rsid w:val="009A27C9"/>
    <w:rsid w:val="009A4052"/>
    <w:rsid w:val="009A4C2A"/>
    <w:rsid w:val="009A58B6"/>
    <w:rsid w:val="009A5F7E"/>
    <w:rsid w:val="009A6848"/>
    <w:rsid w:val="009A6F2C"/>
    <w:rsid w:val="009A734D"/>
    <w:rsid w:val="009B153E"/>
    <w:rsid w:val="009B2AB5"/>
    <w:rsid w:val="009B3083"/>
    <w:rsid w:val="009B4C25"/>
    <w:rsid w:val="009B5EAF"/>
    <w:rsid w:val="009B79A0"/>
    <w:rsid w:val="009B7D16"/>
    <w:rsid w:val="009C0A59"/>
    <w:rsid w:val="009C1C8D"/>
    <w:rsid w:val="009C39A9"/>
    <w:rsid w:val="009C401D"/>
    <w:rsid w:val="009C4622"/>
    <w:rsid w:val="009C4C49"/>
    <w:rsid w:val="009C778E"/>
    <w:rsid w:val="009D1A16"/>
    <w:rsid w:val="009D25CE"/>
    <w:rsid w:val="009E3858"/>
    <w:rsid w:val="009E3D8A"/>
    <w:rsid w:val="009E4FF7"/>
    <w:rsid w:val="009E5A79"/>
    <w:rsid w:val="009E64BB"/>
    <w:rsid w:val="009E6C3F"/>
    <w:rsid w:val="009E7600"/>
    <w:rsid w:val="009E79A2"/>
    <w:rsid w:val="009F08DD"/>
    <w:rsid w:val="009F1DB2"/>
    <w:rsid w:val="009F6615"/>
    <w:rsid w:val="009F75F5"/>
    <w:rsid w:val="009F77A7"/>
    <w:rsid w:val="00A000FC"/>
    <w:rsid w:val="00A00251"/>
    <w:rsid w:val="00A01666"/>
    <w:rsid w:val="00A01774"/>
    <w:rsid w:val="00A01A0C"/>
    <w:rsid w:val="00A02400"/>
    <w:rsid w:val="00A029D5"/>
    <w:rsid w:val="00A03D7A"/>
    <w:rsid w:val="00A03DE1"/>
    <w:rsid w:val="00A047F4"/>
    <w:rsid w:val="00A05F72"/>
    <w:rsid w:val="00A0783B"/>
    <w:rsid w:val="00A1162D"/>
    <w:rsid w:val="00A11EF6"/>
    <w:rsid w:val="00A12371"/>
    <w:rsid w:val="00A12A7B"/>
    <w:rsid w:val="00A12E5F"/>
    <w:rsid w:val="00A13E93"/>
    <w:rsid w:val="00A14C95"/>
    <w:rsid w:val="00A154EE"/>
    <w:rsid w:val="00A15B70"/>
    <w:rsid w:val="00A2053A"/>
    <w:rsid w:val="00A2404C"/>
    <w:rsid w:val="00A2537B"/>
    <w:rsid w:val="00A25C08"/>
    <w:rsid w:val="00A27798"/>
    <w:rsid w:val="00A3116D"/>
    <w:rsid w:val="00A3160A"/>
    <w:rsid w:val="00A3321D"/>
    <w:rsid w:val="00A34626"/>
    <w:rsid w:val="00A34DF3"/>
    <w:rsid w:val="00A36240"/>
    <w:rsid w:val="00A36B27"/>
    <w:rsid w:val="00A37110"/>
    <w:rsid w:val="00A41ADB"/>
    <w:rsid w:val="00A439CE"/>
    <w:rsid w:val="00A45213"/>
    <w:rsid w:val="00A46729"/>
    <w:rsid w:val="00A46F3E"/>
    <w:rsid w:val="00A50051"/>
    <w:rsid w:val="00A513FD"/>
    <w:rsid w:val="00A51447"/>
    <w:rsid w:val="00A520C0"/>
    <w:rsid w:val="00A539C8"/>
    <w:rsid w:val="00A54087"/>
    <w:rsid w:val="00A54983"/>
    <w:rsid w:val="00A55866"/>
    <w:rsid w:val="00A558B0"/>
    <w:rsid w:val="00A55C2F"/>
    <w:rsid w:val="00A565DE"/>
    <w:rsid w:val="00A5756D"/>
    <w:rsid w:val="00A6060F"/>
    <w:rsid w:val="00A60E3D"/>
    <w:rsid w:val="00A6228B"/>
    <w:rsid w:val="00A62418"/>
    <w:rsid w:val="00A63A01"/>
    <w:rsid w:val="00A648B8"/>
    <w:rsid w:val="00A656BB"/>
    <w:rsid w:val="00A65CE3"/>
    <w:rsid w:val="00A65D4D"/>
    <w:rsid w:val="00A66624"/>
    <w:rsid w:val="00A67551"/>
    <w:rsid w:val="00A676A1"/>
    <w:rsid w:val="00A67863"/>
    <w:rsid w:val="00A67904"/>
    <w:rsid w:val="00A70CF5"/>
    <w:rsid w:val="00A70D84"/>
    <w:rsid w:val="00A71803"/>
    <w:rsid w:val="00A72E09"/>
    <w:rsid w:val="00A74B62"/>
    <w:rsid w:val="00A7735B"/>
    <w:rsid w:val="00A82080"/>
    <w:rsid w:val="00A82502"/>
    <w:rsid w:val="00A8255F"/>
    <w:rsid w:val="00A8563B"/>
    <w:rsid w:val="00A87053"/>
    <w:rsid w:val="00A87402"/>
    <w:rsid w:val="00A91BBA"/>
    <w:rsid w:val="00A92EC4"/>
    <w:rsid w:val="00A9471D"/>
    <w:rsid w:val="00A94CEF"/>
    <w:rsid w:val="00A952D5"/>
    <w:rsid w:val="00A95426"/>
    <w:rsid w:val="00A95F11"/>
    <w:rsid w:val="00A962C5"/>
    <w:rsid w:val="00AA00DB"/>
    <w:rsid w:val="00AA01B4"/>
    <w:rsid w:val="00AA0DBF"/>
    <w:rsid w:val="00AA10F4"/>
    <w:rsid w:val="00AA2129"/>
    <w:rsid w:val="00AA22F1"/>
    <w:rsid w:val="00AA2AC8"/>
    <w:rsid w:val="00AA457C"/>
    <w:rsid w:val="00AA4626"/>
    <w:rsid w:val="00AA555D"/>
    <w:rsid w:val="00AB066B"/>
    <w:rsid w:val="00AB153C"/>
    <w:rsid w:val="00AB2754"/>
    <w:rsid w:val="00AC0AB7"/>
    <w:rsid w:val="00AC1597"/>
    <w:rsid w:val="00AC1A49"/>
    <w:rsid w:val="00AC2C25"/>
    <w:rsid w:val="00AC5810"/>
    <w:rsid w:val="00AC6899"/>
    <w:rsid w:val="00AD09A0"/>
    <w:rsid w:val="00AD2BF4"/>
    <w:rsid w:val="00AD3BF2"/>
    <w:rsid w:val="00AD79FA"/>
    <w:rsid w:val="00AE3455"/>
    <w:rsid w:val="00AF25B2"/>
    <w:rsid w:val="00AF2B40"/>
    <w:rsid w:val="00AF31B7"/>
    <w:rsid w:val="00AF3435"/>
    <w:rsid w:val="00AF60F4"/>
    <w:rsid w:val="00B0319C"/>
    <w:rsid w:val="00B06A7E"/>
    <w:rsid w:val="00B07018"/>
    <w:rsid w:val="00B078F1"/>
    <w:rsid w:val="00B07CEB"/>
    <w:rsid w:val="00B107B5"/>
    <w:rsid w:val="00B13754"/>
    <w:rsid w:val="00B13C39"/>
    <w:rsid w:val="00B1508D"/>
    <w:rsid w:val="00B175EE"/>
    <w:rsid w:val="00B21447"/>
    <w:rsid w:val="00B22FD1"/>
    <w:rsid w:val="00B23201"/>
    <w:rsid w:val="00B2454F"/>
    <w:rsid w:val="00B26B09"/>
    <w:rsid w:val="00B27222"/>
    <w:rsid w:val="00B2729D"/>
    <w:rsid w:val="00B27DC2"/>
    <w:rsid w:val="00B318C0"/>
    <w:rsid w:val="00B326E2"/>
    <w:rsid w:val="00B33026"/>
    <w:rsid w:val="00B3339A"/>
    <w:rsid w:val="00B33A68"/>
    <w:rsid w:val="00B34C2D"/>
    <w:rsid w:val="00B353FC"/>
    <w:rsid w:val="00B371C9"/>
    <w:rsid w:val="00B379CB"/>
    <w:rsid w:val="00B37CA5"/>
    <w:rsid w:val="00B409A8"/>
    <w:rsid w:val="00B41A99"/>
    <w:rsid w:val="00B41C50"/>
    <w:rsid w:val="00B42415"/>
    <w:rsid w:val="00B42FB7"/>
    <w:rsid w:val="00B4392C"/>
    <w:rsid w:val="00B43B90"/>
    <w:rsid w:val="00B4523B"/>
    <w:rsid w:val="00B45D12"/>
    <w:rsid w:val="00B45D30"/>
    <w:rsid w:val="00B46799"/>
    <w:rsid w:val="00B47AA5"/>
    <w:rsid w:val="00B50566"/>
    <w:rsid w:val="00B50EA3"/>
    <w:rsid w:val="00B51740"/>
    <w:rsid w:val="00B549D4"/>
    <w:rsid w:val="00B54C82"/>
    <w:rsid w:val="00B54E1E"/>
    <w:rsid w:val="00B56A94"/>
    <w:rsid w:val="00B56AFA"/>
    <w:rsid w:val="00B5704F"/>
    <w:rsid w:val="00B60263"/>
    <w:rsid w:val="00B6042F"/>
    <w:rsid w:val="00B61201"/>
    <w:rsid w:val="00B61C0C"/>
    <w:rsid w:val="00B631A1"/>
    <w:rsid w:val="00B63A93"/>
    <w:rsid w:val="00B6438C"/>
    <w:rsid w:val="00B6666B"/>
    <w:rsid w:val="00B66C74"/>
    <w:rsid w:val="00B678B2"/>
    <w:rsid w:val="00B678D5"/>
    <w:rsid w:val="00B70D3E"/>
    <w:rsid w:val="00B7127F"/>
    <w:rsid w:val="00B71879"/>
    <w:rsid w:val="00B71F2C"/>
    <w:rsid w:val="00B72E0C"/>
    <w:rsid w:val="00B72E99"/>
    <w:rsid w:val="00B7314E"/>
    <w:rsid w:val="00B736BA"/>
    <w:rsid w:val="00B74BD9"/>
    <w:rsid w:val="00B755CF"/>
    <w:rsid w:val="00B76C4A"/>
    <w:rsid w:val="00B76DAD"/>
    <w:rsid w:val="00B7726C"/>
    <w:rsid w:val="00B77B8C"/>
    <w:rsid w:val="00B80095"/>
    <w:rsid w:val="00B80157"/>
    <w:rsid w:val="00B8208A"/>
    <w:rsid w:val="00B825B3"/>
    <w:rsid w:val="00B82765"/>
    <w:rsid w:val="00B82C91"/>
    <w:rsid w:val="00B82DC7"/>
    <w:rsid w:val="00B85AB9"/>
    <w:rsid w:val="00B85F14"/>
    <w:rsid w:val="00B9152E"/>
    <w:rsid w:val="00B91B74"/>
    <w:rsid w:val="00B9300E"/>
    <w:rsid w:val="00B931F8"/>
    <w:rsid w:val="00B94217"/>
    <w:rsid w:val="00B94E5C"/>
    <w:rsid w:val="00B94F2C"/>
    <w:rsid w:val="00B953E4"/>
    <w:rsid w:val="00B96375"/>
    <w:rsid w:val="00B968FF"/>
    <w:rsid w:val="00B96CF5"/>
    <w:rsid w:val="00BA05DC"/>
    <w:rsid w:val="00BA2ED9"/>
    <w:rsid w:val="00BA4A95"/>
    <w:rsid w:val="00BA55C1"/>
    <w:rsid w:val="00BA5DA8"/>
    <w:rsid w:val="00BA67E9"/>
    <w:rsid w:val="00BA7F6A"/>
    <w:rsid w:val="00BB0D9F"/>
    <w:rsid w:val="00BB1B7E"/>
    <w:rsid w:val="00BB1FB6"/>
    <w:rsid w:val="00BB213B"/>
    <w:rsid w:val="00BB30F9"/>
    <w:rsid w:val="00BB39A4"/>
    <w:rsid w:val="00BB3C3A"/>
    <w:rsid w:val="00BB3D46"/>
    <w:rsid w:val="00BB49E5"/>
    <w:rsid w:val="00BB5A51"/>
    <w:rsid w:val="00BB5B2C"/>
    <w:rsid w:val="00BB7857"/>
    <w:rsid w:val="00BC2A85"/>
    <w:rsid w:val="00BC2B66"/>
    <w:rsid w:val="00BC2D8C"/>
    <w:rsid w:val="00BC3329"/>
    <w:rsid w:val="00BC337F"/>
    <w:rsid w:val="00BC40B4"/>
    <w:rsid w:val="00BC5A6C"/>
    <w:rsid w:val="00BC6394"/>
    <w:rsid w:val="00BC6EFC"/>
    <w:rsid w:val="00BC7A67"/>
    <w:rsid w:val="00BD24E2"/>
    <w:rsid w:val="00BD25D1"/>
    <w:rsid w:val="00BD296F"/>
    <w:rsid w:val="00BD3894"/>
    <w:rsid w:val="00BD4587"/>
    <w:rsid w:val="00BD4CB4"/>
    <w:rsid w:val="00BD4DB9"/>
    <w:rsid w:val="00BD650F"/>
    <w:rsid w:val="00BD7BA9"/>
    <w:rsid w:val="00BE015B"/>
    <w:rsid w:val="00BE0304"/>
    <w:rsid w:val="00BE08F0"/>
    <w:rsid w:val="00BE3422"/>
    <w:rsid w:val="00BE3822"/>
    <w:rsid w:val="00BE4816"/>
    <w:rsid w:val="00BE48A7"/>
    <w:rsid w:val="00BE67C6"/>
    <w:rsid w:val="00BE7387"/>
    <w:rsid w:val="00BE7E04"/>
    <w:rsid w:val="00BF203D"/>
    <w:rsid w:val="00BF372E"/>
    <w:rsid w:val="00BF438A"/>
    <w:rsid w:val="00BF52A8"/>
    <w:rsid w:val="00BF557C"/>
    <w:rsid w:val="00BF57E9"/>
    <w:rsid w:val="00BF6A49"/>
    <w:rsid w:val="00C01D1D"/>
    <w:rsid w:val="00C01D84"/>
    <w:rsid w:val="00C061E9"/>
    <w:rsid w:val="00C10355"/>
    <w:rsid w:val="00C10665"/>
    <w:rsid w:val="00C13834"/>
    <w:rsid w:val="00C13E06"/>
    <w:rsid w:val="00C1413B"/>
    <w:rsid w:val="00C14572"/>
    <w:rsid w:val="00C14943"/>
    <w:rsid w:val="00C14CCB"/>
    <w:rsid w:val="00C15567"/>
    <w:rsid w:val="00C15E79"/>
    <w:rsid w:val="00C16C36"/>
    <w:rsid w:val="00C20614"/>
    <w:rsid w:val="00C22C80"/>
    <w:rsid w:val="00C24044"/>
    <w:rsid w:val="00C25908"/>
    <w:rsid w:val="00C26F0C"/>
    <w:rsid w:val="00C27210"/>
    <w:rsid w:val="00C34677"/>
    <w:rsid w:val="00C3531D"/>
    <w:rsid w:val="00C3602C"/>
    <w:rsid w:val="00C36484"/>
    <w:rsid w:val="00C373B9"/>
    <w:rsid w:val="00C41BF8"/>
    <w:rsid w:val="00C4424E"/>
    <w:rsid w:val="00C45A70"/>
    <w:rsid w:val="00C46829"/>
    <w:rsid w:val="00C51AFF"/>
    <w:rsid w:val="00C54B69"/>
    <w:rsid w:val="00C55C8D"/>
    <w:rsid w:val="00C6109E"/>
    <w:rsid w:val="00C610B0"/>
    <w:rsid w:val="00C611EB"/>
    <w:rsid w:val="00C61B60"/>
    <w:rsid w:val="00C62830"/>
    <w:rsid w:val="00C63149"/>
    <w:rsid w:val="00C63D94"/>
    <w:rsid w:val="00C647E4"/>
    <w:rsid w:val="00C65A05"/>
    <w:rsid w:val="00C65B46"/>
    <w:rsid w:val="00C6614F"/>
    <w:rsid w:val="00C66830"/>
    <w:rsid w:val="00C67BC7"/>
    <w:rsid w:val="00C711BB"/>
    <w:rsid w:val="00C7174C"/>
    <w:rsid w:val="00C72C1F"/>
    <w:rsid w:val="00C755B6"/>
    <w:rsid w:val="00C75BF9"/>
    <w:rsid w:val="00C769C0"/>
    <w:rsid w:val="00C8088E"/>
    <w:rsid w:val="00C8191D"/>
    <w:rsid w:val="00C82538"/>
    <w:rsid w:val="00C828F4"/>
    <w:rsid w:val="00C83098"/>
    <w:rsid w:val="00C867A9"/>
    <w:rsid w:val="00C9139C"/>
    <w:rsid w:val="00C9262F"/>
    <w:rsid w:val="00C92B58"/>
    <w:rsid w:val="00C937A0"/>
    <w:rsid w:val="00C93E86"/>
    <w:rsid w:val="00C94BAB"/>
    <w:rsid w:val="00C95926"/>
    <w:rsid w:val="00C97253"/>
    <w:rsid w:val="00CA01EE"/>
    <w:rsid w:val="00CA1945"/>
    <w:rsid w:val="00CA39AE"/>
    <w:rsid w:val="00CA3D38"/>
    <w:rsid w:val="00CA7A2E"/>
    <w:rsid w:val="00CB0A07"/>
    <w:rsid w:val="00CB1252"/>
    <w:rsid w:val="00CB45DD"/>
    <w:rsid w:val="00CB5816"/>
    <w:rsid w:val="00CB5FAF"/>
    <w:rsid w:val="00CB7757"/>
    <w:rsid w:val="00CB7A40"/>
    <w:rsid w:val="00CC10DF"/>
    <w:rsid w:val="00CC1767"/>
    <w:rsid w:val="00CC57DB"/>
    <w:rsid w:val="00CC5C65"/>
    <w:rsid w:val="00CC71ED"/>
    <w:rsid w:val="00CD056F"/>
    <w:rsid w:val="00CD1250"/>
    <w:rsid w:val="00CD4709"/>
    <w:rsid w:val="00CD54EB"/>
    <w:rsid w:val="00CD561C"/>
    <w:rsid w:val="00CD6A7F"/>
    <w:rsid w:val="00CD791A"/>
    <w:rsid w:val="00CE0625"/>
    <w:rsid w:val="00CE0AF7"/>
    <w:rsid w:val="00CE2751"/>
    <w:rsid w:val="00CE488F"/>
    <w:rsid w:val="00CE4E85"/>
    <w:rsid w:val="00CE599E"/>
    <w:rsid w:val="00CE5DD9"/>
    <w:rsid w:val="00CE64D5"/>
    <w:rsid w:val="00CE65E2"/>
    <w:rsid w:val="00CE7788"/>
    <w:rsid w:val="00CF0FA7"/>
    <w:rsid w:val="00CF116A"/>
    <w:rsid w:val="00CF1287"/>
    <w:rsid w:val="00CF2506"/>
    <w:rsid w:val="00CF3A8D"/>
    <w:rsid w:val="00CF4585"/>
    <w:rsid w:val="00CF56A3"/>
    <w:rsid w:val="00CF5DA1"/>
    <w:rsid w:val="00CF5FCD"/>
    <w:rsid w:val="00CF702A"/>
    <w:rsid w:val="00CF7D13"/>
    <w:rsid w:val="00D00531"/>
    <w:rsid w:val="00D00F44"/>
    <w:rsid w:val="00D01358"/>
    <w:rsid w:val="00D0151C"/>
    <w:rsid w:val="00D01AB2"/>
    <w:rsid w:val="00D02E30"/>
    <w:rsid w:val="00D052EF"/>
    <w:rsid w:val="00D07E55"/>
    <w:rsid w:val="00D1052E"/>
    <w:rsid w:val="00D1126C"/>
    <w:rsid w:val="00D112EC"/>
    <w:rsid w:val="00D11B45"/>
    <w:rsid w:val="00D12F25"/>
    <w:rsid w:val="00D13138"/>
    <w:rsid w:val="00D133AC"/>
    <w:rsid w:val="00D13488"/>
    <w:rsid w:val="00D1445E"/>
    <w:rsid w:val="00D1522A"/>
    <w:rsid w:val="00D154CE"/>
    <w:rsid w:val="00D15D7F"/>
    <w:rsid w:val="00D16F77"/>
    <w:rsid w:val="00D1730A"/>
    <w:rsid w:val="00D179CF"/>
    <w:rsid w:val="00D21030"/>
    <w:rsid w:val="00D21815"/>
    <w:rsid w:val="00D228EE"/>
    <w:rsid w:val="00D22B2A"/>
    <w:rsid w:val="00D2500E"/>
    <w:rsid w:val="00D26E44"/>
    <w:rsid w:val="00D27A76"/>
    <w:rsid w:val="00D31E3B"/>
    <w:rsid w:val="00D35064"/>
    <w:rsid w:val="00D352FD"/>
    <w:rsid w:val="00D411BB"/>
    <w:rsid w:val="00D42694"/>
    <w:rsid w:val="00D46F31"/>
    <w:rsid w:val="00D5021A"/>
    <w:rsid w:val="00D502DD"/>
    <w:rsid w:val="00D50338"/>
    <w:rsid w:val="00D51C7E"/>
    <w:rsid w:val="00D52C05"/>
    <w:rsid w:val="00D573CB"/>
    <w:rsid w:val="00D57998"/>
    <w:rsid w:val="00D57A02"/>
    <w:rsid w:val="00D60910"/>
    <w:rsid w:val="00D65BEB"/>
    <w:rsid w:val="00D65EEE"/>
    <w:rsid w:val="00D704F1"/>
    <w:rsid w:val="00D70FF8"/>
    <w:rsid w:val="00D71233"/>
    <w:rsid w:val="00D72209"/>
    <w:rsid w:val="00D72B0F"/>
    <w:rsid w:val="00D72B45"/>
    <w:rsid w:val="00D73078"/>
    <w:rsid w:val="00D747F5"/>
    <w:rsid w:val="00D74A00"/>
    <w:rsid w:val="00D768D5"/>
    <w:rsid w:val="00D81441"/>
    <w:rsid w:val="00D82DB6"/>
    <w:rsid w:val="00D83BC5"/>
    <w:rsid w:val="00D8500A"/>
    <w:rsid w:val="00D85A03"/>
    <w:rsid w:val="00D87843"/>
    <w:rsid w:val="00D9119E"/>
    <w:rsid w:val="00D92C81"/>
    <w:rsid w:val="00D92D36"/>
    <w:rsid w:val="00D93771"/>
    <w:rsid w:val="00D9464C"/>
    <w:rsid w:val="00D94C77"/>
    <w:rsid w:val="00D96975"/>
    <w:rsid w:val="00DA008B"/>
    <w:rsid w:val="00DA25B1"/>
    <w:rsid w:val="00DA3A10"/>
    <w:rsid w:val="00DA4B83"/>
    <w:rsid w:val="00DA6C58"/>
    <w:rsid w:val="00DA72BB"/>
    <w:rsid w:val="00DA74D7"/>
    <w:rsid w:val="00DA75CA"/>
    <w:rsid w:val="00DB030C"/>
    <w:rsid w:val="00DB0565"/>
    <w:rsid w:val="00DB4210"/>
    <w:rsid w:val="00DB4A66"/>
    <w:rsid w:val="00DB61F2"/>
    <w:rsid w:val="00DB6BBD"/>
    <w:rsid w:val="00DC0B43"/>
    <w:rsid w:val="00DC216C"/>
    <w:rsid w:val="00DC42F0"/>
    <w:rsid w:val="00DC4C42"/>
    <w:rsid w:val="00DC5469"/>
    <w:rsid w:val="00DC5E2D"/>
    <w:rsid w:val="00DC62C1"/>
    <w:rsid w:val="00DC662B"/>
    <w:rsid w:val="00DC68C4"/>
    <w:rsid w:val="00DC6CB9"/>
    <w:rsid w:val="00DC73F6"/>
    <w:rsid w:val="00DC75C6"/>
    <w:rsid w:val="00DC77C1"/>
    <w:rsid w:val="00DC7C1F"/>
    <w:rsid w:val="00DD34F0"/>
    <w:rsid w:val="00DD56FB"/>
    <w:rsid w:val="00DD5CE5"/>
    <w:rsid w:val="00DD7272"/>
    <w:rsid w:val="00DD734F"/>
    <w:rsid w:val="00DE0AC1"/>
    <w:rsid w:val="00DE1AB0"/>
    <w:rsid w:val="00DE1EC0"/>
    <w:rsid w:val="00DE35E2"/>
    <w:rsid w:val="00DE457E"/>
    <w:rsid w:val="00DE605B"/>
    <w:rsid w:val="00DE74C5"/>
    <w:rsid w:val="00DF0C2A"/>
    <w:rsid w:val="00DF0DC5"/>
    <w:rsid w:val="00DF16CA"/>
    <w:rsid w:val="00DF59D9"/>
    <w:rsid w:val="00DF6E6A"/>
    <w:rsid w:val="00DF71C7"/>
    <w:rsid w:val="00DF7465"/>
    <w:rsid w:val="00DF7760"/>
    <w:rsid w:val="00E01096"/>
    <w:rsid w:val="00E017D8"/>
    <w:rsid w:val="00E01B51"/>
    <w:rsid w:val="00E025AA"/>
    <w:rsid w:val="00E03AD6"/>
    <w:rsid w:val="00E0402C"/>
    <w:rsid w:val="00E045F3"/>
    <w:rsid w:val="00E04A7C"/>
    <w:rsid w:val="00E05B3A"/>
    <w:rsid w:val="00E0786B"/>
    <w:rsid w:val="00E07E68"/>
    <w:rsid w:val="00E10031"/>
    <w:rsid w:val="00E11721"/>
    <w:rsid w:val="00E1448A"/>
    <w:rsid w:val="00E14A47"/>
    <w:rsid w:val="00E164B9"/>
    <w:rsid w:val="00E16E87"/>
    <w:rsid w:val="00E16FC3"/>
    <w:rsid w:val="00E200F7"/>
    <w:rsid w:val="00E20BEC"/>
    <w:rsid w:val="00E216C4"/>
    <w:rsid w:val="00E21AFC"/>
    <w:rsid w:val="00E21FD2"/>
    <w:rsid w:val="00E22976"/>
    <w:rsid w:val="00E22D2B"/>
    <w:rsid w:val="00E2535A"/>
    <w:rsid w:val="00E25F74"/>
    <w:rsid w:val="00E27E72"/>
    <w:rsid w:val="00E3042C"/>
    <w:rsid w:val="00E32BF3"/>
    <w:rsid w:val="00E3319C"/>
    <w:rsid w:val="00E33889"/>
    <w:rsid w:val="00E36F30"/>
    <w:rsid w:val="00E41570"/>
    <w:rsid w:val="00E43C66"/>
    <w:rsid w:val="00E4401C"/>
    <w:rsid w:val="00E479ED"/>
    <w:rsid w:val="00E47DFF"/>
    <w:rsid w:val="00E519F5"/>
    <w:rsid w:val="00E53D76"/>
    <w:rsid w:val="00E542C7"/>
    <w:rsid w:val="00E549BD"/>
    <w:rsid w:val="00E557C4"/>
    <w:rsid w:val="00E55990"/>
    <w:rsid w:val="00E5704D"/>
    <w:rsid w:val="00E570E0"/>
    <w:rsid w:val="00E57B5B"/>
    <w:rsid w:val="00E60938"/>
    <w:rsid w:val="00E60992"/>
    <w:rsid w:val="00E60A01"/>
    <w:rsid w:val="00E60CB2"/>
    <w:rsid w:val="00E61E26"/>
    <w:rsid w:val="00E62E61"/>
    <w:rsid w:val="00E636F5"/>
    <w:rsid w:val="00E6417F"/>
    <w:rsid w:val="00E64683"/>
    <w:rsid w:val="00E65B6C"/>
    <w:rsid w:val="00E66290"/>
    <w:rsid w:val="00E66CD7"/>
    <w:rsid w:val="00E71051"/>
    <w:rsid w:val="00E7301B"/>
    <w:rsid w:val="00E743B7"/>
    <w:rsid w:val="00E74729"/>
    <w:rsid w:val="00E74745"/>
    <w:rsid w:val="00E747F5"/>
    <w:rsid w:val="00E74FA8"/>
    <w:rsid w:val="00E7515E"/>
    <w:rsid w:val="00E75732"/>
    <w:rsid w:val="00E7646C"/>
    <w:rsid w:val="00E765B6"/>
    <w:rsid w:val="00E76AD1"/>
    <w:rsid w:val="00E76DB1"/>
    <w:rsid w:val="00E778E6"/>
    <w:rsid w:val="00E832E0"/>
    <w:rsid w:val="00E8358B"/>
    <w:rsid w:val="00E83EE3"/>
    <w:rsid w:val="00E862E3"/>
    <w:rsid w:val="00E873F0"/>
    <w:rsid w:val="00E876E8"/>
    <w:rsid w:val="00E90521"/>
    <w:rsid w:val="00E92CFB"/>
    <w:rsid w:val="00E937CA"/>
    <w:rsid w:val="00E9535E"/>
    <w:rsid w:val="00E9626B"/>
    <w:rsid w:val="00E97628"/>
    <w:rsid w:val="00E978F7"/>
    <w:rsid w:val="00EA25C6"/>
    <w:rsid w:val="00EA4BA1"/>
    <w:rsid w:val="00EA5AFF"/>
    <w:rsid w:val="00EA5FB0"/>
    <w:rsid w:val="00EA6F2D"/>
    <w:rsid w:val="00EB0687"/>
    <w:rsid w:val="00EB156C"/>
    <w:rsid w:val="00EB26B0"/>
    <w:rsid w:val="00EB43C9"/>
    <w:rsid w:val="00EB4AE3"/>
    <w:rsid w:val="00EB6BFF"/>
    <w:rsid w:val="00EB75CE"/>
    <w:rsid w:val="00EC00FB"/>
    <w:rsid w:val="00EC0C63"/>
    <w:rsid w:val="00EC142C"/>
    <w:rsid w:val="00EC2592"/>
    <w:rsid w:val="00EC2C18"/>
    <w:rsid w:val="00EC67EC"/>
    <w:rsid w:val="00EC7301"/>
    <w:rsid w:val="00ED03B6"/>
    <w:rsid w:val="00ED0A94"/>
    <w:rsid w:val="00ED0B4A"/>
    <w:rsid w:val="00ED1D3E"/>
    <w:rsid w:val="00ED239C"/>
    <w:rsid w:val="00ED2607"/>
    <w:rsid w:val="00ED29A5"/>
    <w:rsid w:val="00ED2ABE"/>
    <w:rsid w:val="00ED39B9"/>
    <w:rsid w:val="00ED4759"/>
    <w:rsid w:val="00ED4A03"/>
    <w:rsid w:val="00ED5835"/>
    <w:rsid w:val="00ED620E"/>
    <w:rsid w:val="00ED6E75"/>
    <w:rsid w:val="00ED79F0"/>
    <w:rsid w:val="00ED7F64"/>
    <w:rsid w:val="00EE00AA"/>
    <w:rsid w:val="00EE0B90"/>
    <w:rsid w:val="00EE12A8"/>
    <w:rsid w:val="00EE1838"/>
    <w:rsid w:val="00EE2A81"/>
    <w:rsid w:val="00EE3439"/>
    <w:rsid w:val="00EE46C1"/>
    <w:rsid w:val="00EE6FB3"/>
    <w:rsid w:val="00EE7ACA"/>
    <w:rsid w:val="00EF0E31"/>
    <w:rsid w:val="00EF2906"/>
    <w:rsid w:val="00EF3C8C"/>
    <w:rsid w:val="00EF477B"/>
    <w:rsid w:val="00EF598C"/>
    <w:rsid w:val="00EF5A0D"/>
    <w:rsid w:val="00EF6D72"/>
    <w:rsid w:val="00EF7343"/>
    <w:rsid w:val="00EF7D85"/>
    <w:rsid w:val="00F01363"/>
    <w:rsid w:val="00F02F3A"/>
    <w:rsid w:val="00F05007"/>
    <w:rsid w:val="00F06A85"/>
    <w:rsid w:val="00F11894"/>
    <w:rsid w:val="00F11A99"/>
    <w:rsid w:val="00F11BD7"/>
    <w:rsid w:val="00F13D5C"/>
    <w:rsid w:val="00F15874"/>
    <w:rsid w:val="00F17948"/>
    <w:rsid w:val="00F20743"/>
    <w:rsid w:val="00F20A61"/>
    <w:rsid w:val="00F2105B"/>
    <w:rsid w:val="00F22C6C"/>
    <w:rsid w:val="00F2582F"/>
    <w:rsid w:val="00F26093"/>
    <w:rsid w:val="00F26B04"/>
    <w:rsid w:val="00F300E5"/>
    <w:rsid w:val="00F303AE"/>
    <w:rsid w:val="00F308E6"/>
    <w:rsid w:val="00F3103D"/>
    <w:rsid w:val="00F333BA"/>
    <w:rsid w:val="00F33A38"/>
    <w:rsid w:val="00F349D3"/>
    <w:rsid w:val="00F35572"/>
    <w:rsid w:val="00F35D9A"/>
    <w:rsid w:val="00F37384"/>
    <w:rsid w:val="00F410AD"/>
    <w:rsid w:val="00F42769"/>
    <w:rsid w:val="00F42A32"/>
    <w:rsid w:val="00F42D05"/>
    <w:rsid w:val="00F46871"/>
    <w:rsid w:val="00F46A44"/>
    <w:rsid w:val="00F47CC5"/>
    <w:rsid w:val="00F50CC0"/>
    <w:rsid w:val="00F511ED"/>
    <w:rsid w:val="00F534A4"/>
    <w:rsid w:val="00F53EA5"/>
    <w:rsid w:val="00F55413"/>
    <w:rsid w:val="00F56840"/>
    <w:rsid w:val="00F57F3F"/>
    <w:rsid w:val="00F60AE9"/>
    <w:rsid w:val="00F63CF2"/>
    <w:rsid w:val="00F67AD8"/>
    <w:rsid w:val="00F67B3D"/>
    <w:rsid w:val="00F67F7E"/>
    <w:rsid w:val="00F70216"/>
    <w:rsid w:val="00F71AE2"/>
    <w:rsid w:val="00F72BFD"/>
    <w:rsid w:val="00F75565"/>
    <w:rsid w:val="00F75728"/>
    <w:rsid w:val="00F76FDA"/>
    <w:rsid w:val="00F7720A"/>
    <w:rsid w:val="00F772A6"/>
    <w:rsid w:val="00F77AD8"/>
    <w:rsid w:val="00F81067"/>
    <w:rsid w:val="00F82D5C"/>
    <w:rsid w:val="00F82E9E"/>
    <w:rsid w:val="00F8332A"/>
    <w:rsid w:val="00F83D14"/>
    <w:rsid w:val="00F84AAC"/>
    <w:rsid w:val="00F853FD"/>
    <w:rsid w:val="00F85E92"/>
    <w:rsid w:val="00F87226"/>
    <w:rsid w:val="00F8731D"/>
    <w:rsid w:val="00F87BDB"/>
    <w:rsid w:val="00F911A7"/>
    <w:rsid w:val="00F938CD"/>
    <w:rsid w:val="00F977DA"/>
    <w:rsid w:val="00FA0C3F"/>
    <w:rsid w:val="00FA1099"/>
    <w:rsid w:val="00FA11B9"/>
    <w:rsid w:val="00FA1AE2"/>
    <w:rsid w:val="00FA1C8D"/>
    <w:rsid w:val="00FA2ED6"/>
    <w:rsid w:val="00FA4C04"/>
    <w:rsid w:val="00FA4E20"/>
    <w:rsid w:val="00FB0876"/>
    <w:rsid w:val="00FB132A"/>
    <w:rsid w:val="00FB1DB4"/>
    <w:rsid w:val="00FB2A72"/>
    <w:rsid w:val="00FB2C80"/>
    <w:rsid w:val="00FB319F"/>
    <w:rsid w:val="00FB52FD"/>
    <w:rsid w:val="00FB7C65"/>
    <w:rsid w:val="00FC0065"/>
    <w:rsid w:val="00FC109A"/>
    <w:rsid w:val="00FC25A6"/>
    <w:rsid w:val="00FC3249"/>
    <w:rsid w:val="00FC34D3"/>
    <w:rsid w:val="00FC37EA"/>
    <w:rsid w:val="00FC3FDB"/>
    <w:rsid w:val="00FC4F92"/>
    <w:rsid w:val="00FC5745"/>
    <w:rsid w:val="00FC5D13"/>
    <w:rsid w:val="00FC5E56"/>
    <w:rsid w:val="00FC7C51"/>
    <w:rsid w:val="00FD4533"/>
    <w:rsid w:val="00FD523F"/>
    <w:rsid w:val="00FD6A67"/>
    <w:rsid w:val="00FD70B5"/>
    <w:rsid w:val="00FE0568"/>
    <w:rsid w:val="00FE1272"/>
    <w:rsid w:val="00FE1336"/>
    <w:rsid w:val="00FE2CDF"/>
    <w:rsid w:val="00FE324C"/>
    <w:rsid w:val="00FE3DA3"/>
    <w:rsid w:val="00FE4EC8"/>
    <w:rsid w:val="00FE50E8"/>
    <w:rsid w:val="00FE544C"/>
    <w:rsid w:val="00FE62FF"/>
    <w:rsid w:val="00FE6A79"/>
    <w:rsid w:val="00FF13DF"/>
    <w:rsid w:val="00FF15D4"/>
    <w:rsid w:val="00FF24B2"/>
    <w:rsid w:val="00FF6343"/>
    <w:rsid w:val="00FF6CC8"/>
    <w:rsid w:val="00FF78D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C10CC9"/>
  <w15:docId w15:val="{9BE498B8-3532-43C0-96A3-99E5C274F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30A"/>
    <w:pPr>
      <w:spacing w:line="360" w:lineRule="auto"/>
    </w:pPr>
    <w:rPr>
      <w:rFonts w:ascii="Times New Roman" w:hAnsi="Times New Roman"/>
    </w:rPr>
  </w:style>
  <w:style w:type="paragraph" w:styleId="Heading1">
    <w:name w:val="heading 1"/>
    <w:basedOn w:val="Normal"/>
    <w:next w:val="Normal"/>
    <w:link w:val="Heading1Char"/>
    <w:uiPriority w:val="9"/>
    <w:qFormat/>
    <w:rsid w:val="00EC67E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371409"/>
    <w:pPr>
      <w:spacing w:after="200"/>
      <w:jc w:val="center"/>
      <w:outlineLvl w:val="1"/>
    </w:pPr>
    <w:rPr>
      <w:rFonts w:eastAsiaTheme="minorHAnsi" w:cs="Times New Roman"/>
      <w:lang w:val="en-AU"/>
    </w:rPr>
  </w:style>
  <w:style w:type="paragraph" w:styleId="Heading4">
    <w:name w:val="heading 4"/>
    <w:basedOn w:val="Normal"/>
    <w:next w:val="Normal"/>
    <w:link w:val="Heading4Char"/>
    <w:uiPriority w:val="9"/>
    <w:semiHidden/>
    <w:unhideWhenUsed/>
    <w:qFormat/>
    <w:rsid w:val="00F06A8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126C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0216"/>
    <w:pPr>
      <w:ind w:left="720"/>
      <w:contextualSpacing/>
    </w:pPr>
  </w:style>
  <w:style w:type="character" w:customStyle="1" w:styleId="Heading2Char">
    <w:name w:val="Heading 2 Char"/>
    <w:basedOn w:val="DefaultParagraphFont"/>
    <w:link w:val="Heading2"/>
    <w:uiPriority w:val="9"/>
    <w:rsid w:val="00371409"/>
    <w:rPr>
      <w:rFonts w:ascii="Times New Roman" w:eastAsiaTheme="minorHAnsi" w:hAnsi="Times New Roman" w:cs="Times New Roman"/>
      <w:lang w:val="en-AU"/>
    </w:rPr>
  </w:style>
  <w:style w:type="paragraph" w:styleId="FootnoteText">
    <w:name w:val="footnote text"/>
    <w:aliases w:val="Footnote Text Char Char Char,Footnote Text Char Char,FN"/>
    <w:basedOn w:val="Normal"/>
    <w:link w:val="FootnoteTextChar"/>
    <w:uiPriority w:val="99"/>
    <w:unhideWhenUsed/>
    <w:qFormat/>
    <w:rsid w:val="00371409"/>
    <w:rPr>
      <w:sz w:val="20"/>
      <w:szCs w:val="20"/>
      <w:lang w:val="en-AU" w:eastAsia="en-AU"/>
    </w:rPr>
  </w:style>
  <w:style w:type="character" w:customStyle="1" w:styleId="FootnoteTextChar">
    <w:name w:val="Footnote Text Char"/>
    <w:aliases w:val="Footnote Text Char Char Char Char,Footnote Text Char Char Char1,FN Char"/>
    <w:basedOn w:val="DefaultParagraphFont"/>
    <w:link w:val="FootnoteText"/>
    <w:uiPriority w:val="99"/>
    <w:rsid w:val="00371409"/>
    <w:rPr>
      <w:sz w:val="20"/>
      <w:szCs w:val="20"/>
      <w:lang w:val="en-AU" w:eastAsia="en-AU"/>
    </w:rPr>
  </w:style>
  <w:style w:type="character" w:styleId="FootnoteReference">
    <w:name w:val="footnote reference"/>
    <w:aliases w:val="NO"/>
    <w:basedOn w:val="DefaultParagraphFont"/>
    <w:uiPriority w:val="99"/>
    <w:unhideWhenUsed/>
    <w:rsid w:val="00371409"/>
    <w:rPr>
      <w:vertAlign w:val="superscript"/>
    </w:rPr>
  </w:style>
  <w:style w:type="character" w:styleId="Hyperlink">
    <w:name w:val="Hyperlink"/>
    <w:basedOn w:val="DefaultParagraphFont"/>
    <w:uiPriority w:val="99"/>
    <w:rsid w:val="00BB5A51"/>
    <w:rPr>
      <w:rFonts w:cs="Times New Roman"/>
      <w:color w:val="0000FF"/>
      <w:u w:val="single"/>
    </w:rPr>
  </w:style>
  <w:style w:type="character" w:customStyle="1" w:styleId="Heading1Char">
    <w:name w:val="Heading 1 Char"/>
    <w:basedOn w:val="DefaultParagraphFont"/>
    <w:link w:val="Heading1"/>
    <w:uiPriority w:val="9"/>
    <w:rsid w:val="00EC67EC"/>
    <w:rPr>
      <w:rFonts w:asciiTheme="majorHAnsi" w:eastAsiaTheme="majorEastAsia" w:hAnsiTheme="majorHAnsi" w:cstheme="majorBidi"/>
      <w:b/>
      <w:bCs/>
      <w:color w:val="345A8A" w:themeColor="accent1" w:themeShade="B5"/>
      <w:sz w:val="32"/>
      <w:szCs w:val="32"/>
    </w:rPr>
  </w:style>
  <w:style w:type="paragraph" w:styleId="BodyTextIndent">
    <w:name w:val="Body Text Indent"/>
    <w:basedOn w:val="Normal"/>
    <w:link w:val="BodyTextIndentChar"/>
    <w:rsid w:val="00EC67EC"/>
    <w:pPr>
      <w:ind w:left="567"/>
      <w:jc w:val="both"/>
    </w:pPr>
    <w:rPr>
      <w:rFonts w:eastAsia="Times New Roman" w:cs="Times New Roman"/>
      <w:noProof/>
      <w:sz w:val="22"/>
      <w:szCs w:val="20"/>
    </w:rPr>
  </w:style>
  <w:style w:type="character" w:customStyle="1" w:styleId="BodyTextIndentChar">
    <w:name w:val="Body Text Indent Char"/>
    <w:basedOn w:val="DefaultParagraphFont"/>
    <w:link w:val="BodyTextIndent"/>
    <w:rsid w:val="00EC67EC"/>
    <w:rPr>
      <w:rFonts w:ascii="Times New Roman" w:eastAsia="Times New Roman" w:hAnsi="Times New Roman" w:cs="Times New Roman"/>
      <w:noProof/>
      <w:sz w:val="22"/>
      <w:szCs w:val="20"/>
    </w:rPr>
  </w:style>
  <w:style w:type="paragraph" w:styleId="Header">
    <w:name w:val="header"/>
    <w:basedOn w:val="Normal"/>
    <w:link w:val="HeaderChar"/>
    <w:rsid w:val="00EC67EC"/>
    <w:pPr>
      <w:tabs>
        <w:tab w:val="center" w:pos="4153"/>
        <w:tab w:val="right" w:pos="8306"/>
      </w:tabs>
      <w:jc w:val="both"/>
    </w:pPr>
    <w:rPr>
      <w:rFonts w:eastAsia="Times New Roman" w:cs="Times New Roman"/>
      <w:noProof/>
      <w:szCs w:val="20"/>
    </w:rPr>
  </w:style>
  <w:style w:type="character" w:customStyle="1" w:styleId="HeaderChar">
    <w:name w:val="Header Char"/>
    <w:basedOn w:val="DefaultParagraphFont"/>
    <w:link w:val="Header"/>
    <w:rsid w:val="00EC67EC"/>
    <w:rPr>
      <w:rFonts w:ascii="Times New Roman" w:eastAsia="Times New Roman" w:hAnsi="Times New Roman" w:cs="Times New Roman"/>
      <w:noProof/>
      <w:szCs w:val="20"/>
    </w:rPr>
  </w:style>
  <w:style w:type="paragraph" w:styleId="EndnoteText">
    <w:name w:val="endnote text"/>
    <w:basedOn w:val="Normal"/>
    <w:link w:val="EndnoteTextChar"/>
    <w:semiHidden/>
    <w:rsid w:val="008C62C3"/>
    <w:rPr>
      <w:rFonts w:eastAsia="Times New Roman" w:cs="Times New Roman"/>
      <w:sz w:val="20"/>
      <w:szCs w:val="20"/>
      <w:lang w:val="en-AU" w:eastAsia="en-AU"/>
    </w:rPr>
  </w:style>
  <w:style w:type="character" w:customStyle="1" w:styleId="EndnoteTextChar">
    <w:name w:val="Endnote Text Char"/>
    <w:basedOn w:val="DefaultParagraphFont"/>
    <w:link w:val="EndnoteText"/>
    <w:semiHidden/>
    <w:rsid w:val="008C62C3"/>
    <w:rPr>
      <w:rFonts w:ascii="Times New Roman" w:eastAsia="Times New Roman" w:hAnsi="Times New Roman" w:cs="Times New Roman"/>
      <w:sz w:val="20"/>
      <w:szCs w:val="20"/>
      <w:lang w:val="en-AU" w:eastAsia="en-AU"/>
    </w:rPr>
  </w:style>
  <w:style w:type="character" w:styleId="EndnoteReference">
    <w:name w:val="endnote reference"/>
    <w:basedOn w:val="DefaultParagraphFont"/>
    <w:semiHidden/>
    <w:rsid w:val="008C62C3"/>
    <w:rPr>
      <w:vertAlign w:val="superscript"/>
    </w:rPr>
  </w:style>
  <w:style w:type="paragraph" w:styleId="BlockText">
    <w:name w:val="Block Text"/>
    <w:basedOn w:val="Normal"/>
    <w:uiPriority w:val="99"/>
    <w:rsid w:val="00B371C9"/>
    <w:pPr>
      <w:spacing w:after="120"/>
      <w:ind w:left="1440" w:right="1440"/>
    </w:pPr>
    <w:rPr>
      <w:rFonts w:eastAsia="Times New Roman" w:cs="Times New Roman"/>
      <w:lang w:val="en-AU" w:eastAsia="en-AU"/>
    </w:rPr>
  </w:style>
  <w:style w:type="paragraph" w:styleId="NormalWeb">
    <w:name w:val="Normal (Web)"/>
    <w:basedOn w:val="Normal"/>
    <w:uiPriority w:val="99"/>
    <w:semiHidden/>
    <w:unhideWhenUsed/>
    <w:rsid w:val="00FD6A67"/>
    <w:pPr>
      <w:spacing w:before="100" w:beforeAutospacing="1" w:after="100" w:afterAutospacing="1" w:line="240" w:lineRule="auto"/>
    </w:pPr>
    <w:rPr>
      <w:rFonts w:ascii="Times" w:hAnsi="Times" w:cs="Times New Roman"/>
      <w:sz w:val="20"/>
      <w:szCs w:val="20"/>
    </w:rPr>
  </w:style>
  <w:style w:type="paragraph" w:customStyle="1" w:styleId="Style1">
    <w:name w:val="Style1"/>
    <w:basedOn w:val="BodyText"/>
    <w:rsid w:val="008F73AF"/>
    <w:pPr>
      <w:spacing w:after="0"/>
      <w:ind w:right="-334"/>
    </w:pPr>
    <w:rPr>
      <w:rFonts w:ascii="Arial Narrow" w:eastAsia="Times New Roman" w:hAnsi="Arial Narrow" w:cs="Times New Roman"/>
      <w:szCs w:val="20"/>
      <w:lang w:val="en-AU"/>
    </w:rPr>
  </w:style>
  <w:style w:type="character" w:customStyle="1" w:styleId="StyleStyleStyleStyleStyleFootnoteReferenceTimesNewRoman">
    <w:name w:val="Style Style Style Style Style Footnote Reference + Times New Roman ..."/>
    <w:basedOn w:val="DefaultParagraphFont"/>
    <w:rsid w:val="008F73AF"/>
    <w:rPr>
      <w:rFonts w:ascii="Times New Roman" w:hAnsi="Times New Roman"/>
      <w:position w:val="6"/>
      <w:sz w:val="18"/>
      <w:szCs w:val="24"/>
    </w:rPr>
  </w:style>
  <w:style w:type="character" w:customStyle="1" w:styleId="StyleStyleFootnoteReference12pt212pt">
    <w:name w:val="Style Style Footnote Reference + 12 pt2 + 12 pt"/>
    <w:basedOn w:val="DefaultParagraphFont"/>
    <w:rsid w:val="008F73AF"/>
    <w:rPr>
      <w:rFonts w:ascii="Times New Roman" w:hAnsi="Times New Roman"/>
      <w:position w:val="6"/>
      <w:sz w:val="18"/>
      <w:szCs w:val="24"/>
    </w:rPr>
  </w:style>
  <w:style w:type="paragraph" w:styleId="BodyText">
    <w:name w:val="Body Text"/>
    <w:basedOn w:val="Normal"/>
    <w:link w:val="BodyTextChar"/>
    <w:uiPriority w:val="99"/>
    <w:semiHidden/>
    <w:unhideWhenUsed/>
    <w:rsid w:val="008F73AF"/>
    <w:pPr>
      <w:spacing w:after="120"/>
    </w:pPr>
  </w:style>
  <w:style w:type="character" w:customStyle="1" w:styleId="BodyTextChar">
    <w:name w:val="Body Text Char"/>
    <w:basedOn w:val="DefaultParagraphFont"/>
    <w:link w:val="BodyText"/>
    <w:uiPriority w:val="99"/>
    <w:semiHidden/>
    <w:rsid w:val="008F73AF"/>
    <w:rPr>
      <w:rFonts w:ascii="Times New Roman" w:hAnsi="Times New Roman"/>
    </w:rPr>
  </w:style>
  <w:style w:type="paragraph" w:customStyle="1" w:styleId="block">
    <w:name w:val="block"/>
    <w:basedOn w:val="Normal"/>
    <w:rsid w:val="00413BDA"/>
    <w:pPr>
      <w:spacing w:line="240" w:lineRule="auto"/>
    </w:pPr>
    <w:rPr>
      <w:rFonts w:cs="Times New Roman"/>
    </w:rPr>
  </w:style>
  <w:style w:type="paragraph" w:styleId="BalloonText">
    <w:name w:val="Balloon Text"/>
    <w:basedOn w:val="Normal"/>
    <w:link w:val="BalloonTextChar"/>
    <w:uiPriority w:val="99"/>
    <w:semiHidden/>
    <w:unhideWhenUsed/>
    <w:rsid w:val="00986CC3"/>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6CC3"/>
    <w:rPr>
      <w:rFonts w:ascii="Lucida Grande" w:hAnsi="Lucida Grande" w:cs="Lucida Grande"/>
      <w:sz w:val="18"/>
      <w:szCs w:val="18"/>
    </w:rPr>
  </w:style>
  <w:style w:type="character" w:styleId="CommentReference">
    <w:name w:val="annotation reference"/>
    <w:basedOn w:val="DefaultParagraphFont"/>
    <w:uiPriority w:val="99"/>
    <w:semiHidden/>
    <w:unhideWhenUsed/>
    <w:rsid w:val="00DE605B"/>
    <w:rPr>
      <w:sz w:val="18"/>
      <w:szCs w:val="18"/>
    </w:rPr>
  </w:style>
  <w:style w:type="paragraph" w:styleId="CommentText">
    <w:name w:val="annotation text"/>
    <w:basedOn w:val="Normal"/>
    <w:link w:val="CommentTextChar"/>
    <w:uiPriority w:val="99"/>
    <w:semiHidden/>
    <w:unhideWhenUsed/>
    <w:rsid w:val="00DE605B"/>
    <w:pPr>
      <w:spacing w:line="240" w:lineRule="auto"/>
    </w:pPr>
  </w:style>
  <w:style w:type="character" w:customStyle="1" w:styleId="CommentTextChar">
    <w:name w:val="Comment Text Char"/>
    <w:basedOn w:val="DefaultParagraphFont"/>
    <w:link w:val="CommentText"/>
    <w:uiPriority w:val="99"/>
    <w:semiHidden/>
    <w:rsid w:val="00DE605B"/>
    <w:rPr>
      <w:rFonts w:ascii="Times New Roman" w:hAnsi="Times New Roman"/>
    </w:rPr>
  </w:style>
  <w:style w:type="paragraph" w:styleId="CommentSubject">
    <w:name w:val="annotation subject"/>
    <w:basedOn w:val="CommentText"/>
    <w:next w:val="CommentText"/>
    <w:link w:val="CommentSubjectChar"/>
    <w:uiPriority w:val="99"/>
    <w:semiHidden/>
    <w:unhideWhenUsed/>
    <w:rsid w:val="00DE605B"/>
    <w:rPr>
      <w:b/>
      <w:bCs/>
      <w:sz w:val="20"/>
      <w:szCs w:val="20"/>
    </w:rPr>
  </w:style>
  <w:style w:type="character" w:customStyle="1" w:styleId="CommentSubjectChar">
    <w:name w:val="Comment Subject Char"/>
    <w:basedOn w:val="CommentTextChar"/>
    <w:link w:val="CommentSubject"/>
    <w:uiPriority w:val="99"/>
    <w:semiHidden/>
    <w:rsid w:val="00DE605B"/>
    <w:rPr>
      <w:rFonts w:ascii="Times New Roman" w:hAnsi="Times New Roman"/>
      <w:b/>
      <w:bCs/>
      <w:sz w:val="20"/>
      <w:szCs w:val="20"/>
    </w:rPr>
  </w:style>
  <w:style w:type="paragraph" w:styleId="Footer">
    <w:name w:val="footer"/>
    <w:basedOn w:val="Normal"/>
    <w:link w:val="FooterChar"/>
    <w:uiPriority w:val="99"/>
    <w:unhideWhenUsed/>
    <w:rsid w:val="00257771"/>
    <w:pPr>
      <w:tabs>
        <w:tab w:val="center" w:pos="4320"/>
        <w:tab w:val="right" w:pos="8640"/>
      </w:tabs>
      <w:spacing w:line="240" w:lineRule="auto"/>
    </w:pPr>
  </w:style>
  <w:style w:type="character" w:customStyle="1" w:styleId="FooterChar">
    <w:name w:val="Footer Char"/>
    <w:basedOn w:val="DefaultParagraphFont"/>
    <w:link w:val="Footer"/>
    <w:uiPriority w:val="99"/>
    <w:rsid w:val="00257771"/>
    <w:rPr>
      <w:rFonts w:ascii="Times New Roman" w:hAnsi="Times New Roman"/>
    </w:rPr>
  </w:style>
  <w:style w:type="character" w:styleId="PageNumber">
    <w:name w:val="page number"/>
    <w:basedOn w:val="DefaultParagraphFont"/>
    <w:uiPriority w:val="99"/>
    <w:semiHidden/>
    <w:unhideWhenUsed/>
    <w:rsid w:val="00257771"/>
  </w:style>
  <w:style w:type="character" w:styleId="Strong">
    <w:name w:val="Strong"/>
    <w:basedOn w:val="DefaultParagraphFont"/>
    <w:uiPriority w:val="22"/>
    <w:qFormat/>
    <w:rsid w:val="0068088E"/>
    <w:rPr>
      <w:b/>
      <w:bCs/>
    </w:rPr>
  </w:style>
  <w:style w:type="paragraph" w:styleId="NormalIndent">
    <w:name w:val="Normal Indent"/>
    <w:basedOn w:val="Normal"/>
    <w:uiPriority w:val="99"/>
    <w:unhideWhenUsed/>
    <w:rsid w:val="00FA1C8D"/>
    <w:pPr>
      <w:ind w:left="720"/>
    </w:pPr>
  </w:style>
  <w:style w:type="character" w:customStyle="1" w:styleId="apple-converted-space">
    <w:name w:val="apple-converted-space"/>
    <w:basedOn w:val="DefaultParagraphFont"/>
    <w:rsid w:val="00AB2754"/>
  </w:style>
  <w:style w:type="character" w:customStyle="1" w:styleId="A9">
    <w:name w:val="A9"/>
    <w:uiPriority w:val="99"/>
    <w:rsid w:val="00AB2754"/>
    <w:rPr>
      <w:rFonts w:cs="Myriad Pro Light"/>
      <w:color w:val="000000"/>
      <w:sz w:val="18"/>
      <w:szCs w:val="18"/>
    </w:rPr>
  </w:style>
  <w:style w:type="character" w:customStyle="1" w:styleId="Heading4Char">
    <w:name w:val="Heading 4 Char"/>
    <w:basedOn w:val="DefaultParagraphFont"/>
    <w:link w:val="Heading4"/>
    <w:uiPriority w:val="9"/>
    <w:semiHidden/>
    <w:rsid w:val="00F06A85"/>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79664B"/>
    <w:rPr>
      <w:color w:val="800080" w:themeColor="followedHyperlink"/>
      <w:u w:val="single"/>
    </w:rPr>
  </w:style>
  <w:style w:type="character" w:styleId="Emphasis">
    <w:name w:val="Emphasis"/>
    <w:basedOn w:val="DefaultParagraphFont"/>
    <w:uiPriority w:val="20"/>
    <w:qFormat/>
    <w:rsid w:val="0068361D"/>
    <w:rPr>
      <w:i/>
      <w:iCs/>
    </w:rPr>
  </w:style>
  <w:style w:type="character" w:customStyle="1" w:styleId="Heading5Char">
    <w:name w:val="Heading 5 Char"/>
    <w:basedOn w:val="DefaultParagraphFont"/>
    <w:link w:val="Heading5"/>
    <w:uiPriority w:val="9"/>
    <w:semiHidden/>
    <w:rsid w:val="003126CC"/>
    <w:rPr>
      <w:rFonts w:asciiTheme="majorHAnsi" w:eastAsiaTheme="majorEastAsia" w:hAnsiTheme="majorHAnsi" w:cstheme="majorBidi"/>
      <w:color w:val="243F60" w:themeColor="accent1" w:themeShade="7F"/>
    </w:rPr>
  </w:style>
  <w:style w:type="paragraph" w:styleId="Revision">
    <w:name w:val="Revision"/>
    <w:hidden/>
    <w:uiPriority w:val="99"/>
    <w:semiHidden/>
    <w:rsid w:val="00987558"/>
    <w:rPr>
      <w:rFonts w:ascii="Times New Roman" w:hAnsi="Times New Roman"/>
    </w:rPr>
  </w:style>
  <w:style w:type="paragraph" w:customStyle="1" w:styleId="legclearfix">
    <w:name w:val="legclearfix"/>
    <w:basedOn w:val="Normal"/>
    <w:rsid w:val="002C21ED"/>
    <w:pPr>
      <w:spacing w:before="100" w:beforeAutospacing="1" w:after="100" w:afterAutospacing="1" w:line="240" w:lineRule="auto"/>
    </w:pPr>
    <w:rPr>
      <w:rFonts w:eastAsia="Times New Roman" w:cs="Times New Roman"/>
      <w:lang w:val="en-AU" w:eastAsia="en-AU"/>
    </w:rPr>
  </w:style>
  <w:style w:type="character" w:customStyle="1" w:styleId="legds">
    <w:name w:val="legds"/>
    <w:basedOn w:val="DefaultParagraphFont"/>
    <w:rsid w:val="002C2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9709">
      <w:bodyDiv w:val="1"/>
      <w:marLeft w:val="0"/>
      <w:marRight w:val="0"/>
      <w:marTop w:val="0"/>
      <w:marBottom w:val="0"/>
      <w:divBdr>
        <w:top w:val="none" w:sz="0" w:space="0" w:color="auto"/>
        <w:left w:val="none" w:sz="0" w:space="0" w:color="auto"/>
        <w:bottom w:val="none" w:sz="0" w:space="0" w:color="auto"/>
        <w:right w:val="none" w:sz="0" w:space="0" w:color="auto"/>
      </w:divBdr>
    </w:div>
    <w:div w:id="49111224">
      <w:bodyDiv w:val="1"/>
      <w:marLeft w:val="0"/>
      <w:marRight w:val="0"/>
      <w:marTop w:val="0"/>
      <w:marBottom w:val="0"/>
      <w:divBdr>
        <w:top w:val="none" w:sz="0" w:space="0" w:color="auto"/>
        <w:left w:val="none" w:sz="0" w:space="0" w:color="auto"/>
        <w:bottom w:val="none" w:sz="0" w:space="0" w:color="auto"/>
        <w:right w:val="none" w:sz="0" w:space="0" w:color="auto"/>
      </w:divBdr>
    </w:div>
    <w:div w:id="69890428">
      <w:bodyDiv w:val="1"/>
      <w:marLeft w:val="0"/>
      <w:marRight w:val="0"/>
      <w:marTop w:val="0"/>
      <w:marBottom w:val="0"/>
      <w:divBdr>
        <w:top w:val="none" w:sz="0" w:space="0" w:color="auto"/>
        <w:left w:val="none" w:sz="0" w:space="0" w:color="auto"/>
        <w:bottom w:val="none" w:sz="0" w:space="0" w:color="auto"/>
        <w:right w:val="none" w:sz="0" w:space="0" w:color="auto"/>
      </w:divBdr>
    </w:div>
    <w:div w:id="99566101">
      <w:bodyDiv w:val="1"/>
      <w:marLeft w:val="0"/>
      <w:marRight w:val="0"/>
      <w:marTop w:val="0"/>
      <w:marBottom w:val="0"/>
      <w:divBdr>
        <w:top w:val="none" w:sz="0" w:space="0" w:color="auto"/>
        <w:left w:val="none" w:sz="0" w:space="0" w:color="auto"/>
        <w:bottom w:val="none" w:sz="0" w:space="0" w:color="auto"/>
        <w:right w:val="none" w:sz="0" w:space="0" w:color="auto"/>
      </w:divBdr>
    </w:div>
    <w:div w:id="113912164">
      <w:bodyDiv w:val="1"/>
      <w:marLeft w:val="0"/>
      <w:marRight w:val="0"/>
      <w:marTop w:val="0"/>
      <w:marBottom w:val="0"/>
      <w:divBdr>
        <w:top w:val="none" w:sz="0" w:space="0" w:color="auto"/>
        <w:left w:val="none" w:sz="0" w:space="0" w:color="auto"/>
        <w:bottom w:val="none" w:sz="0" w:space="0" w:color="auto"/>
        <w:right w:val="none" w:sz="0" w:space="0" w:color="auto"/>
      </w:divBdr>
    </w:div>
    <w:div w:id="165170026">
      <w:bodyDiv w:val="1"/>
      <w:marLeft w:val="0"/>
      <w:marRight w:val="0"/>
      <w:marTop w:val="0"/>
      <w:marBottom w:val="0"/>
      <w:divBdr>
        <w:top w:val="none" w:sz="0" w:space="0" w:color="auto"/>
        <w:left w:val="none" w:sz="0" w:space="0" w:color="auto"/>
        <w:bottom w:val="none" w:sz="0" w:space="0" w:color="auto"/>
        <w:right w:val="none" w:sz="0" w:space="0" w:color="auto"/>
      </w:divBdr>
    </w:div>
    <w:div w:id="202714112">
      <w:bodyDiv w:val="1"/>
      <w:marLeft w:val="0"/>
      <w:marRight w:val="0"/>
      <w:marTop w:val="0"/>
      <w:marBottom w:val="0"/>
      <w:divBdr>
        <w:top w:val="none" w:sz="0" w:space="0" w:color="auto"/>
        <w:left w:val="none" w:sz="0" w:space="0" w:color="auto"/>
        <w:bottom w:val="none" w:sz="0" w:space="0" w:color="auto"/>
        <w:right w:val="none" w:sz="0" w:space="0" w:color="auto"/>
      </w:divBdr>
      <w:divsChild>
        <w:div w:id="541291044">
          <w:marLeft w:val="0"/>
          <w:marRight w:val="0"/>
          <w:marTop w:val="0"/>
          <w:marBottom w:val="0"/>
          <w:divBdr>
            <w:top w:val="none" w:sz="0" w:space="0" w:color="auto"/>
            <w:left w:val="none" w:sz="0" w:space="0" w:color="auto"/>
            <w:bottom w:val="none" w:sz="0" w:space="0" w:color="auto"/>
            <w:right w:val="none" w:sz="0" w:space="0" w:color="auto"/>
          </w:divBdr>
        </w:div>
        <w:div w:id="25909024">
          <w:marLeft w:val="0"/>
          <w:marRight w:val="0"/>
          <w:marTop w:val="0"/>
          <w:marBottom w:val="0"/>
          <w:divBdr>
            <w:top w:val="none" w:sz="0" w:space="0" w:color="auto"/>
            <w:left w:val="none" w:sz="0" w:space="0" w:color="auto"/>
            <w:bottom w:val="none" w:sz="0" w:space="0" w:color="auto"/>
            <w:right w:val="none" w:sz="0" w:space="0" w:color="auto"/>
          </w:divBdr>
        </w:div>
      </w:divsChild>
    </w:div>
    <w:div w:id="222568709">
      <w:bodyDiv w:val="1"/>
      <w:marLeft w:val="0"/>
      <w:marRight w:val="0"/>
      <w:marTop w:val="0"/>
      <w:marBottom w:val="0"/>
      <w:divBdr>
        <w:top w:val="none" w:sz="0" w:space="0" w:color="auto"/>
        <w:left w:val="none" w:sz="0" w:space="0" w:color="auto"/>
        <w:bottom w:val="none" w:sz="0" w:space="0" w:color="auto"/>
        <w:right w:val="none" w:sz="0" w:space="0" w:color="auto"/>
      </w:divBdr>
    </w:div>
    <w:div w:id="236137704">
      <w:bodyDiv w:val="1"/>
      <w:marLeft w:val="0"/>
      <w:marRight w:val="0"/>
      <w:marTop w:val="0"/>
      <w:marBottom w:val="0"/>
      <w:divBdr>
        <w:top w:val="none" w:sz="0" w:space="0" w:color="auto"/>
        <w:left w:val="none" w:sz="0" w:space="0" w:color="auto"/>
        <w:bottom w:val="none" w:sz="0" w:space="0" w:color="auto"/>
        <w:right w:val="none" w:sz="0" w:space="0" w:color="auto"/>
      </w:divBdr>
    </w:div>
    <w:div w:id="315425115">
      <w:bodyDiv w:val="1"/>
      <w:marLeft w:val="0"/>
      <w:marRight w:val="0"/>
      <w:marTop w:val="0"/>
      <w:marBottom w:val="0"/>
      <w:divBdr>
        <w:top w:val="none" w:sz="0" w:space="0" w:color="auto"/>
        <w:left w:val="none" w:sz="0" w:space="0" w:color="auto"/>
        <w:bottom w:val="none" w:sz="0" w:space="0" w:color="auto"/>
        <w:right w:val="none" w:sz="0" w:space="0" w:color="auto"/>
      </w:divBdr>
    </w:div>
    <w:div w:id="320892014">
      <w:bodyDiv w:val="1"/>
      <w:marLeft w:val="0"/>
      <w:marRight w:val="0"/>
      <w:marTop w:val="0"/>
      <w:marBottom w:val="0"/>
      <w:divBdr>
        <w:top w:val="none" w:sz="0" w:space="0" w:color="auto"/>
        <w:left w:val="none" w:sz="0" w:space="0" w:color="auto"/>
        <w:bottom w:val="none" w:sz="0" w:space="0" w:color="auto"/>
        <w:right w:val="none" w:sz="0" w:space="0" w:color="auto"/>
      </w:divBdr>
    </w:div>
    <w:div w:id="372972857">
      <w:bodyDiv w:val="1"/>
      <w:marLeft w:val="0"/>
      <w:marRight w:val="0"/>
      <w:marTop w:val="0"/>
      <w:marBottom w:val="0"/>
      <w:divBdr>
        <w:top w:val="none" w:sz="0" w:space="0" w:color="auto"/>
        <w:left w:val="none" w:sz="0" w:space="0" w:color="auto"/>
        <w:bottom w:val="none" w:sz="0" w:space="0" w:color="auto"/>
        <w:right w:val="none" w:sz="0" w:space="0" w:color="auto"/>
      </w:divBdr>
    </w:div>
    <w:div w:id="380715022">
      <w:bodyDiv w:val="1"/>
      <w:marLeft w:val="0"/>
      <w:marRight w:val="0"/>
      <w:marTop w:val="0"/>
      <w:marBottom w:val="0"/>
      <w:divBdr>
        <w:top w:val="none" w:sz="0" w:space="0" w:color="auto"/>
        <w:left w:val="none" w:sz="0" w:space="0" w:color="auto"/>
        <w:bottom w:val="none" w:sz="0" w:space="0" w:color="auto"/>
        <w:right w:val="none" w:sz="0" w:space="0" w:color="auto"/>
      </w:divBdr>
    </w:div>
    <w:div w:id="386531609">
      <w:bodyDiv w:val="1"/>
      <w:marLeft w:val="0"/>
      <w:marRight w:val="0"/>
      <w:marTop w:val="0"/>
      <w:marBottom w:val="0"/>
      <w:divBdr>
        <w:top w:val="none" w:sz="0" w:space="0" w:color="auto"/>
        <w:left w:val="none" w:sz="0" w:space="0" w:color="auto"/>
        <w:bottom w:val="none" w:sz="0" w:space="0" w:color="auto"/>
        <w:right w:val="none" w:sz="0" w:space="0" w:color="auto"/>
      </w:divBdr>
    </w:div>
    <w:div w:id="404450119">
      <w:bodyDiv w:val="1"/>
      <w:marLeft w:val="0"/>
      <w:marRight w:val="0"/>
      <w:marTop w:val="0"/>
      <w:marBottom w:val="0"/>
      <w:divBdr>
        <w:top w:val="none" w:sz="0" w:space="0" w:color="auto"/>
        <w:left w:val="none" w:sz="0" w:space="0" w:color="auto"/>
        <w:bottom w:val="none" w:sz="0" w:space="0" w:color="auto"/>
        <w:right w:val="none" w:sz="0" w:space="0" w:color="auto"/>
      </w:divBdr>
    </w:div>
    <w:div w:id="427779467">
      <w:bodyDiv w:val="1"/>
      <w:marLeft w:val="0"/>
      <w:marRight w:val="0"/>
      <w:marTop w:val="0"/>
      <w:marBottom w:val="0"/>
      <w:divBdr>
        <w:top w:val="none" w:sz="0" w:space="0" w:color="auto"/>
        <w:left w:val="none" w:sz="0" w:space="0" w:color="auto"/>
        <w:bottom w:val="none" w:sz="0" w:space="0" w:color="auto"/>
        <w:right w:val="none" w:sz="0" w:space="0" w:color="auto"/>
      </w:divBdr>
    </w:div>
    <w:div w:id="453065334">
      <w:bodyDiv w:val="1"/>
      <w:marLeft w:val="0"/>
      <w:marRight w:val="0"/>
      <w:marTop w:val="0"/>
      <w:marBottom w:val="0"/>
      <w:divBdr>
        <w:top w:val="none" w:sz="0" w:space="0" w:color="auto"/>
        <w:left w:val="none" w:sz="0" w:space="0" w:color="auto"/>
        <w:bottom w:val="none" w:sz="0" w:space="0" w:color="auto"/>
        <w:right w:val="none" w:sz="0" w:space="0" w:color="auto"/>
      </w:divBdr>
    </w:div>
    <w:div w:id="523329941">
      <w:bodyDiv w:val="1"/>
      <w:marLeft w:val="0"/>
      <w:marRight w:val="0"/>
      <w:marTop w:val="0"/>
      <w:marBottom w:val="0"/>
      <w:divBdr>
        <w:top w:val="none" w:sz="0" w:space="0" w:color="auto"/>
        <w:left w:val="none" w:sz="0" w:space="0" w:color="auto"/>
        <w:bottom w:val="none" w:sz="0" w:space="0" w:color="auto"/>
        <w:right w:val="none" w:sz="0" w:space="0" w:color="auto"/>
      </w:divBdr>
    </w:div>
    <w:div w:id="673457485">
      <w:bodyDiv w:val="1"/>
      <w:marLeft w:val="0"/>
      <w:marRight w:val="0"/>
      <w:marTop w:val="0"/>
      <w:marBottom w:val="0"/>
      <w:divBdr>
        <w:top w:val="none" w:sz="0" w:space="0" w:color="auto"/>
        <w:left w:val="none" w:sz="0" w:space="0" w:color="auto"/>
        <w:bottom w:val="none" w:sz="0" w:space="0" w:color="auto"/>
        <w:right w:val="none" w:sz="0" w:space="0" w:color="auto"/>
      </w:divBdr>
    </w:div>
    <w:div w:id="685907326">
      <w:bodyDiv w:val="1"/>
      <w:marLeft w:val="0"/>
      <w:marRight w:val="0"/>
      <w:marTop w:val="0"/>
      <w:marBottom w:val="0"/>
      <w:divBdr>
        <w:top w:val="none" w:sz="0" w:space="0" w:color="auto"/>
        <w:left w:val="none" w:sz="0" w:space="0" w:color="auto"/>
        <w:bottom w:val="none" w:sz="0" w:space="0" w:color="auto"/>
        <w:right w:val="none" w:sz="0" w:space="0" w:color="auto"/>
      </w:divBdr>
      <w:divsChild>
        <w:div w:id="737628133">
          <w:marLeft w:val="0"/>
          <w:marRight w:val="0"/>
          <w:marTop w:val="0"/>
          <w:marBottom w:val="0"/>
          <w:divBdr>
            <w:top w:val="none" w:sz="0" w:space="0" w:color="auto"/>
            <w:left w:val="none" w:sz="0" w:space="0" w:color="auto"/>
            <w:bottom w:val="none" w:sz="0" w:space="0" w:color="auto"/>
            <w:right w:val="none" w:sz="0" w:space="0" w:color="auto"/>
          </w:divBdr>
        </w:div>
      </w:divsChild>
    </w:div>
    <w:div w:id="709502319">
      <w:bodyDiv w:val="1"/>
      <w:marLeft w:val="0"/>
      <w:marRight w:val="0"/>
      <w:marTop w:val="0"/>
      <w:marBottom w:val="0"/>
      <w:divBdr>
        <w:top w:val="none" w:sz="0" w:space="0" w:color="auto"/>
        <w:left w:val="none" w:sz="0" w:space="0" w:color="auto"/>
        <w:bottom w:val="none" w:sz="0" w:space="0" w:color="auto"/>
        <w:right w:val="none" w:sz="0" w:space="0" w:color="auto"/>
      </w:divBdr>
    </w:div>
    <w:div w:id="715932101">
      <w:bodyDiv w:val="1"/>
      <w:marLeft w:val="0"/>
      <w:marRight w:val="0"/>
      <w:marTop w:val="0"/>
      <w:marBottom w:val="0"/>
      <w:divBdr>
        <w:top w:val="none" w:sz="0" w:space="0" w:color="auto"/>
        <w:left w:val="none" w:sz="0" w:space="0" w:color="auto"/>
        <w:bottom w:val="none" w:sz="0" w:space="0" w:color="auto"/>
        <w:right w:val="none" w:sz="0" w:space="0" w:color="auto"/>
      </w:divBdr>
    </w:div>
    <w:div w:id="722826535">
      <w:bodyDiv w:val="1"/>
      <w:marLeft w:val="0"/>
      <w:marRight w:val="0"/>
      <w:marTop w:val="0"/>
      <w:marBottom w:val="0"/>
      <w:divBdr>
        <w:top w:val="none" w:sz="0" w:space="0" w:color="auto"/>
        <w:left w:val="none" w:sz="0" w:space="0" w:color="auto"/>
        <w:bottom w:val="none" w:sz="0" w:space="0" w:color="auto"/>
        <w:right w:val="none" w:sz="0" w:space="0" w:color="auto"/>
      </w:divBdr>
    </w:div>
    <w:div w:id="784273122">
      <w:bodyDiv w:val="1"/>
      <w:marLeft w:val="0"/>
      <w:marRight w:val="0"/>
      <w:marTop w:val="0"/>
      <w:marBottom w:val="0"/>
      <w:divBdr>
        <w:top w:val="none" w:sz="0" w:space="0" w:color="auto"/>
        <w:left w:val="none" w:sz="0" w:space="0" w:color="auto"/>
        <w:bottom w:val="none" w:sz="0" w:space="0" w:color="auto"/>
        <w:right w:val="none" w:sz="0" w:space="0" w:color="auto"/>
      </w:divBdr>
    </w:div>
    <w:div w:id="828521097">
      <w:bodyDiv w:val="1"/>
      <w:marLeft w:val="0"/>
      <w:marRight w:val="0"/>
      <w:marTop w:val="0"/>
      <w:marBottom w:val="0"/>
      <w:divBdr>
        <w:top w:val="none" w:sz="0" w:space="0" w:color="auto"/>
        <w:left w:val="none" w:sz="0" w:space="0" w:color="auto"/>
        <w:bottom w:val="none" w:sz="0" w:space="0" w:color="auto"/>
        <w:right w:val="none" w:sz="0" w:space="0" w:color="auto"/>
      </w:divBdr>
    </w:div>
    <w:div w:id="828642293">
      <w:bodyDiv w:val="1"/>
      <w:marLeft w:val="0"/>
      <w:marRight w:val="0"/>
      <w:marTop w:val="0"/>
      <w:marBottom w:val="0"/>
      <w:divBdr>
        <w:top w:val="none" w:sz="0" w:space="0" w:color="auto"/>
        <w:left w:val="none" w:sz="0" w:space="0" w:color="auto"/>
        <w:bottom w:val="none" w:sz="0" w:space="0" w:color="auto"/>
        <w:right w:val="none" w:sz="0" w:space="0" w:color="auto"/>
      </w:divBdr>
    </w:div>
    <w:div w:id="882014943">
      <w:bodyDiv w:val="1"/>
      <w:marLeft w:val="0"/>
      <w:marRight w:val="0"/>
      <w:marTop w:val="0"/>
      <w:marBottom w:val="0"/>
      <w:divBdr>
        <w:top w:val="none" w:sz="0" w:space="0" w:color="auto"/>
        <w:left w:val="none" w:sz="0" w:space="0" w:color="auto"/>
        <w:bottom w:val="none" w:sz="0" w:space="0" w:color="auto"/>
        <w:right w:val="none" w:sz="0" w:space="0" w:color="auto"/>
      </w:divBdr>
    </w:div>
    <w:div w:id="972442743">
      <w:bodyDiv w:val="1"/>
      <w:marLeft w:val="0"/>
      <w:marRight w:val="0"/>
      <w:marTop w:val="0"/>
      <w:marBottom w:val="0"/>
      <w:divBdr>
        <w:top w:val="none" w:sz="0" w:space="0" w:color="auto"/>
        <w:left w:val="none" w:sz="0" w:space="0" w:color="auto"/>
        <w:bottom w:val="none" w:sz="0" w:space="0" w:color="auto"/>
        <w:right w:val="none" w:sz="0" w:space="0" w:color="auto"/>
      </w:divBdr>
    </w:div>
    <w:div w:id="1076168204">
      <w:bodyDiv w:val="1"/>
      <w:marLeft w:val="0"/>
      <w:marRight w:val="0"/>
      <w:marTop w:val="0"/>
      <w:marBottom w:val="0"/>
      <w:divBdr>
        <w:top w:val="none" w:sz="0" w:space="0" w:color="auto"/>
        <w:left w:val="none" w:sz="0" w:space="0" w:color="auto"/>
        <w:bottom w:val="none" w:sz="0" w:space="0" w:color="auto"/>
        <w:right w:val="none" w:sz="0" w:space="0" w:color="auto"/>
      </w:divBdr>
    </w:div>
    <w:div w:id="1114247747">
      <w:bodyDiv w:val="1"/>
      <w:marLeft w:val="0"/>
      <w:marRight w:val="0"/>
      <w:marTop w:val="0"/>
      <w:marBottom w:val="0"/>
      <w:divBdr>
        <w:top w:val="none" w:sz="0" w:space="0" w:color="auto"/>
        <w:left w:val="none" w:sz="0" w:space="0" w:color="auto"/>
        <w:bottom w:val="none" w:sz="0" w:space="0" w:color="auto"/>
        <w:right w:val="none" w:sz="0" w:space="0" w:color="auto"/>
      </w:divBdr>
    </w:div>
    <w:div w:id="1167860738">
      <w:bodyDiv w:val="1"/>
      <w:marLeft w:val="0"/>
      <w:marRight w:val="0"/>
      <w:marTop w:val="0"/>
      <w:marBottom w:val="0"/>
      <w:divBdr>
        <w:top w:val="none" w:sz="0" w:space="0" w:color="auto"/>
        <w:left w:val="none" w:sz="0" w:space="0" w:color="auto"/>
        <w:bottom w:val="none" w:sz="0" w:space="0" w:color="auto"/>
        <w:right w:val="none" w:sz="0" w:space="0" w:color="auto"/>
      </w:divBdr>
    </w:div>
    <w:div w:id="1172448088">
      <w:bodyDiv w:val="1"/>
      <w:marLeft w:val="0"/>
      <w:marRight w:val="0"/>
      <w:marTop w:val="0"/>
      <w:marBottom w:val="0"/>
      <w:divBdr>
        <w:top w:val="none" w:sz="0" w:space="0" w:color="auto"/>
        <w:left w:val="none" w:sz="0" w:space="0" w:color="auto"/>
        <w:bottom w:val="none" w:sz="0" w:space="0" w:color="auto"/>
        <w:right w:val="none" w:sz="0" w:space="0" w:color="auto"/>
      </w:divBdr>
      <w:divsChild>
        <w:div w:id="1716614958">
          <w:marLeft w:val="0"/>
          <w:marRight w:val="0"/>
          <w:marTop w:val="0"/>
          <w:marBottom w:val="0"/>
          <w:divBdr>
            <w:top w:val="none" w:sz="0" w:space="0" w:color="auto"/>
            <w:left w:val="none" w:sz="0" w:space="0" w:color="auto"/>
            <w:bottom w:val="none" w:sz="0" w:space="0" w:color="auto"/>
            <w:right w:val="none" w:sz="0" w:space="0" w:color="auto"/>
          </w:divBdr>
        </w:div>
      </w:divsChild>
    </w:div>
    <w:div w:id="1229535102">
      <w:bodyDiv w:val="1"/>
      <w:marLeft w:val="0"/>
      <w:marRight w:val="0"/>
      <w:marTop w:val="0"/>
      <w:marBottom w:val="0"/>
      <w:divBdr>
        <w:top w:val="none" w:sz="0" w:space="0" w:color="auto"/>
        <w:left w:val="none" w:sz="0" w:space="0" w:color="auto"/>
        <w:bottom w:val="none" w:sz="0" w:space="0" w:color="auto"/>
        <w:right w:val="none" w:sz="0" w:space="0" w:color="auto"/>
      </w:divBdr>
    </w:div>
    <w:div w:id="1345744820">
      <w:bodyDiv w:val="1"/>
      <w:marLeft w:val="0"/>
      <w:marRight w:val="0"/>
      <w:marTop w:val="0"/>
      <w:marBottom w:val="0"/>
      <w:divBdr>
        <w:top w:val="none" w:sz="0" w:space="0" w:color="auto"/>
        <w:left w:val="none" w:sz="0" w:space="0" w:color="auto"/>
        <w:bottom w:val="none" w:sz="0" w:space="0" w:color="auto"/>
        <w:right w:val="none" w:sz="0" w:space="0" w:color="auto"/>
      </w:divBdr>
    </w:div>
    <w:div w:id="1354187668">
      <w:bodyDiv w:val="1"/>
      <w:marLeft w:val="0"/>
      <w:marRight w:val="0"/>
      <w:marTop w:val="0"/>
      <w:marBottom w:val="0"/>
      <w:divBdr>
        <w:top w:val="none" w:sz="0" w:space="0" w:color="auto"/>
        <w:left w:val="none" w:sz="0" w:space="0" w:color="auto"/>
        <w:bottom w:val="none" w:sz="0" w:space="0" w:color="auto"/>
        <w:right w:val="none" w:sz="0" w:space="0" w:color="auto"/>
      </w:divBdr>
    </w:div>
    <w:div w:id="1384983025">
      <w:bodyDiv w:val="1"/>
      <w:marLeft w:val="0"/>
      <w:marRight w:val="0"/>
      <w:marTop w:val="0"/>
      <w:marBottom w:val="0"/>
      <w:divBdr>
        <w:top w:val="none" w:sz="0" w:space="0" w:color="auto"/>
        <w:left w:val="none" w:sz="0" w:space="0" w:color="auto"/>
        <w:bottom w:val="none" w:sz="0" w:space="0" w:color="auto"/>
        <w:right w:val="none" w:sz="0" w:space="0" w:color="auto"/>
      </w:divBdr>
    </w:div>
    <w:div w:id="1391466200">
      <w:bodyDiv w:val="1"/>
      <w:marLeft w:val="0"/>
      <w:marRight w:val="0"/>
      <w:marTop w:val="0"/>
      <w:marBottom w:val="0"/>
      <w:divBdr>
        <w:top w:val="none" w:sz="0" w:space="0" w:color="auto"/>
        <w:left w:val="none" w:sz="0" w:space="0" w:color="auto"/>
        <w:bottom w:val="none" w:sz="0" w:space="0" w:color="auto"/>
        <w:right w:val="none" w:sz="0" w:space="0" w:color="auto"/>
      </w:divBdr>
    </w:div>
    <w:div w:id="1427382675">
      <w:bodyDiv w:val="1"/>
      <w:marLeft w:val="0"/>
      <w:marRight w:val="0"/>
      <w:marTop w:val="0"/>
      <w:marBottom w:val="0"/>
      <w:divBdr>
        <w:top w:val="none" w:sz="0" w:space="0" w:color="auto"/>
        <w:left w:val="none" w:sz="0" w:space="0" w:color="auto"/>
        <w:bottom w:val="none" w:sz="0" w:space="0" w:color="auto"/>
        <w:right w:val="none" w:sz="0" w:space="0" w:color="auto"/>
      </w:divBdr>
    </w:div>
    <w:div w:id="1428773059">
      <w:bodyDiv w:val="1"/>
      <w:marLeft w:val="0"/>
      <w:marRight w:val="0"/>
      <w:marTop w:val="0"/>
      <w:marBottom w:val="0"/>
      <w:divBdr>
        <w:top w:val="none" w:sz="0" w:space="0" w:color="auto"/>
        <w:left w:val="none" w:sz="0" w:space="0" w:color="auto"/>
        <w:bottom w:val="none" w:sz="0" w:space="0" w:color="auto"/>
        <w:right w:val="none" w:sz="0" w:space="0" w:color="auto"/>
      </w:divBdr>
    </w:div>
    <w:div w:id="1492479277">
      <w:bodyDiv w:val="1"/>
      <w:marLeft w:val="0"/>
      <w:marRight w:val="0"/>
      <w:marTop w:val="0"/>
      <w:marBottom w:val="0"/>
      <w:divBdr>
        <w:top w:val="none" w:sz="0" w:space="0" w:color="auto"/>
        <w:left w:val="none" w:sz="0" w:space="0" w:color="auto"/>
        <w:bottom w:val="none" w:sz="0" w:space="0" w:color="auto"/>
        <w:right w:val="none" w:sz="0" w:space="0" w:color="auto"/>
      </w:divBdr>
    </w:div>
    <w:div w:id="1774785152">
      <w:bodyDiv w:val="1"/>
      <w:marLeft w:val="0"/>
      <w:marRight w:val="0"/>
      <w:marTop w:val="0"/>
      <w:marBottom w:val="0"/>
      <w:divBdr>
        <w:top w:val="none" w:sz="0" w:space="0" w:color="auto"/>
        <w:left w:val="none" w:sz="0" w:space="0" w:color="auto"/>
        <w:bottom w:val="none" w:sz="0" w:space="0" w:color="auto"/>
        <w:right w:val="none" w:sz="0" w:space="0" w:color="auto"/>
      </w:divBdr>
    </w:div>
    <w:div w:id="1794010691">
      <w:bodyDiv w:val="1"/>
      <w:marLeft w:val="0"/>
      <w:marRight w:val="0"/>
      <w:marTop w:val="0"/>
      <w:marBottom w:val="0"/>
      <w:divBdr>
        <w:top w:val="none" w:sz="0" w:space="0" w:color="auto"/>
        <w:left w:val="none" w:sz="0" w:space="0" w:color="auto"/>
        <w:bottom w:val="none" w:sz="0" w:space="0" w:color="auto"/>
        <w:right w:val="none" w:sz="0" w:space="0" w:color="auto"/>
      </w:divBdr>
    </w:div>
    <w:div w:id="1825664160">
      <w:bodyDiv w:val="1"/>
      <w:marLeft w:val="0"/>
      <w:marRight w:val="0"/>
      <w:marTop w:val="0"/>
      <w:marBottom w:val="0"/>
      <w:divBdr>
        <w:top w:val="none" w:sz="0" w:space="0" w:color="auto"/>
        <w:left w:val="none" w:sz="0" w:space="0" w:color="auto"/>
        <w:bottom w:val="none" w:sz="0" w:space="0" w:color="auto"/>
        <w:right w:val="none" w:sz="0" w:space="0" w:color="auto"/>
      </w:divBdr>
      <w:divsChild>
        <w:div w:id="1051733772">
          <w:marLeft w:val="547"/>
          <w:marRight w:val="0"/>
          <w:marTop w:val="77"/>
          <w:marBottom w:val="0"/>
          <w:divBdr>
            <w:top w:val="none" w:sz="0" w:space="0" w:color="auto"/>
            <w:left w:val="none" w:sz="0" w:space="0" w:color="auto"/>
            <w:bottom w:val="none" w:sz="0" w:space="0" w:color="auto"/>
            <w:right w:val="none" w:sz="0" w:space="0" w:color="auto"/>
          </w:divBdr>
        </w:div>
      </w:divsChild>
    </w:div>
    <w:div w:id="1856454600">
      <w:bodyDiv w:val="1"/>
      <w:marLeft w:val="0"/>
      <w:marRight w:val="0"/>
      <w:marTop w:val="0"/>
      <w:marBottom w:val="0"/>
      <w:divBdr>
        <w:top w:val="none" w:sz="0" w:space="0" w:color="auto"/>
        <w:left w:val="none" w:sz="0" w:space="0" w:color="auto"/>
        <w:bottom w:val="none" w:sz="0" w:space="0" w:color="auto"/>
        <w:right w:val="none" w:sz="0" w:space="0" w:color="auto"/>
      </w:divBdr>
      <w:divsChild>
        <w:div w:id="1918515263">
          <w:marLeft w:val="0"/>
          <w:marRight w:val="0"/>
          <w:marTop w:val="0"/>
          <w:marBottom w:val="105"/>
          <w:divBdr>
            <w:top w:val="single" w:sz="6" w:space="8" w:color="DCDCDC"/>
            <w:left w:val="single" w:sz="6" w:space="8" w:color="DCDCDC"/>
            <w:bottom w:val="single" w:sz="6" w:space="8" w:color="DCDCDC"/>
            <w:right w:val="single" w:sz="6" w:space="8" w:color="DCDCDC"/>
          </w:divBdr>
        </w:div>
      </w:divsChild>
    </w:div>
    <w:div w:id="1972205075">
      <w:bodyDiv w:val="1"/>
      <w:marLeft w:val="0"/>
      <w:marRight w:val="0"/>
      <w:marTop w:val="0"/>
      <w:marBottom w:val="0"/>
      <w:divBdr>
        <w:top w:val="none" w:sz="0" w:space="0" w:color="auto"/>
        <w:left w:val="none" w:sz="0" w:space="0" w:color="auto"/>
        <w:bottom w:val="none" w:sz="0" w:space="0" w:color="auto"/>
        <w:right w:val="none" w:sz="0" w:space="0" w:color="auto"/>
      </w:divBdr>
    </w:div>
    <w:div w:id="20940122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ifs.gov.au/publications/economic-consequences-divorce-six-oecd-countri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ifs.gov.au/people/lixia-qu" TargetMode="External"/><Relationship Id="rId17" Type="http://schemas.openxmlformats.org/officeDocument/2006/relationships/hyperlink" Target="https://www.routledge.com/products/search?author=Patricia%20Easteal" TargetMode="External"/><Relationship Id="rId2" Type="http://schemas.openxmlformats.org/officeDocument/2006/relationships/numbering" Target="numbering.xml"/><Relationship Id="rId16" Type="http://schemas.openxmlformats.org/officeDocument/2006/relationships/hyperlink" Target="https://www.routledge.com/products/search?author=Jennifer%20Y.%20Levy-Pe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ag.gov.au"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familylawexpress.com.au/family-law-brief/legal-proceedings/vexatious-litigant/vexatious-litigants-family-law-proceedings-in-australia/2756/"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www.alrc.gov.au/news-media/alrc-news/review-family-law-system-terms-reference-and-commissioners" TargetMode="External"/><Relationship Id="rId2" Type="http://schemas.openxmlformats.org/officeDocument/2006/relationships/hyperlink" Target="https://www.ag.gov.au/Consultations/Pages/Family-violence-cross-examination-amendments.aspx" TargetMode="External"/><Relationship Id="rId1" Type="http://schemas.openxmlformats.org/officeDocument/2006/relationships/hyperlink" Target="http://www.neveralone.com.au/" TargetMode="External"/><Relationship Id="rId5" Type="http://schemas.openxmlformats.org/officeDocument/2006/relationships/hyperlink" Target="http://dfvbenchbook.aija.org.au" TargetMode="External"/><Relationship Id="rId4" Type="http://schemas.openxmlformats.org/officeDocument/2006/relationships/hyperlink" Target="http://www.austlii.edu.au/au/cases/cth/FamCA/2003/90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236AE9-DA53-45AE-BBD1-44D586BC8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1CACB1B8.dotm</Template>
  <TotalTime>2</TotalTime>
  <Pages>30</Pages>
  <Words>11345</Words>
  <Characters>64671</Characters>
  <Application>Microsoft Office Word</Application>
  <DocSecurity>4</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University of Canberra</Company>
  <LinksUpToDate>false</LinksUpToDate>
  <CharactersWithSpaces>75865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Easteal</dc:creator>
  <cp:lastModifiedBy>Carline, Anna (Dr.)</cp:lastModifiedBy>
  <cp:revision>2</cp:revision>
  <dcterms:created xsi:type="dcterms:W3CDTF">2018-02-12T15:56:00Z</dcterms:created>
  <dcterms:modified xsi:type="dcterms:W3CDTF">2018-02-12T15:56:00Z</dcterms:modified>
</cp:coreProperties>
</file>