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ED5" w:rsidRDefault="00AA6ED5">
      <w:bookmarkStart w:id="0" w:name="_GoBack"/>
      <w:bookmarkEnd w:id="0"/>
    </w:p>
    <w:p w:rsidR="00DE1A52" w:rsidRPr="00DE1A52" w:rsidRDefault="00DE1A52" w:rsidP="00DE1A52">
      <w:pPr>
        <w:spacing w:before="0" w:beforeAutospacing="0" w:after="0" w:afterAutospacing="0" w:line="312" w:lineRule="auto"/>
        <w:contextualSpacing w:val="0"/>
        <w:jc w:val="left"/>
        <w:outlineLvl w:val="1"/>
        <w:rPr>
          <w:rFonts w:eastAsia="Times New Roman" w:cs="Times New Roman"/>
          <w:b/>
          <w:spacing w:val="-3"/>
          <w:sz w:val="24"/>
          <w:szCs w:val="24"/>
          <w:lang w:eastAsia="en-GB"/>
        </w:rPr>
      </w:pPr>
      <w:r w:rsidRPr="00DE1A52">
        <w:rPr>
          <w:rFonts w:eastAsia="Times New Roman" w:cs="Times New Roman"/>
          <w:b/>
          <w:i/>
          <w:noProof/>
          <w:spacing w:val="-3"/>
          <w:sz w:val="24"/>
          <w:szCs w:val="24"/>
          <w:lang w:eastAsia="en-GB"/>
        </w:rPr>
        <w:t>European Social Models From Crisis to Crisis: Employment and Inequality in the Era of Monetary Integration</w:t>
      </w:r>
      <w:r w:rsidRPr="00DE1A52">
        <w:rPr>
          <w:rFonts w:eastAsia="Times New Roman" w:cs="Times New Roman"/>
          <w:b/>
          <w:i/>
          <w:spacing w:val="-3"/>
          <w:sz w:val="24"/>
          <w:szCs w:val="24"/>
          <w:lang w:eastAsia="en-GB"/>
        </w:rPr>
        <w:t xml:space="preserve">, </w:t>
      </w:r>
      <w:r w:rsidRPr="00DE1A52">
        <w:rPr>
          <w:rFonts w:eastAsia="Times New Roman" w:cs="Times New Roman"/>
          <w:b/>
          <w:noProof/>
          <w:sz w:val="24"/>
          <w:szCs w:val="24"/>
          <w:lang w:eastAsia="en-GB"/>
        </w:rPr>
        <w:t>edited by</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Jon Erik Dølvik and Andrew Martin</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Oxford University Press</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Oxford</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2017</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464</w:t>
      </w:r>
      <w:r w:rsidRPr="00DE1A52">
        <w:rPr>
          <w:rFonts w:eastAsia="Times New Roman" w:cs="Times New Roman"/>
          <w:b/>
          <w:spacing w:val="-3"/>
          <w:sz w:val="24"/>
          <w:szCs w:val="24"/>
          <w:lang w:eastAsia="en-GB"/>
        </w:rPr>
        <w:t xml:space="preserve">pp., ISBN: </w:t>
      </w:r>
      <w:r w:rsidRPr="00DE1A52">
        <w:rPr>
          <w:rFonts w:eastAsia="Times New Roman" w:cs="Times New Roman"/>
          <w:b/>
          <w:noProof/>
          <w:spacing w:val="-3"/>
          <w:sz w:val="24"/>
          <w:szCs w:val="24"/>
          <w:lang w:eastAsia="en-GB"/>
        </w:rPr>
        <w:t>9780198798866</w:t>
      </w:r>
      <w:r w:rsidRPr="00DE1A52">
        <w:rPr>
          <w:rFonts w:eastAsia="Times New Roman" w:cs="Times New Roman"/>
          <w:b/>
          <w:spacing w:val="-3"/>
          <w:sz w:val="24"/>
          <w:szCs w:val="24"/>
          <w:lang w:eastAsia="en-GB"/>
        </w:rPr>
        <w:t xml:space="preserve">, Price </w:t>
      </w:r>
      <w:r w:rsidRPr="00DE1A52">
        <w:rPr>
          <w:rFonts w:eastAsia="Times New Roman" w:cs="Times New Roman"/>
          <w:b/>
          <w:noProof/>
          <w:spacing w:val="-3"/>
          <w:sz w:val="24"/>
          <w:szCs w:val="24"/>
          <w:lang w:eastAsia="en-GB"/>
        </w:rPr>
        <w:t>£25</w:t>
      </w:r>
      <w:r w:rsidRPr="00DE1A52">
        <w:rPr>
          <w:rFonts w:eastAsia="Times New Roman" w:cs="Times New Roman"/>
          <w:b/>
          <w:spacing w:val="-3"/>
          <w:sz w:val="24"/>
          <w:szCs w:val="24"/>
          <w:lang w:eastAsia="en-GB"/>
        </w:rPr>
        <w:t xml:space="preserve">, </w:t>
      </w:r>
      <w:r w:rsidRPr="00DE1A52">
        <w:rPr>
          <w:rFonts w:eastAsia="Times New Roman" w:cs="Times New Roman"/>
          <w:b/>
          <w:noProof/>
          <w:spacing w:val="-3"/>
          <w:sz w:val="24"/>
          <w:szCs w:val="24"/>
          <w:lang w:eastAsia="en-GB"/>
        </w:rPr>
        <w:t>paperback</w:t>
      </w:r>
      <w:r w:rsidRPr="00DE1A52">
        <w:rPr>
          <w:rFonts w:eastAsia="Times New Roman" w:cs="Times New Roman"/>
          <w:b/>
          <w:spacing w:val="-3"/>
          <w:sz w:val="24"/>
          <w:szCs w:val="24"/>
          <w:lang w:eastAsia="en-GB"/>
        </w:rPr>
        <w:t>.</w:t>
      </w:r>
    </w:p>
    <w:p w:rsidR="00AA6ED5" w:rsidRPr="004E6A11" w:rsidRDefault="00AA6ED5" w:rsidP="00AA6ED5">
      <w:pPr>
        <w:spacing w:line="312" w:lineRule="auto"/>
        <w:outlineLvl w:val="1"/>
        <w:rPr>
          <w:b/>
          <w:spacing w:val="-3"/>
        </w:rPr>
      </w:pPr>
    </w:p>
    <w:p w:rsidR="00AA6ED5" w:rsidRDefault="00AA6ED5"/>
    <w:p w:rsidR="005D2EA6" w:rsidRDefault="00BD0A4F" w:rsidP="00DE1A52">
      <w:pPr>
        <w:spacing w:line="480" w:lineRule="auto"/>
      </w:pPr>
      <w:r>
        <w:t xml:space="preserve">The trajectories of change of European Social Models have been </w:t>
      </w:r>
      <w:r w:rsidR="00233871">
        <w:t>widely</w:t>
      </w:r>
      <w:r>
        <w:t xml:space="preserve"> debated in academic literature. Some authors have argued </w:t>
      </w:r>
      <w:r w:rsidR="00233871">
        <w:t xml:space="preserve">that there has been </w:t>
      </w:r>
      <w:r>
        <w:t>a general trend towards liberalis</w:t>
      </w:r>
      <w:r w:rsidR="00C13209">
        <w:t>ation and the neoliberal model</w:t>
      </w:r>
      <w:r>
        <w:t xml:space="preserve"> while others have </w:t>
      </w:r>
      <w:r w:rsidR="00233871">
        <w:t>highlighted</w:t>
      </w:r>
      <w:r>
        <w:t xml:space="preserve"> the persistence of diversity </w:t>
      </w:r>
      <w:r w:rsidR="00233871">
        <w:t>across</w:t>
      </w:r>
      <w:r>
        <w:t xml:space="preserve"> national institutional regimes</w:t>
      </w:r>
      <w:r w:rsidR="00233871">
        <w:t>, and points</w:t>
      </w:r>
      <w:r w:rsidR="00B22A69">
        <w:t xml:space="preserve"> out that</w:t>
      </w:r>
      <w:r>
        <w:t xml:space="preserve"> the pressures of change are filtered by the </w:t>
      </w:r>
      <w:r w:rsidR="00C13209">
        <w:t xml:space="preserve">different institutional models. </w:t>
      </w:r>
      <w:r w:rsidR="00233871">
        <w:t>This book engages with these debates. T</w:t>
      </w:r>
      <w:r w:rsidR="00B22A69">
        <w:t>his impressive volume analyses the evolution of European social models –understood as ‘the constellation of welfare state, employment relations, and educational structures that structure the labour markets’- in interaction with the changing environment. In particular, the book analyses the</w:t>
      </w:r>
      <w:r w:rsidR="00620504">
        <w:t xml:space="preserve"> role played by </w:t>
      </w:r>
      <w:r w:rsidR="00B22A69">
        <w:t xml:space="preserve">the two major </w:t>
      </w:r>
      <w:r w:rsidR="0093199F">
        <w:t>crise</w:t>
      </w:r>
      <w:r w:rsidR="00B22A69">
        <w:t>s affecting Europe</w:t>
      </w:r>
      <w:r w:rsidR="00620504">
        <w:t xml:space="preserve"> in the last 25 years</w:t>
      </w:r>
      <w:r w:rsidR="005A5885">
        <w:t xml:space="preserve"> (early 1990s and </w:t>
      </w:r>
      <w:r w:rsidR="00620504">
        <w:t>the great recession of 2007</w:t>
      </w:r>
      <w:r w:rsidR="005A5885">
        <w:t>)</w:t>
      </w:r>
      <w:r w:rsidR="00620504">
        <w:t xml:space="preserve">. Furthermore, this period is analysed by observing the pressures towards economic integration intensified by the development </w:t>
      </w:r>
      <w:r w:rsidR="005D2EA6">
        <w:t>of</w:t>
      </w:r>
      <w:r w:rsidR="00620504">
        <w:t xml:space="preserve"> the single market and single currency.</w:t>
      </w:r>
      <w:r w:rsidR="005D2EA6">
        <w:t xml:space="preserve"> The</w:t>
      </w:r>
      <w:r w:rsidR="00AA6ED5">
        <w:t xml:space="preserve"> book</w:t>
      </w:r>
      <w:r w:rsidR="005A5885">
        <w:t xml:space="preserve"> analyses the </w:t>
      </w:r>
      <w:r w:rsidR="005D2EA6">
        <w:t xml:space="preserve">trajectories of change of </w:t>
      </w:r>
      <w:r w:rsidR="00E85E30">
        <w:t>Euro</w:t>
      </w:r>
      <w:r w:rsidR="005A5885">
        <w:t>p</w:t>
      </w:r>
      <w:r w:rsidR="00E85E30">
        <w:t>e</w:t>
      </w:r>
      <w:r w:rsidR="005A5885">
        <w:t>an</w:t>
      </w:r>
      <w:r w:rsidR="005D2EA6">
        <w:t xml:space="preserve"> social models in interaction with this changing environment in relation to two main issues: employment and inequality.</w:t>
      </w:r>
      <w:r w:rsidR="00233871">
        <w:t xml:space="preserve"> The book is of interest to a wide</w:t>
      </w:r>
      <w:r w:rsidR="00E05B7E">
        <w:t xml:space="preserve"> audience, from academic</w:t>
      </w:r>
      <w:r w:rsidR="00233871">
        <w:t>s</w:t>
      </w:r>
      <w:r w:rsidR="00E05B7E">
        <w:t xml:space="preserve"> and specialists in Welfare Regimes, Employment Relations, Political Economy and Social Policies, among others, to practitioners, stakeholders and policy-makers in the areas of analysis. </w:t>
      </w:r>
    </w:p>
    <w:p w:rsidR="0093199F" w:rsidRDefault="005D2EA6" w:rsidP="00DE1A52">
      <w:pPr>
        <w:spacing w:line="480" w:lineRule="auto"/>
      </w:pPr>
      <w:r>
        <w:t xml:space="preserve">The book </w:t>
      </w:r>
      <w:r w:rsidR="0093199F">
        <w:t xml:space="preserve">critically </w:t>
      </w:r>
      <w:r>
        <w:t>engage</w:t>
      </w:r>
      <w:r w:rsidR="0093199F">
        <w:t>s with the dominant responses at European level to the crises and que</w:t>
      </w:r>
      <w:r w:rsidR="00233871">
        <w:t>stions the idea of a ´necessar</w:t>
      </w:r>
      <w:r w:rsidR="0093199F">
        <w:t>y’ trade-off between jobs and justice. This dominant argument is identified as the ´supply-side’ diagnosis</w:t>
      </w:r>
      <w:r w:rsidR="00233871">
        <w:t>,</w:t>
      </w:r>
      <w:r w:rsidR="0093199F">
        <w:t xml:space="preserve"> entailing that</w:t>
      </w:r>
      <w:r w:rsidR="00233871">
        <w:t xml:space="preserve"> the best solution</w:t>
      </w:r>
      <w:r w:rsidR="0093199F">
        <w:t xml:space="preserve"> to economic and employment crises is the increase of labour market flexibility, further deregulation of employment protection, decentralisation of wage settings and the shift from passive to active policies. </w:t>
      </w:r>
      <w:r w:rsidR="00233871">
        <w:t>T</w:t>
      </w:r>
      <w:r w:rsidR="00261FF2">
        <w:t xml:space="preserve">he </w:t>
      </w:r>
      <w:r w:rsidR="003B55E9">
        <w:t xml:space="preserve">editors, </w:t>
      </w:r>
      <w:r w:rsidR="002E5426" w:rsidRPr="002E5426">
        <w:t xml:space="preserve">Jon Erik </w:t>
      </w:r>
      <w:proofErr w:type="spellStart"/>
      <w:r w:rsidR="002E5426" w:rsidRPr="002E5426">
        <w:t>Dølvik</w:t>
      </w:r>
      <w:proofErr w:type="spellEnd"/>
      <w:r w:rsidR="002E5426" w:rsidRPr="002E5426">
        <w:t xml:space="preserve"> and Andrew Martin</w:t>
      </w:r>
      <w:r w:rsidR="002E5426">
        <w:t xml:space="preserve">, </w:t>
      </w:r>
      <w:r w:rsidR="00587ED6">
        <w:t>argue for</w:t>
      </w:r>
      <w:r w:rsidR="00261FF2">
        <w:t xml:space="preserve"> a more sophisticated perspective</w:t>
      </w:r>
      <w:r w:rsidR="002E5426">
        <w:t>. They consider supply-side factors</w:t>
      </w:r>
      <w:r w:rsidR="00587ED6">
        <w:t xml:space="preserve"> as relevant</w:t>
      </w:r>
      <w:r w:rsidR="002E5426">
        <w:t xml:space="preserve"> but they argue for the importance of the macro-economic and the aggregate demand</w:t>
      </w:r>
      <w:r w:rsidR="00587ED6">
        <w:t xml:space="preserve"> and develop an approach </w:t>
      </w:r>
      <w:r w:rsidR="00261FF2">
        <w:t>that integrate</w:t>
      </w:r>
      <w:r w:rsidR="00233871">
        <w:t>s</w:t>
      </w:r>
      <w:r w:rsidR="00261FF2">
        <w:t xml:space="preserve"> demand </w:t>
      </w:r>
      <w:r w:rsidR="00261FF2">
        <w:lastRenderedPageBreak/>
        <w:t xml:space="preserve">and supply sides of work, welfare and skills. </w:t>
      </w:r>
      <w:r w:rsidR="00E05B7E" w:rsidRPr="00587ED6">
        <w:t>As argued</w:t>
      </w:r>
      <w:r w:rsidR="00233871">
        <w:t xml:space="preserve"> by the edito</w:t>
      </w:r>
      <w:r w:rsidR="00E85E30">
        <w:t>r</w:t>
      </w:r>
      <w:r w:rsidR="00233871">
        <w:t>s</w:t>
      </w:r>
      <w:r w:rsidR="00E05B7E" w:rsidRPr="00587ED6">
        <w:t xml:space="preserve"> in the Introduction: ‘(…) the implications that strategies for increasing employment based on</w:t>
      </w:r>
      <w:r w:rsidR="00587ED6" w:rsidRPr="00587ED6">
        <w:t xml:space="preserve"> the interaction diagnosis have for</w:t>
      </w:r>
      <w:r w:rsidR="00E05B7E" w:rsidRPr="00587ED6">
        <w:t xml:space="preserve"> the trade-off issue depend on the kind of supply-side measures relied on to augment the prescribed demand expansion’s effect</w:t>
      </w:r>
      <w:r w:rsidR="00233871">
        <w:t>’ (p.</w:t>
      </w:r>
      <w:r w:rsidR="00E05B7E" w:rsidRPr="00587ED6">
        <w:t xml:space="preserve"> 8).</w:t>
      </w:r>
      <w:r w:rsidR="00587ED6">
        <w:t xml:space="preserve"> Accordingly, this approach does not necessary imply a trade-off between </w:t>
      </w:r>
      <w:r w:rsidR="00D24CCC">
        <w:t>jobs and increasing inequality.</w:t>
      </w:r>
    </w:p>
    <w:p w:rsidR="00123889" w:rsidRDefault="002D6F46" w:rsidP="00DE1A52">
      <w:pPr>
        <w:spacing w:line="480" w:lineRule="auto"/>
      </w:pPr>
      <w:r>
        <w:t xml:space="preserve">The empirical part of the book consists </w:t>
      </w:r>
      <w:r w:rsidR="00233871">
        <w:t>of</w:t>
      </w:r>
      <w:r>
        <w:t xml:space="preserve"> six chapters analysing Germany, France and </w:t>
      </w:r>
      <w:r w:rsidR="00233871">
        <w:t xml:space="preserve">the </w:t>
      </w:r>
      <w:r>
        <w:t>United Kingdom and comparative chapters of Italy and Spain, the Netherlands and Switzerland and the Nordic countries (Denmark, Finland, Norway and Sweden)</w:t>
      </w:r>
      <w:r w:rsidR="00233871">
        <w:t xml:space="preserve">. These empirical chapters are then </w:t>
      </w:r>
      <w:r w:rsidR="00E22CE2">
        <w:t>complemented by three</w:t>
      </w:r>
      <w:r w:rsidR="00233871">
        <w:t xml:space="preserve"> comprehensive chapters that synthetize the key studies</w:t>
      </w:r>
      <w:r>
        <w:t>.</w:t>
      </w:r>
      <w:r w:rsidR="00E22CE2">
        <w:t xml:space="preserve"> </w:t>
      </w:r>
      <w:r w:rsidR="00233871">
        <w:t xml:space="preserve">One of the compelling aspects of the book is that </w:t>
      </w:r>
      <w:r w:rsidR="00FA656E">
        <w:t>the authors</w:t>
      </w:r>
      <w:r w:rsidR="00233871">
        <w:t xml:space="preserve"> take consideration of the </w:t>
      </w:r>
      <w:r w:rsidR="006E7F8B">
        <w:t xml:space="preserve">diversity of economies, institutional models and </w:t>
      </w:r>
      <w:r w:rsidR="00587ED6">
        <w:t>Economic and Monetary Union (</w:t>
      </w:r>
      <w:r w:rsidR="006E7F8B">
        <w:t>EMU</w:t>
      </w:r>
      <w:r w:rsidR="00587ED6">
        <w:t>)</w:t>
      </w:r>
      <w:r w:rsidR="006E7F8B">
        <w:t xml:space="preserve"> membership</w:t>
      </w:r>
      <w:r w:rsidR="00FA656E">
        <w:t xml:space="preserve">. This </w:t>
      </w:r>
      <w:r w:rsidR="006E7F8B">
        <w:t xml:space="preserve">allows </w:t>
      </w:r>
      <w:r w:rsidR="00FA656E">
        <w:t xml:space="preserve">the collection </w:t>
      </w:r>
      <w:r w:rsidR="006E7F8B">
        <w:t xml:space="preserve">to develop a comprehensive analysis </w:t>
      </w:r>
      <w:r w:rsidR="00FA656E">
        <w:t xml:space="preserve">which </w:t>
      </w:r>
      <w:r w:rsidR="006E7F8B">
        <w:t>cover</w:t>
      </w:r>
      <w:r w:rsidR="00FA656E">
        <w:t>s</w:t>
      </w:r>
      <w:r w:rsidR="006E7F8B">
        <w:t xml:space="preserve"> around </w:t>
      </w:r>
      <w:r>
        <w:t>25 years</w:t>
      </w:r>
      <w:r w:rsidR="00FA656E">
        <w:t xml:space="preserve"> and provides</w:t>
      </w:r>
      <w:r>
        <w:t xml:space="preserve"> a valuable insight </w:t>
      </w:r>
      <w:r w:rsidR="00FA656E">
        <w:t>into</w:t>
      </w:r>
      <w:r>
        <w:t xml:space="preserve"> trajectories of change and responses to crises and changing environment.</w:t>
      </w:r>
      <w:r w:rsidR="00E22CE2">
        <w:t xml:space="preserve"> </w:t>
      </w:r>
    </w:p>
    <w:p w:rsidR="00E22CE2" w:rsidRDefault="00FA656E" w:rsidP="00DE1A52">
      <w:pPr>
        <w:spacing w:line="480" w:lineRule="auto"/>
      </w:pPr>
      <w:r>
        <w:t xml:space="preserve">Collectively the chapters identify a number of key issues. </w:t>
      </w:r>
      <w:r w:rsidR="00123889">
        <w:t>First, that institutions matter. Following existing research, it is argued that there has been a wide variation in the impact of the crises due to the diversity of social models and political histories. However, t</w:t>
      </w:r>
      <w:r w:rsidR="00E22CE2">
        <w:t>he authors</w:t>
      </w:r>
      <w:r w:rsidR="00587ED6">
        <w:t xml:space="preserve"> also</w:t>
      </w:r>
      <w:r w:rsidR="00E22CE2">
        <w:t xml:space="preserve"> argue that the responses </w:t>
      </w:r>
      <w:r>
        <w:t>of the</w:t>
      </w:r>
      <w:r w:rsidR="00E22CE2">
        <w:t xml:space="preserve"> social models </w:t>
      </w:r>
      <w:r>
        <w:t>to</w:t>
      </w:r>
      <w:r w:rsidR="00E22CE2">
        <w:t xml:space="preserve"> the early 1990s crisis (that they identify with policy responses to German reunification) and the 2007/2008 recession were mostly focused in structural reforms than on developing aggregate demand policies, intensifying unemployment and </w:t>
      </w:r>
      <w:r w:rsidR="00123889">
        <w:t xml:space="preserve">affecting </w:t>
      </w:r>
      <w:r w:rsidR="00E22CE2">
        <w:t xml:space="preserve">welfare state finances. More concretely, in the latter these policies were strongly conditioned by pressures from financial markets and demands from supranational agencies (European Union, European Central Bank and International Monetary Fund). </w:t>
      </w:r>
      <w:r w:rsidR="00123889">
        <w:t xml:space="preserve">In this regard, </w:t>
      </w:r>
      <w:r w:rsidR="00E22CE2">
        <w:t>a crucial element identified</w:t>
      </w:r>
      <w:r>
        <w:t xml:space="preserve"> by the authors</w:t>
      </w:r>
      <w:r w:rsidR="00E22CE2">
        <w:t xml:space="preserve"> is the key role of the </w:t>
      </w:r>
      <w:r w:rsidR="00587ED6">
        <w:t>EMU</w:t>
      </w:r>
      <w:r w:rsidR="00E22CE2">
        <w:t xml:space="preserve"> in </w:t>
      </w:r>
      <w:r w:rsidR="00123889">
        <w:t xml:space="preserve">affecting </w:t>
      </w:r>
      <w:r w:rsidR="00E22CE2">
        <w:t>employment and equality</w:t>
      </w:r>
      <w:r w:rsidR="00123889">
        <w:t xml:space="preserve"> patterns</w:t>
      </w:r>
      <w:r w:rsidR="00E22CE2">
        <w:t xml:space="preserve">. It is suggested that budgetary requirements of EMU membership are crucial in understanding the different employment and inequality outcomes in EU member states, especially in the aftermath of the 2007/2008 recession. In </w:t>
      </w:r>
      <w:r>
        <w:t xml:space="preserve">the </w:t>
      </w:r>
      <w:r w:rsidR="00E22CE2">
        <w:t>editors’ own words in chapter 11: ‘</w:t>
      </w:r>
      <w:r w:rsidR="00123889">
        <w:t xml:space="preserve">(…) </w:t>
      </w:r>
      <w:r w:rsidR="00E22CE2">
        <w:t xml:space="preserve">monetary integration and parallel argumentation of EU authority had altered </w:t>
      </w:r>
      <w:r w:rsidR="00E22CE2">
        <w:lastRenderedPageBreak/>
        <w:t xml:space="preserve">the political framework for economic policies and social model adjustment, varying </w:t>
      </w:r>
      <w:r w:rsidR="00E22CE2" w:rsidRPr="00FA656E">
        <w:t>significantly between countries inside and outside EMU</w:t>
      </w:r>
      <w:r w:rsidRPr="00FA656E">
        <w:t xml:space="preserve">’ (p. 383) This has allowed countries outside the EMU to </w:t>
      </w:r>
      <w:r w:rsidR="00E22CE2" w:rsidRPr="00FA656E">
        <w:t xml:space="preserve">continue deploying national monetary tools to overcome economic shocks, </w:t>
      </w:r>
      <w:r w:rsidRPr="00FA656E">
        <w:t xml:space="preserve">while those in the EMU have been subjected by </w:t>
      </w:r>
      <w:r w:rsidR="00E22CE2" w:rsidRPr="00FA656E">
        <w:t>stricter constraints in fiscal policies. This is a relevant point that suggests that</w:t>
      </w:r>
      <w:r w:rsidR="00023A6B">
        <w:t xml:space="preserve"> the</w:t>
      </w:r>
      <w:r w:rsidR="00E22CE2" w:rsidRPr="00FA656E">
        <w:t xml:space="preserve"> institutional characteristics of the models</w:t>
      </w:r>
      <w:r w:rsidR="00023A6B">
        <w:t xml:space="preserve"> </w:t>
      </w:r>
      <w:r w:rsidR="00E22CE2" w:rsidRPr="00FA656E">
        <w:t>lost some explanatory</w:t>
      </w:r>
      <w:r w:rsidR="00E22CE2">
        <w:t xml:space="preserve"> capacity regarding the employment and inequality outcomes during the fiscal crisis. </w:t>
      </w:r>
      <w:r>
        <w:t>For example, in</w:t>
      </w:r>
      <w:r w:rsidR="00E22CE2">
        <w:t xml:space="preserve"> </w:t>
      </w:r>
      <w:r>
        <w:t>the</w:t>
      </w:r>
      <w:r w:rsidR="00E22CE2">
        <w:t xml:space="preserve"> fascinating chapter </w:t>
      </w:r>
      <w:r>
        <w:t>by</w:t>
      </w:r>
      <w:r w:rsidR="00E22CE2">
        <w:t xml:space="preserve"> Andrew Martin the dangers of the existing in-buil</w:t>
      </w:r>
      <w:r>
        <w:t xml:space="preserve">t asymmetry in the EMU, </w:t>
      </w:r>
      <w:r w:rsidR="00E22CE2">
        <w:t xml:space="preserve">where monetary policy is centralised </w:t>
      </w:r>
      <w:r>
        <w:t>while</w:t>
      </w:r>
      <w:r w:rsidR="00E22CE2">
        <w:t xml:space="preserve"> fiscal policy is decided at Member state level</w:t>
      </w:r>
      <w:r>
        <w:t>, is shown</w:t>
      </w:r>
      <w:r w:rsidR="00E22CE2">
        <w:t xml:space="preserve">. As </w:t>
      </w:r>
      <w:r>
        <w:t>Martin</w:t>
      </w:r>
      <w:r w:rsidR="00E22CE2">
        <w:t xml:space="preserve"> argues, this unique institutional structure largely accounts for the specific impact of the economic crisis on it. </w:t>
      </w:r>
    </w:p>
    <w:p w:rsidR="00620FE7" w:rsidRDefault="00123889" w:rsidP="00DE1A52">
      <w:pPr>
        <w:spacing w:line="480" w:lineRule="auto"/>
      </w:pPr>
      <w:r>
        <w:t xml:space="preserve">In a nutshell, the book provides an insightful and fresh approach to changes in European Social Models by highlighting the key role of crises in structural reforms and of monetary integration </w:t>
      </w:r>
      <w:r w:rsidR="00E85E30">
        <w:t>on</w:t>
      </w:r>
      <w:r>
        <w:t xml:space="preserve"> employment and inequality outcomes. </w:t>
      </w:r>
      <w:r w:rsidR="006D628B">
        <w:t xml:space="preserve">The outcome of the period </w:t>
      </w:r>
      <w:r w:rsidR="00E85E30">
        <w:t xml:space="preserve">of </w:t>
      </w:r>
      <w:r w:rsidR="00023A6B">
        <w:t>‘</w:t>
      </w:r>
      <w:r w:rsidR="00E85E30">
        <w:t>crisis to crisis</w:t>
      </w:r>
      <w:r w:rsidR="00023A6B">
        <w:t>´</w:t>
      </w:r>
      <w:r w:rsidR="00E85E30">
        <w:t xml:space="preserve"> </w:t>
      </w:r>
      <w:r w:rsidR="006D628B">
        <w:t>has been an increase of inequality in employment,</w:t>
      </w:r>
      <w:r w:rsidR="00E85E30">
        <w:t xml:space="preserve"> which has particularly affected </w:t>
      </w:r>
      <w:r w:rsidR="006D628B">
        <w:t>those countries with deregulated temporary employment</w:t>
      </w:r>
      <w:r w:rsidR="00E85E30">
        <w:t xml:space="preserve"> and </w:t>
      </w:r>
      <w:r w:rsidR="006D628B">
        <w:t xml:space="preserve">now show the greatest share of low-paid workers. On the other hand, in </w:t>
      </w:r>
      <w:r w:rsidR="00E85E30">
        <w:t>central</w:t>
      </w:r>
      <w:r w:rsidR="006D628B">
        <w:t xml:space="preserve"> European countries the core of the social model has been maintained, but there are increasing developments towards dualization and increasing inequalities. </w:t>
      </w:r>
      <w:r w:rsidR="00620FE7">
        <w:t xml:space="preserve">However, </w:t>
      </w:r>
      <w:r w:rsidR="00E85E30">
        <w:t xml:space="preserve">taking the issues raised by the book into consideration, alternatively it can be argued </w:t>
      </w:r>
      <w:r w:rsidR="00620FE7">
        <w:t xml:space="preserve">that a different story and a trend towards liberalisation is happening in the periphery of the EMU and South-European countries. </w:t>
      </w:r>
      <w:r w:rsidR="00E85E30">
        <w:t>Furthermore</w:t>
      </w:r>
      <w:r w:rsidR="00620FE7">
        <w:t>, the trends towards neoliberal liberalisation and dualization affecting different European countries, result of the structural changes of social models provoked by supply-side policies, are leading to growing inequalities in employment</w:t>
      </w:r>
      <w:r w:rsidR="00023A6B">
        <w:t xml:space="preserve"> in all the countries analysed</w:t>
      </w:r>
      <w:r w:rsidR="00620FE7">
        <w:t xml:space="preserve">. </w:t>
      </w:r>
      <w:r w:rsidR="00E85E30">
        <w:t>Nevertheless, despite these potential omissions, t</w:t>
      </w:r>
      <w:r w:rsidR="00620FE7">
        <w:t xml:space="preserve">he contingent approach developed in the book remarks the importance of the macro-economic and aggregate demand in shaping employment outcomes. </w:t>
      </w:r>
    </w:p>
    <w:p w:rsidR="00620FE7" w:rsidRDefault="00620FE7"/>
    <w:p w:rsidR="00DE1A52" w:rsidRDefault="00DE1A52" w:rsidP="00DE1A52">
      <w:pPr>
        <w:jc w:val="right"/>
      </w:pPr>
      <w:r>
        <w:t>MARTÍ LÓPEZ-ANDREU</w:t>
      </w:r>
    </w:p>
    <w:p w:rsidR="00620FE7" w:rsidRDefault="00620FE7"/>
    <w:p w:rsidR="00620FE7" w:rsidRDefault="00620FE7" w:rsidP="00DE1A52">
      <w:pPr>
        <w:jc w:val="right"/>
      </w:pPr>
      <w:r>
        <w:t xml:space="preserve">University of Leicester </w:t>
      </w:r>
    </w:p>
    <w:p w:rsidR="003E0F87" w:rsidRPr="00BD0A4F" w:rsidRDefault="00620FE7">
      <w:r>
        <w:t xml:space="preserve">  </w:t>
      </w:r>
      <w:r w:rsidR="006D628B">
        <w:t xml:space="preserve">  </w:t>
      </w:r>
      <w:r w:rsidR="00BD0A4F" w:rsidRPr="00BD0A4F">
        <w:t xml:space="preserve"> </w:t>
      </w:r>
    </w:p>
    <w:sectPr w:rsidR="003E0F87" w:rsidRPr="00BD0A4F" w:rsidSect="003E0F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UxMbYwszSzNDc3NzFV0lEKTi0uzszPAykwqgUAO63ALiwAAAA="/>
  </w:docVars>
  <w:rsids>
    <w:rsidRoot w:val="00BD0A4F"/>
    <w:rsid w:val="00023A6B"/>
    <w:rsid w:val="000D049D"/>
    <w:rsid w:val="00106679"/>
    <w:rsid w:val="00123889"/>
    <w:rsid w:val="001C7800"/>
    <w:rsid w:val="0020144F"/>
    <w:rsid w:val="00233871"/>
    <w:rsid w:val="00261FF2"/>
    <w:rsid w:val="002D6F46"/>
    <w:rsid w:val="002E5426"/>
    <w:rsid w:val="003B55E9"/>
    <w:rsid w:val="003E0F87"/>
    <w:rsid w:val="00484479"/>
    <w:rsid w:val="004B2DCA"/>
    <w:rsid w:val="00587ED6"/>
    <w:rsid w:val="005A5885"/>
    <w:rsid w:val="005D2EA6"/>
    <w:rsid w:val="00620504"/>
    <w:rsid w:val="00620FE7"/>
    <w:rsid w:val="00685498"/>
    <w:rsid w:val="006A0AB5"/>
    <w:rsid w:val="006D628B"/>
    <w:rsid w:val="006E7F8B"/>
    <w:rsid w:val="0091168D"/>
    <w:rsid w:val="0093199F"/>
    <w:rsid w:val="00941E1E"/>
    <w:rsid w:val="00AA6ED5"/>
    <w:rsid w:val="00AE1E84"/>
    <w:rsid w:val="00B22A69"/>
    <w:rsid w:val="00BD0A4F"/>
    <w:rsid w:val="00C12B24"/>
    <w:rsid w:val="00C13209"/>
    <w:rsid w:val="00C900EA"/>
    <w:rsid w:val="00D24CCC"/>
    <w:rsid w:val="00DE1A52"/>
    <w:rsid w:val="00E05B7E"/>
    <w:rsid w:val="00E22CE2"/>
    <w:rsid w:val="00E85E30"/>
    <w:rsid w:val="00EE7E94"/>
    <w:rsid w:val="00F31C6D"/>
    <w:rsid w:val="00FA656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7E629-6ADB-4864-A055-ADA8F9BB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68D"/>
    <w:pPr>
      <w:contextualSpacing/>
    </w:pPr>
    <w:rPr>
      <w:rFonts w:ascii="Times New Roman" w:hAnsi="Times New Roman"/>
      <w:lang w:val="en-GB"/>
    </w:rPr>
  </w:style>
  <w:style w:type="paragraph" w:styleId="Heading1">
    <w:name w:val="heading 1"/>
    <w:basedOn w:val="Normal"/>
    <w:next w:val="Normal"/>
    <w:link w:val="Heading1Char"/>
    <w:autoRedefine/>
    <w:uiPriority w:val="9"/>
    <w:qFormat/>
    <w:rsid w:val="00C12B24"/>
    <w:pPr>
      <w:keepNext/>
      <w:keepLines/>
      <w:spacing w:before="480" w:after="0"/>
      <w:outlineLvl w:val="0"/>
    </w:pPr>
    <w:rPr>
      <w:rFonts w:eastAsiaTheme="majorEastAsia" w:cstheme="majorBidi"/>
      <w:b/>
      <w:bCs/>
      <w:color w:val="000000" w:themeColor="text1"/>
      <w:sz w:val="24"/>
      <w:szCs w:val="28"/>
    </w:rPr>
  </w:style>
  <w:style w:type="paragraph" w:styleId="Heading2">
    <w:name w:val="heading 2"/>
    <w:basedOn w:val="Normal"/>
    <w:next w:val="Normal"/>
    <w:link w:val="Heading2Char"/>
    <w:autoRedefine/>
    <w:uiPriority w:val="9"/>
    <w:unhideWhenUsed/>
    <w:qFormat/>
    <w:rsid w:val="00C12B24"/>
    <w:pPr>
      <w:keepNext/>
      <w:spacing w:before="60" w:after="60"/>
      <w:outlineLvl w:val="1"/>
    </w:pPr>
    <w:rPr>
      <w:rFonts w:eastAsia="Times New Roman"/>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C12B24"/>
    <w:rPr>
      <w:rFonts w:ascii="Times New Roman" w:eastAsia="Times New Roman" w:hAnsi="Times New Roman"/>
      <w:b/>
      <w:bCs/>
      <w:i/>
      <w:iCs/>
      <w:sz w:val="24"/>
      <w:szCs w:val="28"/>
      <w:lang w:val="en-GB"/>
    </w:rPr>
  </w:style>
  <w:style w:type="character" w:customStyle="1" w:styleId="Heading1Char">
    <w:name w:val="Heading 1 Char"/>
    <w:basedOn w:val="DefaultParagraphFont"/>
    <w:link w:val="Heading1"/>
    <w:uiPriority w:val="9"/>
    <w:rsid w:val="00C12B24"/>
    <w:rPr>
      <w:rFonts w:ascii="Times New Roman" w:eastAsiaTheme="majorEastAsia" w:hAnsi="Times New Roman" w:cstheme="majorBidi"/>
      <w:b/>
      <w:bCs/>
      <w:color w:val="000000" w:themeColor="text1"/>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227ACF02.dotm</Template>
  <TotalTime>0</TotalTime>
  <Pages>3</Pages>
  <Words>1076</Words>
  <Characters>6136</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jomateix</dc:creator>
  <cp:lastModifiedBy>Lopez Andreu, Marti (Dr.)</cp:lastModifiedBy>
  <cp:revision>2</cp:revision>
  <dcterms:created xsi:type="dcterms:W3CDTF">2018-04-05T14:40:00Z</dcterms:created>
  <dcterms:modified xsi:type="dcterms:W3CDTF">2018-04-05T14:40:00Z</dcterms:modified>
</cp:coreProperties>
</file>