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XSpec="center" w:tblpY="-177"/>
        <w:tblW w:w="5758" w:type="pct"/>
        <w:tblLook w:val="00A0" w:firstRow="1" w:lastRow="0" w:firstColumn="1" w:lastColumn="0" w:noHBand="0" w:noVBand="0"/>
      </w:tblPr>
      <w:tblGrid>
        <w:gridCol w:w="5273"/>
        <w:gridCol w:w="1784"/>
        <w:gridCol w:w="1790"/>
        <w:gridCol w:w="1787"/>
        <w:gridCol w:w="1916"/>
        <w:gridCol w:w="1787"/>
        <w:gridCol w:w="1790"/>
      </w:tblGrid>
      <w:tr w:rsidR="00ED0E2E" w:rsidRPr="000A6273" w:rsidTr="00027CCC">
        <w:trPr>
          <w:trHeight w:val="512"/>
        </w:trPr>
        <w:tc>
          <w:tcPr>
            <w:tcW w:w="5000" w:type="pct"/>
            <w:gridSpan w:val="7"/>
            <w:tcBorders>
              <w:bottom w:val="single" w:sz="4" w:space="0" w:color="auto"/>
            </w:tcBorders>
          </w:tcPr>
          <w:p w:rsidR="00ED0E2E" w:rsidRPr="000A6273" w:rsidRDefault="00ED0E2E" w:rsidP="00027CCC">
            <w:pPr>
              <w:spacing w:after="0" w:line="276" w:lineRule="auto"/>
              <w:rPr>
                <w:rFonts w:ascii="Times New Roman" w:eastAsia="MS ??" w:hAnsi="Times New Roman"/>
                <w:lang w:val="en-US"/>
              </w:rPr>
            </w:pPr>
            <w:r w:rsidRPr="000A6273">
              <w:rPr>
                <w:rFonts w:ascii="Times New Roman" w:eastAsia="MS ??" w:hAnsi="Times New Roman"/>
                <w:b/>
                <w:lang w:val="en-US"/>
              </w:rPr>
              <w:t>Online Table 3.</w:t>
            </w:r>
            <w:r w:rsidRPr="000A6273">
              <w:rPr>
                <w:rFonts w:ascii="Times New Roman" w:eastAsia="MS ??" w:hAnsi="Times New Roman"/>
                <w:lang w:val="en-US"/>
              </w:rPr>
              <w:t xml:space="preserve"> Risk ratios (95% confidence intervals) for BPD according to PDA treatment (Y/N) and type of PDA treatment in 19 European regions with low (&lt;15%), medium (15-25%) or high treatment proportions (&gt;25%). Very preterm infants (born at </w:t>
            </w:r>
            <w:r w:rsidRPr="000A6273">
              <w:rPr>
                <w:rFonts w:ascii="Times New Roman" w:hAnsi="Times New Roman"/>
                <w:lang w:val="en-US" w:eastAsia="fr-FR"/>
              </w:rPr>
              <w:t>≤</w:t>
            </w:r>
            <w:r w:rsidR="000A6273" w:rsidRPr="000A6273">
              <w:rPr>
                <w:rFonts w:ascii="Times New Roman" w:hAnsi="Times New Roman"/>
                <w:lang w:val="en-US" w:eastAsia="fr-FR"/>
              </w:rPr>
              <w:t xml:space="preserve">31 </w:t>
            </w:r>
            <w:r w:rsidRPr="000A6273">
              <w:rPr>
                <w:rFonts w:ascii="Times New Roman" w:eastAsia="MS ??" w:hAnsi="Times New Roman"/>
                <w:lang w:val="en-US"/>
              </w:rPr>
              <w:t xml:space="preserve">weeks </w:t>
            </w:r>
            <w:r w:rsidR="000A6273" w:rsidRPr="000A6273">
              <w:rPr>
                <w:rFonts w:ascii="Times New Roman" w:eastAsia="MS ??" w:hAnsi="Times New Roman"/>
                <w:lang w:val="en-US"/>
              </w:rPr>
              <w:t xml:space="preserve">of </w:t>
            </w:r>
            <w:r w:rsidRPr="000A6273">
              <w:rPr>
                <w:rFonts w:ascii="Times New Roman" w:eastAsia="MS ??" w:hAnsi="Times New Roman"/>
                <w:lang w:val="en-US"/>
              </w:rPr>
              <w:t>gestation) surviving to 36 weeks of postmenstrual age having complete BPD data (N=6,262)</w:t>
            </w:r>
            <w:r w:rsidR="00027CCC" w:rsidRPr="000A6273">
              <w:rPr>
                <w:rFonts w:ascii="Times New Roman" w:eastAsia="MS ??" w:hAnsi="Times New Roman"/>
                <w:lang w:val="en-US"/>
              </w:rPr>
              <w:t>.</w:t>
            </w:r>
          </w:p>
        </w:tc>
      </w:tr>
      <w:tr w:rsidR="00ED0E2E" w:rsidRPr="000A6273" w:rsidTr="00027CCC">
        <w:trPr>
          <w:trHeight w:val="556"/>
        </w:trPr>
        <w:tc>
          <w:tcPr>
            <w:tcW w:w="1635" w:type="pct"/>
            <w:vMerge w:val="restart"/>
            <w:tcBorders>
              <w:top w:val="single" w:sz="4" w:space="0" w:color="auto"/>
              <w:left w:val="single" w:sz="4" w:space="0" w:color="auto"/>
              <w:bottom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lang w:val="en-US"/>
              </w:rPr>
            </w:pPr>
          </w:p>
        </w:tc>
        <w:tc>
          <w:tcPr>
            <w:tcW w:w="1108" w:type="pct"/>
            <w:gridSpan w:val="2"/>
            <w:tcBorders>
              <w:top w:val="single" w:sz="4" w:space="0" w:color="auto"/>
              <w:left w:val="single" w:sz="4" w:space="0" w:color="auto"/>
              <w:bottom w:val="single" w:sz="4" w:space="0" w:color="auto"/>
              <w:right w:val="single" w:sz="4" w:space="0" w:color="auto"/>
            </w:tcBorders>
          </w:tcPr>
          <w:p w:rsidR="00ED0E2E" w:rsidRPr="000A6273" w:rsidRDefault="00ED0E2E" w:rsidP="00027CCC">
            <w:pPr>
              <w:spacing w:after="0" w:line="276" w:lineRule="auto"/>
              <w:jc w:val="center"/>
              <w:rPr>
                <w:rFonts w:ascii="Times New Roman" w:eastAsia="MS ??" w:hAnsi="Times New Roman"/>
                <w:b/>
                <w:lang w:val="en-US"/>
              </w:rPr>
            </w:pPr>
            <w:r w:rsidRPr="000A6273">
              <w:rPr>
                <w:rFonts w:ascii="Times New Roman" w:eastAsia="MS ??" w:hAnsi="Times New Roman"/>
                <w:b/>
                <w:lang w:val="en-US"/>
              </w:rPr>
              <w:t>Low</w:t>
            </w:r>
            <w:r w:rsidRPr="000A6273">
              <w:rPr>
                <w:rFonts w:ascii="Times New Roman" w:eastAsia="MS ??" w:hAnsi="Times New Roman"/>
                <w:b/>
                <w:lang w:val="en-US"/>
              </w:rPr>
              <w:t xml:space="preserve"> PDA treatment proportion</w:t>
            </w:r>
          </w:p>
          <w:p w:rsidR="00ED0E2E" w:rsidRPr="000A6273" w:rsidRDefault="00ED0E2E" w:rsidP="00027CCC">
            <w:pPr>
              <w:spacing w:after="0" w:line="276" w:lineRule="auto"/>
              <w:jc w:val="center"/>
              <w:rPr>
                <w:rFonts w:ascii="Times New Roman" w:eastAsia="MS ??" w:hAnsi="Times New Roman"/>
                <w:b/>
                <w:lang w:val="en-US"/>
              </w:rPr>
            </w:pPr>
            <w:r w:rsidRPr="000A6273">
              <w:rPr>
                <w:rFonts w:ascii="Times New Roman" w:eastAsia="MS ??" w:hAnsi="Times New Roman"/>
                <w:b/>
                <w:lang w:val="en-US"/>
              </w:rPr>
              <w:t>N=2,645</w:t>
            </w:r>
          </w:p>
        </w:tc>
        <w:tc>
          <w:tcPr>
            <w:tcW w:w="1148" w:type="pct"/>
            <w:gridSpan w:val="2"/>
            <w:tcBorders>
              <w:top w:val="single" w:sz="4" w:space="0" w:color="auto"/>
              <w:left w:val="single" w:sz="4" w:space="0" w:color="auto"/>
              <w:right w:val="single" w:sz="4" w:space="0" w:color="auto"/>
            </w:tcBorders>
          </w:tcPr>
          <w:p w:rsidR="00ED0E2E" w:rsidRPr="000A6273" w:rsidRDefault="00ED0E2E" w:rsidP="00027CCC">
            <w:pPr>
              <w:spacing w:after="0" w:line="276" w:lineRule="auto"/>
              <w:jc w:val="center"/>
              <w:rPr>
                <w:rFonts w:ascii="Times New Roman" w:eastAsia="MS ??" w:hAnsi="Times New Roman"/>
                <w:b/>
              </w:rPr>
            </w:pPr>
            <w:r w:rsidRPr="000A6273">
              <w:rPr>
                <w:rFonts w:ascii="Times New Roman" w:eastAsia="MS ??" w:hAnsi="Times New Roman"/>
                <w:b/>
              </w:rPr>
              <w:t>Medium</w:t>
            </w:r>
            <w:r w:rsidRPr="000A6273">
              <w:rPr>
                <w:rFonts w:ascii="Times New Roman" w:eastAsia="MS ??" w:hAnsi="Times New Roman"/>
                <w:b/>
              </w:rPr>
              <w:t xml:space="preserve"> PDA </w:t>
            </w:r>
            <w:proofErr w:type="spellStart"/>
            <w:r w:rsidRPr="000A6273">
              <w:rPr>
                <w:rFonts w:ascii="Times New Roman" w:eastAsia="MS ??" w:hAnsi="Times New Roman"/>
                <w:b/>
              </w:rPr>
              <w:t>treatment</w:t>
            </w:r>
            <w:proofErr w:type="spellEnd"/>
            <w:r w:rsidRPr="000A6273">
              <w:rPr>
                <w:rFonts w:ascii="Times New Roman" w:eastAsia="MS ??" w:hAnsi="Times New Roman"/>
                <w:b/>
              </w:rPr>
              <w:t xml:space="preserve"> proportion</w:t>
            </w:r>
          </w:p>
          <w:p w:rsidR="00ED0E2E" w:rsidRPr="000A6273" w:rsidRDefault="00ED0E2E" w:rsidP="00027CCC">
            <w:pPr>
              <w:spacing w:after="0" w:line="276" w:lineRule="auto"/>
              <w:jc w:val="center"/>
              <w:rPr>
                <w:rFonts w:ascii="Times New Roman" w:eastAsia="MS ??" w:hAnsi="Times New Roman"/>
                <w:b/>
              </w:rPr>
            </w:pPr>
            <w:r w:rsidRPr="000A6273">
              <w:rPr>
                <w:rFonts w:ascii="Times New Roman" w:eastAsia="MS ??" w:hAnsi="Times New Roman"/>
                <w:b/>
              </w:rPr>
              <w:t>N=3,087</w:t>
            </w:r>
          </w:p>
        </w:tc>
        <w:tc>
          <w:tcPr>
            <w:tcW w:w="1109" w:type="pct"/>
            <w:gridSpan w:val="2"/>
            <w:tcBorders>
              <w:top w:val="single" w:sz="4" w:space="0" w:color="auto"/>
              <w:left w:val="single" w:sz="4" w:space="0" w:color="auto"/>
              <w:right w:val="single" w:sz="4" w:space="0" w:color="auto"/>
            </w:tcBorders>
          </w:tcPr>
          <w:p w:rsidR="00ED0E2E" w:rsidRPr="000A6273" w:rsidRDefault="00ED0E2E" w:rsidP="00027CCC">
            <w:pPr>
              <w:spacing w:after="0" w:line="276" w:lineRule="auto"/>
              <w:jc w:val="center"/>
              <w:rPr>
                <w:rFonts w:ascii="Times New Roman" w:eastAsia="MS ??" w:hAnsi="Times New Roman"/>
                <w:b/>
                <w:lang w:val="en-US"/>
              </w:rPr>
            </w:pPr>
            <w:r w:rsidRPr="000A6273">
              <w:rPr>
                <w:rFonts w:ascii="Times New Roman" w:eastAsia="MS ??" w:hAnsi="Times New Roman"/>
                <w:b/>
                <w:lang w:val="en-US"/>
              </w:rPr>
              <w:t xml:space="preserve">High </w:t>
            </w:r>
            <w:r w:rsidRPr="000A6273">
              <w:rPr>
                <w:rFonts w:ascii="Times New Roman" w:eastAsia="MS ??" w:hAnsi="Times New Roman"/>
                <w:b/>
                <w:lang w:val="en-US"/>
              </w:rPr>
              <w:t>PDA treatment proportion</w:t>
            </w:r>
          </w:p>
          <w:p w:rsidR="00ED0E2E" w:rsidRPr="000A6273" w:rsidRDefault="00ED0E2E" w:rsidP="00027CCC">
            <w:pPr>
              <w:spacing w:after="0" w:line="276" w:lineRule="auto"/>
              <w:jc w:val="center"/>
              <w:rPr>
                <w:rFonts w:ascii="Times New Roman" w:eastAsia="MS ??" w:hAnsi="Times New Roman"/>
                <w:b/>
                <w:lang w:val="en-US"/>
              </w:rPr>
            </w:pPr>
            <w:r w:rsidRPr="000A6273">
              <w:rPr>
                <w:rFonts w:ascii="Times New Roman" w:eastAsia="MS ??" w:hAnsi="Times New Roman"/>
                <w:b/>
                <w:lang w:val="en-US"/>
              </w:rPr>
              <w:t>N=530</w:t>
            </w:r>
          </w:p>
        </w:tc>
      </w:tr>
      <w:tr w:rsidR="00ED0E2E" w:rsidRPr="000A6273" w:rsidTr="00027CCC">
        <w:trPr>
          <w:trHeight w:val="559"/>
        </w:trPr>
        <w:tc>
          <w:tcPr>
            <w:tcW w:w="1635" w:type="pct"/>
            <w:vMerge/>
            <w:tcBorders>
              <w:left w:val="single" w:sz="4" w:space="0" w:color="auto"/>
              <w:bottom w:val="single" w:sz="4" w:space="0" w:color="auto"/>
              <w:right w:val="single" w:sz="4" w:space="0" w:color="auto"/>
            </w:tcBorders>
            <w:vAlign w:val="center"/>
          </w:tcPr>
          <w:p w:rsidR="00ED0E2E" w:rsidRPr="000A6273" w:rsidRDefault="00ED0E2E" w:rsidP="00027CCC">
            <w:pPr>
              <w:spacing w:after="0" w:line="276" w:lineRule="auto"/>
              <w:rPr>
                <w:rFonts w:ascii="Times New Roman" w:eastAsia="MS ??" w:hAnsi="Times New Roman"/>
                <w:lang w:val="en-US" w:eastAsia="en-GB"/>
              </w:rPr>
            </w:pPr>
          </w:p>
        </w:tc>
        <w:tc>
          <w:tcPr>
            <w:tcW w:w="553" w:type="pct"/>
            <w:tcBorders>
              <w:top w:val="single" w:sz="4" w:space="0" w:color="auto"/>
              <w:left w:val="single" w:sz="4" w:space="0" w:color="auto"/>
              <w:bottom w:val="single" w:sz="4" w:space="0" w:color="auto"/>
              <w:right w:val="single" w:sz="4" w:space="0" w:color="auto"/>
            </w:tcBorders>
            <w:vAlign w:val="center"/>
          </w:tcPr>
          <w:p w:rsidR="00ED0E2E" w:rsidRPr="000A6273" w:rsidRDefault="00ED0E2E" w:rsidP="00027CCC">
            <w:pPr>
              <w:spacing w:after="0" w:line="276" w:lineRule="auto"/>
              <w:jc w:val="center"/>
              <w:rPr>
                <w:rFonts w:ascii="Times New Roman" w:eastAsia="MS ??" w:hAnsi="Times New Roman"/>
                <w:b/>
              </w:rPr>
            </w:pPr>
            <w:proofErr w:type="spellStart"/>
            <w:r w:rsidRPr="000A6273">
              <w:rPr>
                <w:rFonts w:ascii="Times New Roman" w:eastAsia="MS ??" w:hAnsi="Times New Roman"/>
                <w:b/>
              </w:rPr>
              <w:t>Model</w:t>
            </w:r>
            <w:proofErr w:type="spellEnd"/>
            <w:r w:rsidRPr="000A6273">
              <w:rPr>
                <w:rFonts w:ascii="Times New Roman" w:eastAsia="MS ??" w:hAnsi="Times New Roman"/>
                <w:b/>
              </w:rPr>
              <w:t xml:space="preserve"> 1</w:t>
            </w:r>
            <w:r w:rsidRPr="000A6273">
              <w:rPr>
                <w:rFonts w:ascii="Times New Roman" w:eastAsia="MS ??" w:hAnsi="Times New Roman"/>
                <w:b/>
                <w:vertAlign w:val="superscript"/>
              </w:rPr>
              <w:t>1</w:t>
            </w:r>
          </w:p>
        </w:tc>
        <w:tc>
          <w:tcPr>
            <w:tcW w:w="555" w:type="pct"/>
            <w:tcBorders>
              <w:top w:val="single" w:sz="4" w:space="0" w:color="auto"/>
              <w:left w:val="single" w:sz="4" w:space="0" w:color="auto"/>
              <w:bottom w:val="single" w:sz="4" w:space="0" w:color="auto"/>
              <w:right w:val="single" w:sz="4" w:space="0" w:color="auto"/>
            </w:tcBorders>
            <w:vAlign w:val="center"/>
          </w:tcPr>
          <w:p w:rsidR="00ED0E2E" w:rsidRPr="000A6273" w:rsidRDefault="00ED0E2E" w:rsidP="00027CCC">
            <w:pPr>
              <w:spacing w:after="0" w:line="276" w:lineRule="auto"/>
              <w:jc w:val="center"/>
              <w:rPr>
                <w:rFonts w:ascii="Times New Roman" w:eastAsia="MS ??" w:hAnsi="Times New Roman"/>
                <w:b/>
              </w:rPr>
            </w:pPr>
            <w:proofErr w:type="spellStart"/>
            <w:r w:rsidRPr="000A6273">
              <w:rPr>
                <w:rFonts w:ascii="Times New Roman" w:eastAsia="MS ??" w:hAnsi="Times New Roman"/>
                <w:b/>
              </w:rPr>
              <w:t>Model</w:t>
            </w:r>
            <w:proofErr w:type="spellEnd"/>
            <w:r w:rsidRPr="000A6273">
              <w:rPr>
                <w:rFonts w:ascii="Times New Roman" w:eastAsia="MS ??" w:hAnsi="Times New Roman"/>
                <w:b/>
              </w:rPr>
              <w:t xml:space="preserve"> 2</w:t>
            </w:r>
            <w:r w:rsidRPr="000A6273">
              <w:rPr>
                <w:rFonts w:ascii="Times New Roman" w:eastAsia="MS ??" w:hAnsi="Times New Roman"/>
                <w:b/>
                <w:vertAlign w:val="superscript"/>
              </w:rPr>
              <w:t>2</w:t>
            </w:r>
          </w:p>
        </w:tc>
        <w:tc>
          <w:tcPr>
            <w:tcW w:w="554" w:type="pct"/>
            <w:tcBorders>
              <w:top w:val="single" w:sz="4" w:space="0" w:color="auto"/>
              <w:left w:val="single" w:sz="4" w:space="0" w:color="auto"/>
              <w:bottom w:val="single" w:sz="4" w:space="0" w:color="auto"/>
              <w:right w:val="single" w:sz="4" w:space="0" w:color="auto"/>
            </w:tcBorders>
            <w:vAlign w:val="center"/>
          </w:tcPr>
          <w:p w:rsidR="00ED0E2E" w:rsidRPr="000A6273" w:rsidRDefault="00ED0E2E" w:rsidP="00027CCC">
            <w:pPr>
              <w:spacing w:after="0" w:line="276" w:lineRule="auto"/>
              <w:jc w:val="center"/>
              <w:rPr>
                <w:rFonts w:ascii="Times New Roman" w:eastAsia="MS ??" w:hAnsi="Times New Roman"/>
                <w:b/>
              </w:rPr>
            </w:pPr>
            <w:proofErr w:type="spellStart"/>
            <w:r w:rsidRPr="000A6273">
              <w:rPr>
                <w:rFonts w:ascii="Times New Roman" w:eastAsia="MS ??" w:hAnsi="Times New Roman"/>
                <w:b/>
              </w:rPr>
              <w:t>Model</w:t>
            </w:r>
            <w:proofErr w:type="spellEnd"/>
            <w:r w:rsidRPr="000A6273">
              <w:rPr>
                <w:rFonts w:ascii="Times New Roman" w:eastAsia="MS ??" w:hAnsi="Times New Roman"/>
                <w:b/>
              </w:rPr>
              <w:t xml:space="preserve"> 1</w:t>
            </w:r>
            <w:r w:rsidRPr="000A6273">
              <w:rPr>
                <w:rFonts w:ascii="Times New Roman" w:eastAsia="MS ??" w:hAnsi="Times New Roman"/>
                <w:b/>
                <w:vertAlign w:val="superscript"/>
              </w:rPr>
              <w:t>1</w:t>
            </w:r>
          </w:p>
        </w:tc>
        <w:tc>
          <w:tcPr>
            <w:tcW w:w="593" w:type="pct"/>
            <w:tcBorders>
              <w:top w:val="single" w:sz="4" w:space="0" w:color="auto"/>
              <w:left w:val="single" w:sz="4" w:space="0" w:color="auto"/>
              <w:bottom w:val="single" w:sz="4" w:space="0" w:color="auto"/>
              <w:right w:val="single" w:sz="4" w:space="0" w:color="auto"/>
            </w:tcBorders>
            <w:vAlign w:val="center"/>
          </w:tcPr>
          <w:p w:rsidR="00ED0E2E" w:rsidRPr="000A6273" w:rsidRDefault="00ED0E2E" w:rsidP="00027CCC">
            <w:pPr>
              <w:spacing w:after="0" w:line="276" w:lineRule="auto"/>
              <w:jc w:val="center"/>
              <w:rPr>
                <w:rFonts w:ascii="Times New Roman" w:eastAsia="MS ??" w:hAnsi="Times New Roman"/>
                <w:b/>
              </w:rPr>
            </w:pPr>
            <w:proofErr w:type="spellStart"/>
            <w:r w:rsidRPr="000A6273">
              <w:rPr>
                <w:rFonts w:ascii="Times New Roman" w:eastAsia="MS ??" w:hAnsi="Times New Roman"/>
                <w:b/>
              </w:rPr>
              <w:t>Model</w:t>
            </w:r>
            <w:proofErr w:type="spellEnd"/>
            <w:r w:rsidRPr="000A6273">
              <w:rPr>
                <w:rFonts w:ascii="Times New Roman" w:eastAsia="MS ??" w:hAnsi="Times New Roman"/>
                <w:b/>
              </w:rPr>
              <w:t xml:space="preserve"> 2</w:t>
            </w:r>
            <w:r w:rsidRPr="000A6273">
              <w:rPr>
                <w:rFonts w:ascii="Times New Roman" w:eastAsia="MS ??" w:hAnsi="Times New Roman"/>
                <w:b/>
                <w:vertAlign w:val="superscript"/>
              </w:rPr>
              <w:t>2</w:t>
            </w:r>
          </w:p>
        </w:tc>
        <w:tc>
          <w:tcPr>
            <w:tcW w:w="554" w:type="pct"/>
            <w:tcBorders>
              <w:top w:val="single" w:sz="4" w:space="0" w:color="auto"/>
              <w:left w:val="single" w:sz="4" w:space="0" w:color="auto"/>
              <w:bottom w:val="single" w:sz="4" w:space="0" w:color="auto"/>
              <w:right w:val="single" w:sz="4" w:space="0" w:color="auto"/>
            </w:tcBorders>
            <w:vAlign w:val="center"/>
          </w:tcPr>
          <w:p w:rsidR="00ED0E2E" w:rsidRPr="000A6273" w:rsidRDefault="00ED0E2E" w:rsidP="00027CCC">
            <w:pPr>
              <w:spacing w:after="0" w:line="276" w:lineRule="auto"/>
              <w:jc w:val="center"/>
              <w:rPr>
                <w:rFonts w:ascii="Times New Roman" w:eastAsia="MS ??" w:hAnsi="Times New Roman"/>
              </w:rPr>
            </w:pPr>
            <w:proofErr w:type="spellStart"/>
            <w:r w:rsidRPr="000A6273">
              <w:rPr>
                <w:rFonts w:ascii="Times New Roman" w:eastAsia="MS ??" w:hAnsi="Times New Roman"/>
                <w:b/>
              </w:rPr>
              <w:t>Model</w:t>
            </w:r>
            <w:proofErr w:type="spellEnd"/>
            <w:r w:rsidRPr="000A6273">
              <w:rPr>
                <w:rFonts w:ascii="Times New Roman" w:eastAsia="MS ??" w:hAnsi="Times New Roman"/>
                <w:b/>
              </w:rPr>
              <w:t xml:space="preserve"> 1</w:t>
            </w:r>
            <w:r w:rsidRPr="000A6273">
              <w:rPr>
                <w:rFonts w:ascii="Times New Roman" w:eastAsia="MS ??" w:hAnsi="Times New Roman"/>
                <w:b/>
                <w:vertAlign w:val="superscript"/>
              </w:rPr>
              <w:t>1</w:t>
            </w:r>
          </w:p>
        </w:tc>
        <w:tc>
          <w:tcPr>
            <w:tcW w:w="555" w:type="pct"/>
            <w:tcBorders>
              <w:top w:val="single" w:sz="4" w:space="0" w:color="auto"/>
              <w:left w:val="single" w:sz="4" w:space="0" w:color="auto"/>
              <w:bottom w:val="single" w:sz="4" w:space="0" w:color="auto"/>
              <w:right w:val="single" w:sz="4" w:space="0" w:color="auto"/>
            </w:tcBorders>
            <w:vAlign w:val="center"/>
          </w:tcPr>
          <w:p w:rsidR="00ED0E2E" w:rsidRPr="000A6273" w:rsidRDefault="00ED0E2E" w:rsidP="00027CCC">
            <w:pPr>
              <w:spacing w:after="0" w:line="276" w:lineRule="auto"/>
              <w:jc w:val="center"/>
              <w:rPr>
                <w:rFonts w:ascii="Times New Roman" w:eastAsia="MS ??" w:hAnsi="Times New Roman"/>
                <w:b/>
              </w:rPr>
            </w:pPr>
            <w:proofErr w:type="spellStart"/>
            <w:r w:rsidRPr="000A6273">
              <w:rPr>
                <w:rFonts w:ascii="Times New Roman" w:eastAsia="MS ??" w:hAnsi="Times New Roman"/>
                <w:b/>
              </w:rPr>
              <w:t>Model</w:t>
            </w:r>
            <w:proofErr w:type="spellEnd"/>
            <w:r w:rsidRPr="000A6273">
              <w:rPr>
                <w:rFonts w:ascii="Times New Roman" w:eastAsia="MS ??" w:hAnsi="Times New Roman"/>
                <w:b/>
              </w:rPr>
              <w:t xml:space="preserve"> 2</w:t>
            </w:r>
            <w:r w:rsidRPr="000A6273">
              <w:rPr>
                <w:rFonts w:ascii="Times New Roman" w:eastAsia="MS ??" w:hAnsi="Times New Roman"/>
                <w:b/>
                <w:vertAlign w:val="superscript"/>
              </w:rPr>
              <w:t>2</w:t>
            </w:r>
          </w:p>
        </w:tc>
      </w:tr>
      <w:tr w:rsidR="00ED0E2E" w:rsidRPr="000A6273" w:rsidTr="00027CCC">
        <w:trPr>
          <w:trHeight w:val="426"/>
        </w:trPr>
        <w:tc>
          <w:tcPr>
            <w:tcW w:w="1635" w:type="pct"/>
            <w:tcBorders>
              <w:top w:val="single" w:sz="4" w:space="0" w:color="auto"/>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b/>
              </w:rPr>
            </w:pPr>
            <w:r w:rsidRPr="000A6273">
              <w:rPr>
                <w:rFonts w:ascii="Times New Roman" w:eastAsia="MS ??" w:hAnsi="Times New Roman"/>
                <w:b/>
              </w:rPr>
              <w:t>PDA-</w:t>
            </w:r>
            <w:proofErr w:type="spellStart"/>
            <w:r w:rsidRPr="000A6273">
              <w:rPr>
                <w:rFonts w:ascii="Times New Roman" w:eastAsia="MS ??" w:hAnsi="Times New Roman"/>
                <w:b/>
              </w:rPr>
              <w:t>treatment</w:t>
            </w:r>
            <w:proofErr w:type="spellEnd"/>
          </w:p>
        </w:tc>
        <w:tc>
          <w:tcPr>
            <w:tcW w:w="553" w:type="pct"/>
            <w:tcBorders>
              <w:top w:val="single" w:sz="4" w:space="0" w:color="auto"/>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rPr>
            </w:pPr>
          </w:p>
        </w:tc>
        <w:tc>
          <w:tcPr>
            <w:tcW w:w="555" w:type="pct"/>
            <w:tcBorders>
              <w:top w:val="single" w:sz="4" w:space="0" w:color="auto"/>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rPr>
            </w:pPr>
          </w:p>
        </w:tc>
        <w:tc>
          <w:tcPr>
            <w:tcW w:w="554" w:type="pct"/>
            <w:tcBorders>
              <w:top w:val="single" w:sz="4" w:space="0" w:color="auto"/>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rPr>
            </w:pPr>
          </w:p>
        </w:tc>
        <w:tc>
          <w:tcPr>
            <w:tcW w:w="593" w:type="pct"/>
            <w:tcBorders>
              <w:top w:val="single" w:sz="4" w:space="0" w:color="auto"/>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rPr>
            </w:pPr>
          </w:p>
        </w:tc>
        <w:tc>
          <w:tcPr>
            <w:tcW w:w="554" w:type="pct"/>
            <w:tcBorders>
              <w:top w:val="single" w:sz="4" w:space="0" w:color="auto"/>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rPr>
            </w:pPr>
          </w:p>
        </w:tc>
        <w:tc>
          <w:tcPr>
            <w:tcW w:w="555" w:type="pct"/>
            <w:tcBorders>
              <w:top w:val="single" w:sz="4" w:space="0" w:color="auto"/>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rPr>
            </w:pPr>
          </w:p>
        </w:tc>
      </w:tr>
      <w:tr w:rsidR="00ED0E2E" w:rsidRPr="000A6273" w:rsidTr="00027CCC">
        <w:trPr>
          <w:trHeight w:val="426"/>
        </w:trPr>
        <w:tc>
          <w:tcPr>
            <w:tcW w:w="1635" w:type="pct"/>
            <w:tcBorders>
              <w:left w:val="single" w:sz="4" w:space="0" w:color="auto"/>
              <w:right w:val="single" w:sz="4" w:space="0" w:color="auto"/>
            </w:tcBorders>
          </w:tcPr>
          <w:p w:rsidR="00ED0E2E" w:rsidRPr="000A6273" w:rsidRDefault="00ED0E2E" w:rsidP="00027CCC">
            <w:pPr>
              <w:spacing w:after="0" w:line="276" w:lineRule="auto"/>
              <w:ind w:firstLine="176"/>
              <w:rPr>
                <w:rFonts w:ascii="Times New Roman" w:eastAsia="MS ??" w:hAnsi="Times New Roman"/>
                <w:b/>
              </w:rPr>
            </w:pPr>
            <w:r w:rsidRPr="000A6273">
              <w:rPr>
                <w:rFonts w:ascii="Times New Roman" w:eastAsia="MS ??" w:hAnsi="Times New Roman"/>
              </w:rPr>
              <w:t xml:space="preserve">No PDA </w:t>
            </w:r>
            <w:proofErr w:type="spellStart"/>
            <w:r w:rsidRPr="000A6273">
              <w:rPr>
                <w:rFonts w:ascii="Times New Roman" w:eastAsia="MS ??" w:hAnsi="Times New Roman"/>
              </w:rPr>
              <w:t>treatment</w:t>
            </w:r>
            <w:proofErr w:type="spellEnd"/>
          </w:p>
        </w:tc>
        <w:tc>
          <w:tcPr>
            <w:tcW w:w="553"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rPr>
            </w:pPr>
            <w:r w:rsidRPr="000A6273">
              <w:rPr>
                <w:rFonts w:ascii="Times New Roman" w:eastAsia="MS ??" w:hAnsi="Times New Roman"/>
              </w:rPr>
              <w:t>1.00 (ref)</w:t>
            </w:r>
          </w:p>
        </w:tc>
        <w:tc>
          <w:tcPr>
            <w:tcW w:w="555"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rPr>
            </w:pPr>
            <w:r w:rsidRPr="000A6273">
              <w:rPr>
                <w:rFonts w:ascii="Times New Roman" w:eastAsia="MS ??" w:hAnsi="Times New Roman"/>
              </w:rPr>
              <w:t>1.00 (ref)</w:t>
            </w:r>
          </w:p>
        </w:tc>
        <w:tc>
          <w:tcPr>
            <w:tcW w:w="554"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rPr>
            </w:pPr>
            <w:r w:rsidRPr="000A6273">
              <w:rPr>
                <w:rFonts w:ascii="Times New Roman" w:eastAsia="MS ??" w:hAnsi="Times New Roman"/>
              </w:rPr>
              <w:t>1.00 (ref)</w:t>
            </w:r>
          </w:p>
        </w:tc>
        <w:tc>
          <w:tcPr>
            <w:tcW w:w="593"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rPr>
            </w:pPr>
            <w:r w:rsidRPr="000A6273">
              <w:rPr>
                <w:rFonts w:ascii="Times New Roman" w:eastAsia="MS ??" w:hAnsi="Times New Roman"/>
              </w:rPr>
              <w:t>1.00 (ref)</w:t>
            </w:r>
          </w:p>
        </w:tc>
        <w:tc>
          <w:tcPr>
            <w:tcW w:w="554"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rPr>
            </w:pPr>
            <w:r w:rsidRPr="000A6273">
              <w:rPr>
                <w:rFonts w:ascii="Times New Roman" w:eastAsia="MS ??" w:hAnsi="Times New Roman"/>
              </w:rPr>
              <w:t>1.00 (ref)</w:t>
            </w:r>
          </w:p>
        </w:tc>
        <w:tc>
          <w:tcPr>
            <w:tcW w:w="555"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rPr>
            </w:pPr>
            <w:r w:rsidRPr="000A6273">
              <w:rPr>
                <w:rFonts w:ascii="Times New Roman" w:eastAsia="MS ??" w:hAnsi="Times New Roman"/>
              </w:rPr>
              <w:t>1.00 (ref)</w:t>
            </w:r>
          </w:p>
        </w:tc>
      </w:tr>
      <w:tr w:rsidR="00ED0E2E" w:rsidRPr="000A6273" w:rsidTr="00027CCC">
        <w:trPr>
          <w:trHeight w:val="426"/>
        </w:trPr>
        <w:tc>
          <w:tcPr>
            <w:tcW w:w="1635" w:type="pct"/>
            <w:tcBorders>
              <w:left w:val="single" w:sz="4" w:space="0" w:color="auto"/>
              <w:right w:val="single" w:sz="4" w:space="0" w:color="auto"/>
            </w:tcBorders>
          </w:tcPr>
          <w:p w:rsidR="00ED0E2E" w:rsidRPr="000A6273" w:rsidRDefault="00ED0E2E" w:rsidP="00027CCC">
            <w:pPr>
              <w:spacing w:after="0" w:line="276" w:lineRule="auto"/>
              <w:ind w:firstLine="176"/>
              <w:rPr>
                <w:rFonts w:ascii="Times New Roman" w:eastAsia="MS ??" w:hAnsi="Times New Roman"/>
              </w:rPr>
            </w:pPr>
            <w:proofErr w:type="spellStart"/>
            <w:r w:rsidRPr="000A6273">
              <w:rPr>
                <w:rFonts w:ascii="Times New Roman" w:eastAsia="MS ??" w:hAnsi="Times New Roman"/>
              </w:rPr>
              <w:t>Any</w:t>
            </w:r>
            <w:proofErr w:type="spellEnd"/>
            <w:r w:rsidRPr="000A6273">
              <w:rPr>
                <w:rFonts w:ascii="Times New Roman" w:eastAsia="MS ??" w:hAnsi="Times New Roman"/>
              </w:rPr>
              <w:t xml:space="preserve"> PDA </w:t>
            </w:r>
            <w:proofErr w:type="spellStart"/>
            <w:r w:rsidRPr="000A6273">
              <w:rPr>
                <w:rFonts w:ascii="Times New Roman" w:eastAsia="MS ??" w:hAnsi="Times New Roman"/>
              </w:rPr>
              <w:t>treatment</w:t>
            </w:r>
            <w:proofErr w:type="spellEnd"/>
          </w:p>
        </w:tc>
        <w:tc>
          <w:tcPr>
            <w:tcW w:w="553"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lang w:val="en-US"/>
              </w:rPr>
            </w:pPr>
            <w:r w:rsidRPr="000A6273">
              <w:rPr>
                <w:rFonts w:ascii="Times New Roman" w:eastAsia="MS ??" w:hAnsi="Times New Roman"/>
                <w:lang w:val="en-US"/>
              </w:rPr>
              <w:t>1.50 (1.19-1.88)</w:t>
            </w:r>
          </w:p>
        </w:tc>
        <w:tc>
          <w:tcPr>
            <w:tcW w:w="555"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lang w:val="en-US"/>
              </w:rPr>
            </w:pPr>
            <w:r w:rsidRPr="000A6273">
              <w:rPr>
                <w:rFonts w:ascii="Times New Roman" w:eastAsia="MS ??" w:hAnsi="Times New Roman"/>
                <w:lang w:val="en-US"/>
              </w:rPr>
              <w:t>1.34 (1.07-1.68)</w:t>
            </w:r>
          </w:p>
        </w:tc>
        <w:tc>
          <w:tcPr>
            <w:tcW w:w="554"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lang w:val="en-US"/>
              </w:rPr>
            </w:pPr>
            <w:r w:rsidRPr="000A6273">
              <w:rPr>
                <w:rFonts w:ascii="Times New Roman" w:eastAsia="MS ??" w:hAnsi="Times New Roman"/>
                <w:lang w:val="en-US"/>
              </w:rPr>
              <w:t>1.84 (1.38-2.46)</w:t>
            </w:r>
          </w:p>
        </w:tc>
        <w:tc>
          <w:tcPr>
            <w:tcW w:w="593"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lang w:val="en-US"/>
              </w:rPr>
            </w:pPr>
            <w:r w:rsidRPr="000A6273">
              <w:rPr>
                <w:rFonts w:ascii="Times New Roman" w:eastAsia="MS ??" w:hAnsi="Times New Roman"/>
                <w:lang w:val="en-US"/>
              </w:rPr>
              <w:t>1.67 (1.29-2.17)</w:t>
            </w:r>
          </w:p>
        </w:tc>
        <w:tc>
          <w:tcPr>
            <w:tcW w:w="554"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lang w:val="en-US"/>
              </w:rPr>
            </w:pPr>
            <w:r w:rsidRPr="000A6273">
              <w:rPr>
                <w:rFonts w:ascii="Times New Roman" w:eastAsia="MS ??" w:hAnsi="Times New Roman"/>
                <w:lang w:val="en-US"/>
              </w:rPr>
              <w:t>2.71 (1.60-4.60)</w:t>
            </w:r>
          </w:p>
        </w:tc>
        <w:tc>
          <w:tcPr>
            <w:tcW w:w="555"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lang w:val="en-US"/>
              </w:rPr>
            </w:pPr>
            <w:r w:rsidRPr="000A6273">
              <w:rPr>
                <w:rFonts w:ascii="Times New Roman" w:eastAsia="MS ??" w:hAnsi="Times New Roman"/>
                <w:lang w:val="en-US"/>
              </w:rPr>
              <w:t>2.54 (1.53-4.23)</w:t>
            </w:r>
          </w:p>
        </w:tc>
      </w:tr>
      <w:tr w:rsidR="00ED0E2E" w:rsidRPr="000A6273" w:rsidTr="00027CCC">
        <w:trPr>
          <w:trHeight w:val="426"/>
        </w:trPr>
        <w:tc>
          <w:tcPr>
            <w:tcW w:w="1635"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b/>
                <w:lang w:val="en-US"/>
              </w:rPr>
            </w:pPr>
            <w:r w:rsidRPr="000A6273">
              <w:rPr>
                <w:rFonts w:ascii="Times New Roman" w:eastAsia="MS ??" w:hAnsi="Times New Roman"/>
                <w:b/>
                <w:lang w:val="en-US"/>
              </w:rPr>
              <w:t>By type of PDA treatment</w:t>
            </w:r>
          </w:p>
        </w:tc>
        <w:tc>
          <w:tcPr>
            <w:tcW w:w="553"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lang w:val="en-US"/>
              </w:rPr>
            </w:pPr>
          </w:p>
        </w:tc>
        <w:tc>
          <w:tcPr>
            <w:tcW w:w="555"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lang w:val="en-US"/>
              </w:rPr>
            </w:pPr>
          </w:p>
        </w:tc>
        <w:tc>
          <w:tcPr>
            <w:tcW w:w="554"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lang w:val="en-US"/>
              </w:rPr>
            </w:pPr>
          </w:p>
        </w:tc>
        <w:tc>
          <w:tcPr>
            <w:tcW w:w="593"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lang w:val="en-US"/>
              </w:rPr>
            </w:pPr>
          </w:p>
        </w:tc>
        <w:tc>
          <w:tcPr>
            <w:tcW w:w="554"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lang w:val="en-US"/>
              </w:rPr>
            </w:pPr>
          </w:p>
        </w:tc>
        <w:tc>
          <w:tcPr>
            <w:tcW w:w="555"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lang w:val="en-US"/>
              </w:rPr>
            </w:pPr>
          </w:p>
        </w:tc>
      </w:tr>
      <w:tr w:rsidR="00ED0E2E" w:rsidRPr="000A6273" w:rsidTr="00027CCC">
        <w:trPr>
          <w:trHeight w:val="426"/>
        </w:trPr>
        <w:tc>
          <w:tcPr>
            <w:tcW w:w="1635" w:type="pct"/>
            <w:tcBorders>
              <w:left w:val="single" w:sz="4" w:space="0" w:color="auto"/>
              <w:right w:val="single" w:sz="4" w:space="0" w:color="auto"/>
            </w:tcBorders>
          </w:tcPr>
          <w:p w:rsidR="00ED0E2E" w:rsidRPr="000A6273" w:rsidRDefault="00ED0E2E" w:rsidP="00027CCC">
            <w:pPr>
              <w:spacing w:after="0" w:line="276" w:lineRule="auto"/>
              <w:ind w:firstLine="176"/>
              <w:rPr>
                <w:rFonts w:ascii="Times New Roman" w:eastAsia="MS ??" w:hAnsi="Times New Roman"/>
                <w:lang w:val="en-US"/>
              </w:rPr>
            </w:pPr>
            <w:r w:rsidRPr="000A6273">
              <w:rPr>
                <w:rFonts w:ascii="Times New Roman" w:eastAsia="MS ??" w:hAnsi="Times New Roman"/>
                <w:lang w:val="en-US"/>
              </w:rPr>
              <w:t>No PDA treatment</w:t>
            </w:r>
          </w:p>
        </w:tc>
        <w:tc>
          <w:tcPr>
            <w:tcW w:w="553"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lang w:val="en-US"/>
              </w:rPr>
            </w:pPr>
            <w:r w:rsidRPr="000A6273">
              <w:rPr>
                <w:rFonts w:ascii="Times New Roman" w:eastAsia="MS ??" w:hAnsi="Times New Roman"/>
                <w:lang w:val="en-US"/>
              </w:rPr>
              <w:t>1.00 (ref)</w:t>
            </w:r>
          </w:p>
        </w:tc>
        <w:tc>
          <w:tcPr>
            <w:tcW w:w="555"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lang w:val="en-US"/>
              </w:rPr>
            </w:pPr>
            <w:r w:rsidRPr="000A6273">
              <w:rPr>
                <w:rFonts w:ascii="Times New Roman" w:eastAsia="MS ??" w:hAnsi="Times New Roman"/>
                <w:lang w:val="en-US"/>
              </w:rPr>
              <w:t>1.00 (ref)</w:t>
            </w:r>
          </w:p>
        </w:tc>
        <w:tc>
          <w:tcPr>
            <w:tcW w:w="554"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lang w:val="en-US"/>
              </w:rPr>
            </w:pPr>
            <w:r w:rsidRPr="000A6273">
              <w:rPr>
                <w:rFonts w:ascii="Times New Roman" w:eastAsia="MS ??" w:hAnsi="Times New Roman"/>
                <w:lang w:val="en-US"/>
              </w:rPr>
              <w:t>1.00 (ref)</w:t>
            </w:r>
          </w:p>
        </w:tc>
        <w:tc>
          <w:tcPr>
            <w:tcW w:w="593"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lang w:val="en-US"/>
              </w:rPr>
            </w:pPr>
            <w:r w:rsidRPr="000A6273">
              <w:rPr>
                <w:rFonts w:ascii="Times New Roman" w:eastAsia="MS ??" w:hAnsi="Times New Roman"/>
                <w:lang w:val="en-US"/>
              </w:rPr>
              <w:t>1.00 (ref)</w:t>
            </w:r>
          </w:p>
        </w:tc>
        <w:tc>
          <w:tcPr>
            <w:tcW w:w="554"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lang w:val="en-US"/>
              </w:rPr>
            </w:pPr>
            <w:r w:rsidRPr="000A6273">
              <w:rPr>
                <w:rFonts w:ascii="Times New Roman" w:eastAsia="MS ??" w:hAnsi="Times New Roman"/>
                <w:lang w:val="en-US"/>
              </w:rPr>
              <w:t>1.00 (ref)</w:t>
            </w:r>
          </w:p>
        </w:tc>
        <w:tc>
          <w:tcPr>
            <w:tcW w:w="555"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lang w:val="en-US"/>
              </w:rPr>
            </w:pPr>
            <w:r w:rsidRPr="000A6273">
              <w:rPr>
                <w:rFonts w:ascii="Times New Roman" w:eastAsia="MS ??" w:hAnsi="Times New Roman"/>
                <w:lang w:val="en-US"/>
              </w:rPr>
              <w:t>1.00 (ref)</w:t>
            </w:r>
          </w:p>
        </w:tc>
      </w:tr>
      <w:tr w:rsidR="00ED0E2E" w:rsidRPr="000A6273" w:rsidTr="00027CCC">
        <w:trPr>
          <w:trHeight w:val="426"/>
        </w:trPr>
        <w:tc>
          <w:tcPr>
            <w:tcW w:w="1635" w:type="pct"/>
            <w:tcBorders>
              <w:left w:val="single" w:sz="4" w:space="0" w:color="auto"/>
              <w:right w:val="single" w:sz="4" w:space="0" w:color="auto"/>
            </w:tcBorders>
          </w:tcPr>
          <w:p w:rsidR="00ED0E2E" w:rsidRPr="000A6273" w:rsidRDefault="00ED0E2E" w:rsidP="00027CCC">
            <w:pPr>
              <w:spacing w:after="0" w:line="276" w:lineRule="auto"/>
              <w:ind w:firstLine="176"/>
              <w:rPr>
                <w:rFonts w:ascii="Times New Roman" w:eastAsia="MS ??" w:hAnsi="Times New Roman"/>
              </w:rPr>
            </w:pPr>
            <w:proofErr w:type="spellStart"/>
            <w:r w:rsidRPr="000A6273">
              <w:rPr>
                <w:rFonts w:ascii="Times New Roman" w:eastAsia="MS ??" w:hAnsi="Times New Roman"/>
                <w:lang w:val="en-US"/>
              </w:rPr>
              <w:t>Pharmacolog</w:t>
            </w:r>
            <w:r w:rsidRPr="000A6273">
              <w:rPr>
                <w:rFonts w:ascii="Times New Roman" w:eastAsia="MS ??" w:hAnsi="Times New Roman"/>
              </w:rPr>
              <w:t>ical</w:t>
            </w:r>
            <w:proofErr w:type="spellEnd"/>
            <w:r w:rsidRPr="000A6273">
              <w:rPr>
                <w:rFonts w:ascii="Times New Roman" w:eastAsia="MS ??" w:hAnsi="Times New Roman"/>
              </w:rPr>
              <w:t xml:space="preserve"> </w:t>
            </w:r>
            <w:proofErr w:type="spellStart"/>
            <w:r w:rsidRPr="000A6273">
              <w:rPr>
                <w:rFonts w:ascii="Times New Roman" w:eastAsia="MS ??" w:hAnsi="Times New Roman"/>
              </w:rPr>
              <w:t>treatment</w:t>
            </w:r>
            <w:proofErr w:type="spellEnd"/>
            <w:r w:rsidRPr="000A6273">
              <w:rPr>
                <w:rFonts w:ascii="Times New Roman" w:eastAsia="MS ??" w:hAnsi="Times New Roman"/>
              </w:rPr>
              <w:t xml:space="preserve"> </w:t>
            </w:r>
            <w:proofErr w:type="spellStart"/>
            <w:r w:rsidRPr="000A6273">
              <w:rPr>
                <w:rFonts w:ascii="Times New Roman" w:eastAsia="MS ??" w:hAnsi="Times New Roman"/>
              </w:rPr>
              <w:t>only</w:t>
            </w:r>
            <w:proofErr w:type="spellEnd"/>
          </w:p>
        </w:tc>
        <w:tc>
          <w:tcPr>
            <w:tcW w:w="553"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rPr>
            </w:pPr>
            <w:r w:rsidRPr="000A6273">
              <w:rPr>
                <w:rFonts w:ascii="Times New Roman" w:eastAsia="MS ??" w:hAnsi="Times New Roman"/>
              </w:rPr>
              <w:t>1.41 (</w:t>
            </w:r>
            <w:proofErr w:type="gramStart"/>
            <w:r w:rsidRPr="000A6273">
              <w:rPr>
                <w:rFonts w:ascii="Times New Roman" w:eastAsia="MS ??" w:hAnsi="Times New Roman"/>
              </w:rPr>
              <w:t>1.09-1.82</w:t>
            </w:r>
            <w:proofErr w:type="gramEnd"/>
            <w:r w:rsidRPr="000A6273">
              <w:rPr>
                <w:rFonts w:ascii="Times New Roman" w:eastAsia="MS ??" w:hAnsi="Times New Roman"/>
              </w:rPr>
              <w:t>)</w:t>
            </w:r>
          </w:p>
        </w:tc>
        <w:tc>
          <w:tcPr>
            <w:tcW w:w="555"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rPr>
            </w:pPr>
            <w:r w:rsidRPr="000A6273">
              <w:rPr>
                <w:rFonts w:ascii="Times New Roman" w:eastAsia="MS ??" w:hAnsi="Times New Roman"/>
              </w:rPr>
              <w:t>1.30 (0.97-1.73)</w:t>
            </w:r>
          </w:p>
        </w:tc>
        <w:tc>
          <w:tcPr>
            <w:tcW w:w="554"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rPr>
            </w:pPr>
            <w:r w:rsidRPr="000A6273">
              <w:rPr>
                <w:rFonts w:ascii="Times New Roman" w:eastAsia="MS ??" w:hAnsi="Times New Roman"/>
              </w:rPr>
              <w:t>1.63 (</w:t>
            </w:r>
            <w:proofErr w:type="gramStart"/>
            <w:r w:rsidRPr="000A6273">
              <w:rPr>
                <w:rFonts w:ascii="Times New Roman" w:eastAsia="MS ??" w:hAnsi="Times New Roman"/>
              </w:rPr>
              <w:t>1.22-2.18</w:t>
            </w:r>
            <w:proofErr w:type="gramEnd"/>
            <w:r w:rsidRPr="000A6273">
              <w:rPr>
                <w:rFonts w:ascii="Times New Roman" w:eastAsia="MS ??" w:hAnsi="Times New Roman"/>
              </w:rPr>
              <w:t>)</w:t>
            </w:r>
          </w:p>
        </w:tc>
        <w:tc>
          <w:tcPr>
            <w:tcW w:w="593"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rPr>
            </w:pPr>
            <w:r w:rsidRPr="000A6273">
              <w:rPr>
                <w:rFonts w:ascii="Times New Roman" w:eastAsia="MS ??" w:hAnsi="Times New Roman"/>
              </w:rPr>
              <w:t>1.57 (</w:t>
            </w:r>
            <w:proofErr w:type="gramStart"/>
            <w:r w:rsidRPr="000A6273">
              <w:rPr>
                <w:rFonts w:ascii="Times New Roman" w:eastAsia="MS ??" w:hAnsi="Times New Roman"/>
              </w:rPr>
              <w:t>1.20-2.05</w:t>
            </w:r>
            <w:proofErr w:type="gramEnd"/>
            <w:r w:rsidRPr="000A6273">
              <w:rPr>
                <w:rFonts w:ascii="Times New Roman" w:eastAsia="MS ??" w:hAnsi="Times New Roman"/>
              </w:rPr>
              <w:t>)</w:t>
            </w:r>
          </w:p>
        </w:tc>
        <w:tc>
          <w:tcPr>
            <w:tcW w:w="554"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rPr>
            </w:pPr>
            <w:r w:rsidRPr="000A6273">
              <w:rPr>
                <w:rFonts w:ascii="Times New Roman" w:eastAsia="MS ??" w:hAnsi="Times New Roman"/>
              </w:rPr>
              <w:t>2.54 (</w:t>
            </w:r>
            <w:proofErr w:type="gramStart"/>
            <w:r w:rsidRPr="000A6273">
              <w:rPr>
                <w:rFonts w:ascii="Times New Roman" w:eastAsia="MS ??" w:hAnsi="Times New Roman"/>
              </w:rPr>
              <w:t>1.48-4.38</w:t>
            </w:r>
            <w:proofErr w:type="gramEnd"/>
            <w:r w:rsidRPr="000A6273">
              <w:rPr>
                <w:rFonts w:ascii="Times New Roman" w:eastAsia="MS ??" w:hAnsi="Times New Roman"/>
              </w:rPr>
              <w:t>)</w:t>
            </w:r>
          </w:p>
        </w:tc>
        <w:tc>
          <w:tcPr>
            <w:tcW w:w="555"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rPr>
            </w:pPr>
            <w:r w:rsidRPr="000A6273">
              <w:rPr>
                <w:rFonts w:ascii="Times New Roman" w:eastAsia="MS ??" w:hAnsi="Times New Roman"/>
              </w:rPr>
              <w:t>2.51 (</w:t>
            </w:r>
            <w:proofErr w:type="gramStart"/>
            <w:r w:rsidRPr="000A6273">
              <w:rPr>
                <w:rFonts w:ascii="Times New Roman" w:eastAsia="MS ??" w:hAnsi="Times New Roman"/>
              </w:rPr>
              <w:t>1.48-4.26</w:t>
            </w:r>
            <w:proofErr w:type="gramEnd"/>
            <w:r w:rsidRPr="000A6273">
              <w:rPr>
                <w:rFonts w:ascii="Times New Roman" w:eastAsia="MS ??" w:hAnsi="Times New Roman"/>
              </w:rPr>
              <w:t>)</w:t>
            </w:r>
          </w:p>
        </w:tc>
      </w:tr>
      <w:tr w:rsidR="00ED0E2E" w:rsidRPr="000A6273" w:rsidTr="00027CCC">
        <w:trPr>
          <w:trHeight w:val="426"/>
        </w:trPr>
        <w:tc>
          <w:tcPr>
            <w:tcW w:w="1635" w:type="pct"/>
            <w:tcBorders>
              <w:left w:val="single" w:sz="4" w:space="0" w:color="auto"/>
              <w:right w:val="single" w:sz="4" w:space="0" w:color="auto"/>
            </w:tcBorders>
          </w:tcPr>
          <w:p w:rsidR="00ED0E2E" w:rsidRPr="000A6273" w:rsidRDefault="00ED0E2E" w:rsidP="00027CCC">
            <w:pPr>
              <w:spacing w:after="0" w:line="276" w:lineRule="auto"/>
              <w:ind w:firstLine="176"/>
              <w:rPr>
                <w:rFonts w:ascii="Times New Roman" w:eastAsia="MS ??" w:hAnsi="Times New Roman"/>
                <w:lang w:val="en-GB"/>
              </w:rPr>
            </w:pPr>
            <w:r w:rsidRPr="000A6273">
              <w:rPr>
                <w:rFonts w:ascii="Times New Roman" w:eastAsia="MS ??" w:hAnsi="Times New Roman"/>
                <w:lang w:val="en-GB"/>
              </w:rPr>
              <w:t>PDA surgery after pharmacological treatment</w:t>
            </w:r>
          </w:p>
        </w:tc>
        <w:tc>
          <w:tcPr>
            <w:tcW w:w="553"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rPr>
            </w:pPr>
            <w:r w:rsidRPr="000A6273">
              <w:rPr>
                <w:rFonts w:ascii="Times New Roman" w:eastAsia="MS ??" w:hAnsi="Times New Roman"/>
              </w:rPr>
              <w:t>1.63 (</w:t>
            </w:r>
            <w:proofErr w:type="gramStart"/>
            <w:r w:rsidRPr="000A6273">
              <w:rPr>
                <w:rFonts w:ascii="Times New Roman" w:eastAsia="MS ??" w:hAnsi="Times New Roman"/>
              </w:rPr>
              <w:t>1.00-2.65</w:t>
            </w:r>
            <w:proofErr w:type="gramEnd"/>
            <w:r w:rsidRPr="000A6273">
              <w:rPr>
                <w:rFonts w:ascii="Times New Roman" w:eastAsia="MS ??" w:hAnsi="Times New Roman"/>
              </w:rPr>
              <w:t>)</w:t>
            </w:r>
          </w:p>
        </w:tc>
        <w:tc>
          <w:tcPr>
            <w:tcW w:w="555"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rPr>
            </w:pPr>
            <w:r w:rsidRPr="000A6273">
              <w:rPr>
                <w:rFonts w:ascii="Times New Roman" w:eastAsia="MS ??" w:hAnsi="Times New Roman"/>
              </w:rPr>
              <w:t>1.32 (0.85-2.04)</w:t>
            </w:r>
          </w:p>
        </w:tc>
        <w:tc>
          <w:tcPr>
            <w:tcW w:w="554"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rPr>
            </w:pPr>
            <w:r w:rsidRPr="000A6273">
              <w:rPr>
                <w:rFonts w:ascii="Times New Roman" w:eastAsia="MS ??" w:hAnsi="Times New Roman"/>
              </w:rPr>
              <w:t>2.57</w:t>
            </w:r>
            <w:r w:rsidR="000A6273">
              <w:rPr>
                <w:rFonts w:ascii="Times New Roman" w:eastAsia="MS ??" w:hAnsi="Times New Roman"/>
              </w:rPr>
              <w:t xml:space="preserve"> </w:t>
            </w:r>
            <w:bookmarkStart w:id="0" w:name="_GoBack"/>
            <w:bookmarkEnd w:id="0"/>
            <w:r w:rsidRPr="000A6273">
              <w:rPr>
                <w:rFonts w:ascii="Times New Roman" w:eastAsia="MS ??" w:hAnsi="Times New Roman"/>
              </w:rPr>
              <w:t>(1.76-3.74)</w:t>
            </w:r>
          </w:p>
        </w:tc>
        <w:tc>
          <w:tcPr>
            <w:tcW w:w="593"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rPr>
            </w:pPr>
            <w:r w:rsidRPr="000A6273">
              <w:rPr>
                <w:rFonts w:ascii="Times New Roman" w:eastAsia="MS ??" w:hAnsi="Times New Roman"/>
              </w:rPr>
              <w:t>1.93 (</w:t>
            </w:r>
            <w:proofErr w:type="gramStart"/>
            <w:r w:rsidRPr="000A6273">
              <w:rPr>
                <w:rFonts w:ascii="Times New Roman" w:eastAsia="MS ??" w:hAnsi="Times New Roman"/>
              </w:rPr>
              <w:t>1.37-2.72</w:t>
            </w:r>
            <w:proofErr w:type="gramEnd"/>
            <w:r w:rsidRPr="000A6273">
              <w:rPr>
                <w:rFonts w:ascii="Times New Roman" w:eastAsia="MS ??" w:hAnsi="Times New Roman"/>
              </w:rPr>
              <w:t>)</w:t>
            </w:r>
          </w:p>
        </w:tc>
        <w:tc>
          <w:tcPr>
            <w:tcW w:w="554"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rPr>
            </w:pPr>
            <w:r w:rsidRPr="000A6273">
              <w:rPr>
                <w:rFonts w:ascii="Times New Roman" w:eastAsia="MS ??" w:hAnsi="Times New Roman"/>
              </w:rPr>
              <w:t>3.73 (</w:t>
            </w:r>
            <w:proofErr w:type="gramStart"/>
            <w:r w:rsidRPr="000A6273">
              <w:rPr>
                <w:rFonts w:ascii="Times New Roman" w:eastAsia="MS ??" w:hAnsi="Times New Roman"/>
              </w:rPr>
              <w:t>1.69-8.22</w:t>
            </w:r>
            <w:proofErr w:type="gramEnd"/>
            <w:r w:rsidRPr="000A6273">
              <w:rPr>
                <w:rFonts w:ascii="Times New Roman" w:eastAsia="MS ??" w:hAnsi="Times New Roman"/>
              </w:rPr>
              <w:t>)</w:t>
            </w:r>
          </w:p>
        </w:tc>
        <w:tc>
          <w:tcPr>
            <w:tcW w:w="555" w:type="pct"/>
            <w:tcBorders>
              <w:left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rPr>
            </w:pPr>
            <w:r w:rsidRPr="000A6273">
              <w:rPr>
                <w:rFonts w:ascii="Times New Roman" w:eastAsia="MS ??" w:hAnsi="Times New Roman"/>
              </w:rPr>
              <w:t>2.69 (</w:t>
            </w:r>
            <w:proofErr w:type="gramStart"/>
            <w:r w:rsidRPr="000A6273">
              <w:rPr>
                <w:rFonts w:ascii="Times New Roman" w:eastAsia="MS ??" w:hAnsi="Times New Roman"/>
              </w:rPr>
              <w:t>1.22-5.93</w:t>
            </w:r>
            <w:proofErr w:type="gramEnd"/>
            <w:r w:rsidRPr="000A6273">
              <w:rPr>
                <w:rFonts w:ascii="Times New Roman" w:eastAsia="MS ??" w:hAnsi="Times New Roman"/>
              </w:rPr>
              <w:t>)</w:t>
            </w:r>
          </w:p>
        </w:tc>
      </w:tr>
      <w:tr w:rsidR="00ED0E2E" w:rsidRPr="000A6273" w:rsidTr="00027CCC">
        <w:trPr>
          <w:trHeight w:val="426"/>
        </w:trPr>
        <w:tc>
          <w:tcPr>
            <w:tcW w:w="1635" w:type="pct"/>
            <w:tcBorders>
              <w:left w:val="single" w:sz="4" w:space="0" w:color="auto"/>
              <w:bottom w:val="single" w:sz="4" w:space="0" w:color="auto"/>
              <w:right w:val="single" w:sz="4" w:space="0" w:color="auto"/>
            </w:tcBorders>
          </w:tcPr>
          <w:p w:rsidR="00ED0E2E" w:rsidRPr="000A6273" w:rsidRDefault="00ED0E2E" w:rsidP="00027CCC">
            <w:pPr>
              <w:spacing w:after="0" w:line="276" w:lineRule="auto"/>
              <w:ind w:firstLine="176"/>
              <w:rPr>
                <w:rFonts w:ascii="Times New Roman" w:eastAsia="MS ??" w:hAnsi="Times New Roman"/>
                <w:lang w:val="en-US"/>
              </w:rPr>
            </w:pPr>
            <w:r w:rsidRPr="000A6273">
              <w:rPr>
                <w:rFonts w:ascii="Times New Roman" w:eastAsia="MS ??" w:hAnsi="Times New Roman"/>
                <w:lang w:val="en-US"/>
              </w:rPr>
              <w:t>PDA surgery without prior pharmacological treatment</w:t>
            </w:r>
          </w:p>
        </w:tc>
        <w:tc>
          <w:tcPr>
            <w:tcW w:w="553" w:type="pct"/>
            <w:tcBorders>
              <w:left w:val="single" w:sz="4" w:space="0" w:color="auto"/>
              <w:bottom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lang w:val="en-US"/>
              </w:rPr>
            </w:pPr>
            <w:r w:rsidRPr="000A6273">
              <w:rPr>
                <w:rFonts w:ascii="Times New Roman" w:eastAsia="MS ??" w:hAnsi="Times New Roman"/>
                <w:lang w:val="en-US"/>
              </w:rPr>
              <w:t>1.97 (1.51-2.56)</w:t>
            </w:r>
          </w:p>
        </w:tc>
        <w:tc>
          <w:tcPr>
            <w:tcW w:w="555" w:type="pct"/>
            <w:tcBorders>
              <w:left w:val="single" w:sz="4" w:space="0" w:color="auto"/>
              <w:bottom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lang w:val="en-US"/>
              </w:rPr>
            </w:pPr>
            <w:r w:rsidRPr="000A6273">
              <w:rPr>
                <w:rFonts w:ascii="Times New Roman" w:eastAsia="MS ??" w:hAnsi="Times New Roman"/>
                <w:lang w:val="en-US"/>
              </w:rPr>
              <w:t>1.67 (1.18-2.37)</w:t>
            </w:r>
          </w:p>
        </w:tc>
        <w:tc>
          <w:tcPr>
            <w:tcW w:w="554" w:type="pct"/>
            <w:tcBorders>
              <w:left w:val="single" w:sz="4" w:space="0" w:color="auto"/>
              <w:bottom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lang w:val="en-US"/>
              </w:rPr>
            </w:pPr>
            <w:r w:rsidRPr="000A6273">
              <w:rPr>
                <w:rFonts w:ascii="Times New Roman" w:eastAsia="MS ??" w:hAnsi="Times New Roman"/>
                <w:lang w:val="en-US"/>
              </w:rPr>
              <w:t>2.90 (1.76-4.77)</w:t>
            </w:r>
          </w:p>
        </w:tc>
        <w:tc>
          <w:tcPr>
            <w:tcW w:w="593" w:type="pct"/>
            <w:tcBorders>
              <w:left w:val="single" w:sz="4" w:space="0" w:color="auto"/>
              <w:bottom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lang w:val="en-US"/>
              </w:rPr>
            </w:pPr>
            <w:r w:rsidRPr="000A6273">
              <w:rPr>
                <w:rFonts w:ascii="Times New Roman" w:eastAsia="MS ??" w:hAnsi="Times New Roman"/>
                <w:lang w:val="en-US"/>
              </w:rPr>
              <w:t>2.20 (1.46-3.32)</w:t>
            </w:r>
          </w:p>
        </w:tc>
        <w:tc>
          <w:tcPr>
            <w:tcW w:w="554" w:type="pct"/>
            <w:tcBorders>
              <w:left w:val="single" w:sz="4" w:space="0" w:color="auto"/>
              <w:bottom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lang w:val="en-US"/>
              </w:rPr>
            </w:pPr>
            <w:r w:rsidRPr="000A6273">
              <w:rPr>
                <w:rFonts w:ascii="Times New Roman" w:eastAsia="MS ??" w:hAnsi="Times New Roman"/>
                <w:lang w:val="en-US"/>
              </w:rPr>
              <w:t>3.79 (1.62-8.89)</w:t>
            </w:r>
          </w:p>
        </w:tc>
        <w:tc>
          <w:tcPr>
            <w:tcW w:w="555" w:type="pct"/>
            <w:tcBorders>
              <w:left w:val="single" w:sz="4" w:space="0" w:color="auto"/>
              <w:bottom w:val="single" w:sz="4" w:space="0" w:color="auto"/>
              <w:right w:val="single" w:sz="4" w:space="0" w:color="auto"/>
            </w:tcBorders>
          </w:tcPr>
          <w:p w:rsidR="00ED0E2E" w:rsidRPr="000A6273" w:rsidRDefault="00ED0E2E" w:rsidP="00027CCC">
            <w:pPr>
              <w:spacing w:after="0" w:line="276" w:lineRule="auto"/>
              <w:rPr>
                <w:rFonts w:ascii="Times New Roman" w:eastAsia="MS ??" w:hAnsi="Times New Roman"/>
                <w:lang w:val="en-US"/>
              </w:rPr>
            </w:pPr>
            <w:r w:rsidRPr="000A6273">
              <w:rPr>
                <w:rFonts w:ascii="Times New Roman" w:eastAsia="MS ??" w:hAnsi="Times New Roman"/>
                <w:lang w:val="en-US"/>
              </w:rPr>
              <w:t>2.84 (2.13-3.79)</w:t>
            </w:r>
          </w:p>
        </w:tc>
      </w:tr>
    </w:tbl>
    <w:p w:rsidR="00C67E2E" w:rsidRPr="000A6273" w:rsidRDefault="00ED0E2E" w:rsidP="000A6273">
      <w:pPr>
        <w:spacing w:afterLines="60" w:after="144" w:line="276" w:lineRule="auto"/>
        <w:ind w:left="-851"/>
        <w:rPr>
          <w:rFonts w:ascii="Times New Roman" w:hAnsi="Times New Roman"/>
          <w:lang w:val="en-US"/>
        </w:rPr>
      </w:pPr>
      <w:r w:rsidRPr="000A6273">
        <w:rPr>
          <w:rFonts w:ascii="Times New Roman" w:hAnsi="Times New Roman"/>
          <w:lang w:val="en-US"/>
        </w:rPr>
        <w:t>BPD= bronchopulmonary dysplasia; PDA=patent ductus arteriosus</w:t>
      </w:r>
    </w:p>
    <w:p w:rsidR="000A6273" w:rsidRPr="000A6273" w:rsidRDefault="000A6273" w:rsidP="000A6273">
      <w:pPr>
        <w:spacing w:afterLines="60" w:after="144" w:line="276" w:lineRule="auto"/>
        <w:ind w:left="-851"/>
        <w:rPr>
          <w:rFonts w:ascii="Times New Roman" w:hAnsi="Times New Roman"/>
          <w:lang w:val="en-US"/>
        </w:rPr>
      </w:pPr>
      <w:r w:rsidRPr="000A6273">
        <w:rPr>
          <w:rFonts w:ascii="Times New Roman" w:hAnsi="Times New Roman"/>
          <w:vertAlign w:val="superscript"/>
          <w:lang w:val="en-US"/>
        </w:rPr>
        <w:t>1</w:t>
      </w:r>
      <w:r w:rsidRPr="000A6273">
        <w:rPr>
          <w:rFonts w:ascii="Times New Roman" w:hAnsi="Times New Roman"/>
          <w:lang w:val="en-US"/>
        </w:rPr>
        <w:t xml:space="preserve"> Results from a generalized linear mixed model adjusted for propensity score for PDA treatment.  The propensity score for PDA treatment, i.e., a single index variable summarizing the pre-treatment perinatal characteristics, was estimated from presence of preeclampsia/eclampsia, spontaneous onset of labor, preterm premature rupture of membranes (</w:t>
      </w:r>
      <w:proofErr w:type="spellStart"/>
      <w:r w:rsidRPr="000A6273">
        <w:rPr>
          <w:rFonts w:ascii="Times New Roman" w:hAnsi="Times New Roman"/>
          <w:lang w:val="en-US"/>
        </w:rPr>
        <w:t>pPROM</w:t>
      </w:r>
      <w:proofErr w:type="spellEnd"/>
      <w:r w:rsidRPr="000A6273">
        <w:rPr>
          <w:rFonts w:ascii="Times New Roman" w:hAnsi="Times New Roman"/>
          <w:lang w:val="en-US"/>
        </w:rPr>
        <w:t>), maternal infection as indication for delivery, antenatal corticosteroid treatment, mode of delivery, gestational age, birth weight, infant sex, small for gestational age and use of mechanical ventilation on first day of life.</w:t>
      </w:r>
    </w:p>
    <w:p w:rsidR="000A6273" w:rsidRPr="000A6273" w:rsidRDefault="000A6273" w:rsidP="000A6273">
      <w:pPr>
        <w:spacing w:afterLines="60" w:after="144" w:line="276" w:lineRule="auto"/>
        <w:ind w:left="-851"/>
        <w:rPr>
          <w:rFonts w:ascii="Times New Roman" w:hAnsi="Times New Roman"/>
          <w:lang w:val="en-US"/>
        </w:rPr>
      </w:pPr>
      <w:r w:rsidRPr="000A6273">
        <w:rPr>
          <w:rFonts w:ascii="Times New Roman" w:hAnsi="Times New Roman"/>
          <w:vertAlign w:val="superscript"/>
          <w:lang w:val="en-US"/>
        </w:rPr>
        <w:t>2</w:t>
      </w:r>
      <w:r w:rsidRPr="000A6273">
        <w:rPr>
          <w:rFonts w:ascii="Times New Roman" w:hAnsi="Times New Roman"/>
          <w:lang w:val="en-US"/>
        </w:rPr>
        <w:t>Model 2: Additional adjustment for duration of mechanical ventilation and number of confirmed neonatal septicemias.</w:t>
      </w:r>
    </w:p>
    <w:p w:rsidR="000A6273" w:rsidRPr="000A6273" w:rsidRDefault="000A6273" w:rsidP="000A6273">
      <w:pPr>
        <w:spacing w:afterLines="60" w:after="144" w:line="276" w:lineRule="auto"/>
        <w:ind w:left="-851"/>
        <w:rPr>
          <w:rFonts w:ascii="Times New Roman" w:hAnsi="Times New Roman"/>
          <w:b/>
          <w:lang w:val="en-GB"/>
        </w:rPr>
      </w:pPr>
      <w:r w:rsidRPr="000A6273">
        <w:rPr>
          <w:rFonts w:ascii="Times New Roman" w:hAnsi="Times New Roman"/>
          <w:vertAlign w:val="superscript"/>
          <w:lang w:val="en-US"/>
        </w:rPr>
        <w:t>3</w:t>
      </w:r>
      <w:r w:rsidRPr="000A6273">
        <w:rPr>
          <w:rFonts w:ascii="Times New Roman" w:hAnsi="Times New Roman"/>
          <w:lang w:val="en-US"/>
        </w:rPr>
        <w:t>Intra-ventricular hemorrhage (IVH) grade≥3, cystic periventricular leukomalacia (</w:t>
      </w:r>
      <w:proofErr w:type="spellStart"/>
      <w:r w:rsidRPr="000A6273">
        <w:rPr>
          <w:rFonts w:ascii="Times New Roman" w:hAnsi="Times New Roman"/>
          <w:lang w:val="en-US"/>
        </w:rPr>
        <w:t>cPVL</w:t>
      </w:r>
      <w:proofErr w:type="spellEnd"/>
      <w:r w:rsidRPr="000A6273">
        <w:rPr>
          <w:rFonts w:ascii="Times New Roman" w:hAnsi="Times New Roman"/>
          <w:lang w:val="en-US"/>
        </w:rPr>
        <w:t>), retinopathy of prematurity (ROP) stage ≥3, surgical NEC.</w:t>
      </w:r>
    </w:p>
    <w:p w:rsidR="000A6273" w:rsidRPr="000A6273" w:rsidRDefault="000A6273" w:rsidP="00027CCC">
      <w:pPr>
        <w:spacing w:line="276" w:lineRule="auto"/>
        <w:ind w:left="-851"/>
        <w:rPr>
          <w:rFonts w:ascii="Times New Roman" w:hAnsi="Times New Roman"/>
          <w:lang w:val="en-GB"/>
        </w:rPr>
      </w:pPr>
    </w:p>
    <w:sectPr w:rsidR="000A6273" w:rsidRPr="000A6273" w:rsidSect="00ED0E2E">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
    <w:altName w:val="MS Gothic"/>
    <w:panose1 w:val="00000000000000000000"/>
    <w:charset w:val="80"/>
    <w:family w:val="auto"/>
    <w:notTrueType/>
    <w:pitch w:val="variable"/>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E2E"/>
    <w:rsid w:val="000042F8"/>
    <w:rsid w:val="00007712"/>
    <w:rsid w:val="00014D93"/>
    <w:rsid w:val="000169AF"/>
    <w:rsid w:val="00021AAD"/>
    <w:rsid w:val="000220F3"/>
    <w:rsid w:val="00027CCC"/>
    <w:rsid w:val="00031303"/>
    <w:rsid w:val="00032B5B"/>
    <w:rsid w:val="00036E8A"/>
    <w:rsid w:val="00041066"/>
    <w:rsid w:val="000412C8"/>
    <w:rsid w:val="000428C1"/>
    <w:rsid w:val="000504B6"/>
    <w:rsid w:val="00052B9A"/>
    <w:rsid w:val="00060DAB"/>
    <w:rsid w:val="00061247"/>
    <w:rsid w:val="00064801"/>
    <w:rsid w:val="000660B6"/>
    <w:rsid w:val="00071A23"/>
    <w:rsid w:val="00074408"/>
    <w:rsid w:val="000744C7"/>
    <w:rsid w:val="00076889"/>
    <w:rsid w:val="0007762A"/>
    <w:rsid w:val="0008163A"/>
    <w:rsid w:val="000911F1"/>
    <w:rsid w:val="00091733"/>
    <w:rsid w:val="00097B9A"/>
    <w:rsid w:val="00097E60"/>
    <w:rsid w:val="000A0D4A"/>
    <w:rsid w:val="000A0F27"/>
    <w:rsid w:val="000A200D"/>
    <w:rsid w:val="000A416D"/>
    <w:rsid w:val="000A6273"/>
    <w:rsid w:val="000A7077"/>
    <w:rsid w:val="000A71B6"/>
    <w:rsid w:val="000B3B1F"/>
    <w:rsid w:val="000B6920"/>
    <w:rsid w:val="000D2A30"/>
    <w:rsid w:val="000D5304"/>
    <w:rsid w:val="000D79A4"/>
    <w:rsid w:val="000E0EBE"/>
    <w:rsid w:val="000E7EF2"/>
    <w:rsid w:val="000F11D5"/>
    <w:rsid w:val="00103926"/>
    <w:rsid w:val="00103DC8"/>
    <w:rsid w:val="00105953"/>
    <w:rsid w:val="00106690"/>
    <w:rsid w:val="00112099"/>
    <w:rsid w:val="00121CC1"/>
    <w:rsid w:val="0013015C"/>
    <w:rsid w:val="00137FD4"/>
    <w:rsid w:val="00143652"/>
    <w:rsid w:val="00145172"/>
    <w:rsid w:val="001452D8"/>
    <w:rsid w:val="00150666"/>
    <w:rsid w:val="0015470C"/>
    <w:rsid w:val="00157AE6"/>
    <w:rsid w:val="0016130D"/>
    <w:rsid w:val="001678F5"/>
    <w:rsid w:val="00170FEC"/>
    <w:rsid w:val="0017191D"/>
    <w:rsid w:val="00171949"/>
    <w:rsid w:val="0017516B"/>
    <w:rsid w:val="0017593A"/>
    <w:rsid w:val="00184659"/>
    <w:rsid w:val="001A293B"/>
    <w:rsid w:val="001A430B"/>
    <w:rsid w:val="001C0F5D"/>
    <w:rsid w:val="001C3005"/>
    <w:rsid w:val="001C40D7"/>
    <w:rsid w:val="001D25BF"/>
    <w:rsid w:val="001D516C"/>
    <w:rsid w:val="001D522F"/>
    <w:rsid w:val="001D6946"/>
    <w:rsid w:val="001D6C2A"/>
    <w:rsid w:val="001E45BA"/>
    <w:rsid w:val="001E61E4"/>
    <w:rsid w:val="001E746A"/>
    <w:rsid w:val="001F0C31"/>
    <w:rsid w:val="001F1852"/>
    <w:rsid w:val="001F1D4F"/>
    <w:rsid w:val="001F3CC8"/>
    <w:rsid w:val="001F4AD7"/>
    <w:rsid w:val="001F5A3F"/>
    <w:rsid w:val="001F73EC"/>
    <w:rsid w:val="00200627"/>
    <w:rsid w:val="00205055"/>
    <w:rsid w:val="002067C3"/>
    <w:rsid w:val="00206A01"/>
    <w:rsid w:val="00220E38"/>
    <w:rsid w:val="00224350"/>
    <w:rsid w:val="00232F15"/>
    <w:rsid w:val="002333BF"/>
    <w:rsid w:val="00235003"/>
    <w:rsid w:val="00244784"/>
    <w:rsid w:val="00246E6E"/>
    <w:rsid w:val="002535C0"/>
    <w:rsid w:val="002578C4"/>
    <w:rsid w:val="00272EA0"/>
    <w:rsid w:val="00273621"/>
    <w:rsid w:val="0027560A"/>
    <w:rsid w:val="0027640A"/>
    <w:rsid w:val="00276568"/>
    <w:rsid w:val="00282295"/>
    <w:rsid w:val="0028281D"/>
    <w:rsid w:val="00284E1D"/>
    <w:rsid w:val="00286496"/>
    <w:rsid w:val="00291363"/>
    <w:rsid w:val="002A2251"/>
    <w:rsid w:val="002A7102"/>
    <w:rsid w:val="002A7319"/>
    <w:rsid w:val="002A7894"/>
    <w:rsid w:val="002A7EA2"/>
    <w:rsid w:val="002B2074"/>
    <w:rsid w:val="002B2833"/>
    <w:rsid w:val="002C0B35"/>
    <w:rsid w:val="002D7005"/>
    <w:rsid w:val="002E1D35"/>
    <w:rsid w:val="002E4EE0"/>
    <w:rsid w:val="002F19AE"/>
    <w:rsid w:val="002F2A59"/>
    <w:rsid w:val="00300DC7"/>
    <w:rsid w:val="00301CED"/>
    <w:rsid w:val="00302DEA"/>
    <w:rsid w:val="003078F1"/>
    <w:rsid w:val="00320844"/>
    <w:rsid w:val="00321513"/>
    <w:rsid w:val="0033645B"/>
    <w:rsid w:val="003444CF"/>
    <w:rsid w:val="0034575F"/>
    <w:rsid w:val="00347E8B"/>
    <w:rsid w:val="00350D4F"/>
    <w:rsid w:val="00350DAD"/>
    <w:rsid w:val="0035188C"/>
    <w:rsid w:val="00354456"/>
    <w:rsid w:val="003557A2"/>
    <w:rsid w:val="00357019"/>
    <w:rsid w:val="0035789F"/>
    <w:rsid w:val="0036069A"/>
    <w:rsid w:val="0036094F"/>
    <w:rsid w:val="00362BB6"/>
    <w:rsid w:val="00364425"/>
    <w:rsid w:val="00365160"/>
    <w:rsid w:val="00366E0D"/>
    <w:rsid w:val="00376DED"/>
    <w:rsid w:val="00381704"/>
    <w:rsid w:val="003826AF"/>
    <w:rsid w:val="003834AE"/>
    <w:rsid w:val="00383833"/>
    <w:rsid w:val="00391F8B"/>
    <w:rsid w:val="003948AB"/>
    <w:rsid w:val="003A0F8C"/>
    <w:rsid w:val="003A6DED"/>
    <w:rsid w:val="003A6EB8"/>
    <w:rsid w:val="003B1EB6"/>
    <w:rsid w:val="003B46AF"/>
    <w:rsid w:val="003B502B"/>
    <w:rsid w:val="003C1EC5"/>
    <w:rsid w:val="003C1EF4"/>
    <w:rsid w:val="003C35C1"/>
    <w:rsid w:val="003D1B58"/>
    <w:rsid w:val="003D2313"/>
    <w:rsid w:val="003D4D7E"/>
    <w:rsid w:val="003D6B66"/>
    <w:rsid w:val="003E5CF9"/>
    <w:rsid w:val="00420F64"/>
    <w:rsid w:val="004213FD"/>
    <w:rsid w:val="0042192A"/>
    <w:rsid w:val="0043136D"/>
    <w:rsid w:val="0043591E"/>
    <w:rsid w:val="00442514"/>
    <w:rsid w:val="0044307A"/>
    <w:rsid w:val="004437C4"/>
    <w:rsid w:val="00444640"/>
    <w:rsid w:val="00446F18"/>
    <w:rsid w:val="00452E8D"/>
    <w:rsid w:val="004654EF"/>
    <w:rsid w:val="00466805"/>
    <w:rsid w:val="00467797"/>
    <w:rsid w:val="004707A5"/>
    <w:rsid w:val="004714B7"/>
    <w:rsid w:val="00472862"/>
    <w:rsid w:val="0047356B"/>
    <w:rsid w:val="004760F1"/>
    <w:rsid w:val="004763F5"/>
    <w:rsid w:val="00480372"/>
    <w:rsid w:val="00484A30"/>
    <w:rsid w:val="004852CD"/>
    <w:rsid w:val="004904D2"/>
    <w:rsid w:val="004907B2"/>
    <w:rsid w:val="00490F28"/>
    <w:rsid w:val="0049289E"/>
    <w:rsid w:val="00495593"/>
    <w:rsid w:val="004A12D7"/>
    <w:rsid w:val="004A2AE8"/>
    <w:rsid w:val="004A41B8"/>
    <w:rsid w:val="004A4573"/>
    <w:rsid w:val="004B35CE"/>
    <w:rsid w:val="004C1918"/>
    <w:rsid w:val="004C3766"/>
    <w:rsid w:val="004C379B"/>
    <w:rsid w:val="004C49C9"/>
    <w:rsid w:val="004C58DB"/>
    <w:rsid w:val="004C7105"/>
    <w:rsid w:val="004D00C6"/>
    <w:rsid w:val="004D2A7F"/>
    <w:rsid w:val="004D6213"/>
    <w:rsid w:val="004F3C94"/>
    <w:rsid w:val="004F4850"/>
    <w:rsid w:val="004F75CE"/>
    <w:rsid w:val="00501AF6"/>
    <w:rsid w:val="00502A20"/>
    <w:rsid w:val="00503AB0"/>
    <w:rsid w:val="00512570"/>
    <w:rsid w:val="0051673B"/>
    <w:rsid w:val="00520147"/>
    <w:rsid w:val="00521DE2"/>
    <w:rsid w:val="00522BEF"/>
    <w:rsid w:val="00525EEF"/>
    <w:rsid w:val="00526836"/>
    <w:rsid w:val="00531A2A"/>
    <w:rsid w:val="0053312A"/>
    <w:rsid w:val="00534E15"/>
    <w:rsid w:val="005436B9"/>
    <w:rsid w:val="005459D4"/>
    <w:rsid w:val="00552C48"/>
    <w:rsid w:val="00556D40"/>
    <w:rsid w:val="00560E2D"/>
    <w:rsid w:val="00562D59"/>
    <w:rsid w:val="0056581A"/>
    <w:rsid w:val="00566F81"/>
    <w:rsid w:val="00567EAA"/>
    <w:rsid w:val="00573B4D"/>
    <w:rsid w:val="00573F5C"/>
    <w:rsid w:val="00574C62"/>
    <w:rsid w:val="00576B46"/>
    <w:rsid w:val="00580221"/>
    <w:rsid w:val="0058065B"/>
    <w:rsid w:val="005824C6"/>
    <w:rsid w:val="00591579"/>
    <w:rsid w:val="00595A6B"/>
    <w:rsid w:val="005A081C"/>
    <w:rsid w:val="005A1DDC"/>
    <w:rsid w:val="005A2CF6"/>
    <w:rsid w:val="005A38F9"/>
    <w:rsid w:val="005A4FC6"/>
    <w:rsid w:val="005B0443"/>
    <w:rsid w:val="005B0B6E"/>
    <w:rsid w:val="005B0FFC"/>
    <w:rsid w:val="005B1A78"/>
    <w:rsid w:val="005B4EB6"/>
    <w:rsid w:val="005C7A2E"/>
    <w:rsid w:val="005C7FB3"/>
    <w:rsid w:val="005D0BD5"/>
    <w:rsid w:val="005D4BBB"/>
    <w:rsid w:val="005D561C"/>
    <w:rsid w:val="005E4281"/>
    <w:rsid w:val="005E560C"/>
    <w:rsid w:val="005E70EA"/>
    <w:rsid w:val="005F0C8F"/>
    <w:rsid w:val="005F4E74"/>
    <w:rsid w:val="005F602E"/>
    <w:rsid w:val="005F66ED"/>
    <w:rsid w:val="005F7503"/>
    <w:rsid w:val="006007DE"/>
    <w:rsid w:val="00601B15"/>
    <w:rsid w:val="00612D3A"/>
    <w:rsid w:val="006137BD"/>
    <w:rsid w:val="00614F11"/>
    <w:rsid w:val="00621198"/>
    <w:rsid w:val="00621AF4"/>
    <w:rsid w:val="006221AD"/>
    <w:rsid w:val="00622BC8"/>
    <w:rsid w:val="00622C91"/>
    <w:rsid w:val="006267CA"/>
    <w:rsid w:val="006268BA"/>
    <w:rsid w:val="00632D45"/>
    <w:rsid w:val="00634E3B"/>
    <w:rsid w:val="0063583A"/>
    <w:rsid w:val="00640445"/>
    <w:rsid w:val="00641E47"/>
    <w:rsid w:val="0065710C"/>
    <w:rsid w:val="00660820"/>
    <w:rsid w:val="0066215B"/>
    <w:rsid w:val="006666FA"/>
    <w:rsid w:val="00667F7B"/>
    <w:rsid w:val="0067037B"/>
    <w:rsid w:val="0067327A"/>
    <w:rsid w:val="006748E7"/>
    <w:rsid w:val="0067607F"/>
    <w:rsid w:val="006802E2"/>
    <w:rsid w:val="00680ED8"/>
    <w:rsid w:val="006854D8"/>
    <w:rsid w:val="00686749"/>
    <w:rsid w:val="006878D2"/>
    <w:rsid w:val="006A345B"/>
    <w:rsid w:val="006A6747"/>
    <w:rsid w:val="006A7136"/>
    <w:rsid w:val="006A7460"/>
    <w:rsid w:val="006B19C1"/>
    <w:rsid w:val="006B2464"/>
    <w:rsid w:val="006B4508"/>
    <w:rsid w:val="006B713B"/>
    <w:rsid w:val="006C1A0C"/>
    <w:rsid w:val="006C3901"/>
    <w:rsid w:val="006D15DD"/>
    <w:rsid w:val="006D16A7"/>
    <w:rsid w:val="006D2329"/>
    <w:rsid w:val="006D369F"/>
    <w:rsid w:val="006D5610"/>
    <w:rsid w:val="006D61C7"/>
    <w:rsid w:val="006E0500"/>
    <w:rsid w:val="006E0D7B"/>
    <w:rsid w:val="006E174B"/>
    <w:rsid w:val="006E1C13"/>
    <w:rsid w:val="006F0F9B"/>
    <w:rsid w:val="006F6E87"/>
    <w:rsid w:val="0070047E"/>
    <w:rsid w:val="00705AF6"/>
    <w:rsid w:val="007065C9"/>
    <w:rsid w:val="00707342"/>
    <w:rsid w:val="00711611"/>
    <w:rsid w:val="00714700"/>
    <w:rsid w:val="00721DB1"/>
    <w:rsid w:val="00726735"/>
    <w:rsid w:val="007314F5"/>
    <w:rsid w:val="007325EB"/>
    <w:rsid w:val="0073375A"/>
    <w:rsid w:val="00737958"/>
    <w:rsid w:val="00740A56"/>
    <w:rsid w:val="00742C8A"/>
    <w:rsid w:val="00750FDF"/>
    <w:rsid w:val="00751EAB"/>
    <w:rsid w:val="0075252A"/>
    <w:rsid w:val="0076149D"/>
    <w:rsid w:val="007643A8"/>
    <w:rsid w:val="00766FDA"/>
    <w:rsid w:val="00771D04"/>
    <w:rsid w:val="007723D2"/>
    <w:rsid w:val="007803FB"/>
    <w:rsid w:val="00783B01"/>
    <w:rsid w:val="00785F26"/>
    <w:rsid w:val="00786779"/>
    <w:rsid w:val="007869FE"/>
    <w:rsid w:val="0079242B"/>
    <w:rsid w:val="007940BB"/>
    <w:rsid w:val="0079544C"/>
    <w:rsid w:val="00795DF7"/>
    <w:rsid w:val="00796C7C"/>
    <w:rsid w:val="007976CC"/>
    <w:rsid w:val="007A0B9D"/>
    <w:rsid w:val="007A4E3F"/>
    <w:rsid w:val="007A5110"/>
    <w:rsid w:val="007A53B3"/>
    <w:rsid w:val="007A5E0D"/>
    <w:rsid w:val="007A7B6F"/>
    <w:rsid w:val="007B1392"/>
    <w:rsid w:val="007B1B54"/>
    <w:rsid w:val="007B418E"/>
    <w:rsid w:val="007C7C9C"/>
    <w:rsid w:val="007D4EED"/>
    <w:rsid w:val="007E1E49"/>
    <w:rsid w:val="007F11D2"/>
    <w:rsid w:val="007F26FC"/>
    <w:rsid w:val="007F53EF"/>
    <w:rsid w:val="007F56FF"/>
    <w:rsid w:val="007F61A9"/>
    <w:rsid w:val="00802E67"/>
    <w:rsid w:val="008038BF"/>
    <w:rsid w:val="008045EE"/>
    <w:rsid w:val="00810DDB"/>
    <w:rsid w:val="0081161C"/>
    <w:rsid w:val="008118AD"/>
    <w:rsid w:val="00816B81"/>
    <w:rsid w:val="00817270"/>
    <w:rsid w:val="00817300"/>
    <w:rsid w:val="00830F27"/>
    <w:rsid w:val="00831D17"/>
    <w:rsid w:val="00832F8F"/>
    <w:rsid w:val="008333DA"/>
    <w:rsid w:val="00834FF7"/>
    <w:rsid w:val="00845140"/>
    <w:rsid w:val="00851757"/>
    <w:rsid w:val="00852BC6"/>
    <w:rsid w:val="00855692"/>
    <w:rsid w:val="00855B17"/>
    <w:rsid w:val="00855EC0"/>
    <w:rsid w:val="00856532"/>
    <w:rsid w:val="00856863"/>
    <w:rsid w:val="00867A4E"/>
    <w:rsid w:val="00870886"/>
    <w:rsid w:val="008735CF"/>
    <w:rsid w:val="00874798"/>
    <w:rsid w:val="00874FB8"/>
    <w:rsid w:val="00877E43"/>
    <w:rsid w:val="008809C5"/>
    <w:rsid w:val="00880E5D"/>
    <w:rsid w:val="008810C9"/>
    <w:rsid w:val="0088215B"/>
    <w:rsid w:val="00883E22"/>
    <w:rsid w:val="00886C3A"/>
    <w:rsid w:val="00890FA4"/>
    <w:rsid w:val="008A1F80"/>
    <w:rsid w:val="008A2E38"/>
    <w:rsid w:val="008A6F16"/>
    <w:rsid w:val="008A7CBD"/>
    <w:rsid w:val="008B4ACA"/>
    <w:rsid w:val="008B630D"/>
    <w:rsid w:val="008B7AAC"/>
    <w:rsid w:val="008C2212"/>
    <w:rsid w:val="008C434C"/>
    <w:rsid w:val="008C4CCB"/>
    <w:rsid w:val="008C4ECE"/>
    <w:rsid w:val="008C5F26"/>
    <w:rsid w:val="008D00B9"/>
    <w:rsid w:val="008D0BB3"/>
    <w:rsid w:val="008D1A0D"/>
    <w:rsid w:val="008D1F2E"/>
    <w:rsid w:val="008D2360"/>
    <w:rsid w:val="008E20D4"/>
    <w:rsid w:val="008E247A"/>
    <w:rsid w:val="008E36D2"/>
    <w:rsid w:val="008E4610"/>
    <w:rsid w:val="008F0585"/>
    <w:rsid w:val="008F3729"/>
    <w:rsid w:val="008F3838"/>
    <w:rsid w:val="008F461C"/>
    <w:rsid w:val="008F5A7C"/>
    <w:rsid w:val="008F6AFE"/>
    <w:rsid w:val="008F6E9E"/>
    <w:rsid w:val="00902355"/>
    <w:rsid w:val="009034F0"/>
    <w:rsid w:val="009052EF"/>
    <w:rsid w:val="00907F6D"/>
    <w:rsid w:val="0091186F"/>
    <w:rsid w:val="00911EEC"/>
    <w:rsid w:val="00917299"/>
    <w:rsid w:val="009214F9"/>
    <w:rsid w:val="00921E48"/>
    <w:rsid w:val="00922D52"/>
    <w:rsid w:val="0092730B"/>
    <w:rsid w:val="00931482"/>
    <w:rsid w:val="00933EFB"/>
    <w:rsid w:val="009341BB"/>
    <w:rsid w:val="00940C3D"/>
    <w:rsid w:val="009454D4"/>
    <w:rsid w:val="00946B1C"/>
    <w:rsid w:val="009516F6"/>
    <w:rsid w:val="00951F0C"/>
    <w:rsid w:val="00952B1B"/>
    <w:rsid w:val="00954020"/>
    <w:rsid w:val="009557F0"/>
    <w:rsid w:val="0095762A"/>
    <w:rsid w:val="00965677"/>
    <w:rsid w:val="0097202B"/>
    <w:rsid w:val="009745E2"/>
    <w:rsid w:val="00976887"/>
    <w:rsid w:val="00977867"/>
    <w:rsid w:val="00980C41"/>
    <w:rsid w:val="00981E8A"/>
    <w:rsid w:val="0098621B"/>
    <w:rsid w:val="00986C44"/>
    <w:rsid w:val="00986F4C"/>
    <w:rsid w:val="0098763E"/>
    <w:rsid w:val="00987710"/>
    <w:rsid w:val="0099305A"/>
    <w:rsid w:val="009943D8"/>
    <w:rsid w:val="0099465B"/>
    <w:rsid w:val="009950CE"/>
    <w:rsid w:val="009A0632"/>
    <w:rsid w:val="009A1A4C"/>
    <w:rsid w:val="009B0644"/>
    <w:rsid w:val="009B4307"/>
    <w:rsid w:val="009C14D9"/>
    <w:rsid w:val="009D032F"/>
    <w:rsid w:val="009D14F1"/>
    <w:rsid w:val="009D27FF"/>
    <w:rsid w:val="009D31ED"/>
    <w:rsid w:val="009D5A8A"/>
    <w:rsid w:val="009E22B3"/>
    <w:rsid w:val="009E2BD7"/>
    <w:rsid w:val="009E5158"/>
    <w:rsid w:val="009E6FE5"/>
    <w:rsid w:val="009E7E2F"/>
    <w:rsid w:val="009F6121"/>
    <w:rsid w:val="00A02165"/>
    <w:rsid w:val="00A04792"/>
    <w:rsid w:val="00A05E3B"/>
    <w:rsid w:val="00A07E4E"/>
    <w:rsid w:val="00A104E1"/>
    <w:rsid w:val="00A142B8"/>
    <w:rsid w:val="00A15BA7"/>
    <w:rsid w:val="00A15E0D"/>
    <w:rsid w:val="00A212C5"/>
    <w:rsid w:val="00A216BD"/>
    <w:rsid w:val="00A227AA"/>
    <w:rsid w:val="00A23865"/>
    <w:rsid w:val="00A2422A"/>
    <w:rsid w:val="00A32A60"/>
    <w:rsid w:val="00A33036"/>
    <w:rsid w:val="00A35051"/>
    <w:rsid w:val="00A40B3A"/>
    <w:rsid w:val="00A4668C"/>
    <w:rsid w:val="00A47EF7"/>
    <w:rsid w:val="00A5190D"/>
    <w:rsid w:val="00A52564"/>
    <w:rsid w:val="00A55F6F"/>
    <w:rsid w:val="00A56EE2"/>
    <w:rsid w:val="00A5728F"/>
    <w:rsid w:val="00A60E53"/>
    <w:rsid w:val="00A644C2"/>
    <w:rsid w:val="00A67F57"/>
    <w:rsid w:val="00A70DBF"/>
    <w:rsid w:val="00A71A1A"/>
    <w:rsid w:val="00A72E08"/>
    <w:rsid w:val="00A74120"/>
    <w:rsid w:val="00A757A8"/>
    <w:rsid w:val="00A760FF"/>
    <w:rsid w:val="00A767ED"/>
    <w:rsid w:val="00A817CF"/>
    <w:rsid w:val="00A90B7C"/>
    <w:rsid w:val="00A92066"/>
    <w:rsid w:val="00A92437"/>
    <w:rsid w:val="00A95EAE"/>
    <w:rsid w:val="00A96635"/>
    <w:rsid w:val="00AA0907"/>
    <w:rsid w:val="00AA0DB3"/>
    <w:rsid w:val="00AA23B9"/>
    <w:rsid w:val="00AA45F3"/>
    <w:rsid w:val="00AA6117"/>
    <w:rsid w:val="00AB38A2"/>
    <w:rsid w:val="00AB5D1A"/>
    <w:rsid w:val="00AB5D7F"/>
    <w:rsid w:val="00AB64F6"/>
    <w:rsid w:val="00AB7DA9"/>
    <w:rsid w:val="00AB7E98"/>
    <w:rsid w:val="00AC118E"/>
    <w:rsid w:val="00AC2335"/>
    <w:rsid w:val="00AC6628"/>
    <w:rsid w:val="00AC7021"/>
    <w:rsid w:val="00AD245E"/>
    <w:rsid w:val="00AD4F82"/>
    <w:rsid w:val="00AD71EB"/>
    <w:rsid w:val="00AE3547"/>
    <w:rsid w:val="00AE44DF"/>
    <w:rsid w:val="00AF3666"/>
    <w:rsid w:val="00B031F5"/>
    <w:rsid w:val="00B076C5"/>
    <w:rsid w:val="00B12F1E"/>
    <w:rsid w:val="00B23B6C"/>
    <w:rsid w:val="00B23C8F"/>
    <w:rsid w:val="00B30237"/>
    <w:rsid w:val="00B305A6"/>
    <w:rsid w:val="00B36103"/>
    <w:rsid w:val="00B4498A"/>
    <w:rsid w:val="00B46908"/>
    <w:rsid w:val="00B46F76"/>
    <w:rsid w:val="00B507F4"/>
    <w:rsid w:val="00B516CF"/>
    <w:rsid w:val="00B5186C"/>
    <w:rsid w:val="00B51888"/>
    <w:rsid w:val="00B53B44"/>
    <w:rsid w:val="00B61100"/>
    <w:rsid w:val="00B619AE"/>
    <w:rsid w:val="00B66833"/>
    <w:rsid w:val="00B678B1"/>
    <w:rsid w:val="00B70134"/>
    <w:rsid w:val="00B81F3C"/>
    <w:rsid w:val="00B832C1"/>
    <w:rsid w:val="00B83CC2"/>
    <w:rsid w:val="00B85483"/>
    <w:rsid w:val="00B865CD"/>
    <w:rsid w:val="00B87E86"/>
    <w:rsid w:val="00B93CB8"/>
    <w:rsid w:val="00B97C35"/>
    <w:rsid w:val="00BA0487"/>
    <w:rsid w:val="00BA1C5C"/>
    <w:rsid w:val="00BA664F"/>
    <w:rsid w:val="00BB200F"/>
    <w:rsid w:val="00BB33AF"/>
    <w:rsid w:val="00BB33E6"/>
    <w:rsid w:val="00BB7343"/>
    <w:rsid w:val="00BC01B6"/>
    <w:rsid w:val="00BC11BD"/>
    <w:rsid w:val="00BC19C5"/>
    <w:rsid w:val="00BC2F85"/>
    <w:rsid w:val="00BC53CC"/>
    <w:rsid w:val="00BC64D2"/>
    <w:rsid w:val="00BD4D7F"/>
    <w:rsid w:val="00BD7392"/>
    <w:rsid w:val="00BE0598"/>
    <w:rsid w:val="00BE2506"/>
    <w:rsid w:val="00BE585E"/>
    <w:rsid w:val="00BE65F3"/>
    <w:rsid w:val="00BE752C"/>
    <w:rsid w:val="00BE7691"/>
    <w:rsid w:val="00BF20A4"/>
    <w:rsid w:val="00BF27A3"/>
    <w:rsid w:val="00C01A09"/>
    <w:rsid w:val="00C07DE5"/>
    <w:rsid w:val="00C129EB"/>
    <w:rsid w:val="00C135E0"/>
    <w:rsid w:val="00C147A2"/>
    <w:rsid w:val="00C159E8"/>
    <w:rsid w:val="00C20329"/>
    <w:rsid w:val="00C25032"/>
    <w:rsid w:val="00C25762"/>
    <w:rsid w:val="00C27278"/>
    <w:rsid w:val="00C27F2E"/>
    <w:rsid w:val="00C30052"/>
    <w:rsid w:val="00C3256D"/>
    <w:rsid w:val="00C33AEC"/>
    <w:rsid w:val="00C53342"/>
    <w:rsid w:val="00C54166"/>
    <w:rsid w:val="00C60ACB"/>
    <w:rsid w:val="00C65D03"/>
    <w:rsid w:val="00C67E2E"/>
    <w:rsid w:val="00C70C92"/>
    <w:rsid w:val="00C83891"/>
    <w:rsid w:val="00C95B2D"/>
    <w:rsid w:val="00C96D5D"/>
    <w:rsid w:val="00CA2DA6"/>
    <w:rsid w:val="00CB2BA3"/>
    <w:rsid w:val="00CB4B09"/>
    <w:rsid w:val="00CB6BFF"/>
    <w:rsid w:val="00CC0CDA"/>
    <w:rsid w:val="00CC6EAA"/>
    <w:rsid w:val="00CE3C0F"/>
    <w:rsid w:val="00CE58BC"/>
    <w:rsid w:val="00CF1043"/>
    <w:rsid w:val="00CF71A8"/>
    <w:rsid w:val="00CF7B73"/>
    <w:rsid w:val="00D03416"/>
    <w:rsid w:val="00D06033"/>
    <w:rsid w:val="00D07541"/>
    <w:rsid w:val="00D10CE6"/>
    <w:rsid w:val="00D10EB1"/>
    <w:rsid w:val="00D230AB"/>
    <w:rsid w:val="00D243A9"/>
    <w:rsid w:val="00D30BDE"/>
    <w:rsid w:val="00D30EA8"/>
    <w:rsid w:val="00D363B6"/>
    <w:rsid w:val="00D47DCA"/>
    <w:rsid w:val="00D50420"/>
    <w:rsid w:val="00D50F06"/>
    <w:rsid w:val="00D51284"/>
    <w:rsid w:val="00D52A80"/>
    <w:rsid w:val="00D60E42"/>
    <w:rsid w:val="00D6162E"/>
    <w:rsid w:val="00D62006"/>
    <w:rsid w:val="00D70E15"/>
    <w:rsid w:val="00D7398D"/>
    <w:rsid w:val="00D7498B"/>
    <w:rsid w:val="00D74DB7"/>
    <w:rsid w:val="00D7548E"/>
    <w:rsid w:val="00D76E13"/>
    <w:rsid w:val="00D81391"/>
    <w:rsid w:val="00D857EB"/>
    <w:rsid w:val="00D869FE"/>
    <w:rsid w:val="00D938BD"/>
    <w:rsid w:val="00DA042D"/>
    <w:rsid w:val="00DA2686"/>
    <w:rsid w:val="00DA6605"/>
    <w:rsid w:val="00DB0B05"/>
    <w:rsid w:val="00DB2ED9"/>
    <w:rsid w:val="00DB3AFF"/>
    <w:rsid w:val="00DC18AD"/>
    <w:rsid w:val="00DC5A78"/>
    <w:rsid w:val="00DC5CC8"/>
    <w:rsid w:val="00DC71D6"/>
    <w:rsid w:val="00DC76AC"/>
    <w:rsid w:val="00DD2D9C"/>
    <w:rsid w:val="00DD6447"/>
    <w:rsid w:val="00DD7F32"/>
    <w:rsid w:val="00DE0317"/>
    <w:rsid w:val="00DE0BB0"/>
    <w:rsid w:val="00DE2163"/>
    <w:rsid w:val="00DE68D0"/>
    <w:rsid w:val="00DE74DF"/>
    <w:rsid w:val="00DF18C6"/>
    <w:rsid w:val="00DF3C2F"/>
    <w:rsid w:val="00DF7393"/>
    <w:rsid w:val="00E1248B"/>
    <w:rsid w:val="00E129E8"/>
    <w:rsid w:val="00E15734"/>
    <w:rsid w:val="00E22FA6"/>
    <w:rsid w:val="00E25ACE"/>
    <w:rsid w:val="00E271F5"/>
    <w:rsid w:val="00E279E7"/>
    <w:rsid w:val="00E3177F"/>
    <w:rsid w:val="00E3789E"/>
    <w:rsid w:val="00E45001"/>
    <w:rsid w:val="00E4543F"/>
    <w:rsid w:val="00E47495"/>
    <w:rsid w:val="00E512B1"/>
    <w:rsid w:val="00E5376F"/>
    <w:rsid w:val="00E622FC"/>
    <w:rsid w:val="00E64B1D"/>
    <w:rsid w:val="00E65788"/>
    <w:rsid w:val="00E67D26"/>
    <w:rsid w:val="00E72A61"/>
    <w:rsid w:val="00E73D2D"/>
    <w:rsid w:val="00E76E2A"/>
    <w:rsid w:val="00E84D77"/>
    <w:rsid w:val="00E8651A"/>
    <w:rsid w:val="00E86FF8"/>
    <w:rsid w:val="00E8746D"/>
    <w:rsid w:val="00E87F47"/>
    <w:rsid w:val="00E92051"/>
    <w:rsid w:val="00E925AB"/>
    <w:rsid w:val="00E9261B"/>
    <w:rsid w:val="00E94506"/>
    <w:rsid w:val="00E9458C"/>
    <w:rsid w:val="00EA0B51"/>
    <w:rsid w:val="00EA5E0C"/>
    <w:rsid w:val="00EB31DB"/>
    <w:rsid w:val="00EC34E0"/>
    <w:rsid w:val="00ED0E2E"/>
    <w:rsid w:val="00ED1F65"/>
    <w:rsid w:val="00ED5A06"/>
    <w:rsid w:val="00ED71B9"/>
    <w:rsid w:val="00ED725C"/>
    <w:rsid w:val="00EE10CA"/>
    <w:rsid w:val="00EE3DE2"/>
    <w:rsid w:val="00EE4934"/>
    <w:rsid w:val="00EF2BE4"/>
    <w:rsid w:val="00EF711C"/>
    <w:rsid w:val="00EF7AB9"/>
    <w:rsid w:val="00F03C01"/>
    <w:rsid w:val="00F04FEC"/>
    <w:rsid w:val="00F15778"/>
    <w:rsid w:val="00F20A99"/>
    <w:rsid w:val="00F267DA"/>
    <w:rsid w:val="00F27550"/>
    <w:rsid w:val="00F4062E"/>
    <w:rsid w:val="00F439FC"/>
    <w:rsid w:val="00F44F99"/>
    <w:rsid w:val="00F47340"/>
    <w:rsid w:val="00F562A2"/>
    <w:rsid w:val="00F56577"/>
    <w:rsid w:val="00F6316C"/>
    <w:rsid w:val="00F63A28"/>
    <w:rsid w:val="00F65125"/>
    <w:rsid w:val="00F73242"/>
    <w:rsid w:val="00F75A57"/>
    <w:rsid w:val="00F80D0F"/>
    <w:rsid w:val="00F8440D"/>
    <w:rsid w:val="00F850EA"/>
    <w:rsid w:val="00F85A39"/>
    <w:rsid w:val="00F875EF"/>
    <w:rsid w:val="00F9459D"/>
    <w:rsid w:val="00F94911"/>
    <w:rsid w:val="00F959A1"/>
    <w:rsid w:val="00FA29F5"/>
    <w:rsid w:val="00FA5BD2"/>
    <w:rsid w:val="00FB13DB"/>
    <w:rsid w:val="00FB62E2"/>
    <w:rsid w:val="00FB698F"/>
    <w:rsid w:val="00FC0F50"/>
    <w:rsid w:val="00FC1475"/>
    <w:rsid w:val="00FD41E2"/>
    <w:rsid w:val="00FD5012"/>
    <w:rsid w:val="00FD6D22"/>
    <w:rsid w:val="00FE45D3"/>
    <w:rsid w:val="00FE47F5"/>
    <w:rsid w:val="00FF1EE9"/>
    <w:rsid w:val="00FF7210"/>
    <w:rsid w:val="00FF7325"/>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A14F21-378C-4ACB-91C2-8730DA832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E2E"/>
    <w:rPr>
      <w:rFonts w:ascii="Calibri" w:eastAsia="Calibri" w:hAnsi="Calibr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64A272-79B9-4A80-9007-2DB844383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350</Words>
  <Characters>1857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Anna-Karin Edstedt Bonamy</dc:creator>
  <cp:keywords/>
  <dc:description/>
  <cp:lastModifiedBy>Anna-Karin Edstedt Bonamy</cp:lastModifiedBy>
  <cp:revision>2</cp:revision>
  <dcterms:created xsi:type="dcterms:W3CDTF">2016-11-24T12:55:00Z</dcterms:created>
  <dcterms:modified xsi:type="dcterms:W3CDTF">2016-11-24T13:20:00Z</dcterms:modified>
</cp:coreProperties>
</file>