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2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24"/>
        <w:gridCol w:w="1052"/>
        <w:gridCol w:w="1835"/>
        <w:gridCol w:w="1081"/>
        <w:gridCol w:w="2118"/>
        <w:gridCol w:w="1081"/>
        <w:gridCol w:w="2239"/>
      </w:tblGrid>
      <w:tr w:rsidR="004530B6" w:rsidRPr="00107F35" w14:paraId="0846B48E" w14:textId="77777777" w:rsidTr="008F75AE">
        <w:trPr>
          <w:trHeight w:val="512"/>
        </w:trPr>
        <w:tc>
          <w:tcPr>
            <w:tcW w:w="5000" w:type="pct"/>
            <w:gridSpan w:val="7"/>
          </w:tcPr>
          <w:p w14:paraId="68C27D1D" w14:textId="77777777" w:rsidR="004530B6" w:rsidRPr="00107F35" w:rsidRDefault="004530B6" w:rsidP="00034A16">
            <w:pPr>
              <w:spacing w:after="0" w:line="480" w:lineRule="auto"/>
              <w:rPr>
                <w:rFonts w:asciiTheme="majorHAnsi" w:eastAsia="MS ??" w:hAnsiTheme="majorHAnsi"/>
                <w:b/>
                <w:sz w:val="24"/>
                <w:szCs w:val="24"/>
                <w:lang w:val="en-US"/>
              </w:rPr>
            </w:pPr>
            <w:r w:rsidRPr="00107F35">
              <w:rPr>
                <w:rFonts w:asciiTheme="majorHAnsi" w:eastAsia="MS ??" w:hAnsiTheme="majorHAnsi"/>
                <w:b/>
                <w:sz w:val="24"/>
                <w:szCs w:val="24"/>
                <w:lang w:val="en-US" w:eastAsia="en-US"/>
              </w:rPr>
              <w:t>Table 3. Numbers and adjusted risk ratios (95% confidence intervals) for the composite outcomes of BPD or death</w:t>
            </w:r>
            <w:r w:rsidRPr="00107F35">
              <w:rPr>
                <w:rFonts w:asciiTheme="majorHAnsi" w:eastAsia="MS ??" w:hAnsiTheme="majorHAnsi"/>
                <w:b/>
                <w:sz w:val="24"/>
                <w:szCs w:val="24"/>
                <w:vertAlign w:val="superscript"/>
                <w:lang w:val="en-US" w:eastAsia="en-US"/>
              </w:rPr>
              <w:t>1</w:t>
            </w:r>
            <w:r w:rsidRPr="00107F35">
              <w:rPr>
                <w:rFonts w:asciiTheme="majorHAnsi" w:eastAsia="MS ??" w:hAnsiTheme="majorHAnsi"/>
                <w:b/>
                <w:sz w:val="24"/>
                <w:szCs w:val="24"/>
                <w:lang w:val="en-US" w:eastAsia="en-US"/>
              </w:rPr>
              <w:t>, and survival without major neonatal morbidity</w:t>
            </w:r>
            <w:r w:rsidRPr="00107F35">
              <w:rPr>
                <w:rFonts w:asciiTheme="majorHAnsi" w:eastAsia="MS ??" w:hAnsiTheme="majorHAnsi"/>
                <w:b/>
                <w:sz w:val="24"/>
                <w:szCs w:val="24"/>
                <w:vertAlign w:val="superscript"/>
                <w:lang w:val="en-US" w:eastAsia="en-US"/>
              </w:rPr>
              <w:t>2</w:t>
            </w:r>
            <w:r w:rsidRPr="00107F35">
              <w:rPr>
                <w:rFonts w:asciiTheme="majorHAnsi" w:eastAsia="MS ??" w:hAnsiTheme="majorHAnsi"/>
                <w:b/>
                <w:sz w:val="24"/>
                <w:szCs w:val="24"/>
                <w:lang w:val="en-US" w:eastAsia="en-US"/>
              </w:rPr>
              <w:t xml:space="preserve"> according to PDA treatment (Y/N) or type of PDA treatment in 19 European regions with low (&lt;15%), medium (15-25%) or high proportions (&gt;25%) of PDA treatment. </w:t>
            </w:r>
          </w:p>
        </w:tc>
      </w:tr>
      <w:tr w:rsidR="00A25DF8" w:rsidRPr="00107F35" w14:paraId="53D917DE" w14:textId="77777777" w:rsidTr="008F75AE">
        <w:trPr>
          <w:trHeight w:val="586"/>
        </w:trPr>
        <w:tc>
          <w:tcPr>
            <w:tcW w:w="1807" w:type="pct"/>
            <w:vMerge w:val="restart"/>
            <w:vAlign w:val="center"/>
          </w:tcPr>
          <w:p w14:paraId="1B895819" w14:textId="77777777" w:rsidR="004530B6" w:rsidRPr="00107F35" w:rsidRDefault="004530B6" w:rsidP="00034A16">
            <w:pPr>
              <w:spacing w:after="0" w:line="240" w:lineRule="auto"/>
              <w:jc w:val="center"/>
              <w:rPr>
                <w:rFonts w:asciiTheme="majorHAnsi" w:eastAsia="MS ??" w:hAnsiTheme="majorHAnsi"/>
                <w:sz w:val="24"/>
                <w:szCs w:val="24"/>
                <w:lang w:val="en-US"/>
              </w:rPr>
            </w:pPr>
          </w:p>
        </w:tc>
        <w:tc>
          <w:tcPr>
            <w:tcW w:w="980" w:type="pct"/>
            <w:gridSpan w:val="2"/>
            <w:vAlign w:val="center"/>
          </w:tcPr>
          <w:p w14:paraId="7F056682" w14:textId="77777777" w:rsidR="004530B6" w:rsidRPr="00107F35" w:rsidRDefault="004530B6" w:rsidP="00034A16">
            <w:pPr>
              <w:spacing w:after="0" w:line="240" w:lineRule="auto"/>
              <w:jc w:val="center"/>
              <w:rPr>
                <w:rFonts w:asciiTheme="majorHAnsi" w:eastAsia="MS ??" w:hAnsiTheme="majorHAnsi"/>
                <w:b/>
                <w:sz w:val="24"/>
                <w:szCs w:val="24"/>
                <w:lang w:val="sv-SE" w:eastAsia="en-US"/>
              </w:rPr>
            </w:pPr>
            <w:proofErr w:type="spellStart"/>
            <w:r w:rsidRPr="00107F35">
              <w:rPr>
                <w:rFonts w:asciiTheme="majorHAnsi" w:eastAsia="MS ??" w:hAnsiTheme="majorHAnsi"/>
                <w:b/>
                <w:sz w:val="24"/>
                <w:szCs w:val="24"/>
                <w:lang w:val="sv-SE" w:eastAsia="en-US"/>
              </w:rPr>
              <w:t>Low</w:t>
            </w:r>
            <w:proofErr w:type="spellEnd"/>
          </w:p>
          <w:p w14:paraId="0D3A889C" w14:textId="77777777" w:rsidR="004530B6" w:rsidRPr="00107F35" w:rsidRDefault="004530B6" w:rsidP="00034A16">
            <w:pPr>
              <w:spacing w:after="0" w:line="240" w:lineRule="auto"/>
              <w:jc w:val="center"/>
              <w:rPr>
                <w:rFonts w:asciiTheme="majorHAnsi" w:eastAsia="MS ??" w:hAnsiTheme="majorHAnsi"/>
                <w:b/>
                <w:sz w:val="24"/>
                <w:szCs w:val="24"/>
                <w:lang w:val="sv-SE" w:eastAsia="en-US"/>
              </w:rPr>
            </w:pPr>
            <w:r w:rsidRPr="00107F35">
              <w:rPr>
                <w:rFonts w:asciiTheme="majorHAnsi" w:eastAsia="MS ??" w:hAnsiTheme="majorHAnsi"/>
                <w:b/>
                <w:sz w:val="24"/>
                <w:szCs w:val="24"/>
                <w:lang w:val="sv-SE" w:eastAsia="en-US"/>
              </w:rPr>
              <w:t>N=2,875</w:t>
            </w:r>
          </w:p>
        </w:tc>
        <w:tc>
          <w:tcPr>
            <w:tcW w:w="1086" w:type="pct"/>
            <w:gridSpan w:val="2"/>
            <w:vAlign w:val="center"/>
          </w:tcPr>
          <w:p w14:paraId="1997740F" w14:textId="77777777" w:rsidR="004530B6" w:rsidRPr="00107F35" w:rsidRDefault="004530B6" w:rsidP="00034A16">
            <w:pPr>
              <w:spacing w:after="0" w:line="240" w:lineRule="auto"/>
              <w:jc w:val="center"/>
              <w:rPr>
                <w:rFonts w:asciiTheme="majorHAnsi" w:eastAsia="MS ??" w:hAnsiTheme="majorHAnsi"/>
                <w:b/>
                <w:sz w:val="24"/>
                <w:szCs w:val="24"/>
                <w:lang w:val="sv-SE" w:eastAsia="en-US"/>
              </w:rPr>
            </w:pPr>
            <w:r w:rsidRPr="00107F35">
              <w:rPr>
                <w:rFonts w:asciiTheme="majorHAnsi" w:eastAsia="MS ??" w:hAnsiTheme="majorHAnsi"/>
                <w:b/>
                <w:sz w:val="24"/>
                <w:szCs w:val="24"/>
                <w:lang w:val="sv-SE" w:eastAsia="en-US"/>
              </w:rPr>
              <w:t>Medium</w:t>
            </w:r>
          </w:p>
          <w:p w14:paraId="624C1D71" w14:textId="77777777" w:rsidR="004530B6" w:rsidRPr="00107F35" w:rsidRDefault="004530B6" w:rsidP="00034A16">
            <w:pPr>
              <w:spacing w:after="0" w:line="240" w:lineRule="auto"/>
              <w:jc w:val="center"/>
              <w:rPr>
                <w:rFonts w:asciiTheme="majorHAnsi" w:eastAsia="MS ??" w:hAnsiTheme="majorHAnsi"/>
                <w:b/>
                <w:sz w:val="24"/>
                <w:szCs w:val="24"/>
                <w:lang w:val="sv-SE" w:eastAsia="en-US"/>
              </w:rPr>
            </w:pPr>
            <w:r w:rsidRPr="00107F35">
              <w:rPr>
                <w:rFonts w:asciiTheme="majorHAnsi" w:eastAsia="MS ??" w:hAnsiTheme="majorHAnsi"/>
                <w:b/>
                <w:sz w:val="24"/>
                <w:szCs w:val="24"/>
                <w:lang w:val="sv-SE" w:eastAsia="en-US"/>
              </w:rPr>
              <w:t>N=3,417</w:t>
            </w:r>
          </w:p>
        </w:tc>
        <w:tc>
          <w:tcPr>
            <w:tcW w:w="1127" w:type="pct"/>
            <w:gridSpan w:val="2"/>
            <w:vAlign w:val="center"/>
          </w:tcPr>
          <w:p w14:paraId="1D126885" w14:textId="77777777" w:rsidR="004530B6" w:rsidRPr="00107F35" w:rsidRDefault="004530B6" w:rsidP="00034A16">
            <w:pPr>
              <w:spacing w:after="0" w:line="240" w:lineRule="auto"/>
              <w:jc w:val="center"/>
              <w:rPr>
                <w:rFonts w:asciiTheme="majorHAnsi" w:eastAsia="MS ??" w:hAnsiTheme="majorHAnsi"/>
                <w:b/>
                <w:sz w:val="24"/>
                <w:szCs w:val="24"/>
                <w:lang w:val="sv-SE" w:eastAsia="en-US"/>
              </w:rPr>
            </w:pPr>
            <w:r w:rsidRPr="00107F35">
              <w:rPr>
                <w:rFonts w:asciiTheme="majorHAnsi" w:eastAsia="MS ??" w:hAnsiTheme="majorHAnsi"/>
                <w:b/>
                <w:sz w:val="24"/>
                <w:szCs w:val="24"/>
                <w:lang w:val="sv-SE" w:eastAsia="en-US"/>
              </w:rPr>
              <w:t>High</w:t>
            </w:r>
          </w:p>
          <w:p w14:paraId="66408271" w14:textId="77777777" w:rsidR="004530B6" w:rsidRPr="00107F35" w:rsidRDefault="004530B6" w:rsidP="00034A16">
            <w:pPr>
              <w:spacing w:after="0" w:line="240" w:lineRule="auto"/>
              <w:jc w:val="center"/>
              <w:rPr>
                <w:rFonts w:asciiTheme="majorHAnsi" w:eastAsia="MS ??" w:hAnsiTheme="majorHAnsi"/>
                <w:b/>
                <w:sz w:val="24"/>
                <w:szCs w:val="24"/>
                <w:lang w:val="sv-SE" w:eastAsia="en-US"/>
              </w:rPr>
            </w:pPr>
            <w:r w:rsidRPr="00107F35">
              <w:rPr>
                <w:rFonts w:asciiTheme="majorHAnsi" w:eastAsia="MS ??" w:hAnsiTheme="majorHAnsi"/>
                <w:b/>
                <w:sz w:val="24"/>
                <w:szCs w:val="24"/>
                <w:lang w:val="sv-SE" w:eastAsia="en-US"/>
              </w:rPr>
              <w:t>N=604</w:t>
            </w:r>
          </w:p>
        </w:tc>
      </w:tr>
      <w:tr w:rsidR="00A25DF8" w:rsidRPr="00107F35" w14:paraId="06D54D36" w14:textId="77777777" w:rsidTr="008F75AE">
        <w:trPr>
          <w:trHeight w:val="586"/>
        </w:trPr>
        <w:tc>
          <w:tcPr>
            <w:tcW w:w="1807" w:type="pct"/>
            <w:vMerge/>
            <w:vAlign w:val="center"/>
          </w:tcPr>
          <w:p w14:paraId="4A75924A" w14:textId="77777777" w:rsidR="00646CC7" w:rsidRPr="00107F35" w:rsidRDefault="00646CC7" w:rsidP="00D05ADD">
            <w:pPr>
              <w:spacing w:after="0" w:line="240" w:lineRule="auto"/>
              <w:jc w:val="center"/>
              <w:rPr>
                <w:rFonts w:asciiTheme="majorHAnsi" w:eastAsia="MS ??" w:hAnsiTheme="majorHAnsi"/>
                <w:sz w:val="24"/>
                <w:szCs w:val="24"/>
                <w:lang w:val="sv-SE" w:eastAsia="en-US"/>
              </w:rPr>
            </w:pPr>
          </w:p>
        </w:tc>
        <w:tc>
          <w:tcPr>
            <w:tcW w:w="357" w:type="pct"/>
            <w:vAlign w:val="center"/>
          </w:tcPr>
          <w:p w14:paraId="1B79F747" w14:textId="77777777" w:rsidR="004530B6" w:rsidRPr="00107F35" w:rsidRDefault="008F75AE" w:rsidP="008F75AE">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No. of</w:t>
            </w:r>
            <w:r w:rsidR="000F7C79" w:rsidRPr="00107F35">
              <w:rPr>
                <w:rFonts w:asciiTheme="majorHAnsi" w:eastAsia="MS ??" w:hAnsiTheme="majorHAnsi"/>
                <w:sz w:val="24"/>
                <w:szCs w:val="24"/>
                <w:lang w:val="en-US" w:eastAsia="en-US"/>
              </w:rPr>
              <w:t xml:space="preserve"> events</w:t>
            </w:r>
            <w:r w:rsidRPr="00107F35">
              <w:rPr>
                <w:rFonts w:asciiTheme="majorHAnsi" w:eastAsia="MS ??" w:hAnsiTheme="majorHAnsi"/>
                <w:sz w:val="24"/>
                <w:szCs w:val="24"/>
                <w:lang w:val="en-US" w:eastAsia="en-US"/>
              </w:rPr>
              <w:t xml:space="preserve"> </w:t>
            </w:r>
          </w:p>
        </w:tc>
        <w:tc>
          <w:tcPr>
            <w:tcW w:w="623" w:type="pct"/>
            <w:vAlign w:val="center"/>
          </w:tcPr>
          <w:p w14:paraId="311022D4" w14:textId="77777777" w:rsidR="004530B6" w:rsidRPr="00107F35" w:rsidRDefault="004530B6" w:rsidP="00034A16">
            <w:pPr>
              <w:spacing w:after="0" w:line="240" w:lineRule="auto"/>
              <w:jc w:val="center"/>
              <w:rPr>
                <w:rFonts w:asciiTheme="majorHAnsi" w:eastAsia="MS ??" w:hAnsiTheme="majorHAnsi"/>
                <w:b/>
                <w:sz w:val="24"/>
                <w:szCs w:val="24"/>
                <w:lang w:val="en-US" w:eastAsia="en-US"/>
              </w:rPr>
            </w:pPr>
            <w:proofErr w:type="spellStart"/>
            <w:r w:rsidRPr="00107F35">
              <w:rPr>
                <w:rFonts w:asciiTheme="majorHAnsi" w:eastAsia="MS ??" w:hAnsiTheme="majorHAnsi"/>
                <w:b/>
                <w:sz w:val="24"/>
                <w:szCs w:val="24"/>
                <w:lang w:val="en-US" w:eastAsia="en-US"/>
              </w:rPr>
              <w:t>aRR</w:t>
            </w:r>
            <w:proofErr w:type="spellEnd"/>
            <w:r w:rsidRPr="00107F35">
              <w:rPr>
                <w:rFonts w:asciiTheme="majorHAnsi" w:eastAsia="MS ??" w:hAnsiTheme="majorHAnsi"/>
                <w:b/>
                <w:sz w:val="24"/>
                <w:szCs w:val="24"/>
                <w:lang w:val="en-US" w:eastAsia="en-US"/>
              </w:rPr>
              <w:t xml:space="preserve"> (95% CI)</w:t>
            </w:r>
            <w:r w:rsidR="008F75AE" w:rsidRPr="00107F35">
              <w:rPr>
                <w:rFonts w:asciiTheme="majorHAnsi" w:eastAsia="MS ??" w:hAnsiTheme="majorHAnsi"/>
                <w:b/>
                <w:sz w:val="24"/>
                <w:szCs w:val="24"/>
                <w:vertAlign w:val="superscript"/>
                <w:lang w:val="en-US" w:eastAsia="en-US"/>
              </w:rPr>
              <w:t>3</w:t>
            </w:r>
          </w:p>
        </w:tc>
        <w:tc>
          <w:tcPr>
            <w:tcW w:w="367" w:type="pct"/>
            <w:vAlign w:val="center"/>
          </w:tcPr>
          <w:p w14:paraId="5314F628" w14:textId="77777777" w:rsidR="004530B6" w:rsidRPr="00107F35" w:rsidRDefault="008F75AE" w:rsidP="00034A16">
            <w:pPr>
              <w:spacing w:after="0" w:line="240" w:lineRule="auto"/>
              <w:jc w:val="center"/>
              <w:rPr>
                <w:rFonts w:asciiTheme="majorHAnsi" w:eastAsia="MS ??" w:hAnsiTheme="majorHAnsi"/>
                <w:b/>
                <w:sz w:val="24"/>
                <w:szCs w:val="24"/>
                <w:lang w:val="en-US" w:eastAsia="en-US"/>
              </w:rPr>
            </w:pPr>
            <w:r w:rsidRPr="00107F35">
              <w:rPr>
                <w:rFonts w:asciiTheme="majorHAnsi" w:eastAsia="MS ??" w:hAnsiTheme="majorHAnsi"/>
                <w:sz w:val="24"/>
                <w:szCs w:val="24"/>
                <w:lang w:val="en-US" w:eastAsia="en-US"/>
              </w:rPr>
              <w:t>No. of events</w:t>
            </w:r>
          </w:p>
        </w:tc>
        <w:tc>
          <w:tcPr>
            <w:tcW w:w="719" w:type="pct"/>
            <w:vAlign w:val="center"/>
          </w:tcPr>
          <w:p w14:paraId="66343FE2" w14:textId="77777777" w:rsidR="004530B6" w:rsidRPr="00107F35" w:rsidRDefault="004530B6" w:rsidP="00034A16">
            <w:pPr>
              <w:spacing w:after="0" w:line="240" w:lineRule="auto"/>
              <w:jc w:val="center"/>
              <w:rPr>
                <w:rFonts w:asciiTheme="majorHAnsi" w:eastAsia="MS ??" w:hAnsiTheme="majorHAnsi"/>
                <w:b/>
                <w:sz w:val="24"/>
                <w:szCs w:val="24"/>
                <w:lang w:val="en-US" w:eastAsia="en-US"/>
              </w:rPr>
            </w:pPr>
            <w:proofErr w:type="spellStart"/>
            <w:r w:rsidRPr="00107F35">
              <w:rPr>
                <w:rFonts w:asciiTheme="majorHAnsi" w:eastAsia="MS ??" w:hAnsiTheme="majorHAnsi"/>
                <w:b/>
                <w:sz w:val="24"/>
                <w:szCs w:val="24"/>
                <w:lang w:val="en-US" w:eastAsia="en-US"/>
              </w:rPr>
              <w:t>aRR</w:t>
            </w:r>
            <w:proofErr w:type="spellEnd"/>
            <w:r w:rsidRPr="00107F35">
              <w:rPr>
                <w:rFonts w:asciiTheme="majorHAnsi" w:eastAsia="MS ??" w:hAnsiTheme="majorHAnsi"/>
                <w:b/>
                <w:sz w:val="24"/>
                <w:szCs w:val="24"/>
                <w:lang w:val="en-US" w:eastAsia="en-US"/>
              </w:rPr>
              <w:t xml:space="preserve"> (95% CI)</w:t>
            </w:r>
            <w:r w:rsidR="008F75AE" w:rsidRPr="00107F35">
              <w:rPr>
                <w:rFonts w:asciiTheme="majorHAnsi" w:eastAsia="MS ??" w:hAnsiTheme="majorHAnsi"/>
                <w:b/>
                <w:sz w:val="24"/>
                <w:szCs w:val="24"/>
                <w:vertAlign w:val="superscript"/>
                <w:lang w:val="en-US" w:eastAsia="en-US"/>
              </w:rPr>
              <w:t>3</w:t>
            </w:r>
          </w:p>
        </w:tc>
        <w:tc>
          <w:tcPr>
            <w:tcW w:w="367" w:type="pct"/>
            <w:vAlign w:val="center"/>
          </w:tcPr>
          <w:p w14:paraId="7D83BBC1" w14:textId="77777777" w:rsidR="004530B6" w:rsidRPr="00107F35" w:rsidRDefault="008F75AE" w:rsidP="00034A16">
            <w:pPr>
              <w:spacing w:after="0" w:line="240" w:lineRule="auto"/>
              <w:jc w:val="center"/>
              <w:rPr>
                <w:rFonts w:asciiTheme="majorHAnsi" w:eastAsia="MS ??" w:hAnsiTheme="majorHAnsi"/>
                <w:b/>
                <w:sz w:val="24"/>
                <w:szCs w:val="24"/>
                <w:lang w:val="en-US" w:eastAsia="en-US"/>
              </w:rPr>
            </w:pPr>
            <w:r w:rsidRPr="00107F35">
              <w:rPr>
                <w:rFonts w:asciiTheme="majorHAnsi" w:eastAsia="MS ??" w:hAnsiTheme="majorHAnsi"/>
                <w:sz w:val="24"/>
                <w:szCs w:val="24"/>
                <w:lang w:val="en-US" w:eastAsia="en-US"/>
              </w:rPr>
              <w:t>No. of events</w:t>
            </w:r>
          </w:p>
        </w:tc>
        <w:tc>
          <w:tcPr>
            <w:tcW w:w="760" w:type="pct"/>
            <w:vAlign w:val="center"/>
          </w:tcPr>
          <w:p w14:paraId="41C6E894" w14:textId="77777777" w:rsidR="004530B6" w:rsidRPr="00107F35" w:rsidRDefault="004530B6" w:rsidP="00034A16">
            <w:pPr>
              <w:spacing w:after="0" w:line="240" w:lineRule="auto"/>
              <w:jc w:val="center"/>
              <w:rPr>
                <w:rFonts w:asciiTheme="majorHAnsi" w:eastAsia="MS ??" w:hAnsiTheme="majorHAnsi"/>
                <w:b/>
                <w:sz w:val="24"/>
                <w:szCs w:val="24"/>
                <w:lang w:val="en-US" w:eastAsia="en-US"/>
              </w:rPr>
            </w:pPr>
            <w:proofErr w:type="spellStart"/>
            <w:r w:rsidRPr="00107F35">
              <w:rPr>
                <w:rFonts w:asciiTheme="majorHAnsi" w:eastAsia="MS ??" w:hAnsiTheme="majorHAnsi"/>
                <w:b/>
                <w:sz w:val="24"/>
                <w:szCs w:val="24"/>
                <w:lang w:val="en-US" w:eastAsia="en-US"/>
              </w:rPr>
              <w:t>aRR</w:t>
            </w:r>
            <w:proofErr w:type="spellEnd"/>
            <w:r w:rsidRPr="00107F35">
              <w:rPr>
                <w:rFonts w:asciiTheme="majorHAnsi" w:eastAsia="MS ??" w:hAnsiTheme="majorHAnsi"/>
                <w:b/>
                <w:sz w:val="24"/>
                <w:szCs w:val="24"/>
                <w:lang w:val="en-US" w:eastAsia="en-US"/>
              </w:rPr>
              <w:t xml:space="preserve"> (95% CI)</w:t>
            </w:r>
            <w:r w:rsidR="008F75AE" w:rsidRPr="00107F35">
              <w:rPr>
                <w:rFonts w:asciiTheme="majorHAnsi" w:eastAsia="MS ??" w:hAnsiTheme="majorHAnsi"/>
                <w:b/>
                <w:sz w:val="24"/>
                <w:szCs w:val="24"/>
                <w:vertAlign w:val="superscript"/>
                <w:lang w:val="en-US" w:eastAsia="en-US"/>
              </w:rPr>
              <w:t xml:space="preserve"> 3</w:t>
            </w:r>
          </w:p>
        </w:tc>
      </w:tr>
      <w:tr w:rsidR="004530B6" w:rsidRPr="00107F35" w14:paraId="51ED4012" w14:textId="77777777" w:rsidTr="008F75AE">
        <w:trPr>
          <w:trHeight w:val="586"/>
        </w:trPr>
        <w:tc>
          <w:tcPr>
            <w:tcW w:w="5000" w:type="pct"/>
            <w:gridSpan w:val="7"/>
            <w:vAlign w:val="center"/>
          </w:tcPr>
          <w:p w14:paraId="3FFFC31F" w14:textId="77777777" w:rsidR="004530B6" w:rsidRPr="00107F35" w:rsidRDefault="004530B6" w:rsidP="00034A16">
            <w:pPr>
              <w:spacing w:after="0" w:line="240" w:lineRule="auto"/>
              <w:rPr>
                <w:rFonts w:asciiTheme="majorHAnsi" w:eastAsia="MS ??" w:hAnsiTheme="majorHAnsi"/>
                <w:sz w:val="24"/>
                <w:szCs w:val="24"/>
                <w:lang w:val="en-US" w:eastAsia="en-US"/>
              </w:rPr>
            </w:pPr>
            <w:r w:rsidRPr="00107F35">
              <w:rPr>
                <w:rFonts w:asciiTheme="majorHAnsi" w:eastAsia="MS ??" w:hAnsiTheme="majorHAnsi"/>
                <w:b/>
                <w:sz w:val="24"/>
                <w:szCs w:val="24"/>
                <w:lang w:val="en-US" w:eastAsia="en-US"/>
              </w:rPr>
              <w:t>COMPOSITE OUTCOME OF BPD OR DEATH</w:t>
            </w:r>
            <w:r w:rsidRPr="00107F35">
              <w:rPr>
                <w:rFonts w:asciiTheme="majorHAnsi" w:eastAsia="MS ??" w:hAnsiTheme="majorHAnsi"/>
                <w:b/>
                <w:sz w:val="24"/>
                <w:szCs w:val="24"/>
                <w:vertAlign w:val="superscript"/>
                <w:lang w:val="en-US" w:eastAsia="en-US"/>
              </w:rPr>
              <w:t>1</w:t>
            </w:r>
          </w:p>
        </w:tc>
      </w:tr>
      <w:tr w:rsidR="00A25DF8" w:rsidRPr="00107F35" w14:paraId="5C9280E5" w14:textId="77777777" w:rsidTr="008F75AE">
        <w:trPr>
          <w:trHeight w:val="586"/>
        </w:trPr>
        <w:tc>
          <w:tcPr>
            <w:tcW w:w="1807" w:type="pct"/>
            <w:vAlign w:val="center"/>
          </w:tcPr>
          <w:p w14:paraId="15BFDB24" w14:textId="77777777" w:rsidR="004530B6" w:rsidRPr="00107F35" w:rsidRDefault="004530B6" w:rsidP="00034A16">
            <w:pPr>
              <w:spacing w:after="0" w:line="240" w:lineRule="auto"/>
              <w:rPr>
                <w:rFonts w:asciiTheme="majorHAnsi" w:eastAsia="MS ??" w:hAnsiTheme="majorHAnsi"/>
                <w:b/>
                <w:sz w:val="24"/>
                <w:szCs w:val="24"/>
                <w:lang w:val="en-US" w:eastAsia="en-US"/>
              </w:rPr>
            </w:pPr>
            <w:r w:rsidRPr="00107F35">
              <w:rPr>
                <w:rFonts w:asciiTheme="majorHAnsi" w:eastAsia="MS ??" w:hAnsiTheme="majorHAnsi"/>
                <w:sz w:val="24"/>
                <w:szCs w:val="24"/>
                <w:lang w:val="en-US" w:eastAsia="en-US"/>
              </w:rPr>
              <w:t>No PDA treatment</w:t>
            </w:r>
          </w:p>
        </w:tc>
        <w:tc>
          <w:tcPr>
            <w:tcW w:w="357" w:type="pct"/>
            <w:vAlign w:val="center"/>
          </w:tcPr>
          <w:p w14:paraId="7C46BD6E"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523</w:t>
            </w:r>
          </w:p>
        </w:tc>
        <w:tc>
          <w:tcPr>
            <w:tcW w:w="623" w:type="pct"/>
            <w:vAlign w:val="center"/>
          </w:tcPr>
          <w:p w14:paraId="40DE1E7F"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1.00 (ref)</w:t>
            </w:r>
          </w:p>
        </w:tc>
        <w:tc>
          <w:tcPr>
            <w:tcW w:w="367" w:type="pct"/>
            <w:vAlign w:val="center"/>
          </w:tcPr>
          <w:p w14:paraId="2444B997"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327</w:t>
            </w:r>
          </w:p>
        </w:tc>
        <w:tc>
          <w:tcPr>
            <w:tcW w:w="719" w:type="pct"/>
            <w:vAlign w:val="center"/>
          </w:tcPr>
          <w:p w14:paraId="7B90AC52" w14:textId="77777777" w:rsidR="004530B6" w:rsidRPr="00107F35" w:rsidRDefault="004530B6" w:rsidP="00034A16">
            <w:pPr>
              <w:spacing w:after="0" w:line="24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en-US" w:eastAsia="en-US"/>
              </w:rPr>
              <w:t>1.00 (r</w:t>
            </w:r>
            <w:proofErr w:type="spellStart"/>
            <w:r w:rsidRPr="00107F35">
              <w:rPr>
                <w:rFonts w:asciiTheme="majorHAnsi" w:eastAsia="MS ??" w:hAnsiTheme="majorHAnsi"/>
                <w:sz w:val="24"/>
                <w:szCs w:val="24"/>
                <w:lang w:val="sv-SE" w:eastAsia="en-US"/>
              </w:rPr>
              <w:t>ef</w:t>
            </w:r>
            <w:proofErr w:type="spellEnd"/>
            <w:r w:rsidRPr="00107F35">
              <w:rPr>
                <w:rFonts w:asciiTheme="majorHAnsi" w:eastAsia="MS ??" w:hAnsiTheme="majorHAnsi"/>
                <w:sz w:val="24"/>
                <w:szCs w:val="24"/>
                <w:lang w:val="sv-SE" w:eastAsia="en-US"/>
              </w:rPr>
              <w:t>)</w:t>
            </w:r>
          </w:p>
        </w:tc>
        <w:tc>
          <w:tcPr>
            <w:tcW w:w="367" w:type="pct"/>
            <w:vAlign w:val="center"/>
          </w:tcPr>
          <w:p w14:paraId="782FB727" w14:textId="77777777" w:rsidR="004530B6" w:rsidRPr="00107F35" w:rsidRDefault="004530B6" w:rsidP="00034A16">
            <w:pPr>
              <w:spacing w:after="0" w:line="24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45</w:t>
            </w:r>
          </w:p>
        </w:tc>
        <w:tc>
          <w:tcPr>
            <w:tcW w:w="760" w:type="pct"/>
            <w:vAlign w:val="center"/>
          </w:tcPr>
          <w:p w14:paraId="59924CA0" w14:textId="77777777" w:rsidR="004530B6" w:rsidRPr="00107F35" w:rsidRDefault="004530B6" w:rsidP="00034A16">
            <w:pPr>
              <w:spacing w:after="0" w:line="24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1.00 (ref)</w:t>
            </w:r>
          </w:p>
        </w:tc>
      </w:tr>
      <w:tr w:rsidR="00A25DF8" w:rsidRPr="00107F35" w14:paraId="54E3B7FB" w14:textId="77777777" w:rsidTr="008F75AE">
        <w:trPr>
          <w:trHeight w:val="586"/>
        </w:trPr>
        <w:tc>
          <w:tcPr>
            <w:tcW w:w="1807" w:type="pct"/>
            <w:vAlign w:val="center"/>
          </w:tcPr>
          <w:p w14:paraId="7B67CB2C" w14:textId="77777777" w:rsidR="004530B6" w:rsidRPr="00107F35" w:rsidRDefault="004530B6" w:rsidP="00034A16">
            <w:pPr>
              <w:spacing w:after="0" w:line="240" w:lineRule="auto"/>
              <w:rPr>
                <w:rFonts w:asciiTheme="majorHAnsi" w:eastAsia="MS ??" w:hAnsiTheme="majorHAnsi"/>
                <w:sz w:val="24"/>
                <w:szCs w:val="24"/>
                <w:lang w:val="sv-SE" w:eastAsia="en-US"/>
              </w:rPr>
            </w:pPr>
            <w:proofErr w:type="spellStart"/>
            <w:r w:rsidRPr="00107F35">
              <w:rPr>
                <w:rFonts w:asciiTheme="majorHAnsi" w:eastAsia="MS ??" w:hAnsiTheme="majorHAnsi"/>
                <w:sz w:val="24"/>
                <w:szCs w:val="24"/>
                <w:lang w:val="sv-SE" w:eastAsia="en-US"/>
              </w:rPr>
              <w:t>Any</w:t>
            </w:r>
            <w:proofErr w:type="spellEnd"/>
            <w:r w:rsidRPr="00107F35">
              <w:rPr>
                <w:rFonts w:asciiTheme="majorHAnsi" w:eastAsia="MS ??" w:hAnsiTheme="majorHAnsi"/>
                <w:sz w:val="24"/>
                <w:szCs w:val="24"/>
                <w:lang w:val="sv-SE" w:eastAsia="en-US"/>
              </w:rPr>
              <w:t xml:space="preserve"> PDA </w:t>
            </w:r>
            <w:proofErr w:type="spellStart"/>
            <w:r w:rsidRPr="00107F35">
              <w:rPr>
                <w:rFonts w:asciiTheme="majorHAnsi" w:eastAsia="MS ??" w:hAnsiTheme="majorHAnsi"/>
                <w:sz w:val="24"/>
                <w:szCs w:val="24"/>
                <w:lang w:val="sv-SE" w:eastAsia="en-US"/>
              </w:rPr>
              <w:t>treatment</w:t>
            </w:r>
            <w:proofErr w:type="spellEnd"/>
          </w:p>
        </w:tc>
        <w:tc>
          <w:tcPr>
            <w:tcW w:w="357" w:type="pct"/>
            <w:vAlign w:val="center"/>
          </w:tcPr>
          <w:p w14:paraId="57EA4C19"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228</w:t>
            </w:r>
          </w:p>
        </w:tc>
        <w:tc>
          <w:tcPr>
            <w:tcW w:w="623" w:type="pct"/>
            <w:vAlign w:val="center"/>
          </w:tcPr>
          <w:p w14:paraId="52763153"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1.26 (1.06-1.49)</w:t>
            </w:r>
          </w:p>
        </w:tc>
        <w:tc>
          <w:tcPr>
            <w:tcW w:w="367" w:type="pct"/>
            <w:vAlign w:val="center"/>
          </w:tcPr>
          <w:p w14:paraId="1B4F199E"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294</w:t>
            </w:r>
          </w:p>
        </w:tc>
        <w:tc>
          <w:tcPr>
            <w:tcW w:w="719" w:type="pct"/>
            <w:vAlign w:val="center"/>
          </w:tcPr>
          <w:p w14:paraId="44967B6B"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1.34 (1.12-1.61)</w:t>
            </w:r>
          </w:p>
        </w:tc>
        <w:tc>
          <w:tcPr>
            <w:tcW w:w="367" w:type="pct"/>
            <w:vAlign w:val="center"/>
          </w:tcPr>
          <w:p w14:paraId="5C099A7A"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96</w:t>
            </w:r>
          </w:p>
        </w:tc>
        <w:tc>
          <w:tcPr>
            <w:tcW w:w="760" w:type="pct"/>
            <w:vAlign w:val="center"/>
          </w:tcPr>
          <w:p w14:paraId="777815A8" w14:textId="77777777" w:rsidR="004530B6" w:rsidRPr="00107F35" w:rsidRDefault="004530B6" w:rsidP="00034A16">
            <w:pPr>
              <w:spacing w:after="0" w:line="24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2.20 (1.47-3.28)</w:t>
            </w:r>
          </w:p>
        </w:tc>
      </w:tr>
      <w:tr w:rsidR="004530B6" w:rsidRPr="00107F35" w14:paraId="470CAC33" w14:textId="77777777" w:rsidTr="008F75AE">
        <w:trPr>
          <w:trHeight w:val="586"/>
        </w:trPr>
        <w:tc>
          <w:tcPr>
            <w:tcW w:w="5000" w:type="pct"/>
            <w:gridSpan w:val="7"/>
            <w:vAlign w:val="center"/>
          </w:tcPr>
          <w:p w14:paraId="3F15EC07" w14:textId="77777777" w:rsidR="004530B6" w:rsidRPr="00107F35" w:rsidRDefault="004530B6" w:rsidP="00034A16">
            <w:pPr>
              <w:spacing w:after="0" w:line="480" w:lineRule="auto"/>
              <w:rPr>
                <w:rFonts w:asciiTheme="majorHAnsi" w:eastAsia="MS ??" w:hAnsiTheme="majorHAnsi"/>
                <w:b/>
                <w:sz w:val="24"/>
                <w:szCs w:val="24"/>
                <w:lang w:val="en-US" w:eastAsia="en-US"/>
              </w:rPr>
            </w:pPr>
            <w:r w:rsidRPr="00107F35">
              <w:rPr>
                <w:rFonts w:asciiTheme="majorHAnsi" w:eastAsia="MS ??" w:hAnsiTheme="majorHAnsi"/>
                <w:b/>
                <w:sz w:val="24"/>
                <w:szCs w:val="24"/>
                <w:lang w:val="en-US" w:eastAsia="en-US"/>
              </w:rPr>
              <w:t>By type of PDA treatment</w:t>
            </w:r>
          </w:p>
        </w:tc>
      </w:tr>
      <w:tr w:rsidR="00A25DF8" w:rsidRPr="00107F35" w14:paraId="163C02F2" w14:textId="77777777" w:rsidTr="008F75AE">
        <w:trPr>
          <w:trHeight w:val="586"/>
        </w:trPr>
        <w:tc>
          <w:tcPr>
            <w:tcW w:w="1807" w:type="pct"/>
            <w:vAlign w:val="center"/>
          </w:tcPr>
          <w:p w14:paraId="4C36EA55" w14:textId="77777777" w:rsidR="004530B6" w:rsidRPr="00107F35" w:rsidRDefault="004530B6" w:rsidP="00034A16">
            <w:pPr>
              <w:spacing w:after="0" w:line="480" w:lineRule="auto"/>
              <w:rPr>
                <w:rFonts w:asciiTheme="majorHAnsi" w:eastAsia="MS ??" w:hAnsiTheme="majorHAnsi"/>
                <w:sz w:val="24"/>
                <w:szCs w:val="24"/>
                <w:lang w:val="sv-SE" w:eastAsia="en-US"/>
              </w:rPr>
            </w:pPr>
            <w:proofErr w:type="spellStart"/>
            <w:r w:rsidRPr="00107F35">
              <w:rPr>
                <w:rFonts w:asciiTheme="majorHAnsi" w:eastAsia="MS ??" w:hAnsiTheme="majorHAnsi"/>
                <w:sz w:val="24"/>
                <w:szCs w:val="24"/>
                <w:lang w:val="en-US" w:eastAsia="en-US"/>
              </w:rPr>
              <w:t>Pharmacolog</w:t>
            </w:r>
            <w:r w:rsidRPr="00107F35">
              <w:rPr>
                <w:rFonts w:asciiTheme="majorHAnsi" w:eastAsia="MS ??" w:hAnsiTheme="majorHAnsi"/>
                <w:sz w:val="24"/>
                <w:szCs w:val="24"/>
                <w:lang w:val="sv-SE" w:eastAsia="en-US"/>
              </w:rPr>
              <w:t>ical</w:t>
            </w:r>
            <w:proofErr w:type="spellEnd"/>
            <w:r w:rsidRPr="00107F35">
              <w:rPr>
                <w:rFonts w:asciiTheme="majorHAnsi" w:eastAsia="MS ??" w:hAnsiTheme="majorHAnsi"/>
                <w:sz w:val="24"/>
                <w:szCs w:val="24"/>
                <w:lang w:val="sv-SE" w:eastAsia="en-US"/>
              </w:rPr>
              <w:t xml:space="preserve"> </w:t>
            </w:r>
            <w:proofErr w:type="spellStart"/>
            <w:r w:rsidRPr="00107F35">
              <w:rPr>
                <w:rFonts w:asciiTheme="majorHAnsi" w:eastAsia="MS ??" w:hAnsiTheme="majorHAnsi"/>
                <w:sz w:val="24"/>
                <w:szCs w:val="24"/>
                <w:lang w:val="sv-SE" w:eastAsia="en-US"/>
              </w:rPr>
              <w:t>treatment</w:t>
            </w:r>
            <w:proofErr w:type="spellEnd"/>
            <w:r w:rsidRPr="00107F35">
              <w:rPr>
                <w:rFonts w:asciiTheme="majorHAnsi" w:eastAsia="MS ??" w:hAnsiTheme="majorHAnsi"/>
                <w:sz w:val="24"/>
                <w:szCs w:val="24"/>
                <w:lang w:val="sv-SE" w:eastAsia="en-US"/>
              </w:rPr>
              <w:t xml:space="preserve"> </w:t>
            </w:r>
            <w:proofErr w:type="spellStart"/>
            <w:r w:rsidRPr="00107F35">
              <w:rPr>
                <w:rFonts w:asciiTheme="majorHAnsi" w:eastAsia="MS ??" w:hAnsiTheme="majorHAnsi"/>
                <w:sz w:val="24"/>
                <w:szCs w:val="24"/>
                <w:lang w:val="sv-SE" w:eastAsia="en-US"/>
              </w:rPr>
              <w:t>only</w:t>
            </w:r>
            <w:proofErr w:type="spellEnd"/>
          </w:p>
        </w:tc>
        <w:tc>
          <w:tcPr>
            <w:tcW w:w="357" w:type="pct"/>
            <w:vAlign w:val="center"/>
          </w:tcPr>
          <w:p w14:paraId="71C8957E"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166</w:t>
            </w:r>
          </w:p>
        </w:tc>
        <w:tc>
          <w:tcPr>
            <w:tcW w:w="623" w:type="pct"/>
            <w:vAlign w:val="center"/>
          </w:tcPr>
          <w:p w14:paraId="371C0214"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1.21 (0.98-1.50)</w:t>
            </w:r>
          </w:p>
        </w:tc>
        <w:tc>
          <w:tcPr>
            <w:tcW w:w="367" w:type="pct"/>
            <w:vAlign w:val="center"/>
          </w:tcPr>
          <w:p w14:paraId="4888841E"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205</w:t>
            </w:r>
          </w:p>
        </w:tc>
        <w:tc>
          <w:tcPr>
            <w:tcW w:w="719" w:type="pct"/>
            <w:vAlign w:val="center"/>
          </w:tcPr>
          <w:p w14:paraId="38415E59"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1.27 (1.05-1.55)</w:t>
            </w:r>
          </w:p>
        </w:tc>
        <w:tc>
          <w:tcPr>
            <w:tcW w:w="367" w:type="pct"/>
            <w:vAlign w:val="center"/>
          </w:tcPr>
          <w:p w14:paraId="3ECD41F1"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68</w:t>
            </w:r>
          </w:p>
        </w:tc>
        <w:tc>
          <w:tcPr>
            <w:tcW w:w="760" w:type="pct"/>
            <w:vAlign w:val="center"/>
          </w:tcPr>
          <w:p w14:paraId="63678A93"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2.11 (1.40-3.17)</w:t>
            </w:r>
          </w:p>
        </w:tc>
      </w:tr>
      <w:tr w:rsidR="00A25DF8" w:rsidRPr="00107F35" w14:paraId="07E30E4A" w14:textId="77777777" w:rsidTr="008F75AE">
        <w:trPr>
          <w:trHeight w:val="586"/>
        </w:trPr>
        <w:tc>
          <w:tcPr>
            <w:tcW w:w="1807" w:type="pct"/>
            <w:vAlign w:val="center"/>
          </w:tcPr>
          <w:p w14:paraId="1749B3B7" w14:textId="77777777" w:rsidR="004530B6" w:rsidRPr="00107F35" w:rsidRDefault="004530B6" w:rsidP="00034A16">
            <w:pPr>
              <w:spacing w:after="0" w:line="480" w:lineRule="auto"/>
              <w:rPr>
                <w:rFonts w:asciiTheme="majorHAnsi" w:eastAsia="MS ??" w:hAnsiTheme="majorHAnsi"/>
                <w:sz w:val="24"/>
                <w:szCs w:val="24"/>
                <w:lang w:val="sv-SE" w:eastAsia="en-US"/>
              </w:rPr>
            </w:pPr>
            <w:proofErr w:type="spellStart"/>
            <w:r w:rsidRPr="00107F35">
              <w:rPr>
                <w:rFonts w:asciiTheme="majorHAnsi" w:eastAsia="MS ??" w:hAnsiTheme="majorHAnsi"/>
                <w:sz w:val="24"/>
                <w:szCs w:val="24"/>
                <w:lang w:val="sv-SE" w:eastAsia="en-US"/>
              </w:rPr>
              <w:t>Surgery</w:t>
            </w:r>
            <w:proofErr w:type="spellEnd"/>
            <w:r w:rsidRPr="00107F35">
              <w:rPr>
                <w:rFonts w:asciiTheme="majorHAnsi" w:eastAsia="MS ??" w:hAnsiTheme="majorHAnsi"/>
                <w:sz w:val="24"/>
                <w:szCs w:val="24"/>
                <w:lang w:val="sv-SE" w:eastAsia="en-US"/>
              </w:rPr>
              <w:t xml:space="preserve"> </w:t>
            </w:r>
            <w:proofErr w:type="spellStart"/>
            <w:r w:rsidRPr="00107F35">
              <w:rPr>
                <w:rFonts w:asciiTheme="majorHAnsi" w:eastAsia="MS ??" w:hAnsiTheme="majorHAnsi"/>
                <w:sz w:val="24"/>
                <w:szCs w:val="24"/>
                <w:lang w:val="sv-SE" w:eastAsia="en-US"/>
              </w:rPr>
              <w:t>after</w:t>
            </w:r>
            <w:proofErr w:type="spellEnd"/>
            <w:r w:rsidRPr="00107F35">
              <w:rPr>
                <w:rFonts w:asciiTheme="majorHAnsi" w:eastAsia="MS ??" w:hAnsiTheme="majorHAnsi"/>
                <w:sz w:val="24"/>
                <w:szCs w:val="24"/>
                <w:lang w:val="sv-SE" w:eastAsia="en-US"/>
              </w:rPr>
              <w:t xml:space="preserve"> </w:t>
            </w:r>
            <w:proofErr w:type="spellStart"/>
            <w:r w:rsidRPr="00107F35">
              <w:rPr>
                <w:rFonts w:asciiTheme="majorHAnsi" w:eastAsia="MS ??" w:hAnsiTheme="majorHAnsi"/>
                <w:sz w:val="24"/>
                <w:szCs w:val="24"/>
                <w:lang w:val="sv-SE" w:eastAsia="en-US"/>
              </w:rPr>
              <w:t>pharmacological</w:t>
            </w:r>
            <w:proofErr w:type="spellEnd"/>
            <w:r w:rsidRPr="00107F35">
              <w:rPr>
                <w:rFonts w:asciiTheme="majorHAnsi" w:eastAsia="MS ??" w:hAnsiTheme="majorHAnsi"/>
                <w:sz w:val="24"/>
                <w:szCs w:val="24"/>
                <w:lang w:val="sv-SE" w:eastAsia="en-US"/>
              </w:rPr>
              <w:t xml:space="preserve"> </w:t>
            </w:r>
            <w:proofErr w:type="spellStart"/>
            <w:r w:rsidRPr="00107F35">
              <w:rPr>
                <w:rFonts w:asciiTheme="majorHAnsi" w:eastAsia="MS ??" w:hAnsiTheme="majorHAnsi"/>
                <w:sz w:val="24"/>
                <w:szCs w:val="24"/>
                <w:lang w:val="sv-SE" w:eastAsia="en-US"/>
              </w:rPr>
              <w:t>treatment</w:t>
            </w:r>
            <w:proofErr w:type="spellEnd"/>
          </w:p>
        </w:tc>
        <w:tc>
          <w:tcPr>
            <w:tcW w:w="357" w:type="pct"/>
            <w:vAlign w:val="center"/>
          </w:tcPr>
          <w:p w14:paraId="018036FF"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36</w:t>
            </w:r>
          </w:p>
        </w:tc>
        <w:tc>
          <w:tcPr>
            <w:tcW w:w="623" w:type="pct"/>
            <w:vAlign w:val="center"/>
          </w:tcPr>
          <w:p w14:paraId="2ECA7B00"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1.36 (0.94-1.98)</w:t>
            </w:r>
          </w:p>
        </w:tc>
        <w:tc>
          <w:tcPr>
            <w:tcW w:w="367" w:type="pct"/>
            <w:vAlign w:val="center"/>
          </w:tcPr>
          <w:p w14:paraId="28DD88D8"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72</w:t>
            </w:r>
          </w:p>
        </w:tc>
        <w:tc>
          <w:tcPr>
            <w:tcW w:w="719" w:type="pct"/>
            <w:vAlign w:val="center"/>
          </w:tcPr>
          <w:p w14:paraId="55D77D47"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1.51(1.22-</w:t>
            </w:r>
            <w:proofErr w:type="gramStart"/>
            <w:r w:rsidRPr="00107F35">
              <w:rPr>
                <w:rFonts w:asciiTheme="majorHAnsi" w:eastAsia="MS ??" w:hAnsiTheme="majorHAnsi"/>
                <w:sz w:val="24"/>
                <w:szCs w:val="24"/>
                <w:lang w:val="sv-SE" w:eastAsia="en-US"/>
              </w:rPr>
              <w:t>1.86</w:t>
            </w:r>
            <w:proofErr w:type="gramEnd"/>
            <w:r w:rsidRPr="00107F35">
              <w:rPr>
                <w:rFonts w:asciiTheme="majorHAnsi" w:eastAsia="MS ??" w:hAnsiTheme="majorHAnsi"/>
                <w:sz w:val="24"/>
                <w:szCs w:val="24"/>
                <w:lang w:val="sv-SE" w:eastAsia="en-US"/>
              </w:rPr>
              <w:t>)</w:t>
            </w:r>
          </w:p>
        </w:tc>
        <w:tc>
          <w:tcPr>
            <w:tcW w:w="367" w:type="pct"/>
            <w:vAlign w:val="center"/>
          </w:tcPr>
          <w:p w14:paraId="46EDF4D5"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17</w:t>
            </w:r>
          </w:p>
        </w:tc>
        <w:tc>
          <w:tcPr>
            <w:tcW w:w="760" w:type="pct"/>
            <w:vAlign w:val="center"/>
          </w:tcPr>
          <w:p w14:paraId="31D65E0E"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proofErr w:type="gramStart"/>
            <w:r w:rsidRPr="00107F35">
              <w:rPr>
                <w:rFonts w:asciiTheme="majorHAnsi" w:eastAsia="MS ??" w:hAnsiTheme="majorHAnsi"/>
                <w:sz w:val="24"/>
                <w:szCs w:val="24"/>
                <w:lang w:val="sv-SE" w:eastAsia="en-US"/>
              </w:rPr>
              <w:t>2.66</w:t>
            </w:r>
            <w:proofErr w:type="gramEnd"/>
            <w:r w:rsidRPr="00107F35">
              <w:rPr>
                <w:rFonts w:asciiTheme="majorHAnsi" w:eastAsia="MS ??" w:hAnsiTheme="majorHAnsi"/>
                <w:sz w:val="24"/>
                <w:szCs w:val="24"/>
                <w:lang w:val="sv-SE" w:eastAsia="en-US"/>
              </w:rPr>
              <w:t xml:space="preserve"> (1.41-5.02)</w:t>
            </w:r>
          </w:p>
        </w:tc>
      </w:tr>
      <w:tr w:rsidR="00A25DF8" w:rsidRPr="00107F35" w14:paraId="5AC2F255" w14:textId="77777777" w:rsidTr="008F75AE">
        <w:trPr>
          <w:trHeight w:val="586"/>
        </w:trPr>
        <w:tc>
          <w:tcPr>
            <w:tcW w:w="1807" w:type="pct"/>
            <w:vAlign w:val="center"/>
          </w:tcPr>
          <w:p w14:paraId="2CA7E023" w14:textId="77777777" w:rsidR="004530B6" w:rsidRPr="00107F35" w:rsidRDefault="008E09E4" w:rsidP="00D05ADD">
            <w:pPr>
              <w:spacing w:after="0" w:line="480" w:lineRule="auto"/>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S</w:t>
            </w:r>
            <w:r w:rsidR="004530B6" w:rsidRPr="00107F35">
              <w:rPr>
                <w:rFonts w:asciiTheme="majorHAnsi" w:eastAsia="MS ??" w:hAnsiTheme="majorHAnsi"/>
                <w:sz w:val="24"/>
                <w:szCs w:val="24"/>
                <w:lang w:val="en-US" w:eastAsia="en-US"/>
              </w:rPr>
              <w:t>urgery</w:t>
            </w:r>
            <w:r w:rsidRPr="00107F35">
              <w:rPr>
                <w:rFonts w:asciiTheme="majorHAnsi" w:eastAsia="MS ??" w:hAnsiTheme="majorHAnsi"/>
                <w:sz w:val="24"/>
                <w:szCs w:val="24"/>
                <w:lang w:val="en-US" w:eastAsia="en-US"/>
              </w:rPr>
              <w:t xml:space="preserve"> without pr</w:t>
            </w:r>
            <w:r w:rsidR="00D05ADD" w:rsidRPr="00107F35">
              <w:rPr>
                <w:rFonts w:asciiTheme="majorHAnsi" w:eastAsia="MS ??" w:hAnsiTheme="majorHAnsi"/>
                <w:sz w:val="24"/>
                <w:szCs w:val="24"/>
                <w:lang w:val="en-US" w:eastAsia="en-US"/>
              </w:rPr>
              <w:t xml:space="preserve">ior </w:t>
            </w:r>
            <w:r w:rsidRPr="00107F35">
              <w:rPr>
                <w:rFonts w:asciiTheme="majorHAnsi" w:eastAsia="MS ??" w:hAnsiTheme="majorHAnsi"/>
                <w:sz w:val="24"/>
                <w:szCs w:val="24"/>
                <w:lang w:val="en-US" w:eastAsia="en-US"/>
              </w:rPr>
              <w:t>pharmacological treatment</w:t>
            </w:r>
          </w:p>
        </w:tc>
        <w:tc>
          <w:tcPr>
            <w:tcW w:w="357" w:type="pct"/>
            <w:vAlign w:val="center"/>
          </w:tcPr>
          <w:p w14:paraId="3F4E5B7B"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26</w:t>
            </w:r>
          </w:p>
        </w:tc>
        <w:tc>
          <w:tcPr>
            <w:tcW w:w="623" w:type="pct"/>
            <w:vAlign w:val="center"/>
          </w:tcPr>
          <w:p w14:paraId="3C186370"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1.45 (1.20-</w:t>
            </w:r>
            <w:proofErr w:type="gramStart"/>
            <w:r w:rsidRPr="00107F35">
              <w:rPr>
                <w:rFonts w:asciiTheme="majorHAnsi" w:eastAsia="MS ??" w:hAnsiTheme="majorHAnsi"/>
                <w:sz w:val="24"/>
                <w:szCs w:val="24"/>
                <w:lang w:val="sv-SE" w:eastAsia="en-US"/>
              </w:rPr>
              <w:t>1.75</w:t>
            </w:r>
            <w:proofErr w:type="gramEnd"/>
            <w:r w:rsidRPr="00107F35">
              <w:rPr>
                <w:rFonts w:asciiTheme="majorHAnsi" w:eastAsia="MS ??" w:hAnsiTheme="majorHAnsi"/>
                <w:sz w:val="24"/>
                <w:szCs w:val="24"/>
                <w:lang w:val="sv-SE" w:eastAsia="en-US"/>
              </w:rPr>
              <w:t>)</w:t>
            </w:r>
          </w:p>
        </w:tc>
        <w:tc>
          <w:tcPr>
            <w:tcW w:w="367" w:type="pct"/>
            <w:vAlign w:val="center"/>
          </w:tcPr>
          <w:p w14:paraId="0EAB8CCB"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17</w:t>
            </w:r>
          </w:p>
        </w:tc>
        <w:tc>
          <w:tcPr>
            <w:tcW w:w="719" w:type="pct"/>
            <w:vAlign w:val="center"/>
          </w:tcPr>
          <w:p w14:paraId="6644F7B3"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1.79 (1.27-2.53)</w:t>
            </w:r>
          </w:p>
        </w:tc>
        <w:tc>
          <w:tcPr>
            <w:tcW w:w="367" w:type="pct"/>
            <w:vAlign w:val="center"/>
          </w:tcPr>
          <w:p w14:paraId="7EDF7174"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11</w:t>
            </w:r>
          </w:p>
        </w:tc>
        <w:tc>
          <w:tcPr>
            <w:tcW w:w="760" w:type="pct"/>
            <w:vAlign w:val="center"/>
          </w:tcPr>
          <w:p w14:paraId="5D1070C4"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2.76 (1.45-5.24)</w:t>
            </w:r>
          </w:p>
        </w:tc>
      </w:tr>
      <w:tr w:rsidR="008F75AE" w:rsidRPr="00107F35" w14:paraId="7F3AEFF3" w14:textId="77777777" w:rsidTr="008F75AE">
        <w:trPr>
          <w:trHeight w:val="586"/>
        </w:trPr>
        <w:tc>
          <w:tcPr>
            <w:tcW w:w="5000" w:type="pct"/>
            <w:gridSpan w:val="7"/>
            <w:vAlign w:val="center"/>
          </w:tcPr>
          <w:p w14:paraId="03D78CA3" w14:textId="77777777" w:rsidR="008F75AE" w:rsidRPr="00107F35" w:rsidRDefault="008F75AE" w:rsidP="008F75AE">
            <w:pPr>
              <w:spacing w:after="0" w:line="480" w:lineRule="auto"/>
              <w:rPr>
                <w:rFonts w:asciiTheme="majorHAnsi" w:eastAsia="MS ??" w:hAnsiTheme="majorHAnsi"/>
                <w:b/>
                <w:sz w:val="24"/>
                <w:szCs w:val="24"/>
                <w:lang w:val="en-US" w:eastAsia="en-US"/>
              </w:rPr>
            </w:pPr>
            <w:r w:rsidRPr="00107F35">
              <w:rPr>
                <w:rFonts w:asciiTheme="majorHAnsi" w:eastAsia="MS ??" w:hAnsiTheme="majorHAnsi"/>
                <w:b/>
                <w:sz w:val="24"/>
                <w:szCs w:val="24"/>
                <w:lang w:val="en-US" w:eastAsia="en-US"/>
              </w:rPr>
              <w:t>SURVIVAL WITHOUT MAJOR NEONATAL MORBIDITY</w:t>
            </w:r>
            <w:r w:rsidRPr="00107F35">
              <w:rPr>
                <w:rFonts w:asciiTheme="majorHAnsi" w:eastAsia="MS ??" w:hAnsiTheme="majorHAnsi"/>
                <w:b/>
                <w:sz w:val="24"/>
                <w:szCs w:val="24"/>
                <w:vertAlign w:val="superscript"/>
                <w:lang w:val="en-US" w:eastAsia="en-US"/>
              </w:rPr>
              <w:t>2</w:t>
            </w:r>
          </w:p>
        </w:tc>
      </w:tr>
      <w:tr w:rsidR="00A25DF8" w:rsidRPr="00107F35" w14:paraId="52316E1C" w14:textId="77777777" w:rsidTr="008F75AE">
        <w:trPr>
          <w:trHeight w:val="586"/>
        </w:trPr>
        <w:tc>
          <w:tcPr>
            <w:tcW w:w="1807" w:type="pct"/>
            <w:vAlign w:val="center"/>
          </w:tcPr>
          <w:p w14:paraId="131439F6" w14:textId="77777777" w:rsidR="004530B6" w:rsidRPr="00107F35" w:rsidRDefault="004530B6" w:rsidP="00034A16">
            <w:pPr>
              <w:spacing w:after="0" w:line="480" w:lineRule="auto"/>
              <w:rPr>
                <w:rFonts w:asciiTheme="majorHAnsi" w:eastAsia="MS ??" w:hAnsiTheme="majorHAnsi"/>
                <w:b/>
                <w:sz w:val="24"/>
                <w:szCs w:val="24"/>
                <w:lang w:val="en-US" w:eastAsia="en-US"/>
              </w:rPr>
            </w:pPr>
            <w:r w:rsidRPr="00107F35">
              <w:rPr>
                <w:rFonts w:asciiTheme="majorHAnsi" w:eastAsia="MS ??" w:hAnsiTheme="majorHAnsi"/>
                <w:sz w:val="24"/>
                <w:szCs w:val="24"/>
                <w:lang w:val="en-US" w:eastAsia="en-US"/>
              </w:rPr>
              <w:t>No PDA treatment</w:t>
            </w:r>
          </w:p>
        </w:tc>
        <w:tc>
          <w:tcPr>
            <w:tcW w:w="357" w:type="pct"/>
            <w:vAlign w:val="center"/>
          </w:tcPr>
          <w:p w14:paraId="0A004F70"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2091</w:t>
            </w:r>
          </w:p>
        </w:tc>
        <w:tc>
          <w:tcPr>
            <w:tcW w:w="623" w:type="pct"/>
            <w:vAlign w:val="center"/>
          </w:tcPr>
          <w:p w14:paraId="48F43096"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1.00 (ref)</w:t>
            </w:r>
          </w:p>
        </w:tc>
        <w:tc>
          <w:tcPr>
            <w:tcW w:w="367" w:type="pct"/>
            <w:vAlign w:val="center"/>
          </w:tcPr>
          <w:p w14:paraId="5AF8CD79"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2321</w:t>
            </w:r>
          </w:p>
        </w:tc>
        <w:tc>
          <w:tcPr>
            <w:tcW w:w="719" w:type="pct"/>
            <w:vAlign w:val="center"/>
          </w:tcPr>
          <w:p w14:paraId="15EF72C7"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1.00 (ref)</w:t>
            </w:r>
          </w:p>
        </w:tc>
        <w:tc>
          <w:tcPr>
            <w:tcW w:w="367" w:type="pct"/>
            <w:vAlign w:val="center"/>
          </w:tcPr>
          <w:p w14:paraId="1E12EB47"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349</w:t>
            </w:r>
          </w:p>
        </w:tc>
        <w:tc>
          <w:tcPr>
            <w:tcW w:w="760" w:type="pct"/>
            <w:vAlign w:val="center"/>
          </w:tcPr>
          <w:p w14:paraId="56D8B1FF"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en-US" w:eastAsia="en-US"/>
              </w:rPr>
              <w:t>1.00 (re</w:t>
            </w:r>
            <w:r w:rsidRPr="00107F35">
              <w:rPr>
                <w:rFonts w:asciiTheme="majorHAnsi" w:eastAsia="MS ??" w:hAnsiTheme="majorHAnsi"/>
                <w:sz w:val="24"/>
                <w:szCs w:val="24"/>
                <w:lang w:val="sv-SE" w:eastAsia="en-US"/>
              </w:rPr>
              <w:t>f)</w:t>
            </w:r>
          </w:p>
        </w:tc>
      </w:tr>
      <w:tr w:rsidR="00A25DF8" w:rsidRPr="00107F35" w14:paraId="2BEED0BC" w14:textId="77777777" w:rsidTr="008F75AE">
        <w:trPr>
          <w:trHeight w:val="586"/>
        </w:trPr>
        <w:tc>
          <w:tcPr>
            <w:tcW w:w="1807" w:type="pct"/>
            <w:vAlign w:val="center"/>
          </w:tcPr>
          <w:p w14:paraId="4D5A0648" w14:textId="77777777" w:rsidR="004530B6" w:rsidRPr="00107F35" w:rsidRDefault="004530B6" w:rsidP="00034A16">
            <w:pPr>
              <w:spacing w:after="0" w:line="480" w:lineRule="auto"/>
              <w:rPr>
                <w:rFonts w:asciiTheme="majorHAnsi" w:eastAsia="MS ??" w:hAnsiTheme="majorHAnsi"/>
                <w:sz w:val="24"/>
                <w:szCs w:val="24"/>
                <w:lang w:val="sv-SE" w:eastAsia="en-US"/>
              </w:rPr>
            </w:pPr>
            <w:proofErr w:type="spellStart"/>
            <w:r w:rsidRPr="00107F35">
              <w:rPr>
                <w:rFonts w:asciiTheme="majorHAnsi" w:eastAsia="MS ??" w:hAnsiTheme="majorHAnsi"/>
                <w:sz w:val="24"/>
                <w:szCs w:val="24"/>
                <w:lang w:val="sv-SE" w:eastAsia="en-US"/>
              </w:rPr>
              <w:t>Any</w:t>
            </w:r>
            <w:proofErr w:type="spellEnd"/>
            <w:r w:rsidRPr="00107F35">
              <w:rPr>
                <w:rFonts w:asciiTheme="majorHAnsi" w:eastAsia="MS ??" w:hAnsiTheme="majorHAnsi"/>
                <w:sz w:val="24"/>
                <w:szCs w:val="24"/>
                <w:lang w:val="sv-SE" w:eastAsia="en-US"/>
              </w:rPr>
              <w:t xml:space="preserve"> PDA </w:t>
            </w:r>
            <w:proofErr w:type="spellStart"/>
            <w:r w:rsidRPr="00107F35">
              <w:rPr>
                <w:rFonts w:asciiTheme="majorHAnsi" w:eastAsia="MS ??" w:hAnsiTheme="majorHAnsi"/>
                <w:sz w:val="24"/>
                <w:szCs w:val="24"/>
                <w:lang w:val="sv-SE" w:eastAsia="en-US"/>
              </w:rPr>
              <w:t>treatment</w:t>
            </w:r>
            <w:proofErr w:type="spellEnd"/>
          </w:p>
        </w:tc>
        <w:tc>
          <w:tcPr>
            <w:tcW w:w="357" w:type="pct"/>
            <w:vAlign w:val="center"/>
          </w:tcPr>
          <w:p w14:paraId="11AFD765"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223</w:t>
            </w:r>
          </w:p>
        </w:tc>
        <w:tc>
          <w:tcPr>
            <w:tcW w:w="623" w:type="pct"/>
            <w:vAlign w:val="center"/>
          </w:tcPr>
          <w:p w14:paraId="21E6EC00"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1.03 (0.94-1.13)</w:t>
            </w:r>
          </w:p>
        </w:tc>
        <w:tc>
          <w:tcPr>
            <w:tcW w:w="367" w:type="pct"/>
            <w:vAlign w:val="center"/>
          </w:tcPr>
          <w:p w14:paraId="32F87938"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522</w:t>
            </w:r>
          </w:p>
        </w:tc>
        <w:tc>
          <w:tcPr>
            <w:tcW w:w="719" w:type="pct"/>
            <w:vAlign w:val="center"/>
          </w:tcPr>
          <w:p w14:paraId="014F1C2F" w14:textId="77777777" w:rsidR="004530B6" w:rsidRPr="00107F35" w:rsidRDefault="004530B6" w:rsidP="00034A16">
            <w:pPr>
              <w:spacing w:after="0" w:line="480" w:lineRule="auto"/>
              <w:jc w:val="center"/>
              <w:rPr>
                <w:rFonts w:asciiTheme="majorHAnsi" w:eastAsia="MS ??" w:hAnsiTheme="majorHAnsi"/>
                <w:sz w:val="24"/>
                <w:szCs w:val="24"/>
                <w:lang w:val="sv-SE" w:eastAsia="en-US"/>
              </w:rPr>
            </w:pPr>
            <w:r w:rsidRPr="00107F35">
              <w:rPr>
                <w:rFonts w:asciiTheme="majorHAnsi" w:eastAsia="MS ??" w:hAnsiTheme="majorHAnsi"/>
                <w:sz w:val="24"/>
                <w:szCs w:val="24"/>
                <w:lang w:val="sv-SE" w:eastAsia="en-US"/>
              </w:rPr>
              <w:t>1.03 (0.96-1.10)</w:t>
            </w:r>
          </w:p>
        </w:tc>
        <w:tc>
          <w:tcPr>
            <w:tcW w:w="367" w:type="pct"/>
            <w:vAlign w:val="center"/>
          </w:tcPr>
          <w:p w14:paraId="52F8EB73"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165</w:t>
            </w:r>
          </w:p>
        </w:tc>
        <w:tc>
          <w:tcPr>
            <w:tcW w:w="760" w:type="pct"/>
            <w:vAlign w:val="center"/>
          </w:tcPr>
          <w:p w14:paraId="326D7358" w14:textId="77777777" w:rsidR="004530B6" w:rsidRPr="00107F35" w:rsidRDefault="004530B6" w:rsidP="00034A16">
            <w:pPr>
              <w:spacing w:after="0" w:line="480" w:lineRule="auto"/>
              <w:jc w:val="center"/>
              <w:rPr>
                <w:rFonts w:asciiTheme="majorHAnsi" w:eastAsia="MS ??" w:hAnsiTheme="majorHAnsi"/>
                <w:sz w:val="24"/>
                <w:szCs w:val="24"/>
                <w:lang w:val="en-US" w:eastAsia="en-US"/>
              </w:rPr>
            </w:pPr>
            <w:r w:rsidRPr="00107F35">
              <w:rPr>
                <w:rFonts w:asciiTheme="majorHAnsi" w:eastAsia="MS ??" w:hAnsiTheme="majorHAnsi"/>
                <w:sz w:val="24"/>
                <w:szCs w:val="24"/>
                <w:lang w:val="en-US" w:eastAsia="en-US"/>
              </w:rPr>
              <w:t>0.98 (0.88-1.09)</w:t>
            </w:r>
          </w:p>
        </w:tc>
      </w:tr>
    </w:tbl>
    <w:p w14:paraId="03CA8701" w14:textId="77777777" w:rsidR="004530B6" w:rsidRPr="00107F35" w:rsidRDefault="004530B6" w:rsidP="004530B6">
      <w:pPr>
        <w:spacing w:line="480" w:lineRule="auto"/>
        <w:rPr>
          <w:rFonts w:asciiTheme="minorHAnsi" w:eastAsia="MS ??" w:hAnsiTheme="minorHAnsi" w:cs="Arial"/>
          <w:sz w:val="24"/>
          <w:szCs w:val="24"/>
          <w:lang w:val="en-US" w:eastAsia="en-US"/>
        </w:rPr>
      </w:pPr>
      <w:r w:rsidRPr="00107F35">
        <w:rPr>
          <w:rFonts w:asciiTheme="minorHAnsi" w:hAnsiTheme="minorHAnsi" w:cs="Arial"/>
          <w:sz w:val="24"/>
          <w:szCs w:val="24"/>
          <w:lang w:val="en-US"/>
        </w:rPr>
        <w:lastRenderedPageBreak/>
        <w:t>1. Any oxygen treatment at 36 weeks of postmenstrual age (PMA)</w:t>
      </w:r>
      <w:r w:rsidRPr="00107F35">
        <w:rPr>
          <w:rFonts w:asciiTheme="minorHAnsi" w:eastAsia="MS ??" w:hAnsiTheme="minorHAnsi" w:cs="Arial"/>
          <w:sz w:val="24"/>
          <w:szCs w:val="24"/>
          <w:lang w:val="en-US" w:eastAsia="en-US"/>
        </w:rPr>
        <w:t xml:space="preserve"> or death before 36 weeks PMA. </w:t>
      </w:r>
    </w:p>
    <w:p w14:paraId="0BA9E884" w14:textId="77777777" w:rsidR="004530B6" w:rsidRPr="00107F35" w:rsidRDefault="004530B6" w:rsidP="004530B6">
      <w:pPr>
        <w:spacing w:line="480" w:lineRule="auto"/>
        <w:rPr>
          <w:rFonts w:asciiTheme="minorHAnsi" w:hAnsiTheme="minorHAnsi" w:cs="Arial"/>
          <w:sz w:val="24"/>
          <w:szCs w:val="24"/>
          <w:lang w:val="en-US"/>
        </w:rPr>
      </w:pPr>
      <w:r w:rsidRPr="00107F35">
        <w:rPr>
          <w:rFonts w:asciiTheme="minorHAnsi" w:hAnsiTheme="minorHAnsi" w:cs="Arial"/>
          <w:sz w:val="24"/>
          <w:szCs w:val="24"/>
          <w:lang w:val="en-US"/>
        </w:rPr>
        <w:t>2. Survival to hospital discharge without intra-ventricular hemorrhage (IVH) grade≥3, cystic periventricular leukomalacia (</w:t>
      </w:r>
      <w:proofErr w:type="spellStart"/>
      <w:r w:rsidRPr="00107F35">
        <w:rPr>
          <w:rFonts w:asciiTheme="minorHAnsi" w:hAnsiTheme="minorHAnsi" w:cs="Arial"/>
          <w:sz w:val="24"/>
          <w:szCs w:val="24"/>
          <w:lang w:val="en-US"/>
        </w:rPr>
        <w:t>cPVL</w:t>
      </w:r>
      <w:proofErr w:type="spellEnd"/>
      <w:r w:rsidRPr="00107F35">
        <w:rPr>
          <w:rFonts w:asciiTheme="minorHAnsi" w:hAnsiTheme="minorHAnsi" w:cs="Arial"/>
          <w:sz w:val="24"/>
          <w:szCs w:val="24"/>
          <w:lang w:val="en-US"/>
        </w:rPr>
        <w:t>)</w:t>
      </w:r>
      <w:r w:rsidRPr="00107F35" w:rsidDel="0054680F">
        <w:rPr>
          <w:rFonts w:asciiTheme="minorHAnsi" w:hAnsiTheme="minorHAnsi" w:cs="Arial"/>
          <w:sz w:val="24"/>
          <w:szCs w:val="24"/>
          <w:lang w:val="en-US"/>
        </w:rPr>
        <w:t xml:space="preserve">, </w:t>
      </w:r>
      <w:r w:rsidRPr="00107F35">
        <w:rPr>
          <w:rFonts w:asciiTheme="minorHAnsi" w:hAnsiTheme="minorHAnsi" w:cs="Arial"/>
          <w:sz w:val="24"/>
          <w:szCs w:val="24"/>
          <w:lang w:val="en-US"/>
        </w:rPr>
        <w:t>retinopathy of prematurity (</w:t>
      </w:r>
      <w:r w:rsidRPr="00107F35" w:rsidDel="0054680F">
        <w:rPr>
          <w:rFonts w:asciiTheme="minorHAnsi" w:hAnsiTheme="minorHAnsi" w:cs="Arial"/>
          <w:sz w:val="24"/>
          <w:szCs w:val="24"/>
          <w:lang w:val="en-US"/>
        </w:rPr>
        <w:t>ROP</w:t>
      </w:r>
      <w:r w:rsidRPr="00107F35">
        <w:rPr>
          <w:rFonts w:asciiTheme="minorHAnsi" w:hAnsiTheme="minorHAnsi" w:cs="Arial"/>
          <w:sz w:val="24"/>
          <w:szCs w:val="24"/>
          <w:lang w:val="en-US"/>
        </w:rPr>
        <w:t xml:space="preserve">) stage ≥3, surgical NEC. </w:t>
      </w:r>
      <w:r w:rsidR="008F75AE" w:rsidRPr="00107F35">
        <w:rPr>
          <w:rFonts w:asciiTheme="minorHAnsi" w:hAnsiTheme="minorHAnsi" w:cs="Arial"/>
          <w:sz w:val="24"/>
          <w:szCs w:val="24"/>
          <w:lang w:val="en-US"/>
        </w:rPr>
        <w:t xml:space="preserve">Total N=6,335 survivors. </w:t>
      </w:r>
    </w:p>
    <w:p w14:paraId="1049B772" w14:textId="77777777" w:rsidR="004530B6" w:rsidRPr="0051424C" w:rsidRDefault="008F75AE" w:rsidP="004530B6">
      <w:pPr>
        <w:spacing w:line="480" w:lineRule="auto"/>
        <w:rPr>
          <w:rFonts w:asciiTheme="minorHAnsi" w:hAnsiTheme="minorHAnsi" w:cs="Arial"/>
          <w:sz w:val="24"/>
          <w:szCs w:val="24"/>
          <w:lang w:val="en-US" w:eastAsia="fr-FR"/>
        </w:rPr>
      </w:pPr>
      <w:r w:rsidRPr="00107F35">
        <w:rPr>
          <w:rFonts w:asciiTheme="minorHAnsi" w:hAnsiTheme="minorHAnsi" w:cs="Arial"/>
          <w:sz w:val="24"/>
          <w:szCs w:val="24"/>
          <w:lang w:val="en-US"/>
        </w:rPr>
        <w:t>3</w:t>
      </w:r>
      <w:r w:rsidR="004530B6" w:rsidRPr="00107F35">
        <w:rPr>
          <w:rFonts w:asciiTheme="minorHAnsi" w:hAnsiTheme="minorHAnsi" w:cs="Arial"/>
          <w:sz w:val="24"/>
          <w:szCs w:val="24"/>
          <w:lang w:val="en-US"/>
        </w:rPr>
        <w:t xml:space="preserve">. Results from a generalized linear mixed model adjusted for propensity score for PDA treatment.  </w:t>
      </w:r>
      <w:r w:rsidR="003E7D1E" w:rsidRPr="00107F35">
        <w:rPr>
          <w:rFonts w:cs="Arial"/>
          <w:sz w:val="24"/>
          <w:szCs w:val="24"/>
          <w:lang w:val="en-US"/>
        </w:rPr>
        <w:t xml:space="preserve">The propensity score for PDA treatment, i.e., a single index variable summarizing the pre-treatment perinatal characteristics, </w:t>
      </w:r>
      <w:r w:rsidR="003E7D1E" w:rsidRPr="00107F35">
        <w:rPr>
          <w:rFonts w:cs="Arial"/>
          <w:sz w:val="24"/>
          <w:szCs w:val="24"/>
          <w:lang w:val="en-US" w:eastAsia="fr-FR"/>
        </w:rPr>
        <w:t>was estimated from presence of preeclampsia/eclampsia, spontaneous onset of labor, preterm premature rupture of membranes (</w:t>
      </w:r>
      <w:proofErr w:type="spellStart"/>
      <w:r w:rsidR="003E7D1E" w:rsidRPr="00107F35">
        <w:rPr>
          <w:rFonts w:cs="Arial"/>
          <w:sz w:val="24"/>
          <w:szCs w:val="24"/>
          <w:lang w:val="en-US" w:eastAsia="fr-FR"/>
        </w:rPr>
        <w:t>pPROM</w:t>
      </w:r>
      <w:proofErr w:type="spellEnd"/>
      <w:r w:rsidR="003E7D1E" w:rsidRPr="00107F35">
        <w:rPr>
          <w:rFonts w:cs="Arial"/>
          <w:sz w:val="24"/>
          <w:szCs w:val="24"/>
          <w:lang w:val="en-US" w:eastAsia="fr-FR"/>
        </w:rPr>
        <w:t>), maternal infection as indication for delivery, antenatal corticosteroid treatment, mode of delivery, gestational age, birth weight, infant sex, small for gestational age and use of mechanical ventilation on first day of life.</w:t>
      </w:r>
      <w:bookmarkStart w:id="0" w:name="_GoBack"/>
      <w:bookmarkEnd w:id="0"/>
    </w:p>
    <w:p w14:paraId="770F3952" w14:textId="77777777" w:rsidR="00C67E2E" w:rsidRPr="0051424C" w:rsidRDefault="00C67E2E">
      <w:pPr>
        <w:rPr>
          <w:lang w:val="en-US"/>
        </w:rPr>
      </w:pPr>
    </w:p>
    <w:sectPr w:rsidR="00C67E2E" w:rsidRPr="0051424C" w:rsidSect="004530B6">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EFF" w:usb1="C000605B" w:usb2="00000029" w:usb3="00000000" w:csb0="000101FF" w:csb1="00000000"/>
  </w:font>
  <w:font w:name="Calibri Light">
    <w:panose1 w:val="020F0302020204030204"/>
    <w:charset w:val="00"/>
    <w:family w:val="auto"/>
    <w:pitch w:val="variable"/>
    <w:sig w:usb0="A00002EF" w:usb1="4000207B" w:usb2="00000000"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0B6"/>
    <w:rsid w:val="00014D93"/>
    <w:rsid w:val="000169AF"/>
    <w:rsid w:val="00021AAD"/>
    <w:rsid w:val="000220F3"/>
    <w:rsid w:val="00031303"/>
    <w:rsid w:val="00032B5B"/>
    <w:rsid w:val="00036E8A"/>
    <w:rsid w:val="000412C8"/>
    <w:rsid w:val="00052B9A"/>
    <w:rsid w:val="00064801"/>
    <w:rsid w:val="00071A23"/>
    <w:rsid w:val="00074408"/>
    <w:rsid w:val="000744C7"/>
    <w:rsid w:val="00076889"/>
    <w:rsid w:val="0007762A"/>
    <w:rsid w:val="0008163A"/>
    <w:rsid w:val="00091733"/>
    <w:rsid w:val="00097B9A"/>
    <w:rsid w:val="00097E60"/>
    <w:rsid w:val="000A0D4A"/>
    <w:rsid w:val="000A0F27"/>
    <w:rsid w:val="000A200D"/>
    <w:rsid w:val="000A7077"/>
    <w:rsid w:val="000A71B6"/>
    <w:rsid w:val="000B3B1F"/>
    <w:rsid w:val="000D2A30"/>
    <w:rsid w:val="000D5304"/>
    <w:rsid w:val="000D79A4"/>
    <w:rsid w:val="000E7EF2"/>
    <w:rsid w:val="000F11D5"/>
    <w:rsid w:val="000F7C79"/>
    <w:rsid w:val="00106690"/>
    <w:rsid w:val="00107F35"/>
    <w:rsid w:val="00112099"/>
    <w:rsid w:val="00121CC1"/>
    <w:rsid w:val="0013015C"/>
    <w:rsid w:val="00137FD4"/>
    <w:rsid w:val="00143652"/>
    <w:rsid w:val="0015470C"/>
    <w:rsid w:val="00157AE6"/>
    <w:rsid w:val="0016130D"/>
    <w:rsid w:val="00170FEC"/>
    <w:rsid w:val="00184659"/>
    <w:rsid w:val="001A293B"/>
    <w:rsid w:val="001A430B"/>
    <w:rsid w:val="001C0F5D"/>
    <w:rsid w:val="001C3005"/>
    <w:rsid w:val="001C40D7"/>
    <w:rsid w:val="001D516C"/>
    <w:rsid w:val="001D522F"/>
    <w:rsid w:val="001D6C2A"/>
    <w:rsid w:val="001E3E41"/>
    <w:rsid w:val="001E45BA"/>
    <w:rsid w:val="001E61E4"/>
    <w:rsid w:val="001E746A"/>
    <w:rsid w:val="001F0C31"/>
    <w:rsid w:val="001F1852"/>
    <w:rsid w:val="001F1D4F"/>
    <w:rsid w:val="001F3CC8"/>
    <w:rsid w:val="001F4AD7"/>
    <w:rsid w:val="001F5A3F"/>
    <w:rsid w:val="00200627"/>
    <w:rsid w:val="00205055"/>
    <w:rsid w:val="002067C3"/>
    <w:rsid w:val="00206A01"/>
    <w:rsid w:val="00224350"/>
    <w:rsid w:val="00232F15"/>
    <w:rsid w:val="002333BF"/>
    <w:rsid w:val="00244784"/>
    <w:rsid w:val="00246E6E"/>
    <w:rsid w:val="002578C4"/>
    <w:rsid w:val="00272EA0"/>
    <w:rsid w:val="00273621"/>
    <w:rsid w:val="0027560A"/>
    <w:rsid w:val="0027640A"/>
    <w:rsid w:val="00282295"/>
    <w:rsid w:val="0028281D"/>
    <w:rsid w:val="00284E1D"/>
    <w:rsid w:val="00286496"/>
    <w:rsid w:val="00291363"/>
    <w:rsid w:val="002A7102"/>
    <w:rsid w:val="002A7894"/>
    <w:rsid w:val="002A7EA2"/>
    <w:rsid w:val="002C0B35"/>
    <w:rsid w:val="002D7005"/>
    <w:rsid w:val="002F19AE"/>
    <w:rsid w:val="002F2A59"/>
    <w:rsid w:val="00302DEA"/>
    <w:rsid w:val="003078F1"/>
    <w:rsid w:val="00320844"/>
    <w:rsid w:val="00321513"/>
    <w:rsid w:val="0033645B"/>
    <w:rsid w:val="003444CF"/>
    <w:rsid w:val="0034575F"/>
    <w:rsid w:val="00347E8B"/>
    <w:rsid w:val="00350D4F"/>
    <w:rsid w:val="00350DAD"/>
    <w:rsid w:val="00354456"/>
    <w:rsid w:val="003557A2"/>
    <w:rsid w:val="00357019"/>
    <w:rsid w:val="0035789F"/>
    <w:rsid w:val="0036069A"/>
    <w:rsid w:val="00362BB6"/>
    <w:rsid w:val="00365160"/>
    <w:rsid w:val="00366E0D"/>
    <w:rsid w:val="00376DED"/>
    <w:rsid w:val="003826AF"/>
    <w:rsid w:val="003834AE"/>
    <w:rsid w:val="00383833"/>
    <w:rsid w:val="00391F8B"/>
    <w:rsid w:val="003948AB"/>
    <w:rsid w:val="003A0F8C"/>
    <w:rsid w:val="003A6DED"/>
    <w:rsid w:val="003A6EB8"/>
    <w:rsid w:val="003B46AF"/>
    <w:rsid w:val="003B502B"/>
    <w:rsid w:val="003C1EC5"/>
    <w:rsid w:val="003C1EF4"/>
    <w:rsid w:val="003C35C1"/>
    <w:rsid w:val="003D1B58"/>
    <w:rsid w:val="003D2313"/>
    <w:rsid w:val="003D4D7E"/>
    <w:rsid w:val="003D6B66"/>
    <w:rsid w:val="003E7D1E"/>
    <w:rsid w:val="004213FD"/>
    <w:rsid w:val="0042192A"/>
    <w:rsid w:val="0043591E"/>
    <w:rsid w:val="00442514"/>
    <w:rsid w:val="0044307A"/>
    <w:rsid w:val="00444640"/>
    <w:rsid w:val="00452E8D"/>
    <w:rsid w:val="004530B6"/>
    <w:rsid w:val="004654EF"/>
    <w:rsid w:val="00466805"/>
    <w:rsid w:val="00467797"/>
    <w:rsid w:val="004707A5"/>
    <w:rsid w:val="004714B7"/>
    <w:rsid w:val="0047356B"/>
    <w:rsid w:val="004754F0"/>
    <w:rsid w:val="004760F1"/>
    <w:rsid w:val="004763F5"/>
    <w:rsid w:val="00480372"/>
    <w:rsid w:val="00484A30"/>
    <w:rsid w:val="004852CD"/>
    <w:rsid w:val="004904D2"/>
    <w:rsid w:val="00490F28"/>
    <w:rsid w:val="0049289E"/>
    <w:rsid w:val="004A12D7"/>
    <w:rsid w:val="004A4573"/>
    <w:rsid w:val="004B35CE"/>
    <w:rsid w:val="004C1918"/>
    <w:rsid w:val="004C3766"/>
    <w:rsid w:val="004C379B"/>
    <w:rsid w:val="004C49C9"/>
    <w:rsid w:val="004C58DB"/>
    <w:rsid w:val="004C7105"/>
    <w:rsid w:val="004D2A7F"/>
    <w:rsid w:val="004D6213"/>
    <w:rsid w:val="004F3C94"/>
    <w:rsid w:val="004F4850"/>
    <w:rsid w:val="004F75CE"/>
    <w:rsid w:val="00502A20"/>
    <w:rsid w:val="00503AB0"/>
    <w:rsid w:val="00512570"/>
    <w:rsid w:val="0051424C"/>
    <w:rsid w:val="0051673B"/>
    <w:rsid w:val="00521DE2"/>
    <w:rsid w:val="00522BEF"/>
    <w:rsid w:val="00525EEF"/>
    <w:rsid w:val="00526836"/>
    <w:rsid w:val="00531A2A"/>
    <w:rsid w:val="0053312A"/>
    <w:rsid w:val="00534E15"/>
    <w:rsid w:val="005436B9"/>
    <w:rsid w:val="005459D4"/>
    <w:rsid w:val="00552C48"/>
    <w:rsid w:val="00562D59"/>
    <w:rsid w:val="0056581A"/>
    <w:rsid w:val="00566F81"/>
    <w:rsid w:val="00567EAA"/>
    <w:rsid w:val="00573B4D"/>
    <w:rsid w:val="00573F5C"/>
    <w:rsid w:val="00574C62"/>
    <w:rsid w:val="00576B46"/>
    <w:rsid w:val="00580221"/>
    <w:rsid w:val="0058065B"/>
    <w:rsid w:val="005824C6"/>
    <w:rsid w:val="00591579"/>
    <w:rsid w:val="005A081C"/>
    <w:rsid w:val="005A38F9"/>
    <w:rsid w:val="005A4FC6"/>
    <w:rsid w:val="005B0443"/>
    <w:rsid w:val="005B0B6E"/>
    <w:rsid w:val="005B0FFC"/>
    <w:rsid w:val="005B1A78"/>
    <w:rsid w:val="005B4EB6"/>
    <w:rsid w:val="005C7A2E"/>
    <w:rsid w:val="005C7FB3"/>
    <w:rsid w:val="005D0BD5"/>
    <w:rsid w:val="005D4BBB"/>
    <w:rsid w:val="005D561C"/>
    <w:rsid w:val="005E4281"/>
    <w:rsid w:val="005E560C"/>
    <w:rsid w:val="005F0C8F"/>
    <w:rsid w:val="005F4E74"/>
    <w:rsid w:val="005F66ED"/>
    <w:rsid w:val="005F7503"/>
    <w:rsid w:val="00601B15"/>
    <w:rsid w:val="00612D3A"/>
    <w:rsid w:val="006137BD"/>
    <w:rsid w:val="00621198"/>
    <w:rsid w:val="00621AF4"/>
    <w:rsid w:val="00622BC8"/>
    <w:rsid w:val="00632D45"/>
    <w:rsid w:val="00634E3B"/>
    <w:rsid w:val="00640445"/>
    <w:rsid w:val="00646CC7"/>
    <w:rsid w:val="0065710C"/>
    <w:rsid w:val="006666FA"/>
    <w:rsid w:val="00667F7B"/>
    <w:rsid w:val="0067037B"/>
    <w:rsid w:val="0067327A"/>
    <w:rsid w:val="0067607F"/>
    <w:rsid w:val="00680ED8"/>
    <w:rsid w:val="006854D8"/>
    <w:rsid w:val="00686749"/>
    <w:rsid w:val="006878D2"/>
    <w:rsid w:val="006A345B"/>
    <w:rsid w:val="006A6747"/>
    <w:rsid w:val="006A7136"/>
    <w:rsid w:val="006A7460"/>
    <w:rsid w:val="006B2464"/>
    <w:rsid w:val="006B4508"/>
    <w:rsid w:val="006B713B"/>
    <w:rsid w:val="006C1A0C"/>
    <w:rsid w:val="006C3901"/>
    <w:rsid w:val="006D15DD"/>
    <w:rsid w:val="006D16A7"/>
    <w:rsid w:val="006D2329"/>
    <w:rsid w:val="006D369F"/>
    <w:rsid w:val="006D5610"/>
    <w:rsid w:val="006E0500"/>
    <w:rsid w:val="006E0D7B"/>
    <w:rsid w:val="006E174B"/>
    <w:rsid w:val="006E1C13"/>
    <w:rsid w:val="006F0F9B"/>
    <w:rsid w:val="0070047E"/>
    <w:rsid w:val="00705AF6"/>
    <w:rsid w:val="007065C9"/>
    <w:rsid w:val="00707342"/>
    <w:rsid w:val="00711611"/>
    <w:rsid w:val="00726735"/>
    <w:rsid w:val="007314F5"/>
    <w:rsid w:val="007325EB"/>
    <w:rsid w:val="0073375A"/>
    <w:rsid w:val="00737958"/>
    <w:rsid w:val="00740A56"/>
    <w:rsid w:val="00742C8A"/>
    <w:rsid w:val="00766FDA"/>
    <w:rsid w:val="00771D04"/>
    <w:rsid w:val="007723D2"/>
    <w:rsid w:val="007803FB"/>
    <w:rsid w:val="00785F26"/>
    <w:rsid w:val="00786779"/>
    <w:rsid w:val="007940BB"/>
    <w:rsid w:val="0079544C"/>
    <w:rsid w:val="00795DF7"/>
    <w:rsid w:val="007976CC"/>
    <w:rsid w:val="007A0B9D"/>
    <w:rsid w:val="007A4E3F"/>
    <w:rsid w:val="007A5110"/>
    <w:rsid w:val="007A5E0D"/>
    <w:rsid w:val="007B1B54"/>
    <w:rsid w:val="007B418E"/>
    <w:rsid w:val="007D4EED"/>
    <w:rsid w:val="007E1E49"/>
    <w:rsid w:val="007F26FC"/>
    <w:rsid w:val="007F53EF"/>
    <w:rsid w:val="007F56FF"/>
    <w:rsid w:val="007F61A9"/>
    <w:rsid w:val="00802E67"/>
    <w:rsid w:val="008038BF"/>
    <w:rsid w:val="008045EE"/>
    <w:rsid w:val="0081161C"/>
    <w:rsid w:val="00816B81"/>
    <w:rsid w:val="00817300"/>
    <w:rsid w:val="00830F27"/>
    <w:rsid w:val="00831D17"/>
    <w:rsid w:val="00832F8F"/>
    <w:rsid w:val="008333DA"/>
    <w:rsid w:val="00834FF7"/>
    <w:rsid w:val="00845140"/>
    <w:rsid w:val="00851757"/>
    <w:rsid w:val="00852BC6"/>
    <w:rsid w:val="00855B17"/>
    <w:rsid w:val="00856532"/>
    <w:rsid w:val="00856863"/>
    <w:rsid w:val="00867A4E"/>
    <w:rsid w:val="00870886"/>
    <w:rsid w:val="008735CF"/>
    <w:rsid w:val="00874FB8"/>
    <w:rsid w:val="00877E43"/>
    <w:rsid w:val="008809C5"/>
    <w:rsid w:val="00880E5D"/>
    <w:rsid w:val="008810C9"/>
    <w:rsid w:val="00883E22"/>
    <w:rsid w:val="00886C3A"/>
    <w:rsid w:val="00890FA4"/>
    <w:rsid w:val="008A1F80"/>
    <w:rsid w:val="008A6F16"/>
    <w:rsid w:val="008A7CBD"/>
    <w:rsid w:val="008B630D"/>
    <w:rsid w:val="008B7AAC"/>
    <w:rsid w:val="008C2212"/>
    <w:rsid w:val="008C434C"/>
    <w:rsid w:val="008C4ECE"/>
    <w:rsid w:val="008C5F26"/>
    <w:rsid w:val="008D00B9"/>
    <w:rsid w:val="008D1A0D"/>
    <w:rsid w:val="008D1F2E"/>
    <w:rsid w:val="008D2360"/>
    <w:rsid w:val="008E09E4"/>
    <w:rsid w:val="008E20D4"/>
    <w:rsid w:val="008E247A"/>
    <w:rsid w:val="008E4610"/>
    <w:rsid w:val="008F0585"/>
    <w:rsid w:val="008F3729"/>
    <w:rsid w:val="008F3838"/>
    <w:rsid w:val="008F461C"/>
    <w:rsid w:val="008F5A7C"/>
    <w:rsid w:val="008F6AFE"/>
    <w:rsid w:val="008F6E9E"/>
    <w:rsid w:val="008F75AE"/>
    <w:rsid w:val="00902355"/>
    <w:rsid w:val="009034F0"/>
    <w:rsid w:val="009052EF"/>
    <w:rsid w:val="00907F6D"/>
    <w:rsid w:val="00911EEC"/>
    <w:rsid w:val="00917299"/>
    <w:rsid w:val="009214F9"/>
    <w:rsid w:val="00921E48"/>
    <w:rsid w:val="00922D52"/>
    <w:rsid w:val="0092730B"/>
    <w:rsid w:val="00931482"/>
    <w:rsid w:val="009341BB"/>
    <w:rsid w:val="00940C3D"/>
    <w:rsid w:val="009454D4"/>
    <w:rsid w:val="00946B1C"/>
    <w:rsid w:val="009516F6"/>
    <w:rsid w:val="00951F0C"/>
    <w:rsid w:val="00965677"/>
    <w:rsid w:val="0097202B"/>
    <w:rsid w:val="009745E2"/>
    <w:rsid w:val="00976887"/>
    <w:rsid w:val="00977867"/>
    <w:rsid w:val="00980C41"/>
    <w:rsid w:val="00981E8A"/>
    <w:rsid w:val="0098621B"/>
    <w:rsid w:val="00986F4C"/>
    <w:rsid w:val="0098763E"/>
    <w:rsid w:val="00987710"/>
    <w:rsid w:val="009A1A4C"/>
    <w:rsid w:val="009B4307"/>
    <w:rsid w:val="009C14D9"/>
    <w:rsid w:val="009D032F"/>
    <w:rsid w:val="009D14F1"/>
    <w:rsid w:val="009D31ED"/>
    <w:rsid w:val="009D5A8A"/>
    <w:rsid w:val="009E22B3"/>
    <w:rsid w:val="009E2BD7"/>
    <w:rsid w:val="009E5158"/>
    <w:rsid w:val="009E6FE5"/>
    <w:rsid w:val="009E7E2F"/>
    <w:rsid w:val="009F6121"/>
    <w:rsid w:val="00A07E4E"/>
    <w:rsid w:val="00A104E1"/>
    <w:rsid w:val="00A15BA7"/>
    <w:rsid w:val="00A15E0D"/>
    <w:rsid w:val="00A212C5"/>
    <w:rsid w:val="00A23865"/>
    <w:rsid w:val="00A2422A"/>
    <w:rsid w:val="00A25DF8"/>
    <w:rsid w:val="00A32A60"/>
    <w:rsid w:val="00A33036"/>
    <w:rsid w:val="00A35051"/>
    <w:rsid w:val="00A40B3A"/>
    <w:rsid w:val="00A4668C"/>
    <w:rsid w:val="00A47EF7"/>
    <w:rsid w:val="00A5190D"/>
    <w:rsid w:val="00A52564"/>
    <w:rsid w:val="00A55F6F"/>
    <w:rsid w:val="00A56EE2"/>
    <w:rsid w:val="00A5728F"/>
    <w:rsid w:val="00A60E53"/>
    <w:rsid w:val="00A644C2"/>
    <w:rsid w:val="00A70DBF"/>
    <w:rsid w:val="00A71A1A"/>
    <w:rsid w:val="00A72E08"/>
    <w:rsid w:val="00A74120"/>
    <w:rsid w:val="00A757A8"/>
    <w:rsid w:val="00A760FF"/>
    <w:rsid w:val="00A767ED"/>
    <w:rsid w:val="00A817CF"/>
    <w:rsid w:val="00A90B7C"/>
    <w:rsid w:val="00A92066"/>
    <w:rsid w:val="00A95EAE"/>
    <w:rsid w:val="00A96635"/>
    <w:rsid w:val="00AA0907"/>
    <w:rsid w:val="00AA0DB3"/>
    <w:rsid w:val="00AA23B9"/>
    <w:rsid w:val="00AA45F3"/>
    <w:rsid w:val="00AA6117"/>
    <w:rsid w:val="00AB38A2"/>
    <w:rsid w:val="00AB5D1A"/>
    <w:rsid w:val="00AB5D7F"/>
    <w:rsid w:val="00AB64F6"/>
    <w:rsid w:val="00AB7DA9"/>
    <w:rsid w:val="00AB7E98"/>
    <w:rsid w:val="00AC118E"/>
    <w:rsid w:val="00AC2335"/>
    <w:rsid w:val="00AC7021"/>
    <w:rsid w:val="00AD245E"/>
    <w:rsid w:val="00AD4F82"/>
    <w:rsid w:val="00AD71EB"/>
    <w:rsid w:val="00AE3547"/>
    <w:rsid w:val="00AF3666"/>
    <w:rsid w:val="00B031F5"/>
    <w:rsid w:val="00B12F1E"/>
    <w:rsid w:val="00B23B6C"/>
    <w:rsid w:val="00B30237"/>
    <w:rsid w:val="00B305A6"/>
    <w:rsid w:val="00B36103"/>
    <w:rsid w:val="00B4498A"/>
    <w:rsid w:val="00B46908"/>
    <w:rsid w:val="00B516CF"/>
    <w:rsid w:val="00B61100"/>
    <w:rsid w:val="00B619AE"/>
    <w:rsid w:val="00B66833"/>
    <w:rsid w:val="00B70134"/>
    <w:rsid w:val="00B83CC2"/>
    <w:rsid w:val="00B87E86"/>
    <w:rsid w:val="00B93CB8"/>
    <w:rsid w:val="00B97C35"/>
    <w:rsid w:val="00BA0487"/>
    <w:rsid w:val="00BA664F"/>
    <w:rsid w:val="00BB33AF"/>
    <w:rsid w:val="00BB33E6"/>
    <w:rsid w:val="00BB7343"/>
    <w:rsid w:val="00BC01B6"/>
    <w:rsid w:val="00BC11BD"/>
    <w:rsid w:val="00BC19C5"/>
    <w:rsid w:val="00BC53CC"/>
    <w:rsid w:val="00BE0598"/>
    <w:rsid w:val="00BE2506"/>
    <w:rsid w:val="00BE585E"/>
    <w:rsid w:val="00BE65F3"/>
    <w:rsid w:val="00BE752C"/>
    <w:rsid w:val="00BE7691"/>
    <w:rsid w:val="00BF20A4"/>
    <w:rsid w:val="00BF27A3"/>
    <w:rsid w:val="00C129EB"/>
    <w:rsid w:val="00C135E0"/>
    <w:rsid w:val="00C147A2"/>
    <w:rsid w:val="00C159E8"/>
    <w:rsid w:val="00C25032"/>
    <w:rsid w:val="00C25762"/>
    <w:rsid w:val="00C27278"/>
    <w:rsid w:val="00C30052"/>
    <w:rsid w:val="00C3256D"/>
    <w:rsid w:val="00C65D03"/>
    <w:rsid w:val="00C67E2E"/>
    <w:rsid w:val="00C83891"/>
    <w:rsid w:val="00C95B2D"/>
    <w:rsid w:val="00C96D5D"/>
    <w:rsid w:val="00CA2DA6"/>
    <w:rsid w:val="00CB2BA3"/>
    <w:rsid w:val="00CC0CDA"/>
    <w:rsid w:val="00CC6EAA"/>
    <w:rsid w:val="00CE58BC"/>
    <w:rsid w:val="00CF1043"/>
    <w:rsid w:val="00CF71A8"/>
    <w:rsid w:val="00CF7B73"/>
    <w:rsid w:val="00D05ADD"/>
    <w:rsid w:val="00D06033"/>
    <w:rsid w:val="00D07541"/>
    <w:rsid w:val="00D10EB1"/>
    <w:rsid w:val="00D230AB"/>
    <w:rsid w:val="00D30EA8"/>
    <w:rsid w:val="00D363B6"/>
    <w:rsid w:val="00D47DCA"/>
    <w:rsid w:val="00D50F06"/>
    <w:rsid w:val="00D60E42"/>
    <w:rsid w:val="00D6162E"/>
    <w:rsid w:val="00D62006"/>
    <w:rsid w:val="00D70E15"/>
    <w:rsid w:val="00D7398D"/>
    <w:rsid w:val="00D7498B"/>
    <w:rsid w:val="00D76E13"/>
    <w:rsid w:val="00D81391"/>
    <w:rsid w:val="00D857EB"/>
    <w:rsid w:val="00D869FE"/>
    <w:rsid w:val="00DA6605"/>
    <w:rsid w:val="00DB0B05"/>
    <w:rsid w:val="00DC18AD"/>
    <w:rsid w:val="00DC5A78"/>
    <w:rsid w:val="00DC5CC8"/>
    <w:rsid w:val="00DC71D6"/>
    <w:rsid w:val="00DC76AC"/>
    <w:rsid w:val="00DD2D9C"/>
    <w:rsid w:val="00DD6447"/>
    <w:rsid w:val="00DE0BB0"/>
    <w:rsid w:val="00DE2163"/>
    <w:rsid w:val="00DE68D0"/>
    <w:rsid w:val="00DF7393"/>
    <w:rsid w:val="00E1248B"/>
    <w:rsid w:val="00E15734"/>
    <w:rsid w:val="00E22FA6"/>
    <w:rsid w:val="00E25ACE"/>
    <w:rsid w:val="00E271F5"/>
    <w:rsid w:val="00E279E7"/>
    <w:rsid w:val="00E3177F"/>
    <w:rsid w:val="00E3789E"/>
    <w:rsid w:val="00E45001"/>
    <w:rsid w:val="00E4543F"/>
    <w:rsid w:val="00E47495"/>
    <w:rsid w:val="00E512B1"/>
    <w:rsid w:val="00E5376F"/>
    <w:rsid w:val="00E622FC"/>
    <w:rsid w:val="00E64B1D"/>
    <w:rsid w:val="00E65788"/>
    <w:rsid w:val="00E67D26"/>
    <w:rsid w:val="00E72A61"/>
    <w:rsid w:val="00E73D2D"/>
    <w:rsid w:val="00E76E2A"/>
    <w:rsid w:val="00E84D77"/>
    <w:rsid w:val="00E8651A"/>
    <w:rsid w:val="00E87F47"/>
    <w:rsid w:val="00E925AB"/>
    <w:rsid w:val="00E9458C"/>
    <w:rsid w:val="00EA0B51"/>
    <w:rsid w:val="00EA5E0C"/>
    <w:rsid w:val="00EB31DB"/>
    <w:rsid w:val="00EC34E0"/>
    <w:rsid w:val="00ED1F65"/>
    <w:rsid w:val="00ED5A06"/>
    <w:rsid w:val="00EE10CA"/>
    <w:rsid w:val="00EE3DE2"/>
    <w:rsid w:val="00EF711C"/>
    <w:rsid w:val="00EF7AB9"/>
    <w:rsid w:val="00F03C01"/>
    <w:rsid w:val="00F04FEC"/>
    <w:rsid w:val="00F14FAE"/>
    <w:rsid w:val="00F15778"/>
    <w:rsid w:val="00F20A99"/>
    <w:rsid w:val="00F27550"/>
    <w:rsid w:val="00F4062E"/>
    <w:rsid w:val="00F439FC"/>
    <w:rsid w:val="00F44F99"/>
    <w:rsid w:val="00F562A2"/>
    <w:rsid w:val="00F56577"/>
    <w:rsid w:val="00F6316C"/>
    <w:rsid w:val="00F63A28"/>
    <w:rsid w:val="00F65125"/>
    <w:rsid w:val="00F73242"/>
    <w:rsid w:val="00F75A57"/>
    <w:rsid w:val="00F80D0F"/>
    <w:rsid w:val="00F8440D"/>
    <w:rsid w:val="00F85A39"/>
    <w:rsid w:val="00F875EF"/>
    <w:rsid w:val="00F9459D"/>
    <w:rsid w:val="00F94911"/>
    <w:rsid w:val="00F959A1"/>
    <w:rsid w:val="00FA29F5"/>
    <w:rsid w:val="00FA5BD2"/>
    <w:rsid w:val="00FB13DB"/>
    <w:rsid w:val="00FB698F"/>
    <w:rsid w:val="00FC0F50"/>
    <w:rsid w:val="00FC1475"/>
    <w:rsid w:val="00FD6D22"/>
    <w:rsid w:val="00FE45D3"/>
    <w:rsid w:val="00FF1EE9"/>
    <w:rsid w:val="00FF7210"/>
    <w:rsid w:val="00FF732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FBDAF"/>
  <w15:docId w15:val="{57FDB05B-948A-451F-B1F8-9FE3D15C2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530B6"/>
    <w:pPr>
      <w:spacing w:after="200" w:line="276" w:lineRule="auto"/>
    </w:pPr>
    <w:rPr>
      <w:rFonts w:ascii="Calibri" w:eastAsia="Times New Roman" w:hAnsi="Calibri"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09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9E4"/>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55E58-DAC1-264D-9D91-A037A80EE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304</Words>
  <Characters>1736</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SLL</Company>
  <LinksUpToDate>false</LinksUpToDate>
  <CharactersWithSpaces>2036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Anna-Karin Edstedt Bonamy</dc:creator>
  <cp:lastModifiedBy>Angela Lorenz</cp:lastModifiedBy>
  <cp:revision>3</cp:revision>
  <dcterms:created xsi:type="dcterms:W3CDTF">2016-11-15T09:58:00Z</dcterms:created>
  <dcterms:modified xsi:type="dcterms:W3CDTF">2016-11-15T21:33:00Z</dcterms:modified>
</cp:coreProperties>
</file>