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482" w:rsidRPr="00FC216E" w:rsidRDefault="00ED4482" w:rsidP="004D35DD">
      <w:pPr>
        <w:spacing w:line="480" w:lineRule="auto"/>
        <w:rPr>
          <w:rFonts w:ascii="Times New Roman" w:hAnsi="Times New Roman" w:cs="Times New Roman"/>
          <w:b/>
          <w:sz w:val="44"/>
          <w:szCs w:val="44"/>
          <w:lang w:val="en-US"/>
        </w:rPr>
      </w:pPr>
      <w:bookmarkStart w:id="0" w:name="_GoBack"/>
    </w:p>
    <w:p w:rsidR="00FA4BC8" w:rsidRPr="00FC216E" w:rsidRDefault="00FA4BC8" w:rsidP="00ED4482">
      <w:pPr>
        <w:spacing w:line="480" w:lineRule="auto"/>
        <w:jc w:val="center"/>
        <w:rPr>
          <w:rFonts w:ascii="Times New Roman" w:hAnsi="Times New Roman" w:cs="Times New Roman"/>
          <w:sz w:val="44"/>
          <w:szCs w:val="44"/>
          <w:lang w:val="en-US"/>
        </w:rPr>
      </w:pPr>
      <w:r w:rsidRPr="00FC216E">
        <w:rPr>
          <w:rFonts w:ascii="Times New Roman" w:hAnsi="Times New Roman" w:cs="Times New Roman"/>
          <w:b/>
          <w:sz w:val="44"/>
          <w:szCs w:val="44"/>
          <w:lang w:val="en-US"/>
        </w:rPr>
        <w:t>Development of competitive</w:t>
      </w:r>
      <w:r w:rsidRPr="00FC216E">
        <w:rPr>
          <w:rFonts w:ascii="Times New Roman" w:hAnsi="Times New Roman" w:cs="Times New Roman"/>
          <w:b/>
          <w:i/>
          <w:sz w:val="44"/>
          <w:szCs w:val="44"/>
          <w:lang w:val="en-US"/>
        </w:rPr>
        <w:t xml:space="preserve"> </w:t>
      </w:r>
      <w:r w:rsidRPr="00FC216E">
        <w:rPr>
          <w:rFonts w:ascii="Times New Roman" w:hAnsi="Times New Roman" w:cs="Times New Roman"/>
          <w:b/>
          <w:sz w:val="44"/>
          <w:szCs w:val="44"/>
          <w:lang w:val="en-US"/>
        </w:rPr>
        <w:t>pseudo</w:t>
      </w:r>
      <w:r w:rsidRPr="00FC216E">
        <w:rPr>
          <w:rFonts w:ascii="Times New Roman" w:hAnsi="Times New Roman" w:cs="Times New Roman"/>
          <w:b/>
          <w:i/>
          <w:sz w:val="44"/>
          <w:szCs w:val="44"/>
          <w:lang w:val="en-US"/>
        </w:rPr>
        <w:t>-</w:t>
      </w:r>
      <w:r w:rsidRPr="00FC216E">
        <w:rPr>
          <w:rFonts w:ascii="Times New Roman" w:hAnsi="Times New Roman" w:cs="Times New Roman"/>
          <w:b/>
          <w:sz w:val="44"/>
          <w:szCs w:val="44"/>
          <w:lang w:val="en-US"/>
        </w:rPr>
        <w:t xml:space="preserve">ELISA assay based on nanoMIPs for </w:t>
      </w:r>
      <w:r w:rsidR="007F3F40" w:rsidRPr="00FC216E">
        <w:rPr>
          <w:rFonts w:ascii="Times New Roman" w:hAnsi="Times New Roman" w:cs="Times New Roman"/>
          <w:b/>
          <w:sz w:val="44"/>
          <w:szCs w:val="44"/>
          <w:lang w:val="en-US"/>
        </w:rPr>
        <w:t>c</w:t>
      </w:r>
      <w:r w:rsidRPr="00FC216E">
        <w:rPr>
          <w:rFonts w:ascii="Times New Roman" w:hAnsi="Times New Roman" w:cs="Times New Roman"/>
          <w:b/>
          <w:sz w:val="44"/>
          <w:szCs w:val="44"/>
          <w:lang w:val="en-US"/>
        </w:rPr>
        <w:t>ocaine and its metabolites</w:t>
      </w:r>
    </w:p>
    <w:p w:rsidR="00ED4482" w:rsidRPr="00FC216E" w:rsidRDefault="00F655BD" w:rsidP="00ED4482">
      <w:pPr>
        <w:spacing w:line="48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Yadiris Garcia</w:t>
      </w:r>
      <w:r w:rsidRPr="00FC216E">
        <w:rPr>
          <w:rFonts w:ascii="Times New Roman" w:hAnsi="Times New Roman" w:cs="Times New Roman"/>
          <w:sz w:val="24"/>
          <w:szCs w:val="24"/>
          <w:vertAlign w:val="superscript"/>
          <w:lang w:val="en-US"/>
        </w:rPr>
        <w:t>1</w:t>
      </w:r>
      <w:r w:rsidRPr="00FC216E">
        <w:rPr>
          <w:rFonts w:ascii="Times New Roman" w:hAnsi="Times New Roman" w:cs="Times New Roman"/>
          <w:sz w:val="24"/>
          <w:szCs w:val="24"/>
          <w:lang w:val="en-US"/>
        </w:rPr>
        <w:t>, Katarzyna Smolinska-Kempisty</w:t>
      </w:r>
      <w:r w:rsidRPr="00FC216E">
        <w:rPr>
          <w:rFonts w:ascii="Times New Roman" w:hAnsi="Times New Roman" w:cs="Times New Roman"/>
          <w:sz w:val="24"/>
          <w:szCs w:val="24"/>
          <w:vertAlign w:val="superscript"/>
          <w:lang w:val="en-US"/>
        </w:rPr>
        <w:t>2</w:t>
      </w:r>
      <w:r w:rsidRPr="00FC216E">
        <w:rPr>
          <w:rFonts w:ascii="Times New Roman" w:hAnsi="Times New Roman" w:cs="Times New Roman"/>
          <w:sz w:val="24"/>
          <w:szCs w:val="24"/>
          <w:lang w:val="en-US"/>
        </w:rPr>
        <w:t>, Eduardo Pereira</w:t>
      </w:r>
      <w:r w:rsidRPr="00FC216E">
        <w:rPr>
          <w:rFonts w:ascii="Times New Roman" w:hAnsi="Times New Roman" w:cs="Times New Roman"/>
          <w:sz w:val="24"/>
          <w:szCs w:val="24"/>
          <w:vertAlign w:val="superscript"/>
          <w:lang w:val="en-US"/>
        </w:rPr>
        <w:t>1</w:t>
      </w:r>
      <w:r w:rsidRPr="00FC216E">
        <w:rPr>
          <w:rFonts w:ascii="Times New Roman" w:hAnsi="Times New Roman" w:cs="Times New Roman"/>
          <w:sz w:val="24"/>
          <w:szCs w:val="24"/>
          <w:lang w:val="en-US"/>
        </w:rPr>
        <w:t>, Elena Piletska</w:t>
      </w:r>
      <w:r w:rsidRPr="00FC216E">
        <w:rPr>
          <w:rFonts w:ascii="Times New Roman" w:hAnsi="Times New Roman" w:cs="Times New Roman"/>
          <w:sz w:val="24"/>
          <w:szCs w:val="24"/>
          <w:vertAlign w:val="superscript"/>
          <w:lang w:val="en-US"/>
        </w:rPr>
        <w:t>2</w:t>
      </w:r>
      <w:r w:rsidRPr="00FC216E">
        <w:rPr>
          <w:rFonts w:ascii="Times New Roman" w:hAnsi="Times New Roman" w:cs="Times New Roman"/>
          <w:sz w:val="24"/>
          <w:szCs w:val="24"/>
          <w:lang w:val="en-US"/>
        </w:rPr>
        <w:t xml:space="preserve"> and Sergey Piletsky</w:t>
      </w:r>
      <w:r w:rsidRPr="00FC216E">
        <w:rPr>
          <w:rFonts w:ascii="Times New Roman" w:hAnsi="Times New Roman" w:cs="Times New Roman"/>
          <w:sz w:val="24"/>
          <w:szCs w:val="24"/>
          <w:vertAlign w:val="superscript"/>
          <w:lang w:val="en-US"/>
        </w:rPr>
        <w:t>2</w:t>
      </w:r>
    </w:p>
    <w:p w:rsidR="00FA4BC8" w:rsidRPr="00FC216E" w:rsidRDefault="00FA4BC8" w:rsidP="00ED4482">
      <w:pPr>
        <w:spacing w:line="480" w:lineRule="auto"/>
        <w:jc w:val="both"/>
        <w:rPr>
          <w:rFonts w:ascii="Times New Roman" w:hAnsi="Times New Roman" w:cs="Times New Roman"/>
          <w:sz w:val="24"/>
          <w:szCs w:val="24"/>
          <w:lang w:val="en-US"/>
        </w:rPr>
      </w:pPr>
      <w:r w:rsidRPr="00FC216E">
        <w:rPr>
          <w:rFonts w:ascii="Times New Roman" w:hAnsi="Times New Roman" w:cs="Times New Roman"/>
          <w:sz w:val="24"/>
          <w:szCs w:val="24"/>
          <w:vertAlign w:val="superscript"/>
          <w:lang w:val="en-US"/>
        </w:rPr>
        <w:t>1</w:t>
      </w:r>
      <w:r w:rsidRPr="00FC216E">
        <w:rPr>
          <w:rFonts w:ascii="Times New Roman" w:hAnsi="Times New Roman" w:cs="Times New Roman"/>
          <w:sz w:val="24"/>
          <w:szCs w:val="24"/>
          <w:lang w:val="en-US"/>
        </w:rPr>
        <w:t>Department of Analytical and Inorganic Chemistry, Faculty of Chemical Science, University of Concepción, Chile.</w:t>
      </w:r>
    </w:p>
    <w:p w:rsidR="00FA4BC8" w:rsidRPr="00FC216E" w:rsidRDefault="00FA4BC8" w:rsidP="00ED4482">
      <w:pPr>
        <w:spacing w:line="480" w:lineRule="auto"/>
        <w:jc w:val="both"/>
        <w:rPr>
          <w:rFonts w:ascii="Times New Roman" w:hAnsi="Times New Roman" w:cs="Times New Roman"/>
          <w:sz w:val="24"/>
          <w:szCs w:val="24"/>
          <w:lang w:val="en-US"/>
        </w:rPr>
      </w:pPr>
      <w:r w:rsidRPr="00FC216E">
        <w:rPr>
          <w:rFonts w:ascii="Times New Roman" w:hAnsi="Times New Roman" w:cs="Times New Roman"/>
          <w:sz w:val="24"/>
          <w:szCs w:val="24"/>
          <w:vertAlign w:val="superscript"/>
          <w:lang w:val="en-US"/>
        </w:rPr>
        <w:t xml:space="preserve">2 </w:t>
      </w:r>
      <w:r w:rsidRPr="00FC216E">
        <w:rPr>
          <w:rFonts w:ascii="Times New Roman" w:hAnsi="Times New Roman" w:cs="Times New Roman"/>
          <w:sz w:val="24"/>
          <w:szCs w:val="24"/>
          <w:lang w:val="en-US"/>
        </w:rPr>
        <w:t>Chemistry Department, College of Science and Engineering, University of Leicester, UK.</w:t>
      </w:r>
    </w:p>
    <w:p w:rsidR="00ED4482" w:rsidRPr="00FC216E" w:rsidRDefault="00FA4BC8" w:rsidP="00ED4482">
      <w:pPr>
        <w:spacing w:line="480" w:lineRule="auto"/>
        <w:jc w:val="both"/>
        <w:rPr>
          <w:rFonts w:ascii="Times New Roman" w:hAnsi="Times New Roman" w:cs="Times New Roman"/>
          <w:sz w:val="24"/>
          <w:szCs w:val="24"/>
          <w:lang w:val="en-US"/>
        </w:rPr>
      </w:pPr>
      <w:r w:rsidRPr="00FC216E">
        <w:rPr>
          <w:rFonts w:ascii="Times New Roman" w:hAnsi="Times New Roman" w:cs="Times New Roman"/>
          <w:sz w:val="24"/>
          <w:szCs w:val="24"/>
          <w:lang w:val="en-US"/>
        </w:rPr>
        <w:t xml:space="preserve">Correspondence to: E. Piletska (e-mail: </w:t>
      </w:r>
      <w:hyperlink r:id="rId8" w:history="1">
        <w:r w:rsidRPr="00FC216E">
          <w:rPr>
            <w:rStyle w:val="Hyperlink"/>
            <w:rFonts w:ascii="Times New Roman" w:hAnsi="Times New Roman" w:cs="Times New Roman"/>
            <w:color w:val="auto"/>
            <w:sz w:val="24"/>
            <w:szCs w:val="24"/>
            <w:lang w:val="en-US"/>
          </w:rPr>
          <w:t>ep219@leicester.ac.uk</w:t>
        </w:r>
      </w:hyperlink>
      <w:r w:rsidRPr="00FC216E">
        <w:rPr>
          <w:rStyle w:val="Hyperlink"/>
          <w:rFonts w:ascii="Times New Roman" w:hAnsi="Times New Roman" w:cs="Times New Roman"/>
          <w:color w:val="auto"/>
          <w:sz w:val="24"/>
          <w:szCs w:val="24"/>
          <w:lang w:val="en-US"/>
        </w:rPr>
        <w:t>)</w:t>
      </w:r>
      <w:r w:rsidRPr="00FC216E">
        <w:rPr>
          <w:rFonts w:ascii="Times New Roman" w:hAnsi="Times New Roman" w:cs="Times New Roman"/>
          <w:sz w:val="24"/>
          <w:szCs w:val="24"/>
          <w:lang w:val="en-US"/>
        </w:rPr>
        <w:t xml:space="preserve"> and E. Pereira (e-mail: </w:t>
      </w:r>
      <w:hyperlink r:id="rId9" w:history="1">
        <w:r w:rsidRPr="00FC216E">
          <w:rPr>
            <w:rStyle w:val="Hyperlink"/>
            <w:rFonts w:ascii="Times New Roman" w:hAnsi="Times New Roman" w:cs="Times New Roman"/>
            <w:color w:val="auto"/>
            <w:sz w:val="24"/>
            <w:szCs w:val="24"/>
            <w:lang w:val="en-US"/>
          </w:rPr>
          <w:t>epereira@udec.cl</w:t>
        </w:r>
      </w:hyperlink>
      <w:r w:rsidRPr="00FC216E">
        <w:rPr>
          <w:rStyle w:val="Hyperlink"/>
          <w:rFonts w:ascii="Times New Roman" w:hAnsi="Times New Roman" w:cs="Times New Roman"/>
          <w:color w:val="auto"/>
          <w:sz w:val="24"/>
          <w:szCs w:val="24"/>
          <w:lang w:val="en-US"/>
        </w:rPr>
        <w:t>)</w:t>
      </w:r>
    </w:p>
    <w:p w:rsidR="00ED4482" w:rsidRPr="00FC216E" w:rsidRDefault="00ED4482" w:rsidP="00FA4BC8">
      <w:pPr>
        <w:jc w:val="both"/>
        <w:rPr>
          <w:rFonts w:ascii="Times New Roman" w:hAnsi="Times New Roman" w:cs="Times New Roman"/>
          <w:sz w:val="24"/>
          <w:szCs w:val="24"/>
          <w:lang w:val="en-US"/>
        </w:rPr>
      </w:pPr>
    </w:p>
    <w:p w:rsidR="00AA4DAE" w:rsidRPr="00FC216E" w:rsidRDefault="0053367A" w:rsidP="00FA4BC8">
      <w:pPr>
        <w:jc w:val="center"/>
        <w:rPr>
          <w:rFonts w:ascii="Times New Roman" w:hAnsi="Times New Roman" w:cs="Times New Roman"/>
          <w:b/>
          <w:sz w:val="40"/>
          <w:szCs w:val="40"/>
          <w:lang w:val="en-GB"/>
        </w:rPr>
      </w:pPr>
      <w:r w:rsidRPr="00FC216E">
        <w:rPr>
          <w:rFonts w:ascii="Times New Roman" w:hAnsi="Times New Roman" w:cs="Times New Roman"/>
          <w:b/>
          <w:sz w:val="40"/>
          <w:szCs w:val="40"/>
          <w:lang w:val="en-GB"/>
        </w:rPr>
        <w:t>Supporting Information</w:t>
      </w:r>
    </w:p>
    <w:p w:rsidR="00ED4482" w:rsidRPr="00FC216E" w:rsidRDefault="00ED4482" w:rsidP="00FA4BC8">
      <w:pPr>
        <w:jc w:val="center"/>
        <w:rPr>
          <w:rFonts w:ascii="Times New Roman" w:hAnsi="Times New Roman" w:cs="Times New Roman"/>
          <w:b/>
          <w:sz w:val="24"/>
          <w:szCs w:val="24"/>
          <w:lang w:val="en-GB"/>
        </w:rPr>
      </w:pPr>
    </w:p>
    <w:p w:rsidR="00ED4482" w:rsidRPr="00FC216E" w:rsidRDefault="00ED4482" w:rsidP="00FA4BC8">
      <w:pPr>
        <w:jc w:val="center"/>
        <w:rPr>
          <w:rFonts w:ascii="Times New Roman" w:hAnsi="Times New Roman" w:cs="Times New Roman"/>
          <w:b/>
          <w:sz w:val="24"/>
          <w:szCs w:val="24"/>
          <w:lang w:val="en-GB"/>
        </w:rPr>
      </w:pPr>
    </w:p>
    <w:p w:rsidR="00ED4482" w:rsidRPr="00FC216E" w:rsidRDefault="00ED4482" w:rsidP="00FA4BC8">
      <w:pPr>
        <w:jc w:val="center"/>
        <w:rPr>
          <w:rFonts w:ascii="Times New Roman" w:hAnsi="Times New Roman" w:cs="Times New Roman"/>
          <w:b/>
          <w:sz w:val="24"/>
          <w:szCs w:val="24"/>
          <w:lang w:val="en-GB"/>
        </w:rPr>
      </w:pPr>
    </w:p>
    <w:p w:rsidR="00381A92" w:rsidRPr="00FC216E" w:rsidRDefault="00381A92" w:rsidP="00ED4482">
      <w:pPr>
        <w:rPr>
          <w:rFonts w:ascii="Times New Roman" w:hAnsi="Times New Roman" w:cs="Times New Roman"/>
          <w:b/>
          <w:sz w:val="24"/>
          <w:szCs w:val="24"/>
          <w:lang w:val="en-GB"/>
        </w:rPr>
      </w:pPr>
    </w:p>
    <w:p w:rsidR="00ED4482" w:rsidRPr="00FC216E" w:rsidRDefault="00ED4482" w:rsidP="00ED4482">
      <w:pPr>
        <w:rPr>
          <w:rFonts w:ascii="Times New Roman" w:hAnsi="Times New Roman" w:cs="Times New Roman"/>
          <w:b/>
          <w:sz w:val="24"/>
          <w:szCs w:val="24"/>
          <w:lang w:val="en-GB"/>
        </w:rPr>
      </w:pPr>
    </w:p>
    <w:p w:rsidR="00ED4482" w:rsidRPr="00FC216E" w:rsidRDefault="00ED4482" w:rsidP="00ED4482">
      <w:pPr>
        <w:rPr>
          <w:rFonts w:ascii="Times New Roman" w:hAnsi="Times New Roman" w:cs="Times New Roman"/>
          <w:b/>
          <w:sz w:val="24"/>
          <w:szCs w:val="24"/>
          <w:lang w:val="en-GB"/>
        </w:rPr>
      </w:pPr>
    </w:p>
    <w:p w:rsidR="004D35DD" w:rsidRPr="00FC216E" w:rsidRDefault="004D35DD" w:rsidP="00ED4482">
      <w:pPr>
        <w:rPr>
          <w:rFonts w:ascii="Times New Roman" w:hAnsi="Times New Roman" w:cs="Times New Roman"/>
          <w:b/>
          <w:sz w:val="24"/>
          <w:szCs w:val="24"/>
          <w:lang w:val="en-GB"/>
        </w:rPr>
      </w:pPr>
    </w:p>
    <w:p w:rsidR="007E2823" w:rsidRPr="00FC216E" w:rsidRDefault="007E2823" w:rsidP="00ED4482">
      <w:pPr>
        <w:rPr>
          <w:rFonts w:ascii="Times New Roman" w:hAnsi="Times New Roman" w:cs="Times New Roman"/>
          <w:b/>
          <w:sz w:val="24"/>
          <w:szCs w:val="24"/>
          <w:lang w:val="en-GB"/>
        </w:rPr>
      </w:pPr>
    </w:p>
    <w:p w:rsidR="004D35DD" w:rsidRPr="00FC216E" w:rsidRDefault="004D35DD" w:rsidP="00ED4482">
      <w:pPr>
        <w:rPr>
          <w:rFonts w:ascii="Times New Roman" w:hAnsi="Times New Roman" w:cs="Times New Roman"/>
          <w:b/>
          <w:sz w:val="24"/>
          <w:szCs w:val="24"/>
          <w:lang w:val="en-GB"/>
        </w:rPr>
      </w:pPr>
    </w:p>
    <w:p w:rsidR="00FA4BC8" w:rsidRPr="00FC216E" w:rsidRDefault="00381A92" w:rsidP="00381A92">
      <w:pPr>
        <w:pStyle w:val="ListParagraph"/>
        <w:numPr>
          <w:ilvl w:val="0"/>
          <w:numId w:val="1"/>
        </w:numPr>
        <w:jc w:val="both"/>
        <w:rPr>
          <w:rFonts w:ascii="Times New Roman" w:hAnsi="Times New Roman" w:cs="Times New Roman"/>
          <w:b/>
          <w:sz w:val="24"/>
          <w:szCs w:val="24"/>
          <w:lang w:val="en-GB"/>
        </w:rPr>
      </w:pPr>
      <w:r w:rsidRPr="00FC216E">
        <w:rPr>
          <w:rFonts w:ascii="Times New Roman" w:hAnsi="Times New Roman" w:cs="Times New Roman"/>
          <w:b/>
          <w:sz w:val="24"/>
          <w:szCs w:val="24"/>
          <w:lang w:val="en-GB"/>
        </w:rPr>
        <w:lastRenderedPageBreak/>
        <w:t>Glass beads modification</w:t>
      </w:r>
    </w:p>
    <w:p w:rsidR="0053367A" w:rsidRPr="00FC216E" w:rsidRDefault="00906646" w:rsidP="005E677A">
      <w:pPr>
        <w:spacing w:line="360" w:lineRule="auto"/>
        <w:jc w:val="both"/>
        <w:rPr>
          <w:rFonts w:ascii="Times New Roman" w:hAnsi="Times New Roman" w:cs="Times New Roman"/>
          <w:sz w:val="24"/>
          <w:szCs w:val="24"/>
          <w:lang w:val="en-GB"/>
        </w:rPr>
      </w:pPr>
      <w:r w:rsidRPr="00FC216E">
        <w:rPr>
          <w:rFonts w:ascii="Times New Roman" w:hAnsi="Times New Roman" w:cs="Times New Roman"/>
          <w:sz w:val="24"/>
          <w:szCs w:val="24"/>
          <w:lang w:val="en-GB"/>
        </w:rPr>
        <w:t xml:space="preserve">Modification </w:t>
      </w:r>
      <w:r w:rsidR="005E677A" w:rsidRPr="00FC216E">
        <w:rPr>
          <w:rFonts w:ascii="Times New Roman" w:hAnsi="Times New Roman" w:cs="Times New Roman"/>
          <w:sz w:val="24"/>
          <w:szCs w:val="24"/>
          <w:lang w:val="en-GB"/>
        </w:rPr>
        <w:t xml:space="preserve">scheme </w:t>
      </w:r>
      <w:r w:rsidRPr="00FC216E">
        <w:rPr>
          <w:rFonts w:ascii="Times New Roman" w:hAnsi="Times New Roman" w:cs="Times New Roman"/>
          <w:sz w:val="24"/>
          <w:szCs w:val="24"/>
          <w:lang w:val="en-GB"/>
        </w:rPr>
        <w:t>of the surface glass beads with 3-aminopropyltrimethyloxysilane</w:t>
      </w:r>
      <w:r w:rsidR="005E677A" w:rsidRPr="00FC216E">
        <w:rPr>
          <w:rFonts w:ascii="Times New Roman" w:hAnsi="Times New Roman" w:cs="Times New Roman"/>
          <w:sz w:val="24"/>
          <w:szCs w:val="24"/>
          <w:lang w:val="en-GB"/>
        </w:rPr>
        <w:t xml:space="preserve"> (Figure S1) and i</w:t>
      </w:r>
      <w:r w:rsidRPr="00FC216E">
        <w:rPr>
          <w:rFonts w:ascii="Times New Roman" w:hAnsi="Times New Roman" w:cs="Times New Roman"/>
          <w:sz w:val="24"/>
          <w:szCs w:val="24"/>
          <w:lang w:val="en-GB"/>
        </w:rPr>
        <w:t>mmobili</w:t>
      </w:r>
      <w:r w:rsidR="007F3F40" w:rsidRPr="00FC216E">
        <w:rPr>
          <w:rFonts w:ascii="Times New Roman" w:hAnsi="Times New Roman" w:cs="Times New Roman"/>
          <w:sz w:val="24"/>
          <w:szCs w:val="24"/>
          <w:lang w:val="en-GB"/>
        </w:rPr>
        <w:t>s</w:t>
      </w:r>
      <w:r w:rsidRPr="00FC216E">
        <w:rPr>
          <w:rFonts w:ascii="Times New Roman" w:hAnsi="Times New Roman" w:cs="Times New Roman"/>
          <w:sz w:val="24"/>
          <w:szCs w:val="24"/>
          <w:lang w:val="en-GB"/>
        </w:rPr>
        <w:t>ation of the template on the glass beads</w:t>
      </w:r>
      <w:r w:rsidR="005E677A" w:rsidRPr="00FC216E">
        <w:rPr>
          <w:rFonts w:ascii="Times New Roman" w:hAnsi="Times New Roman" w:cs="Times New Roman"/>
          <w:sz w:val="24"/>
          <w:szCs w:val="24"/>
          <w:lang w:val="en-GB"/>
        </w:rPr>
        <w:t xml:space="preserve"> (Fig</w:t>
      </w:r>
      <w:r w:rsidR="007F3F40" w:rsidRPr="00FC216E">
        <w:rPr>
          <w:rFonts w:ascii="Times New Roman" w:hAnsi="Times New Roman" w:cs="Times New Roman"/>
          <w:sz w:val="24"/>
          <w:szCs w:val="24"/>
          <w:lang w:val="en-GB"/>
        </w:rPr>
        <w:t>.</w:t>
      </w:r>
      <w:r w:rsidR="005E677A" w:rsidRPr="00FC216E">
        <w:rPr>
          <w:rFonts w:ascii="Times New Roman" w:hAnsi="Times New Roman" w:cs="Times New Roman"/>
          <w:sz w:val="24"/>
          <w:szCs w:val="24"/>
          <w:lang w:val="en-GB"/>
        </w:rPr>
        <w:t xml:space="preserve"> S2) are presented below</w:t>
      </w:r>
      <w:r w:rsidRPr="00FC216E">
        <w:rPr>
          <w:rFonts w:ascii="Times New Roman" w:hAnsi="Times New Roman" w:cs="Times New Roman"/>
          <w:sz w:val="24"/>
          <w:szCs w:val="24"/>
          <w:lang w:val="en-GB"/>
        </w:rPr>
        <w:t xml:space="preserve">.  </w:t>
      </w:r>
    </w:p>
    <w:p w:rsidR="005E677A" w:rsidRPr="00FC216E" w:rsidRDefault="005E677A" w:rsidP="005E677A">
      <w:pPr>
        <w:jc w:val="both"/>
        <w:rPr>
          <w:rFonts w:ascii="Times New Roman" w:hAnsi="Times New Roman" w:cs="Times New Roman"/>
          <w:sz w:val="24"/>
          <w:szCs w:val="24"/>
          <w:lang w:val="en-GB"/>
        </w:rPr>
      </w:pPr>
    </w:p>
    <w:p w:rsidR="00AA4DAE" w:rsidRPr="00FC216E" w:rsidRDefault="00AA4DAE">
      <w:pPr>
        <w:rPr>
          <w:rFonts w:ascii="Times New Roman" w:hAnsi="Times New Roman" w:cs="Times New Roman"/>
          <w:sz w:val="24"/>
          <w:szCs w:val="24"/>
        </w:rPr>
      </w:pPr>
      <w:r w:rsidRPr="00FC216E">
        <w:rPr>
          <w:rFonts w:ascii="Times New Roman" w:hAnsi="Times New Roman" w:cs="Times New Roman"/>
          <w:noProof/>
          <w:sz w:val="24"/>
          <w:szCs w:val="24"/>
          <w:lang w:val="en-GB" w:eastAsia="en-GB"/>
        </w:rPr>
        <w:drawing>
          <wp:inline distT="0" distB="0" distL="0" distR="0" wp14:anchorId="5D32C550">
            <wp:extent cx="5944235"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4235" cy="1000125"/>
                    </a:xfrm>
                    <a:prstGeom prst="rect">
                      <a:avLst/>
                    </a:prstGeom>
                    <a:noFill/>
                  </pic:spPr>
                </pic:pic>
              </a:graphicData>
            </a:graphic>
          </wp:inline>
        </w:drawing>
      </w:r>
    </w:p>
    <w:p w:rsidR="00AA4DAE" w:rsidRPr="00FC216E" w:rsidRDefault="00AA4DAE" w:rsidP="00AA4DAE">
      <w:pPr>
        <w:rPr>
          <w:rFonts w:ascii="Times New Roman" w:hAnsi="Times New Roman" w:cs="Times New Roman"/>
          <w:sz w:val="24"/>
          <w:szCs w:val="24"/>
          <w:lang w:val="en-GB"/>
        </w:rPr>
      </w:pPr>
      <w:r w:rsidRPr="00FC216E">
        <w:rPr>
          <w:rFonts w:ascii="Times New Roman" w:hAnsi="Times New Roman" w:cs="Times New Roman"/>
          <w:b/>
          <w:sz w:val="24"/>
          <w:szCs w:val="24"/>
          <w:lang w:val="en-GB"/>
        </w:rPr>
        <w:t>Figure S1</w:t>
      </w:r>
      <w:r w:rsidRPr="00FC216E">
        <w:rPr>
          <w:rFonts w:ascii="Times New Roman" w:hAnsi="Times New Roman" w:cs="Times New Roman"/>
          <w:sz w:val="24"/>
          <w:szCs w:val="24"/>
          <w:lang w:val="en-GB"/>
        </w:rPr>
        <w:t>. Modification of the glass beads with 3-aminopropyltrimethyloxysilane</w:t>
      </w:r>
      <w:r w:rsidR="00993E2E" w:rsidRPr="00FC216E">
        <w:rPr>
          <w:rFonts w:ascii="Times New Roman" w:hAnsi="Times New Roman" w:cs="Times New Roman"/>
          <w:sz w:val="24"/>
          <w:szCs w:val="24"/>
          <w:lang w:val="en-GB"/>
        </w:rPr>
        <w:t>.</w:t>
      </w:r>
    </w:p>
    <w:p w:rsidR="0053367A" w:rsidRPr="00FC216E" w:rsidRDefault="0053367A" w:rsidP="00AA4DAE">
      <w:pPr>
        <w:rPr>
          <w:rFonts w:ascii="Times New Roman" w:hAnsi="Times New Roman" w:cs="Times New Roman"/>
          <w:sz w:val="24"/>
          <w:szCs w:val="24"/>
          <w:lang w:val="en-GB"/>
        </w:rPr>
      </w:pPr>
    </w:p>
    <w:p w:rsidR="005E677A" w:rsidRPr="00FC216E" w:rsidRDefault="005E677A" w:rsidP="00AA4DAE">
      <w:pPr>
        <w:rPr>
          <w:rFonts w:ascii="Times New Roman" w:hAnsi="Times New Roman" w:cs="Times New Roman"/>
          <w:sz w:val="24"/>
          <w:szCs w:val="24"/>
          <w:lang w:val="en-GB"/>
        </w:rPr>
      </w:pPr>
    </w:p>
    <w:p w:rsidR="0053367A" w:rsidRPr="00FC216E" w:rsidRDefault="0053367A" w:rsidP="00AA4DAE">
      <w:pPr>
        <w:rPr>
          <w:rFonts w:ascii="Times New Roman" w:hAnsi="Times New Roman" w:cs="Times New Roman"/>
          <w:sz w:val="24"/>
          <w:szCs w:val="24"/>
          <w:lang w:val="en-GB"/>
        </w:rPr>
      </w:pPr>
      <w:r w:rsidRPr="00FC216E">
        <w:rPr>
          <w:rFonts w:ascii="Times New Roman" w:hAnsi="Times New Roman" w:cs="Times New Roman"/>
          <w:noProof/>
          <w:sz w:val="24"/>
          <w:szCs w:val="24"/>
          <w:lang w:val="en-GB" w:eastAsia="en-GB"/>
        </w:rPr>
        <w:drawing>
          <wp:inline distT="0" distB="0" distL="0" distR="0" wp14:anchorId="6DFFDFE7">
            <wp:extent cx="5944235" cy="9817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4235" cy="981710"/>
                    </a:xfrm>
                    <a:prstGeom prst="rect">
                      <a:avLst/>
                    </a:prstGeom>
                    <a:noFill/>
                  </pic:spPr>
                </pic:pic>
              </a:graphicData>
            </a:graphic>
          </wp:inline>
        </w:drawing>
      </w:r>
    </w:p>
    <w:p w:rsidR="0053367A" w:rsidRPr="00FC216E" w:rsidRDefault="0053367A" w:rsidP="0053367A">
      <w:pPr>
        <w:rPr>
          <w:rFonts w:ascii="Times New Roman" w:hAnsi="Times New Roman" w:cs="Times New Roman"/>
          <w:sz w:val="24"/>
          <w:szCs w:val="24"/>
          <w:lang w:val="en-GB"/>
        </w:rPr>
      </w:pPr>
      <w:r w:rsidRPr="00FC216E">
        <w:rPr>
          <w:rFonts w:ascii="Times New Roman" w:hAnsi="Times New Roman" w:cs="Times New Roman"/>
          <w:b/>
          <w:sz w:val="24"/>
          <w:szCs w:val="24"/>
          <w:lang w:val="en-GB"/>
        </w:rPr>
        <w:t xml:space="preserve">Figure </w:t>
      </w:r>
      <w:r w:rsidR="0003530F" w:rsidRPr="00FC216E">
        <w:rPr>
          <w:rFonts w:ascii="Times New Roman" w:hAnsi="Times New Roman" w:cs="Times New Roman"/>
          <w:b/>
          <w:sz w:val="24"/>
          <w:szCs w:val="24"/>
          <w:lang w:val="en-GB"/>
        </w:rPr>
        <w:t>S2</w:t>
      </w:r>
      <w:r w:rsidRPr="00FC216E">
        <w:rPr>
          <w:rFonts w:ascii="Times New Roman" w:hAnsi="Times New Roman" w:cs="Times New Roman"/>
          <w:sz w:val="24"/>
          <w:szCs w:val="24"/>
          <w:lang w:val="en-GB"/>
        </w:rPr>
        <w:t>. Immobilization of the template on the modified glass beads</w:t>
      </w:r>
      <w:r w:rsidR="00993E2E" w:rsidRPr="00FC216E">
        <w:rPr>
          <w:rFonts w:ascii="Times New Roman" w:hAnsi="Times New Roman" w:cs="Times New Roman"/>
          <w:sz w:val="24"/>
          <w:szCs w:val="24"/>
          <w:lang w:val="en-GB"/>
        </w:rPr>
        <w:t>.</w:t>
      </w:r>
    </w:p>
    <w:p w:rsidR="0053367A" w:rsidRPr="00FC216E" w:rsidRDefault="0053367A" w:rsidP="0053367A">
      <w:pPr>
        <w:rPr>
          <w:rFonts w:ascii="Times New Roman" w:hAnsi="Times New Roman" w:cs="Times New Roman"/>
          <w:b/>
          <w:sz w:val="24"/>
          <w:szCs w:val="24"/>
          <w:lang w:val="en-GB"/>
        </w:rPr>
      </w:pPr>
    </w:p>
    <w:p w:rsidR="00381A92" w:rsidRPr="00FC216E" w:rsidRDefault="00993E2E" w:rsidP="00381A92">
      <w:pPr>
        <w:pStyle w:val="ListParagraph"/>
        <w:numPr>
          <w:ilvl w:val="0"/>
          <w:numId w:val="1"/>
        </w:numPr>
        <w:rPr>
          <w:rFonts w:ascii="Times New Roman" w:hAnsi="Times New Roman" w:cs="Times New Roman"/>
          <w:b/>
          <w:sz w:val="24"/>
          <w:szCs w:val="24"/>
          <w:lang w:val="en-GB"/>
        </w:rPr>
      </w:pPr>
      <w:r w:rsidRPr="00FC216E">
        <w:rPr>
          <w:rFonts w:ascii="Times New Roman" w:hAnsi="Times New Roman" w:cs="Times New Roman"/>
          <w:b/>
          <w:sz w:val="24"/>
          <w:szCs w:val="24"/>
          <w:lang w:val="en-GB"/>
        </w:rPr>
        <w:t>N</w:t>
      </w:r>
      <w:r w:rsidR="00381A92" w:rsidRPr="00FC216E">
        <w:rPr>
          <w:rFonts w:ascii="Times New Roman" w:hAnsi="Times New Roman" w:cs="Times New Roman"/>
          <w:b/>
          <w:sz w:val="24"/>
          <w:szCs w:val="24"/>
          <w:lang w:val="en-GB"/>
        </w:rPr>
        <w:t>anoMIPs immobilisation in the microplates wells</w:t>
      </w:r>
    </w:p>
    <w:p w:rsidR="0053367A" w:rsidRPr="00FC216E" w:rsidRDefault="005E677A" w:rsidP="005E677A">
      <w:pPr>
        <w:spacing w:line="360" w:lineRule="auto"/>
        <w:jc w:val="both"/>
        <w:rPr>
          <w:rFonts w:ascii="Times New Roman" w:hAnsi="Times New Roman" w:cs="Times New Roman"/>
          <w:sz w:val="24"/>
          <w:szCs w:val="24"/>
          <w:lang w:val="en-GB"/>
        </w:rPr>
      </w:pPr>
      <w:r w:rsidRPr="00FC216E">
        <w:rPr>
          <w:rFonts w:ascii="Times New Roman" w:hAnsi="Times New Roman" w:cs="Times New Roman"/>
          <w:sz w:val="24"/>
          <w:szCs w:val="24"/>
          <w:lang w:val="en-GB"/>
        </w:rPr>
        <w:t>On the Fig</w:t>
      </w:r>
      <w:r w:rsidR="00993E2E" w:rsidRPr="00FC216E">
        <w:rPr>
          <w:rFonts w:ascii="Times New Roman" w:hAnsi="Times New Roman" w:cs="Times New Roman"/>
          <w:sz w:val="24"/>
          <w:szCs w:val="24"/>
          <w:lang w:val="en-GB"/>
        </w:rPr>
        <w:t>.</w:t>
      </w:r>
      <w:r w:rsidRPr="00FC216E">
        <w:rPr>
          <w:rFonts w:ascii="Times New Roman" w:hAnsi="Times New Roman" w:cs="Times New Roman"/>
          <w:sz w:val="24"/>
          <w:szCs w:val="24"/>
          <w:lang w:val="en-GB"/>
        </w:rPr>
        <w:t xml:space="preserve"> S3 we show </w:t>
      </w:r>
      <w:r w:rsidR="00993E2E" w:rsidRPr="00FC216E">
        <w:rPr>
          <w:rFonts w:ascii="Times New Roman" w:hAnsi="Times New Roman" w:cs="Times New Roman"/>
          <w:sz w:val="24"/>
          <w:szCs w:val="24"/>
          <w:lang w:val="en-GB"/>
        </w:rPr>
        <w:t xml:space="preserve">a </w:t>
      </w:r>
      <w:r w:rsidRPr="00FC216E">
        <w:rPr>
          <w:rFonts w:ascii="Times New Roman" w:hAnsi="Times New Roman" w:cs="Times New Roman"/>
          <w:sz w:val="24"/>
          <w:szCs w:val="24"/>
          <w:lang w:val="en-GB"/>
        </w:rPr>
        <w:t>schematic arrangement of nanoparticles in microplate. Imprinted polymer nanoparticles (40 µL, 0.06 mg mL</w:t>
      </w:r>
      <w:r w:rsidRPr="00FC216E">
        <w:rPr>
          <w:rFonts w:ascii="Times New Roman" w:hAnsi="Times New Roman" w:cs="Times New Roman"/>
          <w:sz w:val="24"/>
          <w:szCs w:val="24"/>
          <w:vertAlign w:val="superscript"/>
          <w:lang w:val="en-GB"/>
        </w:rPr>
        <w:t>–1</w:t>
      </w:r>
      <w:r w:rsidRPr="00FC216E">
        <w:rPr>
          <w:rFonts w:ascii="Times New Roman" w:hAnsi="Times New Roman" w:cs="Times New Roman"/>
          <w:sz w:val="24"/>
          <w:szCs w:val="24"/>
          <w:lang w:val="en-GB"/>
        </w:rPr>
        <w:t>) were dispensed into the wells of a 96-well polystyrene microplate, and left to dry overnight at ambient temperature.</w:t>
      </w:r>
    </w:p>
    <w:p w:rsidR="0053367A" w:rsidRPr="00FC216E" w:rsidRDefault="0053367A" w:rsidP="0053367A">
      <w:pPr>
        <w:rPr>
          <w:rFonts w:ascii="Times New Roman" w:hAnsi="Times New Roman" w:cs="Times New Roman"/>
          <w:sz w:val="24"/>
          <w:szCs w:val="24"/>
          <w:lang w:val="en-GB"/>
        </w:rPr>
      </w:pPr>
    </w:p>
    <w:p w:rsidR="0053367A" w:rsidRPr="00FC216E" w:rsidRDefault="0053367A" w:rsidP="0003530F">
      <w:pPr>
        <w:jc w:val="center"/>
        <w:rPr>
          <w:rFonts w:ascii="Times New Roman" w:hAnsi="Times New Roman" w:cs="Times New Roman"/>
          <w:sz w:val="24"/>
          <w:szCs w:val="24"/>
          <w:lang w:val="en-GB"/>
        </w:rPr>
      </w:pPr>
      <w:r w:rsidRPr="00FC216E">
        <w:rPr>
          <w:rFonts w:ascii="Times New Roman" w:hAnsi="Times New Roman" w:cs="Times New Roman"/>
          <w:noProof/>
          <w:sz w:val="24"/>
          <w:szCs w:val="24"/>
          <w:lang w:val="en-GB" w:eastAsia="en-GB"/>
        </w:rPr>
        <w:drawing>
          <wp:inline distT="0" distB="0" distL="0" distR="0" wp14:anchorId="6EEA70DA">
            <wp:extent cx="2847340" cy="18776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7340" cy="1877695"/>
                    </a:xfrm>
                    <a:prstGeom prst="rect">
                      <a:avLst/>
                    </a:prstGeom>
                    <a:noFill/>
                  </pic:spPr>
                </pic:pic>
              </a:graphicData>
            </a:graphic>
          </wp:inline>
        </w:drawing>
      </w:r>
    </w:p>
    <w:p w:rsidR="00381A92" w:rsidRPr="00FC216E" w:rsidRDefault="0053367A" w:rsidP="00993E2E">
      <w:pPr>
        <w:rPr>
          <w:rFonts w:ascii="Times New Roman" w:hAnsi="Times New Roman" w:cs="Times New Roman"/>
          <w:sz w:val="24"/>
          <w:szCs w:val="24"/>
          <w:lang w:val="en-GB"/>
        </w:rPr>
      </w:pPr>
      <w:r w:rsidRPr="00FC216E">
        <w:rPr>
          <w:rFonts w:ascii="Times New Roman" w:hAnsi="Times New Roman" w:cs="Times New Roman"/>
          <w:b/>
          <w:sz w:val="24"/>
          <w:szCs w:val="24"/>
          <w:lang w:val="en-GB"/>
        </w:rPr>
        <w:t xml:space="preserve">Figure </w:t>
      </w:r>
      <w:r w:rsidR="0003530F" w:rsidRPr="00FC216E">
        <w:rPr>
          <w:rFonts w:ascii="Times New Roman" w:hAnsi="Times New Roman" w:cs="Times New Roman"/>
          <w:b/>
          <w:sz w:val="24"/>
          <w:szCs w:val="24"/>
          <w:lang w:val="en-GB"/>
        </w:rPr>
        <w:t>S3</w:t>
      </w:r>
      <w:r w:rsidRPr="00FC216E">
        <w:rPr>
          <w:rFonts w:ascii="Times New Roman" w:hAnsi="Times New Roman" w:cs="Times New Roman"/>
          <w:sz w:val="24"/>
          <w:szCs w:val="24"/>
          <w:lang w:val="en-GB"/>
        </w:rPr>
        <w:t>. Immobili</w:t>
      </w:r>
      <w:r w:rsidR="00993E2E" w:rsidRPr="00FC216E">
        <w:rPr>
          <w:rFonts w:ascii="Times New Roman" w:hAnsi="Times New Roman" w:cs="Times New Roman"/>
          <w:sz w:val="24"/>
          <w:szCs w:val="24"/>
          <w:lang w:val="en-GB"/>
        </w:rPr>
        <w:t>s</w:t>
      </w:r>
      <w:r w:rsidRPr="00FC216E">
        <w:rPr>
          <w:rFonts w:ascii="Times New Roman" w:hAnsi="Times New Roman" w:cs="Times New Roman"/>
          <w:sz w:val="24"/>
          <w:szCs w:val="24"/>
          <w:lang w:val="en-GB"/>
        </w:rPr>
        <w:t>ation of nanoMIPs on the microplate wells.</w:t>
      </w:r>
    </w:p>
    <w:p w:rsidR="00381A92" w:rsidRPr="00FC216E" w:rsidRDefault="00381A92" w:rsidP="00381A92">
      <w:pPr>
        <w:jc w:val="center"/>
        <w:rPr>
          <w:rFonts w:ascii="Times New Roman" w:hAnsi="Times New Roman" w:cs="Times New Roman"/>
          <w:sz w:val="24"/>
          <w:szCs w:val="24"/>
          <w:lang w:val="en-GB"/>
        </w:rPr>
      </w:pPr>
    </w:p>
    <w:p w:rsidR="005E677A" w:rsidRPr="00FC216E" w:rsidRDefault="00993E2E" w:rsidP="00381A92">
      <w:pPr>
        <w:pStyle w:val="ListParagraph"/>
        <w:numPr>
          <w:ilvl w:val="0"/>
          <w:numId w:val="1"/>
        </w:numPr>
        <w:rPr>
          <w:rFonts w:ascii="Times New Roman" w:hAnsi="Times New Roman" w:cs="Times New Roman"/>
          <w:b/>
          <w:sz w:val="24"/>
          <w:szCs w:val="24"/>
          <w:lang w:val="en-GB"/>
        </w:rPr>
      </w:pPr>
      <w:r w:rsidRPr="00FC216E">
        <w:rPr>
          <w:rFonts w:ascii="Times New Roman" w:hAnsi="Times New Roman" w:cs="Times New Roman"/>
          <w:b/>
          <w:sz w:val="24"/>
          <w:szCs w:val="24"/>
          <w:lang w:val="en-GB"/>
        </w:rPr>
        <w:lastRenderedPageBreak/>
        <w:t>N</w:t>
      </w:r>
      <w:r w:rsidR="00381A92" w:rsidRPr="00FC216E">
        <w:rPr>
          <w:rFonts w:ascii="Times New Roman" w:hAnsi="Times New Roman" w:cs="Times New Roman"/>
          <w:b/>
          <w:sz w:val="24"/>
          <w:szCs w:val="24"/>
          <w:lang w:val="en-GB"/>
        </w:rPr>
        <w:t>anoMIPs size</w:t>
      </w:r>
    </w:p>
    <w:p w:rsidR="005E677A" w:rsidRPr="00FC216E" w:rsidRDefault="008F107F" w:rsidP="008F107F">
      <w:pPr>
        <w:spacing w:line="360" w:lineRule="auto"/>
        <w:jc w:val="both"/>
        <w:rPr>
          <w:rFonts w:ascii="Times New Roman" w:hAnsi="Times New Roman" w:cs="Times New Roman"/>
          <w:sz w:val="24"/>
          <w:szCs w:val="24"/>
          <w:lang w:val="en-GB"/>
        </w:rPr>
      </w:pPr>
      <w:r w:rsidRPr="00FC216E">
        <w:rPr>
          <w:rFonts w:ascii="Times New Roman" w:hAnsi="Times New Roman" w:cs="Times New Roman"/>
          <w:sz w:val="24"/>
          <w:szCs w:val="24"/>
          <w:lang w:val="en-GB"/>
        </w:rPr>
        <w:t xml:space="preserve">The determination of size distribution of the nanoMIPs was </w:t>
      </w:r>
      <w:r w:rsidR="00993E2E" w:rsidRPr="00FC216E">
        <w:rPr>
          <w:rFonts w:ascii="Times New Roman" w:hAnsi="Times New Roman" w:cs="Times New Roman"/>
          <w:sz w:val="24"/>
          <w:szCs w:val="24"/>
          <w:lang w:val="en-GB"/>
        </w:rPr>
        <w:t>made</w:t>
      </w:r>
      <w:r w:rsidRPr="00FC216E">
        <w:rPr>
          <w:rFonts w:ascii="Times New Roman" w:hAnsi="Times New Roman" w:cs="Times New Roman"/>
          <w:sz w:val="24"/>
          <w:szCs w:val="24"/>
          <w:lang w:val="en-GB"/>
        </w:rPr>
        <w:t xml:space="preserve"> using </w:t>
      </w:r>
      <w:r w:rsidR="00993E2E" w:rsidRPr="00FC216E">
        <w:rPr>
          <w:rFonts w:ascii="Times New Roman" w:hAnsi="Times New Roman" w:cs="Times New Roman"/>
          <w:sz w:val="24"/>
          <w:szCs w:val="24"/>
          <w:lang w:val="en-GB"/>
        </w:rPr>
        <w:t xml:space="preserve">the </w:t>
      </w:r>
      <w:r w:rsidRPr="00FC216E">
        <w:rPr>
          <w:rFonts w:ascii="Times New Roman" w:hAnsi="Times New Roman" w:cs="Times New Roman"/>
          <w:sz w:val="24"/>
          <w:szCs w:val="24"/>
          <w:lang w:val="en-GB"/>
        </w:rPr>
        <w:t xml:space="preserve">Dynamic Light Scattering </w:t>
      </w:r>
      <w:r w:rsidR="00993E2E" w:rsidRPr="00FC216E">
        <w:rPr>
          <w:rFonts w:ascii="Times New Roman" w:hAnsi="Times New Roman" w:cs="Times New Roman"/>
          <w:sz w:val="24"/>
          <w:szCs w:val="24"/>
          <w:lang w:val="en-GB"/>
        </w:rPr>
        <w:t>(</w:t>
      </w:r>
      <w:r w:rsidRPr="00FC216E">
        <w:rPr>
          <w:rFonts w:ascii="Times New Roman" w:hAnsi="Times New Roman" w:cs="Times New Roman"/>
          <w:sz w:val="24"/>
          <w:szCs w:val="24"/>
          <w:lang w:val="en-GB"/>
        </w:rPr>
        <w:t>DLS</w:t>
      </w:r>
      <w:r w:rsidR="00993E2E" w:rsidRPr="00FC216E">
        <w:rPr>
          <w:rFonts w:ascii="Times New Roman" w:hAnsi="Times New Roman" w:cs="Times New Roman"/>
          <w:sz w:val="24"/>
          <w:szCs w:val="24"/>
          <w:lang w:val="en-GB"/>
        </w:rPr>
        <w:t>) technique</w:t>
      </w:r>
      <w:r w:rsidRPr="00FC216E">
        <w:rPr>
          <w:rFonts w:ascii="Times New Roman" w:hAnsi="Times New Roman" w:cs="Times New Roman"/>
          <w:sz w:val="24"/>
          <w:szCs w:val="24"/>
          <w:lang w:val="en-GB"/>
        </w:rPr>
        <w:t xml:space="preserve">. The </w:t>
      </w:r>
      <w:r w:rsidR="00993E2E" w:rsidRPr="00FC216E">
        <w:rPr>
          <w:rFonts w:ascii="Times New Roman" w:hAnsi="Times New Roman" w:cs="Times New Roman"/>
          <w:sz w:val="24"/>
          <w:szCs w:val="24"/>
          <w:lang w:val="en-GB"/>
        </w:rPr>
        <w:t xml:space="preserve">typical </w:t>
      </w:r>
      <w:r w:rsidRPr="00FC216E">
        <w:rPr>
          <w:rFonts w:ascii="Times New Roman" w:hAnsi="Times New Roman" w:cs="Times New Roman"/>
          <w:sz w:val="24"/>
          <w:szCs w:val="24"/>
          <w:lang w:val="en-GB"/>
        </w:rPr>
        <w:t>size distribution of nanoparticles in aqueous format is shown in Fig</w:t>
      </w:r>
      <w:r w:rsidR="00993E2E" w:rsidRPr="00FC216E">
        <w:rPr>
          <w:rFonts w:ascii="Times New Roman" w:hAnsi="Times New Roman" w:cs="Times New Roman"/>
          <w:sz w:val="24"/>
          <w:szCs w:val="24"/>
          <w:lang w:val="en-GB"/>
        </w:rPr>
        <w:t>.</w:t>
      </w:r>
      <w:r w:rsidRPr="00FC216E">
        <w:rPr>
          <w:rFonts w:ascii="Times New Roman" w:hAnsi="Times New Roman" w:cs="Times New Roman"/>
          <w:sz w:val="24"/>
          <w:szCs w:val="24"/>
          <w:lang w:val="en-GB"/>
        </w:rPr>
        <w:t xml:space="preserve"> S4. </w:t>
      </w:r>
    </w:p>
    <w:p w:rsidR="0053367A" w:rsidRPr="00FC216E" w:rsidRDefault="0053367A" w:rsidP="0053367A">
      <w:pPr>
        <w:rPr>
          <w:rFonts w:ascii="Times New Roman" w:hAnsi="Times New Roman" w:cs="Times New Roman"/>
          <w:sz w:val="24"/>
          <w:szCs w:val="24"/>
          <w:lang w:val="en-GB"/>
        </w:rPr>
      </w:pPr>
    </w:p>
    <w:p w:rsidR="007E12BC" w:rsidRPr="00FC216E" w:rsidRDefault="007E12BC" w:rsidP="007E12BC">
      <w:pPr>
        <w:spacing w:after="0" w:line="480" w:lineRule="auto"/>
        <w:jc w:val="center"/>
        <w:rPr>
          <w:rFonts w:ascii="Times New Roman" w:hAnsi="Times New Roman" w:cs="Times New Roman"/>
          <w:sz w:val="24"/>
          <w:szCs w:val="24"/>
          <w:lang w:val="en-US"/>
        </w:rPr>
      </w:pPr>
      <w:r w:rsidRPr="00FC216E">
        <w:rPr>
          <w:rFonts w:ascii="Times New Roman" w:hAnsi="Times New Roman" w:cs="Times New Roman"/>
          <w:noProof/>
          <w:sz w:val="24"/>
          <w:szCs w:val="24"/>
          <w:lang w:val="en-GB" w:eastAsia="en-GB"/>
        </w:rPr>
        <w:drawing>
          <wp:inline distT="0" distB="0" distL="0" distR="0" wp14:anchorId="3B604ABA" wp14:editId="781F9064">
            <wp:extent cx="5514975" cy="3124200"/>
            <wp:effectExtent l="0" t="0" r="9525" b="0"/>
            <wp:docPr id="9" name="image23.png" descr="C:\Users\Usuario\Dropbox\CARPETAS COMPARTIDAS\YADI-MYLEIDI\PASANTÍA YADI\PAPER\Figuras\DLS MIPs.png"/>
            <wp:cNvGraphicFramePr/>
            <a:graphic xmlns:a="http://schemas.openxmlformats.org/drawingml/2006/main">
              <a:graphicData uri="http://schemas.openxmlformats.org/drawingml/2006/picture">
                <pic:pic xmlns:pic="http://schemas.openxmlformats.org/drawingml/2006/picture">
                  <pic:nvPicPr>
                    <pic:cNvPr id="0" name="image23.png" descr="C:\Users\Usuario\Dropbox\CARPETAS COMPARTIDAS\YADI-MYLEIDI\PASANTÍA YADI\PAPER\Figuras\DLS MIPs.png"/>
                    <pic:cNvPicPr preferRelativeResize="0"/>
                  </pic:nvPicPr>
                  <pic:blipFill rotWithShape="1">
                    <a:blip r:embed="rId13"/>
                    <a:srcRect l="1243" t="4862" r="1192" b="2128"/>
                    <a:stretch/>
                  </pic:blipFill>
                  <pic:spPr bwMode="auto">
                    <a:xfrm>
                      <a:off x="0" y="0"/>
                      <a:ext cx="5526294" cy="3130612"/>
                    </a:xfrm>
                    <a:prstGeom prst="rect">
                      <a:avLst/>
                    </a:prstGeom>
                    <a:ln>
                      <a:noFill/>
                    </a:ln>
                    <a:extLst>
                      <a:ext uri="{53640926-AAD7-44D8-BBD7-CCE9431645EC}">
                        <a14:shadowObscured xmlns:a14="http://schemas.microsoft.com/office/drawing/2010/main"/>
                      </a:ext>
                    </a:extLst>
                  </pic:spPr>
                </pic:pic>
              </a:graphicData>
            </a:graphic>
          </wp:inline>
        </w:drawing>
      </w:r>
    </w:p>
    <w:p w:rsidR="007E12BC" w:rsidRPr="00FC216E" w:rsidRDefault="007E12BC" w:rsidP="00993E2E">
      <w:pPr>
        <w:spacing w:after="0" w:line="480" w:lineRule="auto"/>
        <w:rPr>
          <w:rFonts w:ascii="Times New Roman" w:hAnsi="Times New Roman" w:cs="Times New Roman"/>
          <w:sz w:val="24"/>
          <w:szCs w:val="24"/>
          <w:lang w:val="en-US"/>
        </w:rPr>
      </w:pPr>
      <w:r w:rsidRPr="00FC216E">
        <w:rPr>
          <w:rFonts w:ascii="Times New Roman" w:hAnsi="Times New Roman" w:cs="Times New Roman"/>
          <w:b/>
          <w:sz w:val="24"/>
          <w:szCs w:val="24"/>
          <w:lang w:val="en-US"/>
        </w:rPr>
        <w:t xml:space="preserve">Figure </w:t>
      </w:r>
      <w:r w:rsidR="0003530F" w:rsidRPr="00FC216E">
        <w:rPr>
          <w:rFonts w:ascii="Times New Roman" w:hAnsi="Times New Roman" w:cs="Times New Roman"/>
          <w:b/>
          <w:sz w:val="24"/>
          <w:szCs w:val="24"/>
          <w:lang w:val="en-US"/>
        </w:rPr>
        <w:t>S4</w:t>
      </w:r>
      <w:r w:rsidRPr="00FC216E">
        <w:rPr>
          <w:rFonts w:ascii="Times New Roman" w:hAnsi="Times New Roman" w:cs="Times New Roman"/>
          <w:sz w:val="24"/>
          <w:szCs w:val="24"/>
          <w:lang w:val="en-US"/>
        </w:rPr>
        <w:t>. Particles size distribution of nanoMIPs measured by DLS.</w:t>
      </w:r>
    </w:p>
    <w:p w:rsidR="000F0830" w:rsidRPr="00FC216E" w:rsidRDefault="000F0830" w:rsidP="00381A92">
      <w:pPr>
        <w:spacing w:after="0" w:line="480" w:lineRule="auto"/>
        <w:jc w:val="both"/>
        <w:rPr>
          <w:rFonts w:ascii="Times New Roman" w:hAnsi="Times New Roman" w:cs="Times New Roman"/>
          <w:sz w:val="24"/>
          <w:szCs w:val="24"/>
          <w:lang w:val="en-US"/>
        </w:rPr>
      </w:pPr>
    </w:p>
    <w:p w:rsidR="00381A92" w:rsidRPr="00FC216E" w:rsidRDefault="00993E2E" w:rsidP="00381A92">
      <w:pPr>
        <w:pStyle w:val="ListParagraph"/>
        <w:numPr>
          <w:ilvl w:val="0"/>
          <w:numId w:val="1"/>
        </w:numPr>
        <w:spacing w:after="0" w:line="480" w:lineRule="auto"/>
        <w:jc w:val="both"/>
        <w:rPr>
          <w:rFonts w:ascii="Times New Roman" w:hAnsi="Times New Roman" w:cs="Times New Roman"/>
          <w:b/>
          <w:sz w:val="24"/>
          <w:szCs w:val="24"/>
          <w:lang w:val="en-US"/>
        </w:rPr>
      </w:pPr>
      <w:r w:rsidRPr="00FC216E">
        <w:rPr>
          <w:rFonts w:ascii="Times New Roman" w:hAnsi="Times New Roman" w:cs="Times New Roman"/>
          <w:b/>
          <w:sz w:val="24"/>
          <w:szCs w:val="24"/>
          <w:lang w:val="en-US"/>
        </w:rPr>
        <w:t>Optimisation of the b</w:t>
      </w:r>
      <w:r w:rsidR="00381A92" w:rsidRPr="00FC216E">
        <w:rPr>
          <w:rFonts w:ascii="Times New Roman" w:hAnsi="Times New Roman" w:cs="Times New Roman"/>
          <w:b/>
          <w:sz w:val="24"/>
          <w:szCs w:val="24"/>
          <w:lang w:val="en-US"/>
        </w:rPr>
        <w:t xml:space="preserve">locking </w:t>
      </w:r>
      <w:r w:rsidRPr="00FC216E">
        <w:rPr>
          <w:rFonts w:ascii="Times New Roman" w:hAnsi="Times New Roman" w:cs="Times New Roman"/>
          <w:b/>
          <w:sz w:val="24"/>
          <w:szCs w:val="24"/>
          <w:lang w:val="en-US"/>
        </w:rPr>
        <w:t>conditions</w:t>
      </w:r>
    </w:p>
    <w:p w:rsidR="003703B6" w:rsidRPr="00FC216E" w:rsidRDefault="007B06E7" w:rsidP="007B06E7">
      <w:pPr>
        <w:spacing w:after="0" w:line="360" w:lineRule="auto"/>
        <w:jc w:val="both"/>
        <w:rPr>
          <w:rFonts w:ascii="Times New Roman" w:hAnsi="Times New Roman" w:cs="Times New Roman"/>
          <w:sz w:val="24"/>
          <w:szCs w:val="24"/>
          <w:lang w:val="en-US"/>
        </w:rPr>
      </w:pPr>
      <w:r w:rsidRPr="00FC216E">
        <w:rPr>
          <w:rFonts w:ascii="Times New Roman" w:hAnsi="Times New Roman" w:cs="Times New Roman"/>
          <w:sz w:val="24"/>
          <w:szCs w:val="24"/>
          <w:lang w:val="en-US"/>
        </w:rPr>
        <w:t>Optimi</w:t>
      </w:r>
      <w:r w:rsidR="00993E2E" w:rsidRPr="00FC216E">
        <w:rPr>
          <w:rFonts w:ascii="Times New Roman" w:hAnsi="Times New Roman" w:cs="Times New Roman"/>
          <w:sz w:val="24"/>
          <w:szCs w:val="24"/>
          <w:lang w:val="en-US"/>
        </w:rPr>
        <w:t>s</w:t>
      </w:r>
      <w:r w:rsidRPr="00FC216E">
        <w:rPr>
          <w:rFonts w:ascii="Times New Roman" w:hAnsi="Times New Roman" w:cs="Times New Roman"/>
          <w:sz w:val="24"/>
          <w:szCs w:val="24"/>
          <w:lang w:val="en-US"/>
        </w:rPr>
        <w:t xml:space="preserve">ation of the blocking </w:t>
      </w:r>
      <w:r w:rsidR="00993E2E" w:rsidRPr="00FC216E">
        <w:rPr>
          <w:rFonts w:ascii="Times New Roman" w:hAnsi="Times New Roman" w:cs="Times New Roman"/>
          <w:sz w:val="24"/>
          <w:szCs w:val="24"/>
          <w:lang w:val="en-US"/>
        </w:rPr>
        <w:t>conditions</w:t>
      </w:r>
      <w:r w:rsidRPr="00FC216E">
        <w:rPr>
          <w:rFonts w:ascii="Times New Roman" w:hAnsi="Times New Roman" w:cs="Times New Roman"/>
          <w:sz w:val="24"/>
          <w:szCs w:val="24"/>
          <w:lang w:val="en-US"/>
        </w:rPr>
        <w:t xml:space="preserve"> was performed using response surface methodology for studying the correlation between response and factors.</w:t>
      </w:r>
      <w:r w:rsidRPr="00FC216E">
        <w:rPr>
          <w:lang w:val="en-GB"/>
        </w:rPr>
        <w:t xml:space="preserve"> </w:t>
      </w:r>
      <w:r w:rsidRPr="00FC216E">
        <w:rPr>
          <w:rFonts w:ascii="Times New Roman" w:hAnsi="Times New Roman" w:cs="Times New Roman"/>
          <w:sz w:val="24"/>
          <w:szCs w:val="24"/>
          <w:lang w:val="en-US"/>
        </w:rPr>
        <w:t xml:space="preserve">Box-Behnken design (BBD) was employed to evaluate the main interaction and quadratic effects of the protein, </w:t>
      </w:r>
      <w:r w:rsidR="00993E2E" w:rsidRPr="00FC216E">
        <w:rPr>
          <w:rFonts w:ascii="Times New Roman" w:hAnsi="Times New Roman" w:cs="Times New Roman"/>
          <w:sz w:val="24"/>
          <w:szCs w:val="24"/>
          <w:lang w:val="en-US"/>
        </w:rPr>
        <w:t xml:space="preserve">the </w:t>
      </w:r>
      <w:r w:rsidRPr="00FC216E">
        <w:rPr>
          <w:rFonts w:ascii="Times New Roman" w:hAnsi="Times New Roman" w:cs="Times New Roman"/>
          <w:sz w:val="24"/>
          <w:szCs w:val="24"/>
          <w:lang w:val="en-US"/>
        </w:rPr>
        <w:t xml:space="preserve">surfactant, and time of incubation of the blocking solution in the ELISA assay. </w:t>
      </w:r>
      <w:r w:rsidR="00993E2E" w:rsidRPr="00FC216E">
        <w:rPr>
          <w:rFonts w:ascii="Times New Roman" w:hAnsi="Times New Roman" w:cs="Times New Roman"/>
          <w:sz w:val="24"/>
          <w:szCs w:val="24"/>
          <w:lang w:val="en-US"/>
        </w:rPr>
        <w:t>The parameters, specifically, t</w:t>
      </w:r>
      <w:r w:rsidRPr="00FC216E">
        <w:rPr>
          <w:rFonts w:ascii="Times New Roman" w:hAnsi="Times New Roman" w:cs="Times New Roman"/>
          <w:sz w:val="24"/>
          <w:szCs w:val="24"/>
          <w:lang w:val="en-US"/>
        </w:rPr>
        <w:t xml:space="preserve">he ranges </w:t>
      </w:r>
      <w:r w:rsidR="00993E2E" w:rsidRPr="00FC216E">
        <w:rPr>
          <w:rFonts w:ascii="Times New Roman" w:hAnsi="Times New Roman" w:cs="Times New Roman"/>
          <w:sz w:val="24"/>
          <w:szCs w:val="24"/>
          <w:lang w:val="en-US"/>
        </w:rPr>
        <w:t xml:space="preserve">and constrains for each factor , </w:t>
      </w:r>
      <w:r w:rsidRPr="00FC216E">
        <w:rPr>
          <w:rFonts w:ascii="Times New Roman" w:hAnsi="Times New Roman" w:cs="Times New Roman"/>
          <w:sz w:val="24"/>
          <w:szCs w:val="24"/>
          <w:lang w:val="en-US"/>
        </w:rPr>
        <w:t>responses values, design comprising 15 runs and analysis of variance for the response surface quadratic model for optimi</w:t>
      </w:r>
      <w:r w:rsidR="00993E2E" w:rsidRPr="00FC216E">
        <w:rPr>
          <w:rFonts w:ascii="Times New Roman" w:hAnsi="Times New Roman" w:cs="Times New Roman"/>
          <w:sz w:val="24"/>
          <w:szCs w:val="24"/>
          <w:lang w:val="en-US"/>
        </w:rPr>
        <w:t>s</w:t>
      </w:r>
      <w:r w:rsidRPr="00FC216E">
        <w:rPr>
          <w:rFonts w:ascii="Times New Roman" w:hAnsi="Times New Roman" w:cs="Times New Roman"/>
          <w:sz w:val="24"/>
          <w:szCs w:val="24"/>
          <w:lang w:val="en-US"/>
        </w:rPr>
        <w:t>ation of the blocking solution are presented in Table S1 and Table S2, respectively.</w:t>
      </w:r>
      <w:r w:rsidRPr="00FC216E">
        <w:rPr>
          <w:lang w:val="en-GB"/>
        </w:rPr>
        <w:t xml:space="preserve"> </w:t>
      </w:r>
      <w:r w:rsidRPr="00FC216E">
        <w:rPr>
          <w:rFonts w:ascii="Times New Roman" w:hAnsi="Times New Roman" w:cs="Times New Roman"/>
          <w:sz w:val="24"/>
          <w:szCs w:val="24"/>
          <w:lang w:val="en-US"/>
        </w:rPr>
        <w:t xml:space="preserve">Three-dimensional response surface contour plots of the signal between MIPs and wells without MIPs is shown on Figure S6. </w:t>
      </w:r>
    </w:p>
    <w:p w:rsidR="003703B6" w:rsidRPr="00FC216E" w:rsidRDefault="003703B6" w:rsidP="007B06E7">
      <w:pPr>
        <w:spacing w:after="0" w:line="360" w:lineRule="auto"/>
        <w:jc w:val="both"/>
        <w:rPr>
          <w:rFonts w:ascii="Times New Roman" w:hAnsi="Times New Roman" w:cs="Times New Roman"/>
          <w:sz w:val="24"/>
          <w:szCs w:val="24"/>
          <w:lang w:val="en-US"/>
        </w:rPr>
      </w:pPr>
    </w:p>
    <w:p w:rsidR="00993E2E" w:rsidRPr="00FC216E" w:rsidRDefault="00993E2E" w:rsidP="007B06E7">
      <w:pPr>
        <w:spacing w:after="0" w:line="360" w:lineRule="auto"/>
        <w:jc w:val="both"/>
        <w:rPr>
          <w:rFonts w:ascii="Times New Roman" w:hAnsi="Times New Roman" w:cs="Times New Roman"/>
          <w:sz w:val="24"/>
          <w:szCs w:val="24"/>
          <w:lang w:val="en-US"/>
        </w:rPr>
      </w:pPr>
    </w:p>
    <w:p w:rsidR="000F0830" w:rsidRPr="00FC216E" w:rsidRDefault="000F0830" w:rsidP="00993E2E">
      <w:pPr>
        <w:rPr>
          <w:rFonts w:ascii="Times New Roman" w:hAnsi="Times New Roman" w:cs="Times New Roman"/>
          <w:sz w:val="24"/>
          <w:szCs w:val="24"/>
          <w:lang w:val="en-US"/>
        </w:rPr>
      </w:pPr>
      <w:r w:rsidRPr="00FC216E">
        <w:rPr>
          <w:rFonts w:ascii="Times New Roman" w:hAnsi="Times New Roman" w:cs="Times New Roman"/>
          <w:b/>
          <w:sz w:val="24"/>
          <w:szCs w:val="24"/>
          <w:lang w:val="en-US"/>
        </w:rPr>
        <w:lastRenderedPageBreak/>
        <w:t xml:space="preserve">Table </w:t>
      </w:r>
      <w:r w:rsidR="0003530F" w:rsidRPr="00FC216E">
        <w:rPr>
          <w:rFonts w:ascii="Times New Roman" w:hAnsi="Times New Roman" w:cs="Times New Roman"/>
          <w:b/>
          <w:sz w:val="24"/>
          <w:szCs w:val="24"/>
          <w:lang w:val="en-US"/>
        </w:rPr>
        <w:t>S</w:t>
      </w:r>
      <w:r w:rsidRPr="00FC216E">
        <w:rPr>
          <w:rFonts w:ascii="Times New Roman" w:hAnsi="Times New Roman" w:cs="Times New Roman"/>
          <w:b/>
          <w:sz w:val="24"/>
          <w:szCs w:val="24"/>
          <w:lang w:val="en-US"/>
        </w:rPr>
        <w:t>1</w:t>
      </w:r>
      <w:r w:rsidRPr="00FC216E">
        <w:rPr>
          <w:rFonts w:ascii="Times New Roman" w:hAnsi="Times New Roman" w:cs="Times New Roman"/>
          <w:sz w:val="24"/>
          <w:szCs w:val="24"/>
          <w:lang w:val="en-US"/>
        </w:rPr>
        <w:t xml:space="preserve"> Factors and responses in Box-Behnken experimental design</w:t>
      </w:r>
    </w:p>
    <w:tbl>
      <w:tblPr>
        <w:tblW w:w="7738" w:type="dxa"/>
        <w:jc w:val="center"/>
        <w:tblLayout w:type="fixed"/>
        <w:tblLook w:val="0400" w:firstRow="0" w:lastRow="0" w:firstColumn="0" w:lastColumn="0" w:noHBand="0" w:noVBand="1"/>
      </w:tblPr>
      <w:tblGrid>
        <w:gridCol w:w="3062"/>
        <w:gridCol w:w="1900"/>
        <w:gridCol w:w="1543"/>
        <w:gridCol w:w="1233"/>
      </w:tblGrid>
      <w:tr w:rsidR="00FC216E" w:rsidRPr="00FC216E" w:rsidTr="00993E2E">
        <w:trPr>
          <w:trHeight w:val="160"/>
          <w:jc w:val="center"/>
        </w:trPr>
        <w:tc>
          <w:tcPr>
            <w:tcW w:w="3062" w:type="dxa"/>
            <w:tcBorders>
              <w:top w:val="single" w:sz="4" w:space="0" w:color="000000"/>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b/>
                <w:sz w:val="24"/>
                <w:szCs w:val="24"/>
                <w:lang w:val="en-US"/>
              </w:rPr>
              <w:t> </w:t>
            </w:r>
          </w:p>
        </w:tc>
        <w:tc>
          <w:tcPr>
            <w:tcW w:w="1900" w:type="dxa"/>
            <w:tcBorders>
              <w:top w:val="single" w:sz="4" w:space="0" w:color="000000"/>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b/>
                <w:sz w:val="24"/>
                <w:szCs w:val="24"/>
                <w:lang w:val="en-US"/>
              </w:rPr>
              <w:t> </w:t>
            </w:r>
          </w:p>
        </w:tc>
        <w:tc>
          <w:tcPr>
            <w:tcW w:w="1543" w:type="dxa"/>
            <w:tcBorders>
              <w:top w:val="single" w:sz="4" w:space="0" w:color="000000"/>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 xml:space="preserve">Level </w:t>
            </w:r>
          </w:p>
        </w:tc>
        <w:tc>
          <w:tcPr>
            <w:tcW w:w="1233" w:type="dxa"/>
            <w:tcBorders>
              <w:top w:val="single" w:sz="4" w:space="0" w:color="000000"/>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b/>
                <w:sz w:val="24"/>
                <w:szCs w:val="24"/>
                <w:lang w:val="en-US"/>
              </w:rPr>
              <w:t> </w:t>
            </w:r>
          </w:p>
        </w:tc>
      </w:tr>
      <w:tr w:rsidR="00FC216E" w:rsidRPr="00FC216E" w:rsidTr="00993E2E">
        <w:trPr>
          <w:trHeight w:val="160"/>
          <w:jc w:val="center"/>
        </w:trPr>
        <w:tc>
          <w:tcPr>
            <w:tcW w:w="3062"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b/>
                <w:sz w:val="24"/>
                <w:szCs w:val="24"/>
                <w:lang w:val="en-US"/>
              </w:rPr>
              <w:t>Factor</w:t>
            </w:r>
          </w:p>
        </w:tc>
        <w:tc>
          <w:tcPr>
            <w:tcW w:w="1900"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Low (-1)</w:t>
            </w:r>
          </w:p>
        </w:tc>
        <w:tc>
          <w:tcPr>
            <w:tcW w:w="1543"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Medium (0)</w:t>
            </w:r>
          </w:p>
        </w:tc>
        <w:tc>
          <w:tcPr>
            <w:tcW w:w="1233"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High (+1)</w:t>
            </w:r>
          </w:p>
        </w:tc>
      </w:tr>
      <w:tr w:rsidR="00FC216E" w:rsidRPr="00FC216E" w:rsidTr="00993E2E">
        <w:trPr>
          <w:trHeight w:val="160"/>
          <w:jc w:val="center"/>
        </w:trPr>
        <w:tc>
          <w:tcPr>
            <w:tcW w:w="3062" w:type="dxa"/>
            <w:tcBorders>
              <w:top w:val="nil"/>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1</w:t>
            </w:r>
            <w:r w:rsidRPr="00FC216E">
              <w:rPr>
                <w:rFonts w:ascii="Times New Roman" w:hAnsi="Times New Roman" w:cs="Times New Roman"/>
                <w:sz w:val="24"/>
                <w:szCs w:val="24"/>
                <w:lang w:val="en-US"/>
              </w:rPr>
              <w:t>: BSA concentration (%)</w:t>
            </w:r>
          </w:p>
        </w:tc>
        <w:tc>
          <w:tcPr>
            <w:tcW w:w="1900"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0.1</w:t>
            </w:r>
          </w:p>
        </w:tc>
        <w:tc>
          <w:tcPr>
            <w:tcW w:w="1543"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w:t>
            </w:r>
          </w:p>
        </w:tc>
        <w:tc>
          <w:tcPr>
            <w:tcW w:w="1233"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w:t>
            </w:r>
          </w:p>
        </w:tc>
      </w:tr>
      <w:tr w:rsidR="00FC216E" w:rsidRPr="00FC216E" w:rsidTr="00993E2E">
        <w:trPr>
          <w:trHeight w:val="160"/>
          <w:jc w:val="center"/>
        </w:trPr>
        <w:tc>
          <w:tcPr>
            <w:tcW w:w="3062" w:type="dxa"/>
            <w:tcBorders>
              <w:top w:val="nil"/>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2</w:t>
            </w:r>
            <w:r w:rsidRPr="00FC216E">
              <w:rPr>
                <w:rFonts w:ascii="Times New Roman" w:hAnsi="Times New Roman" w:cs="Times New Roman"/>
                <w:sz w:val="24"/>
                <w:szCs w:val="24"/>
                <w:lang w:val="en-US"/>
              </w:rPr>
              <w:t>: Tween 20 (%)</w:t>
            </w:r>
          </w:p>
        </w:tc>
        <w:tc>
          <w:tcPr>
            <w:tcW w:w="1900"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w:t>
            </w:r>
          </w:p>
        </w:tc>
        <w:tc>
          <w:tcPr>
            <w:tcW w:w="1543"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233"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r>
      <w:tr w:rsidR="00FC216E" w:rsidRPr="00FC216E" w:rsidTr="00993E2E">
        <w:trPr>
          <w:trHeight w:val="160"/>
          <w:jc w:val="center"/>
        </w:trPr>
        <w:tc>
          <w:tcPr>
            <w:tcW w:w="3062"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3</w:t>
            </w:r>
            <w:r w:rsidRPr="00FC216E">
              <w:rPr>
                <w:rFonts w:ascii="Times New Roman" w:hAnsi="Times New Roman" w:cs="Times New Roman"/>
                <w:sz w:val="24"/>
                <w:szCs w:val="24"/>
                <w:lang w:val="en-US"/>
              </w:rPr>
              <w:t>: Incubation time (min)</w:t>
            </w:r>
          </w:p>
        </w:tc>
        <w:tc>
          <w:tcPr>
            <w:tcW w:w="1900"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60</w:t>
            </w:r>
          </w:p>
        </w:tc>
        <w:tc>
          <w:tcPr>
            <w:tcW w:w="1543"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w:t>
            </w:r>
          </w:p>
        </w:tc>
        <w:tc>
          <w:tcPr>
            <w:tcW w:w="1233"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120</w:t>
            </w:r>
          </w:p>
        </w:tc>
      </w:tr>
      <w:tr w:rsidR="00FC216E" w:rsidRPr="00FC216E" w:rsidTr="00993E2E">
        <w:trPr>
          <w:trHeight w:val="160"/>
          <w:jc w:val="center"/>
        </w:trPr>
        <w:tc>
          <w:tcPr>
            <w:tcW w:w="3062" w:type="dxa"/>
            <w:tcBorders>
              <w:top w:val="single" w:sz="4" w:space="0" w:color="000000"/>
              <w:left w:val="nil"/>
              <w:bottom w:val="single" w:sz="4" w:space="0" w:color="000000"/>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b/>
                <w:sz w:val="24"/>
                <w:szCs w:val="24"/>
                <w:lang w:val="en-US"/>
              </w:rPr>
              <w:t>Responses</w:t>
            </w:r>
          </w:p>
        </w:tc>
        <w:tc>
          <w:tcPr>
            <w:tcW w:w="1900" w:type="dxa"/>
            <w:tcBorders>
              <w:top w:val="single" w:sz="4" w:space="0" w:color="000000"/>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Constrain</w:t>
            </w:r>
            <w:r w:rsidR="00993E2E" w:rsidRPr="00FC216E">
              <w:rPr>
                <w:rFonts w:ascii="Times New Roman" w:hAnsi="Times New Roman" w:cs="Times New Roman"/>
                <w:b/>
                <w:sz w:val="24"/>
                <w:szCs w:val="24"/>
                <w:lang w:val="en-US"/>
              </w:rPr>
              <w:t>t</w:t>
            </w:r>
            <w:r w:rsidRPr="00FC216E">
              <w:rPr>
                <w:rFonts w:ascii="Times New Roman" w:hAnsi="Times New Roman" w:cs="Times New Roman"/>
                <w:b/>
                <w:sz w:val="24"/>
                <w:szCs w:val="24"/>
                <w:lang w:val="en-US"/>
              </w:rPr>
              <w:t xml:space="preserve">s </w:t>
            </w:r>
          </w:p>
        </w:tc>
        <w:tc>
          <w:tcPr>
            <w:tcW w:w="1543" w:type="dxa"/>
            <w:tcBorders>
              <w:top w:val="single" w:sz="4" w:space="0" w:color="000000"/>
              <w:left w:val="nil"/>
              <w:bottom w:val="single" w:sz="4" w:space="0" w:color="000000"/>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 </w:t>
            </w:r>
          </w:p>
        </w:tc>
        <w:tc>
          <w:tcPr>
            <w:tcW w:w="1233" w:type="dxa"/>
            <w:tcBorders>
              <w:top w:val="single" w:sz="4" w:space="0" w:color="000000"/>
              <w:left w:val="nil"/>
              <w:bottom w:val="single" w:sz="4" w:space="0" w:color="000000"/>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 </w:t>
            </w:r>
          </w:p>
        </w:tc>
      </w:tr>
      <w:tr w:rsidR="00FC216E" w:rsidRPr="00FC216E" w:rsidTr="00993E2E">
        <w:trPr>
          <w:trHeight w:val="340"/>
          <w:jc w:val="center"/>
        </w:trPr>
        <w:tc>
          <w:tcPr>
            <w:tcW w:w="3062" w:type="dxa"/>
            <w:tcBorders>
              <w:top w:val="nil"/>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R</w:t>
            </w:r>
            <w:r w:rsidRPr="00FC216E">
              <w:rPr>
                <w:rFonts w:ascii="Times New Roman" w:hAnsi="Times New Roman" w:cs="Times New Roman"/>
                <w:sz w:val="24"/>
                <w:szCs w:val="24"/>
                <w:vertAlign w:val="subscript"/>
                <w:lang w:val="en-US"/>
              </w:rPr>
              <w:t>1</w:t>
            </w:r>
            <w:r w:rsidRPr="00FC216E">
              <w:rPr>
                <w:rFonts w:ascii="Times New Roman" w:hAnsi="Times New Roman" w:cs="Times New Roman"/>
                <w:sz w:val="24"/>
                <w:szCs w:val="24"/>
                <w:lang w:val="en-US"/>
              </w:rPr>
              <w:t xml:space="preserve">: Relation of the signal between MIPs and NIPs </w:t>
            </w:r>
          </w:p>
        </w:tc>
        <w:tc>
          <w:tcPr>
            <w:tcW w:w="1900"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Maximize</w:t>
            </w:r>
          </w:p>
        </w:tc>
        <w:tc>
          <w:tcPr>
            <w:tcW w:w="1543" w:type="dxa"/>
            <w:tcBorders>
              <w:top w:val="nil"/>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 </w:t>
            </w:r>
          </w:p>
        </w:tc>
        <w:tc>
          <w:tcPr>
            <w:tcW w:w="1233" w:type="dxa"/>
            <w:tcBorders>
              <w:top w:val="nil"/>
              <w:left w:val="nil"/>
              <w:bottom w:val="nil"/>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 </w:t>
            </w:r>
          </w:p>
        </w:tc>
      </w:tr>
      <w:tr w:rsidR="00FC216E" w:rsidRPr="00FC216E" w:rsidTr="00993E2E">
        <w:trPr>
          <w:trHeight w:val="520"/>
          <w:jc w:val="center"/>
        </w:trPr>
        <w:tc>
          <w:tcPr>
            <w:tcW w:w="3062" w:type="dxa"/>
            <w:tcBorders>
              <w:top w:val="nil"/>
              <w:left w:val="nil"/>
              <w:bottom w:val="single" w:sz="4" w:space="0" w:color="auto"/>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R</w:t>
            </w:r>
            <w:r w:rsidRPr="00FC216E">
              <w:rPr>
                <w:rFonts w:ascii="Times New Roman" w:hAnsi="Times New Roman" w:cs="Times New Roman"/>
                <w:sz w:val="24"/>
                <w:szCs w:val="24"/>
                <w:vertAlign w:val="subscript"/>
                <w:lang w:val="en-US"/>
              </w:rPr>
              <w:t>2</w:t>
            </w:r>
            <w:r w:rsidRPr="00FC216E">
              <w:rPr>
                <w:rFonts w:ascii="Times New Roman" w:hAnsi="Times New Roman" w:cs="Times New Roman"/>
                <w:sz w:val="24"/>
                <w:szCs w:val="24"/>
                <w:lang w:val="en-US"/>
              </w:rPr>
              <w:t xml:space="preserve">: Relation of the signal between MIPs and without MIPs </w:t>
            </w:r>
          </w:p>
        </w:tc>
        <w:tc>
          <w:tcPr>
            <w:tcW w:w="1900" w:type="dxa"/>
            <w:tcBorders>
              <w:top w:val="nil"/>
              <w:left w:val="nil"/>
              <w:bottom w:val="single" w:sz="4" w:space="0" w:color="auto"/>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Maximize</w:t>
            </w:r>
          </w:p>
        </w:tc>
        <w:tc>
          <w:tcPr>
            <w:tcW w:w="1543" w:type="dxa"/>
            <w:tcBorders>
              <w:top w:val="nil"/>
              <w:left w:val="nil"/>
              <w:bottom w:val="single" w:sz="4" w:space="0" w:color="auto"/>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 </w:t>
            </w:r>
          </w:p>
        </w:tc>
        <w:tc>
          <w:tcPr>
            <w:tcW w:w="1233" w:type="dxa"/>
            <w:tcBorders>
              <w:top w:val="nil"/>
              <w:left w:val="nil"/>
              <w:bottom w:val="single" w:sz="4" w:space="0" w:color="auto"/>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 </w:t>
            </w:r>
          </w:p>
        </w:tc>
      </w:tr>
      <w:tr w:rsidR="00FC216E" w:rsidRPr="00FC216E" w:rsidTr="00993E2E">
        <w:trPr>
          <w:trHeight w:val="520"/>
          <w:jc w:val="center"/>
        </w:trPr>
        <w:tc>
          <w:tcPr>
            <w:tcW w:w="7738" w:type="dxa"/>
            <w:gridSpan w:val="4"/>
            <w:tcBorders>
              <w:top w:val="nil"/>
              <w:left w:val="nil"/>
              <w:bottom w:val="single" w:sz="4" w:space="0" w:color="000000"/>
              <w:right w:val="nil"/>
            </w:tcBorders>
            <w:shd w:val="clear" w:color="auto" w:fill="FFFFFF"/>
            <w:vAlign w:val="bottom"/>
          </w:tcPr>
          <w:tbl>
            <w:tblPr>
              <w:tblW w:w="8322" w:type="dxa"/>
              <w:jc w:val="center"/>
              <w:tblLayout w:type="fixed"/>
              <w:tblLook w:val="0400" w:firstRow="0" w:lastRow="0" w:firstColumn="0" w:lastColumn="0" w:noHBand="0" w:noVBand="1"/>
            </w:tblPr>
            <w:tblGrid>
              <w:gridCol w:w="1241"/>
              <w:gridCol w:w="1819"/>
              <w:gridCol w:w="1130"/>
              <w:gridCol w:w="1577"/>
              <w:gridCol w:w="1149"/>
              <w:gridCol w:w="1406"/>
            </w:tblGrid>
            <w:tr w:rsidR="00FC216E" w:rsidRPr="00FC216E" w:rsidTr="00E07863">
              <w:trPr>
                <w:trHeight w:val="248"/>
                <w:jc w:val="center"/>
              </w:trPr>
              <w:tc>
                <w:tcPr>
                  <w:tcW w:w="1241" w:type="dxa"/>
                  <w:tcBorders>
                    <w:top w:val="single" w:sz="4" w:space="0" w:color="000000"/>
                    <w:left w:val="nil"/>
                    <w:bottom w:val="single" w:sz="4" w:space="0" w:color="000000"/>
                    <w:right w:val="nil"/>
                  </w:tcBorders>
                  <w:shd w:val="clear" w:color="auto" w:fill="FFFFFF"/>
                  <w:vAlign w:val="bottom"/>
                </w:tcPr>
                <w:p w:rsidR="000F0830" w:rsidRPr="00FC216E" w:rsidRDefault="000F0830" w:rsidP="000F0830">
                  <w:pPr>
                    <w:spacing w:after="0" w:line="240" w:lineRule="auto"/>
                    <w:rPr>
                      <w:rFonts w:ascii="Times New Roman" w:hAnsi="Times New Roman" w:cs="Times New Roman"/>
                      <w:sz w:val="24"/>
                      <w:szCs w:val="24"/>
                      <w:lang w:val="en-US"/>
                    </w:rPr>
                  </w:pPr>
                  <w:r w:rsidRPr="00FC216E">
                    <w:rPr>
                      <w:rFonts w:ascii="Times New Roman" w:hAnsi="Times New Roman" w:cs="Times New Roman"/>
                      <w:sz w:val="24"/>
                      <w:szCs w:val="24"/>
                      <w:lang w:val="en-US"/>
                    </w:rPr>
                    <w:t> </w:t>
                  </w:r>
                </w:p>
              </w:tc>
              <w:tc>
                <w:tcPr>
                  <w:tcW w:w="7081" w:type="dxa"/>
                  <w:gridSpan w:val="5"/>
                  <w:tcBorders>
                    <w:top w:val="single" w:sz="4" w:space="0" w:color="000000"/>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Blocking solution</w:t>
                  </w:r>
                </w:p>
              </w:tc>
            </w:tr>
            <w:tr w:rsidR="00FC216E" w:rsidRPr="00FC216E" w:rsidTr="00E07863">
              <w:trPr>
                <w:trHeight w:val="248"/>
                <w:jc w:val="center"/>
              </w:trPr>
              <w:tc>
                <w:tcPr>
                  <w:tcW w:w="1241"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p>
              </w:tc>
              <w:tc>
                <w:tcPr>
                  <w:tcW w:w="2949" w:type="dxa"/>
                  <w:gridSpan w:val="2"/>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 xml:space="preserve">                          Factors </w:t>
                  </w:r>
                </w:p>
              </w:tc>
              <w:tc>
                <w:tcPr>
                  <w:tcW w:w="4132" w:type="dxa"/>
                  <w:gridSpan w:val="3"/>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 xml:space="preserve">                       Responses </w:t>
                  </w:r>
                </w:p>
              </w:tc>
            </w:tr>
            <w:tr w:rsidR="00FC216E" w:rsidRPr="00FC216E" w:rsidTr="00E07863">
              <w:trPr>
                <w:trHeight w:val="248"/>
                <w:jc w:val="center"/>
              </w:trPr>
              <w:tc>
                <w:tcPr>
                  <w:tcW w:w="1241" w:type="dxa"/>
                  <w:tcBorders>
                    <w:top w:val="single" w:sz="4" w:space="0" w:color="000000"/>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 xml:space="preserve"> Exp No</w:t>
                  </w:r>
                </w:p>
              </w:tc>
              <w:tc>
                <w:tcPr>
                  <w:tcW w:w="1819"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F</w:t>
                  </w:r>
                  <w:r w:rsidRPr="00FC216E">
                    <w:rPr>
                      <w:rFonts w:ascii="Times New Roman" w:hAnsi="Times New Roman" w:cs="Times New Roman"/>
                      <w:b/>
                      <w:sz w:val="24"/>
                      <w:szCs w:val="24"/>
                      <w:vertAlign w:val="subscript"/>
                      <w:lang w:val="en-US"/>
                    </w:rPr>
                    <w:t>1</w:t>
                  </w:r>
                  <w:r w:rsidRPr="00FC216E">
                    <w:rPr>
                      <w:rFonts w:ascii="Times New Roman" w:hAnsi="Times New Roman" w:cs="Times New Roman"/>
                      <w:b/>
                      <w:sz w:val="24"/>
                      <w:szCs w:val="24"/>
                      <w:lang w:val="en-US"/>
                    </w:rPr>
                    <w:t xml:space="preserve"> (%)</w:t>
                  </w:r>
                </w:p>
              </w:tc>
              <w:tc>
                <w:tcPr>
                  <w:tcW w:w="1129"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F</w:t>
                  </w:r>
                  <w:r w:rsidRPr="00FC216E">
                    <w:rPr>
                      <w:rFonts w:ascii="Times New Roman" w:hAnsi="Times New Roman" w:cs="Times New Roman"/>
                      <w:b/>
                      <w:sz w:val="24"/>
                      <w:szCs w:val="24"/>
                      <w:vertAlign w:val="subscript"/>
                      <w:lang w:val="en-US"/>
                    </w:rPr>
                    <w:t>2</w:t>
                  </w:r>
                  <w:r w:rsidRPr="00FC216E">
                    <w:rPr>
                      <w:rFonts w:ascii="Times New Roman" w:hAnsi="Times New Roman" w:cs="Times New Roman"/>
                      <w:b/>
                      <w:sz w:val="24"/>
                      <w:szCs w:val="24"/>
                      <w:lang w:val="en-US"/>
                    </w:rPr>
                    <w:t xml:space="preserve"> (%)</w:t>
                  </w:r>
                </w:p>
              </w:tc>
              <w:tc>
                <w:tcPr>
                  <w:tcW w:w="1577"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F</w:t>
                  </w:r>
                  <w:r w:rsidRPr="00FC216E">
                    <w:rPr>
                      <w:rFonts w:ascii="Times New Roman" w:hAnsi="Times New Roman" w:cs="Times New Roman"/>
                      <w:b/>
                      <w:sz w:val="24"/>
                      <w:szCs w:val="24"/>
                      <w:vertAlign w:val="subscript"/>
                      <w:lang w:val="en-US"/>
                    </w:rPr>
                    <w:t>3</w:t>
                  </w:r>
                  <w:r w:rsidRPr="00FC216E">
                    <w:rPr>
                      <w:rFonts w:ascii="Times New Roman" w:hAnsi="Times New Roman" w:cs="Times New Roman"/>
                      <w:b/>
                      <w:sz w:val="24"/>
                      <w:szCs w:val="24"/>
                      <w:lang w:val="en-US"/>
                    </w:rPr>
                    <w:t xml:space="preserve"> (min)</w:t>
                  </w:r>
                </w:p>
              </w:tc>
              <w:tc>
                <w:tcPr>
                  <w:tcW w:w="1149"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R</w:t>
                  </w:r>
                  <w:r w:rsidRPr="00FC216E">
                    <w:rPr>
                      <w:rFonts w:ascii="Times New Roman" w:hAnsi="Times New Roman" w:cs="Times New Roman"/>
                      <w:b/>
                      <w:sz w:val="24"/>
                      <w:szCs w:val="24"/>
                      <w:vertAlign w:val="subscript"/>
                      <w:lang w:val="en-US"/>
                    </w:rPr>
                    <w:t>1</w:t>
                  </w:r>
                </w:p>
              </w:tc>
              <w:tc>
                <w:tcPr>
                  <w:tcW w:w="1405"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R</w:t>
                  </w:r>
                  <w:r w:rsidRPr="00FC216E">
                    <w:rPr>
                      <w:rFonts w:ascii="Times New Roman" w:hAnsi="Times New Roman" w:cs="Times New Roman"/>
                      <w:b/>
                      <w:sz w:val="24"/>
                      <w:szCs w:val="24"/>
                      <w:vertAlign w:val="subscript"/>
                      <w:lang w:val="en-US"/>
                    </w:rPr>
                    <w:t>2</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0.10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2.55</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9.57</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2.31</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3.99</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0.10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2.45</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10.50</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4</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1.64</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3.39</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5</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0.10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2.65</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14.76</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2.40</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8.03</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7</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0.10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3.39</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12.24</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8</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1.94</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2.04</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3.13</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9.36</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2.63</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6.48</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11</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2.10</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3.76</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1.00</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3.13</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2.17</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13*</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1.50</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1.64</w:t>
                  </w:r>
                </w:p>
              </w:tc>
            </w:tr>
            <w:tr w:rsidR="00FC216E" w:rsidRPr="00FC216E" w:rsidTr="00E07863">
              <w:trPr>
                <w:trHeight w:val="248"/>
                <w:jc w:val="center"/>
              </w:trPr>
              <w:tc>
                <w:tcPr>
                  <w:tcW w:w="1241"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14*</w:t>
                  </w:r>
                </w:p>
              </w:tc>
              <w:tc>
                <w:tcPr>
                  <w:tcW w:w="181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0.30</w:t>
                  </w:r>
                </w:p>
              </w:tc>
              <w:tc>
                <w:tcPr>
                  <w:tcW w:w="112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577"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90.00</w:t>
                  </w:r>
                </w:p>
              </w:tc>
              <w:tc>
                <w:tcPr>
                  <w:tcW w:w="1149"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1.47</w:t>
                  </w:r>
                </w:p>
              </w:tc>
              <w:tc>
                <w:tcPr>
                  <w:tcW w:w="1405"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1.40</w:t>
                  </w:r>
                </w:p>
              </w:tc>
            </w:tr>
            <w:tr w:rsidR="00FC216E" w:rsidRPr="00FC216E" w:rsidTr="00E07863">
              <w:trPr>
                <w:trHeight w:val="248"/>
                <w:jc w:val="center"/>
              </w:trPr>
              <w:tc>
                <w:tcPr>
                  <w:tcW w:w="1241"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15*</w:t>
                  </w:r>
                </w:p>
              </w:tc>
              <w:tc>
                <w:tcPr>
                  <w:tcW w:w="1819"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0.30</w:t>
                  </w:r>
                </w:p>
              </w:tc>
              <w:tc>
                <w:tcPr>
                  <w:tcW w:w="1129"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0.75</w:t>
                  </w:r>
                </w:p>
              </w:tc>
              <w:tc>
                <w:tcPr>
                  <w:tcW w:w="1577"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90.00</w:t>
                  </w:r>
                </w:p>
              </w:tc>
              <w:tc>
                <w:tcPr>
                  <w:tcW w:w="1149"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1.26</w:t>
                  </w:r>
                </w:p>
              </w:tc>
              <w:tc>
                <w:tcPr>
                  <w:tcW w:w="1405"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1.65</w:t>
                  </w:r>
                </w:p>
              </w:tc>
            </w:tr>
            <w:tr w:rsidR="00FC216E" w:rsidRPr="00FC216E" w:rsidTr="00E07863">
              <w:trPr>
                <w:trHeight w:val="248"/>
                <w:jc w:val="center"/>
              </w:trPr>
              <w:tc>
                <w:tcPr>
                  <w:tcW w:w="4190" w:type="dxa"/>
                  <w:gridSpan w:val="3"/>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*Center points in the design</w:t>
                  </w:r>
                </w:p>
              </w:tc>
              <w:tc>
                <w:tcPr>
                  <w:tcW w:w="1577"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p>
              </w:tc>
              <w:tc>
                <w:tcPr>
                  <w:tcW w:w="1149"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p>
              </w:tc>
              <w:tc>
                <w:tcPr>
                  <w:tcW w:w="1405"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p>
              </w:tc>
            </w:tr>
          </w:tbl>
          <w:p w:rsidR="000F0830" w:rsidRPr="00FC216E" w:rsidRDefault="000F0830" w:rsidP="000F0830">
            <w:pPr>
              <w:spacing w:after="0" w:line="240" w:lineRule="auto"/>
              <w:jc w:val="center"/>
              <w:rPr>
                <w:rFonts w:ascii="Times New Roman" w:hAnsi="Times New Roman" w:cs="Times New Roman"/>
                <w:sz w:val="24"/>
                <w:szCs w:val="24"/>
                <w:lang w:val="es-CL"/>
              </w:rPr>
            </w:pPr>
          </w:p>
        </w:tc>
      </w:tr>
    </w:tbl>
    <w:p w:rsidR="00ED09FA" w:rsidRPr="00FC216E" w:rsidRDefault="00ED09FA" w:rsidP="00ED09FA">
      <w:pPr>
        <w:spacing w:after="0" w:line="36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 xml:space="preserve">Table </w:t>
      </w:r>
      <w:r w:rsidR="0003530F" w:rsidRPr="00FC216E">
        <w:rPr>
          <w:rFonts w:ascii="Times New Roman" w:hAnsi="Times New Roman" w:cs="Times New Roman"/>
          <w:b/>
          <w:sz w:val="24"/>
          <w:szCs w:val="24"/>
          <w:lang w:val="en-US"/>
        </w:rPr>
        <w:t>S</w:t>
      </w:r>
      <w:r w:rsidRPr="00FC216E">
        <w:rPr>
          <w:rFonts w:ascii="Times New Roman" w:hAnsi="Times New Roman" w:cs="Times New Roman"/>
          <w:b/>
          <w:sz w:val="24"/>
          <w:szCs w:val="24"/>
          <w:lang w:val="en-US"/>
        </w:rPr>
        <w:t>2</w:t>
      </w:r>
      <w:r w:rsidR="00993E2E" w:rsidRPr="00FC216E">
        <w:rPr>
          <w:rFonts w:ascii="Times New Roman" w:hAnsi="Times New Roman" w:cs="Times New Roman"/>
          <w:sz w:val="24"/>
          <w:szCs w:val="24"/>
          <w:lang w:val="en-US"/>
        </w:rPr>
        <w:t xml:space="preserve"> </w:t>
      </w:r>
      <w:r w:rsidRPr="00FC216E">
        <w:rPr>
          <w:rFonts w:ascii="Times New Roman" w:hAnsi="Times New Roman" w:cs="Times New Roman"/>
          <w:sz w:val="24"/>
          <w:szCs w:val="24"/>
          <w:lang w:val="en-US"/>
        </w:rPr>
        <w:t>Analysis of variance for the response surface quadratic model for optimization</w:t>
      </w:r>
      <w:r w:rsidRPr="00FC216E">
        <w:rPr>
          <w:rFonts w:ascii="Times New Roman" w:hAnsi="Times New Roman" w:cs="Times New Roman"/>
          <w:i/>
          <w:sz w:val="24"/>
          <w:szCs w:val="24"/>
          <w:lang w:val="en-US"/>
        </w:rPr>
        <w:t xml:space="preserve"> </w:t>
      </w:r>
      <w:r w:rsidR="007B06E7" w:rsidRPr="00FC216E">
        <w:rPr>
          <w:rFonts w:ascii="Times New Roman" w:hAnsi="Times New Roman" w:cs="Times New Roman"/>
          <w:sz w:val="24"/>
          <w:szCs w:val="24"/>
          <w:lang w:val="en-US"/>
        </w:rPr>
        <w:t>of the blocking solution</w:t>
      </w:r>
    </w:p>
    <w:tbl>
      <w:tblPr>
        <w:tblW w:w="8980" w:type="dxa"/>
        <w:jc w:val="center"/>
        <w:tblLayout w:type="fixed"/>
        <w:tblLook w:val="0400" w:firstRow="0" w:lastRow="0" w:firstColumn="0" w:lastColumn="0" w:noHBand="0" w:noVBand="1"/>
      </w:tblPr>
      <w:tblGrid>
        <w:gridCol w:w="1653"/>
        <w:gridCol w:w="2020"/>
        <w:gridCol w:w="1189"/>
        <w:gridCol w:w="1728"/>
        <w:gridCol w:w="1195"/>
        <w:gridCol w:w="1195"/>
      </w:tblGrid>
      <w:tr w:rsidR="00FC216E" w:rsidRPr="00FC216E" w:rsidTr="00C44DEA">
        <w:trPr>
          <w:trHeight w:val="300"/>
          <w:jc w:val="center"/>
        </w:trPr>
        <w:tc>
          <w:tcPr>
            <w:tcW w:w="1653" w:type="dxa"/>
            <w:tcBorders>
              <w:top w:val="single" w:sz="4" w:space="0" w:color="000000"/>
              <w:left w:val="nil"/>
              <w:bottom w:val="single" w:sz="4" w:space="0" w:color="000000"/>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Source</w:t>
            </w:r>
          </w:p>
        </w:tc>
        <w:tc>
          <w:tcPr>
            <w:tcW w:w="2020" w:type="dxa"/>
            <w:tcBorders>
              <w:top w:val="single" w:sz="4" w:space="0" w:color="000000"/>
              <w:left w:val="nil"/>
              <w:bottom w:val="single" w:sz="4" w:space="0" w:color="000000"/>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Sum of squares</w:t>
            </w:r>
          </w:p>
        </w:tc>
        <w:tc>
          <w:tcPr>
            <w:tcW w:w="1189" w:type="dxa"/>
            <w:tcBorders>
              <w:top w:val="single" w:sz="4" w:space="0" w:color="000000"/>
              <w:left w:val="nil"/>
              <w:bottom w:val="single" w:sz="4" w:space="0" w:color="000000"/>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Df</w:t>
            </w:r>
          </w:p>
        </w:tc>
        <w:tc>
          <w:tcPr>
            <w:tcW w:w="1728" w:type="dxa"/>
            <w:tcBorders>
              <w:top w:val="single" w:sz="4" w:space="0" w:color="000000"/>
              <w:left w:val="nil"/>
              <w:bottom w:val="single" w:sz="4" w:space="0" w:color="000000"/>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Mean square</w:t>
            </w:r>
          </w:p>
        </w:tc>
        <w:tc>
          <w:tcPr>
            <w:tcW w:w="1195" w:type="dxa"/>
            <w:tcBorders>
              <w:top w:val="single" w:sz="4" w:space="0" w:color="000000"/>
              <w:left w:val="nil"/>
              <w:bottom w:val="single" w:sz="4" w:space="0" w:color="000000"/>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i/>
                <w:sz w:val="24"/>
                <w:szCs w:val="24"/>
                <w:lang w:val="en-US"/>
              </w:rPr>
              <w:t>F</w:t>
            </w:r>
            <w:r w:rsidRPr="00FC216E">
              <w:rPr>
                <w:rFonts w:ascii="Times New Roman" w:hAnsi="Times New Roman" w:cs="Times New Roman"/>
                <w:b/>
                <w:sz w:val="24"/>
                <w:szCs w:val="24"/>
                <w:lang w:val="en-US"/>
              </w:rPr>
              <w:t>-values</w:t>
            </w:r>
          </w:p>
        </w:tc>
        <w:tc>
          <w:tcPr>
            <w:tcW w:w="1195" w:type="dxa"/>
            <w:tcBorders>
              <w:top w:val="single" w:sz="4" w:space="0" w:color="000000"/>
              <w:left w:val="nil"/>
              <w:bottom w:val="single" w:sz="4" w:space="0" w:color="000000"/>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P-values</w:t>
            </w:r>
          </w:p>
        </w:tc>
      </w:tr>
      <w:tr w:rsidR="00FC216E" w:rsidRPr="00FC216E" w:rsidTr="00C44DEA">
        <w:trPr>
          <w:trHeight w:val="30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Model</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260.14</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6</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43.36</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36.81</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0.000</w:t>
            </w:r>
          </w:p>
        </w:tc>
      </w:tr>
      <w:tr w:rsidR="00FC216E" w:rsidRPr="00FC216E" w:rsidTr="00C44DEA">
        <w:trPr>
          <w:trHeight w:val="62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1</w:t>
            </w:r>
            <w:r w:rsidRPr="00FC216E">
              <w:rPr>
                <w:rFonts w:ascii="Times New Roman" w:hAnsi="Times New Roman" w:cs="Times New Roman"/>
                <w:sz w:val="24"/>
                <w:szCs w:val="24"/>
                <w:lang w:val="en-US"/>
              </w:rPr>
              <w:t>: BSA concentration</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109.67</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109.67</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101.31</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0.0002</w:t>
            </w:r>
          </w:p>
        </w:tc>
      </w:tr>
      <w:tr w:rsidR="00FC216E" w:rsidRPr="00FC216E" w:rsidTr="00C44DEA">
        <w:trPr>
          <w:trHeight w:val="30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2</w:t>
            </w:r>
            <w:r w:rsidRPr="00FC216E">
              <w:rPr>
                <w:rFonts w:ascii="Times New Roman" w:hAnsi="Times New Roman" w:cs="Times New Roman"/>
                <w:sz w:val="24"/>
                <w:szCs w:val="24"/>
                <w:lang w:val="en-US"/>
              </w:rPr>
              <w:t>: Tween 20</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2.14</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2.14</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1.98</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0.2185</w:t>
            </w:r>
          </w:p>
        </w:tc>
      </w:tr>
      <w:tr w:rsidR="00FC216E" w:rsidRPr="00FC216E" w:rsidTr="00C44DEA">
        <w:trPr>
          <w:trHeight w:val="62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3</w:t>
            </w:r>
            <w:r w:rsidRPr="00FC216E">
              <w:rPr>
                <w:rFonts w:ascii="Times New Roman" w:hAnsi="Times New Roman" w:cs="Times New Roman"/>
                <w:sz w:val="24"/>
                <w:szCs w:val="24"/>
                <w:lang w:val="en-US"/>
              </w:rPr>
              <w:t xml:space="preserve">: Incubation time </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42.41</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42.41</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39.18</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0.0015</w:t>
            </w:r>
          </w:p>
        </w:tc>
      </w:tr>
      <w:tr w:rsidR="00FC216E" w:rsidRPr="00FC216E" w:rsidTr="00C44DEA">
        <w:trPr>
          <w:trHeight w:val="30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1</w:t>
            </w: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1</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76.84</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76.84</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70.99</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0.0004</w:t>
            </w:r>
          </w:p>
        </w:tc>
      </w:tr>
      <w:tr w:rsidR="00FC216E" w:rsidRPr="00FC216E" w:rsidTr="00C44DEA">
        <w:trPr>
          <w:trHeight w:val="30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1</w:t>
            </w: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2</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0.58</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0.58</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0.54</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0.4952</w:t>
            </w:r>
          </w:p>
        </w:tc>
      </w:tr>
      <w:tr w:rsidR="00FC216E" w:rsidRPr="00FC216E" w:rsidTr="00C44DEA">
        <w:trPr>
          <w:trHeight w:val="30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1</w:t>
            </w: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3</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3.01</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3.01</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2.78</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0.1563</w:t>
            </w:r>
          </w:p>
        </w:tc>
      </w:tr>
      <w:tr w:rsidR="00FC216E" w:rsidRPr="00FC216E" w:rsidTr="00C44DEA">
        <w:trPr>
          <w:trHeight w:val="300"/>
          <w:jc w:val="center"/>
        </w:trPr>
        <w:tc>
          <w:tcPr>
            <w:tcW w:w="1653"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2</w:t>
            </w: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2</w:t>
            </w:r>
          </w:p>
        </w:tc>
        <w:tc>
          <w:tcPr>
            <w:tcW w:w="2020"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2.01</w:t>
            </w:r>
          </w:p>
        </w:tc>
        <w:tc>
          <w:tcPr>
            <w:tcW w:w="1189"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 xml:space="preserve"> </w:t>
            </w:r>
          </w:p>
        </w:tc>
        <w:tc>
          <w:tcPr>
            <w:tcW w:w="1728"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2.01</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1.85</w:t>
            </w:r>
          </w:p>
        </w:tc>
        <w:tc>
          <w:tcPr>
            <w:tcW w:w="1195" w:type="dxa"/>
            <w:tcBorders>
              <w:top w:val="nil"/>
              <w:left w:val="nil"/>
              <w:bottom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0.2315</w:t>
            </w:r>
          </w:p>
        </w:tc>
      </w:tr>
      <w:tr w:rsidR="00FC216E" w:rsidRPr="00FC216E" w:rsidTr="00C44DEA">
        <w:trPr>
          <w:trHeight w:val="300"/>
          <w:jc w:val="center"/>
        </w:trPr>
        <w:tc>
          <w:tcPr>
            <w:tcW w:w="1653" w:type="dxa"/>
            <w:tcBorders>
              <w:top w:val="nil"/>
              <w:left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2</w:t>
            </w: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3</w:t>
            </w:r>
          </w:p>
        </w:tc>
        <w:tc>
          <w:tcPr>
            <w:tcW w:w="2020" w:type="dxa"/>
            <w:tcBorders>
              <w:top w:val="nil"/>
              <w:left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0.42</w:t>
            </w:r>
          </w:p>
        </w:tc>
        <w:tc>
          <w:tcPr>
            <w:tcW w:w="1189" w:type="dxa"/>
            <w:tcBorders>
              <w:top w:val="nil"/>
              <w:left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0.42</w:t>
            </w:r>
          </w:p>
        </w:tc>
        <w:tc>
          <w:tcPr>
            <w:tcW w:w="1195" w:type="dxa"/>
            <w:tcBorders>
              <w:top w:val="nil"/>
              <w:left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0.38</w:t>
            </w:r>
          </w:p>
        </w:tc>
        <w:tc>
          <w:tcPr>
            <w:tcW w:w="1195" w:type="dxa"/>
            <w:tcBorders>
              <w:top w:val="nil"/>
              <w:left w:val="nil"/>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0.5624</w:t>
            </w:r>
          </w:p>
        </w:tc>
      </w:tr>
      <w:tr w:rsidR="00FC216E" w:rsidRPr="00FC216E" w:rsidTr="00C44DEA">
        <w:trPr>
          <w:trHeight w:val="300"/>
          <w:jc w:val="center"/>
        </w:trPr>
        <w:tc>
          <w:tcPr>
            <w:tcW w:w="1653" w:type="dxa"/>
            <w:tcBorders>
              <w:top w:val="nil"/>
              <w:left w:val="nil"/>
              <w:bottom w:val="single" w:sz="4" w:space="0" w:color="auto"/>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3</w:t>
            </w:r>
            <w:r w:rsidRPr="00FC216E">
              <w:rPr>
                <w:rFonts w:ascii="Times New Roman" w:hAnsi="Times New Roman" w:cs="Times New Roman"/>
                <w:sz w:val="24"/>
                <w:szCs w:val="24"/>
                <w:lang w:val="en-US"/>
              </w:rPr>
              <w:t>F</w:t>
            </w:r>
            <w:r w:rsidRPr="00FC216E">
              <w:rPr>
                <w:rFonts w:ascii="Times New Roman" w:hAnsi="Times New Roman" w:cs="Times New Roman"/>
                <w:sz w:val="24"/>
                <w:szCs w:val="24"/>
                <w:vertAlign w:val="subscript"/>
                <w:lang w:val="en-US"/>
              </w:rPr>
              <w:t>3</w:t>
            </w:r>
          </w:p>
        </w:tc>
        <w:tc>
          <w:tcPr>
            <w:tcW w:w="2020" w:type="dxa"/>
            <w:tcBorders>
              <w:top w:val="nil"/>
              <w:left w:val="nil"/>
              <w:bottom w:val="single" w:sz="4" w:space="0" w:color="auto"/>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36.45</w:t>
            </w:r>
          </w:p>
        </w:tc>
        <w:tc>
          <w:tcPr>
            <w:tcW w:w="1189" w:type="dxa"/>
            <w:tcBorders>
              <w:top w:val="nil"/>
              <w:left w:val="nil"/>
              <w:bottom w:val="single" w:sz="4" w:space="0" w:color="auto"/>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w:t>
            </w:r>
          </w:p>
        </w:tc>
        <w:tc>
          <w:tcPr>
            <w:tcW w:w="1728" w:type="dxa"/>
            <w:tcBorders>
              <w:top w:val="nil"/>
              <w:left w:val="nil"/>
              <w:bottom w:val="single" w:sz="4" w:space="0" w:color="auto"/>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36.45</w:t>
            </w:r>
          </w:p>
        </w:tc>
        <w:tc>
          <w:tcPr>
            <w:tcW w:w="1195" w:type="dxa"/>
            <w:tcBorders>
              <w:top w:val="nil"/>
              <w:left w:val="nil"/>
              <w:bottom w:val="single" w:sz="4" w:space="0" w:color="auto"/>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33.68</w:t>
            </w:r>
          </w:p>
        </w:tc>
        <w:tc>
          <w:tcPr>
            <w:tcW w:w="1195" w:type="dxa"/>
            <w:tcBorders>
              <w:top w:val="nil"/>
              <w:left w:val="nil"/>
              <w:bottom w:val="single" w:sz="4" w:space="0" w:color="auto"/>
              <w:right w:val="nil"/>
            </w:tcBorders>
            <w:shd w:val="clear" w:color="auto" w:fill="FFFFFF"/>
            <w:vAlign w:val="center"/>
          </w:tcPr>
          <w:p w:rsidR="00ED09FA" w:rsidRPr="00FC216E" w:rsidRDefault="00ED09FA" w:rsidP="00ED09FA">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0.0021</w:t>
            </w:r>
          </w:p>
        </w:tc>
      </w:tr>
    </w:tbl>
    <w:p w:rsidR="00ED09FA" w:rsidRPr="00FC216E" w:rsidRDefault="00ED09FA" w:rsidP="007E12BC">
      <w:pPr>
        <w:spacing w:after="0" w:line="480" w:lineRule="auto"/>
        <w:jc w:val="both"/>
        <w:rPr>
          <w:rFonts w:ascii="Times New Roman" w:hAnsi="Times New Roman" w:cs="Times New Roman"/>
          <w:sz w:val="24"/>
          <w:szCs w:val="24"/>
          <w:lang w:val="en-US"/>
        </w:rPr>
      </w:pPr>
    </w:p>
    <w:p w:rsidR="007B06E7" w:rsidRPr="00FC216E" w:rsidRDefault="007B06E7" w:rsidP="007B06E7">
      <w:pPr>
        <w:spacing w:after="0" w:line="480" w:lineRule="auto"/>
        <w:jc w:val="center"/>
        <w:rPr>
          <w:rFonts w:ascii="Times New Roman" w:hAnsi="Times New Roman" w:cs="Times New Roman"/>
          <w:sz w:val="24"/>
          <w:szCs w:val="24"/>
          <w:lang w:val="en-US"/>
        </w:rPr>
      </w:pPr>
      <w:r w:rsidRPr="00FC216E">
        <w:rPr>
          <w:rFonts w:ascii="Times New Roman" w:hAnsi="Times New Roman" w:cs="Times New Roman"/>
          <w:noProof/>
          <w:sz w:val="24"/>
          <w:szCs w:val="24"/>
          <w:lang w:val="en-GB" w:eastAsia="en-GB"/>
        </w:rPr>
        <w:lastRenderedPageBreak/>
        <w:drawing>
          <wp:inline distT="0" distB="0" distL="0" distR="0" wp14:anchorId="5238F1FC">
            <wp:extent cx="4473192" cy="2099462"/>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25550" cy="2124036"/>
                    </a:xfrm>
                    <a:prstGeom prst="rect">
                      <a:avLst/>
                    </a:prstGeom>
                    <a:noFill/>
                  </pic:spPr>
                </pic:pic>
              </a:graphicData>
            </a:graphic>
          </wp:inline>
        </w:drawing>
      </w:r>
    </w:p>
    <w:p w:rsidR="00ED09FA" w:rsidRPr="00FC216E" w:rsidRDefault="007B06E7" w:rsidP="00993E2E">
      <w:pPr>
        <w:spacing w:after="0" w:line="240" w:lineRule="auto"/>
        <w:jc w:val="both"/>
        <w:rPr>
          <w:rFonts w:ascii="Times New Roman" w:hAnsi="Times New Roman" w:cs="Times New Roman"/>
          <w:sz w:val="24"/>
          <w:szCs w:val="24"/>
          <w:lang w:val="en-US"/>
        </w:rPr>
      </w:pPr>
      <w:r w:rsidRPr="00FC216E">
        <w:rPr>
          <w:rFonts w:ascii="Times New Roman" w:hAnsi="Times New Roman" w:cs="Times New Roman"/>
          <w:b/>
          <w:sz w:val="24"/>
          <w:szCs w:val="24"/>
          <w:lang w:val="en-US"/>
        </w:rPr>
        <w:t>Figure S</w:t>
      </w:r>
      <w:r w:rsidR="00F320C4" w:rsidRPr="00FC216E">
        <w:rPr>
          <w:rFonts w:ascii="Times New Roman" w:hAnsi="Times New Roman" w:cs="Times New Roman"/>
          <w:b/>
          <w:sz w:val="24"/>
          <w:szCs w:val="24"/>
          <w:lang w:val="en-US"/>
        </w:rPr>
        <w:t>5</w:t>
      </w:r>
      <w:r w:rsidRPr="00FC216E">
        <w:rPr>
          <w:rFonts w:ascii="Times New Roman" w:hAnsi="Times New Roman" w:cs="Times New Roman"/>
          <w:sz w:val="24"/>
          <w:szCs w:val="24"/>
          <w:lang w:val="en-US"/>
        </w:rPr>
        <w:t>. Three-dimensional response surface contour plots of the signal between MIPs and wells without MIPs</w:t>
      </w:r>
      <w:r w:rsidR="00993E2E" w:rsidRPr="00FC216E">
        <w:rPr>
          <w:rFonts w:ascii="Times New Roman" w:hAnsi="Times New Roman" w:cs="Times New Roman"/>
          <w:sz w:val="24"/>
          <w:szCs w:val="24"/>
          <w:lang w:val="en-US"/>
        </w:rPr>
        <w:t>.</w:t>
      </w:r>
    </w:p>
    <w:p w:rsidR="007B06E7" w:rsidRPr="00FC216E" w:rsidRDefault="007B06E7" w:rsidP="007B06E7">
      <w:pPr>
        <w:spacing w:after="0" w:line="240" w:lineRule="auto"/>
        <w:jc w:val="center"/>
        <w:rPr>
          <w:rFonts w:ascii="Times New Roman" w:hAnsi="Times New Roman" w:cs="Times New Roman"/>
          <w:sz w:val="24"/>
          <w:szCs w:val="24"/>
          <w:lang w:val="en-US"/>
        </w:rPr>
      </w:pPr>
    </w:p>
    <w:p w:rsidR="007E12BC" w:rsidRPr="00FC216E" w:rsidRDefault="007E12BC" w:rsidP="0053367A">
      <w:pPr>
        <w:rPr>
          <w:rFonts w:ascii="Times New Roman" w:hAnsi="Times New Roman" w:cs="Times New Roman"/>
          <w:b/>
          <w:sz w:val="24"/>
          <w:szCs w:val="24"/>
          <w:lang w:val="en-US"/>
        </w:rPr>
      </w:pPr>
    </w:p>
    <w:p w:rsidR="00381A92" w:rsidRPr="00FC216E" w:rsidRDefault="00993E2E" w:rsidP="00381A92">
      <w:pPr>
        <w:pStyle w:val="ListParagraph"/>
        <w:numPr>
          <w:ilvl w:val="0"/>
          <w:numId w:val="1"/>
        </w:numPr>
        <w:rPr>
          <w:rFonts w:ascii="Times New Roman" w:hAnsi="Times New Roman" w:cs="Times New Roman"/>
          <w:b/>
          <w:sz w:val="24"/>
          <w:szCs w:val="24"/>
          <w:lang w:val="en-US"/>
        </w:rPr>
      </w:pPr>
      <w:r w:rsidRPr="00FC216E">
        <w:rPr>
          <w:rFonts w:ascii="Times New Roman" w:hAnsi="Times New Roman" w:cs="Times New Roman"/>
          <w:b/>
          <w:sz w:val="24"/>
          <w:szCs w:val="24"/>
          <w:lang w:val="en-US"/>
        </w:rPr>
        <w:t xml:space="preserve">Optimisation of the conjugate concentration </w:t>
      </w:r>
    </w:p>
    <w:p w:rsidR="00381A92" w:rsidRPr="00FC216E" w:rsidRDefault="00FC792D" w:rsidP="00FC792D">
      <w:pPr>
        <w:spacing w:line="360" w:lineRule="auto"/>
        <w:jc w:val="both"/>
        <w:rPr>
          <w:rFonts w:ascii="Times New Roman" w:hAnsi="Times New Roman" w:cs="Times New Roman"/>
          <w:sz w:val="24"/>
          <w:szCs w:val="24"/>
          <w:lang w:val="en-US"/>
        </w:rPr>
      </w:pPr>
      <w:r w:rsidRPr="00FC216E">
        <w:rPr>
          <w:rFonts w:ascii="Times New Roman" w:hAnsi="Times New Roman" w:cs="Times New Roman"/>
          <w:sz w:val="24"/>
          <w:szCs w:val="24"/>
          <w:lang w:val="en-US"/>
        </w:rPr>
        <w:t xml:space="preserve">To choose the best concentration of the blocking solution blank assay was made. The difference in absorbance between signal </w:t>
      </w:r>
      <w:r w:rsidR="00E34B76" w:rsidRPr="00FC216E">
        <w:rPr>
          <w:rFonts w:ascii="Times New Roman" w:hAnsi="Times New Roman" w:cs="Times New Roman"/>
          <w:sz w:val="24"/>
          <w:szCs w:val="24"/>
          <w:lang w:val="en-US"/>
        </w:rPr>
        <w:t>from</w:t>
      </w:r>
      <w:r w:rsidRPr="00FC216E">
        <w:rPr>
          <w:rFonts w:ascii="Times New Roman" w:hAnsi="Times New Roman" w:cs="Times New Roman"/>
          <w:sz w:val="24"/>
          <w:szCs w:val="24"/>
          <w:lang w:val="en-US"/>
        </w:rPr>
        <w:t xml:space="preserve"> the well with and without nanoMIPs together with absorbance value were analy</w:t>
      </w:r>
      <w:r w:rsidR="00993E2E" w:rsidRPr="00FC216E">
        <w:rPr>
          <w:rFonts w:ascii="Times New Roman" w:hAnsi="Times New Roman" w:cs="Times New Roman"/>
          <w:sz w:val="24"/>
          <w:szCs w:val="24"/>
          <w:lang w:val="en-US"/>
        </w:rPr>
        <w:t>s</w:t>
      </w:r>
      <w:r w:rsidRPr="00FC216E">
        <w:rPr>
          <w:rFonts w:ascii="Times New Roman" w:hAnsi="Times New Roman" w:cs="Times New Roman"/>
          <w:sz w:val="24"/>
          <w:szCs w:val="24"/>
          <w:lang w:val="en-US"/>
        </w:rPr>
        <w:t xml:space="preserve">ed (Table S3). </w:t>
      </w:r>
      <w:r w:rsidR="0019489F" w:rsidRPr="00FC216E">
        <w:rPr>
          <w:rFonts w:ascii="Times New Roman" w:hAnsi="Times New Roman" w:cs="Times New Roman"/>
          <w:sz w:val="24"/>
          <w:szCs w:val="24"/>
          <w:lang w:val="en-US"/>
        </w:rPr>
        <w:t>T</w:t>
      </w:r>
      <w:r w:rsidR="00161889" w:rsidRPr="00FC216E">
        <w:rPr>
          <w:rFonts w:ascii="Times New Roman" w:hAnsi="Times New Roman" w:cs="Times New Roman"/>
          <w:sz w:val="24"/>
          <w:szCs w:val="24"/>
          <w:lang w:val="en-US"/>
        </w:rPr>
        <w:t>he selection of the HRP conjugate dilution 1:100 was based on the higher absorption values for the wells containing MIPs (1.728 ± 0.016 a.u.) that allowed to achieve higher sensitivity of the assay.</w:t>
      </w:r>
    </w:p>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 xml:space="preserve">Table </w:t>
      </w:r>
      <w:r w:rsidR="0003530F" w:rsidRPr="00FC216E">
        <w:rPr>
          <w:rFonts w:ascii="Times New Roman" w:hAnsi="Times New Roman" w:cs="Times New Roman"/>
          <w:b/>
          <w:sz w:val="24"/>
          <w:szCs w:val="24"/>
          <w:lang w:val="en-US"/>
        </w:rPr>
        <w:t>S</w:t>
      </w:r>
      <w:r w:rsidRPr="00FC216E">
        <w:rPr>
          <w:rFonts w:ascii="Times New Roman" w:hAnsi="Times New Roman" w:cs="Times New Roman"/>
          <w:b/>
          <w:sz w:val="24"/>
          <w:szCs w:val="24"/>
          <w:lang w:val="en-US"/>
        </w:rPr>
        <w:t xml:space="preserve">3. </w:t>
      </w:r>
      <w:r w:rsidRPr="00FC216E">
        <w:rPr>
          <w:rFonts w:ascii="Times New Roman" w:hAnsi="Times New Roman" w:cs="Times New Roman"/>
          <w:sz w:val="24"/>
          <w:szCs w:val="24"/>
          <w:lang w:val="en-US"/>
        </w:rPr>
        <w:t>Absorbance at 450 nm of the dilutions of the HRP-BZE</w:t>
      </w:r>
    </w:p>
    <w:tbl>
      <w:tblPr>
        <w:tblW w:w="9300" w:type="dxa"/>
        <w:tblInd w:w="-45" w:type="dxa"/>
        <w:tblLayout w:type="fixed"/>
        <w:tblLook w:val="0400" w:firstRow="0" w:lastRow="0" w:firstColumn="0" w:lastColumn="0" w:noHBand="0" w:noVBand="1"/>
      </w:tblPr>
      <w:tblGrid>
        <w:gridCol w:w="2712"/>
        <w:gridCol w:w="1984"/>
        <w:gridCol w:w="2224"/>
        <w:gridCol w:w="2380"/>
      </w:tblGrid>
      <w:tr w:rsidR="00FC216E" w:rsidRPr="00FC216E" w:rsidTr="00E07863">
        <w:trPr>
          <w:trHeight w:val="320"/>
        </w:trPr>
        <w:tc>
          <w:tcPr>
            <w:tcW w:w="9300" w:type="dxa"/>
            <w:gridSpan w:val="4"/>
            <w:tcBorders>
              <w:top w:val="single" w:sz="4" w:space="0" w:color="000000"/>
              <w:left w:val="nil"/>
              <w:bottom w:val="nil"/>
              <w:right w:val="nil"/>
            </w:tcBorders>
            <w:shd w:val="clear" w:color="auto" w:fill="FFFFFF"/>
            <w:vAlign w:val="center"/>
          </w:tcPr>
          <w:p w:rsidR="000F0830" w:rsidRPr="00FC216E" w:rsidRDefault="000F0830" w:rsidP="00E76AD2">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HRP-BZE</w:t>
            </w:r>
          </w:p>
        </w:tc>
      </w:tr>
      <w:tr w:rsidR="00FC216E" w:rsidRPr="00FC216E" w:rsidTr="00E07863">
        <w:trPr>
          <w:trHeight w:val="300"/>
        </w:trPr>
        <w:tc>
          <w:tcPr>
            <w:tcW w:w="2712" w:type="dxa"/>
            <w:tcBorders>
              <w:top w:val="single" w:sz="4" w:space="0" w:color="000000"/>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Dilutions</w:t>
            </w:r>
          </w:p>
        </w:tc>
        <w:tc>
          <w:tcPr>
            <w:tcW w:w="1984" w:type="dxa"/>
            <w:tcBorders>
              <w:top w:val="single" w:sz="4" w:space="0" w:color="000000"/>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MIPs</w:t>
            </w:r>
          </w:p>
        </w:tc>
        <w:tc>
          <w:tcPr>
            <w:tcW w:w="2224" w:type="dxa"/>
            <w:tcBorders>
              <w:top w:val="single" w:sz="4" w:space="0" w:color="000000"/>
              <w:left w:val="nil"/>
              <w:bottom w:val="nil"/>
              <w:right w:val="nil"/>
            </w:tcBorders>
            <w:shd w:val="clear" w:color="auto" w:fill="FFFFFF"/>
            <w:vAlign w:val="center"/>
          </w:tcPr>
          <w:p w:rsidR="000F0830" w:rsidRPr="00FC216E" w:rsidRDefault="00993E2E" w:rsidP="00993E2E">
            <w:pPr>
              <w:spacing w:after="0" w:line="240" w:lineRule="auto"/>
              <w:jc w:val="center"/>
              <w:rPr>
                <w:rFonts w:ascii="Times New Roman" w:hAnsi="Times New Roman" w:cs="Times New Roman"/>
                <w:sz w:val="24"/>
                <w:szCs w:val="24"/>
                <w:vertAlign w:val="superscript"/>
                <w:lang w:val="en-US"/>
              </w:rPr>
            </w:pPr>
            <w:r w:rsidRPr="00FC216E">
              <w:rPr>
                <w:rFonts w:ascii="Times New Roman" w:hAnsi="Times New Roman" w:cs="Times New Roman"/>
                <w:b/>
                <w:sz w:val="24"/>
                <w:szCs w:val="24"/>
                <w:lang w:val="en-US"/>
              </w:rPr>
              <w:t xml:space="preserve">Without </w:t>
            </w:r>
            <w:r w:rsidR="000F0830" w:rsidRPr="00FC216E">
              <w:rPr>
                <w:rFonts w:ascii="Times New Roman" w:hAnsi="Times New Roman" w:cs="Times New Roman"/>
                <w:b/>
                <w:sz w:val="24"/>
                <w:szCs w:val="24"/>
                <w:lang w:val="en-US"/>
              </w:rPr>
              <w:t>MIPs</w:t>
            </w:r>
          </w:p>
        </w:tc>
        <w:tc>
          <w:tcPr>
            <w:tcW w:w="2380" w:type="dxa"/>
            <w:tcBorders>
              <w:top w:val="single" w:sz="4" w:space="0" w:color="000000"/>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ABS MIPs/ABS w</w:t>
            </w:r>
            <w:r w:rsidR="00993E2E" w:rsidRPr="00FC216E">
              <w:rPr>
                <w:rFonts w:ascii="Times New Roman" w:hAnsi="Times New Roman" w:cs="Times New Roman"/>
                <w:b/>
                <w:sz w:val="24"/>
                <w:szCs w:val="24"/>
                <w:lang w:val="en-US"/>
              </w:rPr>
              <w:t xml:space="preserve">ithout </w:t>
            </w:r>
            <w:r w:rsidRPr="00FC216E">
              <w:rPr>
                <w:rFonts w:ascii="Times New Roman" w:hAnsi="Times New Roman" w:cs="Times New Roman"/>
                <w:b/>
                <w:sz w:val="24"/>
                <w:szCs w:val="24"/>
                <w:lang w:val="en-US"/>
              </w:rPr>
              <w:t>MIPs</w:t>
            </w:r>
          </w:p>
        </w:tc>
      </w:tr>
      <w:tr w:rsidR="00FC216E" w:rsidRPr="00FC216E" w:rsidTr="00E07863">
        <w:trPr>
          <w:trHeight w:val="300"/>
        </w:trPr>
        <w:tc>
          <w:tcPr>
            <w:tcW w:w="2712" w:type="dxa"/>
            <w:tcBorders>
              <w:top w:val="single" w:sz="4" w:space="0" w:color="000000"/>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1:100</w:t>
            </w:r>
          </w:p>
        </w:tc>
        <w:tc>
          <w:tcPr>
            <w:tcW w:w="1984" w:type="dxa"/>
            <w:tcBorders>
              <w:top w:val="single" w:sz="4" w:space="0" w:color="000000"/>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1.728 ± 0.016</w:t>
            </w:r>
          </w:p>
        </w:tc>
        <w:tc>
          <w:tcPr>
            <w:tcW w:w="2224" w:type="dxa"/>
            <w:tcBorders>
              <w:top w:val="single" w:sz="4" w:space="0" w:color="000000"/>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0.880 ± 0.014</w:t>
            </w:r>
          </w:p>
        </w:tc>
        <w:tc>
          <w:tcPr>
            <w:tcW w:w="2380" w:type="dxa"/>
            <w:tcBorders>
              <w:top w:val="single" w:sz="4" w:space="0" w:color="000000"/>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1.964</w:t>
            </w:r>
          </w:p>
        </w:tc>
      </w:tr>
      <w:tr w:rsidR="00FC216E" w:rsidRPr="00FC216E" w:rsidTr="00E07863">
        <w:trPr>
          <w:trHeight w:val="300"/>
        </w:trPr>
        <w:tc>
          <w:tcPr>
            <w:tcW w:w="2712"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1:200</w:t>
            </w:r>
          </w:p>
        </w:tc>
        <w:tc>
          <w:tcPr>
            <w:tcW w:w="1984"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0.964 ± 0.039</w:t>
            </w:r>
          </w:p>
        </w:tc>
        <w:tc>
          <w:tcPr>
            <w:tcW w:w="2224"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0.475 ± 0.015</w:t>
            </w:r>
          </w:p>
        </w:tc>
        <w:tc>
          <w:tcPr>
            <w:tcW w:w="2380"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2.029</w:t>
            </w:r>
          </w:p>
        </w:tc>
      </w:tr>
      <w:tr w:rsidR="00FC216E" w:rsidRPr="00FC216E" w:rsidTr="00E07863">
        <w:trPr>
          <w:trHeight w:val="300"/>
        </w:trPr>
        <w:tc>
          <w:tcPr>
            <w:tcW w:w="2712"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1:400</w:t>
            </w:r>
          </w:p>
        </w:tc>
        <w:tc>
          <w:tcPr>
            <w:tcW w:w="1984"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0.561 ± 0.007</w:t>
            </w:r>
          </w:p>
        </w:tc>
        <w:tc>
          <w:tcPr>
            <w:tcW w:w="2224" w:type="dxa"/>
            <w:tcBorders>
              <w:top w:val="nil"/>
              <w:left w:val="nil"/>
              <w:bottom w:val="nil"/>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0.246 ± 0.002</w:t>
            </w:r>
          </w:p>
        </w:tc>
        <w:tc>
          <w:tcPr>
            <w:tcW w:w="2380" w:type="dxa"/>
            <w:tcBorders>
              <w:top w:val="nil"/>
              <w:left w:val="nil"/>
              <w:bottom w:val="nil"/>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2.280</w:t>
            </w:r>
          </w:p>
        </w:tc>
      </w:tr>
      <w:tr w:rsidR="00FC216E" w:rsidRPr="00FC216E" w:rsidTr="00E07863">
        <w:trPr>
          <w:trHeight w:val="300"/>
        </w:trPr>
        <w:tc>
          <w:tcPr>
            <w:tcW w:w="2712"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b/>
                <w:sz w:val="24"/>
                <w:szCs w:val="24"/>
                <w:lang w:val="en-US"/>
              </w:rPr>
              <w:t>1:800</w:t>
            </w:r>
          </w:p>
        </w:tc>
        <w:tc>
          <w:tcPr>
            <w:tcW w:w="1984"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0.201 ± 0.001</w:t>
            </w:r>
          </w:p>
        </w:tc>
        <w:tc>
          <w:tcPr>
            <w:tcW w:w="2224" w:type="dxa"/>
            <w:tcBorders>
              <w:top w:val="nil"/>
              <w:left w:val="nil"/>
              <w:bottom w:val="single" w:sz="4" w:space="0" w:color="000000"/>
              <w:right w:val="nil"/>
            </w:tcBorders>
            <w:shd w:val="clear" w:color="auto" w:fill="FFFFFF"/>
            <w:vAlign w:val="center"/>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0.116 ± 0.001</w:t>
            </w:r>
          </w:p>
        </w:tc>
        <w:tc>
          <w:tcPr>
            <w:tcW w:w="2380" w:type="dxa"/>
            <w:tcBorders>
              <w:top w:val="nil"/>
              <w:left w:val="nil"/>
              <w:bottom w:val="single" w:sz="4" w:space="0" w:color="000000"/>
              <w:right w:val="nil"/>
            </w:tcBorders>
            <w:shd w:val="clear" w:color="auto" w:fill="FFFFFF"/>
            <w:vAlign w:val="bottom"/>
          </w:tcPr>
          <w:p w:rsidR="000F0830" w:rsidRPr="00FC216E" w:rsidRDefault="000F0830" w:rsidP="000F0830">
            <w:pPr>
              <w:spacing w:after="0" w:line="240" w:lineRule="auto"/>
              <w:jc w:val="center"/>
              <w:rPr>
                <w:rFonts w:ascii="Times New Roman" w:hAnsi="Times New Roman" w:cs="Times New Roman"/>
                <w:sz w:val="24"/>
                <w:szCs w:val="24"/>
                <w:lang w:val="en-US"/>
              </w:rPr>
            </w:pPr>
            <w:r w:rsidRPr="00FC216E">
              <w:rPr>
                <w:rFonts w:ascii="Times New Roman" w:hAnsi="Times New Roman" w:cs="Times New Roman"/>
                <w:sz w:val="24"/>
                <w:szCs w:val="24"/>
                <w:lang w:val="en-US"/>
              </w:rPr>
              <w:t>1.733</w:t>
            </w:r>
          </w:p>
        </w:tc>
      </w:tr>
    </w:tbl>
    <w:p w:rsidR="007E12BC" w:rsidRPr="00FC216E" w:rsidRDefault="007E12BC" w:rsidP="007E12BC">
      <w:pPr>
        <w:rPr>
          <w:rFonts w:ascii="Times New Roman" w:hAnsi="Times New Roman" w:cs="Times New Roman"/>
          <w:sz w:val="24"/>
          <w:szCs w:val="24"/>
          <w:lang w:val="en-GB"/>
        </w:rPr>
      </w:pPr>
    </w:p>
    <w:p w:rsidR="00172960" w:rsidRPr="00FC216E" w:rsidRDefault="00381A92" w:rsidP="00172960">
      <w:pPr>
        <w:pStyle w:val="ListParagraph"/>
        <w:numPr>
          <w:ilvl w:val="0"/>
          <w:numId w:val="1"/>
        </w:numPr>
        <w:rPr>
          <w:rFonts w:ascii="Times New Roman" w:hAnsi="Times New Roman" w:cs="Times New Roman"/>
          <w:b/>
          <w:i/>
          <w:sz w:val="24"/>
          <w:szCs w:val="24"/>
          <w:lang w:val="en-GB"/>
        </w:rPr>
      </w:pPr>
      <w:r w:rsidRPr="00FC216E">
        <w:rPr>
          <w:rFonts w:ascii="Times New Roman" w:hAnsi="Times New Roman" w:cs="Times New Roman"/>
          <w:b/>
          <w:sz w:val="24"/>
          <w:szCs w:val="24"/>
          <w:lang w:val="en-GB"/>
        </w:rPr>
        <w:t xml:space="preserve">Pseudo-ELISA </w:t>
      </w:r>
      <w:r w:rsidR="00E76AD2" w:rsidRPr="00FC216E">
        <w:rPr>
          <w:rFonts w:ascii="Times New Roman" w:hAnsi="Times New Roman" w:cs="Times New Roman"/>
          <w:b/>
          <w:sz w:val="24"/>
          <w:szCs w:val="24"/>
          <w:lang w:val="en-GB"/>
        </w:rPr>
        <w:t>for measurement the cocaine in blood serum using nanoMIPs prepared in water</w:t>
      </w:r>
    </w:p>
    <w:p w:rsidR="00172960" w:rsidRPr="00FC216E" w:rsidRDefault="000E3AB1" w:rsidP="00916F9F">
      <w:pPr>
        <w:spacing w:line="360" w:lineRule="auto"/>
        <w:jc w:val="both"/>
        <w:rPr>
          <w:rFonts w:ascii="Times New Roman" w:hAnsi="Times New Roman" w:cs="Times New Roman"/>
          <w:sz w:val="24"/>
          <w:szCs w:val="24"/>
          <w:lang w:val="en-GB"/>
        </w:rPr>
      </w:pPr>
      <w:r w:rsidRPr="00FC216E">
        <w:rPr>
          <w:rFonts w:ascii="Times New Roman" w:hAnsi="Times New Roman" w:cs="Times New Roman"/>
          <w:sz w:val="24"/>
          <w:szCs w:val="24"/>
          <w:lang w:val="en-GB"/>
        </w:rPr>
        <w:t>A sample of human serum was spiked with several concentrations of cocaine a</w:t>
      </w:r>
      <w:r w:rsidR="0047615F" w:rsidRPr="00FC216E">
        <w:rPr>
          <w:rFonts w:ascii="Times New Roman" w:hAnsi="Times New Roman" w:cs="Times New Roman"/>
          <w:sz w:val="24"/>
          <w:szCs w:val="24"/>
          <w:lang w:val="en-GB"/>
        </w:rPr>
        <w:t xml:space="preserve">nd </w:t>
      </w:r>
      <w:r w:rsidRPr="00FC216E">
        <w:rPr>
          <w:rFonts w:ascii="Times New Roman" w:hAnsi="Times New Roman" w:cs="Times New Roman"/>
          <w:sz w:val="24"/>
          <w:szCs w:val="24"/>
          <w:lang w:val="en-GB"/>
        </w:rPr>
        <w:t xml:space="preserve">tested using </w:t>
      </w:r>
      <w:r w:rsidR="0047615F" w:rsidRPr="00FC216E">
        <w:rPr>
          <w:rFonts w:ascii="Times New Roman" w:hAnsi="Times New Roman" w:cs="Times New Roman"/>
          <w:sz w:val="24"/>
          <w:szCs w:val="24"/>
          <w:lang w:val="en-GB"/>
        </w:rPr>
        <w:t>the ELISA</w:t>
      </w:r>
      <w:r w:rsidRPr="00FC216E">
        <w:rPr>
          <w:rFonts w:ascii="Times New Roman" w:hAnsi="Times New Roman" w:cs="Times New Roman"/>
          <w:sz w:val="24"/>
          <w:szCs w:val="24"/>
          <w:lang w:val="en-GB"/>
        </w:rPr>
        <w:t>.</w:t>
      </w:r>
      <w:r w:rsidR="0047615F" w:rsidRPr="00FC216E">
        <w:rPr>
          <w:rFonts w:ascii="Times New Roman" w:hAnsi="Times New Roman" w:cs="Times New Roman"/>
          <w:sz w:val="24"/>
          <w:szCs w:val="24"/>
          <w:lang w:val="en-GB"/>
        </w:rPr>
        <w:t xml:space="preserve"> The results are shown in Fig</w:t>
      </w:r>
      <w:r w:rsidR="00E76AD2" w:rsidRPr="00FC216E">
        <w:rPr>
          <w:rFonts w:ascii="Times New Roman" w:hAnsi="Times New Roman" w:cs="Times New Roman"/>
          <w:sz w:val="24"/>
          <w:szCs w:val="24"/>
          <w:lang w:val="en-GB"/>
        </w:rPr>
        <w:t>.</w:t>
      </w:r>
      <w:r w:rsidR="0047615F" w:rsidRPr="00FC216E">
        <w:rPr>
          <w:rFonts w:ascii="Times New Roman" w:hAnsi="Times New Roman" w:cs="Times New Roman"/>
          <w:sz w:val="24"/>
          <w:szCs w:val="24"/>
          <w:lang w:val="en-GB"/>
        </w:rPr>
        <w:t xml:space="preserve"> S7. </w:t>
      </w:r>
      <w:r w:rsidR="00E76AD2" w:rsidRPr="00FC216E">
        <w:rPr>
          <w:rFonts w:ascii="Times New Roman" w:hAnsi="Times New Roman" w:cs="Times New Roman"/>
          <w:sz w:val="24"/>
          <w:szCs w:val="24"/>
          <w:lang w:val="en-GB"/>
        </w:rPr>
        <w:t>It show</w:t>
      </w:r>
      <w:r w:rsidRPr="00FC216E">
        <w:rPr>
          <w:rFonts w:ascii="Times New Roman" w:hAnsi="Times New Roman" w:cs="Times New Roman"/>
          <w:sz w:val="24"/>
          <w:szCs w:val="24"/>
          <w:lang w:val="en-GB"/>
        </w:rPr>
        <w:t>s</w:t>
      </w:r>
      <w:r w:rsidR="00E76AD2" w:rsidRPr="00FC216E">
        <w:rPr>
          <w:rFonts w:ascii="Times New Roman" w:hAnsi="Times New Roman" w:cs="Times New Roman"/>
          <w:sz w:val="24"/>
          <w:szCs w:val="24"/>
          <w:lang w:val="en-GB"/>
        </w:rPr>
        <w:t xml:space="preserve"> </w:t>
      </w:r>
      <w:r w:rsidRPr="00FC216E">
        <w:rPr>
          <w:rFonts w:ascii="Times New Roman" w:hAnsi="Times New Roman" w:cs="Times New Roman"/>
          <w:sz w:val="24"/>
          <w:szCs w:val="24"/>
          <w:lang w:val="en-GB"/>
        </w:rPr>
        <w:t>only a</w:t>
      </w:r>
      <w:r w:rsidR="00E76AD2" w:rsidRPr="00FC216E">
        <w:rPr>
          <w:rFonts w:ascii="Times New Roman" w:hAnsi="Times New Roman" w:cs="Times New Roman"/>
          <w:sz w:val="24"/>
          <w:szCs w:val="24"/>
          <w:lang w:val="en-GB"/>
        </w:rPr>
        <w:t xml:space="preserve"> </w:t>
      </w:r>
      <w:r w:rsidRPr="00FC216E">
        <w:rPr>
          <w:rFonts w:ascii="Times New Roman" w:hAnsi="Times New Roman" w:cs="Times New Roman"/>
          <w:sz w:val="24"/>
          <w:szCs w:val="24"/>
          <w:lang w:val="en-GB"/>
        </w:rPr>
        <w:t xml:space="preserve">weak </w:t>
      </w:r>
      <w:r w:rsidR="0047615F" w:rsidRPr="00FC216E">
        <w:rPr>
          <w:rFonts w:ascii="Times New Roman" w:hAnsi="Times New Roman" w:cs="Times New Roman"/>
          <w:sz w:val="24"/>
          <w:szCs w:val="24"/>
          <w:lang w:val="en-GB"/>
        </w:rPr>
        <w:t>response for cocaine</w:t>
      </w:r>
      <w:r w:rsidRPr="00FC216E">
        <w:rPr>
          <w:rFonts w:ascii="Times New Roman" w:hAnsi="Times New Roman" w:cs="Times New Roman"/>
          <w:sz w:val="24"/>
          <w:szCs w:val="24"/>
          <w:lang w:val="en-GB"/>
        </w:rPr>
        <w:t xml:space="preserve"> in the concentration range between 10</w:t>
      </w:r>
      <w:r w:rsidRPr="00FC216E">
        <w:rPr>
          <w:rFonts w:ascii="Times New Roman" w:hAnsi="Times New Roman" w:cs="Times New Roman"/>
          <w:sz w:val="24"/>
          <w:szCs w:val="24"/>
          <w:vertAlign w:val="superscript"/>
          <w:lang w:val="en-GB"/>
        </w:rPr>
        <w:t>-12</w:t>
      </w:r>
      <w:r w:rsidRPr="00FC216E">
        <w:rPr>
          <w:rFonts w:ascii="Times New Roman" w:hAnsi="Times New Roman" w:cs="Times New Roman"/>
          <w:sz w:val="24"/>
          <w:szCs w:val="24"/>
          <w:lang w:val="en-GB"/>
        </w:rPr>
        <w:t xml:space="preserve"> and 10</w:t>
      </w:r>
      <w:r w:rsidRPr="00FC216E">
        <w:rPr>
          <w:rFonts w:ascii="Times New Roman" w:hAnsi="Times New Roman" w:cs="Times New Roman"/>
          <w:sz w:val="24"/>
          <w:szCs w:val="24"/>
          <w:vertAlign w:val="superscript"/>
          <w:lang w:val="en-GB"/>
        </w:rPr>
        <w:t>-9</w:t>
      </w:r>
      <w:r w:rsidRPr="00FC216E">
        <w:rPr>
          <w:rFonts w:ascii="Times New Roman" w:hAnsi="Times New Roman" w:cs="Times New Roman"/>
          <w:sz w:val="24"/>
          <w:szCs w:val="24"/>
          <w:lang w:val="en-GB"/>
        </w:rPr>
        <w:t xml:space="preserve"> M</w:t>
      </w:r>
      <w:r w:rsidR="0047615F" w:rsidRPr="00FC216E">
        <w:rPr>
          <w:rFonts w:ascii="Times New Roman" w:hAnsi="Times New Roman" w:cs="Times New Roman"/>
          <w:sz w:val="24"/>
          <w:szCs w:val="24"/>
          <w:lang w:val="en-GB"/>
        </w:rPr>
        <w:t xml:space="preserve">, </w:t>
      </w:r>
      <w:r w:rsidRPr="00FC216E">
        <w:rPr>
          <w:rFonts w:ascii="Times New Roman" w:hAnsi="Times New Roman" w:cs="Times New Roman"/>
          <w:sz w:val="24"/>
          <w:szCs w:val="24"/>
          <w:lang w:val="en-GB"/>
        </w:rPr>
        <w:t>which can be explained by</w:t>
      </w:r>
      <w:r w:rsidR="00E76AD2" w:rsidRPr="00FC216E">
        <w:rPr>
          <w:rFonts w:ascii="Times New Roman" w:hAnsi="Times New Roman" w:cs="Times New Roman"/>
          <w:sz w:val="24"/>
          <w:szCs w:val="24"/>
          <w:lang w:val="en-GB"/>
        </w:rPr>
        <w:t xml:space="preserve"> high </w:t>
      </w:r>
      <w:r w:rsidRPr="00FC216E">
        <w:rPr>
          <w:rFonts w:ascii="Times New Roman" w:hAnsi="Times New Roman" w:cs="Times New Roman"/>
          <w:sz w:val="24"/>
          <w:szCs w:val="24"/>
          <w:lang w:val="en-GB"/>
        </w:rPr>
        <w:t>interference</w:t>
      </w:r>
      <w:r w:rsidR="00E76AD2" w:rsidRPr="00FC216E">
        <w:rPr>
          <w:rFonts w:ascii="Times New Roman" w:hAnsi="Times New Roman" w:cs="Times New Roman"/>
          <w:sz w:val="24"/>
          <w:szCs w:val="24"/>
          <w:lang w:val="en-GB"/>
        </w:rPr>
        <w:t xml:space="preserve"> from the blood serum matrix</w:t>
      </w:r>
      <w:r w:rsidR="0047615F" w:rsidRPr="00FC216E">
        <w:rPr>
          <w:rFonts w:ascii="Times New Roman" w:hAnsi="Times New Roman" w:cs="Times New Roman"/>
          <w:sz w:val="24"/>
          <w:szCs w:val="24"/>
          <w:lang w:val="en-GB"/>
        </w:rPr>
        <w:t xml:space="preserve">. </w:t>
      </w:r>
      <w:r w:rsidRPr="00FC216E">
        <w:rPr>
          <w:rFonts w:ascii="Times New Roman" w:hAnsi="Times New Roman" w:cs="Times New Roman"/>
          <w:sz w:val="24"/>
          <w:szCs w:val="24"/>
          <w:lang w:val="en-GB"/>
        </w:rPr>
        <w:t>It was decided that nanoMIPs for the measurement of such small molecules as cocaine in the complex biological samples should be made in organic solvent in order to ensure higher affinity of the interactions.</w:t>
      </w:r>
    </w:p>
    <w:p w:rsidR="00377804" w:rsidRPr="00FC216E" w:rsidRDefault="00377804" w:rsidP="00CA572A">
      <w:pPr>
        <w:jc w:val="center"/>
        <w:rPr>
          <w:rFonts w:ascii="Times New Roman" w:hAnsi="Times New Roman" w:cs="Times New Roman"/>
          <w:sz w:val="24"/>
          <w:szCs w:val="24"/>
          <w:lang w:val="en-GB"/>
        </w:rPr>
      </w:pPr>
      <w:r w:rsidRPr="00FC216E">
        <w:rPr>
          <w:rFonts w:ascii="Times New Roman" w:hAnsi="Times New Roman" w:cs="Times New Roman"/>
          <w:noProof/>
          <w:sz w:val="24"/>
          <w:szCs w:val="24"/>
          <w:lang w:val="en-GB" w:eastAsia="en-GB"/>
        </w:rPr>
        <w:lastRenderedPageBreak/>
        <w:drawing>
          <wp:inline distT="0" distB="0" distL="0" distR="0" wp14:anchorId="39A5254D" wp14:editId="0F94C2C2">
            <wp:extent cx="4249852" cy="2743200"/>
            <wp:effectExtent l="0" t="0" r="1778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77804" w:rsidRPr="00FC216E" w:rsidRDefault="00377804" w:rsidP="0053367A">
      <w:pPr>
        <w:rPr>
          <w:rFonts w:ascii="Times New Roman" w:hAnsi="Times New Roman" w:cs="Times New Roman"/>
          <w:sz w:val="24"/>
          <w:szCs w:val="24"/>
          <w:lang w:val="en-GB"/>
        </w:rPr>
      </w:pPr>
      <w:r w:rsidRPr="00FC216E">
        <w:rPr>
          <w:rFonts w:ascii="Times New Roman" w:hAnsi="Times New Roman" w:cs="Times New Roman"/>
          <w:b/>
          <w:sz w:val="24"/>
          <w:szCs w:val="24"/>
          <w:lang w:val="en-GB"/>
        </w:rPr>
        <w:t xml:space="preserve">Figure </w:t>
      </w:r>
      <w:r w:rsidR="0003530F" w:rsidRPr="00FC216E">
        <w:rPr>
          <w:rFonts w:ascii="Times New Roman" w:hAnsi="Times New Roman" w:cs="Times New Roman"/>
          <w:b/>
          <w:sz w:val="24"/>
          <w:szCs w:val="24"/>
          <w:lang w:val="en-GB"/>
        </w:rPr>
        <w:t>S</w:t>
      </w:r>
      <w:r w:rsidR="00F320C4" w:rsidRPr="00FC216E">
        <w:rPr>
          <w:rFonts w:ascii="Times New Roman" w:hAnsi="Times New Roman" w:cs="Times New Roman"/>
          <w:b/>
          <w:sz w:val="24"/>
          <w:szCs w:val="24"/>
          <w:lang w:val="en-GB"/>
        </w:rPr>
        <w:t>6</w:t>
      </w:r>
      <w:r w:rsidRPr="00FC216E">
        <w:rPr>
          <w:rFonts w:ascii="Times New Roman" w:hAnsi="Times New Roman" w:cs="Times New Roman"/>
          <w:sz w:val="24"/>
          <w:szCs w:val="24"/>
          <w:lang w:val="en-GB"/>
        </w:rPr>
        <w:t>. Competitive pseudo-ELISA assay for COC in human serum based on nanoMIPs made in water polymerisation</w:t>
      </w:r>
      <w:r w:rsidR="000E3AB1" w:rsidRPr="00FC216E">
        <w:rPr>
          <w:rFonts w:ascii="Times New Roman" w:hAnsi="Times New Roman" w:cs="Times New Roman"/>
          <w:sz w:val="24"/>
          <w:szCs w:val="24"/>
          <w:lang w:val="en-GB"/>
        </w:rPr>
        <w:t>.</w:t>
      </w:r>
      <w:bookmarkEnd w:id="0"/>
    </w:p>
    <w:sectPr w:rsidR="00377804" w:rsidRPr="00FC216E" w:rsidSect="004D35DD">
      <w:footerReference w:type="default" r:id="rId1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5DD" w:rsidRDefault="004D35DD" w:rsidP="004D35DD">
      <w:pPr>
        <w:spacing w:after="0" w:line="240" w:lineRule="auto"/>
      </w:pPr>
      <w:r>
        <w:separator/>
      </w:r>
    </w:p>
  </w:endnote>
  <w:endnote w:type="continuationSeparator" w:id="0">
    <w:p w:rsidR="004D35DD" w:rsidRDefault="004D35DD" w:rsidP="004D3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419828"/>
      <w:docPartObj>
        <w:docPartGallery w:val="Page Numbers (Bottom of Page)"/>
        <w:docPartUnique/>
      </w:docPartObj>
    </w:sdtPr>
    <w:sdtEndPr>
      <w:rPr>
        <w:rFonts w:ascii="Times New Roman" w:hAnsi="Times New Roman" w:cs="Times New Roman"/>
        <w:noProof/>
        <w:sz w:val="24"/>
        <w:szCs w:val="24"/>
      </w:rPr>
    </w:sdtEndPr>
    <w:sdtContent>
      <w:p w:rsidR="004D35DD" w:rsidRPr="004D35DD" w:rsidRDefault="004D35DD">
        <w:pPr>
          <w:pStyle w:val="Footer"/>
          <w:jc w:val="right"/>
          <w:rPr>
            <w:rFonts w:ascii="Times New Roman" w:hAnsi="Times New Roman" w:cs="Times New Roman"/>
            <w:sz w:val="24"/>
            <w:szCs w:val="24"/>
          </w:rPr>
        </w:pPr>
        <w:r w:rsidRPr="004D35DD">
          <w:rPr>
            <w:rFonts w:ascii="Times New Roman" w:hAnsi="Times New Roman" w:cs="Times New Roman"/>
            <w:sz w:val="24"/>
            <w:szCs w:val="24"/>
          </w:rPr>
          <w:t>S</w:t>
        </w:r>
        <w:r w:rsidRPr="004D35DD">
          <w:rPr>
            <w:rFonts w:ascii="Times New Roman" w:hAnsi="Times New Roman" w:cs="Times New Roman"/>
            <w:sz w:val="24"/>
            <w:szCs w:val="24"/>
          </w:rPr>
          <w:fldChar w:fldCharType="begin"/>
        </w:r>
        <w:r w:rsidRPr="004D35DD">
          <w:rPr>
            <w:rFonts w:ascii="Times New Roman" w:hAnsi="Times New Roman" w:cs="Times New Roman"/>
            <w:sz w:val="24"/>
            <w:szCs w:val="24"/>
          </w:rPr>
          <w:instrText xml:space="preserve"> PAGE   \* MERGEFORMAT </w:instrText>
        </w:r>
        <w:r w:rsidRPr="004D35DD">
          <w:rPr>
            <w:rFonts w:ascii="Times New Roman" w:hAnsi="Times New Roman" w:cs="Times New Roman"/>
            <w:sz w:val="24"/>
            <w:szCs w:val="24"/>
          </w:rPr>
          <w:fldChar w:fldCharType="separate"/>
        </w:r>
        <w:r w:rsidR="00FC216E">
          <w:rPr>
            <w:rFonts w:ascii="Times New Roman" w:hAnsi="Times New Roman" w:cs="Times New Roman"/>
            <w:noProof/>
            <w:sz w:val="24"/>
            <w:szCs w:val="24"/>
          </w:rPr>
          <w:t>6</w:t>
        </w:r>
        <w:r w:rsidRPr="004D35DD">
          <w:rPr>
            <w:rFonts w:ascii="Times New Roman" w:hAnsi="Times New Roman" w:cs="Times New Roman"/>
            <w:noProof/>
            <w:sz w:val="24"/>
            <w:szCs w:val="24"/>
          </w:rPr>
          <w:fldChar w:fldCharType="end"/>
        </w:r>
      </w:p>
    </w:sdtContent>
  </w:sdt>
  <w:p w:rsidR="004D35DD" w:rsidRDefault="004D35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5DD" w:rsidRDefault="004D35DD" w:rsidP="004D35DD">
      <w:pPr>
        <w:spacing w:after="0" w:line="240" w:lineRule="auto"/>
      </w:pPr>
      <w:r>
        <w:separator/>
      </w:r>
    </w:p>
  </w:footnote>
  <w:footnote w:type="continuationSeparator" w:id="0">
    <w:p w:rsidR="004D35DD" w:rsidRDefault="004D35DD" w:rsidP="004D35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477E5"/>
    <w:multiLevelType w:val="hybridMultilevel"/>
    <w:tmpl w:val="799E40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DAE"/>
    <w:rsid w:val="0000755E"/>
    <w:rsid w:val="000157D3"/>
    <w:rsid w:val="0003530F"/>
    <w:rsid w:val="00093BAC"/>
    <w:rsid w:val="000E3AB1"/>
    <w:rsid w:val="000F0830"/>
    <w:rsid w:val="00161889"/>
    <w:rsid w:val="0016514D"/>
    <w:rsid w:val="00172960"/>
    <w:rsid w:val="0019489F"/>
    <w:rsid w:val="00207FFB"/>
    <w:rsid w:val="002126F6"/>
    <w:rsid w:val="002877CC"/>
    <w:rsid w:val="003703B6"/>
    <w:rsid w:val="00377804"/>
    <w:rsid w:val="00381A92"/>
    <w:rsid w:val="00407618"/>
    <w:rsid w:val="0047615F"/>
    <w:rsid w:val="00490346"/>
    <w:rsid w:val="004D35DD"/>
    <w:rsid w:val="0053367A"/>
    <w:rsid w:val="00540783"/>
    <w:rsid w:val="005E677A"/>
    <w:rsid w:val="006C10B6"/>
    <w:rsid w:val="00703DA8"/>
    <w:rsid w:val="00737C3C"/>
    <w:rsid w:val="007B06E7"/>
    <w:rsid w:val="007D622D"/>
    <w:rsid w:val="007E12BC"/>
    <w:rsid w:val="007E2823"/>
    <w:rsid w:val="007F3F40"/>
    <w:rsid w:val="008B5F90"/>
    <w:rsid w:val="008F107F"/>
    <w:rsid w:val="00906646"/>
    <w:rsid w:val="00916F9F"/>
    <w:rsid w:val="00993E2E"/>
    <w:rsid w:val="00A4625D"/>
    <w:rsid w:val="00AA4DAE"/>
    <w:rsid w:val="00CA572A"/>
    <w:rsid w:val="00DD19E8"/>
    <w:rsid w:val="00E34B76"/>
    <w:rsid w:val="00E76AD2"/>
    <w:rsid w:val="00ED09FA"/>
    <w:rsid w:val="00ED4482"/>
    <w:rsid w:val="00F320C4"/>
    <w:rsid w:val="00F655BD"/>
    <w:rsid w:val="00FA4BC8"/>
    <w:rsid w:val="00FC216E"/>
    <w:rsid w:val="00FC7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4E31AE-45B3-4D84-8F36-828D3585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4BC8"/>
    <w:rPr>
      <w:color w:val="0563C1" w:themeColor="hyperlink"/>
      <w:u w:val="single"/>
    </w:rPr>
  </w:style>
  <w:style w:type="paragraph" w:styleId="ListParagraph">
    <w:name w:val="List Paragraph"/>
    <w:basedOn w:val="Normal"/>
    <w:uiPriority w:val="34"/>
    <w:qFormat/>
    <w:rsid w:val="00381A92"/>
    <w:pPr>
      <w:ind w:left="720"/>
      <w:contextualSpacing/>
    </w:pPr>
  </w:style>
  <w:style w:type="paragraph" w:styleId="Header">
    <w:name w:val="header"/>
    <w:basedOn w:val="Normal"/>
    <w:link w:val="HeaderChar"/>
    <w:uiPriority w:val="99"/>
    <w:unhideWhenUsed/>
    <w:rsid w:val="004D35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5DD"/>
  </w:style>
  <w:style w:type="paragraph" w:styleId="Footer">
    <w:name w:val="footer"/>
    <w:basedOn w:val="Normal"/>
    <w:link w:val="FooterChar"/>
    <w:uiPriority w:val="99"/>
    <w:unhideWhenUsed/>
    <w:rsid w:val="004D35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219@leicester.ac.uk"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epereira@udec.cl" TargetMode="External"/><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514720028376593"/>
          <c:y val="5.0925925925925923E-2"/>
          <c:w val="0.82415104822196861"/>
          <c:h val="0.7301924759405074"/>
        </c:manualLayout>
      </c:layout>
      <c:lineChart>
        <c:grouping val="standard"/>
        <c:varyColors val="0"/>
        <c:ser>
          <c:idx val="0"/>
          <c:order val="0"/>
          <c:tx>
            <c:v>Cocaine</c:v>
          </c:tx>
          <c:spPr>
            <a:ln w="28575" cap="rnd">
              <a:noFill/>
              <a:round/>
            </a:ln>
            <a:effectLst/>
          </c:spPr>
          <c:marker>
            <c:symbol val="circle"/>
            <c:size val="5"/>
            <c:spPr>
              <a:solidFill>
                <a:schemeClr val="tx1"/>
              </a:solidFill>
              <a:ln w="9525">
                <a:noFill/>
              </a:ln>
              <a:effectLst/>
            </c:spPr>
          </c:marker>
          <c:trendline>
            <c:spPr>
              <a:ln w="19050" cap="rnd">
                <a:solidFill>
                  <a:schemeClr val="tx1"/>
                </a:solidFill>
                <a:prstDash val="sysDot"/>
              </a:ln>
              <a:effectLst/>
            </c:spPr>
            <c:trendlineType val="linear"/>
            <c:dispRSqr val="0"/>
            <c:dispEq val="0"/>
          </c:trendline>
          <c:errBars>
            <c:errDir val="y"/>
            <c:errBarType val="both"/>
            <c:errValType val="cust"/>
            <c:noEndCap val="0"/>
            <c:plus>
              <c:numRef>
                <c:f>'Results by plate'!$P$42:$P$49</c:f>
                <c:numCache>
                  <c:formatCode>General</c:formatCode>
                  <c:ptCount val="4"/>
                  <c:pt idx="0">
                    <c:v>1.6500000000000015E-2</c:v>
                  </c:pt>
                  <c:pt idx="1">
                    <c:v>2.0718349355100637E-2</c:v>
                  </c:pt>
                  <c:pt idx="2">
                    <c:v>8.1785627642568717E-3</c:v>
                  </c:pt>
                  <c:pt idx="3">
                    <c:v>2.7389550927315352E-2</c:v>
                  </c:pt>
                </c:numCache>
              </c:numRef>
            </c:plus>
            <c:minus>
              <c:numRef>
                <c:f>'Results by plate'!$P$42:$P$49</c:f>
                <c:numCache>
                  <c:formatCode>General</c:formatCode>
                  <c:ptCount val="4"/>
                  <c:pt idx="0">
                    <c:v>1.6500000000000015E-2</c:v>
                  </c:pt>
                  <c:pt idx="1">
                    <c:v>2.0718349355100637E-2</c:v>
                  </c:pt>
                  <c:pt idx="2">
                    <c:v>8.1785627642568717E-3</c:v>
                  </c:pt>
                  <c:pt idx="3">
                    <c:v>2.7389550927315352E-2</c:v>
                  </c:pt>
                </c:numCache>
              </c:numRef>
            </c:minus>
            <c:spPr>
              <a:noFill/>
              <a:ln w="9525" cap="flat" cmpd="sng" algn="ctr">
                <a:solidFill>
                  <a:schemeClr val="tx1">
                    <a:lumMod val="65000"/>
                    <a:lumOff val="35000"/>
                  </a:schemeClr>
                </a:solidFill>
                <a:round/>
              </a:ln>
              <a:effectLst/>
            </c:spPr>
          </c:errBars>
          <c:cat>
            <c:strRef>
              <c:f>'Results by plate'!$C$52:$J$52</c:f>
              <c:strCache>
                <c:ptCount val="4"/>
                <c:pt idx="0">
                  <c:v>10x-3</c:v>
                </c:pt>
                <c:pt idx="1">
                  <c:v>10x-2</c:v>
                </c:pt>
                <c:pt idx="2">
                  <c:v>0.1</c:v>
                </c:pt>
                <c:pt idx="3">
                  <c:v>1</c:v>
                </c:pt>
              </c:strCache>
            </c:strRef>
          </c:cat>
          <c:val>
            <c:numRef>
              <c:f>'Results by plate'!$M$42:$M$49</c:f>
              <c:numCache>
                <c:formatCode>General</c:formatCode>
                <c:ptCount val="4"/>
                <c:pt idx="0">
                  <c:v>0.66949999999999998</c:v>
                </c:pt>
                <c:pt idx="1">
                  <c:v>0.65450000000000008</c:v>
                </c:pt>
                <c:pt idx="2">
                  <c:v>0.64233333333333331</c:v>
                </c:pt>
                <c:pt idx="3">
                  <c:v>0.61224999999999996</c:v>
                </c:pt>
              </c:numCache>
            </c:numRef>
          </c:val>
          <c:smooth val="0"/>
          <c:extLst xmlns:c16r2="http://schemas.microsoft.com/office/drawing/2015/06/chart">
            <c:ext xmlns:c16="http://schemas.microsoft.com/office/drawing/2014/chart" uri="{C3380CC4-5D6E-409C-BE32-E72D297353CC}">
              <c16:uniqueId val="{00000001-6982-4B6E-893F-ED0F9616A2BB}"/>
            </c:ext>
          </c:extLst>
        </c:ser>
        <c:dLbls>
          <c:showLegendKey val="0"/>
          <c:showVal val="0"/>
          <c:showCatName val="0"/>
          <c:showSerName val="0"/>
          <c:showPercent val="0"/>
          <c:showBubbleSize val="0"/>
        </c:dLbls>
        <c:marker val="1"/>
        <c:smooth val="0"/>
        <c:axId val="410218096"/>
        <c:axId val="410218488"/>
      </c:lineChart>
      <c:catAx>
        <c:axId val="41021809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r>
                  <a:rPr lang="en-GB"/>
                  <a:t>Cocaine concentration in human serum, nM</a:t>
                </a:r>
                <a:endParaRPr lang="pl-PL"/>
              </a:p>
            </c:rich>
          </c:tx>
          <c:layout>
            <c:manualLayout>
              <c:xMode val="edge"/>
              <c:yMode val="edge"/>
              <c:x val="0.22345284768274259"/>
              <c:y val="0.90240667833187516"/>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title>
        <c:numFmt formatCode="General" sourceLinked="1"/>
        <c:majorTickMark val="none"/>
        <c:minorTickMark val="cross"/>
        <c:tickLblPos val="nextTo"/>
        <c:spPr>
          <a:noFill/>
          <a:ln w="9525" cap="flat" cmpd="sng" algn="ctr">
            <a:solidFill>
              <a:schemeClr val="tx1"/>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410218488"/>
        <c:crosses val="autoZero"/>
        <c:auto val="1"/>
        <c:lblAlgn val="ctr"/>
        <c:lblOffset val="100"/>
        <c:noMultiLvlLbl val="0"/>
      </c:catAx>
      <c:valAx>
        <c:axId val="410218488"/>
        <c:scaling>
          <c:orientation val="minMax"/>
          <c:max val="0.70000000000000007"/>
          <c:min val="0.5"/>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mn-lt"/>
                    <a:ea typeface="+mn-ea"/>
                    <a:cs typeface="+mn-cs"/>
                  </a:defRPr>
                </a:pPr>
                <a:r>
                  <a:rPr lang="en-GB"/>
                  <a:t>Absorbance at 450nm</a:t>
                </a:r>
                <a:endParaRPr lang="pl-PL"/>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title>
        <c:numFmt formatCode="General" sourceLinked="1"/>
        <c:majorTickMark val="none"/>
        <c:minorTickMark val="cross"/>
        <c:tickLblPos val="nextTo"/>
        <c:spPr>
          <a:noFill/>
          <a:ln>
            <a:solidFill>
              <a:schemeClr val="tx1"/>
            </a:solidFill>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410218096"/>
        <c:crosses val="autoZero"/>
        <c:crossBetween val="between"/>
        <c:minorUnit val="5.000000000000001E-2"/>
      </c:valAx>
      <c:spPr>
        <a:noFill/>
        <a:ln>
          <a:noFill/>
        </a:ln>
        <a:effectLst/>
      </c:spPr>
    </c:plotArea>
    <c:legend>
      <c:legendPos val="b"/>
      <c:layout>
        <c:manualLayout>
          <c:xMode val="edge"/>
          <c:yMode val="edge"/>
          <c:x val="0.16360583170649212"/>
          <c:y val="0.5746522309711285"/>
          <c:w val="0.245754664215801"/>
          <c:h val="7.8125546806649168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chemeClr val="tx1"/>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0858F-49B6-4207-9B56-620A80CF0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C28CEAB1.dotm</Template>
  <TotalTime>1</TotalTime>
  <Pages>6</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Smolinska-Kempisty, Katarzyna (Dr.)</dc:creator>
  <cp:keywords/>
  <dc:description/>
  <cp:lastModifiedBy>Piletska, Elena (Dr.)</cp:lastModifiedBy>
  <cp:revision>3</cp:revision>
  <dcterms:created xsi:type="dcterms:W3CDTF">2017-07-11T11:13:00Z</dcterms:created>
  <dcterms:modified xsi:type="dcterms:W3CDTF">2017-07-11T11:14:00Z</dcterms:modified>
</cp:coreProperties>
</file>