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A75" w:rsidRPr="009B6A15" w:rsidRDefault="00386A75" w:rsidP="00386A75">
      <w:pPr>
        <w:rPr>
          <w:rFonts w:ascii="Times New Roman" w:hAnsi="Times New Roman" w:cs="Times New Roman"/>
        </w:rPr>
      </w:pPr>
    </w:p>
    <w:p w:rsidR="00386A75" w:rsidRPr="009B6A15" w:rsidRDefault="00386A75" w:rsidP="00386A75">
      <w:pPr>
        <w:rPr>
          <w:rFonts w:ascii="Times New Roman" w:hAnsi="Times New Roman" w:cs="Times New Roman"/>
        </w:rPr>
      </w:pPr>
      <w:r w:rsidRPr="009B6A15">
        <w:rPr>
          <w:rFonts w:ascii="Times New Roman" w:hAnsi="Times New Roman" w:cs="Times New Roman"/>
          <w:noProof/>
          <w:lang w:val="nb-NO" w:eastAsia="nb-NO"/>
        </w:rPr>
        <w:drawing>
          <wp:inline distT="0" distB="0" distL="0" distR="0" wp14:anchorId="32627321" wp14:editId="05E786B1">
            <wp:extent cx="6285180" cy="1097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r="6635"/>
                    <a:stretch/>
                  </pic:blipFill>
                  <pic:spPr bwMode="auto">
                    <a:xfrm>
                      <a:off x="0" y="0"/>
                      <a:ext cx="6357303" cy="1109871"/>
                    </a:xfrm>
                    <a:prstGeom prst="rect">
                      <a:avLst/>
                    </a:prstGeom>
                    <a:noFill/>
                    <a:ln>
                      <a:noFill/>
                    </a:ln>
                    <a:extLst>
                      <a:ext uri="{53640926-AAD7-44D8-BBD7-CCE9431645EC}">
                        <a14:shadowObscured xmlns:a14="http://schemas.microsoft.com/office/drawing/2010/main"/>
                      </a:ext>
                    </a:extLst>
                  </pic:spPr>
                </pic:pic>
              </a:graphicData>
            </a:graphic>
          </wp:inline>
        </w:drawing>
      </w:r>
    </w:p>
    <w:p w:rsidR="00386A75" w:rsidRPr="009B6A15" w:rsidRDefault="00386A75" w:rsidP="00386A75">
      <w:pPr>
        <w:rPr>
          <w:rFonts w:ascii="Times New Roman" w:hAnsi="Times New Roman" w:cs="Times New Roman"/>
        </w:rPr>
      </w:pPr>
    </w:p>
    <w:tbl>
      <w:tblPr>
        <w:tblStyle w:val="Vanligtabell2"/>
        <w:tblpPr w:leftFromText="180" w:rightFromText="180" w:vertAnchor="page" w:horzAnchor="margin" w:tblpY="4384"/>
        <w:tblW w:w="9750" w:type="dxa"/>
        <w:tblLook w:val="0420" w:firstRow="1" w:lastRow="0" w:firstColumn="0" w:lastColumn="0" w:noHBand="0" w:noVBand="1"/>
      </w:tblPr>
      <w:tblGrid>
        <w:gridCol w:w="1087"/>
        <w:gridCol w:w="1589"/>
        <w:gridCol w:w="7074"/>
      </w:tblGrid>
      <w:tr w:rsidR="00386A75" w:rsidRPr="009B6A15" w:rsidTr="00386A75">
        <w:trPr>
          <w:cnfStyle w:val="100000000000" w:firstRow="1" w:lastRow="0" w:firstColumn="0" w:lastColumn="0" w:oddVBand="0" w:evenVBand="0" w:oddHBand="0" w:evenHBand="0" w:firstRowFirstColumn="0" w:firstRowLastColumn="0" w:lastRowFirstColumn="0" w:lastRowLastColumn="0"/>
          <w:trHeight w:val="337"/>
        </w:trPr>
        <w:tc>
          <w:tcPr>
            <w:tcW w:w="1087" w:type="dxa"/>
            <w:hideMark/>
          </w:tcPr>
          <w:p w:rsidR="00386A75" w:rsidRPr="009B6A15" w:rsidRDefault="00386A75" w:rsidP="00B86E86">
            <w:pPr>
              <w:rPr>
                <w:rFonts w:ascii="Times New Roman" w:hAnsi="Times New Roman" w:cs="Times New Roman"/>
                <w:sz w:val="18"/>
                <w:szCs w:val="18"/>
              </w:rPr>
            </w:pPr>
            <w:bookmarkStart w:id="0" w:name="_GoBack"/>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b w:val="0"/>
                <w:bCs w:val="0"/>
                <w:sz w:val="18"/>
                <w:szCs w:val="18"/>
              </w:rPr>
              <w:t>Description and assumptions</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b w:val="0"/>
                <w:bCs w:val="0"/>
                <w:sz w:val="18"/>
                <w:szCs w:val="18"/>
              </w:rPr>
              <w:t>Interpretation of results</w:t>
            </w:r>
          </w:p>
        </w:tc>
      </w:tr>
      <w:tr w:rsidR="00386A75" w:rsidRPr="009B6A15" w:rsidTr="00386A75">
        <w:trPr>
          <w:cnfStyle w:val="000000100000" w:firstRow="0" w:lastRow="0" w:firstColumn="0" w:lastColumn="0" w:oddVBand="0" w:evenVBand="0" w:oddHBand="1" w:evenHBand="0" w:firstRowFirstColumn="0" w:firstRowLastColumn="0" w:lastRowFirstColumn="0" w:lastRowLastColumn="0"/>
          <w:trHeight w:val="337"/>
        </w:trPr>
        <w:tc>
          <w:tcPr>
            <w:tcW w:w="1087"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MR-all</w:t>
            </w:r>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Includes all age at menarche SNPs</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 xml:space="preserve">Assumes no horizontal pleiotropy via BMI. Estimates would be biased if there </w:t>
            </w:r>
            <w:proofErr w:type="gramStart"/>
            <w:r w:rsidRPr="009B6A15">
              <w:rPr>
                <w:rFonts w:ascii="Times New Roman" w:hAnsi="Times New Roman" w:cs="Times New Roman"/>
                <w:sz w:val="18"/>
                <w:szCs w:val="18"/>
              </w:rPr>
              <w:t>is</w:t>
            </w:r>
            <w:proofErr w:type="gramEnd"/>
            <w:r w:rsidRPr="009B6A15">
              <w:rPr>
                <w:rFonts w:ascii="Times New Roman" w:hAnsi="Times New Roman" w:cs="Times New Roman"/>
                <w:sz w:val="18"/>
                <w:szCs w:val="18"/>
              </w:rPr>
              <w:t xml:space="preserve"> asymmetric horizontal pleiotropy (blue dashed arrows). </w:t>
            </w:r>
          </w:p>
        </w:tc>
      </w:tr>
      <w:tr w:rsidR="00386A75" w:rsidRPr="009B6A15" w:rsidTr="00386A75">
        <w:trPr>
          <w:trHeight w:val="629"/>
        </w:trPr>
        <w:tc>
          <w:tcPr>
            <w:tcW w:w="1087"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MR-child</w:t>
            </w:r>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Excludes child BMI SNPs</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 xml:space="preserve">Assumes all horizontal pleiotropy acts between excluded child BMI SNPs and the outcome. Childhood BMI is used a proxy for pre-pubertal BMI. Less likely to </w:t>
            </w:r>
            <w:proofErr w:type="gramStart"/>
            <w:r w:rsidRPr="009B6A15">
              <w:rPr>
                <w:rFonts w:ascii="Times New Roman" w:hAnsi="Times New Roman" w:cs="Times New Roman"/>
                <w:sz w:val="18"/>
                <w:szCs w:val="18"/>
              </w:rPr>
              <w:t>be biased</w:t>
            </w:r>
            <w:proofErr w:type="gramEnd"/>
            <w:r w:rsidRPr="009B6A15">
              <w:rPr>
                <w:rFonts w:ascii="Times New Roman" w:hAnsi="Times New Roman" w:cs="Times New Roman"/>
                <w:sz w:val="18"/>
                <w:szCs w:val="18"/>
              </w:rPr>
              <w:t xml:space="preserve"> by paths with blue dashed arrows. May have reduced </w:t>
            </w:r>
            <w:proofErr w:type="gramStart"/>
            <w:r w:rsidRPr="009B6A15">
              <w:rPr>
                <w:rFonts w:ascii="Times New Roman" w:hAnsi="Times New Roman" w:cs="Times New Roman"/>
                <w:sz w:val="18"/>
                <w:szCs w:val="18"/>
              </w:rPr>
              <w:t>power</w:t>
            </w:r>
            <w:proofErr w:type="gramEnd"/>
            <w:r w:rsidRPr="009B6A15">
              <w:rPr>
                <w:rFonts w:ascii="Times New Roman" w:hAnsi="Times New Roman" w:cs="Times New Roman"/>
                <w:sz w:val="18"/>
                <w:szCs w:val="18"/>
              </w:rPr>
              <w:t xml:space="preserve"> as some of the variance in menarche explained by the genetic IV will be due to SNP effects on age menarche via child BMI.</w:t>
            </w:r>
          </w:p>
        </w:tc>
      </w:tr>
      <w:tr w:rsidR="00386A75" w:rsidRPr="009B6A15" w:rsidTr="00386A75">
        <w:trPr>
          <w:cnfStyle w:val="000000100000" w:firstRow="0" w:lastRow="0" w:firstColumn="0" w:lastColumn="0" w:oddVBand="0" w:evenVBand="0" w:oddHBand="1" w:evenHBand="0" w:firstRowFirstColumn="0" w:firstRowLastColumn="0" w:lastRowFirstColumn="0" w:lastRowLastColumn="0"/>
          <w:trHeight w:val="453"/>
        </w:trPr>
        <w:tc>
          <w:tcPr>
            <w:tcW w:w="1087"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MR-adult</w:t>
            </w:r>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Excludes adult BMI SNPs</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 xml:space="preserve">Assumes that all horizontal pleiotropy acts between the excluded adult BMI SNPs and the outcome. Adult BMI </w:t>
            </w:r>
            <w:proofErr w:type="gramStart"/>
            <w:r w:rsidRPr="009B6A15">
              <w:rPr>
                <w:rFonts w:ascii="Times New Roman" w:hAnsi="Times New Roman" w:cs="Times New Roman"/>
                <w:sz w:val="18"/>
                <w:szCs w:val="18"/>
              </w:rPr>
              <w:t>is used</w:t>
            </w:r>
            <w:proofErr w:type="gramEnd"/>
            <w:r w:rsidRPr="009B6A15">
              <w:rPr>
                <w:rFonts w:ascii="Times New Roman" w:hAnsi="Times New Roman" w:cs="Times New Roman"/>
                <w:sz w:val="18"/>
                <w:szCs w:val="18"/>
              </w:rPr>
              <w:t xml:space="preserve"> as a proxy for post-pubertal BMI. Estimates </w:t>
            </w:r>
            <w:proofErr w:type="gramStart"/>
            <w:r w:rsidRPr="009B6A15">
              <w:rPr>
                <w:rFonts w:ascii="Times New Roman" w:hAnsi="Times New Roman" w:cs="Times New Roman"/>
                <w:sz w:val="18"/>
                <w:szCs w:val="18"/>
              </w:rPr>
              <w:t>could be biased</w:t>
            </w:r>
            <w:proofErr w:type="gramEnd"/>
            <w:r w:rsidRPr="009B6A15">
              <w:rPr>
                <w:rFonts w:ascii="Times New Roman" w:hAnsi="Times New Roman" w:cs="Times New Roman"/>
                <w:sz w:val="18"/>
                <w:szCs w:val="18"/>
              </w:rPr>
              <w:t xml:space="preserve"> towards the null by removing causal effects that are via adult BMI (green dot and dashed arrows). </w:t>
            </w:r>
          </w:p>
        </w:tc>
      </w:tr>
      <w:tr w:rsidR="00386A75" w:rsidRPr="009B6A15" w:rsidTr="00386A75">
        <w:trPr>
          <w:trHeight w:val="337"/>
        </w:trPr>
        <w:tc>
          <w:tcPr>
            <w:tcW w:w="1087"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MR-</w:t>
            </w:r>
            <w:proofErr w:type="spellStart"/>
            <w:r w:rsidRPr="009B6A15">
              <w:rPr>
                <w:rFonts w:ascii="Times New Roman" w:hAnsi="Times New Roman" w:cs="Times New Roman"/>
                <w:sz w:val="18"/>
                <w:szCs w:val="18"/>
              </w:rPr>
              <w:t>Steiger</w:t>
            </w:r>
            <w:proofErr w:type="spellEnd"/>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Excludes SNPs that predict BMI more strongly than age at menarche</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Assumes that SNPs more strongly predictive of adult BMI than age at menarche are the ones most likely to cause horizontal pleiotropy. If correct removing these should be less biased than either MR-adult or MR-child.</w:t>
            </w:r>
          </w:p>
        </w:tc>
      </w:tr>
      <w:tr w:rsidR="00386A75" w:rsidRPr="009B6A15" w:rsidTr="00386A75">
        <w:trPr>
          <w:cnfStyle w:val="000000100000" w:firstRow="0" w:lastRow="0" w:firstColumn="0" w:lastColumn="0" w:oddVBand="0" w:evenVBand="0" w:oddHBand="1" w:evenHBand="0" w:firstRowFirstColumn="0" w:firstRowLastColumn="0" w:lastRowFirstColumn="0" w:lastRowLastColumn="0"/>
          <w:trHeight w:val="462"/>
        </w:trPr>
        <w:tc>
          <w:tcPr>
            <w:tcW w:w="1087"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MV-MR</w:t>
            </w:r>
          </w:p>
        </w:tc>
        <w:tc>
          <w:tcPr>
            <w:tcW w:w="1589"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Estimates the independent association of age at menarche and adult BMI</w:t>
            </w:r>
          </w:p>
        </w:tc>
        <w:tc>
          <w:tcPr>
            <w:tcW w:w="7074" w:type="dxa"/>
            <w:hideMark/>
          </w:tcPr>
          <w:p w:rsidR="00386A75" w:rsidRPr="009B6A15" w:rsidRDefault="00386A75" w:rsidP="00B86E86">
            <w:pPr>
              <w:rPr>
                <w:rFonts w:ascii="Times New Roman" w:hAnsi="Times New Roman" w:cs="Times New Roman"/>
                <w:sz w:val="18"/>
                <w:szCs w:val="18"/>
              </w:rPr>
            </w:pPr>
            <w:r w:rsidRPr="009B6A15">
              <w:rPr>
                <w:rFonts w:ascii="Times New Roman" w:hAnsi="Times New Roman" w:cs="Times New Roman"/>
                <w:sz w:val="18"/>
                <w:szCs w:val="18"/>
              </w:rPr>
              <w:t xml:space="preserve">Estimates represent the direct causal effect of age at menarche on the outcome. Hence, estimates </w:t>
            </w:r>
            <w:proofErr w:type="gramStart"/>
            <w:r w:rsidRPr="009B6A15">
              <w:rPr>
                <w:rFonts w:ascii="Times New Roman" w:hAnsi="Times New Roman" w:cs="Times New Roman"/>
                <w:sz w:val="18"/>
                <w:szCs w:val="18"/>
              </w:rPr>
              <w:t>may be biased</w:t>
            </w:r>
            <w:proofErr w:type="gramEnd"/>
            <w:r w:rsidRPr="009B6A15">
              <w:rPr>
                <w:rFonts w:ascii="Times New Roman" w:hAnsi="Times New Roman" w:cs="Times New Roman"/>
                <w:sz w:val="18"/>
                <w:szCs w:val="18"/>
              </w:rPr>
              <w:t xml:space="preserve"> towards the null if adult BMI mediates an effect of age at menarche on the outcome.</w:t>
            </w:r>
          </w:p>
        </w:tc>
      </w:tr>
      <w:bookmarkEnd w:id="0"/>
    </w:tbl>
    <w:p w:rsidR="00A1748D" w:rsidRDefault="00A1748D"/>
    <w:sectPr w:rsidR="00A174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A75"/>
    <w:rsid w:val="00386A75"/>
    <w:rsid w:val="00A1748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D1199C-C4DC-4897-83AE-0FA88AE1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A75"/>
    <w:rPr>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Vanligtabell2">
    <w:name w:val="Plain Table 2"/>
    <w:basedOn w:val="Vanligtabell"/>
    <w:uiPriority w:val="42"/>
    <w:rsid w:val="00386A7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1256</Characters>
  <Application>Microsoft Office Word</Application>
  <DocSecurity>0</DocSecurity>
  <Lines>10</Lines>
  <Paragraphs>2</Paragraphs>
  <ScaleCrop>false</ScaleCrop>
  <Company>FHI</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Magnus, Maria Christine</dc:creator>
  <cp:keywords/>
  <dc:description/>
  <cp:lastModifiedBy>Magnus, Maria Christine</cp:lastModifiedBy>
  <cp:revision>1</cp:revision>
  <dcterms:created xsi:type="dcterms:W3CDTF">2019-11-28T09:37:00Z</dcterms:created>
  <dcterms:modified xsi:type="dcterms:W3CDTF">2019-11-28T09:38:00Z</dcterms:modified>
</cp:coreProperties>
</file>