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F51709" w14:textId="77777777" w:rsidR="00A51C1A" w:rsidRPr="00F44BBB" w:rsidRDefault="00A51C1A" w:rsidP="00234D8F">
      <w:pPr>
        <w:spacing w:after="0" w:line="360" w:lineRule="auto"/>
        <w:jc w:val="center"/>
        <w:rPr>
          <w:rFonts w:cs="Aharoni"/>
          <w:b/>
          <w:color w:val="000000" w:themeColor="text1"/>
          <w:sz w:val="32"/>
          <w:szCs w:val="32"/>
        </w:rPr>
      </w:pPr>
      <w:r w:rsidRPr="00F44BBB">
        <w:rPr>
          <w:rFonts w:cs="Aharoni"/>
          <w:b/>
          <w:color w:val="000000" w:themeColor="text1"/>
          <w:sz w:val="32"/>
          <w:szCs w:val="32"/>
        </w:rPr>
        <w:t>Rates and estimated cost of primary care consultations in people diagnosed with type 2 diabetes and comorbidities:</w:t>
      </w:r>
    </w:p>
    <w:p w14:paraId="26816BA5" w14:textId="77777777" w:rsidR="00A51C1A" w:rsidRPr="00F44BBB" w:rsidRDefault="00C95E81" w:rsidP="00234D8F">
      <w:pPr>
        <w:spacing w:after="0" w:line="360" w:lineRule="auto"/>
        <w:jc w:val="center"/>
        <w:rPr>
          <w:rFonts w:cs="Aharoni"/>
          <w:b/>
          <w:color w:val="000000" w:themeColor="text1"/>
          <w:sz w:val="32"/>
          <w:szCs w:val="32"/>
        </w:rPr>
      </w:pPr>
      <w:r w:rsidRPr="00F44BBB">
        <w:rPr>
          <w:rFonts w:cs="Aharoni"/>
          <w:b/>
          <w:color w:val="000000" w:themeColor="text1"/>
          <w:sz w:val="32"/>
          <w:szCs w:val="32"/>
        </w:rPr>
        <w:t>A</w:t>
      </w:r>
      <w:r w:rsidR="00A51C1A" w:rsidRPr="00F44BBB">
        <w:rPr>
          <w:rFonts w:cs="Aharoni"/>
          <w:b/>
          <w:color w:val="000000" w:themeColor="text1"/>
          <w:sz w:val="32"/>
          <w:szCs w:val="32"/>
        </w:rPr>
        <w:t xml:space="preserve"> retrospective analysis of 8.9 million consultations</w:t>
      </w:r>
    </w:p>
    <w:p w14:paraId="4E0B5555" w14:textId="77777777" w:rsidR="00A51C1A" w:rsidRPr="00F44BBB" w:rsidRDefault="00A51C1A" w:rsidP="00234D8F">
      <w:pPr>
        <w:spacing w:after="0" w:line="360" w:lineRule="auto"/>
        <w:jc w:val="center"/>
        <w:rPr>
          <w:rFonts w:cs="Aharoni"/>
          <w:b/>
          <w:color w:val="000000" w:themeColor="text1"/>
        </w:rPr>
      </w:pPr>
    </w:p>
    <w:p w14:paraId="23D58728" w14:textId="77777777" w:rsidR="00A51C1A" w:rsidRPr="00F44BBB" w:rsidRDefault="00A51C1A" w:rsidP="00234D8F">
      <w:pPr>
        <w:spacing w:after="0" w:line="360" w:lineRule="auto"/>
        <w:rPr>
          <w:color w:val="000000" w:themeColor="text1"/>
        </w:rPr>
      </w:pPr>
      <w:r w:rsidRPr="00F44BBB">
        <w:rPr>
          <w:rFonts w:cs="Aharoni"/>
          <w:color w:val="000000" w:themeColor="text1"/>
        </w:rPr>
        <w:t>Briana Coles, Francesco Zaccardi, Sam Seidu, Clare L Gillies, Melanie J Davies, Christian Hvid, Kamlesh Khunti</w:t>
      </w:r>
    </w:p>
    <w:p w14:paraId="51AEC4E0" w14:textId="77777777" w:rsidR="00A51C1A" w:rsidRPr="00F44BBB" w:rsidRDefault="00A51C1A" w:rsidP="00234D8F">
      <w:pPr>
        <w:spacing w:after="0" w:line="360" w:lineRule="auto"/>
        <w:rPr>
          <w:b/>
          <w:color w:val="000000" w:themeColor="text1"/>
        </w:rPr>
      </w:pPr>
    </w:p>
    <w:p w14:paraId="38C399D2" w14:textId="77777777" w:rsidR="00A51C1A" w:rsidRPr="00F44BBB" w:rsidRDefault="00A51C1A" w:rsidP="00234D8F">
      <w:pPr>
        <w:spacing w:after="0" w:line="360" w:lineRule="auto"/>
        <w:rPr>
          <w:rFonts w:cstheme="minorHAnsi"/>
          <w:color w:val="000000" w:themeColor="text1"/>
        </w:rPr>
      </w:pPr>
      <w:r w:rsidRPr="00F44BBB">
        <w:rPr>
          <w:rFonts w:cstheme="minorHAnsi"/>
          <w:b/>
          <w:color w:val="000000" w:themeColor="text1"/>
        </w:rPr>
        <w:t xml:space="preserve">Briana Coles, </w:t>
      </w:r>
      <w:r w:rsidRPr="00F44BBB">
        <w:rPr>
          <w:rFonts w:cstheme="minorHAnsi"/>
          <w:color w:val="000000" w:themeColor="text1"/>
        </w:rPr>
        <w:t>Statistician/Epidemiologist,</w:t>
      </w:r>
      <w:r w:rsidRPr="00F44BBB">
        <w:rPr>
          <w:rFonts w:cstheme="minorHAnsi"/>
          <w:b/>
          <w:color w:val="000000" w:themeColor="text1"/>
        </w:rPr>
        <w:t xml:space="preserve"> </w:t>
      </w:r>
      <w:r w:rsidRPr="00F44BBB">
        <w:rPr>
          <w:rFonts w:cstheme="minorHAnsi"/>
          <w:color w:val="000000" w:themeColor="text1"/>
        </w:rPr>
        <w:t xml:space="preserve">Leicester Real World Evidence Unit, Diabetes Research Centre, University of Leicester, </w:t>
      </w:r>
      <w:r w:rsidRPr="00F44BBB">
        <w:rPr>
          <w:rFonts w:cstheme="minorHAnsi"/>
          <w:color w:val="000000" w:themeColor="text1"/>
          <w:shd w:val="clear" w:color="auto" w:fill="FFFFFF"/>
        </w:rPr>
        <w:t xml:space="preserve">Gwendolen Rd, </w:t>
      </w:r>
      <w:r w:rsidRPr="00F44BBB">
        <w:rPr>
          <w:rFonts w:cstheme="minorHAnsi"/>
          <w:color w:val="000000" w:themeColor="text1"/>
        </w:rPr>
        <w:t>Leicester, LE5 4PW, UK</w:t>
      </w:r>
    </w:p>
    <w:p w14:paraId="42F0DBF7" w14:textId="77777777" w:rsidR="00A51C1A" w:rsidRPr="00F44BBB" w:rsidRDefault="00A51C1A" w:rsidP="00234D8F">
      <w:pPr>
        <w:spacing w:after="0" w:line="360" w:lineRule="auto"/>
        <w:jc w:val="both"/>
        <w:rPr>
          <w:rFonts w:cstheme="minorHAnsi"/>
          <w:color w:val="000000" w:themeColor="text1"/>
        </w:rPr>
      </w:pPr>
      <w:r w:rsidRPr="00F44BBB">
        <w:rPr>
          <w:rFonts w:cstheme="minorHAnsi"/>
          <w:b/>
          <w:color w:val="000000" w:themeColor="text1"/>
        </w:rPr>
        <w:t>Francesco Zaccardi</w:t>
      </w:r>
      <w:r w:rsidRPr="00F44BBB">
        <w:rPr>
          <w:rFonts w:cstheme="minorHAnsi"/>
          <w:color w:val="000000" w:themeColor="text1"/>
        </w:rPr>
        <w:t>,</w:t>
      </w:r>
      <w:r w:rsidRPr="00F44BBB">
        <w:rPr>
          <w:rFonts w:cstheme="minorHAnsi"/>
          <w:b/>
          <w:color w:val="000000" w:themeColor="text1"/>
        </w:rPr>
        <w:t xml:space="preserve"> </w:t>
      </w:r>
      <w:r w:rsidRPr="00F44BBB">
        <w:rPr>
          <w:rFonts w:cstheme="minorHAnsi"/>
          <w:color w:val="000000" w:themeColor="text1"/>
        </w:rPr>
        <w:t xml:space="preserve">Clinical Epidemiologist, Leicester Real World Evidence Unit, Diabetes Research Centre, University of Leicester, </w:t>
      </w:r>
      <w:r w:rsidRPr="00F44BBB">
        <w:rPr>
          <w:rFonts w:cstheme="minorHAnsi"/>
          <w:color w:val="000000" w:themeColor="text1"/>
          <w:shd w:val="clear" w:color="auto" w:fill="FFFFFF"/>
        </w:rPr>
        <w:t xml:space="preserve">Gwendolen Rd, </w:t>
      </w:r>
      <w:r w:rsidRPr="00F44BBB">
        <w:rPr>
          <w:rFonts w:cstheme="minorHAnsi"/>
          <w:color w:val="000000" w:themeColor="text1"/>
        </w:rPr>
        <w:t>Leicester, LE5 4PW, UK</w:t>
      </w:r>
    </w:p>
    <w:p w14:paraId="2D3361EE" w14:textId="77777777" w:rsidR="00A51C1A" w:rsidRPr="00F44BBB" w:rsidRDefault="00A51C1A" w:rsidP="00234D8F">
      <w:pPr>
        <w:spacing w:after="0" w:line="360" w:lineRule="auto"/>
        <w:jc w:val="both"/>
        <w:rPr>
          <w:rFonts w:cstheme="minorHAnsi"/>
          <w:color w:val="000000" w:themeColor="text1"/>
        </w:rPr>
      </w:pPr>
      <w:r w:rsidRPr="00F44BBB">
        <w:rPr>
          <w:rFonts w:cstheme="minorHAnsi"/>
          <w:b/>
          <w:color w:val="000000" w:themeColor="text1"/>
        </w:rPr>
        <w:t xml:space="preserve">Sam Seidu, </w:t>
      </w:r>
      <w:r w:rsidRPr="00F44BBB">
        <w:rPr>
          <w:rFonts w:cstheme="minorHAnsi"/>
          <w:color w:val="000000" w:themeColor="text1"/>
        </w:rPr>
        <w:t>Clinical Lecturer, National</w:t>
      </w:r>
      <w:r w:rsidR="00C95E81" w:rsidRPr="00F44BBB">
        <w:rPr>
          <w:rFonts w:cstheme="minorHAnsi"/>
          <w:color w:val="000000" w:themeColor="text1"/>
        </w:rPr>
        <w:t xml:space="preserve"> Institute for Health Research </w:t>
      </w:r>
      <w:r w:rsidRPr="00F44BBB">
        <w:rPr>
          <w:rFonts w:cstheme="minorHAnsi"/>
          <w:color w:val="000000" w:themeColor="text1"/>
        </w:rPr>
        <w:t>Applied Research Collab</w:t>
      </w:r>
      <w:r w:rsidR="00C95E81" w:rsidRPr="00F44BBB">
        <w:rPr>
          <w:rFonts w:cstheme="minorHAnsi"/>
          <w:color w:val="000000" w:themeColor="text1"/>
        </w:rPr>
        <w:t>oration - East Midlands</w:t>
      </w:r>
      <w:r w:rsidRPr="00F44BBB">
        <w:rPr>
          <w:rFonts w:cstheme="minorHAnsi"/>
          <w:color w:val="000000" w:themeColor="text1"/>
        </w:rPr>
        <w:t xml:space="preserve">, Diabetes Research Centre, </w:t>
      </w:r>
      <w:r w:rsidRPr="00F44BBB">
        <w:rPr>
          <w:rFonts w:cstheme="minorHAnsi"/>
          <w:color w:val="000000" w:themeColor="text1"/>
          <w:shd w:val="clear" w:color="auto" w:fill="FFFFFF"/>
        </w:rPr>
        <w:t xml:space="preserve">Gwendolen Rd, </w:t>
      </w:r>
      <w:r w:rsidRPr="00F44BBB">
        <w:rPr>
          <w:rFonts w:cstheme="minorHAnsi"/>
          <w:color w:val="000000" w:themeColor="text1"/>
        </w:rPr>
        <w:t>Leicester, LE5 4PW, UK</w:t>
      </w:r>
    </w:p>
    <w:p w14:paraId="2740C114" w14:textId="77777777" w:rsidR="00A51C1A" w:rsidRPr="00F44BBB" w:rsidRDefault="00A51C1A" w:rsidP="00234D8F">
      <w:pPr>
        <w:spacing w:after="0" w:line="360" w:lineRule="auto"/>
        <w:jc w:val="both"/>
        <w:rPr>
          <w:rFonts w:cstheme="minorHAnsi"/>
          <w:color w:val="000000" w:themeColor="text1"/>
        </w:rPr>
      </w:pPr>
      <w:r w:rsidRPr="00F44BBB">
        <w:rPr>
          <w:rFonts w:cstheme="minorHAnsi"/>
          <w:b/>
          <w:color w:val="000000" w:themeColor="text1"/>
        </w:rPr>
        <w:t xml:space="preserve">Clare L Gillies, </w:t>
      </w:r>
      <w:r w:rsidRPr="00F44BBB">
        <w:rPr>
          <w:rFonts w:cstheme="minorHAnsi"/>
          <w:color w:val="000000" w:themeColor="text1"/>
        </w:rPr>
        <w:t xml:space="preserve">Lecturer in Medical Statistics, Leicester Real World Evidence Unit, Diabetes Research Centre, University of Leicester, </w:t>
      </w:r>
      <w:r w:rsidRPr="00F44BBB">
        <w:rPr>
          <w:rFonts w:cstheme="minorHAnsi"/>
          <w:color w:val="000000" w:themeColor="text1"/>
          <w:shd w:val="clear" w:color="auto" w:fill="FFFFFF"/>
        </w:rPr>
        <w:t xml:space="preserve">Gwendolen Rd, </w:t>
      </w:r>
      <w:r w:rsidRPr="00F44BBB">
        <w:rPr>
          <w:rFonts w:cstheme="minorHAnsi"/>
          <w:color w:val="000000" w:themeColor="text1"/>
        </w:rPr>
        <w:t>Leicester, LE5 4PW, UK</w:t>
      </w:r>
    </w:p>
    <w:p w14:paraId="7A3BD907" w14:textId="77777777" w:rsidR="00A51C1A" w:rsidRPr="00F44BBB" w:rsidRDefault="00A51C1A" w:rsidP="00234D8F">
      <w:pPr>
        <w:spacing w:after="0" w:line="360" w:lineRule="auto"/>
        <w:jc w:val="both"/>
        <w:rPr>
          <w:rFonts w:cstheme="minorHAnsi"/>
          <w:color w:val="000000" w:themeColor="text1"/>
        </w:rPr>
      </w:pPr>
      <w:r w:rsidRPr="00F44BBB">
        <w:rPr>
          <w:rFonts w:cstheme="minorHAnsi"/>
          <w:b/>
          <w:color w:val="000000" w:themeColor="text1"/>
        </w:rPr>
        <w:t xml:space="preserve">Melanie J Davies, </w:t>
      </w:r>
      <w:r w:rsidRPr="00F44BBB">
        <w:rPr>
          <w:rFonts w:cstheme="minorHAnsi"/>
          <w:color w:val="000000" w:themeColor="text1"/>
        </w:rPr>
        <w:t>Professor of Diabetes Medicine, National</w:t>
      </w:r>
      <w:r w:rsidR="00C95E81" w:rsidRPr="00F44BBB">
        <w:rPr>
          <w:rFonts w:cstheme="minorHAnsi"/>
          <w:color w:val="000000" w:themeColor="text1"/>
        </w:rPr>
        <w:t xml:space="preserve"> Institute for Health Research </w:t>
      </w:r>
      <w:r w:rsidRPr="00F44BBB">
        <w:rPr>
          <w:rFonts w:cstheme="minorHAnsi"/>
          <w:color w:val="000000" w:themeColor="text1"/>
        </w:rPr>
        <w:t xml:space="preserve">Leicester </w:t>
      </w:r>
      <w:r w:rsidR="00C95E81" w:rsidRPr="00F44BBB">
        <w:rPr>
          <w:rFonts w:cstheme="minorHAnsi"/>
          <w:color w:val="000000" w:themeColor="text1"/>
        </w:rPr>
        <w:t>Biomedical Research Centre</w:t>
      </w:r>
      <w:r w:rsidRPr="00F44BBB">
        <w:rPr>
          <w:rFonts w:cstheme="minorHAnsi"/>
          <w:color w:val="000000" w:themeColor="text1"/>
        </w:rPr>
        <w:t xml:space="preserve">, Leicester Diabetes Centre, </w:t>
      </w:r>
      <w:r w:rsidRPr="00F44BBB">
        <w:rPr>
          <w:rFonts w:cstheme="minorHAnsi"/>
          <w:color w:val="000000" w:themeColor="text1"/>
          <w:shd w:val="clear" w:color="auto" w:fill="FFFFFF"/>
        </w:rPr>
        <w:t xml:space="preserve">Gwendolen Rd, </w:t>
      </w:r>
      <w:r w:rsidRPr="00F44BBB">
        <w:rPr>
          <w:rFonts w:cstheme="minorHAnsi"/>
          <w:color w:val="000000" w:themeColor="text1"/>
        </w:rPr>
        <w:t>Leicester, LE5 4PW, UK</w:t>
      </w:r>
    </w:p>
    <w:p w14:paraId="6501EDA8" w14:textId="77777777" w:rsidR="00A51C1A" w:rsidRPr="00F44BBB" w:rsidRDefault="00A51C1A" w:rsidP="00234D8F">
      <w:pPr>
        <w:autoSpaceDE w:val="0"/>
        <w:autoSpaceDN w:val="0"/>
        <w:adjustRightInd w:val="0"/>
        <w:spacing w:after="0" w:line="360" w:lineRule="auto"/>
        <w:rPr>
          <w:rFonts w:cstheme="minorHAnsi"/>
          <w:color w:val="000000" w:themeColor="text1"/>
          <w:lang w:val="en-US"/>
        </w:rPr>
      </w:pPr>
      <w:r w:rsidRPr="00F44BBB">
        <w:rPr>
          <w:rFonts w:cstheme="minorHAnsi"/>
          <w:b/>
          <w:bCs/>
          <w:color w:val="000000" w:themeColor="text1"/>
        </w:rPr>
        <w:t>Christian Hvid,</w:t>
      </w:r>
      <w:r w:rsidRPr="00F44BBB">
        <w:rPr>
          <w:rFonts w:cstheme="minorHAnsi"/>
          <w:color w:val="000000" w:themeColor="text1"/>
        </w:rPr>
        <w:t xml:space="preserve"> </w:t>
      </w:r>
      <w:r w:rsidRPr="00F44BBB">
        <w:rPr>
          <w:rFonts w:cstheme="minorHAnsi"/>
          <w:color w:val="000000" w:themeColor="text1"/>
          <w:shd w:val="clear" w:color="auto" w:fill="FFFFFF"/>
        </w:rPr>
        <w:t xml:space="preserve">Evidence Generation Manager, Novo Nordisk, </w:t>
      </w:r>
      <w:r w:rsidRPr="00F44BBB">
        <w:rPr>
          <w:rFonts w:cstheme="minorHAnsi"/>
          <w:color w:val="000000" w:themeColor="text1"/>
          <w:lang w:val="en-US"/>
        </w:rPr>
        <w:t>Ørestads Boulevard 108, 2300</w:t>
      </w:r>
    </w:p>
    <w:p w14:paraId="160739A6" w14:textId="77777777" w:rsidR="00A51C1A" w:rsidRPr="00F44BBB" w:rsidRDefault="00A51C1A" w:rsidP="00234D8F">
      <w:pPr>
        <w:spacing w:after="0" w:line="360" w:lineRule="auto"/>
        <w:jc w:val="both"/>
        <w:rPr>
          <w:rFonts w:cstheme="minorHAnsi"/>
          <w:color w:val="000000" w:themeColor="text1"/>
        </w:rPr>
      </w:pPr>
      <w:r w:rsidRPr="00F44BBB">
        <w:rPr>
          <w:rFonts w:cstheme="minorHAnsi"/>
          <w:color w:val="000000" w:themeColor="text1"/>
          <w:lang w:val="en-US"/>
        </w:rPr>
        <w:t>Copenhagen, Denmark</w:t>
      </w:r>
    </w:p>
    <w:p w14:paraId="2E3B5332" w14:textId="77777777" w:rsidR="00A51C1A" w:rsidRPr="00F44BBB" w:rsidRDefault="00A51C1A" w:rsidP="00234D8F">
      <w:pPr>
        <w:spacing w:after="0" w:line="360" w:lineRule="auto"/>
        <w:rPr>
          <w:rFonts w:cstheme="minorHAnsi"/>
          <w:b/>
          <w:color w:val="000000" w:themeColor="text1"/>
        </w:rPr>
      </w:pPr>
      <w:r w:rsidRPr="00F44BBB">
        <w:rPr>
          <w:rFonts w:cstheme="minorHAnsi"/>
          <w:b/>
          <w:color w:val="000000" w:themeColor="text1"/>
        </w:rPr>
        <w:t xml:space="preserve">Kamlesh Khunti, </w:t>
      </w:r>
      <w:r w:rsidRPr="00F44BBB">
        <w:rPr>
          <w:rFonts w:cstheme="minorHAnsi"/>
          <w:color w:val="000000" w:themeColor="text1"/>
        </w:rPr>
        <w:t>Professor of Primary Care Diabetes and Vascular Medicine, National</w:t>
      </w:r>
      <w:r w:rsidR="00C95E81" w:rsidRPr="00F44BBB">
        <w:rPr>
          <w:rFonts w:cstheme="minorHAnsi"/>
          <w:color w:val="000000" w:themeColor="text1"/>
        </w:rPr>
        <w:t xml:space="preserve"> Institute for Health Research </w:t>
      </w:r>
      <w:r w:rsidRPr="00F44BBB">
        <w:rPr>
          <w:rFonts w:cstheme="minorHAnsi"/>
          <w:color w:val="000000" w:themeColor="text1"/>
        </w:rPr>
        <w:t>Applied Research Collab</w:t>
      </w:r>
      <w:r w:rsidR="00C95E81" w:rsidRPr="00F44BBB">
        <w:rPr>
          <w:rFonts w:cstheme="minorHAnsi"/>
          <w:color w:val="000000" w:themeColor="text1"/>
        </w:rPr>
        <w:t>oration - East Midlands</w:t>
      </w:r>
      <w:r w:rsidRPr="00F44BBB">
        <w:rPr>
          <w:rFonts w:cstheme="minorHAnsi"/>
          <w:color w:val="000000" w:themeColor="text1"/>
        </w:rPr>
        <w:t xml:space="preserve">, Leicester Diabetes Centre, </w:t>
      </w:r>
      <w:r w:rsidRPr="00F44BBB">
        <w:rPr>
          <w:rFonts w:cstheme="minorHAnsi"/>
          <w:color w:val="000000" w:themeColor="text1"/>
          <w:shd w:val="clear" w:color="auto" w:fill="FFFFFF"/>
        </w:rPr>
        <w:t xml:space="preserve">Gwendolen Rd, </w:t>
      </w:r>
      <w:r w:rsidRPr="00F44BBB">
        <w:rPr>
          <w:rFonts w:cstheme="minorHAnsi"/>
          <w:color w:val="000000" w:themeColor="text1"/>
        </w:rPr>
        <w:t>Leicester, LE5 4PW, UK</w:t>
      </w:r>
    </w:p>
    <w:p w14:paraId="34F3805A" w14:textId="77777777" w:rsidR="00A51C1A" w:rsidRPr="00F44BBB" w:rsidRDefault="00A51C1A">
      <w:pPr>
        <w:spacing w:after="0" w:line="360" w:lineRule="auto"/>
        <w:rPr>
          <w:color w:val="000000" w:themeColor="text1"/>
        </w:rPr>
      </w:pPr>
    </w:p>
    <w:p w14:paraId="7C8FD8B4" w14:textId="77777777" w:rsidR="00A51C1A" w:rsidRPr="00F44BBB" w:rsidRDefault="00A51C1A">
      <w:pPr>
        <w:spacing w:after="0" w:line="360" w:lineRule="auto"/>
        <w:rPr>
          <w:color w:val="000000" w:themeColor="text1"/>
        </w:rPr>
      </w:pPr>
      <w:r w:rsidRPr="00F44BBB">
        <w:rPr>
          <w:color w:val="000000" w:themeColor="text1"/>
        </w:rPr>
        <w:t xml:space="preserve">Corresponding Author </w:t>
      </w:r>
    </w:p>
    <w:p w14:paraId="357973B1" w14:textId="77777777" w:rsidR="00A51C1A" w:rsidRDefault="00A51C1A">
      <w:pPr>
        <w:spacing w:after="0" w:line="360" w:lineRule="auto"/>
        <w:rPr>
          <w:rFonts w:cs="Arial"/>
          <w:color w:val="000000" w:themeColor="text1"/>
          <w:szCs w:val="20"/>
        </w:rPr>
      </w:pPr>
      <w:r w:rsidRPr="00F44BBB">
        <w:rPr>
          <w:color w:val="000000" w:themeColor="text1"/>
        </w:rPr>
        <w:t xml:space="preserve">Briana Coles, </w:t>
      </w:r>
      <w:r w:rsidRPr="00F44BBB">
        <w:rPr>
          <w:rFonts w:cs="Arial"/>
          <w:color w:val="000000" w:themeColor="text1"/>
          <w:szCs w:val="20"/>
        </w:rPr>
        <w:t>Leicester Real World Evidence Unit, Diabetes Research Centre, Leicester General Hospital, University of Leicester, Leicester, LE5 4PW, UK</w:t>
      </w:r>
    </w:p>
    <w:p w14:paraId="0F582259" w14:textId="77777777" w:rsidR="00320D28" w:rsidRPr="00F44BBB" w:rsidRDefault="00320D28">
      <w:pPr>
        <w:spacing w:after="0" w:line="360" w:lineRule="auto"/>
        <w:rPr>
          <w:color w:val="000000" w:themeColor="text1"/>
        </w:rPr>
      </w:pPr>
      <w:r>
        <w:rPr>
          <w:rFonts w:cs="Arial"/>
          <w:color w:val="000000" w:themeColor="text1"/>
          <w:szCs w:val="20"/>
        </w:rPr>
        <w:t xml:space="preserve">ORCID: </w:t>
      </w:r>
      <w:r w:rsidRPr="00320D28">
        <w:rPr>
          <w:rFonts w:cs="Arial"/>
          <w:color w:val="000000" w:themeColor="text1"/>
          <w:szCs w:val="20"/>
        </w:rPr>
        <w:t>0000-0003-4228-8818</w:t>
      </w:r>
    </w:p>
    <w:p w14:paraId="432A6A07" w14:textId="77777777" w:rsidR="00A51C1A" w:rsidRPr="00F44BBB" w:rsidRDefault="00A51C1A">
      <w:pPr>
        <w:spacing w:after="0" w:line="360" w:lineRule="auto"/>
        <w:rPr>
          <w:color w:val="000000" w:themeColor="text1"/>
        </w:rPr>
      </w:pPr>
      <w:r w:rsidRPr="00F44BBB">
        <w:rPr>
          <w:color w:val="000000" w:themeColor="text1"/>
        </w:rPr>
        <w:t>Email: bc188@leicester.ac.uk</w:t>
      </w:r>
    </w:p>
    <w:p w14:paraId="4D326323" w14:textId="77777777" w:rsidR="00A51C1A" w:rsidRPr="00F44BBB" w:rsidRDefault="00A51C1A">
      <w:pPr>
        <w:spacing w:after="0" w:line="360" w:lineRule="auto"/>
        <w:rPr>
          <w:color w:val="000000" w:themeColor="text1"/>
        </w:rPr>
      </w:pPr>
      <w:r w:rsidRPr="00F44BBB">
        <w:rPr>
          <w:color w:val="000000" w:themeColor="text1"/>
        </w:rPr>
        <w:t>Phone: +44 (0)1162584394</w:t>
      </w:r>
    </w:p>
    <w:p w14:paraId="21121254" w14:textId="77777777" w:rsidR="00A51C1A" w:rsidRPr="00B01754" w:rsidRDefault="00A51C1A">
      <w:pPr>
        <w:spacing w:after="0" w:line="360" w:lineRule="auto"/>
        <w:rPr>
          <w:color w:val="000000" w:themeColor="text1"/>
        </w:rPr>
      </w:pPr>
    </w:p>
    <w:p w14:paraId="4D55E779" w14:textId="77777777" w:rsidR="00A51C1A" w:rsidRPr="00B01754" w:rsidRDefault="00234D8F">
      <w:pPr>
        <w:spacing w:after="0" w:line="360" w:lineRule="auto"/>
        <w:rPr>
          <w:color w:val="000000" w:themeColor="text1"/>
        </w:rPr>
      </w:pPr>
      <w:r w:rsidRPr="00B01754">
        <w:rPr>
          <w:color w:val="000000" w:themeColor="text1"/>
        </w:rPr>
        <w:t>Abstract: 250</w:t>
      </w:r>
    </w:p>
    <w:p w14:paraId="739DE751" w14:textId="7BA7C1CE" w:rsidR="00A51C1A" w:rsidRPr="00B01754" w:rsidRDefault="00A51C1A">
      <w:pPr>
        <w:spacing w:after="0" w:line="360" w:lineRule="auto"/>
        <w:rPr>
          <w:color w:val="000000" w:themeColor="text1"/>
        </w:rPr>
      </w:pPr>
      <w:r w:rsidRPr="00B01754">
        <w:rPr>
          <w:color w:val="000000" w:themeColor="text1"/>
        </w:rPr>
        <w:t xml:space="preserve">Main Text: </w:t>
      </w:r>
      <w:r w:rsidR="00583BA1" w:rsidRPr="00B01754">
        <w:rPr>
          <w:color w:val="000000" w:themeColor="text1"/>
        </w:rPr>
        <w:t>3,</w:t>
      </w:r>
      <w:r w:rsidR="001525AC" w:rsidRPr="00B01754">
        <w:rPr>
          <w:color w:val="000000" w:themeColor="text1"/>
        </w:rPr>
        <w:t>911</w:t>
      </w:r>
    </w:p>
    <w:p w14:paraId="0BC010E1" w14:textId="77777777" w:rsidR="00A51C1A" w:rsidRPr="00B01754" w:rsidRDefault="00A51C1A">
      <w:pPr>
        <w:spacing w:after="0" w:line="360" w:lineRule="auto"/>
        <w:rPr>
          <w:color w:val="000000" w:themeColor="text1"/>
        </w:rPr>
      </w:pPr>
      <w:r w:rsidRPr="00B01754">
        <w:rPr>
          <w:color w:val="000000" w:themeColor="text1"/>
        </w:rPr>
        <w:t>Tables:  3</w:t>
      </w:r>
    </w:p>
    <w:p w14:paraId="6254445A" w14:textId="77777777" w:rsidR="00A51C1A" w:rsidRPr="00B01754" w:rsidRDefault="00A51C1A">
      <w:pPr>
        <w:spacing w:after="0" w:line="360" w:lineRule="auto"/>
        <w:rPr>
          <w:color w:val="000000" w:themeColor="text1"/>
        </w:rPr>
      </w:pPr>
      <w:r w:rsidRPr="00B01754">
        <w:rPr>
          <w:color w:val="000000" w:themeColor="text1"/>
        </w:rPr>
        <w:lastRenderedPageBreak/>
        <w:t>Figures:  1</w:t>
      </w:r>
    </w:p>
    <w:p w14:paraId="55CF2EE0" w14:textId="77777777" w:rsidR="00A51C1A" w:rsidRPr="00B01754" w:rsidRDefault="00A51C1A">
      <w:pPr>
        <w:spacing w:after="0" w:line="360" w:lineRule="auto"/>
        <w:rPr>
          <w:color w:val="000000" w:themeColor="text1"/>
        </w:rPr>
      </w:pPr>
      <w:r w:rsidRPr="00B01754">
        <w:rPr>
          <w:color w:val="000000" w:themeColor="text1"/>
        </w:rPr>
        <w:t>Appendix: Supplementary Tables 4; STROBE checklist; ISAC protocol</w:t>
      </w:r>
    </w:p>
    <w:p w14:paraId="08461CB9" w14:textId="77777777" w:rsidR="00A51C1A" w:rsidRPr="00B01754" w:rsidRDefault="00A51C1A">
      <w:pPr>
        <w:spacing w:after="0" w:line="360" w:lineRule="auto"/>
        <w:rPr>
          <w:color w:val="000000" w:themeColor="text1"/>
        </w:rPr>
      </w:pPr>
    </w:p>
    <w:p w14:paraId="04C8946A" w14:textId="77777777" w:rsidR="00A51C1A" w:rsidRPr="00B01754" w:rsidRDefault="00A51C1A" w:rsidP="00234D8F">
      <w:pPr>
        <w:spacing w:after="0" w:line="360" w:lineRule="auto"/>
        <w:rPr>
          <w:b/>
          <w:color w:val="000000" w:themeColor="text1"/>
        </w:rPr>
      </w:pPr>
      <w:r w:rsidRPr="00B01754">
        <w:rPr>
          <w:b/>
          <w:color w:val="000000" w:themeColor="text1"/>
        </w:rPr>
        <w:t>Keywords</w:t>
      </w:r>
    </w:p>
    <w:p w14:paraId="1DF26A9F" w14:textId="77777777" w:rsidR="00A51C1A" w:rsidRPr="00B01754" w:rsidRDefault="00A51C1A" w:rsidP="00234D8F">
      <w:pPr>
        <w:spacing w:after="0" w:line="360" w:lineRule="auto"/>
        <w:rPr>
          <w:color w:val="000000" w:themeColor="text1"/>
        </w:rPr>
      </w:pPr>
      <w:r w:rsidRPr="00B01754">
        <w:rPr>
          <w:color w:val="000000" w:themeColor="text1"/>
        </w:rPr>
        <w:t>Comorbidity;  Physicians, Primary Care; Diabetes Mellitus, Type 2;  Primary health care; electronic health records; health care costs</w:t>
      </w:r>
    </w:p>
    <w:p w14:paraId="77F10D81" w14:textId="77777777" w:rsidR="00583BA1" w:rsidRPr="00B01754" w:rsidRDefault="00583BA1" w:rsidP="00234D8F">
      <w:pPr>
        <w:spacing w:after="0" w:line="360" w:lineRule="auto"/>
        <w:rPr>
          <w:color w:val="000000" w:themeColor="text1"/>
        </w:rPr>
      </w:pPr>
    </w:p>
    <w:p w14:paraId="75A01375" w14:textId="77777777" w:rsidR="00583BA1" w:rsidRPr="00B01754" w:rsidRDefault="00583BA1" w:rsidP="00583BA1">
      <w:pPr>
        <w:spacing w:after="0" w:line="360" w:lineRule="auto"/>
        <w:jc w:val="both"/>
        <w:rPr>
          <w:b/>
          <w:color w:val="000000" w:themeColor="text1"/>
        </w:rPr>
      </w:pPr>
      <w:r w:rsidRPr="00B01754">
        <w:rPr>
          <w:b/>
          <w:color w:val="000000" w:themeColor="text1"/>
        </w:rPr>
        <w:t>Acknowledgements</w:t>
      </w:r>
    </w:p>
    <w:p w14:paraId="19176A9D" w14:textId="77777777" w:rsidR="00583BA1" w:rsidRPr="00B01754" w:rsidRDefault="00583BA1" w:rsidP="00583BA1">
      <w:pPr>
        <w:spacing w:after="0" w:line="360" w:lineRule="auto"/>
        <w:jc w:val="both"/>
        <w:rPr>
          <w:color w:val="000000" w:themeColor="text1"/>
        </w:rPr>
      </w:pPr>
      <w:r w:rsidRPr="00B01754">
        <w:rPr>
          <w:color w:val="000000" w:themeColor="text1"/>
        </w:rPr>
        <w:t>This study is based on data from the Clinical Practice Research Datalink GOLD database obtained under licence from the UK Medicines and Healthcare products Regulatory Agency. However, the interpretation and conclusions contained in this article are those of the authors alone.  The authors gratefully acknowledge Leicester Real-World Evidence Unit (LRWE) for facilitating the download of CPRD data. LRWE is funded by University of Leicester, NIHR Applied Research Collaboration East Midlands and Leicester Biomedical Research Centre. The interpretation and conclusions contained in this report/article do not necessarily reflect those of the LRWE.</w:t>
      </w:r>
    </w:p>
    <w:p w14:paraId="3261CD4C" w14:textId="77777777" w:rsidR="00583BA1" w:rsidRPr="00B01754" w:rsidRDefault="00583BA1" w:rsidP="00234D8F">
      <w:pPr>
        <w:spacing w:after="0" w:line="360" w:lineRule="auto"/>
        <w:rPr>
          <w:color w:val="000000" w:themeColor="text1"/>
        </w:rPr>
      </w:pPr>
    </w:p>
    <w:p w14:paraId="6D0DA24A" w14:textId="77777777" w:rsidR="00A51C1A" w:rsidRPr="00B01754" w:rsidRDefault="00A51C1A" w:rsidP="00234D8F">
      <w:pPr>
        <w:spacing w:after="0" w:line="360" w:lineRule="auto"/>
        <w:rPr>
          <w:color w:val="000000" w:themeColor="text1"/>
        </w:rPr>
      </w:pPr>
      <w:r w:rsidRPr="00B01754">
        <w:rPr>
          <w:color w:val="000000" w:themeColor="text1"/>
        </w:rPr>
        <w:br w:type="page"/>
      </w:r>
    </w:p>
    <w:p w14:paraId="3F17EE3D" w14:textId="77777777" w:rsidR="00A51C1A" w:rsidRPr="00B01754" w:rsidRDefault="00A51C1A" w:rsidP="00234D8F">
      <w:pPr>
        <w:spacing w:after="0" w:line="360" w:lineRule="auto"/>
        <w:rPr>
          <w:color w:val="000000" w:themeColor="text1"/>
        </w:rPr>
      </w:pPr>
      <w:r w:rsidRPr="00B01754">
        <w:rPr>
          <w:b/>
          <w:noProof/>
          <w:color w:val="000000" w:themeColor="text1"/>
          <w:sz w:val="30"/>
          <w:szCs w:val="30"/>
          <w:lang w:eastAsia="en-GB"/>
        </w:rPr>
        <w:lastRenderedPageBreak/>
        <mc:AlternateContent>
          <mc:Choice Requires="wps">
            <w:drawing>
              <wp:anchor distT="0" distB="0" distL="114300" distR="114300" simplePos="0" relativeHeight="251659264" behindDoc="0" locked="0" layoutInCell="1" allowOverlap="1" wp14:anchorId="0377087E" wp14:editId="088D70D1">
                <wp:simplePos x="0" y="0"/>
                <wp:positionH relativeFrom="column">
                  <wp:posOffset>-114300</wp:posOffset>
                </wp:positionH>
                <wp:positionV relativeFrom="paragraph">
                  <wp:posOffset>68580</wp:posOffset>
                </wp:positionV>
                <wp:extent cx="5829300" cy="5448300"/>
                <wp:effectExtent l="9525" t="9525" r="9525" b="9525"/>
                <wp:wrapTight wrapText="bothSides">
                  <wp:wrapPolygon edited="0">
                    <wp:start x="-35" y="-30"/>
                    <wp:lineTo x="-35" y="21600"/>
                    <wp:lineTo x="21635" y="21600"/>
                    <wp:lineTo x="21635" y="-30"/>
                    <wp:lineTo x="-35" y="-3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5448300"/>
                        </a:xfrm>
                        <a:prstGeom prst="rect">
                          <a:avLst/>
                        </a:prstGeom>
                        <a:solidFill>
                          <a:schemeClr val="accent1">
                            <a:lumMod val="60000"/>
                            <a:lumOff val="40000"/>
                          </a:schemeClr>
                        </a:solidFill>
                        <a:ln w="9525">
                          <a:solidFill>
                            <a:schemeClr val="tx1">
                              <a:lumMod val="100000"/>
                              <a:lumOff val="0"/>
                            </a:schemeClr>
                          </a:solidFill>
                          <a:miter lim="800000"/>
                          <a:headEnd/>
                          <a:tailEnd/>
                        </a:ln>
                      </wps:spPr>
                      <wps:txbx>
                        <w:txbxContent>
                          <w:p w14:paraId="356E5580" w14:textId="77777777" w:rsidR="0078015A" w:rsidRPr="00116B62" w:rsidRDefault="0078015A" w:rsidP="00234D8F">
                            <w:pPr>
                              <w:spacing w:after="0" w:line="360" w:lineRule="auto"/>
                              <w:jc w:val="both"/>
                              <w:rPr>
                                <w:rFonts w:cs="Times"/>
                                <w:b/>
                                <w:color w:val="262626"/>
                                <w:sz w:val="30"/>
                                <w:szCs w:val="30"/>
                                <w:lang w:val="en-US"/>
                              </w:rPr>
                            </w:pPr>
                            <w:r>
                              <w:rPr>
                                <w:rFonts w:cs="Times"/>
                                <w:b/>
                                <w:color w:val="262626"/>
                                <w:sz w:val="30"/>
                                <w:szCs w:val="30"/>
                                <w:lang w:val="en-US"/>
                              </w:rPr>
                              <w:t>KEY MESSAGES</w:t>
                            </w:r>
                          </w:p>
                          <w:p w14:paraId="64D2E717" w14:textId="77777777" w:rsidR="0078015A" w:rsidRDefault="0078015A" w:rsidP="00234D8F">
                            <w:pPr>
                              <w:spacing w:after="0" w:line="360" w:lineRule="auto"/>
                              <w:jc w:val="both"/>
                              <w:rPr>
                                <w:rFonts w:cs="Times"/>
                                <w:b/>
                                <w:color w:val="262626"/>
                                <w:szCs w:val="32"/>
                                <w:lang w:val="en-US"/>
                              </w:rPr>
                            </w:pPr>
                            <w:r w:rsidRPr="0065534B">
                              <w:rPr>
                                <w:rFonts w:cs="Times"/>
                                <w:b/>
                                <w:color w:val="262626"/>
                                <w:szCs w:val="32"/>
                                <w:lang w:val="en-US"/>
                              </w:rPr>
                              <w:t>What is already known on this topic</w:t>
                            </w:r>
                          </w:p>
                          <w:p w14:paraId="09F84429" w14:textId="77777777" w:rsidR="0078015A" w:rsidRDefault="0078015A" w:rsidP="00234D8F">
                            <w:pPr>
                              <w:pStyle w:val="ListParagraph"/>
                              <w:numPr>
                                <w:ilvl w:val="0"/>
                                <w:numId w:val="2"/>
                              </w:numPr>
                              <w:spacing w:after="0" w:line="360" w:lineRule="auto"/>
                              <w:jc w:val="both"/>
                              <w:rPr>
                                <w:rFonts w:cs="Calibri"/>
                              </w:rPr>
                            </w:pPr>
                            <w:r w:rsidRPr="0065534B">
                              <w:rPr>
                                <w:rFonts w:cs="Calibri"/>
                              </w:rPr>
                              <w:t xml:space="preserve">Management of patients with type 2 diabetes requires significant primary care resources </w:t>
                            </w:r>
                          </w:p>
                          <w:p w14:paraId="145B9477" w14:textId="77777777" w:rsidR="0078015A" w:rsidRDefault="0078015A" w:rsidP="00234D8F">
                            <w:pPr>
                              <w:pStyle w:val="ListParagraph"/>
                              <w:numPr>
                                <w:ilvl w:val="0"/>
                                <w:numId w:val="2"/>
                              </w:numPr>
                              <w:spacing w:after="0" w:line="360" w:lineRule="auto"/>
                              <w:jc w:val="both"/>
                              <w:rPr>
                                <w:rFonts w:cs="Calibri"/>
                              </w:rPr>
                            </w:pPr>
                            <w:r>
                              <w:rPr>
                                <w:rFonts w:cs="Calibri"/>
                              </w:rPr>
                              <w:t xml:space="preserve">Most people with </w:t>
                            </w:r>
                            <w:r w:rsidRPr="0065534B">
                              <w:rPr>
                                <w:rFonts w:cs="Calibri"/>
                              </w:rPr>
                              <w:t xml:space="preserve">type 2 diabetes </w:t>
                            </w:r>
                            <w:r>
                              <w:rPr>
                                <w:rFonts w:cs="Calibri"/>
                              </w:rPr>
                              <w:t>have comorbidities</w:t>
                            </w:r>
                          </w:p>
                          <w:p w14:paraId="185B5C38" w14:textId="77777777" w:rsidR="0078015A" w:rsidRPr="007924D1" w:rsidRDefault="0078015A" w:rsidP="00234D8F">
                            <w:pPr>
                              <w:pStyle w:val="ListParagraph"/>
                              <w:numPr>
                                <w:ilvl w:val="0"/>
                                <w:numId w:val="2"/>
                              </w:numPr>
                              <w:spacing w:after="0" w:line="360" w:lineRule="auto"/>
                              <w:jc w:val="both"/>
                              <w:rPr>
                                <w:rFonts w:cs="Times"/>
                                <w:color w:val="262626"/>
                                <w:szCs w:val="32"/>
                                <w:lang w:val="en-US"/>
                              </w:rPr>
                            </w:pPr>
                            <w:r>
                              <w:rPr>
                                <w:rFonts w:cs="Calibri"/>
                              </w:rPr>
                              <w:t>The extent to which co</w:t>
                            </w:r>
                            <w:r w:rsidRPr="0065534B">
                              <w:rPr>
                                <w:rFonts w:cs="Calibri"/>
                              </w:rPr>
                              <w:t>mo</w:t>
                            </w:r>
                            <w:r>
                              <w:rPr>
                                <w:rFonts w:cs="Calibri"/>
                              </w:rPr>
                              <w:t>r</w:t>
                            </w:r>
                            <w:r w:rsidRPr="0065534B">
                              <w:rPr>
                                <w:rFonts w:cs="Calibri"/>
                              </w:rPr>
                              <w:t>bidities</w:t>
                            </w:r>
                            <w:r>
                              <w:rPr>
                                <w:rFonts w:cs="Calibri"/>
                              </w:rPr>
                              <w:t xml:space="preserve"> in people with type 2 diabetes</w:t>
                            </w:r>
                            <w:r w:rsidRPr="0065534B">
                              <w:rPr>
                                <w:rFonts w:cs="Calibri"/>
                              </w:rPr>
                              <w:t xml:space="preserve"> a</w:t>
                            </w:r>
                            <w:r>
                              <w:rPr>
                                <w:rFonts w:cs="Calibri"/>
                              </w:rPr>
                              <w:t>ffect primary care utilization is not known</w:t>
                            </w:r>
                          </w:p>
                          <w:p w14:paraId="03ED92A9" w14:textId="77777777" w:rsidR="0078015A" w:rsidRPr="007924D1" w:rsidRDefault="0078015A" w:rsidP="00234D8F">
                            <w:pPr>
                              <w:pStyle w:val="ListParagraph"/>
                              <w:spacing w:after="0" w:line="360" w:lineRule="auto"/>
                              <w:jc w:val="both"/>
                              <w:rPr>
                                <w:rFonts w:cs="Times"/>
                                <w:color w:val="262626"/>
                                <w:szCs w:val="32"/>
                                <w:lang w:val="en-US"/>
                              </w:rPr>
                            </w:pPr>
                          </w:p>
                          <w:p w14:paraId="4C20075B" w14:textId="77777777" w:rsidR="0078015A" w:rsidRPr="007924D1" w:rsidRDefault="0078015A" w:rsidP="00234D8F">
                            <w:pPr>
                              <w:spacing w:after="0" w:line="360" w:lineRule="auto"/>
                              <w:jc w:val="both"/>
                              <w:rPr>
                                <w:rFonts w:cs="Times"/>
                                <w:b/>
                                <w:bCs/>
                                <w:color w:val="262626"/>
                                <w:szCs w:val="32"/>
                                <w:lang w:val="en-US"/>
                              </w:rPr>
                            </w:pPr>
                            <w:r w:rsidRPr="007924D1">
                              <w:rPr>
                                <w:rFonts w:cs="Times"/>
                                <w:b/>
                                <w:bCs/>
                                <w:color w:val="262626"/>
                                <w:szCs w:val="32"/>
                                <w:lang w:val="en-US"/>
                              </w:rPr>
                              <w:t>Key question</w:t>
                            </w:r>
                          </w:p>
                          <w:p w14:paraId="03C6FD1D" w14:textId="77777777" w:rsidR="0078015A" w:rsidRDefault="0078015A" w:rsidP="00234D8F">
                            <w:pPr>
                              <w:pStyle w:val="ListParagraph"/>
                              <w:numPr>
                                <w:ilvl w:val="0"/>
                                <w:numId w:val="8"/>
                              </w:numPr>
                              <w:spacing w:after="0" w:line="360" w:lineRule="auto"/>
                              <w:jc w:val="both"/>
                              <w:rPr>
                                <w:rFonts w:cs="Times"/>
                                <w:color w:val="262626"/>
                                <w:szCs w:val="32"/>
                                <w:lang w:val="en-US"/>
                              </w:rPr>
                            </w:pPr>
                            <w:r w:rsidRPr="00116B62">
                              <w:rPr>
                                <w:rFonts w:cs="Times"/>
                                <w:color w:val="262626"/>
                                <w:szCs w:val="32"/>
                                <w:lang w:val="en-US"/>
                              </w:rPr>
                              <w:t>Do the rate and cost of primary care consultations differ by the number of comorbidities in people with type 2 diabetes?</w:t>
                            </w:r>
                          </w:p>
                          <w:p w14:paraId="03E8E6DA" w14:textId="77777777" w:rsidR="0078015A" w:rsidRPr="00116B62" w:rsidRDefault="0078015A" w:rsidP="00234D8F">
                            <w:pPr>
                              <w:pStyle w:val="ListParagraph"/>
                              <w:spacing w:after="0" w:line="360" w:lineRule="auto"/>
                              <w:ind w:left="1080"/>
                              <w:jc w:val="both"/>
                              <w:rPr>
                                <w:rFonts w:cs="Times"/>
                                <w:color w:val="262626"/>
                                <w:szCs w:val="32"/>
                                <w:lang w:val="en-US"/>
                              </w:rPr>
                            </w:pPr>
                          </w:p>
                          <w:p w14:paraId="18ECFE35" w14:textId="77777777" w:rsidR="0078015A" w:rsidRDefault="0078015A" w:rsidP="00234D8F">
                            <w:pPr>
                              <w:spacing w:after="0" w:line="360" w:lineRule="auto"/>
                              <w:jc w:val="both"/>
                              <w:rPr>
                                <w:rFonts w:cs="Times"/>
                                <w:b/>
                                <w:color w:val="262626"/>
                                <w:szCs w:val="32"/>
                                <w:lang w:val="en-US"/>
                              </w:rPr>
                            </w:pPr>
                            <w:r>
                              <w:rPr>
                                <w:rFonts w:cs="Times"/>
                                <w:b/>
                                <w:color w:val="262626"/>
                                <w:szCs w:val="32"/>
                                <w:lang w:val="en-US"/>
                              </w:rPr>
                              <w:t>New findings</w:t>
                            </w:r>
                          </w:p>
                          <w:p w14:paraId="56E0F5E5" w14:textId="77777777" w:rsidR="0078015A" w:rsidRDefault="0078015A" w:rsidP="00234D8F">
                            <w:pPr>
                              <w:pStyle w:val="ListParagraph"/>
                              <w:numPr>
                                <w:ilvl w:val="0"/>
                                <w:numId w:val="4"/>
                              </w:numPr>
                              <w:spacing w:after="0" w:line="360" w:lineRule="auto"/>
                              <w:jc w:val="both"/>
                              <w:rPr>
                                <w:rFonts w:cs="Times"/>
                                <w:color w:val="262626"/>
                                <w:szCs w:val="32"/>
                                <w:lang w:val="en-US"/>
                              </w:rPr>
                            </w:pPr>
                            <w:r w:rsidRPr="0065534B">
                              <w:rPr>
                                <w:rFonts w:cs="Times"/>
                                <w:color w:val="262626"/>
                                <w:szCs w:val="32"/>
                                <w:lang w:val="en-US"/>
                              </w:rPr>
                              <w:t xml:space="preserve">Our study found that patients with type 2 diabetes and comorbidities have an increased rate of consultations in primary care compared to patients with type 2 diabetes and no </w:t>
                            </w:r>
                            <w:r>
                              <w:rPr>
                                <w:rFonts w:cs="Times"/>
                                <w:color w:val="262626"/>
                                <w:szCs w:val="32"/>
                                <w:lang w:val="en-US"/>
                              </w:rPr>
                              <w:t xml:space="preserve">other </w:t>
                            </w:r>
                            <w:r w:rsidRPr="0065534B">
                              <w:rPr>
                                <w:rFonts w:cs="Times"/>
                                <w:color w:val="262626"/>
                                <w:szCs w:val="32"/>
                                <w:lang w:val="en-US"/>
                              </w:rPr>
                              <w:t>comorbidities</w:t>
                            </w:r>
                            <w:r>
                              <w:rPr>
                                <w:rFonts w:cs="Times"/>
                                <w:color w:val="262626"/>
                                <w:szCs w:val="32"/>
                                <w:lang w:val="en-US"/>
                              </w:rPr>
                              <w:t xml:space="preserve"> and that this results in a quantifiable increase in healthcare costs</w:t>
                            </w:r>
                          </w:p>
                          <w:p w14:paraId="0F462657" w14:textId="77777777" w:rsidR="0078015A" w:rsidRDefault="0078015A" w:rsidP="00234D8F">
                            <w:pPr>
                              <w:spacing w:after="0" w:line="360" w:lineRule="auto"/>
                              <w:jc w:val="both"/>
                              <w:rPr>
                                <w:rFonts w:cs="Times"/>
                                <w:b/>
                                <w:bCs/>
                                <w:color w:val="262626"/>
                                <w:szCs w:val="32"/>
                                <w:lang w:val="en-US"/>
                              </w:rPr>
                            </w:pPr>
                          </w:p>
                          <w:p w14:paraId="11398A69" w14:textId="77777777" w:rsidR="0078015A" w:rsidRPr="007924D1" w:rsidRDefault="0078015A" w:rsidP="00234D8F">
                            <w:pPr>
                              <w:spacing w:after="0" w:line="360" w:lineRule="auto"/>
                              <w:jc w:val="both"/>
                              <w:rPr>
                                <w:rFonts w:cs="Times"/>
                                <w:b/>
                                <w:bCs/>
                                <w:color w:val="262626"/>
                                <w:szCs w:val="32"/>
                                <w:lang w:val="en-US"/>
                              </w:rPr>
                            </w:pPr>
                            <w:r w:rsidRPr="007924D1">
                              <w:rPr>
                                <w:rFonts w:cs="Times"/>
                                <w:b/>
                                <w:bCs/>
                                <w:color w:val="262626"/>
                                <w:szCs w:val="32"/>
                                <w:lang w:val="en-US"/>
                              </w:rPr>
                              <w:t>Impact on clinical practice</w:t>
                            </w:r>
                          </w:p>
                          <w:p w14:paraId="677F9776" w14:textId="77777777" w:rsidR="0078015A" w:rsidRPr="007924D1" w:rsidRDefault="0078015A" w:rsidP="00234D8F">
                            <w:pPr>
                              <w:pStyle w:val="ListParagraph"/>
                              <w:numPr>
                                <w:ilvl w:val="0"/>
                                <w:numId w:val="4"/>
                              </w:numPr>
                              <w:spacing w:after="0" w:line="360" w:lineRule="auto"/>
                              <w:jc w:val="both"/>
                              <w:rPr>
                                <w:rFonts w:cs="Times"/>
                                <w:color w:val="262626"/>
                                <w:szCs w:val="32"/>
                                <w:lang w:val="en-US"/>
                              </w:rPr>
                            </w:pPr>
                            <w:r>
                              <w:t>These findings support that patients with type 2 diabetes and comorbidities may require a different model of service delivery that involves less frequent, more comprehensive consultations with a primary care provider.</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77087E" id="_x0000_t202" coordsize="21600,21600" o:spt="202" path="m,l,21600r21600,l21600,xe">
                <v:stroke joinstyle="miter"/>
                <v:path gradientshapeok="t" o:connecttype="rect"/>
              </v:shapetype>
              <v:shape id="Text Box 2" o:spid="_x0000_s1026" type="#_x0000_t202" style="position:absolute;margin-left:-9pt;margin-top:5.4pt;width:459pt;height:4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" fillcolor="#9cc2e5 [1940]" strokecolor="black [3213]">
                <v:textbox inset=",7.2pt,,7.2pt">
                  <w:txbxContent>
                    <w:p w14:paraId="356E5580" w14:textId="77777777" w:rsidR="0078015A" w:rsidRPr="00116B62" w:rsidRDefault="0078015A" w:rsidP="00234D8F">
                      <w:pPr>
                        <w:spacing w:after="0" w:line="360" w:lineRule="auto"/>
                        <w:jc w:val="both"/>
                        <w:rPr>
                          <w:rFonts w:cs="Times"/>
                          <w:b/>
                          <w:color w:val="262626"/>
                          <w:sz w:val="30"/>
                          <w:szCs w:val="30"/>
                          <w:lang w:val="en-US"/>
                        </w:rPr>
                      </w:pPr>
                      <w:r>
                        <w:rPr>
                          <w:rFonts w:cs="Times"/>
                          <w:b/>
                          <w:color w:val="262626"/>
                          <w:sz w:val="30"/>
                          <w:szCs w:val="30"/>
                          <w:lang w:val="en-US"/>
                        </w:rPr>
                        <w:t>KEY MESSAGES</w:t>
                      </w:r>
                    </w:p>
                    <w:p w14:paraId="64D2E717" w14:textId="77777777" w:rsidR="0078015A" w:rsidRDefault="0078015A" w:rsidP="00234D8F">
                      <w:pPr>
                        <w:spacing w:after="0" w:line="360" w:lineRule="auto"/>
                        <w:jc w:val="both"/>
                        <w:rPr>
                          <w:rFonts w:cs="Times"/>
                          <w:b/>
                          <w:color w:val="262626"/>
                          <w:szCs w:val="32"/>
                          <w:lang w:val="en-US"/>
                        </w:rPr>
                      </w:pPr>
                      <w:r w:rsidRPr="0065534B">
                        <w:rPr>
                          <w:rFonts w:cs="Times"/>
                          <w:b/>
                          <w:color w:val="262626"/>
                          <w:szCs w:val="32"/>
                          <w:lang w:val="en-US"/>
                        </w:rPr>
                        <w:t xml:space="preserve">What is already known on this </w:t>
                      </w:r>
                      <w:proofErr w:type="gramStart"/>
                      <w:r w:rsidRPr="0065534B">
                        <w:rPr>
                          <w:rFonts w:cs="Times"/>
                          <w:b/>
                          <w:color w:val="262626"/>
                          <w:szCs w:val="32"/>
                          <w:lang w:val="en-US"/>
                        </w:rPr>
                        <w:t>topic</w:t>
                      </w:r>
                      <w:proofErr w:type="gramEnd"/>
                    </w:p>
                    <w:p w14:paraId="09F84429" w14:textId="77777777" w:rsidR="0078015A" w:rsidRDefault="0078015A" w:rsidP="00234D8F">
                      <w:pPr>
                        <w:pStyle w:val="ListParagraph"/>
                        <w:numPr>
                          <w:ilvl w:val="0"/>
                          <w:numId w:val="2"/>
                        </w:numPr>
                        <w:spacing w:after="0" w:line="360" w:lineRule="auto"/>
                        <w:jc w:val="both"/>
                        <w:rPr>
                          <w:rFonts w:cs="Calibri"/>
                        </w:rPr>
                      </w:pPr>
                      <w:r w:rsidRPr="0065534B">
                        <w:rPr>
                          <w:rFonts w:cs="Calibri"/>
                        </w:rPr>
                        <w:t xml:space="preserve">Management of patients with type 2 diabetes requires significant primary care resources </w:t>
                      </w:r>
                    </w:p>
                    <w:p w14:paraId="145B9477" w14:textId="77777777" w:rsidR="0078015A" w:rsidRDefault="0078015A" w:rsidP="00234D8F">
                      <w:pPr>
                        <w:pStyle w:val="ListParagraph"/>
                        <w:numPr>
                          <w:ilvl w:val="0"/>
                          <w:numId w:val="2"/>
                        </w:numPr>
                        <w:spacing w:after="0" w:line="360" w:lineRule="auto"/>
                        <w:jc w:val="both"/>
                        <w:rPr>
                          <w:rFonts w:cs="Calibri"/>
                        </w:rPr>
                      </w:pPr>
                      <w:r>
                        <w:rPr>
                          <w:rFonts w:cs="Calibri"/>
                        </w:rPr>
                        <w:t xml:space="preserve">Most people with </w:t>
                      </w:r>
                      <w:r w:rsidRPr="0065534B">
                        <w:rPr>
                          <w:rFonts w:cs="Calibri"/>
                        </w:rPr>
                        <w:t xml:space="preserve">type 2 diabetes </w:t>
                      </w:r>
                      <w:r>
                        <w:rPr>
                          <w:rFonts w:cs="Calibri"/>
                        </w:rPr>
                        <w:t>have comorbidities</w:t>
                      </w:r>
                    </w:p>
                    <w:p w14:paraId="185B5C38" w14:textId="77777777" w:rsidR="0078015A" w:rsidRPr="007924D1" w:rsidRDefault="0078015A" w:rsidP="00234D8F">
                      <w:pPr>
                        <w:pStyle w:val="ListParagraph"/>
                        <w:numPr>
                          <w:ilvl w:val="0"/>
                          <w:numId w:val="2"/>
                        </w:numPr>
                        <w:spacing w:after="0" w:line="360" w:lineRule="auto"/>
                        <w:jc w:val="both"/>
                        <w:rPr>
                          <w:rFonts w:cs="Times"/>
                          <w:color w:val="262626"/>
                          <w:szCs w:val="32"/>
                          <w:lang w:val="en-US"/>
                        </w:rPr>
                      </w:pPr>
                      <w:r>
                        <w:rPr>
                          <w:rFonts w:cs="Calibri"/>
                        </w:rPr>
                        <w:t>The extent to which co</w:t>
                      </w:r>
                      <w:r w:rsidRPr="0065534B">
                        <w:rPr>
                          <w:rFonts w:cs="Calibri"/>
                        </w:rPr>
                        <w:t>mo</w:t>
                      </w:r>
                      <w:r>
                        <w:rPr>
                          <w:rFonts w:cs="Calibri"/>
                        </w:rPr>
                        <w:t>r</w:t>
                      </w:r>
                      <w:r w:rsidRPr="0065534B">
                        <w:rPr>
                          <w:rFonts w:cs="Calibri"/>
                        </w:rPr>
                        <w:t>bidities</w:t>
                      </w:r>
                      <w:r>
                        <w:rPr>
                          <w:rFonts w:cs="Calibri"/>
                        </w:rPr>
                        <w:t xml:space="preserve"> in people with type 2 diabetes</w:t>
                      </w:r>
                      <w:r w:rsidRPr="0065534B">
                        <w:rPr>
                          <w:rFonts w:cs="Calibri"/>
                        </w:rPr>
                        <w:t xml:space="preserve"> a</w:t>
                      </w:r>
                      <w:r>
                        <w:rPr>
                          <w:rFonts w:cs="Calibri"/>
                        </w:rPr>
                        <w:t>ffect primary care utilization is not known</w:t>
                      </w:r>
                    </w:p>
                    <w:p w14:paraId="03ED92A9" w14:textId="77777777" w:rsidR="0078015A" w:rsidRPr="007924D1" w:rsidRDefault="0078015A" w:rsidP="00234D8F">
                      <w:pPr>
                        <w:pStyle w:val="ListParagraph"/>
                        <w:spacing w:after="0" w:line="360" w:lineRule="auto"/>
                        <w:jc w:val="both"/>
                        <w:rPr>
                          <w:rFonts w:cs="Times"/>
                          <w:color w:val="262626"/>
                          <w:szCs w:val="32"/>
                          <w:lang w:val="en-US"/>
                        </w:rPr>
                      </w:pPr>
                    </w:p>
                    <w:p w14:paraId="4C20075B" w14:textId="77777777" w:rsidR="0078015A" w:rsidRPr="007924D1" w:rsidRDefault="0078015A" w:rsidP="00234D8F">
                      <w:pPr>
                        <w:spacing w:after="0" w:line="360" w:lineRule="auto"/>
                        <w:jc w:val="both"/>
                        <w:rPr>
                          <w:rFonts w:cs="Times"/>
                          <w:b/>
                          <w:bCs/>
                          <w:color w:val="262626"/>
                          <w:szCs w:val="32"/>
                          <w:lang w:val="en-US"/>
                        </w:rPr>
                      </w:pPr>
                      <w:r w:rsidRPr="007924D1">
                        <w:rPr>
                          <w:rFonts w:cs="Times"/>
                          <w:b/>
                          <w:bCs/>
                          <w:color w:val="262626"/>
                          <w:szCs w:val="32"/>
                          <w:lang w:val="en-US"/>
                        </w:rPr>
                        <w:t>Key question</w:t>
                      </w:r>
                    </w:p>
                    <w:p w14:paraId="03C6FD1D" w14:textId="77777777" w:rsidR="0078015A" w:rsidRDefault="0078015A" w:rsidP="00234D8F">
                      <w:pPr>
                        <w:pStyle w:val="ListParagraph"/>
                        <w:numPr>
                          <w:ilvl w:val="0"/>
                          <w:numId w:val="8"/>
                        </w:numPr>
                        <w:spacing w:after="0" w:line="360" w:lineRule="auto"/>
                        <w:jc w:val="both"/>
                        <w:rPr>
                          <w:rFonts w:cs="Times"/>
                          <w:color w:val="262626"/>
                          <w:szCs w:val="32"/>
                          <w:lang w:val="en-US"/>
                        </w:rPr>
                      </w:pPr>
                      <w:r w:rsidRPr="00116B62">
                        <w:rPr>
                          <w:rFonts w:cs="Times"/>
                          <w:color w:val="262626"/>
                          <w:szCs w:val="32"/>
                          <w:lang w:val="en-US"/>
                        </w:rPr>
                        <w:t>Do the rate and cost of primary care consultations differ by the number of comorbidities in people with type 2 diabetes?</w:t>
                      </w:r>
                    </w:p>
                    <w:p w14:paraId="03E8E6DA" w14:textId="77777777" w:rsidR="0078015A" w:rsidRPr="00116B62" w:rsidRDefault="0078015A" w:rsidP="00234D8F">
                      <w:pPr>
                        <w:pStyle w:val="ListParagraph"/>
                        <w:spacing w:after="0" w:line="360" w:lineRule="auto"/>
                        <w:ind w:left="1080"/>
                        <w:jc w:val="both"/>
                        <w:rPr>
                          <w:rFonts w:cs="Times"/>
                          <w:color w:val="262626"/>
                          <w:szCs w:val="32"/>
                          <w:lang w:val="en-US"/>
                        </w:rPr>
                      </w:pPr>
                    </w:p>
                    <w:p w14:paraId="18ECFE35" w14:textId="77777777" w:rsidR="0078015A" w:rsidRDefault="0078015A" w:rsidP="00234D8F">
                      <w:pPr>
                        <w:spacing w:after="0" w:line="360" w:lineRule="auto"/>
                        <w:jc w:val="both"/>
                        <w:rPr>
                          <w:rFonts w:cs="Times"/>
                          <w:b/>
                          <w:color w:val="262626"/>
                          <w:szCs w:val="32"/>
                          <w:lang w:val="en-US"/>
                        </w:rPr>
                      </w:pPr>
                      <w:r>
                        <w:rPr>
                          <w:rFonts w:cs="Times"/>
                          <w:b/>
                          <w:color w:val="262626"/>
                          <w:szCs w:val="32"/>
                          <w:lang w:val="en-US"/>
                        </w:rPr>
                        <w:t>New findings</w:t>
                      </w:r>
                    </w:p>
                    <w:p w14:paraId="56E0F5E5" w14:textId="77777777" w:rsidR="0078015A" w:rsidRDefault="0078015A" w:rsidP="00234D8F">
                      <w:pPr>
                        <w:pStyle w:val="ListParagraph"/>
                        <w:numPr>
                          <w:ilvl w:val="0"/>
                          <w:numId w:val="4"/>
                        </w:numPr>
                        <w:spacing w:after="0" w:line="360" w:lineRule="auto"/>
                        <w:jc w:val="both"/>
                        <w:rPr>
                          <w:rFonts w:cs="Times"/>
                          <w:color w:val="262626"/>
                          <w:szCs w:val="32"/>
                          <w:lang w:val="en-US"/>
                        </w:rPr>
                      </w:pPr>
                      <w:r w:rsidRPr="0065534B">
                        <w:rPr>
                          <w:rFonts w:cs="Times"/>
                          <w:color w:val="262626"/>
                          <w:szCs w:val="32"/>
                          <w:lang w:val="en-US"/>
                        </w:rPr>
                        <w:t xml:space="preserve">Our study found that patients with type 2 diabetes and comorbidities have an increased rate of consultations in primary care compared to patients with type 2 diabetes and no </w:t>
                      </w:r>
                      <w:r>
                        <w:rPr>
                          <w:rFonts w:cs="Times"/>
                          <w:color w:val="262626"/>
                          <w:szCs w:val="32"/>
                          <w:lang w:val="en-US"/>
                        </w:rPr>
                        <w:t xml:space="preserve">other </w:t>
                      </w:r>
                      <w:r w:rsidRPr="0065534B">
                        <w:rPr>
                          <w:rFonts w:cs="Times"/>
                          <w:color w:val="262626"/>
                          <w:szCs w:val="32"/>
                          <w:lang w:val="en-US"/>
                        </w:rPr>
                        <w:t>comorbidities</w:t>
                      </w:r>
                      <w:r>
                        <w:rPr>
                          <w:rFonts w:cs="Times"/>
                          <w:color w:val="262626"/>
                          <w:szCs w:val="32"/>
                          <w:lang w:val="en-US"/>
                        </w:rPr>
                        <w:t xml:space="preserve"> and that this results in a quantifiable increase in healthcare costs</w:t>
                      </w:r>
                    </w:p>
                    <w:p w14:paraId="0F462657" w14:textId="77777777" w:rsidR="0078015A" w:rsidRDefault="0078015A" w:rsidP="00234D8F">
                      <w:pPr>
                        <w:spacing w:after="0" w:line="360" w:lineRule="auto"/>
                        <w:jc w:val="both"/>
                        <w:rPr>
                          <w:rFonts w:cs="Times"/>
                          <w:b/>
                          <w:bCs/>
                          <w:color w:val="262626"/>
                          <w:szCs w:val="32"/>
                          <w:lang w:val="en-US"/>
                        </w:rPr>
                      </w:pPr>
                    </w:p>
                    <w:p w14:paraId="11398A69" w14:textId="77777777" w:rsidR="0078015A" w:rsidRPr="007924D1" w:rsidRDefault="0078015A" w:rsidP="00234D8F">
                      <w:pPr>
                        <w:spacing w:after="0" w:line="360" w:lineRule="auto"/>
                        <w:jc w:val="both"/>
                        <w:rPr>
                          <w:rFonts w:cs="Times"/>
                          <w:b/>
                          <w:bCs/>
                          <w:color w:val="262626"/>
                          <w:szCs w:val="32"/>
                          <w:lang w:val="en-US"/>
                        </w:rPr>
                      </w:pPr>
                      <w:r w:rsidRPr="007924D1">
                        <w:rPr>
                          <w:rFonts w:cs="Times"/>
                          <w:b/>
                          <w:bCs/>
                          <w:color w:val="262626"/>
                          <w:szCs w:val="32"/>
                          <w:lang w:val="en-US"/>
                        </w:rPr>
                        <w:t>Impact on clinical practice</w:t>
                      </w:r>
                    </w:p>
                    <w:p w14:paraId="677F9776" w14:textId="77777777" w:rsidR="0078015A" w:rsidRPr="007924D1" w:rsidRDefault="0078015A" w:rsidP="00234D8F">
                      <w:pPr>
                        <w:pStyle w:val="ListParagraph"/>
                        <w:numPr>
                          <w:ilvl w:val="0"/>
                          <w:numId w:val="4"/>
                        </w:numPr>
                        <w:spacing w:after="0" w:line="360" w:lineRule="auto"/>
                        <w:jc w:val="both"/>
                        <w:rPr>
                          <w:rFonts w:cs="Times"/>
                          <w:color w:val="262626"/>
                          <w:szCs w:val="32"/>
                          <w:lang w:val="en-US"/>
                        </w:rPr>
                      </w:pPr>
                      <w:r>
                        <w:t>These findings support that patients with type 2 diabetes and comorbidities may require a different model of service delivery that involves less frequent, more comprehensive consultations with a primary care provider.</w:t>
                      </w:r>
                    </w:p>
                  </w:txbxContent>
                </v:textbox>
                <w10:wrap type="tight"/>
              </v:shape>
            </w:pict>
          </mc:Fallback>
        </mc:AlternateContent>
      </w:r>
    </w:p>
    <w:p w14:paraId="141B6FA8" w14:textId="77777777" w:rsidR="00A51C1A" w:rsidRPr="00B01754" w:rsidRDefault="00A51C1A" w:rsidP="00234D8F">
      <w:pPr>
        <w:spacing w:after="0" w:line="360" w:lineRule="auto"/>
        <w:rPr>
          <w:b/>
          <w:color w:val="000000" w:themeColor="text1"/>
          <w:sz w:val="30"/>
          <w:szCs w:val="30"/>
        </w:rPr>
      </w:pPr>
      <w:r w:rsidRPr="00B01754">
        <w:rPr>
          <w:b/>
          <w:color w:val="000000" w:themeColor="text1"/>
          <w:sz w:val="30"/>
          <w:szCs w:val="30"/>
        </w:rPr>
        <w:br w:type="page"/>
      </w:r>
      <w:r w:rsidRPr="00B01754">
        <w:rPr>
          <w:b/>
          <w:color w:val="000000" w:themeColor="text1"/>
          <w:sz w:val="30"/>
          <w:szCs w:val="30"/>
        </w:rPr>
        <w:lastRenderedPageBreak/>
        <w:t>ABSTRACT</w:t>
      </w:r>
    </w:p>
    <w:p w14:paraId="7B973D2B" w14:textId="77777777" w:rsidR="00A51C1A" w:rsidRPr="00B01754" w:rsidRDefault="00A51C1A" w:rsidP="00234D8F">
      <w:pPr>
        <w:spacing w:after="0" w:line="360" w:lineRule="auto"/>
        <w:jc w:val="both"/>
        <w:rPr>
          <w:rFonts w:cstheme="minorHAnsi"/>
          <w:b/>
          <w:color w:val="000000" w:themeColor="text1"/>
        </w:rPr>
      </w:pPr>
      <w:r w:rsidRPr="00B01754">
        <w:rPr>
          <w:rFonts w:cstheme="minorHAnsi"/>
          <w:b/>
          <w:color w:val="000000" w:themeColor="text1"/>
        </w:rPr>
        <w:t>Aims</w:t>
      </w:r>
    </w:p>
    <w:p w14:paraId="7412A336" w14:textId="77777777" w:rsidR="00A51C1A" w:rsidRPr="00B01754" w:rsidRDefault="00320D28" w:rsidP="00234D8F">
      <w:pPr>
        <w:pStyle w:val="NormalWeb"/>
        <w:shd w:val="clear" w:color="auto" w:fill="FFFFFF"/>
        <w:spacing w:before="0" w:beforeAutospacing="0" w:after="0" w:afterAutospacing="0" w:line="360" w:lineRule="auto"/>
        <w:jc w:val="both"/>
        <w:rPr>
          <w:rFonts w:asciiTheme="minorHAnsi" w:eastAsiaTheme="minorHAnsi" w:hAnsiTheme="minorHAnsi" w:cstheme="minorHAnsi"/>
          <w:color w:val="000000" w:themeColor="text1"/>
          <w:sz w:val="22"/>
          <w:szCs w:val="22"/>
          <w:lang w:eastAsia="en-US"/>
        </w:rPr>
      </w:pPr>
      <w:r w:rsidRPr="00B01754">
        <w:rPr>
          <w:rFonts w:asciiTheme="minorHAnsi" w:eastAsiaTheme="minorHAnsi" w:hAnsiTheme="minorHAnsi" w:cstheme="minorHAnsi"/>
          <w:color w:val="000000" w:themeColor="text1"/>
          <w:sz w:val="22"/>
          <w:szCs w:val="22"/>
          <w:lang w:eastAsia="en-US"/>
        </w:rPr>
        <w:t>To determine whether</w:t>
      </w:r>
      <w:r w:rsidR="00A51C1A" w:rsidRPr="00B01754">
        <w:rPr>
          <w:rFonts w:asciiTheme="minorHAnsi" w:eastAsiaTheme="minorHAnsi" w:hAnsiTheme="minorHAnsi" w:cstheme="minorHAnsi"/>
          <w:color w:val="000000" w:themeColor="text1"/>
          <w:sz w:val="22"/>
          <w:szCs w:val="22"/>
          <w:lang w:eastAsia="en-US"/>
        </w:rPr>
        <w:t xml:space="preserve"> telephone and face to face primary care consultation rates</w:t>
      </w:r>
      <w:r w:rsidRPr="00B01754">
        <w:rPr>
          <w:rFonts w:asciiTheme="minorHAnsi" w:eastAsiaTheme="minorHAnsi" w:hAnsiTheme="minorHAnsi" w:cstheme="minorHAnsi"/>
          <w:color w:val="000000" w:themeColor="text1"/>
          <w:sz w:val="22"/>
          <w:szCs w:val="22"/>
          <w:lang w:eastAsia="en-US"/>
        </w:rPr>
        <w:t>, costs,</w:t>
      </w:r>
      <w:r w:rsidR="00A51C1A" w:rsidRPr="00B01754">
        <w:rPr>
          <w:rFonts w:asciiTheme="minorHAnsi" w:eastAsiaTheme="minorHAnsi" w:hAnsiTheme="minorHAnsi" w:cstheme="minorHAnsi"/>
          <w:color w:val="000000" w:themeColor="text1"/>
          <w:sz w:val="22"/>
          <w:szCs w:val="22"/>
          <w:lang w:eastAsia="en-US"/>
        </w:rPr>
        <w:t xml:space="preserve"> and temporal trends during 2000-2018 differed by the number of comorbidities in people with type 2 diabetes (T2DM).</w:t>
      </w:r>
    </w:p>
    <w:p w14:paraId="0A0C53EB" w14:textId="77777777" w:rsidR="00A51C1A" w:rsidRPr="00B01754" w:rsidRDefault="00A51C1A" w:rsidP="00234D8F">
      <w:pPr>
        <w:pStyle w:val="NormalWeb"/>
        <w:shd w:val="clear" w:color="auto" w:fill="FFFFFF"/>
        <w:spacing w:before="0" w:beforeAutospacing="0" w:after="0" w:afterAutospacing="0" w:line="360" w:lineRule="auto"/>
        <w:jc w:val="both"/>
        <w:rPr>
          <w:rFonts w:asciiTheme="minorHAnsi" w:eastAsiaTheme="minorHAnsi" w:hAnsiTheme="minorHAnsi" w:cstheme="minorHAnsi"/>
          <w:color w:val="000000" w:themeColor="text1"/>
          <w:sz w:val="22"/>
          <w:szCs w:val="22"/>
          <w:lang w:eastAsia="en-US"/>
        </w:rPr>
      </w:pPr>
    </w:p>
    <w:p w14:paraId="15FC173F" w14:textId="77777777" w:rsidR="00A51C1A" w:rsidRPr="00B01754" w:rsidRDefault="00A51C1A" w:rsidP="00234D8F">
      <w:pPr>
        <w:spacing w:after="0" w:line="360" w:lineRule="auto"/>
        <w:jc w:val="both"/>
        <w:rPr>
          <w:rFonts w:eastAsia="Times New Roman" w:cs="Times New Roman"/>
          <w:b/>
          <w:bCs/>
          <w:color w:val="000000" w:themeColor="text1"/>
          <w:lang w:val="en-US"/>
        </w:rPr>
      </w:pPr>
      <w:r w:rsidRPr="00B01754">
        <w:rPr>
          <w:rFonts w:eastAsia="Times New Roman" w:cs="Times New Roman"/>
          <w:b/>
          <w:bCs/>
          <w:color w:val="000000" w:themeColor="text1"/>
          <w:lang w:val="en-US"/>
        </w:rPr>
        <w:t>Methods</w:t>
      </w:r>
    </w:p>
    <w:p w14:paraId="03147A32" w14:textId="2E109AE6" w:rsidR="00A51C1A" w:rsidRPr="00B01754" w:rsidRDefault="00A51C1A" w:rsidP="00234D8F">
      <w:pPr>
        <w:spacing w:after="0" w:line="360" w:lineRule="auto"/>
        <w:jc w:val="both"/>
        <w:rPr>
          <w:rFonts w:eastAsia="Times New Roman" w:cs="Times New Roman"/>
          <w:color w:val="000000" w:themeColor="text1"/>
          <w:lang w:val="en-US"/>
        </w:rPr>
      </w:pPr>
      <w:r w:rsidRPr="00B01754">
        <w:rPr>
          <w:rFonts w:eastAsia="Times New Roman" w:cs="Times New Roman"/>
          <w:color w:val="000000" w:themeColor="text1"/>
          <w:lang w:val="en-US"/>
        </w:rPr>
        <w:t>120,40</w:t>
      </w:r>
      <w:r w:rsidR="00234D8F" w:rsidRPr="00B01754">
        <w:rPr>
          <w:rFonts w:eastAsia="Times New Roman" w:cs="Times New Roman"/>
          <w:color w:val="000000" w:themeColor="text1"/>
          <w:lang w:val="en-US"/>
        </w:rPr>
        <w:t>9 adults with newly diagnosed T2DM</w:t>
      </w:r>
      <w:r w:rsidRPr="00B01754">
        <w:rPr>
          <w:rFonts w:eastAsia="Times New Roman" w:cs="Times New Roman"/>
          <w:color w:val="000000" w:themeColor="text1"/>
          <w:lang w:val="en-US"/>
        </w:rPr>
        <w:t xml:space="preserve"> from 2000</w:t>
      </w:r>
      <w:r w:rsidR="00234D8F" w:rsidRPr="00B01754">
        <w:rPr>
          <w:rFonts w:eastAsia="Times New Roman" w:cs="Times New Roman"/>
          <w:color w:val="000000" w:themeColor="text1"/>
          <w:lang w:val="en-US"/>
        </w:rPr>
        <w:t>-</w:t>
      </w:r>
      <w:r w:rsidRPr="00B01754">
        <w:rPr>
          <w:rFonts w:eastAsia="Times New Roman" w:cs="Times New Roman"/>
          <w:color w:val="000000" w:themeColor="text1"/>
          <w:lang w:val="en-US"/>
        </w:rPr>
        <w:t>2018</w:t>
      </w:r>
      <w:r w:rsidR="00234D8F" w:rsidRPr="00B01754">
        <w:rPr>
          <w:rFonts w:eastAsia="Times New Roman" w:cs="Times New Roman"/>
          <w:color w:val="000000" w:themeColor="text1"/>
          <w:lang w:val="en-US"/>
        </w:rPr>
        <w:t xml:space="preserve"> were </w:t>
      </w:r>
      <w:r w:rsidRPr="00B01754">
        <w:rPr>
          <w:rFonts w:eastAsia="Times New Roman" w:cs="Times New Roman"/>
          <w:color w:val="000000" w:themeColor="text1"/>
          <w:lang w:val="en-US"/>
        </w:rPr>
        <w:t>classified by the number of prevalen</w:t>
      </w:r>
      <w:r w:rsidR="00234D8F" w:rsidRPr="00B01754">
        <w:rPr>
          <w:rFonts w:eastAsia="Times New Roman" w:cs="Times New Roman"/>
          <w:color w:val="000000" w:themeColor="text1"/>
          <w:lang w:val="en-US"/>
        </w:rPr>
        <w:t>t and incident comorbidities</w:t>
      </w:r>
      <w:r w:rsidRPr="00B01754">
        <w:rPr>
          <w:rFonts w:eastAsia="Times New Roman" w:cs="Times New Roman"/>
          <w:color w:val="000000" w:themeColor="text1"/>
          <w:lang w:val="en-US"/>
        </w:rPr>
        <w:t>. Face to face and telephone primar</w:t>
      </w:r>
      <w:r w:rsidR="00234D8F" w:rsidRPr="00B01754">
        <w:rPr>
          <w:rFonts w:eastAsia="Times New Roman" w:cs="Times New Roman"/>
          <w:color w:val="000000" w:themeColor="text1"/>
          <w:lang w:val="en-US"/>
        </w:rPr>
        <w:t>y care consultations with a nurse or physician</w:t>
      </w:r>
      <w:r w:rsidRPr="00B01754">
        <w:rPr>
          <w:rFonts w:eastAsia="Times New Roman" w:cs="Times New Roman"/>
          <w:color w:val="000000" w:themeColor="text1"/>
          <w:lang w:val="en-US"/>
        </w:rPr>
        <w:t xml:space="preserve"> were obtained. Crude and sex-age adjusted annual consultation rates and associated costs were calculated based on the </w:t>
      </w:r>
      <w:r w:rsidR="00FC13C9" w:rsidRPr="00B01754">
        <w:rPr>
          <w:rFonts w:eastAsia="Times New Roman" w:cs="Times New Roman"/>
          <w:color w:val="000000" w:themeColor="text1"/>
          <w:lang w:val="en-US"/>
        </w:rPr>
        <w:t xml:space="preserve">number of comorbidities </w:t>
      </w:r>
      <w:r w:rsidRPr="00B01754">
        <w:rPr>
          <w:rFonts w:eastAsia="Times New Roman" w:cs="Times New Roman"/>
          <w:color w:val="000000" w:themeColor="text1"/>
          <w:lang w:val="en-US"/>
        </w:rPr>
        <w:t>at the time of consultation.</w:t>
      </w:r>
    </w:p>
    <w:p w14:paraId="43A08D61" w14:textId="77777777" w:rsidR="00A51C1A" w:rsidRPr="00B01754" w:rsidRDefault="00A51C1A" w:rsidP="00234D8F">
      <w:pPr>
        <w:spacing w:after="0" w:line="360" w:lineRule="auto"/>
        <w:jc w:val="both"/>
        <w:rPr>
          <w:rFonts w:eastAsia="Times New Roman" w:cs="Times New Roman"/>
          <w:color w:val="000000" w:themeColor="text1"/>
          <w:lang w:val="en-US"/>
        </w:rPr>
      </w:pPr>
    </w:p>
    <w:p w14:paraId="015CAB72" w14:textId="77777777" w:rsidR="00A51C1A" w:rsidRPr="00B01754" w:rsidRDefault="00A51C1A" w:rsidP="00234D8F">
      <w:pPr>
        <w:spacing w:after="0" w:line="360" w:lineRule="auto"/>
        <w:jc w:val="both"/>
        <w:rPr>
          <w:rFonts w:eastAsia="Times New Roman" w:cs="Times New Roman"/>
          <w:b/>
          <w:bCs/>
          <w:color w:val="000000" w:themeColor="text1"/>
          <w:lang w:val="en-US"/>
        </w:rPr>
      </w:pPr>
      <w:r w:rsidRPr="00B01754">
        <w:rPr>
          <w:rFonts w:eastAsia="Times New Roman" w:cs="Times New Roman"/>
          <w:b/>
          <w:bCs/>
          <w:color w:val="000000" w:themeColor="text1"/>
          <w:lang w:val="en-US"/>
        </w:rPr>
        <w:t>Results</w:t>
      </w:r>
    </w:p>
    <w:p w14:paraId="5B29D96D" w14:textId="77777777" w:rsidR="00A51C1A" w:rsidRPr="00B01754" w:rsidRDefault="00A51C1A" w:rsidP="00234D8F">
      <w:pPr>
        <w:spacing w:after="0" w:line="360" w:lineRule="auto"/>
        <w:jc w:val="both"/>
        <w:rPr>
          <w:rFonts w:eastAsia="Times New Roman" w:cs="Times New Roman"/>
          <w:color w:val="000000" w:themeColor="text1"/>
          <w:lang w:val="en-US"/>
        </w:rPr>
      </w:pPr>
      <w:r w:rsidRPr="00B01754">
        <w:rPr>
          <w:rFonts w:eastAsia="Times New Roman" w:cs="Times New Roman"/>
          <w:color w:val="000000" w:themeColor="text1"/>
          <w:lang w:val="en-US"/>
        </w:rPr>
        <w:t>The crude rate of face to face primary care consultations for patients without comorbidities was 10.3 (95% CI 10.3-10</w:t>
      </w:r>
      <w:r w:rsidR="00234D8F" w:rsidRPr="00B01754">
        <w:rPr>
          <w:rFonts w:eastAsia="Times New Roman" w:cs="Times New Roman"/>
          <w:color w:val="000000" w:themeColor="text1"/>
          <w:lang w:val="en-US"/>
        </w:rPr>
        <w:t>.4) per person year,</w:t>
      </w:r>
      <w:r w:rsidRPr="00B01754">
        <w:rPr>
          <w:rFonts w:eastAsia="Times New Roman" w:cs="Times New Roman"/>
          <w:color w:val="000000" w:themeColor="text1"/>
          <w:lang w:val="en-US"/>
        </w:rPr>
        <w:t xml:space="preserve"> 12.7 (12.7-12.7) for 1 comorbidity, 15.1 (15.1-15.2) for 2 comorbidities, and 18.7 (18.7-18.8) for 3 or more comorbidities. The mean annual inflation-adjusted cost for face to face consultations was £412.70 per patient without comorbidities</w:t>
      </w:r>
      <w:r w:rsidR="00234D8F" w:rsidRPr="00B01754">
        <w:rPr>
          <w:rFonts w:eastAsia="Times New Roman" w:cs="Times New Roman"/>
          <w:color w:val="000000" w:themeColor="text1"/>
          <w:lang w:val="en-US"/>
        </w:rPr>
        <w:t xml:space="preserve">, </w:t>
      </w:r>
      <w:r w:rsidRPr="00B01754">
        <w:rPr>
          <w:rFonts w:eastAsia="Times New Roman" w:cs="Times New Roman"/>
          <w:color w:val="000000" w:themeColor="text1"/>
          <w:lang w:val="en-US"/>
        </w:rPr>
        <w:t>£516.80 for 1 comorbidity, £620.75 for 2 comorbidities, and £778.83 for 3 or more comorbidities. The age-sex adjusted face to face consultation rate changed an average of -3.3% (95% CI -4.4% to -2.3%) per year from 2000 to 2018 for patients without comorbiditie</w:t>
      </w:r>
      <w:r w:rsidR="00234D8F" w:rsidRPr="00B01754">
        <w:rPr>
          <w:rFonts w:eastAsia="Times New Roman" w:cs="Times New Roman"/>
          <w:color w:val="000000" w:themeColor="text1"/>
          <w:lang w:val="en-US"/>
        </w:rPr>
        <w:t xml:space="preserve">s, </w:t>
      </w:r>
      <w:r w:rsidRPr="00B01754">
        <w:rPr>
          <w:rFonts w:eastAsia="Times New Roman" w:cs="Times New Roman"/>
          <w:color w:val="000000" w:themeColor="text1"/>
          <w:lang w:val="en-US"/>
        </w:rPr>
        <w:t xml:space="preserve">-2.7% (-4.0% to -1.3%) for 1 comorbidity, -2.2% (-3.3% to -1.2%) for 2 comorbidities, and -4.3% (-8.7% to +0.3%) for 3 or more comorbidities. </w:t>
      </w:r>
    </w:p>
    <w:p w14:paraId="6F872075" w14:textId="77777777" w:rsidR="00A51C1A" w:rsidRPr="00B01754" w:rsidRDefault="00A51C1A" w:rsidP="00234D8F">
      <w:pPr>
        <w:spacing w:after="0" w:line="360" w:lineRule="auto"/>
        <w:jc w:val="both"/>
        <w:rPr>
          <w:rFonts w:eastAsia="Times New Roman" w:cs="Times New Roman"/>
          <w:color w:val="000000" w:themeColor="text1"/>
          <w:lang w:val="en-US"/>
        </w:rPr>
      </w:pPr>
    </w:p>
    <w:p w14:paraId="2DF52975" w14:textId="77777777" w:rsidR="00A51C1A" w:rsidRPr="00B01754" w:rsidRDefault="00A51C1A" w:rsidP="00234D8F">
      <w:pPr>
        <w:spacing w:after="0" w:line="360" w:lineRule="auto"/>
        <w:jc w:val="both"/>
        <w:rPr>
          <w:rFonts w:eastAsia="Times New Roman" w:cs="Times New Roman"/>
          <w:b/>
          <w:bCs/>
          <w:color w:val="000000" w:themeColor="text1"/>
          <w:lang w:val="en-US"/>
        </w:rPr>
      </w:pPr>
      <w:r w:rsidRPr="00B01754">
        <w:rPr>
          <w:rFonts w:eastAsia="Times New Roman" w:cs="Times New Roman"/>
          <w:b/>
          <w:bCs/>
          <w:color w:val="000000" w:themeColor="text1"/>
          <w:lang w:val="en-US"/>
        </w:rPr>
        <w:t>Conclusions</w:t>
      </w:r>
    </w:p>
    <w:p w14:paraId="31443835" w14:textId="77777777" w:rsidR="00A51C1A" w:rsidRPr="00B01754" w:rsidRDefault="00A51C1A" w:rsidP="00C95E81">
      <w:pPr>
        <w:spacing w:after="0" w:line="360" w:lineRule="auto"/>
        <w:jc w:val="both"/>
        <w:rPr>
          <w:b/>
          <w:color w:val="000000" w:themeColor="text1"/>
          <w:sz w:val="30"/>
          <w:szCs w:val="30"/>
        </w:rPr>
      </w:pPr>
      <w:r w:rsidRPr="00B01754">
        <w:rPr>
          <w:rFonts w:eastAsia="Times New Roman" w:cs="Times New Roman"/>
          <w:color w:val="000000" w:themeColor="text1"/>
          <w:lang w:val="en-US"/>
        </w:rPr>
        <w:t xml:space="preserve">Though consultation rates for all patients decreased from 2000-2018, there was a significant disparity between the rate for patients with and without comorbidities. </w:t>
      </w:r>
      <w:r w:rsidR="00234D8F" w:rsidRPr="00B01754">
        <w:rPr>
          <w:rFonts w:eastAsia="Times New Roman" w:cs="Times New Roman"/>
          <w:color w:val="000000" w:themeColor="text1"/>
          <w:lang w:val="en-US"/>
        </w:rPr>
        <w:t xml:space="preserve">Patients with </w:t>
      </w:r>
      <w:r w:rsidRPr="00B01754">
        <w:rPr>
          <w:rFonts w:eastAsia="Times New Roman" w:cs="Times New Roman"/>
          <w:color w:val="000000" w:themeColor="text1"/>
          <w:lang w:val="en-US"/>
        </w:rPr>
        <w:t xml:space="preserve">T2DM but </w:t>
      </w:r>
      <w:r w:rsidR="00234D8F" w:rsidRPr="00B01754">
        <w:rPr>
          <w:rFonts w:eastAsia="Times New Roman" w:cs="Times New Roman"/>
          <w:color w:val="000000" w:themeColor="text1"/>
          <w:lang w:val="en-US"/>
        </w:rPr>
        <w:t xml:space="preserve">and comorbidities </w:t>
      </w:r>
      <w:r w:rsidRPr="00B01754">
        <w:rPr>
          <w:rFonts w:eastAsia="Times New Roman" w:cs="Times New Roman"/>
          <w:color w:val="000000" w:themeColor="text1"/>
          <w:lang w:val="en-US"/>
        </w:rPr>
        <w:t>may require different models of service delivery.</w:t>
      </w:r>
    </w:p>
    <w:p w14:paraId="212D26C4" w14:textId="77777777" w:rsidR="00A51C1A" w:rsidRPr="00B01754" w:rsidRDefault="00A51C1A">
      <w:pPr>
        <w:rPr>
          <w:b/>
          <w:color w:val="000000" w:themeColor="text1"/>
          <w:sz w:val="30"/>
          <w:szCs w:val="30"/>
        </w:rPr>
      </w:pPr>
      <w:r w:rsidRPr="00B01754">
        <w:rPr>
          <w:b/>
          <w:color w:val="000000" w:themeColor="text1"/>
          <w:sz w:val="30"/>
          <w:szCs w:val="30"/>
        </w:rPr>
        <w:br w:type="page"/>
      </w:r>
    </w:p>
    <w:p w14:paraId="5C34FB0D" w14:textId="77777777" w:rsidR="00A51C1A" w:rsidRPr="00B01754" w:rsidRDefault="00A51C1A" w:rsidP="00234D8F">
      <w:pPr>
        <w:spacing w:after="0" w:line="360" w:lineRule="auto"/>
        <w:jc w:val="both"/>
        <w:rPr>
          <w:b/>
          <w:color w:val="000000" w:themeColor="text1"/>
          <w:sz w:val="30"/>
          <w:szCs w:val="30"/>
        </w:rPr>
      </w:pPr>
      <w:r w:rsidRPr="00B01754">
        <w:rPr>
          <w:b/>
          <w:color w:val="000000" w:themeColor="text1"/>
          <w:sz w:val="30"/>
          <w:szCs w:val="30"/>
        </w:rPr>
        <w:lastRenderedPageBreak/>
        <w:t>INTRODUCTION</w:t>
      </w:r>
    </w:p>
    <w:p w14:paraId="7790175B" w14:textId="59234034" w:rsidR="00A51C1A" w:rsidRPr="00B01754" w:rsidRDefault="00A51C1A" w:rsidP="00234D8F">
      <w:pPr>
        <w:spacing w:after="0" w:line="360" w:lineRule="auto"/>
        <w:jc w:val="both"/>
        <w:rPr>
          <w:color w:val="000000" w:themeColor="text1"/>
        </w:rPr>
      </w:pPr>
      <w:r w:rsidRPr="00B01754">
        <w:rPr>
          <w:color w:val="000000" w:themeColor="text1"/>
        </w:rPr>
        <w:t>Due to the aetiology of type 2 diabetes (T2DM), patients with this disease often have comorbidity. Approximately 85% have at least one comorbidity, while 68-70% have more than two comorbidities.</w:t>
      </w:r>
      <w:r w:rsidR="008A43D8" w:rsidRPr="00B01754">
        <w:rPr>
          <w:noProof/>
          <w:color w:val="000000" w:themeColor="text1"/>
        </w:rPr>
        <w:t>(1-3</w:t>
      </w:r>
      <w:r w:rsidRPr="00B01754">
        <w:rPr>
          <w:noProof/>
          <w:color w:val="000000" w:themeColor="text1"/>
        </w:rPr>
        <w:t>)</w:t>
      </w:r>
      <w:r w:rsidRPr="00B01754">
        <w:rPr>
          <w:color w:val="000000" w:themeColor="text1"/>
        </w:rPr>
        <w:t xml:space="preserve"> T2DM patients aged 75 years and older had nearly four times the odds of having three or more comorbidities compared to those younger than 50 years of age.</w:t>
      </w:r>
      <w:r w:rsidR="008A43D8" w:rsidRPr="00B01754">
        <w:rPr>
          <w:noProof/>
          <w:color w:val="000000" w:themeColor="text1"/>
        </w:rPr>
        <w:t>(4</w:t>
      </w:r>
      <w:r w:rsidRPr="00B01754">
        <w:rPr>
          <w:noProof/>
          <w:color w:val="000000" w:themeColor="text1"/>
        </w:rPr>
        <w:t>)</w:t>
      </w:r>
      <w:r w:rsidRPr="00B01754">
        <w:rPr>
          <w:color w:val="000000" w:themeColor="text1"/>
        </w:rPr>
        <w:t xml:space="preserve"> Comorbidity in people with T2DM is associated with poor glycaemic control in addition to an increased risk of adverse events and mortality.</w:t>
      </w:r>
      <w:r w:rsidR="008A43D8" w:rsidRPr="00B01754">
        <w:rPr>
          <w:noProof/>
          <w:color w:val="000000" w:themeColor="text1"/>
        </w:rPr>
        <w:t>(5, 6</w:t>
      </w:r>
      <w:r w:rsidRPr="00B01754">
        <w:rPr>
          <w:noProof/>
          <w:color w:val="000000" w:themeColor="text1"/>
        </w:rPr>
        <w:t>)</w:t>
      </w:r>
      <w:r w:rsidRPr="00B01754">
        <w:rPr>
          <w:color w:val="000000" w:themeColor="text1"/>
        </w:rPr>
        <w:t xml:space="preserve">  Therefore, it is important to identify which T2DM patients are at risk for comorbidity and determine future healthcare resources needed to manage these patients. </w:t>
      </w:r>
    </w:p>
    <w:p w14:paraId="6DDD0501" w14:textId="77777777" w:rsidR="00A51C1A" w:rsidRPr="00B01754" w:rsidRDefault="00A51C1A" w:rsidP="00234D8F">
      <w:pPr>
        <w:spacing w:after="0" w:line="360" w:lineRule="auto"/>
        <w:jc w:val="both"/>
        <w:rPr>
          <w:color w:val="000000" w:themeColor="text1"/>
        </w:rPr>
      </w:pPr>
    </w:p>
    <w:p w14:paraId="5315D672" w14:textId="3D2574FB" w:rsidR="00A51C1A" w:rsidRPr="00B01754" w:rsidRDefault="00A51C1A" w:rsidP="00234D8F">
      <w:pPr>
        <w:spacing w:after="0" w:line="360" w:lineRule="auto"/>
        <w:jc w:val="both"/>
        <w:rPr>
          <w:color w:val="000000" w:themeColor="text1"/>
        </w:rPr>
      </w:pPr>
      <w:r w:rsidRPr="00B01754">
        <w:rPr>
          <w:color w:val="000000" w:themeColor="text1"/>
        </w:rPr>
        <w:t>Existing healthcare infrastructure is primarily designed for management of single diseases.  However, management of T2DM with comorbidity requires more complex clinical interventions and pharmacotherapy.</w:t>
      </w:r>
      <w:r w:rsidR="008A43D8" w:rsidRPr="00B01754">
        <w:rPr>
          <w:noProof/>
          <w:color w:val="000000" w:themeColor="text1"/>
        </w:rPr>
        <w:t>(7</w:t>
      </w:r>
      <w:r w:rsidRPr="00B01754">
        <w:rPr>
          <w:noProof/>
          <w:color w:val="000000" w:themeColor="text1"/>
        </w:rPr>
        <w:t>)</w:t>
      </w:r>
      <w:r w:rsidRPr="00B01754">
        <w:rPr>
          <w:color w:val="000000" w:themeColor="text1"/>
        </w:rPr>
        <w:t xml:space="preserve"> Within the United Kingdom, most long-term conditions, including T2DM, are managed in primary care.</w:t>
      </w:r>
      <w:r w:rsidRPr="00B01754">
        <w:rPr>
          <w:noProof/>
          <w:color w:val="000000" w:themeColor="text1"/>
        </w:rPr>
        <w:t>(</w:t>
      </w:r>
      <w:r w:rsidR="008A43D8" w:rsidRPr="00B01754">
        <w:rPr>
          <w:noProof/>
          <w:color w:val="000000" w:themeColor="text1"/>
        </w:rPr>
        <w:t xml:space="preserve">8, </w:t>
      </w:r>
      <w:r w:rsidRPr="00B01754">
        <w:rPr>
          <w:noProof/>
          <w:color w:val="000000" w:themeColor="text1"/>
        </w:rPr>
        <w:t>9)</w:t>
      </w:r>
      <w:r w:rsidRPr="00B01754">
        <w:rPr>
          <w:color w:val="000000" w:themeColor="text1"/>
        </w:rPr>
        <w:t xml:space="preserve"> From a healthcare resource planning perspective, expenditure for managing patients with comorbidities is not necessarily equivalent to the sum of the costs for managing each individual condition. As health care systems determine the most cost efficient model of care moving forward for management of patients with comorbidities, there is a wealth of existing real world evidence that can be used to understand past trends and predict future needs.</w:t>
      </w:r>
    </w:p>
    <w:p w14:paraId="07D0C097" w14:textId="77777777" w:rsidR="00A51C1A" w:rsidRPr="00B01754" w:rsidRDefault="00A51C1A" w:rsidP="00234D8F">
      <w:pPr>
        <w:spacing w:after="0" w:line="360" w:lineRule="auto"/>
        <w:jc w:val="both"/>
        <w:rPr>
          <w:color w:val="000000" w:themeColor="text1"/>
        </w:rPr>
      </w:pPr>
    </w:p>
    <w:p w14:paraId="6E7906EB" w14:textId="5E600394" w:rsidR="00A51C1A" w:rsidRPr="00B01754" w:rsidRDefault="00FC13C9" w:rsidP="00234D8F">
      <w:pPr>
        <w:spacing w:after="0" w:line="360" w:lineRule="auto"/>
        <w:jc w:val="both"/>
        <w:rPr>
          <w:rFonts w:ascii="Calibri" w:hAnsi="Calibri" w:cs="Calibri"/>
          <w:color w:val="000000" w:themeColor="text1"/>
        </w:rPr>
      </w:pPr>
      <w:r w:rsidRPr="00B01754">
        <w:rPr>
          <w:rFonts w:ascii="Calibri" w:hAnsi="Calibri" w:cs="Calibri"/>
          <w:color w:val="000000" w:themeColor="text1"/>
        </w:rPr>
        <w:t>Within the UK, pa</w:t>
      </w:r>
      <w:r w:rsidR="00A51C1A" w:rsidRPr="00B01754">
        <w:rPr>
          <w:rFonts w:ascii="Calibri" w:hAnsi="Calibri" w:cs="Calibri"/>
          <w:color w:val="000000" w:themeColor="text1"/>
        </w:rPr>
        <w:t>tients with T2DM have historically been frequent healthcare service users.</w:t>
      </w:r>
      <w:r w:rsidR="008A43D8" w:rsidRPr="00B01754">
        <w:rPr>
          <w:rFonts w:ascii="Calibri" w:hAnsi="Calibri" w:cs="Calibri"/>
          <w:noProof/>
          <w:color w:val="000000" w:themeColor="text1"/>
        </w:rPr>
        <w:t>(10</w:t>
      </w:r>
      <w:r w:rsidR="00A51C1A" w:rsidRPr="00B01754">
        <w:rPr>
          <w:rFonts w:ascii="Calibri" w:hAnsi="Calibri" w:cs="Calibri"/>
          <w:noProof/>
          <w:color w:val="000000" w:themeColor="text1"/>
        </w:rPr>
        <w:t>)</w:t>
      </w:r>
      <w:r w:rsidR="00A51C1A" w:rsidRPr="00B01754">
        <w:rPr>
          <w:rFonts w:ascii="Calibri" w:hAnsi="Calibri" w:cs="Calibri"/>
          <w:color w:val="000000" w:themeColor="text1"/>
        </w:rPr>
        <w:t xml:space="preserve">  </w:t>
      </w:r>
      <w:r w:rsidR="000D5E0E" w:rsidRPr="00B01754">
        <w:rPr>
          <w:rFonts w:ascii="Calibri" w:hAnsi="Calibri" w:cs="Calibri"/>
          <w:color w:val="000000" w:themeColor="text1"/>
        </w:rPr>
        <w:t xml:space="preserve">Additionally, patients with </w:t>
      </w:r>
      <w:r w:rsidR="00A51C1A" w:rsidRPr="00B01754">
        <w:rPr>
          <w:rFonts w:ascii="Calibri" w:hAnsi="Calibri" w:cs="Calibri"/>
          <w:color w:val="000000" w:themeColor="text1"/>
        </w:rPr>
        <w:t>T2DM</w:t>
      </w:r>
      <w:r w:rsidR="000D5E0E" w:rsidRPr="00B01754">
        <w:rPr>
          <w:rFonts w:ascii="Calibri" w:hAnsi="Calibri" w:cs="Calibri"/>
          <w:color w:val="000000" w:themeColor="text1"/>
        </w:rPr>
        <w:t xml:space="preserve"> often have </w:t>
      </w:r>
      <w:r w:rsidR="00A51C1A" w:rsidRPr="00B01754">
        <w:rPr>
          <w:rFonts w:ascii="Calibri" w:hAnsi="Calibri" w:cs="Calibri"/>
          <w:color w:val="000000" w:themeColor="text1"/>
        </w:rPr>
        <w:t>comorbidities.</w:t>
      </w:r>
      <w:r w:rsidR="008A43D8" w:rsidRPr="00B01754">
        <w:rPr>
          <w:rFonts w:ascii="Calibri" w:hAnsi="Calibri" w:cs="Calibri"/>
          <w:noProof/>
          <w:color w:val="000000" w:themeColor="text1"/>
        </w:rPr>
        <w:t>(11</w:t>
      </w:r>
      <w:r w:rsidR="00A51C1A" w:rsidRPr="00B01754">
        <w:rPr>
          <w:rFonts w:ascii="Calibri" w:hAnsi="Calibri" w:cs="Calibri"/>
          <w:noProof/>
          <w:color w:val="000000" w:themeColor="text1"/>
        </w:rPr>
        <w:t>)</w:t>
      </w:r>
      <w:r w:rsidR="00A51C1A" w:rsidRPr="00B01754">
        <w:rPr>
          <w:rFonts w:ascii="Calibri" w:hAnsi="Calibri" w:cs="Calibri"/>
          <w:color w:val="000000" w:themeColor="text1"/>
        </w:rPr>
        <w:t xml:space="preserve"> </w:t>
      </w:r>
      <w:r w:rsidR="000D5E0E" w:rsidRPr="00B01754">
        <w:rPr>
          <w:rFonts w:ascii="Calibri" w:hAnsi="Calibri" w:cs="Calibri"/>
          <w:color w:val="000000" w:themeColor="text1"/>
        </w:rPr>
        <w:t xml:space="preserve">It remains unknown whether increased healthcare usage in patients with T2DM is primarily due to </w:t>
      </w:r>
      <w:r w:rsidR="00A51C1A" w:rsidRPr="00B01754">
        <w:rPr>
          <w:color w:val="000000" w:themeColor="text1"/>
          <w:shd w:val="clear" w:color="auto" w:fill="FFFFFF"/>
        </w:rPr>
        <w:t>the subset with comorbidities.  Although patterns of comorbidity in patients</w:t>
      </w:r>
      <w:r w:rsidR="000D5E0E" w:rsidRPr="00B01754">
        <w:rPr>
          <w:color w:val="000000" w:themeColor="text1"/>
          <w:shd w:val="clear" w:color="auto" w:fill="FFFFFF"/>
        </w:rPr>
        <w:t xml:space="preserve"> with T2DM have been described, the degree to which </w:t>
      </w:r>
      <w:r w:rsidR="00A51C1A" w:rsidRPr="00B01754">
        <w:rPr>
          <w:color w:val="000000" w:themeColor="text1"/>
          <w:shd w:val="clear" w:color="auto" w:fill="FFFFFF"/>
        </w:rPr>
        <w:t>comorbidities affect primary care utilization in this patient group</w:t>
      </w:r>
      <w:r w:rsidR="000D5E0E" w:rsidRPr="00B01754">
        <w:rPr>
          <w:color w:val="000000" w:themeColor="text1"/>
          <w:shd w:val="clear" w:color="auto" w:fill="FFFFFF"/>
        </w:rPr>
        <w:t xml:space="preserve"> remains unquantified</w:t>
      </w:r>
      <w:r w:rsidR="00A51C1A" w:rsidRPr="00B01754">
        <w:rPr>
          <w:rFonts w:ascii="Calibri" w:hAnsi="Calibri" w:cs="Calibri"/>
          <w:color w:val="000000" w:themeColor="text1"/>
          <w:shd w:val="clear" w:color="auto" w:fill="FFFFFF"/>
        </w:rPr>
        <w:t>.</w:t>
      </w:r>
      <w:r w:rsidR="008A43D8" w:rsidRPr="00B01754">
        <w:rPr>
          <w:rFonts w:ascii="Calibri" w:hAnsi="Calibri" w:cs="Calibri"/>
          <w:noProof/>
          <w:color w:val="000000" w:themeColor="text1"/>
          <w:shd w:val="clear" w:color="auto" w:fill="FFFFFF"/>
        </w:rPr>
        <w:t>(12</w:t>
      </w:r>
      <w:r w:rsidR="00A51C1A" w:rsidRPr="00B01754">
        <w:rPr>
          <w:rFonts w:ascii="Calibri" w:hAnsi="Calibri" w:cs="Calibri"/>
          <w:noProof/>
          <w:color w:val="000000" w:themeColor="text1"/>
          <w:shd w:val="clear" w:color="auto" w:fill="FFFFFF"/>
        </w:rPr>
        <w:t>)</w:t>
      </w:r>
      <w:r w:rsidR="00A51C1A" w:rsidRPr="00B01754">
        <w:rPr>
          <w:rFonts w:ascii="Calibri" w:hAnsi="Calibri" w:cs="Calibri"/>
          <w:color w:val="000000" w:themeColor="text1"/>
          <w:shd w:val="clear" w:color="auto" w:fill="FFFFFF"/>
        </w:rPr>
        <w:t xml:space="preserve"> In this study we address these research gaps by: (1) describing primary care consultation rates during 2000-2018; and (2) determining whether the rate and cost of primary care consultations differed by the number of comorbidities.</w:t>
      </w:r>
    </w:p>
    <w:p w14:paraId="340B49B3" w14:textId="77777777" w:rsidR="00A51C1A" w:rsidRPr="00B01754" w:rsidRDefault="00A51C1A" w:rsidP="00234D8F">
      <w:pPr>
        <w:spacing w:after="0" w:line="360" w:lineRule="auto"/>
        <w:jc w:val="both"/>
        <w:rPr>
          <w:color w:val="000000" w:themeColor="text1"/>
        </w:rPr>
      </w:pPr>
    </w:p>
    <w:p w14:paraId="30173A42" w14:textId="77777777" w:rsidR="00A51C1A" w:rsidRPr="00B01754" w:rsidRDefault="00A51C1A" w:rsidP="00234D8F">
      <w:pPr>
        <w:spacing w:after="0" w:line="360" w:lineRule="auto"/>
        <w:jc w:val="both"/>
        <w:rPr>
          <w:color w:val="000000" w:themeColor="text1"/>
        </w:rPr>
      </w:pPr>
      <w:r w:rsidRPr="00B01754">
        <w:rPr>
          <w:b/>
          <w:color w:val="000000" w:themeColor="text1"/>
          <w:sz w:val="30"/>
          <w:szCs w:val="30"/>
        </w:rPr>
        <w:br w:type="page"/>
      </w:r>
    </w:p>
    <w:p w14:paraId="0622D4D7" w14:textId="77777777" w:rsidR="00A51C1A" w:rsidRPr="00B01754" w:rsidRDefault="00A51C1A" w:rsidP="00234D8F">
      <w:pPr>
        <w:spacing w:after="0" w:line="360" w:lineRule="auto"/>
        <w:rPr>
          <w:b/>
          <w:color w:val="000000" w:themeColor="text1"/>
          <w:sz w:val="30"/>
          <w:szCs w:val="30"/>
        </w:rPr>
      </w:pPr>
      <w:r w:rsidRPr="00B01754">
        <w:rPr>
          <w:b/>
          <w:color w:val="000000" w:themeColor="text1"/>
          <w:sz w:val="30"/>
          <w:szCs w:val="30"/>
        </w:rPr>
        <w:lastRenderedPageBreak/>
        <w:t>METHODS</w:t>
      </w:r>
    </w:p>
    <w:p w14:paraId="014BEDF0" w14:textId="77777777" w:rsidR="00A51C1A" w:rsidRPr="00B01754" w:rsidRDefault="00A51C1A" w:rsidP="00234D8F">
      <w:pPr>
        <w:spacing w:after="0" w:line="360" w:lineRule="auto"/>
        <w:jc w:val="both"/>
        <w:rPr>
          <w:b/>
          <w:color w:val="000000" w:themeColor="text1"/>
        </w:rPr>
      </w:pPr>
      <w:r w:rsidRPr="00B01754">
        <w:rPr>
          <w:b/>
          <w:color w:val="000000" w:themeColor="text1"/>
        </w:rPr>
        <w:t>Study population</w:t>
      </w:r>
    </w:p>
    <w:p w14:paraId="58F3BBA5" w14:textId="1ECD2E7C" w:rsidR="00A51C1A" w:rsidRPr="00B01754" w:rsidRDefault="00A51C1A" w:rsidP="00234D8F">
      <w:pPr>
        <w:spacing w:after="0" w:line="360" w:lineRule="auto"/>
        <w:jc w:val="both"/>
        <w:rPr>
          <w:color w:val="000000" w:themeColor="text1"/>
        </w:rPr>
      </w:pPr>
      <w:r w:rsidRPr="00B01754">
        <w:rPr>
          <w:color w:val="000000" w:themeColor="text1"/>
        </w:rPr>
        <w:t>The Clinical Practice Research Datalink (CPRD) GOLD includes anonymized primary care electronic health records for over 11.3 million UK patients, approximately 6.9% of the UK population.</w:t>
      </w:r>
      <w:r w:rsidR="008A43D8" w:rsidRPr="00B01754">
        <w:rPr>
          <w:noProof/>
          <w:color w:val="000000" w:themeColor="text1"/>
        </w:rPr>
        <w:t>(13</w:t>
      </w:r>
      <w:r w:rsidRPr="00B01754">
        <w:rPr>
          <w:noProof/>
          <w:color w:val="000000" w:themeColor="text1"/>
        </w:rPr>
        <w:t>)</w:t>
      </w:r>
      <w:r w:rsidRPr="00B01754">
        <w:rPr>
          <w:color w:val="000000" w:themeColor="text1"/>
        </w:rPr>
        <w:t xml:space="preserve"> The CPRD is broadly representative of the age, sex and ethnicity of the UK general population.</w:t>
      </w:r>
      <w:r w:rsidRPr="00B01754">
        <w:rPr>
          <w:rFonts w:cs="Arial"/>
          <w:color w:val="000000" w:themeColor="text1"/>
          <w:shd w:val="clear" w:color="auto" w:fill="FFFFFF"/>
        </w:rPr>
        <w:t xml:space="preserve"> Because linkage to Hospital Episode Statistics (HES) admitted patient care database</w:t>
      </w:r>
      <w:r w:rsidRPr="00B01754">
        <w:rPr>
          <w:color w:val="000000" w:themeColor="text1"/>
        </w:rPr>
        <w:t xml:space="preserve"> is possible only for patients registered in England, patients from Northern Ireland, Scotland, and Wales were excluded. This observational retrospective study included an open cohort of patients without incident or prevalent gestational or type 1 diabetes, who had a first diagnosis of type 2 diabetes (T2DM) during</w:t>
      </w:r>
      <w:r w:rsidRPr="00B01754">
        <w:rPr>
          <w:rFonts w:cstheme="minorHAnsi"/>
          <w:color w:val="000000" w:themeColor="text1"/>
        </w:rPr>
        <w:t xml:space="preserve"> January 1, 2000 to December 31, 2018, were age 18 years old or older, </w:t>
      </w:r>
      <w:r w:rsidRPr="00B01754">
        <w:rPr>
          <w:color w:val="000000" w:themeColor="text1"/>
        </w:rPr>
        <w:t xml:space="preserve">and were registered at a GP practice contributing to the CPRD. </w:t>
      </w:r>
      <w:r w:rsidRPr="00B01754">
        <w:rPr>
          <w:rFonts w:cs="Arial"/>
          <w:color w:val="000000" w:themeColor="text1"/>
          <w:shd w:val="clear" w:color="auto" w:fill="FFFFFF"/>
        </w:rPr>
        <w:t xml:space="preserve">The index date was the date of T2DM diagnosis. Person years of observation were calculated beginning at the index date until death, the last data collection from practice, or when the patient transferred out of the practice. </w:t>
      </w:r>
      <w:r w:rsidRPr="00B01754">
        <w:rPr>
          <w:color w:val="000000" w:themeColor="text1"/>
        </w:rPr>
        <w:t xml:space="preserve">All patients had availability of linkage to the </w:t>
      </w:r>
      <w:r w:rsidRPr="00B01754">
        <w:rPr>
          <w:rFonts w:cs="Arial"/>
          <w:color w:val="000000" w:themeColor="text1"/>
          <w:shd w:val="clear" w:color="auto" w:fill="FFFFFF"/>
        </w:rPr>
        <w:t xml:space="preserve">Office of National Statistics (ONS) death registration, belonged to an “up to standard” practice at the index date, and were determined by CPRD to be of acceptable research standards. </w:t>
      </w:r>
    </w:p>
    <w:p w14:paraId="19729045" w14:textId="77777777" w:rsidR="00A51C1A" w:rsidRPr="00B01754" w:rsidRDefault="00A51C1A" w:rsidP="00234D8F">
      <w:pPr>
        <w:spacing w:after="0" w:line="360" w:lineRule="auto"/>
        <w:jc w:val="both"/>
        <w:rPr>
          <w:color w:val="000000" w:themeColor="text1"/>
        </w:rPr>
      </w:pPr>
    </w:p>
    <w:p w14:paraId="5B157883" w14:textId="77777777" w:rsidR="00A51C1A" w:rsidRPr="00B01754" w:rsidRDefault="00A51C1A" w:rsidP="00234D8F">
      <w:pPr>
        <w:spacing w:after="0" w:line="360" w:lineRule="auto"/>
        <w:rPr>
          <w:b/>
          <w:color w:val="000000" w:themeColor="text1"/>
        </w:rPr>
      </w:pPr>
      <w:r w:rsidRPr="00B01754">
        <w:rPr>
          <w:b/>
          <w:color w:val="000000" w:themeColor="text1"/>
        </w:rPr>
        <w:t>Comorbidity</w:t>
      </w:r>
    </w:p>
    <w:p w14:paraId="61BD2470" w14:textId="29646F99" w:rsidR="00A51C1A" w:rsidRPr="00B01754" w:rsidRDefault="00A51C1A" w:rsidP="00234D8F">
      <w:pPr>
        <w:pStyle w:val="xmsonormal"/>
        <w:spacing w:line="360" w:lineRule="auto"/>
        <w:jc w:val="both"/>
        <w:rPr>
          <w:rFonts w:asciiTheme="minorHAnsi" w:hAnsiTheme="minorHAnsi" w:cstheme="minorHAnsi"/>
          <w:color w:val="000000" w:themeColor="text1"/>
          <w:sz w:val="22"/>
          <w:szCs w:val="22"/>
        </w:rPr>
      </w:pPr>
      <w:r w:rsidRPr="00B01754">
        <w:rPr>
          <w:rFonts w:asciiTheme="minorHAnsi" w:hAnsiTheme="minorHAnsi" w:cstheme="minorHAnsi"/>
          <w:color w:val="000000" w:themeColor="text1"/>
          <w:sz w:val="22"/>
          <w:szCs w:val="22"/>
        </w:rPr>
        <w:t xml:space="preserve">Comorbidities were obtained from in-hospital primary diagnoses (from HES) and during routine primary care (from CRPD), excluding records dated before January 1, 1990 as records before this date are not well coded.  </w:t>
      </w:r>
      <w:r w:rsidR="001B34B3" w:rsidRPr="00B01754">
        <w:rPr>
          <w:rFonts w:asciiTheme="minorHAnsi" w:hAnsiTheme="minorHAnsi" w:cstheme="minorHAnsi"/>
          <w:color w:val="000000" w:themeColor="text1"/>
          <w:sz w:val="22"/>
          <w:szCs w:val="22"/>
        </w:rPr>
        <w:t>Comorbidity was quantified using comorbidities included in the Charlson Comorbidity Index</w:t>
      </w:r>
      <w:r w:rsidR="008A43D8" w:rsidRPr="00B01754">
        <w:rPr>
          <w:rFonts w:asciiTheme="minorHAnsi" w:hAnsiTheme="minorHAnsi" w:cstheme="minorHAnsi"/>
          <w:color w:val="000000" w:themeColor="text1"/>
          <w:sz w:val="22"/>
          <w:szCs w:val="22"/>
        </w:rPr>
        <w:t xml:space="preserve"> </w:t>
      </w:r>
      <w:r w:rsidR="001B34B3" w:rsidRPr="00B01754">
        <w:rPr>
          <w:rFonts w:asciiTheme="minorHAnsi" w:hAnsiTheme="minorHAnsi" w:cstheme="minorHAnsi"/>
          <w:color w:val="000000" w:themeColor="text1"/>
          <w:sz w:val="22"/>
          <w:szCs w:val="22"/>
        </w:rPr>
        <w:t>.</w:t>
      </w:r>
      <w:r w:rsidR="0050400D" w:rsidRPr="00B01754">
        <w:rPr>
          <w:rFonts w:asciiTheme="minorHAnsi" w:hAnsiTheme="minorHAnsi" w:cstheme="minorHAnsi"/>
          <w:color w:val="000000" w:themeColor="text1"/>
          <w:sz w:val="22"/>
          <w:szCs w:val="22"/>
        </w:rPr>
        <w:t>(14)</w:t>
      </w:r>
      <w:r w:rsidR="001B34B3" w:rsidRPr="00B01754">
        <w:rPr>
          <w:rFonts w:asciiTheme="minorHAnsi" w:hAnsiTheme="minorHAnsi" w:cstheme="minorHAnsi"/>
          <w:color w:val="000000" w:themeColor="text1"/>
          <w:sz w:val="22"/>
          <w:szCs w:val="22"/>
        </w:rPr>
        <w:t xml:space="preserve">  Diabetes and diabetes with end organ damage were both excluded, as all patients in the study had T2DM. </w:t>
      </w:r>
      <w:r w:rsidRPr="00B01754">
        <w:rPr>
          <w:rFonts w:asciiTheme="minorHAnsi" w:hAnsiTheme="minorHAnsi" w:cstheme="minorHAnsi"/>
          <w:color w:val="000000" w:themeColor="text1"/>
          <w:sz w:val="22"/>
          <w:szCs w:val="22"/>
        </w:rPr>
        <w:t xml:space="preserve">Comorbidities included: cerebrovascular disease, chronic pulmonary disease, cancer (any malignancy including leukaemia and lymphoma), congestive heart disease, dementia, hemiplegia and paraplegia, HIV/AIDS, metastatic solid tumour, liver disease (mild or moderate), myocardial infarction, peptic ulcer disease, peripheral vascular disease, rheumatological disease, and renal disease. </w:t>
      </w:r>
    </w:p>
    <w:p w14:paraId="302BB747" w14:textId="77777777" w:rsidR="00A51C1A" w:rsidRPr="00B01754" w:rsidRDefault="00A51C1A" w:rsidP="00234D8F">
      <w:pPr>
        <w:pStyle w:val="xmsonormal"/>
        <w:spacing w:line="360" w:lineRule="auto"/>
        <w:jc w:val="both"/>
        <w:rPr>
          <w:rFonts w:asciiTheme="minorHAnsi" w:hAnsiTheme="minorHAnsi" w:cstheme="minorHAnsi"/>
          <w:color w:val="000000" w:themeColor="text1"/>
          <w:sz w:val="22"/>
          <w:szCs w:val="22"/>
        </w:rPr>
      </w:pPr>
    </w:p>
    <w:p w14:paraId="1822E96D" w14:textId="77777777" w:rsidR="00A51C1A" w:rsidRPr="00B01754" w:rsidRDefault="00A51C1A" w:rsidP="00234D8F">
      <w:pPr>
        <w:pStyle w:val="xmsonormal"/>
        <w:spacing w:line="360" w:lineRule="auto"/>
        <w:jc w:val="both"/>
        <w:rPr>
          <w:rFonts w:asciiTheme="minorHAnsi" w:hAnsiTheme="minorHAnsi" w:cstheme="minorHAnsi"/>
          <w:color w:val="000000" w:themeColor="text1"/>
          <w:sz w:val="22"/>
          <w:szCs w:val="22"/>
        </w:rPr>
      </w:pPr>
      <w:r w:rsidRPr="00B01754">
        <w:rPr>
          <w:rFonts w:asciiTheme="minorHAnsi" w:hAnsiTheme="minorHAnsi" w:cstheme="minorHAnsi"/>
          <w:color w:val="000000" w:themeColor="text1"/>
          <w:sz w:val="22"/>
          <w:szCs w:val="22"/>
        </w:rPr>
        <w:t xml:space="preserve">At the index date, patients were grouped by the number of prevalent comorbidities: T2DM only (without comorbidities), T2DM+1 comorbidity, T2DM+2 comorbidities, T2DM+3 or more comorbidities.  Incident comorbidities diagnosed during follow-up were also obtained. </w:t>
      </w:r>
    </w:p>
    <w:p w14:paraId="0E61AAC8" w14:textId="77777777" w:rsidR="00A51C1A" w:rsidRPr="00B01754" w:rsidRDefault="00A51C1A" w:rsidP="00234D8F">
      <w:pPr>
        <w:pStyle w:val="xmsonormal"/>
        <w:spacing w:line="360" w:lineRule="auto"/>
        <w:jc w:val="both"/>
        <w:rPr>
          <w:rFonts w:asciiTheme="minorHAnsi" w:hAnsiTheme="minorHAnsi" w:cstheme="minorHAnsi"/>
          <w:color w:val="000000" w:themeColor="text1"/>
          <w:sz w:val="22"/>
          <w:szCs w:val="22"/>
        </w:rPr>
      </w:pPr>
    </w:p>
    <w:p w14:paraId="53E16643" w14:textId="77777777" w:rsidR="00A51C1A" w:rsidRPr="00B01754" w:rsidRDefault="00A51C1A" w:rsidP="00234D8F">
      <w:pPr>
        <w:spacing w:after="0" w:line="360" w:lineRule="auto"/>
        <w:rPr>
          <w:b/>
          <w:color w:val="000000" w:themeColor="text1"/>
        </w:rPr>
      </w:pPr>
      <w:bookmarkStart w:id="0" w:name="_Toc26274564"/>
      <w:r w:rsidRPr="00B01754">
        <w:rPr>
          <w:b/>
          <w:color w:val="000000" w:themeColor="text1"/>
        </w:rPr>
        <w:t>Included consultations</w:t>
      </w:r>
      <w:bookmarkEnd w:id="0"/>
    </w:p>
    <w:p w14:paraId="091D0D9B" w14:textId="77777777" w:rsidR="00A51C1A" w:rsidRPr="00B01754" w:rsidRDefault="00A51C1A" w:rsidP="00234D8F">
      <w:pPr>
        <w:spacing w:after="0" w:line="360" w:lineRule="auto"/>
        <w:jc w:val="both"/>
        <w:rPr>
          <w:rFonts w:cstheme="minorHAnsi"/>
          <w:color w:val="000000" w:themeColor="text1"/>
        </w:rPr>
      </w:pPr>
      <w:r w:rsidRPr="00B01754">
        <w:rPr>
          <w:rFonts w:cstheme="minorHAnsi"/>
          <w:color w:val="000000" w:themeColor="text1"/>
        </w:rPr>
        <w:t xml:space="preserve">A consultation is recorded in CPRD each time a patient's clinical record is open and is coded according to the type of contact and the role of the staff member attending. Consultations for this study were </w:t>
      </w:r>
      <w:r w:rsidRPr="00B01754">
        <w:rPr>
          <w:rFonts w:cstheme="minorHAnsi"/>
          <w:color w:val="000000" w:themeColor="text1"/>
        </w:rPr>
        <w:lastRenderedPageBreak/>
        <w:t>restricted to: (1) face to face consultations, i.e. those involving direct contact between a patient and a primary care physician (general practitioner, GP) or nurse within the primary care setting; (2) telephone consultations, i.e. those involving telephone contact between a patient and GP or nurse within the primary care setting (</w:t>
      </w:r>
      <w:r w:rsidRPr="00B01754">
        <w:rPr>
          <w:rFonts w:cstheme="minorHAnsi"/>
          <w:b/>
          <w:color w:val="000000" w:themeColor="text1"/>
        </w:rPr>
        <w:t>Supplementary Table 1</w:t>
      </w:r>
      <w:r w:rsidRPr="00B01754">
        <w:rPr>
          <w:rFonts w:cstheme="minorHAnsi"/>
          <w:color w:val="000000" w:themeColor="text1"/>
        </w:rPr>
        <w:t xml:space="preserve">). Patients could have multiple face to face and/or telephone consultations on a given date, which were each counted separately. All qualifying consultations after the index date to the end of follow up were included. The index consultation where T2DM was diagnosed was excluded, as it was assumed all patients had a consultation when initially diagnosed with T2DM.  </w:t>
      </w:r>
    </w:p>
    <w:p w14:paraId="3A9FB10D" w14:textId="77777777" w:rsidR="00A51C1A" w:rsidRPr="00B01754" w:rsidRDefault="00A51C1A" w:rsidP="00234D8F">
      <w:pPr>
        <w:spacing w:after="0" w:line="360" w:lineRule="auto"/>
        <w:jc w:val="both"/>
        <w:rPr>
          <w:rFonts w:cstheme="minorHAnsi"/>
          <w:color w:val="000000" w:themeColor="text1"/>
        </w:rPr>
      </w:pPr>
    </w:p>
    <w:p w14:paraId="1B580CFA" w14:textId="77777777" w:rsidR="00A51C1A" w:rsidRPr="00B01754" w:rsidRDefault="00A51C1A" w:rsidP="00234D8F">
      <w:pPr>
        <w:spacing w:after="0" w:line="360" w:lineRule="auto"/>
        <w:rPr>
          <w:b/>
          <w:color w:val="000000" w:themeColor="text1"/>
        </w:rPr>
      </w:pPr>
      <w:bookmarkStart w:id="1" w:name="_Toc26274565"/>
      <w:r w:rsidRPr="00B01754">
        <w:rPr>
          <w:b/>
          <w:color w:val="000000" w:themeColor="text1"/>
        </w:rPr>
        <w:t>Estimated cost for face to face consultation</w:t>
      </w:r>
      <w:bookmarkEnd w:id="1"/>
      <w:r w:rsidRPr="00B01754">
        <w:rPr>
          <w:b/>
          <w:color w:val="000000" w:themeColor="text1"/>
        </w:rPr>
        <w:t xml:space="preserve">s </w:t>
      </w:r>
    </w:p>
    <w:p w14:paraId="1BF690B7" w14:textId="6F196E2F" w:rsidR="00A51C1A" w:rsidRPr="00B01754" w:rsidRDefault="00C95E81" w:rsidP="00234D8F">
      <w:pPr>
        <w:spacing w:after="0" w:line="360" w:lineRule="auto"/>
        <w:jc w:val="both"/>
        <w:rPr>
          <w:rFonts w:cstheme="minorHAnsi"/>
          <w:color w:val="000000" w:themeColor="text1"/>
        </w:rPr>
      </w:pPr>
      <w:r w:rsidRPr="00B01754">
        <w:rPr>
          <w:rFonts w:cstheme="minorHAnsi"/>
          <w:color w:val="000000" w:themeColor="text1"/>
        </w:rPr>
        <w:t>Although information on the duration of consultation is available in CPRD, at data exploratory stage we observed</w:t>
      </w:r>
      <w:r w:rsidR="00C4708E" w:rsidRPr="00B01754">
        <w:rPr>
          <w:rFonts w:cstheme="minorHAnsi"/>
          <w:color w:val="000000" w:themeColor="text1"/>
        </w:rPr>
        <w:t xml:space="preserve"> significant implausible</w:t>
      </w:r>
      <w:r w:rsidRPr="00B01754">
        <w:rPr>
          <w:rFonts w:cstheme="minorHAnsi"/>
          <w:color w:val="000000" w:themeColor="text1"/>
        </w:rPr>
        <w:t xml:space="preserve"> (i.e., 23.9% ≤1 minute)</w:t>
      </w:r>
      <w:r w:rsidR="00C4708E" w:rsidRPr="00B01754">
        <w:rPr>
          <w:rFonts w:cstheme="minorHAnsi"/>
          <w:color w:val="000000" w:themeColor="text1"/>
        </w:rPr>
        <w:t xml:space="preserve"> and missing data,</w:t>
      </w:r>
      <w:r w:rsidRPr="00B01754">
        <w:rPr>
          <w:rFonts w:cstheme="minorHAnsi"/>
          <w:color w:val="000000" w:themeColor="text1"/>
        </w:rPr>
        <w:t xml:space="preserve"> suggesting that consultation duration is inaccurately collected in CPRD. </w:t>
      </w:r>
      <w:r w:rsidR="00A51C1A" w:rsidRPr="00B01754">
        <w:rPr>
          <w:rFonts w:cstheme="minorHAnsi"/>
          <w:color w:val="000000" w:themeColor="text1"/>
        </w:rPr>
        <w:t>Therefore, we used estimated unit costs from the Personal Social Services Research Unit for face to face consultations.</w:t>
      </w:r>
      <w:r w:rsidR="00A51C1A" w:rsidRPr="00B01754">
        <w:rPr>
          <w:rFonts w:cstheme="minorHAnsi"/>
          <w:noProof/>
          <w:color w:val="000000" w:themeColor="text1"/>
        </w:rPr>
        <w:t>(15)</w:t>
      </w:r>
      <w:r w:rsidR="00A51C1A" w:rsidRPr="00B01754">
        <w:rPr>
          <w:rFonts w:cstheme="minorHAnsi"/>
          <w:color w:val="000000" w:themeColor="text1"/>
        </w:rPr>
        <w:t xml:space="preserve"> The GP face to face consultation cost estimates were for a qualified GP and included direct care staff costs. From 2000-2006, unit costs were reported for a face to face clinical consultation lasting 12.6 minutes. Starting in 2007, unit costs were reported for face to face patient contact lasting 17.2 minutes. Beginning in 2016, unit costs were reported for contact lasting 9.2 minutes. These represent changes in the length of face to face consultation appointments over nearly two decades.</w:t>
      </w:r>
      <w:r w:rsidR="00A51C1A" w:rsidRPr="00B01754">
        <w:rPr>
          <w:rFonts w:cstheme="minorHAnsi"/>
          <w:noProof/>
          <w:color w:val="000000" w:themeColor="text1"/>
        </w:rPr>
        <w:t>(16)</w:t>
      </w:r>
      <w:r w:rsidR="00A51C1A" w:rsidRPr="00B01754">
        <w:rPr>
          <w:rFonts w:cstheme="minorHAnsi"/>
          <w:color w:val="000000" w:themeColor="text1"/>
        </w:rPr>
        <w:t xml:space="preserve">  From 2000-2010, face to face consultation costs were reported for a qualified practice nurse. Beginning in 2011, costs for practice nurses were no longer reported per consultation and were, instead, reported per hour. From 2000-2010, the cost of a nurse consultation increased an average of 3.4% each year. </w:t>
      </w:r>
      <w:r w:rsidR="00FB105B" w:rsidRPr="00B01754">
        <w:rPr>
          <w:rFonts w:cstheme="minorHAnsi"/>
          <w:color w:val="000000" w:themeColor="text1"/>
        </w:rPr>
        <w:t xml:space="preserve">Using the reported 2010 cost as a baseline, we estimated the unit cost for a nurse consultation from 2011-2018 </w:t>
      </w:r>
      <w:r w:rsidR="00F3009A" w:rsidRPr="00B01754">
        <w:rPr>
          <w:rFonts w:cstheme="minorHAnsi"/>
          <w:color w:val="000000" w:themeColor="text1"/>
        </w:rPr>
        <w:t xml:space="preserve">assuming a </w:t>
      </w:r>
      <w:r w:rsidR="00C4708E" w:rsidRPr="00B01754">
        <w:rPr>
          <w:rFonts w:cstheme="minorHAnsi"/>
          <w:color w:val="000000" w:themeColor="text1"/>
        </w:rPr>
        <w:t>3.4% annual percentage increase</w:t>
      </w:r>
      <w:r w:rsidR="00A51C1A" w:rsidRPr="00B01754">
        <w:rPr>
          <w:rFonts w:cstheme="minorHAnsi"/>
          <w:color w:val="000000" w:themeColor="text1"/>
        </w:rPr>
        <w:t xml:space="preserve">. </w:t>
      </w:r>
      <w:r w:rsidR="00C4708E" w:rsidRPr="00B01754">
        <w:rPr>
          <w:rFonts w:cstheme="minorHAnsi"/>
          <w:color w:val="000000" w:themeColor="text1"/>
        </w:rPr>
        <w:t xml:space="preserve">This </w:t>
      </w:r>
      <w:r w:rsidR="00F3009A" w:rsidRPr="00B01754">
        <w:rPr>
          <w:rFonts w:cstheme="minorHAnsi"/>
          <w:color w:val="000000" w:themeColor="text1"/>
        </w:rPr>
        <w:t xml:space="preserve">annual </w:t>
      </w:r>
      <w:r w:rsidR="00C4708E" w:rsidRPr="00B01754">
        <w:rPr>
          <w:rFonts w:cstheme="minorHAnsi"/>
          <w:color w:val="000000" w:themeColor="text1"/>
        </w:rPr>
        <w:t xml:space="preserve">percentage increase was </w:t>
      </w:r>
      <w:r w:rsidR="00F3009A" w:rsidRPr="00B01754">
        <w:rPr>
          <w:rFonts w:cstheme="minorHAnsi"/>
          <w:color w:val="000000" w:themeColor="text1"/>
        </w:rPr>
        <w:t xml:space="preserve">comparable </w:t>
      </w:r>
      <w:r w:rsidR="00C4708E" w:rsidRPr="00B01754">
        <w:rPr>
          <w:rFonts w:cstheme="minorHAnsi"/>
          <w:color w:val="000000" w:themeColor="text1"/>
        </w:rPr>
        <w:t>to</w:t>
      </w:r>
      <w:r w:rsidR="00F3009A" w:rsidRPr="00B01754">
        <w:rPr>
          <w:rFonts w:cstheme="minorHAnsi"/>
          <w:color w:val="000000" w:themeColor="text1"/>
        </w:rPr>
        <w:t xml:space="preserve"> </w:t>
      </w:r>
      <w:r w:rsidR="00C4708E" w:rsidRPr="00B01754">
        <w:rPr>
          <w:rFonts w:cstheme="minorHAnsi"/>
          <w:color w:val="000000" w:themeColor="text1"/>
        </w:rPr>
        <w:t>GP</w:t>
      </w:r>
      <w:r w:rsidR="00F3009A" w:rsidRPr="00B01754">
        <w:rPr>
          <w:rFonts w:cstheme="minorHAnsi"/>
          <w:color w:val="000000" w:themeColor="text1"/>
        </w:rPr>
        <w:t xml:space="preserve"> consultations</w:t>
      </w:r>
      <w:r w:rsidR="00C4708E" w:rsidRPr="00B01754">
        <w:rPr>
          <w:rFonts w:cstheme="minorHAnsi"/>
          <w:color w:val="000000" w:themeColor="text1"/>
        </w:rPr>
        <w:t>, f</w:t>
      </w:r>
      <w:r w:rsidR="00F3009A" w:rsidRPr="00B01754">
        <w:rPr>
          <w:rFonts w:cstheme="minorHAnsi"/>
          <w:color w:val="000000" w:themeColor="text1"/>
        </w:rPr>
        <w:t xml:space="preserve">or which </w:t>
      </w:r>
      <w:r w:rsidR="00C4708E" w:rsidRPr="00B01754">
        <w:rPr>
          <w:rFonts w:cstheme="minorHAnsi"/>
          <w:color w:val="000000" w:themeColor="text1"/>
        </w:rPr>
        <w:t>consultation unit cost</w:t>
      </w:r>
      <w:r w:rsidR="00F3009A" w:rsidRPr="00B01754">
        <w:rPr>
          <w:rFonts w:cstheme="minorHAnsi"/>
          <w:color w:val="000000" w:themeColor="text1"/>
        </w:rPr>
        <w:t xml:space="preserve"> were available for all years</w:t>
      </w:r>
      <w:r w:rsidR="00C4708E" w:rsidRPr="00B01754">
        <w:rPr>
          <w:rFonts w:cstheme="minorHAnsi"/>
          <w:color w:val="000000" w:themeColor="text1"/>
        </w:rPr>
        <w:t xml:space="preserve">. </w:t>
      </w:r>
      <w:r w:rsidR="00A51C1A" w:rsidRPr="00B01754">
        <w:rPr>
          <w:rFonts w:cstheme="minorHAnsi"/>
          <w:color w:val="000000" w:themeColor="text1"/>
        </w:rPr>
        <w:t xml:space="preserve">Costs were </w:t>
      </w:r>
      <w:r w:rsidR="00C4708E" w:rsidRPr="00B01754">
        <w:rPr>
          <w:rFonts w:cstheme="minorHAnsi"/>
          <w:color w:val="000000" w:themeColor="text1"/>
        </w:rPr>
        <w:t xml:space="preserve">then </w:t>
      </w:r>
      <w:r w:rsidR="00A51C1A" w:rsidRPr="00B01754">
        <w:rPr>
          <w:rFonts w:cstheme="minorHAnsi"/>
          <w:color w:val="000000" w:themeColor="text1"/>
        </w:rPr>
        <w:t>adjusted for inflation to 2018 based on the Office for National Statistics’ (ONS) composite price index.</w:t>
      </w:r>
      <w:r w:rsidR="00A51C1A" w:rsidRPr="00B01754">
        <w:rPr>
          <w:rFonts w:cstheme="minorHAnsi"/>
          <w:noProof/>
          <w:color w:val="000000" w:themeColor="text1"/>
        </w:rPr>
        <w:t>(17)</w:t>
      </w:r>
    </w:p>
    <w:p w14:paraId="5D1A714E" w14:textId="77777777" w:rsidR="00A51C1A" w:rsidRPr="00B01754" w:rsidRDefault="00A51C1A" w:rsidP="00234D8F">
      <w:pPr>
        <w:spacing w:after="0" w:line="360" w:lineRule="auto"/>
        <w:jc w:val="both"/>
        <w:rPr>
          <w:color w:val="000000" w:themeColor="text1"/>
        </w:rPr>
      </w:pPr>
    </w:p>
    <w:p w14:paraId="5A799959" w14:textId="77777777" w:rsidR="00A51C1A" w:rsidRPr="00B01754" w:rsidRDefault="00A51C1A" w:rsidP="00234D8F">
      <w:pPr>
        <w:spacing w:after="0" w:line="360" w:lineRule="auto"/>
        <w:jc w:val="both"/>
        <w:rPr>
          <w:rFonts w:cs="Arial"/>
          <w:b/>
          <w:color w:val="000000" w:themeColor="text1"/>
          <w:shd w:val="clear" w:color="auto" w:fill="FFFFFF"/>
        </w:rPr>
      </w:pPr>
      <w:r w:rsidRPr="00B01754">
        <w:rPr>
          <w:b/>
          <w:color w:val="000000" w:themeColor="text1"/>
        </w:rPr>
        <w:t>Statistical analysis</w:t>
      </w:r>
    </w:p>
    <w:p w14:paraId="05FCC746" w14:textId="77777777" w:rsidR="00A51C1A" w:rsidRPr="00B01754" w:rsidRDefault="00A51C1A" w:rsidP="00234D8F">
      <w:pPr>
        <w:spacing w:after="0" w:line="360" w:lineRule="auto"/>
        <w:jc w:val="both"/>
        <w:rPr>
          <w:rFonts w:cstheme="minorHAnsi"/>
          <w:color w:val="000000" w:themeColor="text1"/>
          <w:shd w:val="clear" w:color="auto" w:fill="FFFFFF"/>
        </w:rPr>
      </w:pPr>
      <w:r w:rsidRPr="00B01754">
        <w:rPr>
          <w:rFonts w:cstheme="minorHAnsi"/>
          <w:color w:val="000000" w:themeColor="text1"/>
          <w:shd w:val="clear" w:color="auto" w:fill="FFFFFF"/>
        </w:rPr>
        <w:t xml:space="preserve">Age was calculated at the index date and for each year thereafter for age standardisation. The frequency of each type of comorbidity and the timing relative to T2DM diagnosis (prevalent and incident) was obtained.  For each year, we determined the total number of consultations, stratified by the number of comorbidities and age at the time of the consultation. Total person-years of follow up were determined for each calendar year, stratified by the number of comorbidities and age at the time of the consultation. Patients alive and registered for the whole year contributed one person year </w:t>
      </w:r>
      <w:r w:rsidRPr="00B01754">
        <w:rPr>
          <w:rFonts w:cstheme="minorHAnsi"/>
          <w:color w:val="000000" w:themeColor="text1"/>
          <w:shd w:val="clear" w:color="auto" w:fill="FFFFFF"/>
        </w:rPr>
        <w:lastRenderedPageBreak/>
        <w:t xml:space="preserve">of follow up. </w:t>
      </w:r>
      <w:r w:rsidRPr="00B01754">
        <w:rPr>
          <w:rFonts w:cstheme="minorHAnsi"/>
          <w:color w:val="000000" w:themeColor="text1"/>
        </w:rPr>
        <w:t xml:space="preserve">Patients transitioned comorbidity groups when diagnosed with an additional comorbidity during follow up. For example, a patient with 2 comorbidities at the index date would contribute consultations and person-time to this group. When diagnosed with an additional comorbidity during follow-up, they would transition to the 3 or more comorbidities group and contribute consultations and person-time to this group beginning on the diagnosis date of the additional comorbidity. Patients who died or unregistered from their GP practice within a calendar year contributed person-time until the date of death or unregistration. </w:t>
      </w:r>
    </w:p>
    <w:p w14:paraId="4D757709" w14:textId="77777777" w:rsidR="00A51C1A" w:rsidRPr="00B01754" w:rsidRDefault="00A51C1A" w:rsidP="00234D8F">
      <w:pPr>
        <w:spacing w:after="0" w:line="360" w:lineRule="auto"/>
        <w:jc w:val="both"/>
        <w:rPr>
          <w:rFonts w:cstheme="minorHAnsi"/>
          <w:color w:val="000000" w:themeColor="text1"/>
          <w:shd w:val="clear" w:color="auto" w:fill="FFFFFF"/>
        </w:rPr>
      </w:pPr>
    </w:p>
    <w:p w14:paraId="2E646D5C" w14:textId="77777777" w:rsidR="00A51C1A" w:rsidRPr="00B01754" w:rsidRDefault="00A51C1A" w:rsidP="00234D8F">
      <w:pPr>
        <w:spacing w:after="0" w:line="360" w:lineRule="auto"/>
        <w:jc w:val="both"/>
        <w:rPr>
          <w:rFonts w:cstheme="minorHAnsi"/>
          <w:color w:val="000000" w:themeColor="text1"/>
          <w:shd w:val="clear" w:color="auto" w:fill="FFFFFF"/>
        </w:rPr>
      </w:pPr>
      <w:r w:rsidRPr="00B01754">
        <w:rPr>
          <w:rFonts w:cstheme="minorHAnsi"/>
          <w:color w:val="000000" w:themeColor="text1"/>
          <w:shd w:val="clear" w:color="auto" w:fill="FFFFFF"/>
        </w:rPr>
        <w:t>C</w:t>
      </w:r>
      <w:r w:rsidRPr="00B01754">
        <w:rPr>
          <w:rFonts w:cstheme="minorHAnsi"/>
          <w:color w:val="000000" w:themeColor="text1"/>
        </w:rPr>
        <w:t>rude face to face consultation rates were calculated as the number of consultations per patient per year (p-y) for nurse, GP, and in total for each comorbidity group. Using the crude consultation rates and the estimated cost per consultation based on the staff type attending, the annual inflation-adjusted cost per patient was calculated based on the number of comorbidities at the time of consultation. Excess face to face consultations using patients without comorbidities as the reference group were estimated as rate ratios.</w:t>
      </w:r>
    </w:p>
    <w:p w14:paraId="5DC43B23" w14:textId="77777777" w:rsidR="00A51C1A" w:rsidRPr="00B01754" w:rsidRDefault="00A51C1A" w:rsidP="00234D8F">
      <w:pPr>
        <w:spacing w:after="0" w:line="360" w:lineRule="auto"/>
        <w:jc w:val="both"/>
        <w:rPr>
          <w:rFonts w:cstheme="minorHAnsi"/>
          <w:color w:val="000000" w:themeColor="text1"/>
        </w:rPr>
      </w:pPr>
    </w:p>
    <w:p w14:paraId="4C1D89F3" w14:textId="77777777" w:rsidR="00A51C1A" w:rsidRPr="00B01754" w:rsidRDefault="00A51C1A" w:rsidP="00234D8F">
      <w:pPr>
        <w:spacing w:after="0" w:line="360" w:lineRule="auto"/>
        <w:jc w:val="both"/>
        <w:rPr>
          <w:rFonts w:cstheme="minorHAnsi"/>
          <w:color w:val="000000" w:themeColor="text1"/>
        </w:rPr>
      </w:pPr>
      <w:r w:rsidRPr="00B01754">
        <w:rPr>
          <w:rFonts w:cstheme="minorHAnsi"/>
          <w:color w:val="000000" w:themeColor="text1"/>
        </w:rPr>
        <w:t>To compare face to face consultation rates across years, crude consultation rates were age-sex standardised to the 2018 mid-year English adult population using the following age groups: 18–54, 55-64, 65-74, and 75 years and older.  Joinpoint regression analysis was used to model changes in annual face to face standardized consultation rates from 2000 to 2018 by the number of comorbidities at the time of consultation.</w:t>
      </w:r>
      <w:r w:rsidRPr="00B01754">
        <w:rPr>
          <w:rFonts w:cstheme="minorHAnsi"/>
          <w:noProof/>
          <w:color w:val="000000" w:themeColor="text1"/>
        </w:rPr>
        <w:t>(18)</w:t>
      </w:r>
      <w:r w:rsidRPr="00B01754">
        <w:rPr>
          <w:rFonts w:cstheme="minorHAnsi"/>
          <w:color w:val="000000" w:themeColor="text1"/>
        </w:rPr>
        <w:t xml:space="preserve"> </w:t>
      </w:r>
    </w:p>
    <w:p w14:paraId="2442201F" w14:textId="77777777" w:rsidR="00A51C1A" w:rsidRPr="00B01754" w:rsidRDefault="00A51C1A" w:rsidP="00234D8F">
      <w:pPr>
        <w:spacing w:after="0" w:line="360" w:lineRule="auto"/>
        <w:jc w:val="both"/>
        <w:rPr>
          <w:rFonts w:cstheme="minorHAnsi"/>
          <w:color w:val="000000" w:themeColor="text1"/>
        </w:rPr>
      </w:pPr>
    </w:p>
    <w:p w14:paraId="17D70DDF" w14:textId="77777777" w:rsidR="00A51C1A" w:rsidRPr="00B01754" w:rsidRDefault="00A51C1A" w:rsidP="00234D8F">
      <w:pPr>
        <w:spacing w:after="0" w:line="360" w:lineRule="auto"/>
        <w:jc w:val="both"/>
        <w:rPr>
          <w:color w:val="000000" w:themeColor="text1"/>
        </w:rPr>
      </w:pPr>
      <w:r w:rsidRPr="00B01754">
        <w:rPr>
          <w:rFonts w:cstheme="minorHAnsi"/>
          <w:color w:val="000000" w:themeColor="text1"/>
        </w:rPr>
        <w:t xml:space="preserve">Additionally, a secondary analysis was carried out on telephone consultations. </w:t>
      </w:r>
      <w:r w:rsidRPr="00B01754">
        <w:rPr>
          <w:rFonts w:cstheme="minorHAnsi"/>
          <w:color w:val="000000" w:themeColor="text1"/>
          <w:shd w:val="clear" w:color="auto" w:fill="FFFFFF"/>
        </w:rPr>
        <w:t>C</w:t>
      </w:r>
      <w:r w:rsidRPr="00B01754">
        <w:rPr>
          <w:rFonts w:cstheme="minorHAnsi"/>
          <w:color w:val="000000" w:themeColor="text1"/>
        </w:rPr>
        <w:t>rude telephone consultation rates were calculated as the number of telephone consultations per p-y. The percentage of GPs compared to nurses attending the telephone consultation was calculated. Excess consultations using patients without comorbidities as the reference group were estimated as rate ratios.</w:t>
      </w:r>
    </w:p>
    <w:p w14:paraId="303BD7DD" w14:textId="77777777" w:rsidR="00A51C1A" w:rsidRPr="00B01754" w:rsidRDefault="00A51C1A" w:rsidP="00234D8F">
      <w:pPr>
        <w:spacing w:after="0" w:line="360" w:lineRule="auto"/>
        <w:jc w:val="both"/>
        <w:rPr>
          <w:color w:val="000000" w:themeColor="text1"/>
        </w:rPr>
      </w:pPr>
    </w:p>
    <w:p w14:paraId="02D50770" w14:textId="77777777" w:rsidR="00A51C1A" w:rsidRPr="00B01754" w:rsidRDefault="00A51C1A" w:rsidP="00234D8F">
      <w:pPr>
        <w:spacing w:after="0" w:line="360" w:lineRule="auto"/>
        <w:jc w:val="both"/>
        <w:rPr>
          <w:color w:val="000000" w:themeColor="text1"/>
        </w:rPr>
      </w:pPr>
      <w:r w:rsidRPr="00B01754">
        <w:rPr>
          <w:color w:val="000000" w:themeColor="text1"/>
        </w:rPr>
        <w:t>All analyses were performed in Stata/IC 15.1 and SAS v9.4; results are reported with 95% confidence interval (CI) when applicable and nominal statistical significance was defined at p&lt;0.05. Joinpoint analysis was performed using the Joinpoint Trend Analysis Software Version 4.7.0.0.</w:t>
      </w:r>
      <w:r w:rsidRPr="00B01754">
        <w:rPr>
          <w:noProof/>
          <w:color w:val="000000" w:themeColor="text1"/>
        </w:rPr>
        <w:t>(18)</w:t>
      </w:r>
    </w:p>
    <w:p w14:paraId="418B1879" w14:textId="77777777" w:rsidR="00A51C1A" w:rsidRPr="00B01754" w:rsidRDefault="00A51C1A" w:rsidP="00234D8F">
      <w:pPr>
        <w:spacing w:after="0" w:line="360" w:lineRule="auto"/>
        <w:jc w:val="both"/>
        <w:rPr>
          <w:color w:val="000000" w:themeColor="text1"/>
        </w:rPr>
      </w:pPr>
    </w:p>
    <w:p w14:paraId="1036AA10" w14:textId="77777777" w:rsidR="00A51C1A" w:rsidRPr="00B01754" w:rsidRDefault="00A51C1A" w:rsidP="00234D8F">
      <w:pPr>
        <w:spacing w:after="0" w:line="360" w:lineRule="auto"/>
        <w:jc w:val="both"/>
        <w:rPr>
          <w:b/>
          <w:color w:val="000000" w:themeColor="text1"/>
        </w:rPr>
      </w:pPr>
      <w:r w:rsidRPr="00B01754">
        <w:rPr>
          <w:b/>
          <w:color w:val="000000" w:themeColor="text1"/>
        </w:rPr>
        <w:t>Patient and public involvement</w:t>
      </w:r>
    </w:p>
    <w:p w14:paraId="368A60A9" w14:textId="3F5EDD44" w:rsidR="00891344" w:rsidRPr="00B01754" w:rsidRDefault="00A51C1A" w:rsidP="0050400D">
      <w:pPr>
        <w:spacing w:after="0" w:line="360" w:lineRule="auto"/>
        <w:jc w:val="both"/>
        <w:rPr>
          <w:b/>
          <w:color w:val="000000" w:themeColor="text1"/>
          <w:sz w:val="30"/>
          <w:szCs w:val="30"/>
        </w:rPr>
      </w:pPr>
      <w:r w:rsidRPr="00B01754">
        <w:rPr>
          <w:color w:val="000000" w:themeColor="text1"/>
        </w:rPr>
        <w:t xml:space="preserve">A patient and public involvement group made up of members of the public was involved in refining the </w:t>
      </w:r>
      <w:r w:rsidR="00891344" w:rsidRPr="00B01754">
        <w:rPr>
          <w:color w:val="000000" w:themeColor="text1"/>
        </w:rPr>
        <w:t>research question and protocol.</w:t>
      </w:r>
    </w:p>
    <w:p w14:paraId="0BF4C92E" w14:textId="77777777" w:rsidR="0050400D" w:rsidRPr="00B01754" w:rsidRDefault="0050400D">
      <w:pPr>
        <w:rPr>
          <w:b/>
          <w:color w:val="000000" w:themeColor="text1"/>
          <w:sz w:val="30"/>
          <w:szCs w:val="30"/>
        </w:rPr>
      </w:pPr>
      <w:r w:rsidRPr="00B01754">
        <w:rPr>
          <w:b/>
          <w:color w:val="000000" w:themeColor="text1"/>
          <w:sz w:val="30"/>
          <w:szCs w:val="30"/>
        </w:rPr>
        <w:br w:type="page"/>
      </w:r>
    </w:p>
    <w:p w14:paraId="75AAFC86" w14:textId="7D359728" w:rsidR="00A51C1A" w:rsidRPr="00B01754" w:rsidRDefault="00A51C1A" w:rsidP="00234D8F">
      <w:pPr>
        <w:spacing w:after="0" w:line="360" w:lineRule="auto"/>
        <w:jc w:val="both"/>
        <w:rPr>
          <w:b/>
          <w:color w:val="000000" w:themeColor="text1"/>
          <w:sz w:val="30"/>
          <w:szCs w:val="30"/>
        </w:rPr>
      </w:pPr>
      <w:r w:rsidRPr="00B01754">
        <w:rPr>
          <w:b/>
          <w:color w:val="000000" w:themeColor="text1"/>
          <w:sz w:val="30"/>
          <w:szCs w:val="30"/>
        </w:rPr>
        <w:lastRenderedPageBreak/>
        <w:t>RESULTS</w:t>
      </w:r>
    </w:p>
    <w:p w14:paraId="3BA6854F" w14:textId="77777777" w:rsidR="00A51C1A" w:rsidRPr="00B01754" w:rsidRDefault="00A51C1A" w:rsidP="00234D8F">
      <w:pPr>
        <w:spacing w:after="0" w:line="360" w:lineRule="auto"/>
        <w:jc w:val="both"/>
        <w:rPr>
          <w:b/>
          <w:color w:val="000000" w:themeColor="text1"/>
        </w:rPr>
      </w:pPr>
      <w:r w:rsidRPr="00B01754">
        <w:rPr>
          <w:b/>
          <w:color w:val="000000" w:themeColor="text1"/>
        </w:rPr>
        <w:t>Cohort characteristics</w:t>
      </w:r>
    </w:p>
    <w:p w14:paraId="7E54FF70" w14:textId="77777777" w:rsidR="00A51C1A" w:rsidRPr="00B01754" w:rsidRDefault="00A51C1A" w:rsidP="00234D8F">
      <w:pPr>
        <w:spacing w:after="0" w:line="360" w:lineRule="auto"/>
        <w:jc w:val="both"/>
        <w:rPr>
          <w:rFonts w:ascii="Calibri" w:eastAsia="Times New Roman" w:hAnsi="Calibri" w:cs="Times New Roman"/>
          <w:bCs/>
          <w:color w:val="000000" w:themeColor="text1"/>
          <w:lang w:eastAsia="en-GB"/>
        </w:rPr>
      </w:pPr>
      <w:r w:rsidRPr="00B01754">
        <w:rPr>
          <w:color w:val="000000" w:themeColor="text1"/>
        </w:rPr>
        <w:t xml:space="preserve">The cohort comprised 120,409 patients newly diagnosed with T2DM; </w:t>
      </w:r>
      <w:r w:rsidRPr="00B01754">
        <w:rPr>
          <w:rFonts w:ascii="Calibri" w:eastAsia="Times New Roman" w:hAnsi="Calibri" w:cs="Times New Roman"/>
          <w:bCs/>
          <w:color w:val="000000" w:themeColor="text1"/>
          <w:lang w:eastAsia="en-GB"/>
        </w:rPr>
        <w:t>65,294 (54.2%) males and 55,115 (45.8%) females (</w:t>
      </w:r>
      <w:r w:rsidRPr="00B01754">
        <w:rPr>
          <w:rFonts w:ascii="Calibri" w:eastAsia="Times New Roman" w:hAnsi="Calibri" w:cs="Times New Roman"/>
          <w:b/>
          <w:bCs/>
          <w:color w:val="000000" w:themeColor="text1"/>
          <w:lang w:eastAsia="en-GB"/>
        </w:rPr>
        <w:t>Table 1</w:t>
      </w:r>
      <w:r w:rsidRPr="00B01754">
        <w:rPr>
          <w:rFonts w:ascii="Calibri" w:eastAsia="Times New Roman" w:hAnsi="Calibri" w:cs="Times New Roman"/>
          <w:bCs/>
          <w:color w:val="000000" w:themeColor="text1"/>
          <w:lang w:eastAsia="en-GB"/>
        </w:rPr>
        <w:t xml:space="preserve">). Most patients were White (91.8%), followed by South Asian (5.0%), Black (2.2%), and 1.1% were of other ethnic backgrounds. Including both prevalent and incident comorbidities, the most common was chronic pulmonary disease (22.4%), followed by renal disease (20.2%), cancer (17.6%), cerebrovascular disease (11.1%), and myocardial infarction (9.8%, </w:t>
      </w:r>
      <w:r w:rsidRPr="00B01754">
        <w:rPr>
          <w:rFonts w:ascii="Calibri" w:eastAsia="Times New Roman" w:hAnsi="Calibri" w:cs="Times New Roman"/>
          <w:b/>
          <w:bCs/>
          <w:color w:val="000000" w:themeColor="text1"/>
          <w:lang w:eastAsia="en-GB"/>
        </w:rPr>
        <w:t>Supplementary Table 2</w:t>
      </w:r>
      <w:r w:rsidRPr="00B01754">
        <w:rPr>
          <w:rFonts w:ascii="Calibri" w:eastAsia="Times New Roman" w:hAnsi="Calibri" w:cs="Times New Roman"/>
          <w:bCs/>
          <w:color w:val="000000" w:themeColor="text1"/>
          <w:lang w:eastAsia="en-GB"/>
        </w:rPr>
        <w:t xml:space="preserve">). </w:t>
      </w:r>
    </w:p>
    <w:p w14:paraId="1DD8606E" w14:textId="77777777" w:rsidR="00A51C1A" w:rsidRPr="00B01754" w:rsidRDefault="00A51C1A" w:rsidP="00234D8F">
      <w:pPr>
        <w:spacing w:after="0" w:line="360" w:lineRule="auto"/>
        <w:jc w:val="both"/>
        <w:rPr>
          <w:rFonts w:ascii="Calibri" w:eastAsia="Times New Roman" w:hAnsi="Calibri" w:cs="Times New Roman"/>
          <w:bCs/>
          <w:color w:val="000000" w:themeColor="text1"/>
          <w:lang w:eastAsia="en-GB"/>
        </w:rPr>
      </w:pPr>
    </w:p>
    <w:p w14:paraId="10F80F71" w14:textId="77777777" w:rsidR="00A51C1A" w:rsidRPr="00B01754" w:rsidRDefault="00A51C1A" w:rsidP="00234D8F">
      <w:pPr>
        <w:spacing w:after="0" w:line="360" w:lineRule="auto"/>
        <w:jc w:val="both"/>
        <w:rPr>
          <w:rFonts w:ascii="Calibri" w:eastAsia="Times New Roman" w:hAnsi="Calibri" w:cs="Times New Roman"/>
          <w:b/>
          <w:bCs/>
          <w:color w:val="000000" w:themeColor="text1"/>
          <w:lang w:eastAsia="en-GB"/>
        </w:rPr>
      </w:pPr>
      <w:r w:rsidRPr="00B01754">
        <w:rPr>
          <w:rFonts w:ascii="Calibri" w:eastAsia="Times New Roman" w:hAnsi="Calibri" w:cs="Times New Roman"/>
          <w:b/>
          <w:bCs/>
          <w:color w:val="000000" w:themeColor="text1"/>
          <w:lang w:eastAsia="en-GB"/>
        </w:rPr>
        <w:t>Total face to face consultations</w:t>
      </w:r>
    </w:p>
    <w:p w14:paraId="17750D5D" w14:textId="77777777" w:rsidR="00A51C1A" w:rsidRPr="00B01754" w:rsidRDefault="00A51C1A" w:rsidP="00234D8F">
      <w:pPr>
        <w:spacing w:after="0" w:line="360" w:lineRule="auto"/>
        <w:jc w:val="both"/>
        <w:rPr>
          <w:rFonts w:ascii="Calibri" w:hAnsi="Calibri"/>
          <w:color w:val="000000" w:themeColor="text1"/>
          <w:lang w:val="en-US"/>
        </w:rPr>
      </w:pPr>
      <w:r w:rsidRPr="00B01754">
        <w:rPr>
          <w:rFonts w:ascii="Calibri" w:eastAsia="Times New Roman" w:hAnsi="Calibri" w:cs="Times New Roman"/>
          <w:bCs/>
          <w:color w:val="000000" w:themeColor="text1"/>
          <w:lang w:eastAsia="en-GB"/>
        </w:rPr>
        <w:t xml:space="preserve">During </w:t>
      </w:r>
      <w:r w:rsidRPr="00B01754">
        <w:rPr>
          <w:rFonts w:ascii="Calibri" w:hAnsi="Calibri"/>
          <w:color w:val="000000" w:themeColor="text1"/>
          <w:lang w:val="en-US"/>
        </w:rPr>
        <w:t xml:space="preserve">679,704 person </w:t>
      </w:r>
      <w:r w:rsidRPr="00B01754">
        <w:rPr>
          <w:rFonts w:ascii="Calibri" w:eastAsia="Times New Roman" w:hAnsi="Calibri" w:cs="Times New Roman"/>
          <w:bCs/>
          <w:color w:val="000000" w:themeColor="text1"/>
          <w:lang w:eastAsia="en-GB"/>
        </w:rPr>
        <w:t xml:space="preserve">years of follow up (mean 5.6 [95% CI 5.2-5.7], range 1 day-19 years), </w:t>
      </w:r>
      <w:r w:rsidRPr="00B01754">
        <w:rPr>
          <w:rFonts w:ascii="Calibri" w:hAnsi="Calibri"/>
          <w:color w:val="000000" w:themeColor="text1"/>
          <w:lang w:val="en-US"/>
        </w:rPr>
        <w:t xml:space="preserve">8,334,371 face to face </w:t>
      </w:r>
      <w:r w:rsidRPr="00B01754">
        <w:rPr>
          <w:rFonts w:ascii="Calibri" w:eastAsia="Times New Roman" w:hAnsi="Calibri" w:cs="Times New Roman"/>
          <w:bCs/>
          <w:color w:val="000000" w:themeColor="text1"/>
          <w:lang w:eastAsia="en-GB"/>
        </w:rPr>
        <w:t>consultations were included, resulting in a crude rate of 12.3 (12.3-12.3) per p-y (</w:t>
      </w:r>
      <w:r w:rsidRPr="00B01754">
        <w:rPr>
          <w:rFonts w:ascii="Calibri" w:eastAsia="Times New Roman" w:hAnsi="Calibri" w:cs="Times New Roman"/>
          <w:b/>
          <w:bCs/>
          <w:color w:val="000000" w:themeColor="text1"/>
          <w:lang w:eastAsia="en-GB"/>
        </w:rPr>
        <w:t>Table 2</w:t>
      </w:r>
      <w:r w:rsidRPr="00B01754">
        <w:rPr>
          <w:rFonts w:ascii="Calibri" w:eastAsia="Times New Roman" w:hAnsi="Calibri" w:cs="Times New Roman"/>
          <w:bCs/>
          <w:color w:val="000000" w:themeColor="text1"/>
          <w:lang w:eastAsia="en-GB"/>
        </w:rPr>
        <w:t xml:space="preserve">). </w:t>
      </w:r>
      <w:r w:rsidRPr="00B01754">
        <w:rPr>
          <w:rFonts w:ascii="Calibri" w:hAnsi="Calibri"/>
          <w:color w:val="000000" w:themeColor="text1"/>
          <w:lang w:val="en-US"/>
        </w:rPr>
        <w:t xml:space="preserve">In most instances, patients had one or two face to face consultations on a given date.  </w:t>
      </w:r>
      <w:r w:rsidRPr="00B01754">
        <w:rPr>
          <w:rFonts w:ascii="Calibri" w:eastAsia="Times New Roman" w:hAnsi="Calibri" w:cs="Times New Roman"/>
          <w:bCs/>
          <w:color w:val="000000" w:themeColor="text1"/>
          <w:lang w:eastAsia="en-GB"/>
        </w:rPr>
        <w:t xml:space="preserve">The crude consultation rate increased with the number of comorbidities. The total crude rate of consultations for patients without comorbidities was 10.3 (10.3-10.4) per p-y, compared to 12.7 (12.7-12.7) for 1 comorbidity, 15.1 (15.1-15.2) for 2 comorbidities, 18.7 (18.7-18.8) for 3 or more comorbidities. Patients with 3 or more comorbidities had 81% (81%-82%) more face to face consultations than patients without comorbidities. </w:t>
      </w:r>
    </w:p>
    <w:p w14:paraId="008E5BD1" w14:textId="77777777" w:rsidR="00A51C1A" w:rsidRPr="00B01754" w:rsidRDefault="00A51C1A" w:rsidP="00234D8F">
      <w:pPr>
        <w:spacing w:after="0" w:line="360" w:lineRule="auto"/>
        <w:jc w:val="both"/>
        <w:rPr>
          <w:rFonts w:ascii="Calibri" w:eastAsia="Times New Roman" w:hAnsi="Calibri" w:cs="Times New Roman"/>
          <w:b/>
          <w:bCs/>
          <w:color w:val="000000" w:themeColor="text1"/>
          <w:lang w:eastAsia="en-GB"/>
        </w:rPr>
      </w:pPr>
    </w:p>
    <w:p w14:paraId="706508C9" w14:textId="77777777" w:rsidR="00A51C1A" w:rsidRPr="00B01754" w:rsidRDefault="00A51C1A" w:rsidP="00234D8F">
      <w:pPr>
        <w:spacing w:after="0" w:line="360" w:lineRule="auto"/>
        <w:jc w:val="both"/>
        <w:rPr>
          <w:rFonts w:ascii="Calibri" w:eastAsia="Times New Roman" w:hAnsi="Calibri" w:cs="Times New Roman"/>
          <w:b/>
          <w:bCs/>
          <w:color w:val="000000" w:themeColor="text1"/>
          <w:lang w:eastAsia="en-GB"/>
        </w:rPr>
      </w:pPr>
      <w:r w:rsidRPr="00B01754">
        <w:rPr>
          <w:rFonts w:ascii="Calibri" w:eastAsia="Times New Roman" w:hAnsi="Calibri" w:cs="Times New Roman"/>
          <w:b/>
          <w:bCs/>
          <w:color w:val="000000" w:themeColor="text1"/>
          <w:lang w:eastAsia="en-GB"/>
        </w:rPr>
        <w:t>Nurse face to face consultations</w:t>
      </w:r>
    </w:p>
    <w:p w14:paraId="6F0EF922" w14:textId="77777777" w:rsidR="00A51C1A" w:rsidRPr="00B01754" w:rsidRDefault="00A51C1A" w:rsidP="00234D8F">
      <w:pPr>
        <w:spacing w:after="0" w:line="360" w:lineRule="auto"/>
        <w:jc w:val="both"/>
        <w:rPr>
          <w:rFonts w:ascii="Calibri" w:eastAsia="Times New Roman" w:hAnsi="Calibri" w:cs="Times New Roman"/>
          <w:bCs/>
          <w:color w:val="000000" w:themeColor="text1"/>
          <w:lang w:eastAsia="en-GB"/>
        </w:rPr>
      </w:pPr>
      <w:r w:rsidRPr="00B01754">
        <w:rPr>
          <w:rFonts w:ascii="Calibri" w:eastAsia="Times New Roman" w:hAnsi="Calibri" w:cs="Times New Roman"/>
          <w:bCs/>
          <w:color w:val="000000" w:themeColor="text1"/>
          <w:lang w:eastAsia="en-GB"/>
        </w:rPr>
        <w:t xml:space="preserve">In total, 3,258,223 consultations (39.1% of face to face consultations) were with a nurse at a rate of 4.8 (4.8-4.8) per p-y. </w:t>
      </w:r>
      <w:r w:rsidRPr="00B01754">
        <w:rPr>
          <w:rFonts w:ascii="Calibri" w:hAnsi="Calibri"/>
          <w:color w:val="000000" w:themeColor="text1"/>
          <w:lang w:val="en-US"/>
        </w:rPr>
        <w:t xml:space="preserve">Nurse consultations were typically with a practice nurse, comprising 92.9% of face to face nurse consultations, followed by a community nurse (5.5% of face to face nurse consultations, </w:t>
      </w:r>
      <w:r w:rsidRPr="00B01754">
        <w:rPr>
          <w:rFonts w:ascii="Calibri" w:hAnsi="Calibri"/>
          <w:b/>
          <w:color w:val="000000" w:themeColor="text1"/>
          <w:lang w:val="en-US"/>
        </w:rPr>
        <w:t>Supplementary Table 1</w:t>
      </w:r>
      <w:r w:rsidRPr="00B01754">
        <w:rPr>
          <w:rFonts w:ascii="Calibri" w:hAnsi="Calibri"/>
          <w:color w:val="000000" w:themeColor="text1"/>
          <w:lang w:val="en-US"/>
        </w:rPr>
        <w:t xml:space="preserve">). The crude rate of nurse consultations increased as the number of comorbidities increased. The rate was </w:t>
      </w:r>
      <w:r w:rsidRPr="00B01754">
        <w:rPr>
          <w:rFonts w:ascii="Calibri" w:eastAsia="Times New Roman" w:hAnsi="Calibri" w:cs="Times New Roman"/>
          <w:bCs/>
          <w:color w:val="000000" w:themeColor="text1"/>
          <w:lang w:eastAsia="en-GB"/>
        </w:rPr>
        <w:t>4.2 (4.2-4.2) per p-y for patients with T2DM, compared to 4.9 (4.9-4.9) for 1 comorbidity, 5.7 (5.6-5.7) for 2 comorbidities, and 6.7 (6.7-6.7) for 3 or more comorbidities.  Patients with 3 or more comorbidities had 58% (58%-59%) more face to face nurse consultations than patients without comorbidities.</w:t>
      </w:r>
    </w:p>
    <w:p w14:paraId="2C788B4F" w14:textId="77777777" w:rsidR="00A51C1A" w:rsidRPr="00B01754" w:rsidRDefault="00A51C1A" w:rsidP="00234D8F">
      <w:pPr>
        <w:spacing w:after="0" w:line="360" w:lineRule="auto"/>
        <w:jc w:val="both"/>
        <w:rPr>
          <w:rFonts w:ascii="Calibri" w:eastAsia="Times New Roman" w:hAnsi="Calibri" w:cs="Times New Roman"/>
          <w:bCs/>
          <w:color w:val="000000" w:themeColor="text1"/>
          <w:lang w:eastAsia="en-GB"/>
        </w:rPr>
      </w:pPr>
    </w:p>
    <w:p w14:paraId="27851637" w14:textId="77777777" w:rsidR="00A51C1A" w:rsidRPr="00B01754" w:rsidRDefault="00A51C1A" w:rsidP="00234D8F">
      <w:pPr>
        <w:spacing w:after="0" w:line="360" w:lineRule="auto"/>
        <w:jc w:val="both"/>
        <w:rPr>
          <w:rFonts w:ascii="Calibri" w:eastAsia="Times New Roman" w:hAnsi="Calibri" w:cs="Times New Roman"/>
          <w:b/>
          <w:bCs/>
          <w:color w:val="000000" w:themeColor="text1"/>
          <w:lang w:eastAsia="en-GB"/>
        </w:rPr>
      </w:pPr>
      <w:r w:rsidRPr="00B01754">
        <w:rPr>
          <w:rFonts w:ascii="Calibri" w:eastAsia="Times New Roman" w:hAnsi="Calibri" w:cs="Times New Roman"/>
          <w:b/>
          <w:bCs/>
          <w:color w:val="000000" w:themeColor="text1"/>
          <w:lang w:eastAsia="en-GB"/>
        </w:rPr>
        <w:t>GP face to face consultations</w:t>
      </w:r>
    </w:p>
    <w:p w14:paraId="37B1FE85" w14:textId="77777777" w:rsidR="00A51C1A" w:rsidRPr="00B01754" w:rsidRDefault="00A51C1A" w:rsidP="00234D8F">
      <w:pPr>
        <w:spacing w:after="0" w:line="360" w:lineRule="auto"/>
        <w:jc w:val="both"/>
        <w:rPr>
          <w:rFonts w:ascii="Calibri" w:hAnsi="Calibri"/>
          <w:color w:val="000000" w:themeColor="text1"/>
          <w:lang w:val="en-US"/>
        </w:rPr>
      </w:pPr>
      <w:r w:rsidRPr="00B01754">
        <w:rPr>
          <w:rFonts w:ascii="Calibri" w:eastAsia="Times New Roman" w:hAnsi="Calibri" w:cs="Times New Roman"/>
          <w:bCs/>
          <w:color w:val="000000" w:themeColor="text1"/>
          <w:lang w:eastAsia="en-GB"/>
        </w:rPr>
        <w:t xml:space="preserve">In total, 5,076,148 consultations (60.9% of face to face consultations) were with a GP at a rate of </w:t>
      </w:r>
      <w:r w:rsidRPr="00B01754">
        <w:rPr>
          <w:rFonts w:ascii="Calibri" w:hAnsi="Calibri"/>
          <w:color w:val="000000" w:themeColor="text1"/>
          <w:lang w:val="en-US"/>
        </w:rPr>
        <w:t>7.5 (7.5-7.5) per p-y</w:t>
      </w:r>
      <w:r w:rsidRPr="00B01754">
        <w:rPr>
          <w:rFonts w:ascii="Calibri" w:eastAsia="Times New Roman" w:hAnsi="Calibri" w:cs="Times New Roman"/>
          <w:bCs/>
          <w:color w:val="000000" w:themeColor="text1"/>
          <w:lang w:eastAsia="en-GB"/>
        </w:rPr>
        <w:t xml:space="preserve">. </w:t>
      </w:r>
      <w:r w:rsidRPr="00B01754">
        <w:rPr>
          <w:rFonts w:ascii="Calibri" w:hAnsi="Calibri"/>
          <w:color w:val="000000" w:themeColor="text1"/>
          <w:lang w:val="en-US"/>
        </w:rPr>
        <w:t xml:space="preserve">Patients with more comorbidities were more likely to see a GP than a nurse; 59.2% of face to face consultations for patients without comorbidities were with a GP, compared to 61.2% for 1 comorbidity, 62.6% for 2 comorbidities; and 64.3% for 3 or more comorbidities. The crude rate </w:t>
      </w:r>
      <w:r w:rsidRPr="00B01754">
        <w:rPr>
          <w:rFonts w:ascii="Calibri" w:hAnsi="Calibri"/>
          <w:color w:val="000000" w:themeColor="text1"/>
          <w:lang w:val="en-US"/>
        </w:rPr>
        <w:lastRenderedPageBreak/>
        <w:t xml:space="preserve">of face to face GP consultations increased as the number of comorbidities increased; 6.1 (6.1-6.1) per p-y for patients without comorbidities, compared to 7.8 (7.8-7.8) for patients with 1 comorbidity, 9.5 (9.5-9.5) for 2 comorbidities, 12.0 (12.0-12.1) for 3 or more comorbidities. </w:t>
      </w:r>
      <w:r w:rsidRPr="00B01754">
        <w:rPr>
          <w:rFonts w:ascii="Calibri" w:eastAsia="Times New Roman" w:hAnsi="Calibri" w:cs="Times New Roman"/>
          <w:bCs/>
          <w:color w:val="000000" w:themeColor="text1"/>
          <w:lang w:eastAsia="en-GB"/>
        </w:rPr>
        <w:t>Patients with 3 or more comorbidities had 97% (96%-97%) more face to face GP consultations than patients without comorbidities.</w:t>
      </w:r>
    </w:p>
    <w:p w14:paraId="427DF32E" w14:textId="77777777" w:rsidR="00A51C1A" w:rsidRPr="00B01754" w:rsidRDefault="00A51C1A" w:rsidP="00234D8F">
      <w:pPr>
        <w:spacing w:after="0" w:line="360" w:lineRule="auto"/>
        <w:jc w:val="both"/>
        <w:rPr>
          <w:rFonts w:ascii="Calibri" w:eastAsia="Times New Roman" w:hAnsi="Calibri" w:cs="Times New Roman"/>
          <w:bCs/>
          <w:color w:val="000000" w:themeColor="text1"/>
          <w:lang w:eastAsia="en-GB"/>
        </w:rPr>
      </w:pPr>
    </w:p>
    <w:p w14:paraId="74E714C2" w14:textId="77777777" w:rsidR="00A51C1A" w:rsidRPr="00B01754" w:rsidRDefault="00A51C1A" w:rsidP="00234D8F">
      <w:pPr>
        <w:spacing w:after="0" w:line="360" w:lineRule="auto"/>
        <w:jc w:val="both"/>
        <w:rPr>
          <w:rFonts w:ascii="Calibri" w:eastAsia="Times New Roman" w:hAnsi="Calibri" w:cs="Times New Roman"/>
          <w:b/>
          <w:bCs/>
          <w:color w:val="000000" w:themeColor="text1"/>
          <w:lang w:eastAsia="en-GB"/>
        </w:rPr>
      </w:pPr>
      <w:r w:rsidRPr="00B01754">
        <w:rPr>
          <w:rFonts w:ascii="Calibri" w:eastAsia="Times New Roman" w:hAnsi="Calibri" w:cs="Times New Roman"/>
          <w:b/>
          <w:bCs/>
          <w:color w:val="000000" w:themeColor="text1"/>
          <w:lang w:eastAsia="en-GB"/>
        </w:rPr>
        <w:t xml:space="preserve">Temporal trends in face to face consultations </w:t>
      </w:r>
    </w:p>
    <w:p w14:paraId="601449A4" w14:textId="77777777" w:rsidR="00A51C1A" w:rsidRPr="00B01754" w:rsidRDefault="00A51C1A" w:rsidP="00234D8F">
      <w:pPr>
        <w:spacing w:after="0" w:line="360" w:lineRule="auto"/>
        <w:jc w:val="both"/>
        <w:rPr>
          <w:rFonts w:ascii="Calibri" w:eastAsia="Times New Roman" w:hAnsi="Calibri" w:cs="Times New Roman"/>
          <w:bCs/>
          <w:color w:val="000000" w:themeColor="text1"/>
          <w:lang w:eastAsia="en-GB"/>
        </w:rPr>
      </w:pPr>
      <w:r w:rsidRPr="00B01754">
        <w:rPr>
          <w:rFonts w:ascii="Calibri" w:eastAsia="Times New Roman" w:hAnsi="Calibri" w:cs="Times New Roman"/>
          <w:bCs/>
          <w:color w:val="000000" w:themeColor="text1"/>
          <w:lang w:eastAsia="en-GB"/>
        </w:rPr>
        <w:t>Adjusting for age and sex, the annual face to face consultation rate decreased for all comorbidity groups. The adjusted consultation rate changed by an average -3.3% (-4.4% to -2.3%) per year from 2000 to 2018 for patients without comorbidities, compared to -2.7% (-4.0% to -1.3%) for 1 comorbidity, -2.2% (-3.3% to -1.2%) for 2 comorbidities, and -4.3% (-8.7% to +0.3%) for 3 or more comorbidities (</w:t>
      </w:r>
      <w:r w:rsidRPr="00B01754">
        <w:rPr>
          <w:rFonts w:ascii="Calibri" w:eastAsia="Times New Roman" w:hAnsi="Calibri" w:cs="Times New Roman"/>
          <w:b/>
          <w:bCs/>
          <w:color w:val="000000" w:themeColor="text1"/>
          <w:lang w:eastAsia="en-GB"/>
        </w:rPr>
        <w:t>Figure 1</w:t>
      </w:r>
      <w:r w:rsidRPr="00B01754">
        <w:rPr>
          <w:rFonts w:ascii="Calibri" w:eastAsia="Times New Roman" w:hAnsi="Calibri" w:cs="Times New Roman"/>
          <w:bCs/>
          <w:color w:val="000000" w:themeColor="text1"/>
          <w:lang w:eastAsia="en-GB"/>
        </w:rPr>
        <w:t xml:space="preserve">). </w:t>
      </w:r>
    </w:p>
    <w:p w14:paraId="0559F977" w14:textId="77777777" w:rsidR="00A51C1A" w:rsidRPr="00B01754" w:rsidRDefault="00A51C1A" w:rsidP="00234D8F">
      <w:pPr>
        <w:spacing w:after="0" w:line="360" w:lineRule="auto"/>
        <w:jc w:val="both"/>
        <w:rPr>
          <w:rFonts w:ascii="Calibri" w:eastAsia="Times New Roman" w:hAnsi="Calibri" w:cs="Times New Roman"/>
          <w:bCs/>
          <w:color w:val="000000" w:themeColor="text1"/>
          <w:lang w:eastAsia="en-GB"/>
        </w:rPr>
      </w:pPr>
    </w:p>
    <w:p w14:paraId="67C3F862" w14:textId="77777777" w:rsidR="00A51C1A" w:rsidRPr="00B01754" w:rsidRDefault="00A51C1A" w:rsidP="00234D8F">
      <w:pPr>
        <w:spacing w:after="0" w:line="360" w:lineRule="auto"/>
        <w:jc w:val="both"/>
        <w:rPr>
          <w:rFonts w:ascii="Calibri" w:eastAsia="Times New Roman" w:hAnsi="Calibri" w:cs="Times New Roman"/>
          <w:bCs/>
          <w:color w:val="000000" w:themeColor="text1"/>
          <w:lang w:eastAsia="en-GB"/>
        </w:rPr>
      </w:pPr>
      <w:r w:rsidRPr="00B01754">
        <w:rPr>
          <w:rFonts w:ascii="Calibri" w:eastAsia="Times New Roman" w:hAnsi="Calibri" w:cs="Times New Roman"/>
          <w:bCs/>
          <w:color w:val="000000" w:themeColor="text1"/>
          <w:lang w:eastAsia="en-GB"/>
        </w:rPr>
        <w:t xml:space="preserve">The age-sex adjusted consultation rate was unstable for patients with 3 or more comorbidities during 2000. This is primarily due to the small amount of person-time in one of the age-sex strata (females age 55-64, </w:t>
      </w:r>
      <w:r w:rsidRPr="00B01754">
        <w:rPr>
          <w:rFonts w:ascii="Calibri" w:eastAsia="Times New Roman" w:hAnsi="Calibri" w:cs="Times New Roman"/>
          <w:b/>
          <w:bCs/>
          <w:color w:val="000000" w:themeColor="text1"/>
          <w:lang w:eastAsia="en-GB"/>
        </w:rPr>
        <w:t>Supplementary Table 4</w:t>
      </w:r>
      <w:r w:rsidRPr="00B01754">
        <w:rPr>
          <w:rFonts w:ascii="Calibri" w:eastAsia="Times New Roman" w:hAnsi="Calibri" w:cs="Times New Roman"/>
          <w:bCs/>
          <w:color w:val="000000" w:themeColor="text1"/>
          <w:lang w:eastAsia="en-GB"/>
        </w:rPr>
        <w:t xml:space="preserve">).  </w:t>
      </w:r>
    </w:p>
    <w:p w14:paraId="641CC39B" w14:textId="77777777" w:rsidR="00A51C1A" w:rsidRPr="00B01754" w:rsidRDefault="00A51C1A" w:rsidP="00234D8F">
      <w:pPr>
        <w:spacing w:after="0" w:line="360" w:lineRule="auto"/>
        <w:jc w:val="both"/>
        <w:rPr>
          <w:rFonts w:ascii="Calibri" w:eastAsia="Times New Roman" w:hAnsi="Calibri" w:cs="Times New Roman"/>
          <w:bCs/>
          <w:color w:val="000000" w:themeColor="text1"/>
          <w:lang w:eastAsia="en-GB"/>
        </w:rPr>
      </w:pPr>
    </w:p>
    <w:p w14:paraId="3E8902C0" w14:textId="77777777" w:rsidR="00A51C1A" w:rsidRPr="00B01754" w:rsidRDefault="00A51C1A" w:rsidP="00234D8F">
      <w:pPr>
        <w:spacing w:after="0" w:line="360" w:lineRule="auto"/>
        <w:jc w:val="both"/>
        <w:rPr>
          <w:rFonts w:ascii="Calibri" w:eastAsia="Times New Roman" w:hAnsi="Calibri" w:cs="Times New Roman"/>
          <w:b/>
          <w:bCs/>
          <w:color w:val="000000" w:themeColor="text1"/>
          <w:lang w:eastAsia="en-GB"/>
        </w:rPr>
      </w:pPr>
      <w:r w:rsidRPr="00B01754">
        <w:rPr>
          <w:rFonts w:ascii="Calibri" w:eastAsia="Times New Roman" w:hAnsi="Calibri" w:cs="Times New Roman"/>
          <w:b/>
          <w:bCs/>
          <w:color w:val="000000" w:themeColor="text1"/>
          <w:lang w:eastAsia="en-GB"/>
        </w:rPr>
        <w:t>Estimated costs for face to face consultations</w:t>
      </w:r>
    </w:p>
    <w:p w14:paraId="293B59BE" w14:textId="77777777" w:rsidR="00A51C1A" w:rsidRPr="00B01754" w:rsidRDefault="00A51C1A" w:rsidP="00234D8F">
      <w:pPr>
        <w:spacing w:after="0" w:line="360" w:lineRule="auto"/>
        <w:jc w:val="both"/>
        <w:rPr>
          <w:rFonts w:ascii="Calibri" w:eastAsia="Times New Roman" w:hAnsi="Calibri" w:cs="Times New Roman"/>
          <w:bCs/>
          <w:color w:val="000000" w:themeColor="text1"/>
          <w:lang w:eastAsia="en-GB"/>
        </w:rPr>
      </w:pPr>
      <w:r w:rsidRPr="00B01754">
        <w:rPr>
          <w:rFonts w:ascii="Calibri" w:eastAsia="Times New Roman" w:hAnsi="Calibri" w:cs="Times New Roman"/>
          <w:bCs/>
          <w:color w:val="000000" w:themeColor="text1"/>
          <w:lang w:eastAsia="en-GB"/>
        </w:rPr>
        <w:t>The mean annual inflation-adjusted cost for face to face consultations was £412.70 per patient without comorbidities, compared to £516.80 for 1 comorbidity, £620.75 for 2 comorbidities, and £778.83 for 3 or more comorbidities (</w:t>
      </w:r>
      <w:r w:rsidRPr="00B01754">
        <w:rPr>
          <w:rFonts w:ascii="Calibri" w:eastAsia="Times New Roman" w:hAnsi="Calibri" w:cs="Times New Roman"/>
          <w:b/>
          <w:bCs/>
          <w:color w:val="000000" w:themeColor="text1"/>
          <w:lang w:eastAsia="en-GB"/>
        </w:rPr>
        <w:t>Table 3</w:t>
      </w:r>
      <w:r w:rsidRPr="00B01754">
        <w:rPr>
          <w:rFonts w:ascii="Calibri" w:eastAsia="Times New Roman" w:hAnsi="Calibri" w:cs="Times New Roman"/>
          <w:bCs/>
          <w:color w:val="000000" w:themeColor="text1"/>
          <w:lang w:eastAsia="en-GB"/>
        </w:rPr>
        <w:t xml:space="preserve">).  Because costs were reported for different lengths of consultations depending on year, the face to face consultation costs increased from 2006-2007 and decreased from 2015-2016. </w:t>
      </w:r>
    </w:p>
    <w:p w14:paraId="64EE8744" w14:textId="77777777" w:rsidR="00A51C1A" w:rsidRPr="00B01754" w:rsidRDefault="00A51C1A" w:rsidP="00234D8F">
      <w:pPr>
        <w:spacing w:after="0" w:line="360" w:lineRule="auto"/>
        <w:jc w:val="both"/>
        <w:rPr>
          <w:rFonts w:ascii="Calibri" w:eastAsia="Times New Roman" w:hAnsi="Calibri" w:cs="Times New Roman"/>
          <w:bCs/>
          <w:color w:val="000000" w:themeColor="text1"/>
          <w:lang w:eastAsia="en-GB"/>
        </w:rPr>
      </w:pPr>
    </w:p>
    <w:p w14:paraId="2DC83337" w14:textId="77777777" w:rsidR="00A51C1A" w:rsidRPr="00B01754" w:rsidRDefault="00A51C1A" w:rsidP="00234D8F">
      <w:pPr>
        <w:spacing w:after="0" w:line="360" w:lineRule="auto"/>
        <w:jc w:val="both"/>
        <w:rPr>
          <w:rFonts w:ascii="Calibri" w:eastAsia="Times New Roman" w:hAnsi="Calibri" w:cs="Times New Roman"/>
          <w:b/>
          <w:bCs/>
          <w:color w:val="000000" w:themeColor="text1"/>
          <w:lang w:eastAsia="en-GB"/>
        </w:rPr>
      </w:pPr>
      <w:r w:rsidRPr="00B01754">
        <w:rPr>
          <w:rFonts w:ascii="Calibri" w:eastAsia="Times New Roman" w:hAnsi="Calibri" w:cs="Times New Roman"/>
          <w:b/>
          <w:bCs/>
          <w:color w:val="000000" w:themeColor="text1"/>
          <w:lang w:eastAsia="en-GB"/>
        </w:rPr>
        <w:t>Telephone consultations</w:t>
      </w:r>
    </w:p>
    <w:p w14:paraId="746193F4" w14:textId="77777777" w:rsidR="00A51C1A" w:rsidRPr="00B01754" w:rsidRDefault="00A51C1A" w:rsidP="00234D8F">
      <w:pPr>
        <w:spacing w:after="0" w:line="360" w:lineRule="auto"/>
        <w:jc w:val="both"/>
        <w:rPr>
          <w:rFonts w:ascii="Calibri" w:hAnsi="Calibri"/>
          <w:color w:val="000000" w:themeColor="text1"/>
          <w:lang w:val="en-US"/>
        </w:rPr>
      </w:pPr>
      <w:r w:rsidRPr="00B01754">
        <w:rPr>
          <w:rFonts w:ascii="Calibri" w:eastAsia="Times New Roman" w:hAnsi="Calibri" w:cs="Times New Roman"/>
          <w:bCs/>
          <w:color w:val="000000" w:themeColor="text1"/>
          <w:lang w:eastAsia="en-GB"/>
        </w:rPr>
        <w:t xml:space="preserve">There were a total of </w:t>
      </w:r>
      <w:r w:rsidRPr="00B01754">
        <w:rPr>
          <w:rFonts w:ascii="Calibri" w:hAnsi="Calibri"/>
          <w:color w:val="000000" w:themeColor="text1"/>
          <w:lang w:val="en-US"/>
        </w:rPr>
        <w:t xml:space="preserve">557,004 telephone </w:t>
      </w:r>
      <w:r w:rsidRPr="00B01754">
        <w:rPr>
          <w:rFonts w:ascii="Calibri" w:eastAsia="Times New Roman" w:hAnsi="Calibri" w:cs="Times New Roman"/>
          <w:bCs/>
          <w:color w:val="000000" w:themeColor="text1"/>
          <w:lang w:eastAsia="en-GB"/>
        </w:rPr>
        <w:t xml:space="preserve">consultations included, resulting in a total crude rate of 0.8 (0.8-0.8) telephone consultations per p-y. </w:t>
      </w:r>
      <w:r w:rsidRPr="00B01754">
        <w:rPr>
          <w:rFonts w:ascii="Calibri" w:hAnsi="Calibri"/>
          <w:color w:val="000000" w:themeColor="text1"/>
          <w:lang w:val="en-US"/>
        </w:rPr>
        <w:t xml:space="preserve">The most common type of telephone consultation was a call to the patient (65.3% of telephone consultations) followed by a call from the patient (34.5% of telephone consultations). </w:t>
      </w:r>
      <w:r w:rsidRPr="00B01754">
        <w:rPr>
          <w:rFonts w:ascii="Calibri" w:eastAsia="Times New Roman" w:hAnsi="Calibri" w:cs="Times New Roman"/>
          <w:bCs/>
          <w:color w:val="000000" w:themeColor="text1"/>
          <w:lang w:eastAsia="en-GB"/>
        </w:rPr>
        <w:t xml:space="preserve">The crude telephone consultation rate increased with the number of comorbidities. The rate for patients without comorbidities was 0.6 (0.6-0.6) per p-y, compared to 0.9 (0.9-0.9) for 1 comorbidity, 1.2 (1.2-1.2) for 2 comorbidities, and 1.7 (1.7-1.8) for 3 or more comorbidities.  The majority of telephone consultations were with a GP (83.6% of telephone consultations). Similar to face to face consultations, patients with more comorbidities had more consultations with a GP than a nurse; 80.6% of telephone consultations for patients without </w:t>
      </w:r>
      <w:r w:rsidRPr="00B01754">
        <w:rPr>
          <w:rFonts w:ascii="Calibri" w:eastAsia="Times New Roman" w:hAnsi="Calibri" w:cs="Times New Roman"/>
          <w:bCs/>
          <w:color w:val="000000" w:themeColor="text1"/>
          <w:lang w:eastAsia="en-GB"/>
        </w:rPr>
        <w:lastRenderedPageBreak/>
        <w:t xml:space="preserve">comorbidities were with a GP, compared to 83.8% for 1 comorbidity, 85.7% for 2 comorbidities, and 87.4% for 3 or more comorbidities. Patients with 3 or more comorbidities had telephone consultations at three times the rate of patients without comorbidities (rate ratio 3.05 [3.02-3.08]). While the annual crude rate of face to face consultations decreased over time for the entire cohort, the annual crude rate of telephone consultations increased 51%, from 0.6 (0.6-0.7) per p-y in 2000 to 0.9 (0.9-0.9) per p-y in 2018. </w:t>
      </w:r>
    </w:p>
    <w:p w14:paraId="5E75E2B6" w14:textId="77777777" w:rsidR="00A51C1A" w:rsidRPr="00B01754" w:rsidRDefault="00A51C1A" w:rsidP="00234D8F">
      <w:pPr>
        <w:spacing w:after="0" w:line="360" w:lineRule="auto"/>
        <w:jc w:val="both"/>
        <w:rPr>
          <w:rFonts w:ascii="Calibri" w:eastAsia="Times New Roman" w:hAnsi="Calibri" w:cs="Times New Roman"/>
          <w:bCs/>
          <w:color w:val="000000" w:themeColor="text1"/>
          <w:lang w:eastAsia="en-GB"/>
        </w:rPr>
      </w:pPr>
    </w:p>
    <w:p w14:paraId="6B874FAF" w14:textId="77777777" w:rsidR="00A51C1A" w:rsidRPr="00B01754" w:rsidRDefault="00A51C1A" w:rsidP="00234D8F">
      <w:pPr>
        <w:spacing w:after="0" w:line="360" w:lineRule="auto"/>
        <w:jc w:val="both"/>
        <w:rPr>
          <w:rFonts w:ascii="Calibri" w:eastAsia="Times New Roman" w:hAnsi="Calibri" w:cs="Times New Roman"/>
          <w:bCs/>
          <w:color w:val="000000" w:themeColor="text1"/>
          <w:lang w:eastAsia="en-GB"/>
        </w:rPr>
      </w:pPr>
    </w:p>
    <w:p w14:paraId="4108D82C" w14:textId="77777777" w:rsidR="00A51C1A" w:rsidRPr="00B01754" w:rsidRDefault="00A51C1A" w:rsidP="00234D8F">
      <w:pPr>
        <w:rPr>
          <w:rFonts w:ascii="Calibri" w:eastAsia="Times New Roman" w:hAnsi="Calibri" w:cs="Times New Roman"/>
          <w:bCs/>
          <w:color w:val="000000" w:themeColor="text1"/>
          <w:lang w:eastAsia="en-GB"/>
        </w:rPr>
      </w:pPr>
    </w:p>
    <w:p w14:paraId="0B59E388" w14:textId="77777777" w:rsidR="00A51C1A" w:rsidRPr="00B01754" w:rsidRDefault="00A51C1A">
      <w:pPr>
        <w:rPr>
          <w:b/>
          <w:color w:val="000000" w:themeColor="text1"/>
          <w:sz w:val="30"/>
          <w:szCs w:val="30"/>
        </w:rPr>
      </w:pPr>
      <w:r w:rsidRPr="00B01754">
        <w:rPr>
          <w:b/>
          <w:color w:val="000000" w:themeColor="text1"/>
          <w:sz w:val="30"/>
          <w:szCs w:val="30"/>
        </w:rPr>
        <w:br w:type="page"/>
      </w:r>
    </w:p>
    <w:p w14:paraId="127AA031" w14:textId="77777777" w:rsidR="00A51C1A" w:rsidRPr="00B01754" w:rsidRDefault="00A51C1A" w:rsidP="00234D8F">
      <w:pPr>
        <w:spacing w:after="120" w:line="360" w:lineRule="auto"/>
        <w:jc w:val="both"/>
        <w:rPr>
          <w:b/>
          <w:color w:val="000000" w:themeColor="text1"/>
          <w:sz w:val="30"/>
          <w:szCs w:val="30"/>
        </w:rPr>
      </w:pPr>
      <w:r w:rsidRPr="00B01754">
        <w:rPr>
          <w:b/>
          <w:color w:val="000000" w:themeColor="text1"/>
          <w:sz w:val="30"/>
          <w:szCs w:val="30"/>
        </w:rPr>
        <w:lastRenderedPageBreak/>
        <w:t>CONCLUSION</w:t>
      </w:r>
    </w:p>
    <w:p w14:paraId="05602BBB" w14:textId="77777777" w:rsidR="00A51C1A" w:rsidRPr="00B01754" w:rsidRDefault="00A51C1A" w:rsidP="00234D8F">
      <w:pPr>
        <w:spacing w:after="120" w:line="360" w:lineRule="auto"/>
        <w:jc w:val="both"/>
        <w:rPr>
          <w:rFonts w:cstheme="minorHAnsi"/>
          <w:color w:val="000000" w:themeColor="text1"/>
        </w:rPr>
      </w:pPr>
      <w:r w:rsidRPr="00B01754">
        <w:rPr>
          <w:rFonts w:cstheme="minorHAnsi"/>
          <w:color w:val="000000" w:themeColor="text1"/>
        </w:rPr>
        <w:t>This study highlights the high burden of comorbidities in patients with T2DM, with implications for health service delivery and utilization.  Patients with T2DM and comorbidity had an increased rate of face to face primary care consultations compared to patients without comorbidities. Patients with 3 or more comorbidities had 18.7 face to face and 1.7 telephone consultations annually. In comparison, patients without comorbidities had 10.3 face to face and 0.6 telephone consultations annually. From a patient perspective, the increased consultation rate for comorbidities represents a major burden that includes missing work and other commitments, increased likelihood of missed appointments, interruption to continuity of care, greater susceptibility to failures of coordination, and adds to diabetes-related distress.</w:t>
      </w:r>
      <w:r w:rsidRPr="00B01754">
        <w:rPr>
          <w:rFonts w:cstheme="minorHAnsi"/>
          <w:noProof/>
          <w:color w:val="000000" w:themeColor="text1"/>
        </w:rPr>
        <w:t>(19-21)</w:t>
      </w:r>
      <w:r w:rsidRPr="00B01754">
        <w:rPr>
          <w:rFonts w:cstheme="minorHAnsi"/>
          <w:color w:val="000000" w:themeColor="text1"/>
        </w:rPr>
        <w:t xml:space="preserve">  From a healthcare cost perspective, the annual consultation cost for a patient with 3 or more comorbidities is 1.9 times higher than that for a patient without comorbidities. </w:t>
      </w:r>
      <w:r w:rsidRPr="00B01754">
        <w:rPr>
          <w:rFonts w:ascii="Calibri" w:eastAsia="Times New Roman" w:hAnsi="Calibri" w:cs="Times New Roman"/>
          <w:bCs/>
          <w:color w:val="000000" w:themeColor="text1"/>
          <w:lang w:eastAsia="en-GB"/>
        </w:rPr>
        <w:t xml:space="preserve">Additionally, patients with more comorbidities were more likely to see a GP than a nurse, which is more costly per consultation. </w:t>
      </w:r>
      <w:r w:rsidRPr="00B01754">
        <w:rPr>
          <w:rFonts w:cstheme="minorHAnsi"/>
          <w:color w:val="000000" w:themeColor="text1"/>
        </w:rPr>
        <w:t xml:space="preserve">This study also indicates that as of 2018 telephone consultations are becoming a common means to consult with a nurse or GP.  Further, during the recent COVID-19 pandemic, the rate of telephone consultations eclipsed face to face consultations, a trend we expect will continue moving forward. To our knowledge, this study represents the first large-scale quantification of primary care utilization in relation to comorbidities in this patient group. </w:t>
      </w:r>
      <w:r w:rsidR="00A2145B" w:rsidRPr="00B01754">
        <w:rPr>
          <w:rFonts w:cstheme="minorHAnsi"/>
          <w:color w:val="000000" w:themeColor="text1"/>
        </w:rPr>
        <w:t xml:space="preserve">Additionally, utilization estimates are contemporary and reflect the changing profile of T2DM patients from 2000 to present. T2DM patients are presenting more frequently with multiple conditions. </w:t>
      </w:r>
      <w:r w:rsidRPr="00B01754">
        <w:rPr>
          <w:rFonts w:cstheme="minorHAnsi"/>
          <w:color w:val="000000" w:themeColor="text1"/>
        </w:rPr>
        <w:t xml:space="preserve">Further research is necessary to determine the most cost effective and efficient modality to manage patients with T2DM and comorbidities. </w:t>
      </w:r>
    </w:p>
    <w:p w14:paraId="557A53B0" w14:textId="77777777" w:rsidR="00A51C1A" w:rsidRPr="00B01754" w:rsidRDefault="00A51C1A" w:rsidP="00234D8F">
      <w:pPr>
        <w:spacing w:after="120" w:line="360" w:lineRule="auto"/>
        <w:jc w:val="both"/>
        <w:rPr>
          <w:rFonts w:cstheme="minorHAnsi"/>
          <w:color w:val="000000" w:themeColor="text1"/>
        </w:rPr>
      </w:pPr>
    </w:p>
    <w:p w14:paraId="50E96DF7" w14:textId="77777777" w:rsidR="00A51C1A" w:rsidRPr="00B01754" w:rsidRDefault="00A51C1A" w:rsidP="00234D8F">
      <w:pPr>
        <w:spacing w:after="120" w:line="360" w:lineRule="auto"/>
        <w:jc w:val="both"/>
        <w:rPr>
          <w:rFonts w:cstheme="minorHAnsi"/>
          <w:color w:val="000000" w:themeColor="text1"/>
        </w:rPr>
      </w:pPr>
      <w:r w:rsidRPr="00B01754">
        <w:rPr>
          <w:color w:val="000000" w:themeColor="text1"/>
        </w:rPr>
        <w:t>Struijs</w:t>
      </w:r>
      <w:r w:rsidRPr="00B01754">
        <w:rPr>
          <w:rFonts w:cstheme="minorHAnsi"/>
          <w:color w:val="000000" w:themeColor="text1"/>
        </w:rPr>
        <w:t xml:space="preserve"> </w:t>
      </w:r>
      <w:r w:rsidRPr="00B01754">
        <w:rPr>
          <w:rFonts w:cstheme="minorHAnsi"/>
          <w:i/>
          <w:color w:val="000000" w:themeColor="text1"/>
        </w:rPr>
        <w:t>et al</w:t>
      </w:r>
      <w:r w:rsidRPr="00B01754">
        <w:rPr>
          <w:rFonts w:cstheme="minorHAnsi"/>
          <w:color w:val="000000" w:themeColor="text1"/>
        </w:rPr>
        <w:t xml:space="preserve">. showed in patients with diabetes, comorbidities increased medical care utilization, including primary care, specialty care, hospital admission, as well as prescriptions (22). The findings from </w:t>
      </w:r>
      <w:r w:rsidRPr="00B01754">
        <w:rPr>
          <w:color w:val="000000" w:themeColor="text1"/>
        </w:rPr>
        <w:t>Struijs</w:t>
      </w:r>
      <w:r w:rsidRPr="00B01754">
        <w:rPr>
          <w:rFonts w:cstheme="minorHAnsi"/>
          <w:color w:val="000000" w:themeColor="text1"/>
        </w:rPr>
        <w:t xml:space="preserve"> </w:t>
      </w:r>
      <w:r w:rsidRPr="00B01754">
        <w:rPr>
          <w:rFonts w:cstheme="minorHAnsi"/>
          <w:i/>
          <w:color w:val="000000" w:themeColor="text1"/>
        </w:rPr>
        <w:t>et al</w:t>
      </w:r>
      <w:r w:rsidRPr="00B01754">
        <w:rPr>
          <w:rFonts w:cstheme="minorHAnsi"/>
          <w:color w:val="000000" w:themeColor="text1"/>
        </w:rPr>
        <w:t>. combined with our study challenge the single-disease framework used for the majority of healthcare planning, delivery, and research to date.</w:t>
      </w:r>
      <w:r w:rsidRPr="00B01754">
        <w:rPr>
          <w:rFonts w:cstheme="minorHAnsi"/>
          <w:noProof/>
          <w:color w:val="000000" w:themeColor="text1"/>
        </w:rPr>
        <w:t>(23)</w:t>
      </w:r>
      <w:r w:rsidRPr="00B01754">
        <w:rPr>
          <w:rFonts w:cstheme="minorHAnsi"/>
          <w:color w:val="000000" w:themeColor="text1"/>
        </w:rPr>
        <w:t xml:space="preserve"> Due to workload issues, many GPs restrict consultations to a single healthcare issue.</w:t>
      </w:r>
      <w:r w:rsidRPr="00B01754">
        <w:rPr>
          <w:rFonts w:cstheme="minorHAnsi"/>
          <w:noProof/>
          <w:color w:val="000000" w:themeColor="text1"/>
        </w:rPr>
        <w:t>(24)</w:t>
      </w:r>
      <w:r w:rsidRPr="00B01754">
        <w:rPr>
          <w:rFonts w:cstheme="minorHAnsi"/>
          <w:color w:val="000000" w:themeColor="text1"/>
        </w:rPr>
        <w:t xml:space="preserve"> While this may be effective for most patients, the result is fragmented, costly, and ineffective care for patients with T2DM and comorbidities.  In order to provide comprehensive care, patients may need to be seen less often for larger blocks of time. Evidence from this study indicates that primary care services may be already adapting to this model. We found that the rate of consultations for all T2DM patients decreased significantly from 2000 to 2018. This mirrors a finding from a study among commercially insured adults in the United States that found primary care visits decreased 24.2% between 2008 and 2016.</w:t>
      </w:r>
      <w:r w:rsidRPr="00B01754">
        <w:rPr>
          <w:rFonts w:cstheme="minorHAnsi"/>
          <w:noProof/>
          <w:color w:val="000000" w:themeColor="text1"/>
        </w:rPr>
        <w:t>(25)</w:t>
      </w:r>
      <w:r w:rsidRPr="00B01754">
        <w:rPr>
          <w:rFonts w:cstheme="minorHAnsi"/>
          <w:color w:val="000000" w:themeColor="text1"/>
        </w:rPr>
        <w:t xml:space="preserve"> Further research </w:t>
      </w:r>
      <w:r w:rsidRPr="00B01754">
        <w:rPr>
          <w:rFonts w:cstheme="minorHAnsi"/>
          <w:color w:val="000000" w:themeColor="text1"/>
        </w:rPr>
        <w:lastRenderedPageBreak/>
        <w:t>is needed on the structure and length of these less frequent consultations to determine if they are meeting patient needs.</w:t>
      </w:r>
    </w:p>
    <w:p w14:paraId="262C6D35" w14:textId="77777777" w:rsidR="00A51C1A" w:rsidRPr="00B01754" w:rsidRDefault="00A51C1A" w:rsidP="00234D8F">
      <w:pPr>
        <w:spacing w:after="120" w:line="360" w:lineRule="auto"/>
        <w:jc w:val="both"/>
        <w:rPr>
          <w:rFonts w:cstheme="minorHAnsi"/>
          <w:color w:val="000000" w:themeColor="text1"/>
        </w:rPr>
      </w:pPr>
    </w:p>
    <w:p w14:paraId="116640E1" w14:textId="77777777" w:rsidR="00A51C1A" w:rsidRPr="00B01754" w:rsidRDefault="00A51C1A" w:rsidP="00234D8F">
      <w:pPr>
        <w:spacing w:after="120" w:line="360" w:lineRule="auto"/>
        <w:jc w:val="both"/>
        <w:rPr>
          <w:rFonts w:cstheme="minorHAnsi"/>
          <w:color w:val="000000" w:themeColor="text1"/>
        </w:rPr>
      </w:pPr>
      <w:r w:rsidRPr="00B01754">
        <w:rPr>
          <w:rFonts w:cstheme="minorHAnsi"/>
          <w:color w:val="000000" w:themeColor="text1"/>
        </w:rPr>
        <w:t>In most primary care centres in the UK, the process management of most chronic diseases on the Quality and Outcomes Framework, the UK pay-for-performance scheme in primary care, is led by nurses.</w:t>
      </w:r>
      <w:r w:rsidRPr="00B01754">
        <w:rPr>
          <w:rFonts w:cstheme="minorHAnsi"/>
          <w:noProof/>
          <w:color w:val="000000" w:themeColor="text1"/>
        </w:rPr>
        <w:t>(26)</w:t>
      </w:r>
      <w:r w:rsidRPr="00B01754">
        <w:rPr>
          <w:rFonts w:cstheme="minorHAnsi"/>
          <w:color w:val="000000" w:themeColor="text1"/>
        </w:rPr>
        <w:t xml:space="preserve"> A comprehensive whole-patient-oriented nurse review in longer consultation periods could address comorbidities and risk factor management in addition to T2DM. In a study in Australia with a median follow up of over 2 years, a nurse led consultation in primary care resulted in significant decreases in HbA1c, LDL and systolic blood pressure levels and this remained low in the last half year of follow up.</w:t>
      </w:r>
      <w:r w:rsidRPr="00B01754">
        <w:rPr>
          <w:rFonts w:cstheme="minorHAnsi"/>
          <w:noProof/>
          <w:color w:val="000000" w:themeColor="text1"/>
        </w:rPr>
        <w:t>(27)</w:t>
      </w:r>
      <w:r w:rsidRPr="00B01754">
        <w:rPr>
          <w:rFonts w:cstheme="minorHAnsi"/>
          <w:color w:val="000000" w:themeColor="text1"/>
        </w:rPr>
        <w:t xml:space="preserve"> An increase in GP, ophthalmologist and dietician visits in this study calls for a primary care model for managing T2DM that utilises multidisciplinary teams in order to maintain sustained cost effective outcomes. </w:t>
      </w:r>
    </w:p>
    <w:p w14:paraId="1AD3BB2D" w14:textId="77777777" w:rsidR="00A51C1A" w:rsidRPr="00B01754" w:rsidRDefault="00A51C1A" w:rsidP="00234D8F">
      <w:pPr>
        <w:spacing w:after="120" w:line="360" w:lineRule="auto"/>
        <w:jc w:val="both"/>
        <w:rPr>
          <w:rFonts w:cstheme="minorHAnsi"/>
          <w:color w:val="000000" w:themeColor="text1"/>
        </w:rPr>
      </w:pPr>
    </w:p>
    <w:p w14:paraId="47C0731B" w14:textId="6F83D1EC" w:rsidR="00A51C1A" w:rsidRPr="00B01754" w:rsidRDefault="00A51C1A" w:rsidP="00234D8F">
      <w:pPr>
        <w:spacing w:after="120" w:line="360" w:lineRule="auto"/>
        <w:jc w:val="both"/>
        <w:rPr>
          <w:color w:val="000000" w:themeColor="text1"/>
        </w:rPr>
      </w:pPr>
      <w:r w:rsidRPr="00B01754">
        <w:rPr>
          <w:color w:val="000000" w:themeColor="text1"/>
        </w:rPr>
        <w:t>There is no current standard set of conditions, diseases, or criteria to identify comorbidities, though a number have been proposed.</w:t>
      </w:r>
      <w:r w:rsidR="0050400D" w:rsidRPr="00B01754">
        <w:rPr>
          <w:noProof/>
          <w:color w:val="000000" w:themeColor="text1"/>
        </w:rPr>
        <w:t>(7</w:t>
      </w:r>
      <w:r w:rsidRPr="00B01754">
        <w:rPr>
          <w:noProof/>
          <w:color w:val="000000" w:themeColor="text1"/>
        </w:rPr>
        <w:t>, 22, 28-30)</w:t>
      </w:r>
      <w:r w:rsidRPr="00B01754">
        <w:rPr>
          <w:color w:val="000000" w:themeColor="text1"/>
        </w:rPr>
        <w:t xml:space="preserve"> Therefore, the first step to developing an evidence base for care of patients affected by concurrent chronic conditions is establishing a standard measure of comorbidities. Our analysis of a large, nationally representative primary care dataset shows that the risk profile for comorbidities in people with T2DM must be revised. While it was previously thought that the number of comorbidities was closely related to old age, our study found that approximately </w:t>
      </w:r>
      <w:r w:rsidRPr="00B01754">
        <w:rPr>
          <w:rFonts w:ascii="Calibri" w:eastAsia="Times New Roman" w:hAnsi="Calibri" w:cs="Times New Roman"/>
          <w:bCs/>
          <w:color w:val="000000" w:themeColor="text1"/>
          <w:lang w:eastAsia="en-GB"/>
        </w:rPr>
        <w:t>1 in 4</w:t>
      </w:r>
      <w:r w:rsidRPr="00B01754">
        <w:rPr>
          <w:color w:val="000000" w:themeColor="text1"/>
        </w:rPr>
        <w:t xml:space="preserve"> patients younger than 40 and 1 in 3 patients younger than 65 had comorbidity at the time they were diagnosed with T2DM.</w:t>
      </w:r>
      <w:r w:rsidR="0050400D" w:rsidRPr="00B01754">
        <w:rPr>
          <w:noProof/>
          <w:color w:val="000000" w:themeColor="text1"/>
        </w:rPr>
        <w:t>(4, 7</w:t>
      </w:r>
      <w:r w:rsidRPr="00B01754">
        <w:rPr>
          <w:noProof/>
          <w:color w:val="000000" w:themeColor="text1"/>
        </w:rPr>
        <w:t>)</w:t>
      </w:r>
      <w:r w:rsidRPr="00B01754">
        <w:rPr>
          <w:color w:val="000000" w:themeColor="text1"/>
        </w:rPr>
        <w:t xml:space="preserve"> This supports that comorbidity risk should be assessed in all patients with T2DM, regardless of age.    </w:t>
      </w:r>
    </w:p>
    <w:p w14:paraId="3D0CB0C5" w14:textId="77777777" w:rsidR="00A51C1A" w:rsidRPr="00B01754" w:rsidRDefault="00A51C1A" w:rsidP="00234D8F">
      <w:pPr>
        <w:spacing w:after="120" w:line="360" w:lineRule="auto"/>
        <w:jc w:val="both"/>
        <w:rPr>
          <w:rFonts w:cstheme="minorHAnsi"/>
          <w:color w:val="000000" w:themeColor="text1"/>
        </w:rPr>
      </w:pPr>
    </w:p>
    <w:p w14:paraId="2AE646DD" w14:textId="77777777" w:rsidR="00A51C1A" w:rsidRPr="00B01754" w:rsidRDefault="00A51C1A" w:rsidP="00234D8F">
      <w:pPr>
        <w:spacing w:after="120" w:line="360" w:lineRule="auto"/>
        <w:jc w:val="both"/>
        <w:rPr>
          <w:rFonts w:cstheme="minorHAnsi"/>
          <w:color w:val="000000" w:themeColor="text1"/>
        </w:rPr>
      </w:pPr>
      <w:r w:rsidRPr="00B01754">
        <w:rPr>
          <w:rFonts w:cstheme="minorHAnsi"/>
          <w:color w:val="000000" w:themeColor="text1"/>
        </w:rPr>
        <w:t>This study has several limitations and strengths. Because we used routinely collected primary care data, some comorbidities may be under-recorded. However, the majority of comorbidities in this study are included in the Quality Outcomes Framework incentive programme, so it is likely that comorbidities were comprehensively recorded.</w:t>
      </w:r>
      <w:r w:rsidRPr="00B01754">
        <w:rPr>
          <w:rFonts w:cstheme="minorHAnsi"/>
          <w:noProof/>
          <w:color w:val="000000" w:themeColor="text1"/>
        </w:rPr>
        <w:t>(31)</w:t>
      </w:r>
      <w:r w:rsidRPr="00B01754">
        <w:rPr>
          <w:rFonts w:cstheme="minorHAnsi"/>
          <w:color w:val="000000" w:themeColor="text1"/>
        </w:rPr>
        <w:t xml:space="preserve"> This study used a count of comorbidities, weighting all equally, though the severity and combinations of comorbidities likely varied. Several assumptions were made for this study as there were challenges with data quality surrounding the way consultations are recorded in the CPRD.  Since consultation length is not well recorded, we are unable to calculate costs based on duration. Therefore, we had to rely on reported unit costs based on mean consultation time, which fluctuated over the course of the study. The estimated costs are for nurse and GP face to face consultations only and do not take into account secondary and tertiary care </w:t>
      </w:r>
      <w:r w:rsidRPr="00B01754">
        <w:rPr>
          <w:rFonts w:cstheme="minorHAnsi"/>
          <w:color w:val="000000" w:themeColor="text1"/>
        </w:rPr>
        <w:lastRenderedPageBreak/>
        <w:t xml:space="preserve">resources and other healthcare costs like prescriptions, tests, or procedures.  Additionally, more than 10 million face to face non-nurse and non-GP consultations were excluded from this study. The majority of these consultations were with administrative staff, but some included healthcare professionals such as pharmacist, dietician, or phlebotomist.  Therefore, costs are most certainly an underestimate. Finally, unit costs were not available for nurse telephone consultations or GP telephone consultations from 2015-2018. Therefore, only costs for face to face consultations were estimated. However, telephone consultations comprised a relatively small proportion of total consultations (&lt;6.3%). This study also has several strengths. It includes a large representative cohort with sufficient follow up to examine changes in clinical practice over two decades. Additionally, the long-term follow up and statistical methods used allowed examination of changes in consultation rates in real time as patients developed additional comorbidities. </w:t>
      </w:r>
    </w:p>
    <w:p w14:paraId="5F396932" w14:textId="77777777" w:rsidR="00A51C1A" w:rsidRPr="00B01754" w:rsidRDefault="00A51C1A" w:rsidP="00234D8F">
      <w:pPr>
        <w:spacing w:after="120" w:line="360" w:lineRule="auto"/>
        <w:jc w:val="both"/>
        <w:rPr>
          <w:rFonts w:cstheme="minorHAnsi"/>
          <w:color w:val="000000" w:themeColor="text1"/>
        </w:rPr>
      </w:pPr>
    </w:p>
    <w:p w14:paraId="558D44A8" w14:textId="4C1F0DB8" w:rsidR="0078015A" w:rsidRPr="00B01754" w:rsidRDefault="00E4170E" w:rsidP="0078015A">
      <w:pPr>
        <w:spacing w:after="120" w:line="360" w:lineRule="auto"/>
        <w:jc w:val="both"/>
        <w:rPr>
          <w:rFonts w:cstheme="minorHAnsi"/>
          <w:color w:val="000000" w:themeColor="text1"/>
          <w:shd w:val="clear" w:color="auto" w:fill="FFFFFF"/>
        </w:rPr>
      </w:pPr>
      <w:r w:rsidRPr="00B01754">
        <w:rPr>
          <w:rFonts w:cstheme="minorHAnsi"/>
          <w:color w:val="000000" w:themeColor="text1"/>
        </w:rPr>
        <w:t>S</w:t>
      </w:r>
      <w:r w:rsidR="00A51C1A" w:rsidRPr="00B01754">
        <w:rPr>
          <w:rFonts w:cstheme="minorHAnsi"/>
          <w:color w:val="000000" w:themeColor="text1"/>
        </w:rPr>
        <w:t>elf-management is an emergent topic in modern diabetes care.</w:t>
      </w:r>
      <w:r w:rsidR="00A51C1A" w:rsidRPr="00B01754">
        <w:rPr>
          <w:rFonts w:cstheme="minorHAnsi"/>
          <w:noProof/>
          <w:color w:val="000000" w:themeColor="text1"/>
        </w:rPr>
        <w:t>(32)</w:t>
      </w:r>
      <w:r w:rsidR="00A51C1A" w:rsidRPr="00B01754">
        <w:rPr>
          <w:rFonts w:cstheme="minorHAnsi"/>
          <w:color w:val="000000" w:themeColor="text1"/>
        </w:rPr>
        <w:t xml:space="preserve">  Primary care providers are no longer the only source for information on management of T2DM. The proliferation of online resources and the increased sophistication and accessibility of health testing technology—including condition specific metrics such as blood-glucose tests and other more general measurements of personal health—have empowered patients to become informed about their disease and take a more active role in its management</w:t>
      </w:r>
      <w:r w:rsidR="00A51C1A" w:rsidRPr="00B01754">
        <w:rPr>
          <w:rFonts w:cstheme="minorHAnsi"/>
          <w:color w:val="000000" w:themeColor="text1"/>
          <w:shd w:val="clear" w:color="auto" w:fill="FFFFFF"/>
        </w:rPr>
        <w:t>.</w:t>
      </w:r>
      <w:r w:rsidR="00A51C1A" w:rsidRPr="00B01754">
        <w:rPr>
          <w:rFonts w:cstheme="minorHAnsi"/>
          <w:noProof/>
          <w:color w:val="000000" w:themeColor="text1"/>
          <w:shd w:val="clear" w:color="auto" w:fill="FFFFFF"/>
        </w:rPr>
        <w:t>(33)</w:t>
      </w:r>
      <w:r w:rsidR="00A51C1A" w:rsidRPr="00B01754">
        <w:rPr>
          <w:rFonts w:cstheme="minorHAnsi"/>
          <w:color w:val="000000" w:themeColor="text1"/>
          <w:shd w:val="clear" w:color="auto" w:fill="FFFFFF"/>
        </w:rPr>
        <w:t xml:space="preserve">   </w:t>
      </w:r>
      <w:r w:rsidRPr="00B01754">
        <w:rPr>
          <w:rFonts w:cstheme="minorHAnsi"/>
          <w:color w:val="000000" w:themeColor="text1"/>
          <w:shd w:val="clear" w:color="auto" w:fill="FFFFFF"/>
        </w:rPr>
        <w:t>Additionally</w:t>
      </w:r>
      <w:r w:rsidR="00A51C1A" w:rsidRPr="00B01754">
        <w:rPr>
          <w:rFonts w:cstheme="minorHAnsi"/>
          <w:color w:val="000000" w:themeColor="text1"/>
          <w:shd w:val="clear" w:color="auto" w:fill="FFFFFF"/>
        </w:rPr>
        <w:t>, structured education programmes have the potential to allow patients to effectively self-manage T2DM and reduce consultation rates.</w:t>
      </w:r>
      <w:r w:rsidR="00A51C1A" w:rsidRPr="00B01754">
        <w:rPr>
          <w:rFonts w:cstheme="minorHAnsi"/>
          <w:noProof/>
          <w:color w:val="000000" w:themeColor="text1"/>
          <w:shd w:val="clear" w:color="auto" w:fill="FFFFFF"/>
        </w:rPr>
        <w:t>(34)</w:t>
      </w:r>
      <w:r w:rsidR="00A51C1A" w:rsidRPr="00B01754">
        <w:rPr>
          <w:rFonts w:cstheme="minorHAnsi"/>
          <w:color w:val="000000" w:themeColor="text1"/>
          <w:shd w:val="clear" w:color="auto" w:fill="FFFFFF"/>
        </w:rPr>
        <w:t xml:space="preserve"> This could reduce the economic impact of the disease on the healthcare system</w:t>
      </w:r>
      <w:r w:rsidR="004E76AB" w:rsidRPr="00B01754">
        <w:rPr>
          <w:rFonts w:cstheme="minorHAnsi"/>
          <w:color w:val="000000" w:themeColor="text1"/>
          <w:shd w:val="clear" w:color="auto" w:fill="FFFFFF"/>
        </w:rPr>
        <w:t>,</w:t>
      </w:r>
      <w:r w:rsidR="00736158" w:rsidRPr="00B01754">
        <w:rPr>
          <w:rFonts w:cstheme="minorHAnsi"/>
          <w:color w:val="000000" w:themeColor="text1"/>
          <w:shd w:val="clear" w:color="auto" w:fill="FFFFFF"/>
        </w:rPr>
        <w:t xml:space="preserve"> which was estimated to be </w:t>
      </w:r>
      <w:r w:rsidR="004E76AB" w:rsidRPr="00B01754">
        <w:rPr>
          <w:color w:val="000000" w:themeColor="text1"/>
        </w:rPr>
        <w:t>£11.94 billion</w:t>
      </w:r>
      <w:r w:rsidR="00736158" w:rsidRPr="00B01754">
        <w:rPr>
          <w:color w:val="000000" w:themeColor="text1"/>
        </w:rPr>
        <w:t xml:space="preserve"> </w:t>
      </w:r>
      <w:r w:rsidR="0050400D" w:rsidRPr="00B01754">
        <w:rPr>
          <w:color w:val="000000" w:themeColor="text1"/>
        </w:rPr>
        <w:t>annually</w:t>
      </w:r>
      <w:r w:rsidR="004E76AB" w:rsidRPr="00B01754">
        <w:rPr>
          <w:color w:val="000000" w:themeColor="text1"/>
        </w:rPr>
        <w:t xml:space="preserve"> and </w:t>
      </w:r>
      <w:r w:rsidR="0078015A" w:rsidRPr="00B01754">
        <w:rPr>
          <w:rFonts w:cstheme="minorHAnsi"/>
          <w:color w:val="000000" w:themeColor="text1"/>
          <w:shd w:val="clear" w:color="auto" w:fill="FFFFFF"/>
        </w:rPr>
        <w:t>increasing.</w:t>
      </w:r>
      <w:r w:rsidR="008A43D8" w:rsidRPr="00B01754">
        <w:rPr>
          <w:rFonts w:cstheme="minorHAnsi"/>
          <w:color w:val="000000" w:themeColor="text1"/>
          <w:shd w:val="clear" w:color="auto" w:fill="FFFFFF"/>
        </w:rPr>
        <w:t>(35)</w:t>
      </w:r>
      <w:r w:rsidR="0078015A" w:rsidRPr="00B01754">
        <w:rPr>
          <w:rFonts w:cstheme="minorHAnsi"/>
          <w:color w:val="000000" w:themeColor="text1"/>
          <w:shd w:val="clear" w:color="auto" w:fill="FFFFFF"/>
        </w:rPr>
        <w:t xml:space="preserve"> A 2017 study found that since 2012, costs for diabetes have increased in part to increased prevalence, but also due to a 13% increase in the cost per patient. Restructuring how patients with uncomplicated T2DM are managed could combat this ri</w:t>
      </w:r>
      <w:r w:rsidR="008A43D8" w:rsidRPr="00B01754">
        <w:rPr>
          <w:rFonts w:cstheme="minorHAnsi"/>
          <w:color w:val="000000" w:themeColor="text1"/>
          <w:shd w:val="clear" w:color="auto" w:fill="FFFFFF"/>
        </w:rPr>
        <w:t>se in per-patient costs</w:t>
      </w:r>
      <w:r w:rsidR="0078015A" w:rsidRPr="00B01754">
        <w:rPr>
          <w:rFonts w:cstheme="minorHAnsi"/>
          <w:color w:val="000000" w:themeColor="text1"/>
          <w:shd w:val="clear" w:color="auto" w:fill="FFFFFF"/>
        </w:rPr>
        <w:t>.</w:t>
      </w:r>
      <w:r w:rsidR="008A43D8" w:rsidRPr="00B01754">
        <w:rPr>
          <w:rFonts w:cstheme="minorHAnsi"/>
          <w:color w:val="000000" w:themeColor="text1"/>
          <w:shd w:val="clear" w:color="auto" w:fill="FFFFFF"/>
        </w:rPr>
        <w:t>(36)</w:t>
      </w:r>
      <w:r w:rsidR="0078015A" w:rsidRPr="00B01754">
        <w:rPr>
          <w:rFonts w:cstheme="minorHAnsi"/>
          <w:color w:val="000000" w:themeColor="text1"/>
          <w:shd w:val="clear" w:color="auto" w:fill="FFFFFF"/>
        </w:rPr>
        <w:t xml:space="preserve">  Though</w:t>
      </w:r>
      <w:r w:rsidR="00A51C1A" w:rsidRPr="00B01754">
        <w:rPr>
          <w:rFonts w:cstheme="minorHAnsi"/>
          <w:color w:val="000000" w:themeColor="text1"/>
          <w:shd w:val="clear" w:color="auto" w:fill="FFFFFF"/>
        </w:rPr>
        <w:t xml:space="preserve">, management of T2DM is progressively more complex where comorbidities and polypharmacy are present.  </w:t>
      </w:r>
    </w:p>
    <w:p w14:paraId="2E24EA63" w14:textId="77777777" w:rsidR="0078015A" w:rsidRPr="00B01754" w:rsidRDefault="0078015A" w:rsidP="005C2A3D">
      <w:pPr>
        <w:spacing w:after="120" w:line="360" w:lineRule="auto"/>
        <w:jc w:val="both"/>
        <w:rPr>
          <w:rFonts w:cstheme="minorHAnsi"/>
          <w:color w:val="000000" w:themeColor="text1"/>
          <w:shd w:val="clear" w:color="auto" w:fill="FFFFFF"/>
        </w:rPr>
      </w:pPr>
    </w:p>
    <w:p w14:paraId="388585FF" w14:textId="2D20B57A" w:rsidR="00A51C1A" w:rsidRPr="00B01754" w:rsidRDefault="00A51C1A" w:rsidP="005C2A3D">
      <w:pPr>
        <w:spacing w:after="120" w:line="360" w:lineRule="auto"/>
        <w:jc w:val="both"/>
        <w:rPr>
          <w:rFonts w:cstheme="minorHAnsi"/>
          <w:color w:val="000000" w:themeColor="text1"/>
        </w:rPr>
      </w:pPr>
      <w:r w:rsidRPr="00B01754">
        <w:rPr>
          <w:rFonts w:cstheme="minorHAnsi"/>
          <w:color w:val="000000" w:themeColor="text1"/>
          <w:shd w:val="clear" w:color="auto" w:fill="FFFFFF"/>
        </w:rPr>
        <w:t xml:space="preserve">The findings from our study indicate that although consultation rates for all T2DM patients decreased during the last two decades, patients with T2DM and comorbidities are still seeing their primary care provider more frequently than their counterparts with T2DM without comorbidities.  </w:t>
      </w:r>
      <w:r w:rsidRPr="00B01754">
        <w:rPr>
          <w:rFonts w:cstheme="minorHAnsi"/>
          <w:color w:val="000000" w:themeColor="text1"/>
        </w:rPr>
        <w:t xml:space="preserve">In order to reduce costly in person consultations with GPs, support should be provided for self-management of T2DM and comorbidities, complemented by telephone consultations and in person consultations with practice nurses.  </w:t>
      </w:r>
      <w:r w:rsidR="00213E27" w:rsidRPr="00B01754">
        <w:rPr>
          <w:rFonts w:cstheme="minorHAnsi"/>
          <w:color w:val="000000" w:themeColor="text1"/>
        </w:rPr>
        <w:t>When a patient is diagnosed with T2DM, t</w:t>
      </w:r>
      <w:r w:rsidR="00E4170E" w:rsidRPr="00B01754">
        <w:rPr>
          <w:rFonts w:cstheme="minorHAnsi"/>
          <w:color w:val="000000" w:themeColor="text1"/>
        </w:rPr>
        <w:t>he</w:t>
      </w:r>
      <w:r w:rsidR="00736158" w:rsidRPr="00B01754">
        <w:rPr>
          <w:rFonts w:cstheme="minorHAnsi"/>
          <w:color w:val="000000" w:themeColor="text1"/>
        </w:rPr>
        <w:t xml:space="preserve"> primary care team members delivering care </w:t>
      </w:r>
      <w:r w:rsidR="00213E27" w:rsidRPr="00B01754">
        <w:rPr>
          <w:rFonts w:cstheme="minorHAnsi"/>
          <w:color w:val="000000" w:themeColor="text1"/>
        </w:rPr>
        <w:t xml:space="preserve">should develop a personalised </w:t>
      </w:r>
      <w:r w:rsidR="00E4170E" w:rsidRPr="00B01754">
        <w:rPr>
          <w:rFonts w:cstheme="minorHAnsi"/>
          <w:color w:val="000000" w:themeColor="text1"/>
        </w:rPr>
        <w:t>management plan</w:t>
      </w:r>
      <w:r w:rsidR="00213E27" w:rsidRPr="00B01754">
        <w:rPr>
          <w:rFonts w:cstheme="minorHAnsi"/>
          <w:color w:val="000000" w:themeColor="text1"/>
        </w:rPr>
        <w:t xml:space="preserve"> that</w:t>
      </w:r>
      <w:r w:rsidR="005C2A3D" w:rsidRPr="00B01754">
        <w:rPr>
          <w:rFonts w:cstheme="minorHAnsi"/>
          <w:color w:val="000000" w:themeColor="text1"/>
        </w:rPr>
        <w:t xml:space="preserve"> undergoes ongoing review based on new </w:t>
      </w:r>
      <w:r w:rsidR="005C2A3D" w:rsidRPr="00B01754">
        <w:rPr>
          <w:rFonts w:cstheme="minorHAnsi"/>
          <w:color w:val="000000" w:themeColor="text1"/>
        </w:rPr>
        <w:lastRenderedPageBreak/>
        <w:t>diagnoses and</w:t>
      </w:r>
      <w:r w:rsidR="00213E27" w:rsidRPr="00B01754">
        <w:rPr>
          <w:rFonts w:cstheme="minorHAnsi"/>
          <w:color w:val="000000" w:themeColor="text1"/>
        </w:rPr>
        <w:t xml:space="preserve"> </w:t>
      </w:r>
      <w:r w:rsidR="005C2A3D" w:rsidRPr="00B01754">
        <w:rPr>
          <w:rFonts w:cstheme="minorHAnsi"/>
          <w:color w:val="000000" w:themeColor="text1"/>
        </w:rPr>
        <w:t xml:space="preserve">includes a compressive annual or semi-annual review with the GP with day to day monitoring provided by nurses and patients themselves.  </w:t>
      </w:r>
    </w:p>
    <w:p w14:paraId="75725183" w14:textId="77777777" w:rsidR="00A51C1A" w:rsidRPr="00B01754" w:rsidRDefault="00A51C1A">
      <w:pPr>
        <w:rPr>
          <w:b/>
          <w:color w:val="000000" w:themeColor="text1"/>
          <w:sz w:val="30"/>
          <w:szCs w:val="30"/>
        </w:rPr>
      </w:pPr>
    </w:p>
    <w:p w14:paraId="3DAE128A" w14:textId="77777777" w:rsidR="00A51C1A" w:rsidRPr="00B01754" w:rsidRDefault="00A51C1A">
      <w:pPr>
        <w:rPr>
          <w:b/>
          <w:color w:val="000000" w:themeColor="text1"/>
          <w:sz w:val="30"/>
          <w:szCs w:val="30"/>
        </w:rPr>
      </w:pPr>
      <w:r w:rsidRPr="00B01754">
        <w:rPr>
          <w:b/>
          <w:color w:val="000000" w:themeColor="text1"/>
          <w:sz w:val="30"/>
          <w:szCs w:val="30"/>
        </w:rPr>
        <w:br w:type="page"/>
      </w:r>
    </w:p>
    <w:p w14:paraId="5A0A0D06" w14:textId="77777777" w:rsidR="00A51C1A" w:rsidRPr="00B01754" w:rsidRDefault="00A51C1A" w:rsidP="00234D8F">
      <w:pPr>
        <w:spacing w:after="120" w:line="360" w:lineRule="auto"/>
        <w:jc w:val="both"/>
        <w:rPr>
          <w:b/>
          <w:color w:val="000000" w:themeColor="text1"/>
          <w:sz w:val="30"/>
          <w:szCs w:val="30"/>
        </w:rPr>
      </w:pPr>
      <w:r w:rsidRPr="00B01754">
        <w:rPr>
          <w:b/>
          <w:color w:val="000000" w:themeColor="text1"/>
          <w:sz w:val="30"/>
          <w:szCs w:val="30"/>
        </w:rPr>
        <w:lastRenderedPageBreak/>
        <w:t xml:space="preserve">References </w:t>
      </w:r>
    </w:p>
    <w:p w14:paraId="4EA13198" w14:textId="77777777" w:rsidR="00A51C1A" w:rsidRPr="00B01754" w:rsidRDefault="00A51C1A" w:rsidP="00234D8F">
      <w:pPr>
        <w:pStyle w:val="ListParagraph"/>
        <w:numPr>
          <w:ilvl w:val="0"/>
          <w:numId w:val="1"/>
        </w:numPr>
        <w:spacing w:after="0" w:line="240" w:lineRule="auto"/>
        <w:ind w:left="720"/>
        <w:rPr>
          <w:color w:val="000000" w:themeColor="text1"/>
        </w:rPr>
      </w:pPr>
      <w:r w:rsidRPr="00B01754">
        <w:rPr>
          <w:color w:val="000000" w:themeColor="text1"/>
        </w:rPr>
        <w:t>Sancho-Mestre C, Vivas-Consuelo D, Alvis-Estrada L, Romero M, Uso-Talamantes R, Caballer-Tarazona V. Pharmaceutical cost and multimorbidity with type 2 diabetes mellitus using electronic health record data. BMC Health Serv Res. 2016;16(1):394.</w:t>
      </w:r>
    </w:p>
    <w:p w14:paraId="18F87015" w14:textId="77777777" w:rsidR="00A51C1A" w:rsidRPr="00B01754" w:rsidRDefault="00A51C1A" w:rsidP="00234D8F">
      <w:pPr>
        <w:pStyle w:val="ListParagraph"/>
        <w:numPr>
          <w:ilvl w:val="0"/>
          <w:numId w:val="1"/>
        </w:numPr>
        <w:spacing w:after="0" w:line="240" w:lineRule="auto"/>
        <w:ind w:left="720"/>
        <w:rPr>
          <w:color w:val="000000" w:themeColor="text1"/>
        </w:rPr>
      </w:pPr>
      <w:r w:rsidRPr="00B01754">
        <w:rPr>
          <w:color w:val="000000" w:themeColor="text1"/>
        </w:rPr>
        <w:t>Alonso-Moran E, Orueta JF, Fraile Esteban JI, Arteagoitia Axpe JM, Marques Gonzalez ML, Toro Polanco N, et al. The prevalence of diabetes-related complications and multimorbidity in the population with type 2 diabetes mellitus in the Basque Country. BMC Public Health. 2014;14:1059.</w:t>
      </w:r>
    </w:p>
    <w:p w14:paraId="0DF0A3A2" w14:textId="77777777" w:rsidR="00A51C1A" w:rsidRPr="00B01754" w:rsidRDefault="00A51C1A" w:rsidP="00234D8F">
      <w:pPr>
        <w:pStyle w:val="ListParagraph"/>
        <w:numPr>
          <w:ilvl w:val="0"/>
          <w:numId w:val="1"/>
        </w:numPr>
        <w:spacing w:after="0" w:line="240" w:lineRule="auto"/>
        <w:ind w:left="720"/>
        <w:rPr>
          <w:color w:val="000000" w:themeColor="text1"/>
        </w:rPr>
      </w:pPr>
      <w:r w:rsidRPr="00B01754">
        <w:rPr>
          <w:color w:val="000000" w:themeColor="text1"/>
        </w:rPr>
        <w:t>Teljeur C, Smith SM, Paul G, Kelly A, O'Dowd T. Multimorbidity in a cohort of patients with type 2 diabetes. Eur J Gen Pract. 2013;19(1):17-22.</w:t>
      </w:r>
    </w:p>
    <w:p w14:paraId="63C234B2" w14:textId="77777777" w:rsidR="00A51C1A" w:rsidRPr="00B01754" w:rsidRDefault="00A51C1A" w:rsidP="00234D8F">
      <w:pPr>
        <w:pStyle w:val="ListParagraph"/>
        <w:numPr>
          <w:ilvl w:val="0"/>
          <w:numId w:val="1"/>
        </w:numPr>
        <w:spacing w:after="0" w:line="240" w:lineRule="auto"/>
        <w:ind w:left="720"/>
        <w:rPr>
          <w:color w:val="000000" w:themeColor="text1"/>
        </w:rPr>
      </w:pPr>
      <w:r w:rsidRPr="00B01754">
        <w:rPr>
          <w:color w:val="000000" w:themeColor="text1"/>
        </w:rPr>
        <w:t>Lynch CP, Gebregziabher M, Axon RN, Hunt KE, Payne E, Egede LE. Geographic and racial/ethnic variations in patterns of multimorbidity burden in patients with type 2 diabetes. J Gen Intern Med. 2015;30(1):25-32.</w:t>
      </w:r>
    </w:p>
    <w:p w14:paraId="2C6C8F5F" w14:textId="77777777" w:rsidR="00A51C1A" w:rsidRPr="00B01754" w:rsidRDefault="00A51C1A" w:rsidP="00234D8F">
      <w:pPr>
        <w:pStyle w:val="ListParagraph"/>
        <w:numPr>
          <w:ilvl w:val="0"/>
          <w:numId w:val="1"/>
        </w:numPr>
        <w:spacing w:after="0" w:line="240" w:lineRule="auto"/>
        <w:ind w:left="720"/>
        <w:rPr>
          <w:color w:val="000000" w:themeColor="text1"/>
        </w:rPr>
      </w:pPr>
      <w:r w:rsidRPr="00B01754">
        <w:rPr>
          <w:color w:val="000000" w:themeColor="text1"/>
        </w:rPr>
        <w:t>Chiang JI, Jani BD, Mair FS, Nicholl BI, Furler J, O'Neal D, et al. Associations between multimorbidity, all-cause mortality and glycaemia in people with type 2 diabetes: A systematic review. PLoS One. 2018;13(12):e0209585.</w:t>
      </w:r>
    </w:p>
    <w:p w14:paraId="5BC4E8E8" w14:textId="77777777" w:rsidR="00A51C1A" w:rsidRPr="00B01754" w:rsidRDefault="00A51C1A" w:rsidP="00234D8F">
      <w:pPr>
        <w:pStyle w:val="ListParagraph"/>
        <w:numPr>
          <w:ilvl w:val="0"/>
          <w:numId w:val="1"/>
        </w:numPr>
        <w:spacing w:after="0" w:line="240" w:lineRule="auto"/>
        <w:ind w:left="720"/>
        <w:rPr>
          <w:color w:val="000000" w:themeColor="text1"/>
        </w:rPr>
      </w:pPr>
      <w:r w:rsidRPr="00B01754">
        <w:rPr>
          <w:color w:val="000000" w:themeColor="text1"/>
        </w:rPr>
        <w:t>El-Kebbi IM, Ziemer DC, Cook CB, Miller CD, Gallina DL, Phillips LS. Comorbidity and glycemic control in patients with type 2 diabetes. Arch Intern Med. 2001;161(10):1295-300.</w:t>
      </w:r>
    </w:p>
    <w:p w14:paraId="2C27EB5E" w14:textId="77777777" w:rsidR="00A51C1A" w:rsidRPr="00B01754" w:rsidRDefault="00A51C1A" w:rsidP="00234D8F">
      <w:pPr>
        <w:pStyle w:val="ListParagraph"/>
        <w:numPr>
          <w:ilvl w:val="0"/>
          <w:numId w:val="1"/>
        </w:numPr>
        <w:spacing w:after="0" w:line="240" w:lineRule="auto"/>
        <w:ind w:left="720"/>
        <w:rPr>
          <w:color w:val="000000" w:themeColor="text1"/>
        </w:rPr>
      </w:pPr>
      <w:r w:rsidRPr="00B01754">
        <w:rPr>
          <w:color w:val="000000" w:themeColor="text1"/>
        </w:rPr>
        <w:t>Stafford M, Steventon A, Thorlby R, Fisher R, Turton C, Deeny S. Briefing: Understanding the health care needs of people with multiple health conditions. The Health Foundation, London. 2018.</w:t>
      </w:r>
    </w:p>
    <w:p w14:paraId="127D3BE2" w14:textId="77777777" w:rsidR="00A51C1A" w:rsidRPr="00B01754" w:rsidRDefault="00A51C1A" w:rsidP="00234D8F">
      <w:pPr>
        <w:pStyle w:val="ListParagraph"/>
        <w:numPr>
          <w:ilvl w:val="0"/>
          <w:numId w:val="1"/>
        </w:numPr>
        <w:spacing w:after="0" w:line="240" w:lineRule="auto"/>
        <w:ind w:left="720"/>
        <w:rPr>
          <w:color w:val="000000" w:themeColor="text1"/>
        </w:rPr>
      </w:pPr>
      <w:r w:rsidRPr="00B01754">
        <w:rPr>
          <w:color w:val="000000" w:themeColor="text1"/>
        </w:rPr>
        <w:t>Barker I, Steventon A, Williamson R, Deeny SR. Self-management capability in patients with long-term conditions is associated with reduced healthcare utilisation across a whole health economy: cross-sectional analysis of electronic health records. BMJ Qual Saf. 2018;27(12):989-99.</w:t>
      </w:r>
    </w:p>
    <w:p w14:paraId="696F128F" w14:textId="77777777" w:rsidR="00A51C1A" w:rsidRPr="00B01754" w:rsidRDefault="00A51C1A" w:rsidP="00234D8F">
      <w:pPr>
        <w:pStyle w:val="ListParagraph"/>
        <w:numPr>
          <w:ilvl w:val="0"/>
          <w:numId w:val="1"/>
        </w:numPr>
        <w:spacing w:after="0" w:line="240" w:lineRule="auto"/>
        <w:ind w:left="720"/>
        <w:rPr>
          <w:color w:val="000000" w:themeColor="text1"/>
        </w:rPr>
      </w:pPr>
      <w:r w:rsidRPr="00B01754">
        <w:rPr>
          <w:color w:val="000000" w:themeColor="text1"/>
        </w:rPr>
        <w:t>Roland M, Guthrie B, Thome DC. Primary medical care in the United kingdom. J Am Board Fam Med. 2012;25 Suppl 1:S6-11.</w:t>
      </w:r>
    </w:p>
    <w:p w14:paraId="6527E066" w14:textId="77777777" w:rsidR="00A51C1A" w:rsidRPr="00B01754" w:rsidRDefault="00A51C1A" w:rsidP="00234D8F">
      <w:pPr>
        <w:pStyle w:val="ListParagraph"/>
        <w:numPr>
          <w:ilvl w:val="0"/>
          <w:numId w:val="1"/>
        </w:numPr>
        <w:spacing w:after="0" w:line="240" w:lineRule="auto"/>
        <w:ind w:left="720"/>
        <w:rPr>
          <w:color w:val="000000" w:themeColor="text1"/>
        </w:rPr>
      </w:pPr>
      <w:r w:rsidRPr="00B01754">
        <w:rPr>
          <w:color w:val="000000" w:themeColor="text1"/>
        </w:rPr>
        <w:t>Hex N, Bartlett C, Wright D, Taylor M, Varley D. Estimating the current and future costs of Type 1 and Type 2 diabetes in the UK, including direct health costs and indirect societal and productivity costs. Diabet Med. 2012;29(7):855-62.</w:t>
      </w:r>
    </w:p>
    <w:p w14:paraId="45D88AD6" w14:textId="77777777" w:rsidR="00A51C1A" w:rsidRPr="00B01754" w:rsidRDefault="00A51C1A" w:rsidP="00234D8F">
      <w:pPr>
        <w:pStyle w:val="ListParagraph"/>
        <w:numPr>
          <w:ilvl w:val="0"/>
          <w:numId w:val="1"/>
        </w:numPr>
        <w:spacing w:after="0" w:line="240" w:lineRule="auto"/>
        <w:ind w:left="720"/>
        <w:rPr>
          <w:color w:val="000000" w:themeColor="text1"/>
        </w:rPr>
      </w:pPr>
      <w:r w:rsidRPr="00B01754">
        <w:rPr>
          <w:color w:val="000000" w:themeColor="text1"/>
        </w:rPr>
        <w:t>Zemedikun DT, Gray LJ, Khunti K, Davies MJ, Dhalwani NN. Patterns of Multimorbidity in Middle-Aged and Older Adults: An Analysis of the UK Biobank Data. Mayo Clin Proc. 2018;93(7):857-66.</w:t>
      </w:r>
    </w:p>
    <w:p w14:paraId="1F530F28" w14:textId="77777777" w:rsidR="00A51C1A" w:rsidRPr="00B01754" w:rsidRDefault="00A51C1A" w:rsidP="00234D8F">
      <w:pPr>
        <w:pStyle w:val="ListParagraph"/>
        <w:numPr>
          <w:ilvl w:val="0"/>
          <w:numId w:val="1"/>
        </w:numPr>
        <w:spacing w:after="0" w:line="240" w:lineRule="auto"/>
        <w:ind w:left="720"/>
        <w:rPr>
          <w:color w:val="000000" w:themeColor="text1"/>
        </w:rPr>
      </w:pPr>
      <w:r w:rsidRPr="00B01754">
        <w:rPr>
          <w:noProof/>
          <w:color w:val="000000" w:themeColor="text1"/>
        </w:rPr>
        <w:t>Nowakowska M, Zghebi SS, Ashcroft DM, Buchan I, Chew-Graham C, Holt T, et al. The comorbidity burden of type 2 diabetes mellitus: patterns, clusters and predictions from a large English primary care cohort. BMC Med. 2019;17(1):145.</w:t>
      </w:r>
    </w:p>
    <w:p w14:paraId="009CAEBA" w14:textId="77777777" w:rsidR="0050400D" w:rsidRPr="00B01754" w:rsidRDefault="00A51C1A" w:rsidP="0050400D">
      <w:pPr>
        <w:pStyle w:val="ListParagraph"/>
        <w:numPr>
          <w:ilvl w:val="0"/>
          <w:numId w:val="1"/>
        </w:numPr>
        <w:spacing w:after="0" w:line="240" w:lineRule="auto"/>
        <w:ind w:left="720"/>
        <w:rPr>
          <w:color w:val="000000" w:themeColor="text1"/>
        </w:rPr>
      </w:pPr>
      <w:r w:rsidRPr="00B01754">
        <w:rPr>
          <w:color w:val="000000" w:themeColor="text1"/>
          <w:lang w:val="da-DK"/>
        </w:rPr>
        <w:t xml:space="preserve">Herrett E, Gallagher AM, Bhaskaran K, Forbes H, Mathur R, van Staa T, et al. </w:t>
      </w:r>
      <w:r w:rsidRPr="00B01754">
        <w:rPr>
          <w:color w:val="000000" w:themeColor="text1"/>
        </w:rPr>
        <w:t>Data Resource Profile: Clinical Practice Research Datalink (CPRD). Int J Epidemiol. 2015;44(3):827-36.</w:t>
      </w:r>
    </w:p>
    <w:p w14:paraId="5EF370E9" w14:textId="4198B553" w:rsidR="0050400D" w:rsidRPr="00B01754" w:rsidRDefault="0050400D" w:rsidP="0050400D">
      <w:pPr>
        <w:pStyle w:val="ListParagraph"/>
        <w:numPr>
          <w:ilvl w:val="0"/>
          <w:numId w:val="1"/>
        </w:numPr>
        <w:spacing w:after="0" w:line="240" w:lineRule="auto"/>
        <w:ind w:left="720"/>
        <w:rPr>
          <w:color w:val="000000" w:themeColor="text1"/>
        </w:rPr>
      </w:pPr>
      <w:r w:rsidRPr="00B01754">
        <w:rPr>
          <w:rFonts w:cstheme="minorHAnsi"/>
          <w:color w:val="000000" w:themeColor="text1"/>
          <w:shd w:val="clear" w:color="auto" w:fill="FFFFFF"/>
        </w:rPr>
        <w:t>Charlson M, Szatrowski TP, Peterson J, Gold J. Validation of a combined comorbidity index. </w:t>
      </w:r>
      <w:r w:rsidRPr="00B01754">
        <w:rPr>
          <w:rFonts w:cstheme="minorHAnsi"/>
          <w:i/>
          <w:iCs/>
          <w:color w:val="000000" w:themeColor="text1"/>
          <w:shd w:val="clear" w:color="auto" w:fill="FFFFFF"/>
        </w:rPr>
        <w:t>J Clin Epidemiol</w:t>
      </w:r>
      <w:r w:rsidRPr="00B01754">
        <w:rPr>
          <w:rFonts w:cstheme="minorHAnsi"/>
          <w:color w:val="000000" w:themeColor="text1"/>
          <w:shd w:val="clear" w:color="auto" w:fill="FFFFFF"/>
        </w:rPr>
        <w:t xml:space="preserve">. 1994;47(11):1245-1251. </w:t>
      </w:r>
    </w:p>
    <w:p w14:paraId="5602E791" w14:textId="4FF757E3" w:rsidR="00A51C1A" w:rsidRPr="00B01754" w:rsidRDefault="00A51C1A" w:rsidP="00234D8F">
      <w:pPr>
        <w:pStyle w:val="EndNoteBibliography"/>
        <w:numPr>
          <w:ilvl w:val="0"/>
          <w:numId w:val="1"/>
        </w:numPr>
        <w:spacing w:after="0"/>
        <w:ind w:left="720"/>
        <w:rPr>
          <w:color w:val="000000" w:themeColor="text1"/>
        </w:rPr>
      </w:pPr>
      <w:r w:rsidRPr="00B01754">
        <w:rPr>
          <w:color w:val="000000" w:themeColor="text1"/>
        </w:rPr>
        <w:t xml:space="preserve">Personal Social Services Research Unit. Unit Costs of Health and Social Care. 2020. https://www.pssru.ac.uk/project-pages/unit-costs/ (accessed 10 Jan 2020). </w:t>
      </w:r>
    </w:p>
    <w:p w14:paraId="487A7BC5" w14:textId="77777777" w:rsidR="00A51C1A" w:rsidRPr="00B01754" w:rsidRDefault="00A51C1A" w:rsidP="00234D8F">
      <w:pPr>
        <w:pStyle w:val="EndNoteBibliography"/>
        <w:numPr>
          <w:ilvl w:val="0"/>
          <w:numId w:val="1"/>
        </w:numPr>
        <w:spacing w:after="0"/>
        <w:ind w:left="720"/>
        <w:rPr>
          <w:color w:val="000000" w:themeColor="text1"/>
        </w:rPr>
      </w:pPr>
      <w:r w:rsidRPr="00B01754">
        <w:rPr>
          <w:color w:val="000000" w:themeColor="text1"/>
        </w:rPr>
        <w:t xml:space="preserve">NHS Information Centre. 2006/07 UK General Practice Workload Survey. 2007.  https://files.digital.nhs.uk/publicationimport/pub01xxx/pub01028/gp-work-serv-rep.pdf (accessed 19 Dec 2019). </w:t>
      </w:r>
    </w:p>
    <w:p w14:paraId="1DEB0318" w14:textId="77777777" w:rsidR="00A51C1A" w:rsidRPr="00B01754" w:rsidRDefault="00A51C1A" w:rsidP="00234D8F">
      <w:pPr>
        <w:pStyle w:val="ListParagraph"/>
        <w:numPr>
          <w:ilvl w:val="0"/>
          <w:numId w:val="1"/>
        </w:numPr>
        <w:spacing w:after="0" w:line="240" w:lineRule="auto"/>
        <w:ind w:left="720"/>
        <w:rPr>
          <w:color w:val="000000" w:themeColor="text1"/>
        </w:rPr>
      </w:pPr>
      <w:r w:rsidRPr="00B01754">
        <w:rPr>
          <w:color w:val="000000" w:themeColor="text1"/>
        </w:rPr>
        <w:t>Office for National Statistics. Inflation and price indices. 2019. https://www.ons.gov.uk/economy/inflationandpriceindices (accessed 19 Dec 2019).</w:t>
      </w:r>
    </w:p>
    <w:p w14:paraId="5BE270FB" w14:textId="77777777" w:rsidR="00A51C1A" w:rsidRPr="00B01754" w:rsidRDefault="00A51C1A" w:rsidP="00234D8F">
      <w:pPr>
        <w:pStyle w:val="ListParagraph"/>
        <w:numPr>
          <w:ilvl w:val="0"/>
          <w:numId w:val="1"/>
        </w:numPr>
        <w:spacing w:after="0" w:line="240" w:lineRule="auto"/>
        <w:ind w:left="720"/>
        <w:rPr>
          <w:color w:val="000000" w:themeColor="text1"/>
        </w:rPr>
      </w:pPr>
      <w:r w:rsidRPr="00B01754">
        <w:rPr>
          <w:color w:val="000000" w:themeColor="text1"/>
        </w:rPr>
        <w:t xml:space="preserve">National Cancer Institute. Joinpoint Help Manual 4.7.0.0. 2020. https://surveillance.cancer.gov/html_to_pdf/website_submit/3/ (accessed  10 Jan 2020). </w:t>
      </w:r>
    </w:p>
    <w:p w14:paraId="19152F0B" w14:textId="77777777" w:rsidR="00A51C1A" w:rsidRPr="00B01754" w:rsidRDefault="00A51C1A" w:rsidP="00234D8F">
      <w:pPr>
        <w:pStyle w:val="ListParagraph"/>
        <w:numPr>
          <w:ilvl w:val="0"/>
          <w:numId w:val="1"/>
        </w:numPr>
        <w:spacing w:after="0" w:line="240" w:lineRule="auto"/>
        <w:ind w:left="720"/>
        <w:rPr>
          <w:color w:val="000000" w:themeColor="text1"/>
        </w:rPr>
      </w:pPr>
      <w:r w:rsidRPr="00B01754">
        <w:rPr>
          <w:color w:val="000000" w:themeColor="text1"/>
        </w:rPr>
        <w:lastRenderedPageBreak/>
        <w:t>Cotugno JD, Ferguson M, Harden H, Colquist S, Stack AA, Zimmerman JI, et al. "I wish they could be in my shoes": patients' insights into tertiary health care for type 2 diabetes mellitus. Patient Prefer Adherence. 2015;9:1647-55.</w:t>
      </w:r>
    </w:p>
    <w:p w14:paraId="5CBA7503" w14:textId="77777777" w:rsidR="00A51C1A" w:rsidRPr="00B01754" w:rsidRDefault="00A51C1A" w:rsidP="00234D8F">
      <w:pPr>
        <w:pStyle w:val="ListParagraph"/>
        <w:numPr>
          <w:ilvl w:val="0"/>
          <w:numId w:val="1"/>
        </w:numPr>
        <w:spacing w:after="0" w:line="240" w:lineRule="auto"/>
        <w:ind w:left="720"/>
        <w:rPr>
          <w:rFonts w:cstheme="minorHAnsi"/>
          <w:color w:val="000000" w:themeColor="text1"/>
        </w:rPr>
      </w:pPr>
      <w:r w:rsidRPr="00B01754">
        <w:rPr>
          <w:color w:val="000000" w:themeColor="text1"/>
        </w:rPr>
        <w:t xml:space="preserve">Chew BH, Vos RC, Metzendorf MI, Scholten RJ, Rutten GE. Psychological interventions for diabetes-related distress in adults with type 2 diabetes mellitus. Cochrane Database Syst </w:t>
      </w:r>
      <w:r w:rsidRPr="00B01754">
        <w:rPr>
          <w:rFonts w:cstheme="minorHAnsi"/>
          <w:color w:val="000000" w:themeColor="text1"/>
        </w:rPr>
        <w:t>Rev. 2017;9:CD011469.</w:t>
      </w:r>
    </w:p>
    <w:p w14:paraId="7827E0E2" w14:textId="77777777" w:rsidR="00A51C1A" w:rsidRPr="00B01754" w:rsidRDefault="00A51C1A" w:rsidP="00234D8F">
      <w:pPr>
        <w:pStyle w:val="ListParagraph"/>
        <w:numPr>
          <w:ilvl w:val="0"/>
          <w:numId w:val="1"/>
        </w:numPr>
        <w:spacing w:after="0" w:line="240" w:lineRule="auto"/>
        <w:ind w:left="720"/>
        <w:rPr>
          <w:rFonts w:cstheme="minorHAnsi"/>
          <w:color w:val="000000" w:themeColor="text1"/>
        </w:rPr>
      </w:pPr>
      <w:r w:rsidRPr="00B01754">
        <w:rPr>
          <w:rFonts w:cstheme="minorHAnsi"/>
          <w:color w:val="000000" w:themeColor="text1"/>
        </w:rPr>
        <w:t>Guthrie B, Saultz JW, Freeman GK, Haggerty JL. Continuity of care matters. BMJ. 2008;337:a867.</w:t>
      </w:r>
    </w:p>
    <w:p w14:paraId="2CEB346A" w14:textId="77777777" w:rsidR="00A51C1A" w:rsidRPr="00B01754" w:rsidRDefault="00A51C1A" w:rsidP="00234D8F">
      <w:pPr>
        <w:pStyle w:val="ListParagraph"/>
        <w:numPr>
          <w:ilvl w:val="0"/>
          <w:numId w:val="1"/>
        </w:numPr>
        <w:spacing w:after="0" w:line="240" w:lineRule="auto"/>
        <w:ind w:left="720"/>
        <w:rPr>
          <w:rFonts w:cstheme="minorHAnsi"/>
          <w:color w:val="000000" w:themeColor="text1"/>
        </w:rPr>
      </w:pPr>
      <w:r w:rsidRPr="00B01754">
        <w:rPr>
          <w:rFonts w:cstheme="minorHAnsi"/>
          <w:color w:val="000000" w:themeColor="text1"/>
          <w:shd w:val="clear" w:color="auto" w:fill="FFFFFF"/>
        </w:rPr>
        <w:t>Struijs JN, Baan CA, Schellevis FG, Westert GP, van den Bos GA. Comorbidity in patients with diabetes mellitus: impact on medical health care utilization. </w:t>
      </w:r>
      <w:r w:rsidRPr="00B01754">
        <w:rPr>
          <w:rFonts w:cstheme="minorHAnsi"/>
          <w:i/>
          <w:iCs/>
          <w:color w:val="000000" w:themeColor="text1"/>
          <w:shd w:val="clear" w:color="auto" w:fill="FFFFFF"/>
        </w:rPr>
        <w:t>BMC Health Serv Res</w:t>
      </w:r>
      <w:r w:rsidRPr="00B01754">
        <w:rPr>
          <w:rFonts w:cstheme="minorHAnsi"/>
          <w:color w:val="000000" w:themeColor="text1"/>
          <w:shd w:val="clear" w:color="auto" w:fill="FFFFFF"/>
        </w:rPr>
        <w:t xml:space="preserve">. 2006;6:84. </w:t>
      </w:r>
    </w:p>
    <w:p w14:paraId="56469927" w14:textId="77777777" w:rsidR="00A51C1A" w:rsidRPr="00B01754" w:rsidRDefault="00A51C1A" w:rsidP="00234D8F">
      <w:pPr>
        <w:pStyle w:val="ListParagraph"/>
        <w:numPr>
          <w:ilvl w:val="0"/>
          <w:numId w:val="1"/>
        </w:numPr>
        <w:spacing w:after="0" w:line="240" w:lineRule="auto"/>
        <w:ind w:left="720"/>
        <w:rPr>
          <w:color w:val="000000" w:themeColor="text1"/>
        </w:rPr>
      </w:pPr>
      <w:r w:rsidRPr="00B01754">
        <w:rPr>
          <w:rFonts w:cstheme="minorHAnsi"/>
          <w:color w:val="000000" w:themeColor="text1"/>
        </w:rPr>
        <w:t>Barnett K, Mercer SW, Norbury M, Watt G, Wyke S, Guthrie B. Epidemiology of multimorbidity and implications for health</w:t>
      </w:r>
      <w:r w:rsidRPr="00B01754">
        <w:rPr>
          <w:color w:val="000000" w:themeColor="text1"/>
        </w:rPr>
        <w:t xml:space="preserve"> care, research, and medical education: a cross-sectional study. Lancet. 2012;380(9836):37-43.</w:t>
      </w:r>
    </w:p>
    <w:p w14:paraId="6D6E546B" w14:textId="77777777" w:rsidR="00A51C1A" w:rsidRPr="00B01754" w:rsidRDefault="00A51C1A" w:rsidP="00234D8F">
      <w:pPr>
        <w:pStyle w:val="ListParagraph"/>
        <w:numPr>
          <w:ilvl w:val="0"/>
          <w:numId w:val="1"/>
        </w:numPr>
        <w:spacing w:after="0" w:line="240" w:lineRule="auto"/>
        <w:ind w:left="720"/>
        <w:rPr>
          <w:color w:val="000000" w:themeColor="text1"/>
        </w:rPr>
      </w:pPr>
      <w:r w:rsidRPr="00B01754">
        <w:rPr>
          <w:color w:val="000000" w:themeColor="text1"/>
        </w:rPr>
        <w:t>McCartney M. One problem. Bmj. 2014;348:g3584.</w:t>
      </w:r>
    </w:p>
    <w:p w14:paraId="3CA97240" w14:textId="77777777" w:rsidR="00A51C1A" w:rsidRPr="00B01754" w:rsidRDefault="00A51C1A" w:rsidP="00234D8F">
      <w:pPr>
        <w:pStyle w:val="ListParagraph"/>
        <w:numPr>
          <w:ilvl w:val="0"/>
          <w:numId w:val="1"/>
        </w:numPr>
        <w:spacing w:after="0" w:line="240" w:lineRule="auto"/>
        <w:ind w:left="720"/>
        <w:rPr>
          <w:color w:val="000000" w:themeColor="text1"/>
        </w:rPr>
      </w:pPr>
      <w:r w:rsidRPr="00B01754">
        <w:rPr>
          <w:color w:val="000000" w:themeColor="text1"/>
        </w:rPr>
        <w:t>Ganguli I, Shi Z, Orav EJ, Rao A, Ray KN, Mehrotra A. Declining Use of Primary Care Among Commercially Insured Adults in the United States, 2008–2016. Annals of Internal Medicine. 2020.</w:t>
      </w:r>
    </w:p>
    <w:p w14:paraId="4B90D1F3" w14:textId="77777777" w:rsidR="00A51C1A" w:rsidRPr="00B01754" w:rsidRDefault="00A51C1A" w:rsidP="00234D8F">
      <w:pPr>
        <w:pStyle w:val="EndNoteBibliography"/>
        <w:numPr>
          <w:ilvl w:val="0"/>
          <w:numId w:val="1"/>
        </w:numPr>
        <w:spacing w:after="0"/>
        <w:ind w:left="720"/>
        <w:rPr>
          <w:color w:val="000000" w:themeColor="text1"/>
        </w:rPr>
      </w:pPr>
      <w:r w:rsidRPr="00B01754">
        <w:rPr>
          <w:color w:val="000000" w:themeColor="text1"/>
        </w:rPr>
        <w:t>Ginzburg T, Hoffman R, Azuri J. Improving diabetes control in the community: a nurse managed intervention model in a multidisciplinary clinic. Aust J Adv Nurs. 2017;35(2):23-30.</w:t>
      </w:r>
    </w:p>
    <w:p w14:paraId="0DD322CF" w14:textId="77777777" w:rsidR="00A51C1A" w:rsidRPr="00B01754" w:rsidRDefault="00A51C1A" w:rsidP="00234D8F">
      <w:pPr>
        <w:pStyle w:val="EndNoteBibliography"/>
        <w:numPr>
          <w:ilvl w:val="0"/>
          <w:numId w:val="1"/>
        </w:numPr>
        <w:spacing w:after="0"/>
        <w:ind w:left="720"/>
        <w:rPr>
          <w:color w:val="000000" w:themeColor="text1"/>
        </w:rPr>
      </w:pPr>
      <w:r w:rsidRPr="00B01754">
        <w:rPr>
          <w:color w:val="000000" w:themeColor="text1"/>
        </w:rPr>
        <w:t>Seidu S, Walker NS, Bodicoat DH, Davies MJ, Khunti K. A systematic review of interventions targeting primary care or community based professionals on cardio-metabolic risk factor control in people with diabetes. Diabetes Res Clin Pr. 2016;113:1-13.</w:t>
      </w:r>
    </w:p>
    <w:p w14:paraId="77EB1645" w14:textId="77777777" w:rsidR="00A51C1A" w:rsidRPr="00B01754" w:rsidRDefault="00A51C1A" w:rsidP="00234D8F">
      <w:pPr>
        <w:pStyle w:val="ListParagraph"/>
        <w:numPr>
          <w:ilvl w:val="0"/>
          <w:numId w:val="1"/>
        </w:numPr>
        <w:spacing w:after="0" w:line="240" w:lineRule="auto"/>
        <w:ind w:left="720"/>
        <w:rPr>
          <w:color w:val="000000" w:themeColor="text1"/>
        </w:rPr>
      </w:pPr>
      <w:r w:rsidRPr="00B01754">
        <w:rPr>
          <w:color w:val="000000" w:themeColor="text1"/>
        </w:rPr>
        <w:t>World Health Organization. Multimorbidity: Technical Series on Safer Primary Care. 2016. https://apps.who.int/iris/bitstream/handle/10665/252275/9789241511650-eng.pdf (accessed 19 Dec 2019).</w:t>
      </w:r>
    </w:p>
    <w:p w14:paraId="10C24251" w14:textId="77777777" w:rsidR="00A51C1A" w:rsidRPr="00B01754" w:rsidRDefault="00A51C1A" w:rsidP="00234D8F">
      <w:pPr>
        <w:pStyle w:val="ListParagraph"/>
        <w:numPr>
          <w:ilvl w:val="0"/>
          <w:numId w:val="1"/>
        </w:numPr>
        <w:spacing w:after="0" w:line="240" w:lineRule="auto"/>
        <w:ind w:left="720"/>
        <w:rPr>
          <w:color w:val="000000" w:themeColor="text1"/>
        </w:rPr>
      </w:pPr>
      <w:r w:rsidRPr="00B01754">
        <w:rPr>
          <w:color w:val="000000" w:themeColor="text1"/>
        </w:rPr>
        <w:t>Fortin M, Bravo G, Hudon C, Vanasse A, Lapointe L. Prevalence of multimorbidity among adults seen in family practice. Ann Fam Med. 2005;3(3):223-8.</w:t>
      </w:r>
    </w:p>
    <w:p w14:paraId="0776CA9C" w14:textId="77777777" w:rsidR="00A51C1A" w:rsidRPr="00B01754" w:rsidRDefault="00A51C1A" w:rsidP="00234D8F">
      <w:pPr>
        <w:pStyle w:val="ListParagraph"/>
        <w:numPr>
          <w:ilvl w:val="0"/>
          <w:numId w:val="1"/>
        </w:numPr>
        <w:spacing w:after="0" w:line="240" w:lineRule="auto"/>
        <w:ind w:left="720"/>
        <w:rPr>
          <w:color w:val="000000" w:themeColor="text1"/>
        </w:rPr>
      </w:pPr>
      <w:r w:rsidRPr="00B01754">
        <w:rPr>
          <w:color w:val="000000" w:themeColor="text1"/>
          <w:lang w:val="da-DK"/>
        </w:rPr>
        <w:t xml:space="preserve">van den Akker M, Buntinx F, Metsemakers JF, Roos S, Knottnerus JA. </w:t>
      </w:r>
      <w:r w:rsidRPr="00B01754">
        <w:rPr>
          <w:color w:val="000000" w:themeColor="text1"/>
        </w:rPr>
        <w:t>Multimorbidity in general practice: prevalence, incidence, and determinants of co-occurring chronic and recurrent diseases. J Clin Epidemiol. 1998;51(5):367-75.</w:t>
      </w:r>
    </w:p>
    <w:p w14:paraId="73478A73" w14:textId="77777777" w:rsidR="00A51C1A" w:rsidRPr="00B01754" w:rsidRDefault="00A51C1A" w:rsidP="00234D8F">
      <w:pPr>
        <w:pStyle w:val="ListParagraph"/>
        <w:numPr>
          <w:ilvl w:val="0"/>
          <w:numId w:val="1"/>
        </w:numPr>
        <w:spacing w:after="0" w:line="240" w:lineRule="auto"/>
        <w:ind w:left="720"/>
        <w:rPr>
          <w:color w:val="000000" w:themeColor="text1"/>
        </w:rPr>
      </w:pPr>
      <w:r w:rsidRPr="00B01754">
        <w:rPr>
          <w:color w:val="000000" w:themeColor="text1"/>
        </w:rPr>
        <w:t>Forbes LJ, Marchand C, Doran T, Peckham S. The role of the Quality and Outcomes Framework in the care of long-term conditions: a systematic review. Br J Gen Pract. 2017;67(664):e775-e84.</w:t>
      </w:r>
    </w:p>
    <w:p w14:paraId="1A975E6F" w14:textId="77777777" w:rsidR="00A51C1A" w:rsidRPr="00B01754" w:rsidRDefault="00A51C1A" w:rsidP="00234D8F">
      <w:pPr>
        <w:pStyle w:val="ListParagraph"/>
        <w:numPr>
          <w:ilvl w:val="0"/>
          <w:numId w:val="1"/>
        </w:numPr>
        <w:spacing w:after="0" w:line="240" w:lineRule="auto"/>
        <w:ind w:left="720"/>
        <w:rPr>
          <w:color w:val="000000" w:themeColor="text1"/>
        </w:rPr>
      </w:pPr>
      <w:r w:rsidRPr="00B01754">
        <w:rPr>
          <w:color w:val="000000" w:themeColor="text1"/>
        </w:rPr>
        <w:t>National Institute for Health and Care Excellence. Diabetes in adults Quality standard [QS6]. 2011. https://www.nice.org.uk/guidance/qs6/chapter/Quality-statement-2-Structured-education-programmes-for-adults-with-type-2-diabetes (accessed 19 Dec 2019).</w:t>
      </w:r>
    </w:p>
    <w:p w14:paraId="3C0E7728" w14:textId="77777777" w:rsidR="00A51C1A" w:rsidRPr="00B01754" w:rsidRDefault="00A51C1A" w:rsidP="00234D8F">
      <w:pPr>
        <w:pStyle w:val="ListParagraph"/>
        <w:numPr>
          <w:ilvl w:val="0"/>
          <w:numId w:val="1"/>
        </w:numPr>
        <w:spacing w:after="0" w:line="240" w:lineRule="auto"/>
        <w:ind w:left="720"/>
        <w:rPr>
          <w:color w:val="000000" w:themeColor="text1"/>
        </w:rPr>
      </w:pPr>
      <w:r w:rsidRPr="00B01754">
        <w:rPr>
          <w:color w:val="000000" w:themeColor="text1"/>
        </w:rPr>
        <w:t>Tung EL, Peek ME. Linking community resources in diabetes care: a role for technology? Curr Diab Rep. 2015;15(7):45.</w:t>
      </w:r>
    </w:p>
    <w:p w14:paraId="11FE012A" w14:textId="07BD1A0B" w:rsidR="00A51C1A" w:rsidRPr="00B01754" w:rsidRDefault="00A51C1A" w:rsidP="00234D8F">
      <w:pPr>
        <w:pStyle w:val="ListParagraph"/>
        <w:numPr>
          <w:ilvl w:val="0"/>
          <w:numId w:val="1"/>
        </w:numPr>
        <w:spacing w:after="0" w:line="240" w:lineRule="auto"/>
        <w:ind w:left="720"/>
        <w:rPr>
          <w:rFonts w:cstheme="minorHAnsi"/>
          <w:color w:val="000000" w:themeColor="text1"/>
        </w:rPr>
      </w:pPr>
      <w:r w:rsidRPr="00B01754">
        <w:rPr>
          <w:color w:val="000000" w:themeColor="text1"/>
        </w:rPr>
        <w:t xml:space="preserve">National Institute for Health and Care Excellence. Type 2 diabetes in adults: management. 2019. https://www.nice.org.uk/guidance/ng28/chapter/1-Recommendations (accessed 19 </w:t>
      </w:r>
      <w:r w:rsidRPr="00B01754">
        <w:rPr>
          <w:rFonts w:cstheme="minorHAnsi"/>
          <w:color w:val="000000" w:themeColor="text1"/>
        </w:rPr>
        <w:t>Dec 2019).</w:t>
      </w:r>
    </w:p>
    <w:p w14:paraId="64D7AC26" w14:textId="321CA2A6" w:rsidR="0056684B" w:rsidRPr="00B01754" w:rsidRDefault="0056684B" w:rsidP="0056684B">
      <w:pPr>
        <w:pStyle w:val="ListParagraph"/>
        <w:numPr>
          <w:ilvl w:val="0"/>
          <w:numId w:val="1"/>
        </w:numPr>
        <w:spacing w:after="0" w:line="240" w:lineRule="auto"/>
        <w:ind w:left="709" w:hanging="709"/>
        <w:rPr>
          <w:rFonts w:cstheme="minorHAnsi"/>
          <w:b/>
          <w:color w:val="000000" w:themeColor="text1"/>
        </w:rPr>
      </w:pPr>
      <w:r w:rsidRPr="00B01754">
        <w:rPr>
          <w:rFonts w:cstheme="minorHAnsi"/>
          <w:color w:val="000000" w:themeColor="text1"/>
          <w:shd w:val="clear" w:color="auto" w:fill="FFFFFF"/>
        </w:rPr>
        <w:t xml:space="preserve">Kanavos P, van den Aardweg S, Schurer W. Diabetes expenditure, burden of disease and management in 5 EU countries. LSE Health and Social Care. 2012. </w:t>
      </w:r>
      <w:hyperlink r:id="rId8" w:history="1">
        <w:r w:rsidRPr="00B01754">
          <w:rPr>
            <w:rStyle w:val="Hyperlink"/>
            <w:rFonts w:cstheme="minorHAnsi"/>
            <w:color w:val="000000" w:themeColor="text1"/>
            <w:shd w:val="clear" w:color="auto" w:fill="FFFFFF"/>
          </w:rPr>
          <w:t>https://www.lse.ac.uk/business-and-consultancy/consulting/assets/documents/diabetes-expenditure-burden-of-disease-and-management-in-5-eu-countries.pdf</w:t>
        </w:r>
      </w:hyperlink>
      <w:r w:rsidRPr="00B01754">
        <w:rPr>
          <w:rFonts w:cstheme="minorHAnsi"/>
          <w:color w:val="000000" w:themeColor="text1"/>
          <w:shd w:val="clear" w:color="auto" w:fill="FFFFFF"/>
        </w:rPr>
        <w:t xml:space="preserve"> (accessed 18 Jan 2021). </w:t>
      </w:r>
    </w:p>
    <w:p w14:paraId="587F749C" w14:textId="60420F46" w:rsidR="00A51C1A" w:rsidRPr="00B01754" w:rsidRDefault="00A51C1A" w:rsidP="0056684B">
      <w:pPr>
        <w:pStyle w:val="ListParagraph"/>
        <w:numPr>
          <w:ilvl w:val="0"/>
          <w:numId w:val="1"/>
        </w:numPr>
        <w:spacing w:after="0" w:line="240" w:lineRule="auto"/>
        <w:ind w:left="709" w:hanging="709"/>
        <w:rPr>
          <w:rFonts w:cstheme="minorHAnsi"/>
          <w:b/>
          <w:color w:val="000000" w:themeColor="text1"/>
        </w:rPr>
      </w:pPr>
      <w:r w:rsidRPr="00B01754">
        <w:rPr>
          <w:rFonts w:cstheme="minorHAnsi"/>
          <w:b/>
          <w:color w:val="000000" w:themeColor="text1"/>
        </w:rPr>
        <w:t xml:space="preserve"> </w:t>
      </w:r>
      <w:r w:rsidR="0078015A" w:rsidRPr="00B01754">
        <w:rPr>
          <w:rFonts w:cstheme="minorHAnsi"/>
          <w:color w:val="000000" w:themeColor="text1"/>
          <w:shd w:val="clear" w:color="auto" w:fill="FFFFFF"/>
        </w:rPr>
        <w:t xml:space="preserve">Riddle MC, Herman WH. The Cost of Diabetes Care-An Elephant in the Room. Diabetes Care. 2018 May;41(5):929-932. </w:t>
      </w:r>
    </w:p>
    <w:p w14:paraId="2CA96209" w14:textId="77777777" w:rsidR="00234D8F" w:rsidRDefault="00583BA1" w:rsidP="00583BA1">
      <w:pPr>
        <w:spacing w:after="0" w:line="240" w:lineRule="auto"/>
        <w:rPr>
          <w:rFonts w:cstheme="minorHAnsi"/>
          <w:b/>
          <w:color w:val="000000" w:themeColor="text1"/>
          <w:sz w:val="30"/>
          <w:szCs w:val="30"/>
        </w:rPr>
      </w:pPr>
      <w:bookmarkStart w:id="2" w:name="_GoBack"/>
      <w:bookmarkEnd w:id="2"/>
      <w:r>
        <w:rPr>
          <w:rFonts w:ascii="Arial" w:hAnsi="Arial" w:cs="Arial"/>
          <w:b/>
          <w:color w:val="000000" w:themeColor="text1"/>
          <w:sz w:val="24"/>
          <w:szCs w:val="24"/>
        </w:rPr>
        <w:br w:type="page"/>
      </w:r>
      <w:r w:rsidR="00234D8F" w:rsidRPr="00583BA1">
        <w:rPr>
          <w:rFonts w:cstheme="minorHAnsi"/>
          <w:b/>
          <w:color w:val="000000" w:themeColor="text1"/>
          <w:sz w:val="30"/>
          <w:szCs w:val="30"/>
        </w:rPr>
        <w:lastRenderedPageBreak/>
        <w:t xml:space="preserve">Declarations </w:t>
      </w:r>
    </w:p>
    <w:p w14:paraId="7922B32E" w14:textId="77777777" w:rsidR="00583BA1" w:rsidRPr="00583BA1" w:rsidRDefault="00583BA1" w:rsidP="00583BA1">
      <w:pPr>
        <w:spacing w:after="0" w:line="240" w:lineRule="auto"/>
        <w:rPr>
          <w:rFonts w:cstheme="minorHAnsi"/>
          <w:b/>
          <w:color w:val="000000" w:themeColor="text1"/>
          <w:sz w:val="30"/>
          <w:szCs w:val="30"/>
        </w:rPr>
      </w:pPr>
    </w:p>
    <w:p w14:paraId="4340E997" w14:textId="77777777" w:rsidR="00891344" w:rsidRPr="00A75BE1" w:rsidRDefault="00234D8F" w:rsidP="00AE1997">
      <w:pPr>
        <w:pStyle w:val="NormalWeb"/>
        <w:shd w:val="clear" w:color="auto" w:fill="FCFCFC"/>
        <w:spacing w:before="0" w:beforeAutospacing="0" w:after="0" w:afterAutospacing="0" w:line="360" w:lineRule="auto"/>
        <w:jc w:val="both"/>
        <w:rPr>
          <w:rFonts w:asciiTheme="minorHAnsi" w:hAnsiTheme="minorHAnsi" w:cstheme="minorHAnsi"/>
          <w:color w:val="333333"/>
          <w:sz w:val="22"/>
          <w:szCs w:val="22"/>
        </w:rPr>
      </w:pPr>
      <w:r w:rsidRPr="00A75BE1">
        <w:rPr>
          <w:rStyle w:val="Strong"/>
          <w:rFonts w:asciiTheme="minorHAnsi" w:eastAsiaTheme="majorEastAsia" w:hAnsiTheme="minorHAnsi" w:cstheme="minorHAnsi"/>
          <w:color w:val="333333"/>
          <w:sz w:val="22"/>
          <w:szCs w:val="22"/>
        </w:rPr>
        <w:t>Funding</w:t>
      </w:r>
      <w:r w:rsidR="00891344" w:rsidRPr="00A75BE1">
        <w:rPr>
          <w:rFonts w:asciiTheme="minorHAnsi" w:hAnsiTheme="minorHAnsi" w:cstheme="minorHAnsi"/>
          <w:color w:val="333333"/>
          <w:sz w:val="22"/>
          <w:szCs w:val="22"/>
        </w:rPr>
        <w:t> </w:t>
      </w:r>
    </w:p>
    <w:p w14:paraId="2C4E25B1" w14:textId="77777777" w:rsidR="00891344" w:rsidRPr="00A75BE1" w:rsidRDefault="00891344" w:rsidP="00AE1997">
      <w:pPr>
        <w:spacing w:after="0" w:line="360" w:lineRule="auto"/>
        <w:jc w:val="both"/>
        <w:rPr>
          <w:rFonts w:cstheme="minorHAnsi"/>
          <w:color w:val="000000" w:themeColor="text1"/>
        </w:rPr>
      </w:pPr>
      <w:r w:rsidRPr="00A75BE1">
        <w:rPr>
          <w:rFonts w:cstheme="minorHAnsi"/>
          <w:color w:val="000000" w:themeColor="text1"/>
        </w:rPr>
        <w:t>This study was funded by Novo Nordisk. However, the interpretation and conclusions contained in this article are those of the authors alone.</w:t>
      </w:r>
    </w:p>
    <w:p w14:paraId="4D08B6FD" w14:textId="77777777" w:rsidR="00AE1997" w:rsidRPr="00A75BE1" w:rsidRDefault="00AE1997" w:rsidP="00AE1997">
      <w:pPr>
        <w:pStyle w:val="NormalWeb"/>
        <w:shd w:val="clear" w:color="auto" w:fill="FCFCFC"/>
        <w:spacing w:before="0" w:beforeAutospacing="0" w:after="0" w:afterAutospacing="0" w:line="360" w:lineRule="auto"/>
        <w:jc w:val="both"/>
        <w:rPr>
          <w:rStyle w:val="Strong"/>
          <w:rFonts w:asciiTheme="minorHAnsi" w:eastAsiaTheme="majorEastAsia" w:hAnsiTheme="minorHAnsi" w:cstheme="minorHAnsi"/>
          <w:color w:val="333333"/>
          <w:sz w:val="22"/>
          <w:szCs w:val="22"/>
        </w:rPr>
      </w:pPr>
    </w:p>
    <w:p w14:paraId="6260F0E2" w14:textId="77777777" w:rsidR="00234D8F" w:rsidRPr="00A75BE1" w:rsidRDefault="00234D8F" w:rsidP="00AE1997">
      <w:pPr>
        <w:pStyle w:val="NormalWeb"/>
        <w:shd w:val="clear" w:color="auto" w:fill="FCFCFC"/>
        <w:spacing w:before="0" w:beforeAutospacing="0" w:after="0" w:afterAutospacing="0" w:line="360" w:lineRule="auto"/>
        <w:jc w:val="both"/>
        <w:rPr>
          <w:rFonts w:asciiTheme="minorHAnsi" w:hAnsiTheme="minorHAnsi" w:cstheme="minorHAnsi"/>
          <w:color w:val="333333"/>
          <w:sz w:val="22"/>
          <w:szCs w:val="22"/>
        </w:rPr>
      </w:pPr>
      <w:r w:rsidRPr="00A75BE1">
        <w:rPr>
          <w:rStyle w:val="Strong"/>
          <w:rFonts w:asciiTheme="minorHAnsi" w:eastAsiaTheme="majorEastAsia" w:hAnsiTheme="minorHAnsi" w:cstheme="minorHAnsi"/>
          <w:color w:val="333333"/>
          <w:sz w:val="22"/>
          <w:szCs w:val="22"/>
        </w:rPr>
        <w:t>Conflicts of interest/Competing interests</w:t>
      </w:r>
      <w:r w:rsidRPr="00A75BE1">
        <w:rPr>
          <w:rFonts w:asciiTheme="minorHAnsi" w:hAnsiTheme="minorHAnsi" w:cstheme="minorHAnsi"/>
          <w:color w:val="333333"/>
          <w:sz w:val="22"/>
          <w:szCs w:val="22"/>
        </w:rPr>
        <w:t> </w:t>
      </w:r>
    </w:p>
    <w:p w14:paraId="3C05FA4C" w14:textId="77777777" w:rsidR="00891344" w:rsidRPr="00A75BE1" w:rsidRDefault="00891344" w:rsidP="00AE1997">
      <w:pPr>
        <w:pStyle w:val="Default"/>
        <w:spacing w:line="360" w:lineRule="auto"/>
        <w:jc w:val="both"/>
        <w:rPr>
          <w:rFonts w:asciiTheme="minorHAnsi" w:hAnsiTheme="minorHAnsi" w:cstheme="minorHAnsi"/>
          <w:sz w:val="22"/>
          <w:szCs w:val="22"/>
        </w:rPr>
      </w:pPr>
      <w:r w:rsidRPr="00A75BE1">
        <w:rPr>
          <w:rFonts w:asciiTheme="minorHAnsi" w:hAnsiTheme="minorHAnsi" w:cstheme="minorHAnsi"/>
          <w:sz w:val="22"/>
          <w:szCs w:val="22"/>
        </w:rPr>
        <w:t xml:space="preserve">BC received funding from Novo Nordisk for this study.   FZ is a speaker for Napp Pharmaceuticals. SS </w:t>
      </w:r>
      <w:r w:rsidRPr="00A75BE1">
        <w:rPr>
          <w:rFonts w:asciiTheme="minorHAnsi" w:hAnsiTheme="minorHAnsi" w:cstheme="minorHAnsi"/>
          <w:color w:val="181817"/>
          <w:sz w:val="22"/>
          <w:szCs w:val="22"/>
        </w:rPr>
        <w:t xml:space="preserve">reports personal fees from NAPP, AMGEN, ASTRA ZENECA,  LILLY,  Merck Sharp &amp; Dohme,  Novartis,  Novo Nordisk,  Roche,  Boehringer Ingelheim,   Sanofi-Aventis, and grants from AstraZeneca,  Sanofi-Aventis,  Servier and Janssen,  outside the submitted work. </w:t>
      </w:r>
      <w:r w:rsidRPr="00A75BE1">
        <w:rPr>
          <w:rFonts w:asciiTheme="minorHAnsi" w:hAnsiTheme="minorHAnsi" w:cstheme="minorHAnsi"/>
          <w:sz w:val="22"/>
          <w:szCs w:val="22"/>
        </w:rPr>
        <w:t xml:space="preserve">CLG has none.  </w:t>
      </w:r>
      <w:r w:rsidRPr="00A75BE1">
        <w:rPr>
          <w:rFonts w:asciiTheme="minorHAnsi" w:hAnsiTheme="minorHAnsi" w:cstheme="minorHAnsi"/>
          <w:color w:val="181817"/>
          <w:sz w:val="22"/>
          <w:szCs w:val="22"/>
        </w:rPr>
        <w:t xml:space="preserve">MJD </w:t>
      </w:r>
      <w:r w:rsidRPr="00A75BE1">
        <w:rPr>
          <w:rFonts w:asciiTheme="minorHAnsi" w:hAnsiTheme="minorHAnsi" w:cstheme="minorHAnsi"/>
          <w:sz w:val="22"/>
          <w:szCs w:val="22"/>
        </w:rPr>
        <w:t>has acted as consultant, advisory board member and speaker for Novo Nordisk, Sanofi-Aventis, Lilly, Merck Sharp &amp; Dohme, Boehringer Ingelheim, AstraZeneca and Janssen, an advisory board member for Servier and Gilead Sciences Ltd and as a speaker for NAPP, Mitsubishi Tanabe Pharma Corporation and Takeda Pharmaceuticals International Inc. MJD has received grants in support of investigator and investigator initiated trials from Novo Nordisk, Sanofi-Aventis, Lilly, Boehringer Ingelheim, Astrazeneca and Janssen. CH is a paid employee of Novo Nordisk. KK has received funds for a research programme on multimorbidities. KK is the National Lead for multimorbidities for National Institute for Health Research Applied Research Collaboration.</w:t>
      </w:r>
    </w:p>
    <w:p w14:paraId="4C601A8A" w14:textId="77777777" w:rsidR="00891344" w:rsidRPr="00A75BE1" w:rsidRDefault="00891344" w:rsidP="00AE1997">
      <w:pPr>
        <w:spacing w:after="0" w:line="360" w:lineRule="auto"/>
        <w:jc w:val="both"/>
        <w:rPr>
          <w:rFonts w:cstheme="minorHAnsi"/>
          <w:b/>
        </w:rPr>
      </w:pPr>
    </w:p>
    <w:p w14:paraId="1DE6ED50" w14:textId="77777777" w:rsidR="00891344" w:rsidRPr="00A75BE1" w:rsidRDefault="00234D8F" w:rsidP="00AE1997">
      <w:pPr>
        <w:pStyle w:val="NormalWeb"/>
        <w:shd w:val="clear" w:color="auto" w:fill="FCFCFC"/>
        <w:spacing w:before="0" w:beforeAutospacing="0" w:after="0" w:afterAutospacing="0" w:line="360" w:lineRule="auto"/>
        <w:jc w:val="both"/>
        <w:rPr>
          <w:rFonts w:asciiTheme="minorHAnsi" w:hAnsiTheme="minorHAnsi" w:cstheme="minorHAnsi"/>
          <w:color w:val="333333"/>
          <w:sz w:val="22"/>
          <w:szCs w:val="22"/>
        </w:rPr>
      </w:pPr>
      <w:r w:rsidRPr="00A75BE1">
        <w:rPr>
          <w:rStyle w:val="Strong"/>
          <w:rFonts w:asciiTheme="minorHAnsi" w:eastAsiaTheme="majorEastAsia" w:hAnsiTheme="minorHAnsi" w:cstheme="minorHAnsi"/>
          <w:color w:val="333333"/>
          <w:sz w:val="22"/>
          <w:szCs w:val="22"/>
        </w:rPr>
        <w:t>Ethics approval</w:t>
      </w:r>
      <w:r w:rsidRPr="00A75BE1">
        <w:rPr>
          <w:rFonts w:asciiTheme="minorHAnsi" w:hAnsiTheme="minorHAnsi" w:cstheme="minorHAnsi"/>
          <w:color w:val="333333"/>
          <w:sz w:val="22"/>
          <w:szCs w:val="22"/>
        </w:rPr>
        <w:t> </w:t>
      </w:r>
    </w:p>
    <w:p w14:paraId="3F2ACCFC" w14:textId="77777777" w:rsidR="00AE1997" w:rsidRPr="00A75BE1" w:rsidRDefault="00891344" w:rsidP="00AE1997">
      <w:pPr>
        <w:spacing w:after="0" w:line="360" w:lineRule="auto"/>
        <w:jc w:val="both"/>
        <w:rPr>
          <w:rFonts w:cstheme="minorHAnsi"/>
        </w:rPr>
      </w:pPr>
      <w:r w:rsidRPr="00A75BE1">
        <w:rPr>
          <w:rFonts w:cstheme="minorHAnsi"/>
        </w:rPr>
        <w:t xml:space="preserve">This research was approved by the Independent Scientific Advisory Committee (ISAC) for Medicines and Healthcare products Regulatory Agency Database Research (protocol 19_175). </w:t>
      </w:r>
    </w:p>
    <w:p w14:paraId="6806BEDB" w14:textId="77777777" w:rsidR="00AE1997" w:rsidRPr="00A75BE1" w:rsidRDefault="00AE1997" w:rsidP="00AE1997">
      <w:pPr>
        <w:spacing w:after="0" w:line="360" w:lineRule="auto"/>
        <w:jc w:val="both"/>
        <w:rPr>
          <w:rFonts w:cstheme="minorHAnsi"/>
        </w:rPr>
      </w:pPr>
    </w:p>
    <w:p w14:paraId="65D4B332" w14:textId="77777777" w:rsidR="00234D8F" w:rsidRPr="00A75BE1" w:rsidRDefault="00234D8F" w:rsidP="00AE1997">
      <w:pPr>
        <w:spacing w:after="0" w:line="360" w:lineRule="auto"/>
        <w:jc w:val="both"/>
        <w:rPr>
          <w:rFonts w:cstheme="minorHAnsi"/>
          <w:color w:val="333333"/>
        </w:rPr>
      </w:pPr>
      <w:r w:rsidRPr="00A75BE1">
        <w:rPr>
          <w:rStyle w:val="Strong"/>
          <w:rFonts w:eastAsiaTheme="majorEastAsia" w:cstheme="minorHAnsi"/>
          <w:color w:val="333333"/>
        </w:rPr>
        <w:t>Consent to participate</w:t>
      </w:r>
      <w:r w:rsidRPr="00A75BE1">
        <w:rPr>
          <w:rFonts w:cstheme="minorHAnsi"/>
          <w:color w:val="333333"/>
        </w:rPr>
        <w:t> </w:t>
      </w:r>
    </w:p>
    <w:p w14:paraId="2BEB64A0" w14:textId="77777777" w:rsidR="00AE1997" w:rsidRPr="00A75BE1" w:rsidRDefault="00AE1997" w:rsidP="00AE1997">
      <w:pPr>
        <w:spacing w:after="0" w:line="360" w:lineRule="auto"/>
        <w:jc w:val="both"/>
        <w:rPr>
          <w:rFonts w:cstheme="minorHAnsi"/>
          <w:color w:val="333333"/>
        </w:rPr>
      </w:pPr>
      <w:r w:rsidRPr="00A75BE1">
        <w:rPr>
          <w:rFonts w:cstheme="minorHAnsi"/>
          <w:color w:val="333333"/>
        </w:rPr>
        <w:t>Generic ethical approval for observational research using the CPRD with approval from ISAC has been granted by a Health Research Authority (HRA) Research Ethics Committee</w:t>
      </w:r>
      <w:r w:rsidR="00A75BE1" w:rsidRPr="00A75BE1">
        <w:rPr>
          <w:rFonts w:cstheme="minorHAnsi"/>
          <w:color w:val="333333"/>
        </w:rPr>
        <w:t>. Individual p</w:t>
      </w:r>
      <w:r w:rsidRPr="00A75BE1">
        <w:rPr>
          <w:rFonts w:cstheme="minorHAnsi"/>
          <w:color w:val="333333"/>
        </w:rPr>
        <w:t xml:space="preserve">atient consent is not required. </w:t>
      </w:r>
    </w:p>
    <w:p w14:paraId="00801157" w14:textId="77777777" w:rsidR="00AE1997" w:rsidRPr="00A75BE1" w:rsidRDefault="00AE1997" w:rsidP="00AE1997">
      <w:pPr>
        <w:spacing w:after="0" w:line="360" w:lineRule="auto"/>
        <w:jc w:val="both"/>
        <w:rPr>
          <w:rFonts w:cstheme="minorHAnsi"/>
          <w:color w:val="333333"/>
        </w:rPr>
      </w:pPr>
    </w:p>
    <w:p w14:paraId="4C25E775" w14:textId="77777777" w:rsidR="00AE1997" w:rsidRPr="00A75BE1" w:rsidRDefault="00234D8F" w:rsidP="00AE1997">
      <w:pPr>
        <w:spacing w:after="0" w:line="360" w:lineRule="auto"/>
        <w:jc w:val="both"/>
      </w:pPr>
      <w:r w:rsidRPr="00A75BE1">
        <w:rPr>
          <w:rStyle w:val="Strong"/>
          <w:rFonts w:eastAsiaTheme="majorEastAsia" w:cstheme="minorHAnsi"/>
          <w:color w:val="333333"/>
        </w:rPr>
        <w:t>Consent for publication</w:t>
      </w:r>
      <w:r w:rsidRPr="00A75BE1">
        <w:t> </w:t>
      </w:r>
    </w:p>
    <w:p w14:paraId="652D5DD4" w14:textId="77777777" w:rsidR="00AE1997" w:rsidRPr="00A75BE1" w:rsidRDefault="00AE1997" w:rsidP="00AE1997">
      <w:pPr>
        <w:spacing w:after="0" w:line="360" w:lineRule="auto"/>
        <w:jc w:val="both"/>
      </w:pPr>
      <w:r w:rsidRPr="00A75BE1">
        <w:t xml:space="preserve">All authors have approved this manuscript for publication. </w:t>
      </w:r>
    </w:p>
    <w:p w14:paraId="187569A8" w14:textId="77777777" w:rsidR="00891344" w:rsidRPr="00A75BE1" w:rsidRDefault="00891344" w:rsidP="00AE1997">
      <w:pPr>
        <w:spacing w:after="0" w:line="360" w:lineRule="auto"/>
        <w:jc w:val="both"/>
      </w:pPr>
    </w:p>
    <w:p w14:paraId="6B630B20" w14:textId="77777777" w:rsidR="00234D8F" w:rsidRPr="00A75BE1" w:rsidRDefault="00234D8F" w:rsidP="00AE1997">
      <w:pPr>
        <w:spacing w:after="0" w:line="360" w:lineRule="auto"/>
        <w:jc w:val="both"/>
      </w:pPr>
      <w:r w:rsidRPr="00A75BE1">
        <w:rPr>
          <w:rStyle w:val="Strong"/>
          <w:rFonts w:eastAsiaTheme="majorEastAsia" w:cstheme="minorHAnsi"/>
          <w:color w:val="333333"/>
        </w:rPr>
        <w:t>Availability of data and material</w:t>
      </w:r>
      <w:r w:rsidRPr="00A75BE1">
        <w:t> </w:t>
      </w:r>
    </w:p>
    <w:p w14:paraId="51AEB433" w14:textId="77777777" w:rsidR="00891344" w:rsidRPr="00A75BE1" w:rsidRDefault="00891344" w:rsidP="00AE1997">
      <w:pPr>
        <w:spacing w:after="0" w:line="360" w:lineRule="auto"/>
        <w:jc w:val="both"/>
        <w:rPr>
          <w:color w:val="0563C1"/>
          <w:u w:val="single"/>
        </w:rPr>
      </w:pPr>
      <w:r w:rsidRPr="00A75BE1">
        <w:t xml:space="preserve">Patient-level electronic health records obtained from CPRD cannot be shared. However, the authors will share aggregate statistics if requested. </w:t>
      </w:r>
    </w:p>
    <w:p w14:paraId="3643DFD2" w14:textId="77777777" w:rsidR="00891344" w:rsidRPr="00A75BE1" w:rsidRDefault="00891344" w:rsidP="00AE1997">
      <w:pPr>
        <w:spacing w:after="0" w:line="360" w:lineRule="auto"/>
        <w:jc w:val="both"/>
      </w:pPr>
    </w:p>
    <w:p w14:paraId="64EE4637" w14:textId="77777777" w:rsidR="00234D8F" w:rsidRPr="00A75BE1" w:rsidRDefault="00234D8F" w:rsidP="00AE1997">
      <w:pPr>
        <w:spacing w:after="0" w:line="360" w:lineRule="auto"/>
        <w:jc w:val="both"/>
      </w:pPr>
      <w:r w:rsidRPr="00A75BE1">
        <w:rPr>
          <w:rStyle w:val="Strong"/>
          <w:rFonts w:eastAsiaTheme="majorEastAsia" w:cstheme="minorHAnsi"/>
          <w:color w:val="333333"/>
        </w:rPr>
        <w:t>Code availability</w:t>
      </w:r>
      <w:r w:rsidR="00891344" w:rsidRPr="00A75BE1">
        <w:t> </w:t>
      </w:r>
    </w:p>
    <w:p w14:paraId="24089E66" w14:textId="77777777" w:rsidR="00891344" w:rsidRPr="00A75BE1" w:rsidRDefault="00891344" w:rsidP="00AE1997">
      <w:pPr>
        <w:spacing w:after="0" w:line="360" w:lineRule="auto"/>
        <w:jc w:val="both"/>
      </w:pPr>
      <w:r w:rsidRPr="00A75BE1">
        <w:t xml:space="preserve">The authors will share programming code if requested. The following code sets are available at </w:t>
      </w:r>
      <w:r w:rsidRPr="00A75BE1">
        <w:rPr>
          <w:rStyle w:val="Hyperlink"/>
          <w:rFonts w:cstheme="minorHAnsi"/>
        </w:rPr>
        <w:t>https://github.com/bc188/TherapeuticInertia.git</w:t>
      </w:r>
      <w:r w:rsidRPr="00A75BE1">
        <w:t xml:space="preserve">: medcodes for type 2 diabetes, pre-existing type 1 diabetes and gestational diabetes; ICD-10 codes and medcodes for comorbidities. Codes identifying face to face and telephone consultations are available in </w:t>
      </w:r>
      <w:r w:rsidRPr="00A75BE1">
        <w:rPr>
          <w:b/>
        </w:rPr>
        <w:t>Supplementary Table 1</w:t>
      </w:r>
      <w:r w:rsidRPr="00A75BE1">
        <w:t xml:space="preserve">. Role codes are available in </w:t>
      </w:r>
      <w:r w:rsidRPr="00A75BE1">
        <w:rPr>
          <w:b/>
        </w:rPr>
        <w:t>Supplementary Table 3</w:t>
      </w:r>
      <w:r w:rsidRPr="00A75BE1">
        <w:t xml:space="preserve">. Unit costs are available in </w:t>
      </w:r>
      <w:r w:rsidRPr="00A75BE1">
        <w:rPr>
          <w:b/>
        </w:rPr>
        <w:t>Table 3</w:t>
      </w:r>
      <w:r w:rsidRPr="00A75BE1">
        <w:t>.</w:t>
      </w:r>
    </w:p>
    <w:p w14:paraId="79B1708A" w14:textId="77777777" w:rsidR="00AE1997" w:rsidRPr="00A75BE1" w:rsidRDefault="00AE1997" w:rsidP="00AE1997">
      <w:pPr>
        <w:spacing w:after="0" w:line="360" w:lineRule="auto"/>
        <w:jc w:val="both"/>
      </w:pPr>
    </w:p>
    <w:p w14:paraId="273754E5" w14:textId="77777777" w:rsidR="00891344" w:rsidRPr="00A75BE1" w:rsidRDefault="00234D8F" w:rsidP="00AE1997">
      <w:pPr>
        <w:spacing w:after="0" w:line="360" w:lineRule="auto"/>
        <w:jc w:val="both"/>
      </w:pPr>
      <w:r w:rsidRPr="00A75BE1">
        <w:rPr>
          <w:rStyle w:val="Strong"/>
          <w:rFonts w:eastAsiaTheme="majorEastAsia" w:cstheme="minorHAnsi"/>
          <w:color w:val="333333"/>
        </w:rPr>
        <w:t>Authors' contributions</w:t>
      </w:r>
    </w:p>
    <w:p w14:paraId="10C0AB4A" w14:textId="77777777" w:rsidR="00891344" w:rsidRPr="00A75BE1" w:rsidRDefault="00891344" w:rsidP="00AE1997">
      <w:pPr>
        <w:spacing w:after="0" w:line="360" w:lineRule="auto"/>
        <w:jc w:val="both"/>
      </w:pPr>
      <w:r w:rsidRPr="00A75BE1">
        <w:t xml:space="preserve">Conceptualization: BC, KK, FZ, CH; funding acquisition and methodology: BC, FZ; data curation, analysis, visualiation, writing- original draft: BC; writing- review: KK, FZ, CH, MJD, SS, CG. </w:t>
      </w:r>
    </w:p>
    <w:p w14:paraId="4A77DE0B" w14:textId="77777777" w:rsidR="00583BA1" w:rsidRDefault="00583BA1" w:rsidP="00AE1997">
      <w:pPr>
        <w:spacing w:after="0" w:line="360" w:lineRule="auto"/>
        <w:jc w:val="both"/>
        <w:rPr>
          <w:color w:val="000000" w:themeColor="text1"/>
        </w:rPr>
        <w:sectPr w:rsidR="00583BA1" w:rsidSect="00583BA1">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cols w:space="708"/>
          <w:docGrid w:linePitch="360"/>
        </w:sectPr>
      </w:pPr>
    </w:p>
    <w:p w14:paraId="738E339E" w14:textId="77777777" w:rsidR="00A51C1A" w:rsidRDefault="00A51C1A" w:rsidP="00583BA1">
      <w:pPr>
        <w:jc w:val="both"/>
        <w:rPr>
          <w:b/>
          <w:lang w:eastAsia="en-GB"/>
        </w:rPr>
      </w:pPr>
      <w:bookmarkStart w:id="3" w:name="_Toc26274575"/>
      <w:r>
        <w:rPr>
          <w:b/>
          <w:lang w:eastAsia="en-GB"/>
        </w:rPr>
        <w:lastRenderedPageBreak/>
        <w:t xml:space="preserve">Table 1. </w:t>
      </w:r>
      <w:r w:rsidRPr="00691A82">
        <w:rPr>
          <w:lang w:eastAsia="en-GB"/>
        </w:rPr>
        <w:t>Descriptive characteristics of the cohort</w:t>
      </w:r>
      <w:r>
        <w:rPr>
          <w:lang w:eastAsia="en-GB"/>
        </w:rPr>
        <w:t xml:space="preserve"> at the time of type 2 diabetes diagnosis.</w:t>
      </w:r>
    </w:p>
    <w:tbl>
      <w:tblPr>
        <w:tblW w:w="4480" w:type="dxa"/>
        <w:tblLook w:val="04A0" w:firstRow="1" w:lastRow="0" w:firstColumn="1" w:lastColumn="0" w:noHBand="0" w:noVBand="1"/>
      </w:tblPr>
      <w:tblGrid>
        <w:gridCol w:w="2268"/>
        <w:gridCol w:w="2212"/>
      </w:tblGrid>
      <w:tr w:rsidR="00A51C1A" w:rsidRPr="00691A82" w14:paraId="3BC48DD5" w14:textId="77777777">
        <w:trPr>
          <w:trHeight w:val="227"/>
        </w:trPr>
        <w:tc>
          <w:tcPr>
            <w:tcW w:w="2268" w:type="dxa"/>
            <w:tcBorders>
              <w:top w:val="single" w:sz="8" w:space="0" w:color="auto"/>
              <w:left w:val="nil"/>
              <w:bottom w:val="single" w:sz="4" w:space="0" w:color="auto"/>
              <w:right w:val="nil"/>
            </w:tcBorders>
            <w:shd w:val="clear" w:color="auto" w:fill="auto"/>
            <w:noWrap/>
            <w:vAlign w:val="center"/>
          </w:tcPr>
          <w:p w14:paraId="315F3C9F" w14:textId="77777777" w:rsidR="00A51C1A" w:rsidRPr="00691A82" w:rsidRDefault="00A51C1A" w:rsidP="00234D8F">
            <w:pPr>
              <w:spacing w:after="0" w:line="240" w:lineRule="auto"/>
              <w:jc w:val="center"/>
              <w:rPr>
                <w:rFonts w:ascii="Calibri" w:eastAsia="Times New Roman" w:hAnsi="Calibri" w:cs="Calibri"/>
                <w:b/>
                <w:color w:val="000000"/>
                <w:sz w:val="20"/>
                <w:szCs w:val="20"/>
                <w:lang w:eastAsia="en-GB"/>
              </w:rPr>
            </w:pPr>
            <w:r w:rsidRPr="00691A82">
              <w:rPr>
                <w:rFonts w:ascii="Calibri" w:eastAsia="Times New Roman" w:hAnsi="Calibri" w:cs="Calibri"/>
                <w:b/>
                <w:color w:val="000000"/>
                <w:sz w:val="20"/>
                <w:szCs w:val="20"/>
                <w:lang w:eastAsia="en-GB"/>
              </w:rPr>
              <w:t>Characteristic</w:t>
            </w:r>
          </w:p>
        </w:tc>
        <w:tc>
          <w:tcPr>
            <w:tcW w:w="2212" w:type="dxa"/>
            <w:tcBorders>
              <w:top w:val="single" w:sz="8" w:space="0" w:color="auto"/>
              <w:left w:val="nil"/>
              <w:bottom w:val="single" w:sz="4" w:space="0" w:color="auto"/>
              <w:right w:val="nil"/>
            </w:tcBorders>
            <w:shd w:val="clear" w:color="auto" w:fill="auto"/>
            <w:noWrap/>
            <w:vAlign w:val="center"/>
          </w:tcPr>
          <w:p w14:paraId="2DA55BEE" w14:textId="77777777" w:rsidR="00A51C1A" w:rsidRPr="00691A82" w:rsidRDefault="00A51C1A" w:rsidP="00234D8F">
            <w:pPr>
              <w:spacing w:after="0" w:line="240" w:lineRule="auto"/>
              <w:jc w:val="center"/>
              <w:rPr>
                <w:rFonts w:ascii="Calibri" w:eastAsia="Times New Roman" w:hAnsi="Calibri" w:cs="Calibri"/>
                <w:b/>
                <w:bCs/>
                <w:color w:val="000000"/>
                <w:sz w:val="20"/>
                <w:szCs w:val="20"/>
                <w:lang w:eastAsia="en-GB"/>
              </w:rPr>
            </w:pPr>
            <w:r w:rsidRPr="00691A82">
              <w:rPr>
                <w:rFonts w:ascii="Calibri" w:eastAsia="Times New Roman" w:hAnsi="Calibri" w:cs="Calibri"/>
                <w:b/>
                <w:bCs/>
                <w:color w:val="000000"/>
                <w:sz w:val="20"/>
                <w:szCs w:val="20"/>
                <w:lang w:eastAsia="en-GB"/>
              </w:rPr>
              <w:t>Patients</w:t>
            </w:r>
          </w:p>
        </w:tc>
      </w:tr>
      <w:tr w:rsidR="00A51C1A" w:rsidRPr="00691A82" w14:paraId="27CC654E" w14:textId="77777777">
        <w:trPr>
          <w:trHeight w:val="227"/>
        </w:trPr>
        <w:tc>
          <w:tcPr>
            <w:tcW w:w="2268" w:type="dxa"/>
            <w:tcBorders>
              <w:top w:val="single" w:sz="4" w:space="0" w:color="auto"/>
              <w:left w:val="nil"/>
              <w:bottom w:val="nil"/>
              <w:right w:val="nil"/>
            </w:tcBorders>
            <w:shd w:val="clear" w:color="auto" w:fill="auto"/>
            <w:noWrap/>
            <w:vAlign w:val="center"/>
          </w:tcPr>
          <w:p w14:paraId="7E81EC15" w14:textId="77777777" w:rsidR="00A51C1A" w:rsidRPr="00691A82" w:rsidRDefault="00A51C1A" w:rsidP="00234D8F">
            <w:pPr>
              <w:spacing w:after="0" w:line="240" w:lineRule="auto"/>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Sex</w:t>
            </w:r>
          </w:p>
        </w:tc>
        <w:tc>
          <w:tcPr>
            <w:tcW w:w="2212" w:type="dxa"/>
            <w:tcBorders>
              <w:top w:val="single" w:sz="4" w:space="0" w:color="auto"/>
              <w:left w:val="nil"/>
              <w:bottom w:val="nil"/>
              <w:right w:val="nil"/>
            </w:tcBorders>
            <w:shd w:val="clear" w:color="auto" w:fill="auto"/>
            <w:noWrap/>
            <w:vAlign w:val="bottom"/>
          </w:tcPr>
          <w:p w14:paraId="594ADB50" w14:textId="77777777" w:rsidR="00A51C1A" w:rsidRPr="00691A82" w:rsidRDefault="00A51C1A" w:rsidP="00234D8F">
            <w:pPr>
              <w:spacing w:after="0" w:line="240" w:lineRule="auto"/>
              <w:rPr>
                <w:rFonts w:ascii="Calibri" w:eastAsia="Times New Roman" w:hAnsi="Calibri" w:cs="Calibri"/>
                <w:color w:val="000000"/>
                <w:sz w:val="20"/>
                <w:szCs w:val="20"/>
                <w:lang w:eastAsia="en-GB"/>
              </w:rPr>
            </w:pPr>
          </w:p>
        </w:tc>
      </w:tr>
      <w:tr w:rsidR="00A51C1A" w:rsidRPr="00691A82" w14:paraId="03CA2F7E" w14:textId="77777777">
        <w:trPr>
          <w:trHeight w:val="227"/>
        </w:trPr>
        <w:tc>
          <w:tcPr>
            <w:tcW w:w="2268" w:type="dxa"/>
            <w:tcBorders>
              <w:top w:val="nil"/>
              <w:left w:val="nil"/>
              <w:bottom w:val="nil"/>
              <w:right w:val="nil"/>
            </w:tcBorders>
            <w:shd w:val="clear" w:color="auto" w:fill="auto"/>
            <w:noWrap/>
            <w:vAlign w:val="center"/>
          </w:tcPr>
          <w:p w14:paraId="6757219F" w14:textId="77777777" w:rsidR="00A51C1A" w:rsidRPr="00691A82" w:rsidRDefault="00A51C1A" w:rsidP="00234D8F">
            <w:pPr>
              <w:spacing w:after="0" w:line="240" w:lineRule="auto"/>
              <w:ind w:firstLineChars="100" w:firstLine="200"/>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Male</w:t>
            </w:r>
          </w:p>
        </w:tc>
        <w:tc>
          <w:tcPr>
            <w:tcW w:w="2212" w:type="dxa"/>
            <w:tcBorders>
              <w:top w:val="nil"/>
              <w:left w:val="nil"/>
              <w:bottom w:val="nil"/>
              <w:right w:val="nil"/>
            </w:tcBorders>
            <w:shd w:val="clear" w:color="auto" w:fill="auto"/>
            <w:noWrap/>
            <w:vAlign w:val="center"/>
          </w:tcPr>
          <w:p w14:paraId="14B1CB1F" w14:textId="77777777" w:rsidR="00A51C1A" w:rsidRPr="00691A82" w:rsidRDefault="00A51C1A" w:rsidP="00234D8F">
            <w:pPr>
              <w:spacing w:after="0" w:line="240" w:lineRule="auto"/>
              <w:jc w:val="right"/>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65,294 (54.2%)</w:t>
            </w:r>
          </w:p>
        </w:tc>
      </w:tr>
      <w:tr w:rsidR="00A51C1A" w:rsidRPr="00691A82" w14:paraId="4DF1AAB8" w14:textId="77777777">
        <w:trPr>
          <w:trHeight w:val="227"/>
        </w:trPr>
        <w:tc>
          <w:tcPr>
            <w:tcW w:w="2268" w:type="dxa"/>
            <w:tcBorders>
              <w:top w:val="nil"/>
              <w:left w:val="nil"/>
              <w:bottom w:val="nil"/>
              <w:right w:val="nil"/>
            </w:tcBorders>
            <w:shd w:val="clear" w:color="auto" w:fill="auto"/>
            <w:noWrap/>
            <w:vAlign w:val="center"/>
          </w:tcPr>
          <w:p w14:paraId="7E8CB655" w14:textId="77777777" w:rsidR="00A51C1A" w:rsidRPr="00691A82" w:rsidRDefault="00A51C1A" w:rsidP="00234D8F">
            <w:pPr>
              <w:spacing w:after="0" w:line="240" w:lineRule="auto"/>
              <w:ind w:firstLineChars="100" w:firstLine="200"/>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Female</w:t>
            </w:r>
          </w:p>
        </w:tc>
        <w:tc>
          <w:tcPr>
            <w:tcW w:w="2212" w:type="dxa"/>
            <w:tcBorders>
              <w:top w:val="nil"/>
              <w:left w:val="nil"/>
              <w:bottom w:val="nil"/>
              <w:right w:val="nil"/>
            </w:tcBorders>
            <w:shd w:val="clear" w:color="auto" w:fill="auto"/>
            <w:noWrap/>
            <w:vAlign w:val="center"/>
          </w:tcPr>
          <w:p w14:paraId="773BD89B" w14:textId="77777777" w:rsidR="00A51C1A" w:rsidRPr="00691A82" w:rsidRDefault="00A51C1A" w:rsidP="00234D8F">
            <w:pPr>
              <w:spacing w:after="0" w:line="240" w:lineRule="auto"/>
              <w:jc w:val="right"/>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55,115 (45.8%)</w:t>
            </w:r>
          </w:p>
        </w:tc>
      </w:tr>
      <w:tr w:rsidR="00A51C1A" w:rsidRPr="00691A82" w14:paraId="0C9AE4F7" w14:textId="77777777">
        <w:trPr>
          <w:trHeight w:val="227"/>
        </w:trPr>
        <w:tc>
          <w:tcPr>
            <w:tcW w:w="2268" w:type="dxa"/>
            <w:tcBorders>
              <w:top w:val="nil"/>
              <w:left w:val="nil"/>
              <w:bottom w:val="nil"/>
              <w:right w:val="nil"/>
            </w:tcBorders>
            <w:shd w:val="clear" w:color="auto" w:fill="auto"/>
            <w:noWrap/>
            <w:vAlign w:val="center"/>
          </w:tcPr>
          <w:p w14:paraId="4B2F2AC9" w14:textId="77777777" w:rsidR="00A51C1A" w:rsidRPr="00691A82" w:rsidRDefault="00A51C1A" w:rsidP="00234D8F">
            <w:pPr>
              <w:spacing w:after="0" w:line="240" w:lineRule="auto"/>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Ethnicity</w:t>
            </w:r>
          </w:p>
        </w:tc>
        <w:tc>
          <w:tcPr>
            <w:tcW w:w="2212" w:type="dxa"/>
            <w:tcBorders>
              <w:top w:val="nil"/>
              <w:left w:val="nil"/>
              <w:bottom w:val="nil"/>
              <w:right w:val="nil"/>
            </w:tcBorders>
            <w:shd w:val="clear" w:color="auto" w:fill="auto"/>
            <w:noWrap/>
            <w:vAlign w:val="bottom"/>
          </w:tcPr>
          <w:p w14:paraId="6B8947F8" w14:textId="77777777" w:rsidR="00A51C1A" w:rsidRPr="00691A82" w:rsidRDefault="00A51C1A" w:rsidP="00234D8F">
            <w:pPr>
              <w:spacing w:after="0" w:line="240" w:lineRule="auto"/>
              <w:jc w:val="right"/>
              <w:rPr>
                <w:rFonts w:ascii="Calibri" w:eastAsia="Times New Roman" w:hAnsi="Calibri" w:cs="Calibri"/>
                <w:color w:val="000000"/>
                <w:sz w:val="20"/>
                <w:szCs w:val="20"/>
                <w:lang w:eastAsia="en-GB"/>
              </w:rPr>
            </w:pPr>
          </w:p>
        </w:tc>
      </w:tr>
      <w:tr w:rsidR="00A51C1A" w:rsidRPr="00691A82" w14:paraId="01C583C7" w14:textId="77777777">
        <w:trPr>
          <w:trHeight w:val="227"/>
        </w:trPr>
        <w:tc>
          <w:tcPr>
            <w:tcW w:w="2268" w:type="dxa"/>
            <w:tcBorders>
              <w:top w:val="nil"/>
              <w:left w:val="nil"/>
              <w:bottom w:val="nil"/>
              <w:right w:val="nil"/>
            </w:tcBorders>
            <w:shd w:val="clear" w:color="auto" w:fill="auto"/>
            <w:noWrap/>
            <w:vAlign w:val="center"/>
          </w:tcPr>
          <w:p w14:paraId="2D4E928D" w14:textId="77777777" w:rsidR="00A51C1A" w:rsidRPr="00691A82" w:rsidRDefault="00A51C1A" w:rsidP="00234D8F">
            <w:pPr>
              <w:spacing w:after="0" w:line="240" w:lineRule="auto"/>
              <w:ind w:firstLineChars="100" w:firstLine="200"/>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Black</w:t>
            </w:r>
          </w:p>
        </w:tc>
        <w:tc>
          <w:tcPr>
            <w:tcW w:w="2212" w:type="dxa"/>
            <w:tcBorders>
              <w:top w:val="nil"/>
              <w:left w:val="nil"/>
              <w:bottom w:val="nil"/>
              <w:right w:val="nil"/>
            </w:tcBorders>
            <w:shd w:val="clear" w:color="auto" w:fill="auto"/>
            <w:noWrap/>
            <w:vAlign w:val="center"/>
          </w:tcPr>
          <w:p w14:paraId="3A58F541" w14:textId="77777777" w:rsidR="00A51C1A" w:rsidRPr="00691A82" w:rsidRDefault="00A51C1A" w:rsidP="00234D8F">
            <w:pPr>
              <w:spacing w:after="0" w:line="240" w:lineRule="auto"/>
              <w:jc w:val="right"/>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2,633 (2.2%)</w:t>
            </w:r>
          </w:p>
        </w:tc>
      </w:tr>
      <w:tr w:rsidR="00A51C1A" w:rsidRPr="00691A82" w14:paraId="477974E8" w14:textId="77777777">
        <w:trPr>
          <w:trHeight w:val="227"/>
        </w:trPr>
        <w:tc>
          <w:tcPr>
            <w:tcW w:w="2268" w:type="dxa"/>
            <w:tcBorders>
              <w:top w:val="nil"/>
              <w:left w:val="nil"/>
              <w:bottom w:val="nil"/>
              <w:right w:val="nil"/>
            </w:tcBorders>
            <w:shd w:val="clear" w:color="auto" w:fill="auto"/>
            <w:noWrap/>
            <w:vAlign w:val="center"/>
          </w:tcPr>
          <w:p w14:paraId="115D0F82" w14:textId="77777777" w:rsidR="00A51C1A" w:rsidRPr="00691A82" w:rsidRDefault="00A51C1A" w:rsidP="00234D8F">
            <w:pPr>
              <w:spacing w:after="0" w:line="240" w:lineRule="auto"/>
              <w:ind w:firstLineChars="100" w:firstLine="200"/>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Other</w:t>
            </w:r>
          </w:p>
        </w:tc>
        <w:tc>
          <w:tcPr>
            <w:tcW w:w="2212" w:type="dxa"/>
            <w:tcBorders>
              <w:top w:val="nil"/>
              <w:left w:val="nil"/>
              <w:bottom w:val="nil"/>
              <w:right w:val="nil"/>
            </w:tcBorders>
            <w:shd w:val="clear" w:color="auto" w:fill="auto"/>
            <w:noWrap/>
            <w:vAlign w:val="center"/>
          </w:tcPr>
          <w:p w14:paraId="3A28BA22" w14:textId="77777777" w:rsidR="00A51C1A" w:rsidRPr="00691A82" w:rsidRDefault="00A51C1A" w:rsidP="00234D8F">
            <w:pPr>
              <w:spacing w:after="0" w:line="240" w:lineRule="auto"/>
              <w:jc w:val="right"/>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1,314 (1.1%)</w:t>
            </w:r>
          </w:p>
        </w:tc>
      </w:tr>
      <w:tr w:rsidR="00A51C1A" w:rsidRPr="00691A82" w14:paraId="4A662F31" w14:textId="77777777">
        <w:trPr>
          <w:trHeight w:val="227"/>
        </w:trPr>
        <w:tc>
          <w:tcPr>
            <w:tcW w:w="2268" w:type="dxa"/>
            <w:tcBorders>
              <w:top w:val="nil"/>
              <w:left w:val="nil"/>
              <w:bottom w:val="nil"/>
              <w:right w:val="nil"/>
            </w:tcBorders>
            <w:shd w:val="clear" w:color="auto" w:fill="auto"/>
            <w:noWrap/>
            <w:vAlign w:val="center"/>
          </w:tcPr>
          <w:p w14:paraId="1986B7DC" w14:textId="77777777" w:rsidR="00A51C1A" w:rsidRPr="00691A82" w:rsidRDefault="00A51C1A" w:rsidP="00234D8F">
            <w:pPr>
              <w:spacing w:after="0" w:line="240" w:lineRule="auto"/>
              <w:ind w:firstLineChars="100" w:firstLine="200"/>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South Asian</w:t>
            </w:r>
          </w:p>
        </w:tc>
        <w:tc>
          <w:tcPr>
            <w:tcW w:w="2212" w:type="dxa"/>
            <w:tcBorders>
              <w:top w:val="nil"/>
              <w:left w:val="nil"/>
              <w:bottom w:val="nil"/>
              <w:right w:val="nil"/>
            </w:tcBorders>
            <w:shd w:val="clear" w:color="auto" w:fill="auto"/>
            <w:noWrap/>
            <w:vAlign w:val="center"/>
          </w:tcPr>
          <w:p w14:paraId="604822A6" w14:textId="77777777" w:rsidR="00A51C1A" w:rsidRPr="00691A82" w:rsidRDefault="00A51C1A" w:rsidP="00234D8F">
            <w:pPr>
              <w:spacing w:after="0" w:line="240" w:lineRule="auto"/>
              <w:jc w:val="right"/>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5,963 (5.0%)</w:t>
            </w:r>
          </w:p>
        </w:tc>
      </w:tr>
      <w:tr w:rsidR="00A51C1A" w:rsidRPr="00691A82" w14:paraId="0704A186" w14:textId="77777777">
        <w:trPr>
          <w:trHeight w:val="227"/>
        </w:trPr>
        <w:tc>
          <w:tcPr>
            <w:tcW w:w="2268" w:type="dxa"/>
            <w:tcBorders>
              <w:top w:val="nil"/>
              <w:left w:val="nil"/>
              <w:bottom w:val="nil"/>
              <w:right w:val="nil"/>
            </w:tcBorders>
            <w:shd w:val="clear" w:color="auto" w:fill="auto"/>
            <w:noWrap/>
            <w:vAlign w:val="center"/>
          </w:tcPr>
          <w:p w14:paraId="4D2D526D" w14:textId="77777777" w:rsidR="00A51C1A" w:rsidRPr="00691A82" w:rsidRDefault="00A51C1A" w:rsidP="00234D8F">
            <w:pPr>
              <w:spacing w:after="0" w:line="240" w:lineRule="auto"/>
              <w:ind w:firstLineChars="100" w:firstLine="200"/>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White</w:t>
            </w:r>
          </w:p>
        </w:tc>
        <w:tc>
          <w:tcPr>
            <w:tcW w:w="2212" w:type="dxa"/>
            <w:tcBorders>
              <w:top w:val="nil"/>
              <w:left w:val="nil"/>
              <w:bottom w:val="nil"/>
              <w:right w:val="nil"/>
            </w:tcBorders>
            <w:shd w:val="clear" w:color="auto" w:fill="auto"/>
            <w:noWrap/>
            <w:vAlign w:val="center"/>
          </w:tcPr>
          <w:p w14:paraId="5EC00174" w14:textId="77777777" w:rsidR="00A51C1A" w:rsidRPr="00691A82" w:rsidRDefault="00A51C1A" w:rsidP="00234D8F">
            <w:pPr>
              <w:spacing w:after="0" w:line="240" w:lineRule="auto"/>
              <w:jc w:val="right"/>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110,499 (91.8%)</w:t>
            </w:r>
          </w:p>
        </w:tc>
      </w:tr>
      <w:tr w:rsidR="00A51C1A" w:rsidRPr="00691A82" w14:paraId="63A5079E" w14:textId="77777777">
        <w:trPr>
          <w:trHeight w:val="227"/>
        </w:trPr>
        <w:tc>
          <w:tcPr>
            <w:tcW w:w="2268" w:type="dxa"/>
            <w:tcBorders>
              <w:top w:val="nil"/>
              <w:left w:val="nil"/>
              <w:bottom w:val="nil"/>
              <w:right w:val="nil"/>
            </w:tcBorders>
            <w:shd w:val="clear" w:color="auto" w:fill="auto"/>
            <w:noWrap/>
            <w:vAlign w:val="center"/>
          </w:tcPr>
          <w:p w14:paraId="57B5581C" w14:textId="77777777" w:rsidR="00A51C1A" w:rsidRPr="00691A82" w:rsidRDefault="00A51C1A" w:rsidP="00234D8F">
            <w:pPr>
              <w:spacing w:after="0" w:line="240" w:lineRule="auto"/>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Deprivation</w:t>
            </w:r>
            <w:r>
              <w:rPr>
                <w:rFonts w:ascii="Calibri" w:eastAsia="Times New Roman" w:hAnsi="Calibri" w:cs="Calibri"/>
                <w:color w:val="000000"/>
                <w:sz w:val="20"/>
                <w:szCs w:val="20"/>
                <w:lang w:eastAsia="en-GB"/>
              </w:rPr>
              <w:t xml:space="preserve"> quintile</w:t>
            </w:r>
          </w:p>
        </w:tc>
        <w:tc>
          <w:tcPr>
            <w:tcW w:w="2212" w:type="dxa"/>
            <w:tcBorders>
              <w:top w:val="nil"/>
              <w:left w:val="nil"/>
              <w:bottom w:val="nil"/>
              <w:right w:val="nil"/>
            </w:tcBorders>
            <w:shd w:val="clear" w:color="auto" w:fill="auto"/>
            <w:noWrap/>
            <w:vAlign w:val="bottom"/>
          </w:tcPr>
          <w:p w14:paraId="6302207B" w14:textId="77777777" w:rsidR="00A51C1A" w:rsidRPr="00691A82" w:rsidRDefault="00A51C1A" w:rsidP="00234D8F">
            <w:pPr>
              <w:spacing w:after="0" w:line="240" w:lineRule="auto"/>
              <w:jc w:val="right"/>
              <w:rPr>
                <w:rFonts w:ascii="Calibri" w:eastAsia="Times New Roman" w:hAnsi="Calibri" w:cs="Calibri"/>
                <w:color w:val="000000"/>
                <w:sz w:val="20"/>
                <w:szCs w:val="20"/>
                <w:lang w:eastAsia="en-GB"/>
              </w:rPr>
            </w:pPr>
          </w:p>
        </w:tc>
      </w:tr>
      <w:tr w:rsidR="00A51C1A" w:rsidRPr="00691A82" w14:paraId="65367A5D" w14:textId="77777777">
        <w:trPr>
          <w:trHeight w:val="227"/>
        </w:trPr>
        <w:tc>
          <w:tcPr>
            <w:tcW w:w="2268" w:type="dxa"/>
            <w:tcBorders>
              <w:top w:val="nil"/>
              <w:left w:val="nil"/>
              <w:bottom w:val="nil"/>
              <w:right w:val="nil"/>
            </w:tcBorders>
            <w:shd w:val="clear" w:color="auto" w:fill="auto"/>
            <w:vAlign w:val="center"/>
          </w:tcPr>
          <w:p w14:paraId="4D2218AE" w14:textId="77777777" w:rsidR="00A51C1A" w:rsidRPr="00691A82" w:rsidRDefault="00A51C1A" w:rsidP="00234D8F">
            <w:pPr>
              <w:spacing w:after="0" w:line="240" w:lineRule="auto"/>
              <w:ind w:firstLineChars="100" w:firstLine="200"/>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1 (least</w:t>
            </w:r>
            <w:r>
              <w:rPr>
                <w:rFonts w:ascii="Calibri" w:eastAsia="Times New Roman" w:hAnsi="Calibri" w:cs="Calibri"/>
                <w:color w:val="000000"/>
                <w:sz w:val="20"/>
                <w:szCs w:val="20"/>
                <w:lang w:eastAsia="en-GB"/>
              </w:rPr>
              <w:t xml:space="preserve"> deprived</w:t>
            </w:r>
            <w:r w:rsidRPr="00691A82">
              <w:rPr>
                <w:rFonts w:ascii="Calibri" w:eastAsia="Times New Roman" w:hAnsi="Calibri" w:cs="Calibri"/>
                <w:color w:val="000000"/>
                <w:sz w:val="20"/>
                <w:szCs w:val="20"/>
                <w:lang w:eastAsia="en-GB"/>
              </w:rPr>
              <w:t>)</w:t>
            </w:r>
          </w:p>
        </w:tc>
        <w:tc>
          <w:tcPr>
            <w:tcW w:w="2212" w:type="dxa"/>
            <w:tcBorders>
              <w:top w:val="nil"/>
              <w:left w:val="nil"/>
              <w:bottom w:val="nil"/>
              <w:right w:val="nil"/>
            </w:tcBorders>
            <w:shd w:val="clear" w:color="auto" w:fill="auto"/>
            <w:noWrap/>
            <w:vAlign w:val="center"/>
          </w:tcPr>
          <w:p w14:paraId="3019B4B6" w14:textId="77777777" w:rsidR="00A51C1A" w:rsidRPr="00691A82" w:rsidRDefault="00A51C1A" w:rsidP="00234D8F">
            <w:pPr>
              <w:spacing w:after="0" w:line="240" w:lineRule="auto"/>
              <w:jc w:val="right"/>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22,256 (18.5%)</w:t>
            </w:r>
          </w:p>
        </w:tc>
      </w:tr>
      <w:tr w:rsidR="00A51C1A" w:rsidRPr="00691A82" w14:paraId="001C1D83" w14:textId="77777777">
        <w:trPr>
          <w:trHeight w:val="227"/>
        </w:trPr>
        <w:tc>
          <w:tcPr>
            <w:tcW w:w="2268" w:type="dxa"/>
            <w:tcBorders>
              <w:top w:val="nil"/>
              <w:left w:val="nil"/>
              <w:bottom w:val="nil"/>
              <w:right w:val="nil"/>
            </w:tcBorders>
            <w:shd w:val="clear" w:color="auto" w:fill="auto"/>
            <w:vAlign w:val="center"/>
          </w:tcPr>
          <w:p w14:paraId="7601303A" w14:textId="77777777" w:rsidR="00A51C1A" w:rsidRPr="00691A82" w:rsidRDefault="00A51C1A" w:rsidP="00234D8F">
            <w:pPr>
              <w:spacing w:after="0" w:line="240" w:lineRule="auto"/>
              <w:ind w:firstLineChars="100" w:firstLine="200"/>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2</w:t>
            </w:r>
          </w:p>
        </w:tc>
        <w:tc>
          <w:tcPr>
            <w:tcW w:w="2212" w:type="dxa"/>
            <w:tcBorders>
              <w:top w:val="nil"/>
              <w:left w:val="nil"/>
              <w:bottom w:val="nil"/>
              <w:right w:val="nil"/>
            </w:tcBorders>
            <w:shd w:val="clear" w:color="auto" w:fill="auto"/>
            <w:noWrap/>
            <w:vAlign w:val="center"/>
          </w:tcPr>
          <w:p w14:paraId="26A4173C" w14:textId="77777777" w:rsidR="00A51C1A" w:rsidRPr="00691A82" w:rsidRDefault="00A51C1A" w:rsidP="00234D8F">
            <w:pPr>
              <w:spacing w:after="0" w:line="240" w:lineRule="auto"/>
              <w:jc w:val="right"/>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26,978 (22.4%)</w:t>
            </w:r>
          </w:p>
        </w:tc>
      </w:tr>
      <w:tr w:rsidR="00A51C1A" w:rsidRPr="00691A82" w14:paraId="1C9245FE" w14:textId="77777777">
        <w:trPr>
          <w:trHeight w:val="227"/>
        </w:trPr>
        <w:tc>
          <w:tcPr>
            <w:tcW w:w="2268" w:type="dxa"/>
            <w:tcBorders>
              <w:top w:val="nil"/>
              <w:left w:val="nil"/>
              <w:bottom w:val="nil"/>
              <w:right w:val="nil"/>
            </w:tcBorders>
            <w:shd w:val="clear" w:color="auto" w:fill="auto"/>
            <w:vAlign w:val="center"/>
          </w:tcPr>
          <w:p w14:paraId="51A4CD5B" w14:textId="77777777" w:rsidR="00A51C1A" w:rsidRPr="00691A82" w:rsidRDefault="00A51C1A" w:rsidP="00234D8F">
            <w:pPr>
              <w:spacing w:after="0" w:line="240" w:lineRule="auto"/>
              <w:ind w:firstLineChars="100" w:firstLine="200"/>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3</w:t>
            </w:r>
          </w:p>
        </w:tc>
        <w:tc>
          <w:tcPr>
            <w:tcW w:w="2212" w:type="dxa"/>
            <w:tcBorders>
              <w:top w:val="nil"/>
              <w:left w:val="nil"/>
              <w:bottom w:val="nil"/>
              <w:right w:val="nil"/>
            </w:tcBorders>
            <w:shd w:val="clear" w:color="auto" w:fill="auto"/>
            <w:noWrap/>
            <w:vAlign w:val="center"/>
          </w:tcPr>
          <w:p w14:paraId="3A6700B0" w14:textId="77777777" w:rsidR="00A51C1A" w:rsidRPr="00691A82" w:rsidRDefault="00A51C1A" w:rsidP="00234D8F">
            <w:pPr>
              <w:spacing w:after="0" w:line="240" w:lineRule="auto"/>
              <w:jc w:val="right"/>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24,551 (20.4%)</w:t>
            </w:r>
          </w:p>
        </w:tc>
      </w:tr>
      <w:tr w:rsidR="00A51C1A" w:rsidRPr="00691A82" w14:paraId="2EC7E58A" w14:textId="77777777">
        <w:trPr>
          <w:trHeight w:val="227"/>
        </w:trPr>
        <w:tc>
          <w:tcPr>
            <w:tcW w:w="2268" w:type="dxa"/>
            <w:tcBorders>
              <w:top w:val="nil"/>
              <w:left w:val="nil"/>
              <w:bottom w:val="nil"/>
              <w:right w:val="nil"/>
            </w:tcBorders>
            <w:shd w:val="clear" w:color="auto" w:fill="auto"/>
            <w:vAlign w:val="center"/>
          </w:tcPr>
          <w:p w14:paraId="3293E3E3" w14:textId="77777777" w:rsidR="00A51C1A" w:rsidRPr="00691A82" w:rsidRDefault="00A51C1A" w:rsidP="00234D8F">
            <w:pPr>
              <w:spacing w:after="0" w:line="240" w:lineRule="auto"/>
              <w:ind w:firstLineChars="100" w:firstLine="200"/>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4</w:t>
            </w:r>
          </w:p>
        </w:tc>
        <w:tc>
          <w:tcPr>
            <w:tcW w:w="2212" w:type="dxa"/>
            <w:tcBorders>
              <w:top w:val="nil"/>
              <w:left w:val="nil"/>
              <w:bottom w:val="nil"/>
              <w:right w:val="nil"/>
            </w:tcBorders>
            <w:shd w:val="clear" w:color="auto" w:fill="auto"/>
            <w:noWrap/>
            <w:vAlign w:val="center"/>
          </w:tcPr>
          <w:p w14:paraId="6E9A414C" w14:textId="77777777" w:rsidR="00A51C1A" w:rsidRPr="00691A82" w:rsidRDefault="00A51C1A" w:rsidP="00234D8F">
            <w:pPr>
              <w:spacing w:after="0" w:line="240" w:lineRule="auto"/>
              <w:jc w:val="right"/>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25,733 (21.4%)</w:t>
            </w:r>
          </w:p>
        </w:tc>
      </w:tr>
      <w:tr w:rsidR="00A51C1A" w:rsidRPr="00691A82" w14:paraId="29EC1FBF" w14:textId="77777777">
        <w:trPr>
          <w:trHeight w:val="227"/>
        </w:trPr>
        <w:tc>
          <w:tcPr>
            <w:tcW w:w="2268" w:type="dxa"/>
            <w:tcBorders>
              <w:top w:val="nil"/>
              <w:left w:val="nil"/>
              <w:bottom w:val="nil"/>
              <w:right w:val="nil"/>
            </w:tcBorders>
            <w:shd w:val="clear" w:color="auto" w:fill="auto"/>
            <w:vAlign w:val="center"/>
          </w:tcPr>
          <w:p w14:paraId="45BDAC62" w14:textId="77777777" w:rsidR="00A51C1A" w:rsidRPr="00691A82" w:rsidRDefault="00A51C1A" w:rsidP="00234D8F">
            <w:pPr>
              <w:spacing w:after="0" w:line="240" w:lineRule="auto"/>
              <w:ind w:firstLineChars="100" w:firstLine="200"/>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5 (most</w:t>
            </w:r>
            <w:r>
              <w:rPr>
                <w:rFonts w:ascii="Calibri" w:eastAsia="Times New Roman" w:hAnsi="Calibri" w:cs="Calibri"/>
                <w:color w:val="000000"/>
                <w:sz w:val="20"/>
                <w:szCs w:val="20"/>
                <w:lang w:eastAsia="en-GB"/>
              </w:rPr>
              <w:t xml:space="preserve"> deprived</w:t>
            </w:r>
            <w:r w:rsidRPr="00691A82">
              <w:rPr>
                <w:rFonts w:ascii="Calibri" w:eastAsia="Times New Roman" w:hAnsi="Calibri" w:cs="Calibri"/>
                <w:color w:val="000000"/>
                <w:sz w:val="20"/>
                <w:szCs w:val="20"/>
                <w:lang w:eastAsia="en-GB"/>
              </w:rPr>
              <w:t>)</w:t>
            </w:r>
          </w:p>
        </w:tc>
        <w:tc>
          <w:tcPr>
            <w:tcW w:w="2212" w:type="dxa"/>
            <w:tcBorders>
              <w:top w:val="nil"/>
              <w:left w:val="nil"/>
              <w:bottom w:val="nil"/>
              <w:right w:val="nil"/>
            </w:tcBorders>
            <w:shd w:val="clear" w:color="auto" w:fill="auto"/>
            <w:noWrap/>
            <w:vAlign w:val="center"/>
          </w:tcPr>
          <w:p w14:paraId="188B0FDC" w14:textId="77777777" w:rsidR="00A51C1A" w:rsidRPr="00691A82" w:rsidRDefault="00A51C1A" w:rsidP="00234D8F">
            <w:pPr>
              <w:spacing w:after="0" w:line="240" w:lineRule="auto"/>
              <w:jc w:val="right"/>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20,891 (17.4%)</w:t>
            </w:r>
          </w:p>
        </w:tc>
      </w:tr>
      <w:tr w:rsidR="00A51C1A" w:rsidRPr="00691A82" w14:paraId="30F9273E" w14:textId="77777777">
        <w:trPr>
          <w:trHeight w:val="227"/>
        </w:trPr>
        <w:tc>
          <w:tcPr>
            <w:tcW w:w="2268" w:type="dxa"/>
            <w:tcBorders>
              <w:top w:val="nil"/>
              <w:left w:val="nil"/>
              <w:bottom w:val="nil"/>
              <w:right w:val="nil"/>
            </w:tcBorders>
            <w:shd w:val="clear" w:color="auto" w:fill="auto"/>
            <w:noWrap/>
            <w:vAlign w:val="center"/>
          </w:tcPr>
          <w:p w14:paraId="628ABE66" w14:textId="77777777" w:rsidR="00A51C1A" w:rsidRPr="00691A82" w:rsidRDefault="00A51C1A" w:rsidP="00234D8F">
            <w:pPr>
              <w:spacing w:after="0" w:line="240" w:lineRule="auto"/>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Lifestyle</w:t>
            </w:r>
          </w:p>
        </w:tc>
        <w:tc>
          <w:tcPr>
            <w:tcW w:w="2212" w:type="dxa"/>
            <w:tcBorders>
              <w:top w:val="nil"/>
              <w:left w:val="nil"/>
              <w:bottom w:val="nil"/>
              <w:right w:val="nil"/>
            </w:tcBorders>
            <w:shd w:val="clear" w:color="auto" w:fill="auto"/>
            <w:noWrap/>
            <w:vAlign w:val="bottom"/>
          </w:tcPr>
          <w:p w14:paraId="7FB72AFD" w14:textId="77777777" w:rsidR="00A51C1A" w:rsidRPr="00691A82" w:rsidRDefault="00A51C1A" w:rsidP="00234D8F">
            <w:pPr>
              <w:spacing w:after="0" w:line="240" w:lineRule="auto"/>
              <w:jc w:val="right"/>
              <w:rPr>
                <w:rFonts w:ascii="Calibri" w:eastAsia="Times New Roman" w:hAnsi="Calibri" w:cs="Calibri"/>
                <w:color w:val="000000"/>
                <w:sz w:val="20"/>
                <w:szCs w:val="20"/>
                <w:lang w:eastAsia="en-GB"/>
              </w:rPr>
            </w:pPr>
          </w:p>
        </w:tc>
      </w:tr>
      <w:tr w:rsidR="00A51C1A" w:rsidRPr="00691A82" w14:paraId="339536C5" w14:textId="77777777">
        <w:trPr>
          <w:trHeight w:val="227"/>
        </w:trPr>
        <w:tc>
          <w:tcPr>
            <w:tcW w:w="2268" w:type="dxa"/>
            <w:tcBorders>
              <w:top w:val="nil"/>
              <w:left w:val="nil"/>
              <w:bottom w:val="nil"/>
              <w:right w:val="nil"/>
            </w:tcBorders>
            <w:shd w:val="clear" w:color="auto" w:fill="auto"/>
            <w:noWrap/>
            <w:vAlign w:val="center"/>
          </w:tcPr>
          <w:p w14:paraId="61634EC3" w14:textId="77777777" w:rsidR="00A51C1A" w:rsidRPr="00691A82" w:rsidRDefault="00A51C1A" w:rsidP="00234D8F">
            <w:pPr>
              <w:spacing w:after="0" w:line="240" w:lineRule="auto"/>
              <w:ind w:firstLineChars="100" w:firstLine="200"/>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Current smoker</w:t>
            </w:r>
          </w:p>
        </w:tc>
        <w:tc>
          <w:tcPr>
            <w:tcW w:w="2212" w:type="dxa"/>
            <w:tcBorders>
              <w:top w:val="nil"/>
              <w:left w:val="nil"/>
              <w:bottom w:val="nil"/>
              <w:right w:val="nil"/>
            </w:tcBorders>
            <w:shd w:val="clear" w:color="auto" w:fill="auto"/>
            <w:noWrap/>
            <w:vAlign w:val="center"/>
          </w:tcPr>
          <w:p w14:paraId="39D1757E" w14:textId="77777777" w:rsidR="00A51C1A" w:rsidRPr="00691A82" w:rsidRDefault="00A51C1A" w:rsidP="00234D8F">
            <w:pPr>
              <w:spacing w:after="0" w:line="240" w:lineRule="auto"/>
              <w:jc w:val="right"/>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15,953 (13.2%)</w:t>
            </w:r>
          </w:p>
        </w:tc>
      </w:tr>
      <w:tr w:rsidR="00A51C1A" w:rsidRPr="00691A82" w14:paraId="3F98A2ED" w14:textId="77777777">
        <w:trPr>
          <w:trHeight w:val="227"/>
        </w:trPr>
        <w:tc>
          <w:tcPr>
            <w:tcW w:w="2268" w:type="dxa"/>
            <w:tcBorders>
              <w:top w:val="nil"/>
              <w:left w:val="nil"/>
              <w:bottom w:val="nil"/>
              <w:right w:val="nil"/>
            </w:tcBorders>
            <w:shd w:val="clear" w:color="auto" w:fill="auto"/>
            <w:noWrap/>
            <w:vAlign w:val="center"/>
          </w:tcPr>
          <w:p w14:paraId="7E62EECA" w14:textId="77777777" w:rsidR="00A51C1A" w:rsidRPr="00691A82" w:rsidRDefault="00A51C1A" w:rsidP="00234D8F">
            <w:pPr>
              <w:spacing w:after="0" w:line="240" w:lineRule="auto"/>
              <w:ind w:firstLineChars="100" w:firstLine="200"/>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Current alcohol user</w:t>
            </w:r>
          </w:p>
        </w:tc>
        <w:tc>
          <w:tcPr>
            <w:tcW w:w="2212" w:type="dxa"/>
            <w:tcBorders>
              <w:top w:val="nil"/>
              <w:left w:val="nil"/>
              <w:bottom w:val="nil"/>
              <w:right w:val="nil"/>
            </w:tcBorders>
            <w:shd w:val="clear" w:color="auto" w:fill="auto"/>
            <w:noWrap/>
            <w:vAlign w:val="center"/>
          </w:tcPr>
          <w:p w14:paraId="346FC9AC" w14:textId="77777777" w:rsidR="00A51C1A" w:rsidRPr="00691A82" w:rsidRDefault="00A51C1A" w:rsidP="00234D8F">
            <w:pPr>
              <w:spacing w:after="0" w:line="240" w:lineRule="auto"/>
              <w:jc w:val="right"/>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28,979 (24.1%)</w:t>
            </w:r>
          </w:p>
        </w:tc>
      </w:tr>
      <w:tr w:rsidR="00A51C1A" w:rsidRPr="00691A82" w14:paraId="133047BC" w14:textId="77777777">
        <w:trPr>
          <w:trHeight w:val="227"/>
        </w:trPr>
        <w:tc>
          <w:tcPr>
            <w:tcW w:w="2268" w:type="dxa"/>
            <w:tcBorders>
              <w:top w:val="nil"/>
              <w:left w:val="nil"/>
              <w:bottom w:val="single" w:sz="8" w:space="0" w:color="auto"/>
              <w:right w:val="nil"/>
            </w:tcBorders>
            <w:shd w:val="clear" w:color="auto" w:fill="auto"/>
            <w:vAlign w:val="center"/>
          </w:tcPr>
          <w:p w14:paraId="5DAF36F6" w14:textId="77777777" w:rsidR="00A51C1A" w:rsidRPr="00691A82" w:rsidRDefault="00A51C1A" w:rsidP="00234D8F">
            <w:pPr>
              <w:spacing w:after="0" w:line="240" w:lineRule="auto"/>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Age (years)</w:t>
            </w:r>
          </w:p>
        </w:tc>
        <w:tc>
          <w:tcPr>
            <w:tcW w:w="2212" w:type="dxa"/>
            <w:tcBorders>
              <w:top w:val="nil"/>
              <w:left w:val="nil"/>
              <w:bottom w:val="single" w:sz="8" w:space="0" w:color="auto"/>
              <w:right w:val="nil"/>
            </w:tcBorders>
            <w:shd w:val="clear" w:color="auto" w:fill="auto"/>
            <w:noWrap/>
            <w:vAlign w:val="center"/>
          </w:tcPr>
          <w:p w14:paraId="25DC658B" w14:textId="77777777" w:rsidR="00A51C1A" w:rsidRPr="00691A82" w:rsidRDefault="00A51C1A" w:rsidP="00234D8F">
            <w:pPr>
              <w:spacing w:after="0" w:line="240" w:lineRule="auto"/>
              <w:jc w:val="right"/>
              <w:rPr>
                <w:rFonts w:ascii="Calibri" w:eastAsia="Times New Roman" w:hAnsi="Calibri" w:cs="Calibri"/>
                <w:color w:val="000000"/>
                <w:sz w:val="20"/>
                <w:szCs w:val="20"/>
                <w:lang w:eastAsia="en-GB"/>
              </w:rPr>
            </w:pPr>
            <w:r w:rsidRPr="00691A82">
              <w:rPr>
                <w:rFonts w:ascii="Calibri" w:eastAsia="Times New Roman" w:hAnsi="Calibri" w:cs="Calibri"/>
                <w:color w:val="000000"/>
                <w:sz w:val="20"/>
                <w:szCs w:val="20"/>
                <w:lang w:eastAsia="en-GB"/>
              </w:rPr>
              <w:t>63.5 (13.4)</w:t>
            </w:r>
          </w:p>
        </w:tc>
      </w:tr>
    </w:tbl>
    <w:p w14:paraId="3E3CC0A7" w14:textId="77777777" w:rsidR="00A51C1A" w:rsidRPr="001A71C0" w:rsidRDefault="00A51C1A" w:rsidP="00234D8F">
      <w:pPr>
        <w:spacing w:after="0" w:line="240" w:lineRule="auto"/>
        <w:rPr>
          <w:sz w:val="18"/>
          <w:szCs w:val="18"/>
          <w:lang w:eastAsia="en-GB"/>
        </w:rPr>
      </w:pPr>
      <w:r w:rsidRPr="001A71C0">
        <w:rPr>
          <w:sz w:val="18"/>
          <w:szCs w:val="18"/>
          <w:lang w:eastAsia="en-GB"/>
        </w:rPr>
        <w:t>N=</w:t>
      </w:r>
      <w:r w:rsidRPr="001A71C0">
        <w:rPr>
          <w:rFonts w:ascii="Calibri" w:eastAsia="Times New Roman" w:hAnsi="Calibri" w:cs="Calibri"/>
          <w:bCs/>
          <w:color w:val="000000"/>
          <w:sz w:val="18"/>
          <w:szCs w:val="18"/>
          <w:lang w:eastAsia="en-GB"/>
        </w:rPr>
        <w:t xml:space="preserve">120,409. </w:t>
      </w:r>
      <w:r w:rsidRPr="001A71C0">
        <w:rPr>
          <w:sz w:val="18"/>
          <w:szCs w:val="18"/>
          <w:lang w:eastAsia="en-GB"/>
        </w:rPr>
        <w:t>Age is shown as mean (SD). All other characteristics are shown as number (%).</w:t>
      </w:r>
    </w:p>
    <w:p w14:paraId="3BB799D7" w14:textId="77777777" w:rsidR="00A51C1A" w:rsidRDefault="00A51C1A" w:rsidP="00234D8F">
      <w:pPr>
        <w:spacing w:after="0" w:line="240" w:lineRule="auto"/>
        <w:rPr>
          <w:b/>
          <w:lang w:eastAsia="en-GB"/>
        </w:rPr>
      </w:pPr>
    </w:p>
    <w:p w14:paraId="0D959869" w14:textId="77777777" w:rsidR="00A51C1A" w:rsidRDefault="00A51C1A">
      <w:pPr>
        <w:rPr>
          <w:b/>
          <w:lang w:eastAsia="en-GB"/>
        </w:rPr>
      </w:pPr>
      <w:r>
        <w:rPr>
          <w:b/>
          <w:lang w:eastAsia="en-GB"/>
        </w:rPr>
        <w:br w:type="page"/>
      </w:r>
    </w:p>
    <w:p w14:paraId="3F04BCAD" w14:textId="77777777" w:rsidR="00A51C1A" w:rsidRDefault="00A51C1A" w:rsidP="00234D8F">
      <w:pPr>
        <w:spacing w:after="0" w:line="240" w:lineRule="auto"/>
        <w:rPr>
          <w:b/>
          <w:lang w:eastAsia="en-GB"/>
        </w:rPr>
      </w:pPr>
      <w:r>
        <w:rPr>
          <w:b/>
          <w:lang w:eastAsia="en-GB"/>
        </w:rPr>
        <w:lastRenderedPageBreak/>
        <w:t xml:space="preserve">Table 2. </w:t>
      </w:r>
      <w:r>
        <w:rPr>
          <w:lang w:eastAsia="en-GB"/>
        </w:rPr>
        <w:t xml:space="preserve">Crude </w:t>
      </w:r>
      <w:r w:rsidRPr="004B7630">
        <w:rPr>
          <w:lang w:eastAsia="en-GB"/>
        </w:rPr>
        <w:t>rates</w:t>
      </w:r>
      <w:r>
        <w:rPr>
          <w:lang w:eastAsia="en-GB"/>
        </w:rPr>
        <w:t xml:space="preserve"> of face to face and t</w:t>
      </w:r>
      <w:r w:rsidR="007E7AC5">
        <w:rPr>
          <w:lang w:eastAsia="en-GB"/>
        </w:rPr>
        <w:t>elephone consultations with a physician</w:t>
      </w:r>
      <w:r>
        <w:rPr>
          <w:lang w:eastAsia="en-GB"/>
        </w:rPr>
        <w:t xml:space="preserve"> or nurse by the number of comorbidities at the time of consultation</w:t>
      </w:r>
      <w:r w:rsidRPr="004B7630">
        <w:rPr>
          <w:rFonts w:eastAsia="Times New Roman"/>
          <w:lang w:eastAsia="en-GB"/>
        </w:rPr>
        <w:t>.</w:t>
      </w:r>
      <w:r>
        <w:rPr>
          <w:b/>
          <w:lang w:eastAsia="en-GB"/>
        </w:rPr>
        <w:t xml:space="preserve"> </w:t>
      </w:r>
    </w:p>
    <w:tbl>
      <w:tblPr>
        <w:tblW w:w="14992" w:type="dxa"/>
        <w:tblLook w:val="04A0" w:firstRow="1" w:lastRow="0" w:firstColumn="1" w:lastColumn="0" w:noHBand="0" w:noVBand="1"/>
      </w:tblPr>
      <w:tblGrid>
        <w:gridCol w:w="1361"/>
        <w:gridCol w:w="1026"/>
        <w:gridCol w:w="1407"/>
        <w:gridCol w:w="714"/>
        <w:gridCol w:w="1554"/>
        <w:gridCol w:w="1026"/>
        <w:gridCol w:w="1667"/>
        <w:gridCol w:w="714"/>
        <w:gridCol w:w="1412"/>
        <w:gridCol w:w="1026"/>
        <w:gridCol w:w="1668"/>
        <w:gridCol w:w="1417"/>
      </w:tblGrid>
      <w:tr w:rsidR="00A51C1A" w:rsidRPr="009E1ABD" w14:paraId="7627C6FD" w14:textId="77777777">
        <w:trPr>
          <w:trHeight w:val="227"/>
        </w:trPr>
        <w:tc>
          <w:tcPr>
            <w:tcW w:w="14992" w:type="dxa"/>
            <w:gridSpan w:val="12"/>
            <w:tcBorders>
              <w:top w:val="single" w:sz="4" w:space="0" w:color="auto"/>
              <w:left w:val="nil"/>
              <w:bottom w:val="nil"/>
              <w:right w:val="nil"/>
            </w:tcBorders>
            <w:shd w:val="clear" w:color="000000" w:fill="E7E6E6"/>
            <w:noWrap/>
            <w:vAlign w:val="bottom"/>
          </w:tcPr>
          <w:p w14:paraId="33C70C18" w14:textId="77777777" w:rsidR="00A51C1A" w:rsidRPr="009E1ABD" w:rsidRDefault="00A51C1A" w:rsidP="00234D8F">
            <w:pPr>
              <w:spacing w:after="0" w:line="240" w:lineRule="auto"/>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Face to face</w:t>
            </w:r>
          </w:p>
        </w:tc>
      </w:tr>
      <w:tr w:rsidR="00A51C1A" w:rsidRPr="009E1ABD" w14:paraId="115387F0" w14:textId="77777777">
        <w:trPr>
          <w:trHeight w:val="227"/>
        </w:trPr>
        <w:tc>
          <w:tcPr>
            <w:tcW w:w="1361" w:type="dxa"/>
            <w:vMerge w:val="restart"/>
            <w:tcBorders>
              <w:top w:val="single" w:sz="8" w:space="0" w:color="auto"/>
              <w:left w:val="nil"/>
              <w:bottom w:val="nil"/>
              <w:right w:val="dotted" w:sz="4" w:space="0" w:color="auto"/>
            </w:tcBorders>
            <w:shd w:val="clear" w:color="auto" w:fill="auto"/>
            <w:noWrap/>
            <w:vAlign w:val="bottom"/>
          </w:tcPr>
          <w:p w14:paraId="6F09C2AE"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Number of comorbidities</w:t>
            </w:r>
          </w:p>
        </w:tc>
        <w:tc>
          <w:tcPr>
            <w:tcW w:w="4701" w:type="dxa"/>
            <w:gridSpan w:val="4"/>
            <w:tcBorders>
              <w:top w:val="single" w:sz="4" w:space="0" w:color="auto"/>
              <w:left w:val="nil"/>
              <w:bottom w:val="single" w:sz="4" w:space="0" w:color="auto"/>
              <w:right w:val="dotted" w:sz="4" w:space="0" w:color="000000"/>
            </w:tcBorders>
            <w:shd w:val="clear" w:color="auto" w:fill="auto"/>
            <w:noWrap/>
            <w:vAlign w:val="bottom"/>
          </w:tcPr>
          <w:p w14:paraId="647E8744"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Nurse</w:t>
            </w:r>
          </w:p>
        </w:tc>
        <w:tc>
          <w:tcPr>
            <w:tcW w:w="4819" w:type="dxa"/>
            <w:gridSpan w:val="4"/>
            <w:tcBorders>
              <w:top w:val="single" w:sz="4" w:space="0" w:color="auto"/>
              <w:left w:val="nil"/>
              <w:bottom w:val="single" w:sz="4" w:space="0" w:color="auto"/>
              <w:right w:val="dotted" w:sz="4" w:space="0" w:color="000000"/>
            </w:tcBorders>
            <w:shd w:val="clear" w:color="auto" w:fill="auto"/>
            <w:noWrap/>
            <w:vAlign w:val="bottom"/>
          </w:tcPr>
          <w:p w14:paraId="651837DB"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GP</w:t>
            </w:r>
          </w:p>
        </w:tc>
        <w:tc>
          <w:tcPr>
            <w:tcW w:w="4111" w:type="dxa"/>
            <w:gridSpan w:val="3"/>
            <w:tcBorders>
              <w:top w:val="single" w:sz="4" w:space="0" w:color="auto"/>
              <w:left w:val="nil"/>
              <w:bottom w:val="single" w:sz="4" w:space="0" w:color="auto"/>
              <w:right w:val="nil"/>
            </w:tcBorders>
            <w:shd w:val="clear" w:color="auto" w:fill="auto"/>
            <w:noWrap/>
            <w:vAlign w:val="bottom"/>
          </w:tcPr>
          <w:p w14:paraId="6D23CBEF"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Total</w:t>
            </w:r>
          </w:p>
        </w:tc>
      </w:tr>
      <w:tr w:rsidR="00A51C1A" w:rsidRPr="009E1ABD" w14:paraId="087CB5D1" w14:textId="77777777">
        <w:trPr>
          <w:trHeight w:val="227"/>
        </w:trPr>
        <w:tc>
          <w:tcPr>
            <w:tcW w:w="1361" w:type="dxa"/>
            <w:vMerge/>
            <w:tcBorders>
              <w:top w:val="single" w:sz="8" w:space="0" w:color="auto"/>
              <w:left w:val="nil"/>
              <w:bottom w:val="nil"/>
              <w:right w:val="dotted" w:sz="4" w:space="0" w:color="auto"/>
            </w:tcBorders>
            <w:vAlign w:val="bottom"/>
          </w:tcPr>
          <w:p w14:paraId="4C92BC42"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p>
        </w:tc>
        <w:tc>
          <w:tcPr>
            <w:tcW w:w="1026" w:type="dxa"/>
            <w:tcBorders>
              <w:top w:val="nil"/>
              <w:left w:val="nil"/>
              <w:bottom w:val="nil"/>
              <w:right w:val="nil"/>
            </w:tcBorders>
            <w:shd w:val="clear" w:color="auto" w:fill="auto"/>
            <w:noWrap/>
            <w:vAlign w:val="bottom"/>
          </w:tcPr>
          <w:p w14:paraId="344D010D"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n</w:t>
            </w:r>
          </w:p>
        </w:tc>
        <w:tc>
          <w:tcPr>
            <w:tcW w:w="1407" w:type="dxa"/>
            <w:tcBorders>
              <w:top w:val="nil"/>
              <w:left w:val="nil"/>
              <w:bottom w:val="nil"/>
              <w:right w:val="nil"/>
            </w:tcBorders>
            <w:shd w:val="clear" w:color="auto" w:fill="auto"/>
            <w:noWrap/>
            <w:vAlign w:val="bottom"/>
          </w:tcPr>
          <w:p w14:paraId="092E17BB"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Rate (95% CI)</w:t>
            </w:r>
          </w:p>
        </w:tc>
        <w:tc>
          <w:tcPr>
            <w:tcW w:w="714" w:type="dxa"/>
            <w:tcBorders>
              <w:top w:val="nil"/>
              <w:left w:val="nil"/>
              <w:bottom w:val="nil"/>
            </w:tcBorders>
            <w:shd w:val="clear" w:color="auto" w:fill="auto"/>
            <w:noWrap/>
            <w:vAlign w:val="bottom"/>
          </w:tcPr>
          <w:p w14:paraId="485129C4"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w:t>
            </w:r>
          </w:p>
        </w:tc>
        <w:tc>
          <w:tcPr>
            <w:tcW w:w="1554" w:type="dxa"/>
            <w:tcBorders>
              <w:top w:val="nil"/>
              <w:bottom w:val="nil"/>
              <w:right w:val="dotted" w:sz="4" w:space="0" w:color="auto"/>
            </w:tcBorders>
            <w:shd w:val="clear" w:color="auto" w:fill="auto"/>
            <w:noWrap/>
            <w:vAlign w:val="bottom"/>
          </w:tcPr>
          <w:p w14:paraId="6CBC0CF5"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RR (95% CI)</w:t>
            </w:r>
          </w:p>
        </w:tc>
        <w:tc>
          <w:tcPr>
            <w:tcW w:w="1026" w:type="dxa"/>
            <w:tcBorders>
              <w:top w:val="nil"/>
              <w:left w:val="dotted" w:sz="4" w:space="0" w:color="auto"/>
              <w:bottom w:val="nil"/>
              <w:right w:val="nil"/>
            </w:tcBorders>
            <w:shd w:val="clear" w:color="auto" w:fill="auto"/>
            <w:noWrap/>
            <w:vAlign w:val="bottom"/>
          </w:tcPr>
          <w:p w14:paraId="0549FB28"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n</w:t>
            </w:r>
          </w:p>
        </w:tc>
        <w:tc>
          <w:tcPr>
            <w:tcW w:w="1667" w:type="dxa"/>
            <w:tcBorders>
              <w:top w:val="nil"/>
              <w:left w:val="nil"/>
              <w:bottom w:val="nil"/>
              <w:right w:val="nil"/>
            </w:tcBorders>
            <w:shd w:val="clear" w:color="auto" w:fill="auto"/>
            <w:noWrap/>
            <w:vAlign w:val="bottom"/>
          </w:tcPr>
          <w:p w14:paraId="0234F398"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Rate (95% CI)</w:t>
            </w:r>
          </w:p>
        </w:tc>
        <w:tc>
          <w:tcPr>
            <w:tcW w:w="714" w:type="dxa"/>
            <w:tcBorders>
              <w:top w:val="nil"/>
              <w:left w:val="nil"/>
              <w:bottom w:val="nil"/>
            </w:tcBorders>
            <w:shd w:val="clear" w:color="auto" w:fill="auto"/>
            <w:noWrap/>
            <w:vAlign w:val="bottom"/>
          </w:tcPr>
          <w:p w14:paraId="4471BB53"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w:t>
            </w:r>
          </w:p>
        </w:tc>
        <w:tc>
          <w:tcPr>
            <w:tcW w:w="1412" w:type="dxa"/>
            <w:tcBorders>
              <w:top w:val="nil"/>
              <w:bottom w:val="nil"/>
              <w:right w:val="dotted" w:sz="4" w:space="0" w:color="auto"/>
            </w:tcBorders>
            <w:shd w:val="clear" w:color="auto" w:fill="auto"/>
            <w:noWrap/>
            <w:vAlign w:val="bottom"/>
          </w:tcPr>
          <w:p w14:paraId="5A2C4654"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RR (95% CI)</w:t>
            </w:r>
          </w:p>
        </w:tc>
        <w:tc>
          <w:tcPr>
            <w:tcW w:w="1026" w:type="dxa"/>
            <w:tcBorders>
              <w:top w:val="nil"/>
              <w:left w:val="dotted" w:sz="4" w:space="0" w:color="auto"/>
              <w:bottom w:val="nil"/>
              <w:right w:val="nil"/>
            </w:tcBorders>
            <w:shd w:val="clear" w:color="auto" w:fill="auto"/>
            <w:noWrap/>
            <w:vAlign w:val="bottom"/>
          </w:tcPr>
          <w:p w14:paraId="6F92F9ED"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n</w:t>
            </w:r>
          </w:p>
        </w:tc>
        <w:tc>
          <w:tcPr>
            <w:tcW w:w="1668" w:type="dxa"/>
            <w:tcBorders>
              <w:top w:val="nil"/>
              <w:left w:val="nil"/>
              <w:bottom w:val="nil"/>
              <w:right w:val="nil"/>
            </w:tcBorders>
            <w:shd w:val="clear" w:color="auto" w:fill="auto"/>
            <w:noWrap/>
            <w:vAlign w:val="bottom"/>
          </w:tcPr>
          <w:p w14:paraId="748AEB23"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Rate (95% CI)</w:t>
            </w:r>
          </w:p>
        </w:tc>
        <w:tc>
          <w:tcPr>
            <w:tcW w:w="1417" w:type="dxa"/>
            <w:tcBorders>
              <w:top w:val="nil"/>
              <w:left w:val="nil"/>
              <w:bottom w:val="nil"/>
              <w:right w:val="nil"/>
            </w:tcBorders>
            <w:shd w:val="clear" w:color="auto" w:fill="auto"/>
            <w:noWrap/>
            <w:vAlign w:val="bottom"/>
          </w:tcPr>
          <w:p w14:paraId="106B893D"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RR (95% CI)</w:t>
            </w:r>
          </w:p>
        </w:tc>
      </w:tr>
      <w:tr w:rsidR="00A51C1A" w:rsidRPr="009E1ABD" w14:paraId="649FD116" w14:textId="77777777">
        <w:trPr>
          <w:trHeight w:val="227"/>
        </w:trPr>
        <w:tc>
          <w:tcPr>
            <w:tcW w:w="1361" w:type="dxa"/>
            <w:tcBorders>
              <w:top w:val="single" w:sz="4" w:space="0" w:color="auto"/>
              <w:left w:val="nil"/>
              <w:bottom w:val="nil"/>
              <w:right w:val="dotted" w:sz="4" w:space="0" w:color="auto"/>
            </w:tcBorders>
            <w:shd w:val="clear" w:color="auto" w:fill="auto"/>
            <w:noWrap/>
            <w:vAlign w:val="center"/>
          </w:tcPr>
          <w:p w14:paraId="3357BF6F" w14:textId="77777777" w:rsidR="00A51C1A" w:rsidRPr="009E1ABD" w:rsidRDefault="00A51C1A" w:rsidP="00234D8F">
            <w:pPr>
              <w:spacing w:after="0" w:line="240" w:lineRule="auto"/>
              <w:rPr>
                <w:rFonts w:eastAsia="Times New Roman" w:cstheme="minorHAnsi"/>
                <w:color w:val="000000"/>
                <w:sz w:val="18"/>
                <w:szCs w:val="20"/>
                <w:lang w:eastAsia="en-GB"/>
              </w:rPr>
            </w:pPr>
            <w:r w:rsidRPr="003C45D8">
              <w:rPr>
                <w:rFonts w:eastAsia="Times New Roman" w:cstheme="minorHAnsi"/>
                <w:color w:val="000000"/>
                <w:sz w:val="18"/>
                <w:szCs w:val="20"/>
                <w:lang w:eastAsia="en-GB"/>
              </w:rPr>
              <w:t>T2DM only</w:t>
            </w:r>
          </w:p>
        </w:tc>
        <w:tc>
          <w:tcPr>
            <w:tcW w:w="1026" w:type="dxa"/>
            <w:tcBorders>
              <w:top w:val="single" w:sz="4" w:space="0" w:color="auto"/>
              <w:left w:val="nil"/>
              <w:bottom w:val="nil"/>
              <w:right w:val="nil"/>
            </w:tcBorders>
            <w:shd w:val="clear" w:color="auto" w:fill="auto"/>
            <w:noWrap/>
            <w:vAlign w:val="bottom"/>
          </w:tcPr>
          <w:p w14:paraId="4857DB1E"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1,356,492</w:t>
            </w:r>
          </w:p>
        </w:tc>
        <w:tc>
          <w:tcPr>
            <w:tcW w:w="1407" w:type="dxa"/>
            <w:tcBorders>
              <w:top w:val="single" w:sz="4" w:space="0" w:color="auto"/>
              <w:left w:val="nil"/>
              <w:bottom w:val="nil"/>
              <w:right w:val="nil"/>
            </w:tcBorders>
            <w:shd w:val="clear" w:color="auto" w:fill="auto"/>
            <w:noWrap/>
            <w:vAlign w:val="bottom"/>
          </w:tcPr>
          <w:p w14:paraId="6D7DE6E9" w14:textId="77777777" w:rsidR="00A51C1A" w:rsidRPr="009E1ABD" w:rsidRDefault="00A51C1A" w:rsidP="00234D8F">
            <w:pPr>
              <w:spacing w:after="0" w:line="240" w:lineRule="auto"/>
              <w:jc w:val="right"/>
              <w:rPr>
                <w:rFonts w:cstheme="minorHAnsi"/>
                <w:color w:val="000000"/>
                <w:sz w:val="18"/>
                <w:szCs w:val="20"/>
              </w:rPr>
            </w:pPr>
            <w:r w:rsidRPr="003C45D8">
              <w:rPr>
                <w:rFonts w:ascii="Calibri" w:hAnsi="Calibri"/>
                <w:color w:val="000000"/>
                <w:sz w:val="18"/>
              </w:rPr>
              <w:t>4.22 (4.21-4.22)</w:t>
            </w:r>
          </w:p>
        </w:tc>
        <w:tc>
          <w:tcPr>
            <w:tcW w:w="714" w:type="dxa"/>
            <w:tcBorders>
              <w:top w:val="single" w:sz="4" w:space="0" w:color="auto"/>
              <w:left w:val="nil"/>
              <w:bottom w:val="nil"/>
            </w:tcBorders>
            <w:shd w:val="clear" w:color="auto" w:fill="auto"/>
            <w:noWrap/>
            <w:vAlign w:val="bottom"/>
          </w:tcPr>
          <w:p w14:paraId="121070C2"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40.8%</w:t>
            </w:r>
          </w:p>
        </w:tc>
        <w:tc>
          <w:tcPr>
            <w:tcW w:w="1554" w:type="dxa"/>
            <w:tcBorders>
              <w:top w:val="single" w:sz="4" w:space="0" w:color="auto"/>
              <w:bottom w:val="nil"/>
              <w:right w:val="dotted" w:sz="4" w:space="0" w:color="auto"/>
            </w:tcBorders>
            <w:shd w:val="clear" w:color="auto" w:fill="auto"/>
            <w:noWrap/>
            <w:vAlign w:val="bottom"/>
          </w:tcPr>
          <w:p w14:paraId="1BC27C8C"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Reference</w:t>
            </w:r>
          </w:p>
        </w:tc>
        <w:tc>
          <w:tcPr>
            <w:tcW w:w="1026" w:type="dxa"/>
            <w:tcBorders>
              <w:top w:val="single" w:sz="4" w:space="0" w:color="auto"/>
              <w:left w:val="dotted" w:sz="4" w:space="0" w:color="auto"/>
              <w:bottom w:val="nil"/>
              <w:right w:val="nil"/>
            </w:tcBorders>
            <w:shd w:val="clear" w:color="auto" w:fill="auto"/>
            <w:noWrap/>
            <w:vAlign w:val="bottom"/>
          </w:tcPr>
          <w:p w14:paraId="0F30D7EF"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1,969,508</w:t>
            </w:r>
          </w:p>
        </w:tc>
        <w:tc>
          <w:tcPr>
            <w:tcW w:w="1667" w:type="dxa"/>
            <w:tcBorders>
              <w:top w:val="single" w:sz="4" w:space="0" w:color="auto"/>
              <w:left w:val="nil"/>
              <w:bottom w:val="nil"/>
              <w:right w:val="nil"/>
            </w:tcBorders>
            <w:shd w:val="clear" w:color="auto" w:fill="auto"/>
            <w:noWrap/>
            <w:vAlign w:val="bottom"/>
          </w:tcPr>
          <w:p w14:paraId="5FD8B3D4" w14:textId="77777777" w:rsidR="00A51C1A" w:rsidRPr="009E1ABD" w:rsidRDefault="00A51C1A" w:rsidP="00234D8F">
            <w:pPr>
              <w:spacing w:after="0" w:line="240" w:lineRule="auto"/>
              <w:jc w:val="right"/>
              <w:rPr>
                <w:rFonts w:cstheme="minorHAnsi"/>
                <w:color w:val="000000"/>
                <w:sz w:val="18"/>
                <w:szCs w:val="20"/>
              </w:rPr>
            </w:pPr>
            <w:r w:rsidRPr="003C45D8">
              <w:rPr>
                <w:rFonts w:ascii="Calibri" w:hAnsi="Calibri"/>
                <w:color w:val="000000"/>
                <w:sz w:val="18"/>
              </w:rPr>
              <w:t>6.12 (6.11-6.13)</w:t>
            </w:r>
          </w:p>
        </w:tc>
        <w:tc>
          <w:tcPr>
            <w:tcW w:w="714" w:type="dxa"/>
            <w:tcBorders>
              <w:top w:val="single" w:sz="4" w:space="0" w:color="auto"/>
              <w:left w:val="nil"/>
              <w:bottom w:val="nil"/>
            </w:tcBorders>
            <w:shd w:val="clear" w:color="auto" w:fill="auto"/>
            <w:noWrap/>
            <w:vAlign w:val="bottom"/>
          </w:tcPr>
          <w:p w14:paraId="1777BB36"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59.2%</w:t>
            </w:r>
          </w:p>
        </w:tc>
        <w:tc>
          <w:tcPr>
            <w:tcW w:w="1412" w:type="dxa"/>
            <w:tcBorders>
              <w:top w:val="single" w:sz="4" w:space="0" w:color="auto"/>
              <w:bottom w:val="nil"/>
              <w:right w:val="dotted" w:sz="4" w:space="0" w:color="auto"/>
            </w:tcBorders>
            <w:shd w:val="clear" w:color="auto" w:fill="auto"/>
            <w:noWrap/>
            <w:vAlign w:val="bottom"/>
          </w:tcPr>
          <w:p w14:paraId="6755CF5F"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Reference</w:t>
            </w:r>
          </w:p>
        </w:tc>
        <w:tc>
          <w:tcPr>
            <w:tcW w:w="1026" w:type="dxa"/>
            <w:tcBorders>
              <w:top w:val="single" w:sz="4" w:space="0" w:color="auto"/>
              <w:left w:val="dotted" w:sz="4" w:space="0" w:color="auto"/>
              <w:bottom w:val="nil"/>
              <w:right w:val="nil"/>
            </w:tcBorders>
            <w:shd w:val="clear" w:color="auto" w:fill="auto"/>
            <w:noWrap/>
            <w:vAlign w:val="bottom"/>
          </w:tcPr>
          <w:p w14:paraId="620157A9"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3,326,000</w:t>
            </w:r>
          </w:p>
        </w:tc>
        <w:tc>
          <w:tcPr>
            <w:tcW w:w="1668" w:type="dxa"/>
            <w:tcBorders>
              <w:top w:val="single" w:sz="4" w:space="0" w:color="auto"/>
              <w:left w:val="nil"/>
              <w:bottom w:val="nil"/>
              <w:right w:val="nil"/>
            </w:tcBorders>
            <w:shd w:val="clear" w:color="auto" w:fill="auto"/>
            <w:noWrap/>
            <w:vAlign w:val="bottom"/>
          </w:tcPr>
          <w:p w14:paraId="688CDAAA" w14:textId="77777777" w:rsidR="00A51C1A" w:rsidRPr="009E1ABD" w:rsidRDefault="00A51C1A" w:rsidP="00234D8F">
            <w:pPr>
              <w:spacing w:after="0" w:line="240" w:lineRule="auto"/>
              <w:jc w:val="right"/>
              <w:rPr>
                <w:rFonts w:cstheme="minorHAnsi"/>
                <w:color w:val="000000"/>
                <w:sz w:val="18"/>
                <w:szCs w:val="20"/>
              </w:rPr>
            </w:pPr>
            <w:r w:rsidRPr="003C45D8">
              <w:rPr>
                <w:rFonts w:ascii="Calibri" w:hAnsi="Calibri"/>
                <w:color w:val="000000"/>
                <w:sz w:val="18"/>
              </w:rPr>
              <w:t>10.34 (10.33-10.35)</w:t>
            </w:r>
          </w:p>
        </w:tc>
        <w:tc>
          <w:tcPr>
            <w:tcW w:w="1417" w:type="dxa"/>
            <w:tcBorders>
              <w:top w:val="single" w:sz="4" w:space="0" w:color="auto"/>
              <w:left w:val="nil"/>
              <w:bottom w:val="nil"/>
              <w:right w:val="nil"/>
            </w:tcBorders>
            <w:shd w:val="clear" w:color="auto" w:fill="auto"/>
            <w:noWrap/>
            <w:vAlign w:val="bottom"/>
          </w:tcPr>
          <w:p w14:paraId="7EAD97A7"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Reference</w:t>
            </w:r>
          </w:p>
        </w:tc>
      </w:tr>
      <w:tr w:rsidR="00A51C1A" w:rsidRPr="009E1ABD" w14:paraId="08D51D49" w14:textId="77777777">
        <w:trPr>
          <w:trHeight w:val="227"/>
        </w:trPr>
        <w:tc>
          <w:tcPr>
            <w:tcW w:w="1361" w:type="dxa"/>
            <w:tcBorders>
              <w:top w:val="nil"/>
              <w:left w:val="nil"/>
              <w:bottom w:val="nil"/>
              <w:right w:val="dotted" w:sz="4" w:space="0" w:color="auto"/>
            </w:tcBorders>
            <w:shd w:val="clear" w:color="auto" w:fill="auto"/>
            <w:noWrap/>
            <w:vAlign w:val="center"/>
          </w:tcPr>
          <w:p w14:paraId="622516BA" w14:textId="77777777" w:rsidR="00A51C1A" w:rsidRPr="009E1ABD" w:rsidRDefault="00A51C1A" w:rsidP="00234D8F">
            <w:pPr>
              <w:spacing w:after="0" w:line="240" w:lineRule="auto"/>
              <w:rPr>
                <w:rFonts w:eastAsia="Times New Roman" w:cstheme="minorHAnsi"/>
                <w:color w:val="000000"/>
                <w:sz w:val="18"/>
                <w:szCs w:val="20"/>
                <w:lang w:eastAsia="en-GB"/>
              </w:rPr>
            </w:pPr>
            <w:r w:rsidRPr="003C45D8">
              <w:rPr>
                <w:rFonts w:eastAsia="Times New Roman" w:cstheme="minorHAnsi"/>
                <w:color w:val="000000"/>
                <w:sz w:val="18"/>
                <w:szCs w:val="20"/>
                <w:lang w:eastAsia="en-GB"/>
              </w:rPr>
              <w:t>+1</w:t>
            </w:r>
          </w:p>
        </w:tc>
        <w:tc>
          <w:tcPr>
            <w:tcW w:w="1026" w:type="dxa"/>
            <w:tcBorders>
              <w:top w:val="nil"/>
              <w:left w:val="nil"/>
              <w:bottom w:val="nil"/>
              <w:right w:val="nil"/>
            </w:tcBorders>
            <w:shd w:val="clear" w:color="auto" w:fill="auto"/>
            <w:noWrap/>
            <w:vAlign w:val="bottom"/>
          </w:tcPr>
          <w:p w14:paraId="43E5C053"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1,130,835</w:t>
            </w:r>
          </w:p>
        </w:tc>
        <w:tc>
          <w:tcPr>
            <w:tcW w:w="1407" w:type="dxa"/>
            <w:tcBorders>
              <w:top w:val="nil"/>
              <w:left w:val="nil"/>
              <w:bottom w:val="nil"/>
              <w:right w:val="nil"/>
            </w:tcBorders>
            <w:shd w:val="clear" w:color="auto" w:fill="auto"/>
            <w:noWrap/>
            <w:vAlign w:val="bottom"/>
          </w:tcPr>
          <w:p w14:paraId="6010196D" w14:textId="77777777" w:rsidR="00A51C1A" w:rsidRPr="009E1ABD" w:rsidRDefault="00A51C1A" w:rsidP="00234D8F">
            <w:pPr>
              <w:spacing w:after="0" w:line="240" w:lineRule="auto"/>
              <w:jc w:val="right"/>
              <w:rPr>
                <w:rFonts w:cstheme="minorHAnsi"/>
                <w:color w:val="000000"/>
                <w:sz w:val="18"/>
                <w:szCs w:val="20"/>
              </w:rPr>
            </w:pPr>
            <w:r w:rsidRPr="003C45D8">
              <w:rPr>
                <w:rFonts w:ascii="Calibri" w:hAnsi="Calibri"/>
                <w:color w:val="000000"/>
                <w:sz w:val="18"/>
              </w:rPr>
              <w:t>4.94 (4.93-4.95)</w:t>
            </w:r>
          </w:p>
        </w:tc>
        <w:tc>
          <w:tcPr>
            <w:tcW w:w="714" w:type="dxa"/>
            <w:tcBorders>
              <w:top w:val="nil"/>
              <w:left w:val="nil"/>
              <w:bottom w:val="nil"/>
            </w:tcBorders>
            <w:shd w:val="clear" w:color="auto" w:fill="auto"/>
            <w:noWrap/>
            <w:vAlign w:val="bottom"/>
          </w:tcPr>
          <w:p w14:paraId="64AC4C4D"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38.8%</w:t>
            </w:r>
          </w:p>
        </w:tc>
        <w:tc>
          <w:tcPr>
            <w:tcW w:w="1554" w:type="dxa"/>
            <w:tcBorders>
              <w:top w:val="nil"/>
              <w:bottom w:val="nil"/>
              <w:right w:val="dotted" w:sz="4" w:space="0" w:color="auto"/>
            </w:tcBorders>
            <w:shd w:val="clear" w:color="auto" w:fill="auto"/>
            <w:noWrap/>
            <w:vAlign w:val="bottom"/>
          </w:tcPr>
          <w:p w14:paraId="40F820C8"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1.17 (1.17-1.17)</w:t>
            </w:r>
          </w:p>
        </w:tc>
        <w:tc>
          <w:tcPr>
            <w:tcW w:w="1026" w:type="dxa"/>
            <w:tcBorders>
              <w:top w:val="nil"/>
              <w:left w:val="dotted" w:sz="4" w:space="0" w:color="auto"/>
              <w:bottom w:val="nil"/>
              <w:right w:val="nil"/>
            </w:tcBorders>
            <w:shd w:val="clear" w:color="auto" w:fill="auto"/>
            <w:noWrap/>
            <w:vAlign w:val="bottom"/>
          </w:tcPr>
          <w:p w14:paraId="0A0E6756"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1,782,381</w:t>
            </w:r>
          </w:p>
        </w:tc>
        <w:tc>
          <w:tcPr>
            <w:tcW w:w="1667" w:type="dxa"/>
            <w:tcBorders>
              <w:top w:val="nil"/>
              <w:left w:val="nil"/>
              <w:bottom w:val="nil"/>
              <w:right w:val="nil"/>
            </w:tcBorders>
            <w:shd w:val="clear" w:color="auto" w:fill="auto"/>
            <w:noWrap/>
            <w:vAlign w:val="bottom"/>
          </w:tcPr>
          <w:p w14:paraId="659EF713" w14:textId="77777777" w:rsidR="00A51C1A" w:rsidRPr="009E1ABD" w:rsidRDefault="00A51C1A" w:rsidP="00234D8F">
            <w:pPr>
              <w:spacing w:after="0" w:line="240" w:lineRule="auto"/>
              <w:jc w:val="right"/>
              <w:rPr>
                <w:rFonts w:cstheme="minorHAnsi"/>
                <w:color w:val="000000"/>
                <w:sz w:val="18"/>
                <w:szCs w:val="20"/>
              </w:rPr>
            </w:pPr>
            <w:r w:rsidRPr="003C45D8">
              <w:rPr>
                <w:rFonts w:ascii="Calibri" w:hAnsi="Calibri"/>
                <w:color w:val="000000"/>
                <w:sz w:val="18"/>
              </w:rPr>
              <w:t>7.78 (7.77-7.79)</w:t>
            </w:r>
          </w:p>
        </w:tc>
        <w:tc>
          <w:tcPr>
            <w:tcW w:w="714" w:type="dxa"/>
            <w:tcBorders>
              <w:top w:val="nil"/>
              <w:left w:val="nil"/>
              <w:bottom w:val="nil"/>
            </w:tcBorders>
            <w:shd w:val="clear" w:color="auto" w:fill="auto"/>
            <w:noWrap/>
            <w:vAlign w:val="bottom"/>
          </w:tcPr>
          <w:p w14:paraId="1E7993E2"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61.2%</w:t>
            </w:r>
          </w:p>
        </w:tc>
        <w:tc>
          <w:tcPr>
            <w:tcW w:w="1412" w:type="dxa"/>
            <w:tcBorders>
              <w:top w:val="nil"/>
              <w:bottom w:val="nil"/>
              <w:right w:val="dotted" w:sz="4" w:space="0" w:color="auto"/>
            </w:tcBorders>
            <w:shd w:val="clear" w:color="auto" w:fill="auto"/>
            <w:noWrap/>
            <w:vAlign w:val="bottom"/>
          </w:tcPr>
          <w:p w14:paraId="392B01DF"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1.27 (1.27-1.27)</w:t>
            </w:r>
          </w:p>
        </w:tc>
        <w:tc>
          <w:tcPr>
            <w:tcW w:w="1026" w:type="dxa"/>
            <w:tcBorders>
              <w:top w:val="nil"/>
              <w:left w:val="dotted" w:sz="4" w:space="0" w:color="auto"/>
              <w:bottom w:val="nil"/>
              <w:right w:val="nil"/>
            </w:tcBorders>
            <w:shd w:val="clear" w:color="auto" w:fill="auto"/>
            <w:noWrap/>
            <w:vAlign w:val="bottom"/>
          </w:tcPr>
          <w:p w14:paraId="41F38767"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2,913,216</w:t>
            </w:r>
          </w:p>
        </w:tc>
        <w:tc>
          <w:tcPr>
            <w:tcW w:w="1668" w:type="dxa"/>
            <w:tcBorders>
              <w:top w:val="nil"/>
              <w:left w:val="nil"/>
              <w:bottom w:val="nil"/>
              <w:right w:val="nil"/>
            </w:tcBorders>
            <w:shd w:val="clear" w:color="auto" w:fill="auto"/>
            <w:noWrap/>
            <w:vAlign w:val="bottom"/>
          </w:tcPr>
          <w:p w14:paraId="369E4785" w14:textId="77777777" w:rsidR="00A51C1A" w:rsidRPr="009E1ABD" w:rsidRDefault="00A51C1A" w:rsidP="00234D8F">
            <w:pPr>
              <w:spacing w:after="0" w:line="240" w:lineRule="auto"/>
              <w:jc w:val="right"/>
              <w:rPr>
                <w:rFonts w:cstheme="minorHAnsi"/>
                <w:color w:val="000000"/>
                <w:sz w:val="18"/>
                <w:szCs w:val="20"/>
              </w:rPr>
            </w:pPr>
            <w:r w:rsidRPr="003C45D8">
              <w:rPr>
                <w:rFonts w:ascii="Calibri" w:hAnsi="Calibri"/>
                <w:color w:val="000000"/>
                <w:sz w:val="18"/>
              </w:rPr>
              <w:t>12.72 (12.70-12.73)</w:t>
            </w:r>
          </w:p>
        </w:tc>
        <w:tc>
          <w:tcPr>
            <w:tcW w:w="1417" w:type="dxa"/>
            <w:tcBorders>
              <w:top w:val="nil"/>
              <w:left w:val="nil"/>
              <w:bottom w:val="nil"/>
              <w:right w:val="nil"/>
            </w:tcBorders>
            <w:shd w:val="clear" w:color="auto" w:fill="auto"/>
            <w:noWrap/>
            <w:vAlign w:val="bottom"/>
          </w:tcPr>
          <w:p w14:paraId="712A8FA2"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1.23 (1.23-1.23)</w:t>
            </w:r>
          </w:p>
        </w:tc>
      </w:tr>
      <w:tr w:rsidR="00A51C1A" w:rsidRPr="009E1ABD" w14:paraId="415AD344" w14:textId="77777777">
        <w:trPr>
          <w:trHeight w:val="227"/>
        </w:trPr>
        <w:tc>
          <w:tcPr>
            <w:tcW w:w="1361" w:type="dxa"/>
            <w:tcBorders>
              <w:top w:val="nil"/>
              <w:left w:val="nil"/>
              <w:bottom w:val="nil"/>
              <w:right w:val="dotted" w:sz="4" w:space="0" w:color="auto"/>
            </w:tcBorders>
            <w:shd w:val="clear" w:color="auto" w:fill="auto"/>
            <w:noWrap/>
            <w:vAlign w:val="center"/>
          </w:tcPr>
          <w:p w14:paraId="72D12E7E" w14:textId="77777777" w:rsidR="00A51C1A" w:rsidRPr="009E1ABD" w:rsidRDefault="00A51C1A" w:rsidP="00234D8F">
            <w:pPr>
              <w:spacing w:after="0" w:line="240" w:lineRule="auto"/>
              <w:rPr>
                <w:rFonts w:eastAsia="Times New Roman" w:cstheme="minorHAnsi"/>
                <w:color w:val="000000"/>
                <w:sz w:val="18"/>
                <w:szCs w:val="20"/>
                <w:lang w:eastAsia="en-GB"/>
              </w:rPr>
            </w:pPr>
            <w:r w:rsidRPr="003C45D8">
              <w:rPr>
                <w:rFonts w:eastAsia="Times New Roman" w:cstheme="minorHAnsi"/>
                <w:color w:val="000000"/>
                <w:sz w:val="18"/>
                <w:szCs w:val="20"/>
                <w:lang w:eastAsia="en-GB"/>
              </w:rPr>
              <w:t>+2</w:t>
            </w:r>
          </w:p>
        </w:tc>
        <w:tc>
          <w:tcPr>
            <w:tcW w:w="1026" w:type="dxa"/>
            <w:tcBorders>
              <w:top w:val="nil"/>
              <w:left w:val="nil"/>
              <w:bottom w:val="nil"/>
              <w:right w:val="nil"/>
            </w:tcBorders>
            <w:shd w:val="clear" w:color="auto" w:fill="auto"/>
            <w:noWrap/>
            <w:vAlign w:val="bottom"/>
          </w:tcPr>
          <w:p w14:paraId="5DF181B8"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505,077</w:t>
            </w:r>
          </w:p>
        </w:tc>
        <w:tc>
          <w:tcPr>
            <w:tcW w:w="1407" w:type="dxa"/>
            <w:tcBorders>
              <w:top w:val="nil"/>
              <w:left w:val="nil"/>
              <w:bottom w:val="nil"/>
              <w:right w:val="nil"/>
            </w:tcBorders>
            <w:shd w:val="clear" w:color="auto" w:fill="auto"/>
            <w:noWrap/>
            <w:vAlign w:val="bottom"/>
          </w:tcPr>
          <w:p w14:paraId="150A6A0E" w14:textId="77777777" w:rsidR="00A51C1A" w:rsidRPr="009E1ABD" w:rsidRDefault="00A51C1A" w:rsidP="00234D8F">
            <w:pPr>
              <w:spacing w:after="0" w:line="240" w:lineRule="auto"/>
              <w:jc w:val="right"/>
              <w:rPr>
                <w:rFonts w:cstheme="minorHAnsi"/>
                <w:color w:val="000000"/>
                <w:sz w:val="18"/>
                <w:szCs w:val="20"/>
              </w:rPr>
            </w:pPr>
            <w:r w:rsidRPr="003C45D8">
              <w:rPr>
                <w:rFonts w:ascii="Calibri" w:hAnsi="Calibri"/>
                <w:color w:val="000000"/>
                <w:sz w:val="18"/>
              </w:rPr>
              <w:t>5.66 (5.65-5.68)</w:t>
            </w:r>
          </w:p>
        </w:tc>
        <w:tc>
          <w:tcPr>
            <w:tcW w:w="714" w:type="dxa"/>
            <w:tcBorders>
              <w:top w:val="nil"/>
              <w:left w:val="nil"/>
              <w:bottom w:val="nil"/>
            </w:tcBorders>
            <w:shd w:val="clear" w:color="auto" w:fill="auto"/>
            <w:noWrap/>
            <w:vAlign w:val="bottom"/>
          </w:tcPr>
          <w:p w14:paraId="4B935860"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37.4%</w:t>
            </w:r>
          </w:p>
        </w:tc>
        <w:tc>
          <w:tcPr>
            <w:tcW w:w="1554" w:type="dxa"/>
            <w:tcBorders>
              <w:top w:val="nil"/>
              <w:bottom w:val="nil"/>
              <w:right w:val="dotted" w:sz="4" w:space="0" w:color="auto"/>
            </w:tcBorders>
            <w:shd w:val="clear" w:color="auto" w:fill="auto"/>
            <w:noWrap/>
            <w:vAlign w:val="bottom"/>
          </w:tcPr>
          <w:p w14:paraId="6EB24B0A"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1.34 (1.34-1.35)</w:t>
            </w:r>
          </w:p>
        </w:tc>
        <w:tc>
          <w:tcPr>
            <w:tcW w:w="1026" w:type="dxa"/>
            <w:tcBorders>
              <w:top w:val="nil"/>
              <w:left w:val="dotted" w:sz="4" w:space="0" w:color="auto"/>
              <w:bottom w:val="nil"/>
              <w:right w:val="nil"/>
            </w:tcBorders>
            <w:shd w:val="clear" w:color="auto" w:fill="auto"/>
            <w:noWrap/>
            <w:vAlign w:val="bottom"/>
          </w:tcPr>
          <w:p w14:paraId="48F5BB9D"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844,859</w:t>
            </w:r>
          </w:p>
        </w:tc>
        <w:tc>
          <w:tcPr>
            <w:tcW w:w="1667" w:type="dxa"/>
            <w:tcBorders>
              <w:top w:val="nil"/>
              <w:left w:val="nil"/>
              <w:bottom w:val="nil"/>
              <w:right w:val="nil"/>
            </w:tcBorders>
            <w:shd w:val="clear" w:color="auto" w:fill="auto"/>
            <w:noWrap/>
            <w:vAlign w:val="bottom"/>
          </w:tcPr>
          <w:p w14:paraId="162B4EFA" w14:textId="77777777" w:rsidR="00A51C1A" w:rsidRPr="009E1ABD" w:rsidRDefault="00A51C1A" w:rsidP="00234D8F">
            <w:pPr>
              <w:spacing w:after="0" w:line="240" w:lineRule="auto"/>
              <w:jc w:val="right"/>
              <w:rPr>
                <w:rFonts w:cstheme="minorHAnsi"/>
                <w:color w:val="000000"/>
                <w:sz w:val="18"/>
                <w:szCs w:val="20"/>
              </w:rPr>
            </w:pPr>
            <w:r w:rsidRPr="003C45D8">
              <w:rPr>
                <w:rFonts w:ascii="Calibri" w:hAnsi="Calibri"/>
                <w:color w:val="000000"/>
                <w:sz w:val="18"/>
              </w:rPr>
              <w:t>9.47 (9.45-9.49)</w:t>
            </w:r>
          </w:p>
        </w:tc>
        <w:tc>
          <w:tcPr>
            <w:tcW w:w="714" w:type="dxa"/>
            <w:tcBorders>
              <w:top w:val="nil"/>
              <w:left w:val="nil"/>
              <w:bottom w:val="nil"/>
            </w:tcBorders>
            <w:shd w:val="clear" w:color="auto" w:fill="auto"/>
            <w:noWrap/>
            <w:vAlign w:val="bottom"/>
          </w:tcPr>
          <w:p w14:paraId="1681979A"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62.6%</w:t>
            </w:r>
          </w:p>
        </w:tc>
        <w:tc>
          <w:tcPr>
            <w:tcW w:w="1412" w:type="dxa"/>
            <w:tcBorders>
              <w:top w:val="nil"/>
              <w:bottom w:val="nil"/>
              <w:right w:val="dotted" w:sz="4" w:space="0" w:color="auto"/>
            </w:tcBorders>
            <w:shd w:val="clear" w:color="auto" w:fill="auto"/>
            <w:noWrap/>
            <w:vAlign w:val="bottom"/>
          </w:tcPr>
          <w:p w14:paraId="04A1AD11"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1.55 (1.54-1.55)</w:t>
            </w:r>
          </w:p>
        </w:tc>
        <w:tc>
          <w:tcPr>
            <w:tcW w:w="1026" w:type="dxa"/>
            <w:tcBorders>
              <w:top w:val="nil"/>
              <w:left w:val="dotted" w:sz="4" w:space="0" w:color="auto"/>
              <w:bottom w:val="nil"/>
              <w:right w:val="nil"/>
            </w:tcBorders>
            <w:shd w:val="clear" w:color="auto" w:fill="auto"/>
            <w:noWrap/>
            <w:vAlign w:val="bottom"/>
          </w:tcPr>
          <w:p w14:paraId="4979088B"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1,349,936</w:t>
            </w:r>
          </w:p>
        </w:tc>
        <w:tc>
          <w:tcPr>
            <w:tcW w:w="1668" w:type="dxa"/>
            <w:tcBorders>
              <w:top w:val="nil"/>
              <w:left w:val="nil"/>
              <w:bottom w:val="nil"/>
              <w:right w:val="nil"/>
            </w:tcBorders>
            <w:shd w:val="clear" w:color="auto" w:fill="auto"/>
            <w:noWrap/>
            <w:vAlign w:val="bottom"/>
          </w:tcPr>
          <w:p w14:paraId="43498C25" w14:textId="77777777" w:rsidR="00A51C1A" w:rsidRPr="009E1ABD" w:rsidRDefault="00A51C1A" w:rsidP="00234D8F">
            <w:pPr>
              <w:spacing w:after="0" w:line="240" w:lineRule="auto"/>
              <w:jc w:val="right"/>
              <w:rPr>
                <w:rFonts w:cstheme="minorHAnsi"/>
                <w:color w:val="000000"/>
                <w:sz w:val="18"/>
                <w:szCs w:val="20"/>
              </w:rPr>
            </w:pPr>
            <w:r w:rsidRPr="003C45D8">
              <w:rPr>
                <w:rFonts w:ascii="Calibri" w:hAnsi="Calibri"/>
                <w:color w:val="000000"/>
                <w:sz w:val="18"/>
              </w:rPr>
              <w:t>15.13 (15.11-15.16)</w:t>
            </w:r>
          </w:p>
        </w:tc>
        <w:tc>
          <w:tcPr>
            <w:tcW w:w="1417" w:type="dxa"/>
            <w:tcBorders>
              <w:top w:val="nil"/>
              <w:left w:val="nil"/>
              <w:bottom w:val="nil"/>
              <w:right w:val="nil"/>
            </w:tcBorders>
            <w:shd w:val="clear" w:color="auto" w:fill="auto"/>
            <w:noWrap/>
            <w:vAlign w:val="bottom"/>
          </w:tcPr>
          <w:p w14:paraId="77924480"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1.46 (1.46-1.47)</w:t>
            </w:r>
          </w:p>
        </w:tc>
      </w:tr>
      <w:tr w:rsidR="00A51C1A" w:rsidRPr="009E1ABD" w14:paraId="6F6342CE" w14:textId="77777777">
        <w:trPr>
          <w:trHeight w:val="227"/>
        </w:trPr>
        <w:tc>
          <w:tcPr>
            <w:tcW w:w="1361" w:type="dxa"/>
            <w:tcBorders>
              <w:top w:val="nil"/>
              <w:left w:val="nil"/>
              <w:bottom w:val="nil"/>
              <w:right w:val="dotted" w:sz="4" w:space="0" w:color="auto"/>
            </w:tcBorders>
            <w:shd w:val="clear" w:color="auto" w:fill="auto"/>
            <w:noWrap/>
            <w:vAlign w:val="center"/>
          </w:tcPr>
          <w:p w14:paraId="5467BFC7" w14:textId="77777777" w:rsidR="00A51C1A" w:rsidRPr="009E1ABD" w:rsidRDefault="00A51C1A" w:rsidP="00234D8F">
            <w:pPr>
              <w:spacing w:after="0" w:line="240" w:lineRule="auto"/>
              <w:rPr>
                <w:rFonts w:eastAsia="Times New Roman" w:cstheme="minorHAnsi"/>
                <w:color w:val="000000"/>
                <w:sz w:val="18"/>
                <w:szCs w:val="20"/>
                <w:lang w:eastAsia="en-GB"/>
              </w:rPr>
            </w:pPr>
            <w:r w:rsidRPr="003C45D8">
              <w:rPr>
                <w:rFonts w:eastAsia="Times New Roman" w:cstheme="minorHAnsi"/>
                <w:color w:val="000000"/>
                <w:sz w:val="18"/>
                <w:szCs w:val="20"/>
                <w:lang w:eastAsia="en-GB"/>
              </w:rPr>
              <w:t>+3 or more</w:t>
            </w:r>
          </w:p>
        </w:tc>
        <w:tc>
          <w:tcPr>
            <w:tcW w:w="1026" w:type="dxa"/>
            <w:tcBorders>
              <w:top w:val="nil"/>
              <w:left w:val="nil"/>
              <w:bottom w:val="nil"/>
              <w:right w:val="nil"/>
            </w:tcBorders>
            <w:shd w:val="clear" w:color="auto" w:fill="auto"/>
            <w:noWrap/>
            <w:vAlign w:val="bottom"/>
          </w:tcPr>
          <w:p w14:paraId="2B351A99"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265,819</w:t>
            </w:r>
          </w:p>
        </w:tc>
        <w:tc>
          <w:tcPr>
            <w:tcW w:w="1407" w:type="dxa"/>
            <w:tcBorders>
              <w:top w:val="nil"/>
              <w:left w:val="nil"/>
              <w:bottom w:val="nil"/>
              <w:right w:val="nil"/>
            </w:tcBorders>
            <w:shd w:val="clear" w:color="auto" w:fill="auto"/>
            <w:noWrap/>
            <w:vAlign w:val="bottom"/>
          </w:tcPr>
          <w:p w14:paraId="2F4A293D" w14:textId="77777777" w:rsidR="00A51C1A" w:rsidRPr="009E1ABD" w:rsidRDefault="00A51C1A" w:rsidP="00234D8F">
            <w:pPr>
              <w:spacing w:after="0" w:line="240" w:lineRule="auto"/>
              <w:jc w:val="right"/>
              <w:rPr>
                <w:rFonts w:cstheme="minorHAnsi"/>
                <w:color w:val="000000"/>
                <w:sz w:val="18"/>
                <w:szCs w:val="20"/>
              </w:rPr>
            </w:pPr>
            <w:r w:rsidRPr="003C45D8">
              <w:rPr>
                <w:rFonts w:ascii="Calibri" w:hAnsi="Calibri"/>
                <w:color w:val="000000"/>
                <w:sz w:val="18"/>
              </w:rPr>
              <w:t>6.68 (6.65-6.71)</w:t>
            </w:r>
          </w:p>
        </w:tc>
        <w:tc>
          <w:tcPr>
            <w:tcW w:w="714" w:type="dxa"/>
            <w:tcBorders>
              <w:top w:val="nil"/>
              <w:left w:val="nil"/>
              <w:bottom w:val="nil"/>
            </w:tcBorders>
            <w:shd w:val="clear" w:color="auto" w:fill="auto"/>
            <w:noWrap/>
            <w:vAlign w:val="bottom"/>
          </w:tcPr>
          <w:p w14:paraId="4B1CD1D7"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35.7%</w:t>
            </w:r>
          </w:p>
        </w:tc>
        <w:tc>
          <w:tcPr>
            <w:tcW w:w="1554" w:type="dxa"/>
            <w:tcBorders>
              <w:top w:val="nil"/>
              <w:bottom w:val="nil"/>
              <w:right w:val="dotted" w:sz="4" w:space="0" w:color="auto"/>
            </w:tcBorders>
            <w:shd w:val="clear" w:color="auto" w:fill="auto"/>
            <w:noWrap/>
            <w:vAlign w:val="bottom"/>
          </w:tcPr>
          <w:p w14:paraId="2BAB064A"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1.58 (1.58-1.59)</w:t>
            </w:r>
          </w:p>
        </w:tc>
        <w:tc>
          <w:tcPr>
            <w:tcW w:w="1026" w:type="dxa"/>
            <w:tcBorders>
              <w:top w:val="nil"/>
              <w:left w:val="dotted" w:sz="4" w:space="0" w:color="auto"/>
              <w:bottom w:val="nil"/>
              <w:right w:val="nil"/>
            </w:tcBorders>
            <w:shd w:val="clear" w:color="auto" w:fill="auto"/>
            <w:noWrap/>
            <w:vAlign w:val="bottom"/>
          </w:tcPr>
          <w:p w14:paraId="5B1D0EE9"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479,400</w:t>
            </w:r>
          </w:p>
        </w:tc>
        <w:tc>
          <w:tcPr>
            <w:tcW w:w="1667" w:type="dxa"/>
            <w:tcBorders>
              <w:top w:val="nil"/>
              <w:left w:val="nil"/>
              <w:bottom w:val="nil"/>
              <w:right w:val="nil"/>
            </w:tcBorders>
            <w:shd w:val="clear" w:color="auto" w:fill="auto"/>
            <w:noWrap/>
            <w:vAlign w:val="bottom"/>
          </w:tcPr>
          <w:p w14:paraId="04D1EC2C" w14:textId="77777777" w:rsidR="00A51C1A" w:rsidRPr="009E1ABD" w:rsidRDefault="00A51C1A" w:rsidP="00234D8F">
            <w:pPr>
              <w:spacing w:after="0" w:line="240" w:lineRule="auto"/>
              <w:jc w:val="right"/>
              <w:rPr>
                <w:rFonts w:cstheme="minorHAnsi"/>
                <w:color w:val="000000"/>
                <w:sz w:val="18"/>
                <w:szCs w:val="20"/>
              </w:rPr>
            </w:pPr>
            <w:r w:rsidRPr="003C45D8">
              <w:rPr>
                <w:rFonts w:ascii="Calibri" w:hAnsi="Calibri"/>
                <w:color w:val="000000"/>
                <w:sz w:val="18"/>
              </w:rPr>
              <w:t>12.05 (12.01-12.08)</w:t>
            </w:r>
          </w:p>
        </w:tc>
        <w:tc>
          <w:tcPr>
            <w:tcW w:w="714" w:type="dxa"/>
            <w:tcBorders>
              <w:top w:val="nil"/>
              <w:left w:val="nil"/>
              <w:bottom w:val="nil"/>
            </w:tcBorders>
            <w:shd w:val="clear" w:color="auto" w:fill="auto"/>
            <w:noWrap/>
            <w:vAlign w:val="bottom"/>
          </w:tcPr>
          <w:p w14:paraId="045DFA34"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64.3%</w:t>
            </w:r>
          </w:p>
        </w:tc>
        <w:tc>
          <w:tcPr>
            <w:tcW w:w="1412" w:type="dxa"/>
            <w:tcBorders>
              <w:top w:val="nil"/>
              <w:bottom w:val="nil"/>
              <w:right w:val="dotted" w:sz="4" w:space="0" w:color="auto"/>
            </w:tcBorders>
            <w:shd w:val="clear" w:color="auto" w:fill="auto"/>
            <w:noWrap/>
            <w:vAlign w:val="bottom"/>
          </w:tcPr>
          <w:p w14:paraId="2454426F"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1.97 (1.96-1.97)</w:t>
            </w:r>
          </w:p>
        </w:tc>
        <w:tc>
          <w:tcPr>
            <w:tcW w:w="1026" w:type="dxa"/>
            <w:tcBorders>
              <w:top w:val="nil"/>
              <w:left w:val="dotted" w:sz="4" w:space="0" w:color="auto"/>
              <w:bottom w:val="nil"/>
              <w:right w:val="nil"/>
            </w:tcBorders>
            <w:shd w:val="clear" w:color="auto" w:fill="auto"/>
            <w:noWrap/>
            <w:vAlign w:val="bottom"/>
          </w:tcPr>
          <w:p w14:paraId="4F854FE0"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745,219</w:t>
            </w:r>
          </w:p>
        </w:tc>
        <w:tc>
          <w:tcPr>
            <w:tcW w:w="1668" w:type="dxa"/>
            <w:tcBorders>
              <w:top w:val="nil"/>
              <w:left w:val="nil"/>
              <w:bottom w:val="nil"/>
              <w:right w:val="nil"/>
            </w:tcBorders>
            <w:shd w:val="clear" w:color="auto" w:fill="auto"/>
            <w:noWrap/>
            <w:vAlign w:val="bottom"/>
          </w:tcPr>
          <w:p w14:paraId="48561D04" w14:textId="77777777" w:rsidR="00A51C1A" w:rsidRPr="009E1ABD" w:rsidRDefault="00A51C1A" w:rsidP="00234D8F">
            <w:pPr>
              <w:spacing w:after="0" w:line="240" w:lineRule="auto"/>
              <w:jc w:val="right"/>
              <w:rPr>
                <w:rFonts w:cstheme="minorHAnsi"/>
                <w:color w:val="000000"/>
                <w:sz w:val="18"/>
                <w:szCs w:val="20"/>
              </w:rPr>
            </w:pPr>
            <w:r w:rsidRPr="003C45D8">
              <w:rPr>
                <w:rFonts w:ascii="Calibri" w:hAnsi="Calibri"/>
                <w:color w:val="000000"/>
                <w:sz w:val="18"/>
              </w:rPr>
              <w:t>18.73 (18.69-18.77)</w:t>
            </w:r>
          </w:p>
        </w:tc>
        <w:tc>
          <w:tcPr>
            <w:tcW w:w="1417" w:type="dxa"/>
            <w:tcBorders>
              <w:top w:val="nil"/>
              <w:left w:val="nil"/>
              <w:bottom w:val="nil"/>
              <w:right w:val="nil"/>
            </w:tcBorders>
            <w:shd w:val="clear" w:color="auto" w:fill="auto"/>
            <w:noWrap/>
            <w:vAlign w:val="bottom"/>
          </w:tcPr>
          <w:p w14:paraId="2AA3F7B9"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1.81 (1.81-1.82)</w:t>
            </w:r>
          </w:p>
        </w:tc>
      </w:tr>
      <w:tr w:rsidR="00A51C1A" w:rsidRPr="009E1ABD" w14:paraId="66E89580" w14:textId="77777777">
        <w:trPr>
          <w:trHeight w:val="227"/>
        </w:trPr>
        <w:tc>
          <w:tcPr>
            <w:tcW w:w="1361" w:type="dxa"/>
            <w:tcBorders>
              <w:top w:val="nil"/>
              <w:left w:val="nil"/>
              <w:bottom w:val="single" w:sz="4" w:space="0" w:color="auto"/>
              <w:right w:val="dotted" w:sz="4" w:space="0" w:color="auto"/>
            </w:tcBorders>
            <w:shd w:val="clear" w:color="auto" w:fill="auto"/>
            <w:noWrap/>
            <w:vAlign w:val="center"/>
          </w:tcPr>
          <w:p w14:paraId="4E06C76E" w14:textId="77777777" w:rsidR="00A51C1A" w:rsidRPr="009E1ABD" w:rsidRDefault="00A51C1A" w:rsidP="00234D8F">
            <w:pPr>
              <w:spacing w:after="0" w:line="240" w:lineRule="auto"/>
              <w:rPr>
                <w:rFonts w:eastAsia="Times New Roman" w:cstheme="minorHAnsi"/>
                <w:color w:val="000000"/>
                <w:sz w:val="18"/>
                <w:szCs w:val="20"/>
                <w:lang w:eastAsia="en-GB"/>
              </w:rPr>
            </w:pPr>
            <w:r w:rsidRPr="003C45D8">
              <w:rPr>
                <w:rFonts w:eastAsia="Times New Roman" w:cstheme="minorHAnsi"/>
                <w:color w:val="000000"/>
                <w:sz w:val="18"/>
                <w:szCs w:val="20"/>
                <w:lang w:eastAsia="en-GB"/>
              </w:rPr>
              <w:t>Total</w:t>
            </w:r>
          </w:p>
        </w:tc>
        <w:tc>
          <w:tcPr>
            <w:tcW w:w="1026" w:type="dxa"/>
            <w:tcBorders>
              <w:top w:val="nil"/>
              <w:left w:val="nil"/>
              <w:bottom w:val="single" w:sz="4" w:space="0" w:color="auto"/>
              <w:right w:val="nil"/>
            </w:tcBorders>
            <w:shd w:val="clear" w:color="auto" w:fill="auto"/>
            <w:noWrap/>
            <w:vAlign w:val="bottom"/>
          </w:tcPr>
          <w:p w14:paraId="751DA4B1"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3,258,223</w:t>
            </w:r>
          </w:p>
        </w:tc>
        <w:tc>
          <w:tcPr>
            <w:tcW w:w="1407" w:type="dxa"/>
            <w:tcBorders>
              <w:top w:val="nil"/>
              <w:left w:val="nil"/>
              <w:bottom w:val="single" w:sz="4" w:space="0" w:color="auto"/>
              <w:right w:val="nil"/>
            </w:tcBorders>
            <w:shd w:val="clear" w:color="auto" w:fill="auto"/>
            <w:noWrap/>
            <w:vAlign w:val="bottom"/>
          </w:tcPr>
          <w:p w14:paraId="0D44236C" w14:textId="77777777" w:rsidR="00A51C1A" w:rsidRPr="009E1ABD" w:rsidRDefault="00A51C1A" w:rsidP="00234D8F">
            <w:pPr>
              <w:spacing w:after="0" w:line="240" w:lineRule="auto"/>
              <w:jc w:val="right"/>
              <w:rPr>
                <w:rFonts w:cstheme="minorHAnsi"/>
                <w:color w:val="000000"/>
                <w:sz w:val="18"/>
                <w:szCs w:val="20"/>
              </w:rPr>
            </w:pPr>
            <w:r w:rsidRPr="003C45D8">
              <w:rPr>
                <w:rFonts w:ascii="Calibri" w:hAnsi="Calibri"/>
                <w:color w:val="000000"/>
                <w:sz w:val="18"/>
              </w:rPr>
              <w:t>4.79 (4.79-4.80)</w:t>
            </w:r>
          </w:p>
        </w:tc>
        <w:tc>
          <w:tcPr>
            <w:tcW w:w="714" w:type="dxa"/>
            <w:tcBorders>
              <w:top w:val="nil"/>
              <w:left w:val="nil"/>
              <w:bottom w:val="single" w:sz="4" w:space="0" w:color="auto"/>
            </w:tcBorders>
            <w:shd w:val="clear" w:color="auto" w:fill="auto"/>
            <w:noWrap/>
            <w:vAlign w:val="bottom"/>
          </w:tcPr>
          <w:p w14:paraId="0A0FA94C"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39.1%</w:t>
            </w:r>
          </w:p>
        </w:tc>
        <w:tc>
          <w:tcPr>
            <w:tcW w:w="1554" w:type="dxa"/>
            <w:tcBorders>
              <w:top w:val="nil"/>
              <w:bottom w:val="single" w:sz="4" w:space="0" w:color="auto"/>
              <w:right w:val="dotted" w:sz="4" w:space="0" w:color="auto"/>
            </w:tcBorders>
            <w:shd w:val="clear" w:color="auto" w:fill="auto"/>
            <w:noWrap/>
            <w:vAlign w:val="bottom"/>
          </w:tcPr>
          <w:p w14:paraId="15DE91E4"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w:t>
            </w:r>
          </w:p>
        </w:tc>
        <w:tc>
          <w:tcPr>
            <w:tcW w:w="1026" w:type="dxa"/>
            <w:tcBorders>
              <w:top w:val="nil"/>
              <w:left w:val="dotted" w:sz="4" w:space="0" w:color="auto"/>
              <w:bottom w:val="single" w:sz="4" w:space="0" w:color="auto"/>
              <w:right w:val="nil"/>
            </w:tcBorders>
            <w:shd w:val="clear" w:color="auto" w:fill="auto"/>
            <w:noWrap/>
            <w:vAlign w:val="bottom"/>
          </w:tcPr>
          <w:p w14:paraId="168FA408"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5,076,148</w:t>
            </w:r>
          </w:p>
        </w:tc>
        <w:tc>
          <w:tcPr>
            <w:tcW w:w="1667" w:type="dxa"/>
            <w:tcBorders>
              <w:top w:val="nil"/>
              <w:left w:val="nil"/>
              <w:bottom w:val="single" w:sz="4" w:space="0" w:color="auto"/>
              <w:right w:val="nil"/>
            </w:tcBorders>
            <w:shd w:val="clear" w:color="auto" w:fill="auto"/>
            <w:noWrap/>
            <w:vAlign w:val="bottom"/>
          </w:tcPr>
          <w:p w14:paraId="1F949655" w14:textId="77777777" w:rsidR="00A51C1A" w:rsidRPr="009E1ABD" w:rsidRDefault="00A51C1A" w:rsidP="00234D8F">
            <w:pPr>
              <w:spacing w:after="0" w:line="240" w:lineRule="auto"/>
              <w:jc w:val="right"/>
              <w:rPr>
                <w:rFonts w:cstheme="minorHAnsi"/>
                <w:color w:val="000000"/>
                <w:sz w:val="18"/>
                <w:szCs w:val="20"/>
              </w:rPr>
            </w:pPr>
            <w:r w:rsidRPr="003C45D8">
              <w:rPr>
                <w:rFonts w:ascii="Calibri" w:hAnsi="Calibri"/>
                <w:color w:val="000000"/>
                <w:sz w:val="18"/>
              </w:rPr>
              <w:t>7.47 (7.46-7.47)</w:t>
            </w:r>
          </w:p>
        </w:tc>
        <w:tc>
          <w:tcPr>
            <w:tcW w:w="714" w:type="dxa"/>
            <w:tcBorders>
              <w:top w:val="nil"/>
              <w:left w:val="nil"/>
              <w:bottom w:val="single" w:sz="4" w:space="0" w:color="auto"/>
            </w:tcBorders>
            <w:shd w:val="clear" w:color="auto" w:fill="auto"/>
            <w:noWrap/>
            <w:vAlign w:val="bottom"/>
          </w:tcPr>
          <w:p w14:paraId="22580309"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60.9%</w:t>
            </w:r>
          </w:p>
        </w:tc>
        <w:tc>
          <w:tcPr>
            <w:tcW w:w="1412" w:type="dxa"/>
            <w:tcBorders>
              <w:top w:val="nil"/>
              <w:bottom w:val="single" w:sz="4" w:space="0" w:color="auto"/>
              <w:right w:val="dotted" w:sz="4" w:space="0" w:color="auto"/>
            </w:tcBorders>
            <w:shd w:val="clear" w:color="auto" w:fill="auto"/>
            <w:noWrap/>
            <w:vAlign w:val="bottom"/>
          </w:tcPr>
          <w:p w14:paraId="2579470A"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w:t>
            </w:r>
          </w:p>
        </w:tc>
        <w:tc>
          <w:tcPr>
            <w:tcW w:w="1026" w:type="dxa"/>
            <w:tcBorders>
              <w:top w:val="nil"/>
              <w:left w:val="dotted" w:sz="4" w:space="0" w:color="auto"/>
              <w:bottom w:val="single" w:sz="4" w:space="0" w:color="auto"/>
              <w:right w:val="nil"/>
            </w:tcBorders>
            <w:shd w:val="clear" w:color="auto" w:fill="auto"/>
            <w:noWrap/>
            <w:vAlign w:val="bottom"/>
          </w:tcPr>
          <w:p w14:paraId="38A70B26"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8,334,371</w:t>
            </w:r>
          </w:p>
        </w:tc>
        <w:tc>
          <w:tcPr>
            <w:tcW w:w="1668" w:type="dxa"/>
            <w:tcBorders>
              <w:top w:val="nil"/>
              <w:left w:val="nil"/>
              <w:bottom w:val="single" w:sz="4" w:space="0" w:color="auto"/>
              <w:right w:val="nil"/>
            </w:tcBorders>
            <w:shd w:val="clear" w:color="auto" w:fill="auto"/>
            <w:noWrap/>
            <w:vAlign w:val="bottom"/>
          </w:tcPr>
          <w:p w14:paraId="7B637356" w14:textId="77777777" w:rsidR="00A51C1A" w:rsidRPr="009E1ABD" w:rsidRDefault="00A51C1A" w:rsidP="00234D8F">
            <w:pPr>
              <w:spacing w:after="0" w:line="240" w:lineRule="auto"/>
              <w:jc w:val="right"/>
              <w:rPr>
                <w:rFonts w:cstheme="minorHAnsi"/>
                <w:color w:val="000000"/>
                <w:sz w:val="18"/>
                <w:szCs w:val="20"/>
              </w:rPr>
            </w:pPr>
            <w:r w:rsidRPr="003C45D8">
              <w:rPr>
                <w:rFonts w:ascii="Calibri" w:hAnsi="Calibri"/>
                <w:color w:val="000000"/>
                <w:sz w:val="18"/>
              </w:rPr>
              <w:t>12.26 (12.25-12.27)</w:t>
            </w:r>
          </w:p>
        </w:tc>
        <w:tc>
          <w:tcPr>
            <w:tcW w:w="1417" w:type="dxa"/>
            <w:tcBorders>
              <w:top w:val="nil"/>
              <w:left w:val="nil"/>
              <w:bottom w:val="single" w:sz="4" w:space="0" w:color="auto"/>
              <w:right w:val="nil"/>
            </w:tcBorders>
            <w:shd w:val="clear" w:color="auto" w:fill="auto"/>
            <w:noWrap/>
            <w:vAlign w:val="bottom"/>
          </w:tcPr>
          <w:p w14:paraId="314CB5D6" w14:textId="77777777" w:rsidR="00A51C1A" w:rsidRPr="009E1ABD" w:rsidRDefault="00A51C1A" w:rsidP="00234D8F">
            <w:pPr>
              <w:spacing w:after="0" w:line="240" w:lineRule="auto"/>
              <w:jc w:val="right"/>
              <w:rPr>
                <w:rFonts w:cstheme="minorHAnsi"/>
                <w:color w:val="000000"/>
                <w:sz w:val="18"/>
                <w:szCs w:val="20"/>
              </w:rPr>
            </w:pPr>
            <w:r w:rsidRPr="003C45D8">
              <w:rPr>
                <w:rFonts w:cstheme="minorHAnsi"/>
                <w:color w:val="000000"/>
                <w:sz w:val="18"/>
                <w:szCs w:val="20"/>
              </w:rPr>
              <w:t>-</w:t>
            </w:r>
          </w:p>
        </w:tc>
      </w:tr>
      <w:tr w:rsidR="00A51C1A" w:rsidRPr="009E1ABD" w14:paraId="6961A889" w14:textId="77777777">
        <w:trPr>
          <w:trHeight w:val="227"/>
        </w:trPr>
        <w:tc>
          <w:tcPr>
            <w:tcW w:w="14992" w:type="dxa"/>
            <w:gridSpan w:val="12"/>
            <w:tcBorders>
              <w:top w:val="single" w:sz="4" w:space="0" w:color="auto"/>
              <w:left w:val="nil"/>
              <w:bottom w:val="nil"/>
              <w:right w:val="nil"/>
            </w:tcBorders>
            <w:shd w:val="clear" w:color="000000" w:fill="E7E6E6"/>
            <w:noWrap/>
            <w:vAlign w:val="center"/>
          </w:tcPr>
          <w:p w14:paraId="03BC49A3" w14:textId="77777777" w:rsidR="00A51C1A" w:rsidRPr="009E1ABD" w:rsidRDefault="00A51C1A" w:rsidP="00234D8F">
            <w:pPr>
              <w:spacing w:after="0" w:line="240" w:lineRule="auto"/>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Telephone</w:t>
            </w:r>
          </w:p>
        </w:tc>
      </w:tr>
      <w:tr w:rsidR="00A51C1A" w:rsidRPr="009E1ABD" w14:paraId="70EC444F" w14:textId="77777777">
        <w:trPr>
          <w:trHeight w:val="227"/>
        </w:trPr>
        <w:tc>
          <w:tcPr>
            <w:tcW w:w="1361" w:type="dxa"/>
            <w:vMerge w:val="restart"/>
            <w:tcBorders>
              <w:top w:val="single" w:sz="8" w:space="0" w:color="auto"/>
              <w:left w:val="nil"/>
              <w:bottom w:val="nil"/>
              <w:right w:val="dotted" w:sz="4" w:space="0" w:color="auto"/>
            </w:tcBorders>
            <w:shd w:val="clear" w:color="auto" w:fill="auto"/>
            <w:noWrap/>
            <w:vAlign w:val="bottom"/>
          </w:tcPr>
          <w:p w14:paraId="628B840E"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Number of comorbidities</w:t>
            </w:r>
          </w:p>
        </w:tc>
        <w:tc>
          <w:tcPr>
            <w:tcW w:w="4701" w:type="dxa"/>
            <w:gridSpan w:val="4"/>
            <w:tcBorders>
              <w:top w:val="single" w:sz="4" w:space="0" w:color="auto"/>
              <w:left w:val="nil"/>
              <w:bottom w:val="single" w:sz="4" w:space="0" w:color="auto"/>
              <w:right w:val="dotted" w:sz="4" w:space="0" w:color="000000"/>
            </w:tcBorders>
            <w:shd w:val="clear" w:color="auto" w:fill="auto"/>
            <w:noWrap/>
            <w:vAlign w:val="bottom"/>
          </w:tcPr>
          <w:p w14:paraId="1D5609B2"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Nurse</w:t>
            </w:r>
          </w:p>
        </w:tc>
        <w:tc>
          <w:tcPr>
            <w:tcW w:w="4819" w:type="dxa"/>
            <w:gridSpan w:val="4"/>
            <w:tcBorders>
              <w:top w:val="single" w:sz="4" w:space="0" w:color="auto"/>
              <w:left w:val="nil"/>
              <w:bottom w:val="single" w:sz="4" w:space="0" w:color="auto"/>
              <w:right w:val="dotted" w:sz="4" w:space="0" w:color="000000"/>
            </w:tcBorders>
            <w:shd w:val="clear" w:color="auto" w:fill="auto"/>
            <w:noWrap/>
            <w:vAlign w:val="bottom"/>
          </w:tcPr>
          <w:p w14:paraId="08BEA7C4"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GP</w:t>
            </w:r>
          </w:p>
        </w:tc>
        <w:tc>
          <w:tcPr>
            <w:tcW w:w="4111" w:type="dxa"/>
            <w:gridSpan w:val="3"/>
            <w:tcBorders>
              <w:top w:val="single" w:sz="4" w:space="0" w:color="auto"/>
              <w:left w:val="nil"/>
              <w:bottom w:val="single" w:sz="4" w:space="0" w:color="auto"/>
              <w:right w:val="nil"/>
            </w:tcBorders>
            <w:shd w:val="clear" w:color="auto" w:fill="auto"/>
            <w:noWrap/>
            <w:vAlign w:val="bottom"/>
          </w:tcPr>
          <w:p w14:paraId="1536C33A"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Total</w:t>
            </w:r>
          </w:p>
        </w:tc>
      </w:tr>
      <w:tr w:rsidR="00A51C1A" w:rsidRPr="009E1ABD" w14:paraId="5585CB35" w14:textId="77777777">
        <w:trPr>
          <w:trHeight w:val="227"/>
        </w:trPr>
        <w:tc>
          <w:tcPr>
            <w:tcW w:w="1361" w:type="dxa"/>
            <w:vMerge/>
            <w:tcBorders>
              <w:top w:val="single" w:sz="8" w:space="0" w:color="auto"/>
              <w:left w:val="nil"/>
              <w:bottom w:val="nil"/>
              <w:right w:val="dotted" w:sz="4" w:space="0" w:color="auto"/>
            </w:tcBorders>
            <w:vAlign w:val="bottom"/>
          </w:tcPr>
          <w:p w14:paraId="33058C67"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p>
        </w:tc>
        <w:tc>
          <w:tcPr>
            <w:tcW w:w="1026" w:type="dxa"/>
            <w:tcBorders>
              <w:top w:val="nil"/>
              <w:left w:val="nil"/>
              <w:bottom w:val="nil"/>
              <w:right w:val="nil"/>
            </w:tcBorders>
            <w:shd w:val="clear" w:color="auto" w:fill="auto"/>
            <w:noWrap/>
            <w:vAlign w:val="bottom"/>
          </w:tcPr>
          <w:p w14:paraId="76E80F13"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n</w:t>
            </w:r>
          </w:p>
        </w:tc>
        <w:tc>
          <w:tcPr>
            <w:tcW w:w="1407" w:type="dxa"/>
            <w:tcBorders>
              <w:top w:val="nil"/>
              <w:left w:val="nil"/>
              <w:bottom w:val="nil"/>
              <w:right w:val="nil"/>
            </w:tcBorders>
            <w:shd w:val="clear" w:color="auto" w:fill="auto"/>
            <w:noWrap/>
            <w:vAlign w:val="bottom"/>
          </w:tcPr>
          <w:p w14:paraId="3F974CEE"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Rate (95% CI)</w:t>
            </w:r>
          </w:p>
        </w:tc>
        <w:tc>
          <w:tcPr>
            <w:tcW w:w="714" w:type="dxa"/>
            <w:tcBorders>
              <w:top w:val="nil"/>
              <w:left w:val="nil"/>
              <w:bottom w:val="nil"/>
            </w:tcBorders>
            <w:shd w:val="clear" w:color="auto" w:fill="auto"/>
            <w:noWrap/>
            <w:vAlign w:val="bottom"/>
          </w:tcPr>
          <w:p w14:paraId="2A6F1836"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w:t>
            </w:r>
          </w:p>
        </w:tc>
        <w:tc>
          <w:tcPr>
            <w:tcW w:w="1554" w:type="dxa"/>
            <w:tcBorders>
              <w:top w:val="nil"/>
              <w:bottom w:val="nil"/>
              <w:right w:val="dotted" w:sz="4" w:space="0" w:color="auto"/>
            </w:tcBorders>
            <w:shd w:val="clear" w:color="auto" w:fill="auto"/>
            <w:noWrap/>
            <w:vAlign w:val="bottom"/>
          </w:tcPr>
          <w:p w14:paraId="0300899E"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RR (95% CI)</w:t>
            </w:r>
          </w:p>
        </w:tc>
        <w:tc>
          <w:tcPr>
            <w:tcW w:w="1026" w:type="dxa"/>
            <w:tcBorders>
              <w:top w:val="nil"/>
              <w:left w:val="dotted" w:sz="4" w:space="0" w:color="auto"/>
              <w:bottom w:val="nil"/>
              <w:right w:val="nil"/>
            </w:tcBorders>
            <w:shd w:val="clear" w:color="auto" w:fill="auto"/>
            <w:noWrap/>
            <w:vAlign w:val="bottom"/>
          </w:tcPr>
          <w:p w14:paraId="46AC1624"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n</w:t>
            </w:r>
          </w:p>
        </w:tc>
        <w:tc>
          <w:tcPr>
            <w:tcW w:w="1667" w:type="dxa"/>
            <w:tcBorders>
              <w:top w:val="nil"/>
              <w:left w:val="nil"/>
              <w:bottom w:val="nil"/>
              <w:right w:val="nil"/>
            </w:tcBorders>
            <w:shd w:val="clear" w:color="auto" w:fill="auto"/>
            <w:noWrap/>
            <w:vAlign w:val="bottom"/>
          </w:tcPr>
          <w:p w14:paraId="52DA2F35"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Rate (95% CI)</w:t>
            </w:r>
          </w:p>
        </w:tc>
        <w:tc>
          <w:tcPr>
            <w:tcW w:w="714" w:type="dxa"/>
            <w:tcBorders>
              <w:top w:val="nil"/>
              <w:left w:val="nil"/>
              <w:bottom w:val="nil"/>
            </w:tcBorders>
            <w:shd w:val="clear" w:color="auto" w:fill="auto"/>
            <w:noWrap/>
            <w:vAlign w:val="bottom"/>
          </w:tcPr>
          <w:p w14:paraId="1751E3B7"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w:t>
            </w:r>
          </w:p>
        </w:tc>
        <w:tc>
          <w:tcPr>
            <w:tcW w:w="1412" w:type="dxa"/>
            <w:tcBorders>
              <w:top w:val="nil"/>
              <w:bottom w:val="nil"/>
              <w:right w:val="dotted" w:sz="4" w:space="0" w:color="auto"/>
            </w:tcBorders>
            <w:shd w:val="clear" w:color="auto" w:fill="auto"/>
            <w:noWrap/>
            <w:vAlign w:val="bottom"/>
          </w:tcPr>
          <w:p w14:paraId="3B99A6B1"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RR (95% CI)</w:t>
            </w:r>
          </w:p>
        </w:tc>
        <w:tc>
          <w:tcPr>
            <w:tcW w:w="1026" w:type="dxa"/>
            <w:tcBorders>
              <w:top w:val="nil"/>
              <w:left w:val="dotted" w:sz="4" w:space="0" w:color="auto"/>
              <w:bottom w:val="nil"/>
              <w:right w:val="nil"/>
            </w:tcBorders>
            <w:shd w:val="clear" w:color="auto" w:fill="auto"/>
            <w:noWrap/>
            <w:vAlign w:val="bottom"/>
          </w:tcPr>
          <w:p w14:paraId="109CAB85"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n</w:t>
            </w:r>
          </w:p>
        </w:tc>
        <w:tc>
          <w:tcPr>
            <w:tcW w:w="1668" w:type="dxa"/>
            <w:tcBorders>
              <w:top w:val="nil"/>
              <w:left w:val="nil"/>
              <w:bottom w:val="nil"/>
              <w:right w:val="nil"/>
            </w:tcBorders>
            <w:shd w:val="clear" w:color="auto" w:fill="auto"/>
            <w:noWrap/>
            <w:vAlign w:val="bottom"/>
          </w:tcPr>
          <w:p w14:paraId="656CD146"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Rate (95% CI)</w:t>
            </w:r>
          </w:p>
        </w:tc>
        <w:tc>
          <w:tcPr>
            <w:tcW w:w="1417" w:type="dxa"/>
            <w:tcBorders>
              <w:top w:val="nil"/>
              <w:left w:val="nil"/>
              <w:bottom w:val="nil"/>
              <w:right w:val="nil"/>
            </w:tcBorders>
            <w:shd w:val="clear" w:color="auto" w:fill="auto"/>
            <w:noWrap/>
            <w:vAlign w:val="bottom"/>
          </w:tcPr>
          <w:p w14:paraId="1AA560F8" w14:textId="77777777" w:rsidR="00A51C1A" w:rsidRPr="009E1ABD" w:rsidRDefault="00A51C1A" w:rsidP="00234D8F">
            <w:pPr>
              <w:spacing w:after="0" w:line="240" w:lineRule="auto"/>
              <w:jc w:val="center"/>
              <w:rPr>
                <w:rFonts w:ascii="Calibri" w:eastAsia="Times New Roman" w:hAnsi="Calibri" w:cs="Calibri"/>
                <w:b/>
                <w:bCs/>
                <w:color w:val="000000"/>
                <w:sz w:val="18"/>
                <w:szCs w:val="19"/>
                <w:lang w:eastAsia="en-GB"/>
              </w:rPr>
            </w:pPr>
            <w:r w:rsidRPr="003C45D8">
              <w:rPr>
                <w:rFonts w:ascii="Calibri" w:eastAsia="Times New Roman" w:hAnsi="Calibri" w:cs="Calibri"/>
                <w:b/>
                <w:bCs/>
                <w:color w:val="000000"/>
                <w:sz w:val="18"/>
                <w:szCs w:val="19"/>
                <w:lang w:eastAsia="en-GB"/>
              </w:rPr>
              <w:t>RR (95% CI)</w:t>
            </w:r>
          </w:p>
        </w:tc>
      </w:tr>
      <w:tr w:rsidR="00A51C1A" w:rsidRPr="009E1ABD" w14:paraId="39E160EB" w14:textId="77777777">
        <w:trPr>
          <w:trHeight w:val="227"/>
        </w:trPr>
        <w:tc>
          <w:tcPr>
            <w:tcW w:w="1361" w:type="dxa"/>
            <w:tcBorders>
              <w:top w:val="single" w:sz="4" w:space="0" w:color="auto"/>
              <w:left w:val="nil"/>
              <w:bottom w:val="nil"/>
              <w:right w:val="dotted" w:sz="4" w:space="0" w:color="auto"/>
            </w:tcBorders>
            <w:shd w:val="clear" w:color="auto" w:fill="auto"/>
            <w:noWrap/>
            <w:vAlign w:val="center"/>
          </w:tcPr>
          <w:p w14:paraId="08D1842D" w14:textId="77777777" w:rsidR="00A51C1A" w:rsidRPr="009E1ABD" w:rsidRDefault="00A51C1A" w:rsidP="00234D8F">
            <w:pPr>
              <w:spacing w:after="0" w:line="240" w:lineRule="auto"/>
              <w:rPr>
                <w:rFonts w:ascii="Calibri" w:eastAsia="Times New Roman" w:hAnsi="Calibri" w:cs="Calibri"/>
                <w:color w:val="000000"/>
                <w:sz w:val="18"/>
                <w:szCs w:val="20"/>
                <w:lang w:eastAsia="en-GB"/>
              </w:rPr>
            </w:pPr>
            <w:r w:rsidRPr="003C45D8">
              <w:rPr>
                <w:rFonts w:ascii="Calibri" w:eastAsia="Times New Roman" w:hAnsi="Calibri" w:cs="Calibri"/>
                <w:color w:val="000000"/>
                <w:sz w:val="18"/>
                <w:szCs w:val="20"/>
                <w:lang w:eastAsia="en-GB"/>
              </w:rPr>
              <w:t>T2DM only</w:t>
            </w:r>
          </w:p>
        </w:tc>
        <w:tc>
          <w:tcPr>
            <w:tcW w:w="1026" w:type="dxa"/>
            <w:tcBorders>
              <w:top w:val="single" w:sz="4" w:space="0" w:color="auto"/>
              <w:left w:val="nil"/>
              <w:bottom w:val="nil"/>
              <w:right w:val="nil"/>
            </w:tcBorders>
            <w:shd w:val="clear" w:color="auto" w:fill="auto"/>
            <w:noWrap/>
            <w:vAlign w:val="bottom"/>
          </w:tcPr>
          <w:p w14:paraId="68C8769B"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35,471</w:t>
            </w:r>
          </w:p>
        </w:tc>
        <w:tc>
          <w:tcPr>
            <w:tcW w:w="1407" w:type="dxa"/>
            <w:tcBorders>
              <w:top w:val="single" w:sz="4" w:space="0" w:color="auto"/>
              <w:left w:val="nil"/>
              <w:bottom w:val="nil"/>
              <w:right w:val="nil"/>
            </w:tcBorders>
            <w:shd w:val="clear" w:color="auto" w:fill="auto"/>
            <w:noWrap/>
            <w:vAlign w:val="bottom"/>
          </w:tcPr>
          <w:p w14:paraId="6D7B045A"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olor w:val="000000"/>
                <w:sz w:val="18"/>
              </w:rPr>
              <w:t>0.11 (0.11-0.11)</w:t>
            </w:r>
          </w:p>
        </w:tc>
        <w:tc>
          <w:tcPr>
            <w:tcW w:w="714" w:type="dxa"/>
            <w:tcBorders>
              <w:top w:val="single" w:sz="4" w:space="0" w:color="auto"/>
              <w:left w:val="nil"/>
              <w:bottom w:val="nil"/>
            </w:tcBorders>
            <w:shd w:val="clear" w:color="auto" w:fill="auto"/>
            <w:noWrap/>
            <w:vAlign w:val="bottom"/>
          </w:tcPr>
          <w:p w14:paraId="2362EE0D"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19.4%</w:t>
            </w:r>
          </w:p>
        </w:tc>
        <w:tc>
          <w:tcPr>
            <w:tcW w:w="1554" w:type="dxa"/>
            <w:tcBorders>
              <w:top w:val="single" w:sz="4" w:space="0" w:color="auto"/>
              <w:bottom w:val="nil"/>
              <w:right w:val="dotted" w:sz="4" w:space="0" w:color="auto"/>
            </w:tcBorders>
            <w:shd w:val="clear" w:color="auto" w:fill="auto"/>
            <w:noWrap/>
            <w:vAlign w:val="bottom"/>
          </w:tcPr>
          <w:p w14:paraId="25533E38"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cstheme="minorHAnsi"/>
                <w:color w:val="000000"/>
                <w:sz w:val="18"/>
                <w:szCs w:val="20"/>
              </w:rPr>
              <w:t>Reference</w:t>
            </w:r>
          </w:p>
        </w:tc>
        <w:tc>
          <w:tcPr>
            <w:tcW w:w="1026" w:type="dxa"/>
            <w:tcBorders>
              <w:top w:val="single" w:sz="4" w:space="0" w:color="auto"/>
              <w:left w:val="dotted" w:sz="4" w:space="0" w:color="auto"/>
              <w:bottom w:val="nil"/>
              <w:right w:val="nil"/>
            </w:tcBorders>
            <w:shd w:val="clear" w:color="auto" w:fill="auto"/>
            <w:noWrap/>
            <w:vAlign w:val="bottom"/>
          </w:tcPr>
          <w:p w14:paraId="0586A77D"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147,824</w:t>
            </w:r>
          </w:p>
        </w:tc>
        <w:tc>
          <w:tcPr>
            <w:tcW w:w="1667" w:type="dxa"/>
            <w:tcBorders>
              <w:top w:val="single" w:sz="4" w:space="0" w:color="auto"/>
              <w:left w:val="nil"/>
              <w:bottom w:val="nil"/>
              <w:right w:val="nil"/>
            </w:tcBorders>
            <w:shd w:val="clear" w:color="auto" w:fill="auto"/>
            <w:noWrap/>
            <w:vAlign w:val="bottom"/>
          </w:tcPr>
          <w:p w14:paraId="19D42248"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olor w:val="000000"/>
                <w:sz w:val="18"/>
              </w:rPr>
              <w:t>0.46 (0.46-0.46)</w:t>
            </w:r>
          </w:p>
        </w:tc>
        <w:tc>
          <w:tcPr>
            <w:tcW w:w="714" w:type="dxa"/>
            <w:tcBorders>
              <w:top w:val="single" w:sz="4" w:space="0" w:color="auto"/>
              <w:left w:val="nil"/>
              <w:bottom w:val="nil"/>
            </w:tcBorders>
            <w:shd w:val="clear" w:color="auto" w:fill="auto"/>
            <w:noWrap/>
            <w:vAlign w:val="bottom"/>
          </w:tcPr>
          <w:p w14:paraId="7A33DCA6"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80.6%</w:t>
            </w:r>
          </w:p>
        </w:tc>
        <w:tc>
          <w:tcPr>
            <w:tcW w:w="1412" w:type="dxa"/>
            <w:tcBorders>
              <w:top w:val="single" w:sz="4" w:space="0" w:color="auto"/>
              <w:bottom w:val="nil"/>
              <w:right w:val="dotted" w:sz="4" w:space="0" w:color="auto"/>
            </w:tcBorders>
            <w:shd w:val="clear" w:color="auto" w:fill="auto"/>
            <w:noWrap/>
            <w:vAlign w:val="bottom"/>
          </w:tcPr>
          <w:p w14:paraId="32A4CADC"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cstheme="minorHAnsi"/>
                <w:color w:val="000000"/>
                <w:sz w:val="18"/>
                <w:szCs w:val="20"/>
              </w:rPr>
              <w:t>Reference</w:t>
            </w:r>
          </w:p>
        </w:tc>
        <w:tc>
          <w:tcPr>
            <w:tcW w:w="1026" w:type="dxa"/>
            <w:tcBorders>
              <w:top w:val="single" w:sz="4" w:space="0" w:color="auto"/>
              <w:left w:val="dotted" w:sz="4" w:space="0" w:color="auto"/>
              <w:bottom w:val="nil"/>
              <w:right w:val="nil"/>
            </w:tcBorders>
            <w:shd w:val="clear" w:color="auto" w:fill="auto"/>
            <w:noWrap/>
            <w:vAlign w:val="bottom"/>
          </w:tcPr>
          <w:p w14:paraId="77072BD1"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183,295</w:t>
            </w:r>
          </w:p>
        </w:tc>
        <w:tc>
          <w:tcPr>
            <w:tcW w:w="1668" w:type="dxa"/>
            <w:tcBorders>
              <w:top w:val="single" w:sz="4" w:space="0" w:color="auto"/>
              <w:left w:val="nil"/>
              <w:bottom w:val="nil"/>
              <w:right w:val="nil"/>
            </w:tcBorders>
            <w:shd w:val="clear" w:color="auto" w:fill="auto"/>
            <w:noWrap/>
            <w:vAlign w:val="bottom"/>
          </w:tcPr>
          <w:p w14:paraId="6928DF38"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olor w:val="000000"/>
                <w:sz w:val="18"/>
              </w:rPr>
              <w:t>0.57 (0.57-0.57)</w:t>
            </w:r>
          </w:p>
        </w:tc>
        <w:tc>
          <w:tcPr>
            <w:tcW w:w="1417" w:type="dxa"/>
            <w:tcBorders>
              <w:top w:val="single" w:sz="4" w:space="0" w:color="auto"/>
              <w:left w:val="nil"/>
              <w:bottom w:val="nil"/>
              <w:right w:val="nil"/>
            </w:tcBorders>
            <w:shd w:val="clear" w:color="auto" w:fill="auto"/>
            <w:noWrap/>
            <w:vAlign w:val="bottom"/>
          </w:tcPr>
          <w:p w14:paraId="60084F91"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cstheme="minorHAnsi"/>
                <w:color w:val="000000"/>
                <w:sz w:val="18"/>
                <w:szCs w:val="20"/>
              </w:rPr>
              <w:t>Reference</w:t>
            </w:r>
          </w:p>
        </w:tc>
      </w:tr>
      <w:tr w:rsidR="00A51C1A" w:rsidRPr="009E1ABD" w14:paraId="6DB03242" w14:textId="77777777">
        <w:trPr>
          <w:trHeight w:val="227"/>
        </w:trPr>
        <w:tc>
          <w:tcPr>
            <w:tcW w:w="1361" w:type="dxa"/>
            <w:tcBorders>
              <w:top w:val="nil"/>
              <w:left w:val="nil"/>
              <w:bottom w:val="nil"/>
              <w:right w:val="dotted" w:sz="4" w:space="0" w:color="auto"/>
            </w:tcBorders>
            <w:shd w:val="clear" w:color="auto" w:fill="auto"/>
            <w:noWrap/>
            <w:vAlign w:val="center"/>
          </w:tcPr>
          <w:p w14:paraId="164FD8C9" w14:textId="77777777" w:rsidR="00A51C1A" w:rsidRPr="009E1ABD" w:rsidRDefault="00A51C1A" w:rsidP="00234D8F">
            <w:pPr>
              <w:spacing w:after="0" w:line="240" w:lineRule="auto"/>
              <w:rPr>
                <w:rFonts w:ascii="Calibri" w:eastAsia="Times New Roman" w:hAnsi="Calibri" w:cs="Calibri"/>
                <w:color w:val="000000"/>
                <w:sz w:val="18"/>
                <w:szCs w:val="20"/>
                <w:lang w:eastAsia="en-GB"/>
              </w:rPr>
            </w:pPr>
            <w:r w:rsidRPr="003C45D8">
              <w:rPr>
                <w:rFonts w:ascii="Calibri" w:eastAsia="Times New Roman" w:hAnsi="Calibri" w:cs="Calibri"/>
                <w:color w:val="000000"/>
                <w:sz w:val="18"/>
                <w:szCs w:val="20"/>
                <w:lang w:eastAsia="en-GB"/>
              </w:rPr>
              <w:t>+1</w:t>
            </w:r>
          </w:p>
        </w:tc>
        <w:tc>
          <w:tcPr>
            <w:tcW w:w="1026" w:type="dxa"/>
            <w:tcBorders>
              <w:top w:val="nil"/>
              <w:left w:val="nil"/>
              <w:bottom w:val="nil"/>
              <w:right w:val="nil"/>
            </w:tcBorders>
            <w:shd w:val="clear" w:color="auto" w:fill="auto"/>
            <w:noWrap/>
            <w:vAlign w:val="bottom"/>
          </w:tcPr>
          <w:p w14:paraId="103C6074"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31,670</w:t>
            </w:r>
          </w:p>
        </w:tc>
        <w:tc>
          <w:tcPr>
            <w:tcW w:w="1407" w:type="dxa"/>
            <w:tcBorders>
              <w:top w:val="nil"/>
              <w:left w:val="nil"/>
              <w:bottom w:val="nil"/>
              <w:right w:val="nil"/>
            </w:tcBorders>
            <w:shd w:val="clear" w:color="auto" w:fill="auto"/>
            <w:noWrap/>
            <w:vAlign w:val="bottom"/>
          </w:tcPr>
          <w:p w14:paraId="774CF5EA"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olor w:val="000000"/>
                <w:sz w:val="18"/>
              </w:rPr>
              <w:t>0.14 (0.14-0.14)</w:t>
            </w:r>
          </w:p>
        </w:tc>
        <w:tc>
          <w:tcPr>
            <w:tcW w:w="714" w:type="dxa"/>
            <w:tcBorders>
              <w:top w:val="nil"/>
              <w:left w:val="nil"/>
              <w:bottom w:val="nil"/>
            </w:tcBorders>
            <w:shd w:val="clear" w:color="auto" w:fill="auto"/>
            <w:noWrap/>
            <w:vAlign w:val="bottom"/>
          </w:tcPr>
          <w:p w14:paraId="5E82FF8D"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16.2%</w:t>
            </w:r>
          </w:p>
        </w:tc>
        <w:tc>
          <w:tcPr>
            <w:tcW w:w="1554" w:type="dxa"/>
            <w:tcBorders>
              <w:top w:val="nil"/>
              <w:bottom w:val="nil"/>
              <w:right w:val="dotted" w:sz="4" w:space="0" w:color="auto"/>
            </w:tcBorders>
            <w:shd w:val="clear" w:color="auto" w:fill="auto"/>
            <w:noWrap/>
            <w:vAlign w:val="bottom"/>
          </w:tcPr>
          <w:p w14:paraId="6292B3A4"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1.25 (1.23-1.27)</w:t>
            </w:r>
          </w:p>
        </w:tc>
        <w:tc>
          <w:tcPr>
            <w:tcW w:w="1026" w:type="dxa"/>
            <w:tcBorders>
              <w:top w:val="nil"/>
              <w:left w:val="dotted" w:sz="4" w:space="0" w:color="auto"/>
              <w:bottom w:val="nil"/>
              <w:right w:val="nil"/>
            </w:tcBorders>
            <w:shd w:val="clear" w:color="auto" w:fill="auto"/>
            <w:noWrap/>
            <w:vAlign w:val="bottom"/>
          </w:tcPr>
          <w:p w14:paraId="3102783D"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164,376</w:t>
            </w:r>
          </w:p>
        </w:tc>
        <w:tc>
          <w:tcPr>
            <w:tcW w:w="1667" w:type="dxa"/>
            <w:tcBorders>
              <w:top w:val="nil"/>
              <w:left w:val="nil"/>
              <w:bottom w:val="nil"/>
              <w:right w:val="nil"/>
            </w:tcBorders>
            <w:shd w:val="clear" w:color="auto" w:fill="auto"/>
            <w:noWrap/>
            <w:vAlign w:val="bottom"/>
          </w:tcPr>
          <w:p w14:paraId="46CB97F2"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olor w:val="000000"/>
                <w:sz w:val="18"/>
              </w:rPr>
              <w:t>0.72 (0.71-0.72)</w:t>
            </w:r>
          </w:p>
        </w:tc>
        <w:tc>
          <w:tcPr>
            <w:tcW w:w="714" w:type="dxa"/>
            <w:tcBorders>
              <w:top w:val="nil"/>
              <w:left w:val="nil"/>
              <w:bottom w:val="nil"/>
            </w:tcBorders>
            <w:shd w:val="clear" w:color="auto" w:fill="auto"/>
            <w:noWrap/>
            <w:vAlign w:val="bottom"/>
          </w:tcPr>
          <w:p w14:paraId="0B910C50"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83.8%</w:t>
            </w:r>
          </w:p>
        </w:tc>
        <w:tc>
          <w:tcPr>
            <w:tcW w:w="1412" w:type="dxa"/>
            <w:tcBorders>
              <w:top w:val="nil"/>
              <w:bottom w:val="nil"/>
              <w:right w:val="dotted" w:sz="4" w:space="0" w:color="auto"/>
            </w:tcBorders>
            <w:shd w:val="clear" w:color="auto" w:fill="auto"/>
            <w:noWrap/>
          </w:tcPr>
          <w:p w14:paraId="56921408" w14:textId="77777777" w:rsidR="00A51C1A" w:rsidRPr="009E1ABD" w:rsidRDefault="00A51C1A" w:rsidP="00234D8F">
            <w:pPr>
              <w:spacing w:after="0" w:line="240" w:lineRule="auto"/>
              <w:jc w:val="right"/>
              <w:rPr>
                <w:sz w:val="18"/>
                <w:szCs w:val="20"/>
              </w:rPr>
            </w:pPr>
            <w:r w:rsidRPr="003C45D8">
              <w:rPr>
                <w:sz w:val="18"/>
                <w:szCs w:val="20"/>
              </w:rPr>
              <w:t>1.56 (1.55-1.57)</w:t>
            </w:r>
          </w:p>
        </w:tc>
        <w:tc>
          <w:tcPr>
            <w:tcW w:w="1026" w:type="dxa"/>
            <w:tcBorders>
              <w:top w:val="nil"/>
              <w:left w:val="dotted" w:sz="4" w:space="0" w:color="auto"/>
              <w:bottom w:val="nil"/>
              <w:right w:val="nil"/>
            </w:tcBorders>
            <w:shd w:val="clear" w:color="auto" w:fill="auto"/>
            <w:noWrap/>
            <w:vAlign w:val="bottom"/>
          </w:tcPr>
          <w:p w14:paraId="3D174EDF"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196,046</w:t>
            </w:r>
          </w:p>
        </w:tc>
        <w:tc>
          <w:tcPr>
            <w:tcW w:w="1668" w:type="dxa"/>
            <w:tcBorders>
              <w:top w:val="nil"/>
              <w:left w:val="nil"/>
              <w:bottom w:val="nil"/>
              <w:right w:val="nil"/>
            </w:tcBorders>
            <w:shd w:val="clear" w:color="auto" w:fill="auto"/>
            <w:noWrap/>
            <w:vAlign w:val="bottom"/>
          </w:tcPr>
          <w:p w14:paraId="4239A44B"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olor w:val="000000"/>
                <w:sz w:val="18"/>
              </w:rPr>
              <w:t>0.86 (0.85-0.86)</w:t>
            </w:r>
          </w:p>
        </w:tc>
        <w:tc>
          <w:tcPr>
            <w:tcW w:w="1417" w:type="dxa"/>
            <w:tcBorders>
              <w:top w:val="nil"/>
              <w:left w:val="nil"/>
              <w:bottom w:val="nil"/>
              <w:right w:val="nil"/>
            </w:tcBorders>
            <w:shd w:val="clear" w:color="auto" w:fill="auto"/>
            <w:noWrap/>
            <w:vAlign w:val="bottom"/>
          </w:tcPr>
          <w:p w14:paraId="38609E93"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1.50 (1.49-1.51)</w:t>
            </w:r>
          </w:p>
        </w:tc>
      </w:tr>
      <w:tr w:rsidR="00A51C1A" w:rsidRPr="009E1ABD" w14:paraId="2318A291" w14:textId="77777777">
        <w:trPr>
          <w:trHeight w:val="227"/>
        </w:trPr>
        <w:tc>
          <w:tcPr>
            <w:tcW w:w="1361" w:type="dxa"/>
            <w:tcBorders>
              <w:top w:val="nil"/>
              <w:left w:val="nil"/>
              <w:bottom w:val="nil"/>
              <w:right w:val="dotted" w:sz="4" w:space="0" w:color="auto"/>
            </w:tcBorders>
            <w:shd w:val="clear" w:color="auto" w:fill="auto"/>
            <w:noWrap/>
            <w:vAlign w:val="center"/>
          </w:tcPr>
          <w:p w14:paraId="1B850B69" w14:textId="77777777" w:rsidR="00A51C1A" w:rsidRPr="009E1ABD" w:rsidRDefault="00A51C1A" w:rsidP="00234D8F">
            <w:pPr>
              <w:spacing w:after="0" w:line="240" w:lineRule="auto"/>
              <w:rPr>
                <w:rFonts w:ascii="Calibri" w:eastAsia="Times New Roman" w:hAnsi="Calibri" w:cs="Calibri"/>
                <w:color w:val="000000"/>
                <w:sz w:val="18"/>
                <w:szCs w:val="20"/>
                <w:lang w:eastAsia="en-GB"/>
              </w:rPr>
            </w:pPr>
            <w:r w:rsidRPr="003C45D8">
              <w:rPr>
                <w:rFonts w:ascii="Calibri" w:eastAsia="Times New Roman" w:hAnsi="Calibri" w:cs="Calibri"/>
                <w:color w:val="000000"/>
                <w:sz w:val="18"/>
                <w:szCs w:val="20"/>
                <w:lang w:eastAsia="en-GB"/>
              </w:rPr>
              <w:t>+2</w:t>
            </w:r>
          </w:p>
        </w:tc>
        <w:tc>
          <w:tcPr>
            <w:tcW w:w="1026" w:type="dxa"/>
            <w:tcBorders>
              <w:top w:val="nil"/>
              <w:left w:val="nil"/>
              <w:bottom w:val="nil"/>
              <w:right w:val="nil"/>
            </w:tcBorders>
            <w:shd w:val="clear" w:color="auto" w:fill="auto"/>
            <w:noWrap/>
            <w:vAlign w:val="bottom"/>
          </w:tcPr>
          <w:p w14:paraId="5A137151"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15,566</w:t>
            </w:r>
          </w:p>
        </w:tc>
        <w:tc>
          <w:tcPr>
            <w:tcW w:w="1407" w:type="dxa"/>
            <w:tcBorders>
              <w:top w:val="nil"/>
              <w:left w:val="nil"/>
              <w:bottom w:val="nil"/>
              <w:right w:val="nil"/>
            </w:tcBorders>
            <w:shd w:val="clear" w:color="auto" w:fill="auto"/>
            <w:noWrap/>
            <w:vAlign w:val="bottom"/>
          </w:tcPr>
          <w:p w14:paraId="36EF16C7"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olor w:val="000000"/>
                <w:sz w:val="18"/>
              </w:rPr>
              <w:t>0.17 (0.17-0.18)</w:t>
            </w:r>
          </w:p>
        </w:tc>
        <w:tc>
          <w:tcPr>
            <w:tcW w:w="714" w:type="dxa"/>
            <w:tcBorders>
              <w:top w:val="nil"/>
              <w:left w:val="nil"/>
              <w:bottom w:val="nil"/>
            </w:tcBorders>
            <w:shd w:val="clear" w:color="auto" w:fill="auto"/>
            <w:noWrap/>
            <w:vAlign w:val="bottom"/>
          </w:tcPr>
          <w:p w14:paraId="0D49AEC8"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14.3%</w:t>
            </w:r>
          </w:p>
        </w:tc>
        <w:tc>
          <w:tcPr>
            <w:tcW w:w="1554" w:type="dxa"/>
            <w:tcBorders>
              <w:top w:val="nil"/>
              <w:bottom w:val="nil"/>
              <w:right w:val="dotted" w:sz="4" w:space="0" w:color="auto"/>
            </w:tcBorders>
            <w:shd w:val="clear" w:color="auto" w:fill="auto"/>
            <w:noWrap/>
            <w:vAlign w:val="bottom"/>
          </w:tcPr>
          <w:p w14:paraId="5EC2E401"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1.58 (1.55-1.61)</w:t>
            </w:r>
          </w:p>
        </w:tc>
        <w:tc>
          <w:tcPr>
            <w:tcW w:w="1026" w:type="dxa"/>
            <w:tcBorders>
              <w:top w:val="nil"/>
              <w:left w:val="dotted" w:sz="4" w:space="0" w:color="auto"/>
              <w:bottom w:val="nil"/>
              <w:right w:val="nil"/>
            </w:tcBorders>
            <w:shd w:val="clear" w:color="auto" w:fill="auto"/>
            <w:noWrap/>
            <w:vAlign w:val="bottom"/>
          </w:tcPr>
          <w:p w14:paraId="75B1E0CA"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92,928</w:t>
            </w:r>
          </w:p>
        </w:tc>
        <w:tc>
          <w:tcPr>
            <w:tcW w:w="1667" w:type="dxa"/>
            <w:tcBorders>
              <w:top w:val="nil"/>
              <w:left w:val="nil"/>
              <w:bottom w:val="nil"/>
              <w:right w:val="nil"/>
            </w:tcBorders>
            <w:shd w:val="clear" w:color="auto" w:fill="auto"/>
            <w:noWrap/>
            <w:vAlign w:val="bottom"/>
          </w:tcPr>
          <w:p w14:paraId="44098AD6"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olor w:val="000000"/>
                <w:sz w:val="18"/>
              </w:rPr>
              <w:t>1.04 (1.04-1.05)</w:t>
            </w:r>
          </w:p>
        </w:tc>
        <w:tc>
          <w:tcPr>
            <w:tcW w:w="714" w:type="dxa"/>
            <w:tcBorders>
              <w:top w:val="nil"/>
              <w:left w:val="nil"/>
              <w:bottom w:val="nil"/>
            </w:tcBorders>
            <w:shd w:val="clear" w:color="auto" w:fill="auto"/>
            <w:noWrap/>
            <w:vAlign w:val="bottom"/>
          </w:tcPr>
          <w:p w14:paraId="3D200B7C"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85.7%</w:t>
            </w:r>
          </w:p>
        </w:tc>
        <w:tc>
          <w:tcPr>
            <w:tcW w:w="1412" w:type="dxa"/>
            <w:tcBorders>
              <w:top w:val="nil"/>
              <w:bottom w:val="nil"/>
              <w:right w:val="dotted" w:sz="4" w:space="0" w:color="auto"/>
            </w:tcBorders>
            <w:shd w:val="clear" w:color="auto" w:fill="auto"/>
            <w:noWrap/>
          </w:tcPr>
          <w:p w14:paraId="1165626D" w14:textId="77777777" w:rsidR="00A51C1A" w:rsidRPr="009E1ABD" w:rsidRDefault="00A51C1A" w:rsidP="00234D8F">
            <w:pPr>
              <w:spacing w:after="0" w:line="240" w:lineRule="auto"/>
              <w:jc w:val="right"/>
              <w:rPr>
                <w:sz w:val="18"/>
                <w:szCs w:val="20"/>
              </w:rPr>
            </w:pPr>
            <w:r w:rsidRPr="003C45D8">
              <w:rPr>
                <w:sz w:val="18"/>
                <w:szCs w:val="20"/>
              </w:rPr>
              <w:t>2.27 (2.25-2.29)</w:t>
            </w:r>
          </w:p>
        </w:tc>
        <w:tc>
          <w:tcPr>
            <w:tcW w:w="1026" w:type="dxa"/>
            <w:tcBorders>
              <w:top w:val="nil"/>
              <w:left w:val="dotted" w:sz="4" w:space="0" w:color="auto"/>
              <w:bottom w:val="nil"/>
              <w:right w:val="nil"/>
            </w:tcBorders>
            <w:shd w:val="clear" w:color="auto" w:fill="auto"/>
            <w:noWrap/>
            <w:vAlign w:val="bottom"/>
          </w:tcPr>
          <w:p w14:paraId="797DA2EC"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108,494</w:t>
            </w:r>
          </w:p>
        </w:tc>
        <w:tc>
          <w:tcPr>
            <w:tcW w:w="1668" w:type="dxa"/>
            <w:tcBorders>
              <w:top w:val="nil"/>
              <w:left w:val="nil"/>
              <w:bottom w:val="nil"/>
              <w:right w:val="nil"/>
            </w:tcBorders>
            <w:shd w:val="clear" w:color="auto" w:fill="auto"/>
            <w:noWrap/>
            <w:vAlign w:val="bottom"/>
          </w:tcPr>
          <w:p w14:paraId="63E021D5"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olor w:val="000000"/>
                <w:sz w:val="18"/>
              </w:rPr>
              <w:t>1.22 (1.21-1.22)</w:t>
            </w:r>
          </w:p>
        </w:tc>
        <w:tc>
          <w:tcPr>
            <w:tcW w:w="1417" w:type="dxa"/>
            <w:tcBorders>
              <w:top w:val="nil"/>
              <w:left w:val="nil"/>
              <w:bottom w:val="nil"/>
              <w:right w:val="nil"/>
            </w:tcBorders>
            <w:shd w:val="clear" w:color="auto" w:fill="auto"/>
            <w:noWrap/>
            <w:vAlign w:val="bottom"/>
          </w:tcPr>
          <w:p w14:paraId="287ECA03"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2.13 (2.12-2.15)</w:t>
            </w:r>
          </w:p>
        </w:tc>
      </w:tr>
      <w:tr w:rsidR="00A51C1A" w:rsidRPr="009E1ABD" w14:paraId="7CA4C651" w14:textId="77777777">
        <w:trPr>
          <w:trHeight w:val="227"/>
        </w:trPr>
        <w:tc>
          <w:tcPr>
            <w:tcW w:w="1361" w:type="dxa"/>
            <w:tcBorders>
              <w:top w:val="nil"/>
              <w:left w:val="nil"/>
              <w:bottom w:val="nil"/>
              <w:right w:val="dotted" w:sz="4" w:space="0" w:color="auto"/>
            </w:tcBorders>
            <w:shd w:val="clear" w:color="auto" w:fill="auto"/>
            <w:noWrap/>
            <w:vAlign w:val="center"/>
          </w:tcPr>
          <w:p w14:paraId="0321677A" w14:textId="77777777" w:rsidR="00A51C1A" w:rsidRPr="009E1ABD" w:rsidRDefault="00A51C1A" w:rsidP="00234D8F">
            <w:pPr>
              <w:spacing w:after="0" w:line="240" w:lineRule="auto"/>
              <w:rPr>
                <w:rFonts w:ascii="Calibri" w:eastAsia="Times New Roman" w:hAnsi="Calibri" w:cs="Calibri"/>
                <w:color w:val="000000"/>
                <w:sz w:val="18"/>
                <w:szCs w:val="20"/>
                <w:lang w:eastAsia="en-GB"/>
              </w:rPr>
            </w:pPr>
            <w:r w:rsidRPr="003C45D8">
              <w:rPr>
                <w:rFonts w:ascii="Calibri" w:eastAsia="Times New Roman" w:hAnsi="Calibri" w:cs="Calibri"/>
                <w:color w:val="000000"/>
                <w:sz w:val="18"/>
                <w:szCs w:val="20"/>
                <w:lang w:eastAsia="en-GB"/>
              </w:rPr>
              <w:t>+3 or more</w:t>
            </w:r>
          </w:p>
        </w:tc>
        <w:tc>
          <w:tcPr>
            <w:tcW w:w="1026" w:type="dxa"/>
            <w:tcBorders>
              <w:top w:val="nil"/>
              <w:left w:val="nil"/>
              <w:bottom w:val="nil"/>
              <w:right w:val="nil"/>
            </w:tcBorders>
            <w:shd w:val="clear" w:color="auto" w:fill="auto"/>
            <w:noWrap/>
            <w:vAlign w:val="bottom"/>
          </w:tcPr>
          <w:p w14:paraId="338B5BC8"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8,695</w:t>
            </w:r>
          </w:p>
        </w:tc>
        <w:tc>
          <w:tcPr>
            <w:tcW w:w="1407" w:type="dxa"/>
            <w:tcBorders>
              <w:top w:val="nil"/>
              <w:left w:val="nil"/>
              <w:bottom w:val="nil"/>
              <w:right w:val="nil"/>
            </w:tcBorders>
            <w:shd w:val="clear" w:color="auto" w:fill="auto"/>
            <w:noWrap/>
            <w:vAlign w:val="bottom"/>
          </w:tcPr>
          <w:p w14:paraId="044CE4CC"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olor w:val="000000"/>
                <w:sz w:val="18"/>
              </w:rPr>
              <w:t>0.22 (0.21-0.22)</w:t>
            </w:r>
          </w:p>
        </w:tc>
        <w:tc>
          <w:tcPr>
            <w:tcW w:w="714" w:type="dxa"/>
            <w:tcBorders>
              <w:top w:val="nil"/>
              <w:left w:val="nil"/>
              <w:bottom w:val="nil"/>
            </w:tcBorders>
            <w:shd w:val="clear" w:color="auto" w:fill="auto"/>
            <w:noWrap/>
            <w:vAlign w:val="bottom"/>
          </w:tcPr>
          <w:p w14:paraId="14F22820"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12.6%</w:t>
            </w:r>
          </w:p>
        </w:tc>
        <w:tc>
          <w:tcPr>
            <w:tcW w:w="1554" w:type="dxa"/>
            <w:tcBorders>
              <w:top w:val="nil"/>
              <w:bottom w:val="nil"/>
              <w:right w:val="dotted" w:sz="4" w:space="0" w:color="auto"/>
            </w:tcBorders>
            <w:shd w:val="clear" w:color="auto" w:fill="auto"/>
            <w:noWrap/>
            <w:vAlign w:val="bottom"/>
          </w:tcPr>
          <w:p w14:paraId="28FA0814"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1.98 (1.94-2.03)</w:t>
            </w:r>
          </w:p>
        </w:tc>
        <w:tc>
          <w:tcPr>
            <w:tcW w:w="1026" w:type="dxa"/>
            <w:tcBorders>
              <w:top w:val="nil"/>
              <w:left w:val="dotted" w:sz="4" w:space="0" w:color="auto"/>
              <w:bottom w:val="nil"/>
              <w:right w:val="nil"/>
            </w:tcBorders>
            <w:shd w:val="clear" w:color="auto" w:fill="auto"/>
            <w:noWrap/>
            <w:vAlign w:val="bottom"/>
          </w:tcPr>
          <w:p w14:paraId="1B14A070"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60,474</w:t>
            </w:r>
          </w:p>
        </w:tc>
        <w:tc>
          <w:tcPr>
            <w:tcW w:w="1667" w:type="dxa"/>
            <w:tcBorders>
              <w:top w:val="nil"/>
              <w:left w:val="nil"/>
              <w:bottom w:val="nil"/>
              <w:right w:val="nil"/>
            </w:tcBorders>
            <w:shd w:val="clear" w:color="auto" w:fill="auto"/>
            <w:noWrap/>
            <w:vAlign w:val="bottom"/>
          </w:tcPr>
          <w:p w14:paraId="015BB2DF"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olor w:val="000000"/>
                <w:sz w:val="18"/>
              </w:rPr>
              <w:t>1.52 (1.51-1.53)</w:t>
            </w:r>
          </w:p>
        </w:tc>
        <w:tc>
          <w:tcPr>
            <w:tcW w:w="714" w:type="dxa"/>
            <w:tcBorders>
              <w:top w:val="nil"/>
              <w:left w:val="nil"/>
              <w:bottom w:val="nil"/>
            </w:tcBorders>
            <w:shd w:val="clear" w:color="auto" w:fill="auto"/>
            <w:noWrap/>
            <w:vAlign w:val="bottom"/>
          </w:tcPr>
          <w:p w14:paraId="35E9C1BF"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87.4%</w:t>
            </w:r>
          </w:p>
        </w:tc>
        <w:tc>
          <w:tcPr>
            <w:tcW w:w="1412" w:type="dxa"/>
            <w:tcBorders>
              <w:top w:val="nil"/>
              <w:bottom w:val="nil"/>
              <w:right w:val="dotted" w:sz="4" w:space="0" w:color="auto"/>
            </w:tcBorders>
            <w:shd w:val="clear" w:color="auto" w:fill="auto"/>
            <w:noWrap/>
          </w:tcPr>
          <w:p w14:paraId="63BA80B8" w14:textId="77777777" w:rsidR="00A51C1A" w:rsidRPr="009E1ABD" w:rsidRDefault="00A51C1A" w:rsidP="00234D8F">
            <w:pPr>
              <w:spacing w:after="0" w:line="240" w:lineRule="auto"/>
              <w:jc w:val="right"/>
              <w:rPr>
                <w:sz w:val="18"/>
                <w:szCs w:val="20"/>
              </w:rPr>
            </w:pPr>
            <w:r w:rsidRPr="003C45D8">
              <w:rPr>
                <w:sz w:val="18"/>
                <w:szCs w:val="20"/>
              </w:rPr>
              <w:t>3.31 (3.28-3.34)</w:t>
            </w:r>
          </w:p>
        </w:tc>
        <w:tc>
          <w:tcPr>
            <w:tcW w:w="1026" w:type="dxa"/>
            <w:tcBorders>
              <w:top w:val="nil"/>
              <w:left w:val="dotted" w:sz="4" w:space="0" w:color="auto"/>
              <w:bottom w:val="nil"/>
              <w:right w:val="nil"/>
            </w:tcBorders>
            <w:shd w:val="clear" w:color="auto" w:fill="auto"/>
            <w:noWrap/>
            <w:vAlign w:val="bottom"/>
          </w:tcPr>
          <w:p w14:paraId="04E91154"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69,169</w:t>
            </w:r>
          </w:p>
        </w:tc>
        <w:tc>
          <w:tcPr>
            <w:tcW w:w="1668" w:type="dxa"/>
            <w:tcBorders>
              <w:top w:val="nil"/>
              <w:left w:val="nil"/>
              <w:bottom w:val="nil"/>
              <w:right w:val="nil"/>
            </w:tcBorders>
            <w:shd w:val="clear" w:color="auto" w:fill="auto"/>
            <w:noWrap/>
            <w:vAlign w:val="bottom"/>
          </w:tcPr>
          <w:p w14:paraId="7C4A6801"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olor w:val="000000"/>
                <w:sz w:val="18"/>
              </w:rPr>
              <w:t>1.74 (1.73-1.75)</w:t>
            </w:r>
          </w:p>
        </w:tc>
        <w:tc>
          <w:tcPr>
            <w:tcW w:w="1417" w:type="dxa"/>
            <w:tcBorders>
              <w:top w:val="nil"/>
              <w:left w:val="nil"/>
              <w:bottom w:val="nil"/>
              <w:right w:val="nil"/>
            </w:tcBorders>
            <w:shd w:val="clear" w:color="auto" w:fill="auto"/>
            <w:noWrap/>
            <w:vAlign w:val="bottom"/>
          </w:tcPr>
          <w:p w14:paraId="4D84D9CF"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3.05 (3.02-3.08)</w:t>
            </w:r>
          </w:p>
        </w:tc>
      </w:tr>
      <w:tr w:rsidR="00A51C1A" w:rsidRPr="009E1ABD" w14:paraId="721CD963" w14:textId="77777777">
        <w:trPr>
          <w:trHeight w:val="227"/>
        </w:trPr>
        <w:tc>
          <w:tcPr>
            <w:tcW w:w="1361" w:type="dxa"/>
            <w:tcBorders>
              <w:top w:val="nil"/>
              <w:left w:val="nil"/>
              <w:bottom w:val="single" w:sz="4" w:space="0" w:color="auto"/>
              <w:right w:val="dotted" w:sz="4" w:space="0" w:color="auto"/>
            </w:tcBorders>
            <w:shd w:val="clear" w:color="auto" w:fill="auto"/>
            <w:noWrap/>
            <w:vAlign w:val="center"/>
          </w:tcPr>
          <w:p w14:paraId="585915BF" w14:textId="77777777" w:rsidR="00A51C1A" w:rsidRPr="009E1ABD" w:rsidRDefault="00A51C1A" w:rsidP="00234D8F">
            <w:pPr>
              <w:spacing w:after="0" w:line="240" w:lineRule="auto"/>
              <w:rPr>
                <w:rFonts w:ascii="Calibri" w:eastAsia="Times New Roman" w:hAnsi="Calibri" w:cs="Calibri"/>
                <w:color w:val="000000"/>
                <w:sz w:val="18"/>
                <w:szCs w:val="20"/>
                <w:lang w:eastAsia="en-GB"/>
              </w:rPr>
            </w:pPr>
            <w:r w:rsidRPr="003C45D8">
              <w:rPr>
                <w:rFonts w:ascii="Calibri" w:eastAsia="Times New Roman" w:hAnsi="Calibri" w:cs="Calibri"/>
                <w:color w:val="000000"/>
                <w:sz w:val="18"/>
                <w:szCs w:val="20"/>
                <w:lang w:eastAsia="en-GB"/>
              </w:rPr>
              <w:t>Total</w:t>
            </w:r>
          </w:p>
        </w:tc>
        <w:tc>
          <w:tcPr>
            <w:tcW w:w="1026" w:type="dxa"/>
            <w:tcBorders>
              <w:top w:val="nil"/>
              <w:left w:val="nil"/>
              <w:bottom w:val="single" w:sz="4" w:space="0" w:color="auto"/>
              <w:right w:val="nil"/>
            </w:tcBorders>
            <w:shd w:val="clear" w:color="auto" w:fill="auto"/>
            <w:noWrap/>
            <w:vAlign w:val="bottom"/>
          </w:tcPr>
          <w:p w14:paraId="6CA43832"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91,402</w:t>
            </w:r>
          </w:p>
        </w:tc>
        <w:tc>
          <w:tcPr>
            <w:tcW w:w="1407" w:type="dxa"/>
            <w:tcBorders>
              <w:top w:val="nil"/>
              <w:left w:val="nil"/>
              <w:bottom w:val="single" w:sz="4" w:space="0" w:color="auto"/>
              <w:right w:val="nil"/>
            </w:tcBorders>
            <w:shd w:val="clear" w:color="auto" w:fill="auto"/>
            <w:noWrap/>
            <w:vAlign w:val="bottom"/>
          </w:tcPr>
          <w:p w14:paraId="730CC102"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olor w:val="000000"/>
                <w:sz w:val="18"/>
              </w:rPr>
              <w:t>0.13 (0.13-0.14)</w:t>
            </w:r>
          </w:p>
        </w:tc>
        <w:tc>
          <w:tcPr>
            <w:tcW w:w="714" w:type="dxa"/>
            <w:tcBorders>
              <w:top w:val="nil"/>
              <w:left w:val="nil"/>
              <w:bottom w:val="single" w:sz="4" w:space="0" w:color="auto"/>
            </w:tcBorders>
            <w:shd w:val="clear" w:color="auto" w:fill="auto"/>
            <w:noWrap/>
            <w:vAlign w:val="bottom"/>
          </w:tcPr>
          <w:p w14:paraId="4B556AD4"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16.4%</w:t>
            </w:r>
          </w:p>
        </w:tc>
        <w:tc>
          <w:tcPr>
            <w:tcW w:w="1554" w:type="dxa"/>
            <w:tcBorders>
              <w:top w:val="nil"/>
              <w:bottom w:val="single" w:sz="4" w:space="0" w:color="auto"/>
              <w:right w:val="dotted" w:sz="4" w:space="0" w:color="auto"/>
            </w:tcBorders>
            <w:shd w:val="clear" w:color="auto" w:fill="auto"/>
            <w:noWrap/>
            <w:vAlign w:val="bottom"/>
          </w:tcPr>
          <w:p w14:paraId="26F01FA8"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w:t>
            </w:r>
          </w:p>
        </w:tc>
        <w:tc>
          <w:tcPr>
            <w:tcW w:w="1026" w:type="dxa"/>
            <w:tcBorders>
              <w:top w:val="nil"/>
              <w:left w:val="dotted" w:sz="4" w:space="0" w:color="auto"/>
              <w:bottom w:val="single" w:sz="4" w:space="0" w:color="auto"/>
              <w:right w:val="nil"/>
            </w:tcBorders>
            <w:shd w:val="clear" w:color="auto" w:fill="auto"/>
            <w:noWrap/>
            <w:vAlign w:val="bottom"/>
          </w:tcPr>
          <w:p w14:paraId="64FB454C"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465,602</w:t>
            </w:r>
          </w:p>
        </w:tc>
        <w:tc>
          <w:tcPr>
            <w:tcW w:w="1667" w:type="dxa"/>
            <w:tcBorders>
              <w:top w:val="nil"/>
              <w:left w:val="nil"/>
              <w:bottom w:val="single" w:sz="4" w:space="0" w:color="auto"/>
              <w:right w:val="nil"/>
            </w:tcBorders>
            <w:shd w:val="clear" w:color="auto" w:fill="auto"/>
            <w:noWrap/>
            <w:vAlign w:val="bottom"/>
          </w:tcPr>
          <w:p w14:paraId="169E6993"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olor w:val="000000"/>
                <w:sz w:val="18"/>
              </w:rPr>
              <w:t>0.69 (0.68-0.69)</w:t>
            </w:r>
          </w:p>
        </w:tc>
        <w:tc>
          <w:tcPr>
            <w:tcW w:w="714" w:type="dxa"/>
            <w:tcBorders>
              <w:top w:val="nil"/>
              <w:left w:val="nil"/>
              <w:bottom w:val="single" w:sz="4" w:space="0" w:color="auto"/>
            </w:tcBorders>
            <w:shd w:val="clear" w:color="auto" w:fill="auto"/>
            <w:noWrap/>
            <w:vAlign w:val="bottom"/>
          </w:tcPr>
          <w:p w14:paraId="5644F4A2"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83.6%</w:t>
            </w:r>
          </w:p>
        </w:tc>
        <w:tc>
          <w:tcPr>
            <w:tcW w:w="1412" w:type="dxa"/>
            <w:tcBorders>
              <w:top w:val="nil"/>
              <w:bottom w:val="single" w:sz="4" w:space="0" w:color="auto"/>
              <w:right w:val="dotted" w:sz="4" w:space="0" w:color="auto"/>
            </w:tcBorders>
            <w:shd w:val="clear" w:color="auto" w:fill="auto"/>
            <w:noWrap/>
            <w:vAlign w:val="bottom"/>
          </w:tcPr>
          <w:p w14:paraId="2E69C897"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w:t>
            </w:r>
          </w:p>
        </w:tc>
        <w:tc>
          <w:tcPr>
            <w:tcW w:w="1026" w:type="dxa"/>
            <w:tcBorders>
              <w:top w:val="nil"/>
              <w:left w:val="dotted" w:sz="4" w:space="0" w:color="auto"/>
              <w:bottom w:val="single" w:sz="4" w:space="0" w:color="auto"/>
              <w:right w:val="nil"/>
            </w:tcBorders>
            <w:shd w:val="clear" w:color="auto" w:fill="auto"/>
            <w:noWrap/>
            <w:vAlign w:val="bottom"/>
          </w:tcPr>
          <w:p w14:paraId="2B410540"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557,004</w:t>
            </w:r>
          </w:p>
        </w:tc>
        <w:tc>
          <w:tcPr>
            <w:tcW w:w="1668" w:type="dxa"/>
            <w:tcBorders>
              <w:top w:val="nil"/>
              <w:left w:val="nil"/>
              <w:bottom w:val="single" w:sz="4" w:space="0" w:color="auto"/>
              <w:right w:val="nil"/>
            </w:tcBorders>
            <w:shd w:val="clear" w:color="auto" w:fill="auto"/>
            <w:noWrap/>
            <w:vAlign w:val="bottom"/>
          </w:tcPr>
          <w:p w14:paraId="78732B28"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olor w:val="000000"/>
                <w:sz w:val="18"/>
              </w:rPr>
              <w:t>0.82 (0.82-0.82)</w:t>
            </w:r>
          </w:p>
        </w:tc>
        <w:tc>
          <w:tcPr>
            <w:tcW w:w="1417" w:type="dxa"/>
            <w:tcBorders>
              <w:top w:val="nil"/>
              <w:left w:val="nil"/>
              <w:bottom w:val="single" w:sz="4" w:space="0" w:color="auto"/>
              <w:right w:val="nil"/>
            </w:tcBorders>
            <w:shd w:val="clear" w:color="auto" w:fill="auto"/>
            <w:noWrap/>
            <w:vAlign w:val="bottom"/>
          </w:tcPr>
          <w:p w14:paraId="754BA599" w14:textId="77777777" w:rsidR="00A51C1A" w:rsidRPr="009E1ABD" w:rsidRDefault="00A51C1A" w:rsidP="00234D8F">
            <w:pPr>
              <w:spacing w:after="0" w:line="240" w:lineRule="auto"/>
              <w:jc w:val="right"/>
              <w:rPr>
                <w:rFonts w:ascii="Calibri" w:hAnsi="Calibri" w:cs="Calibri"/>
                <w:color w:val="000000"/>
                <w:sz w:val="18"/>
                <w:szCs w:val="20"/>
              </w:rPr>
            </w:pPr>
            <w:r w:rsidRPr="003C45D8">
              <w:rPr>
                <w:rFonts w:ascii="Calibri" w:hAnsi="Calibri" w:cs="Calibri"/>
                <w:color w:val="000000"/>
                <w:sz w:val="18"/>
                <w:szCs w:val="20"/>
              </w:rPr>
              <w:t>-</w:t>
            </w:r>
          </w:p>
        </w:tc>
      </w:tr>
    </w:tbl>
    <w:p w14:paraId="57CCA014" w14:textId="77777777" w:rsidR="00A51C1A" w:rsidRPr="00F04AA8" w:rsidRDefault="00A51C1A" w:rsidP="00234D8F">
      <w:pPr>
        <w:spacing w:after="0" w:line="240" w:lineRule="auto"/>
        <w:rPr>
          <w:sz w:val="18"/>
          <w:szCs w:val="18"/>
          <w:lang w:eastAsia="en-GB"/>
        </w:rPr>
        <w:sectPr w:rsidR="00A51C1A" w:rsidRPr="00F04AA8" w:rsidSect="00583BA1">
          <w:pgSz w:w="16838" w:h="11906" w:orient="landscape"/>
          <w:pgMar w:top="1440" w:right="1440" w:bottom="1440" w:left="1440" w:header="709" w:footer="709" w:gutter="0"/>
          <w:cols w:space="708"/>
          <w:docGrid w:linePitch="360"/>
        </w:sectPr>
      </w:pPr>
      <w:r w:rsidRPr="009F4999">
        <w:rPr>
          <w:sz w:val="18"/>
          <w:szCs w:val="18"/>
          <w:lang w:eastAsia="en-GB"/>
        </w:rPr>
        <w:t xml:space="preserve">Rates are consultations per </w:t>
      </w:r>
      <w:r>
        <w:rPr>
          <w:sz w:val="18"/>
          <w:szCs w:val="18"/>
          <w:lang w:eastAsia="en-GB"/>
        </w:rPr>
        <w:t>person year</w:t>
      </w:r>
      <w:r w:rsidRPr="009F4999">
        <w:rPr>
          <w:sz w:val="18"/>
          <w:szCs w:val="18"/>
          <w:lang w:eastAsia="en-GB"/>
        </w:rPr>
        <w:t xml:space="preserve">. </w:t>
      </w:r>
      <w:r w:rsidR="007E7AC5">
        <w:rPr>
          <w:sz w:val="18"/>
          <w:szCs w:val="18"/>
          <w:lang w:eastAsia="en-GB"/>
        </w:rPr>
        <w:t xml:space="preserve">GP= general practitioner. </w:t>
      </w:r>
      <w:r>
        <w:rPr>
          <w:sz w:val="18"/>
          <w:szCs w:val="18"/>
          <w:lang w:eastAsia="en-GB"/>
        </w:rPr>
        <w:t xml:space="preserve">RR= rate ratio.  </w:t>
      </w:r>
      <w:bookmarkEnd w:id="3"/>
    </w:p>
    <w:p w14:paraId="6025F582" w14:textId="77777777" w:rsidR="00A51C1A" w:rsidRDefault="00A51C1A" w:rsidP="00234D8F">
      <w:pPr>
        <w:spacing w:after="0" w:line="240" w:lineRule="auto"/>
        <w:rPr>
          <w:rFonts w:eastAsia="Times New Roman"/>
          <w:lang w:eastAsia="en-GB"/>
        </w:rPr>
      </w:pPr>
      <w:bookmarkStart w:id="4" w:name="_Toc26274616"/>
      <w:bookmarkStart w:id="5" w:name="_Toc26274601"/>
      <w:r>
        <w:rPr>
          <w:b/>
          <w:lang w:eastAsia="en-GB"/>
        </w:rPr>
        <w:lastRenderedPageBreak/>
        <w:t>Table 3</w:t>
      </w:r>
      <w:r w:rsidRPr="008A3B8A">
        <w:rPr>
          <w:b/>
          <w:lang w:eastAsia="en-GB"/>
        </w:rPr>
        <w:t>.</w:t>
      </w:r>
      <w:r>
        <w:rPr>
          <w:lang w:eastAsia="en-GB"/>
        </w:rPr>
        <w:t xml:space="preserve"> Annual inflation-adjusted cost per patient for face</w:t>
      </w:r>
      <w:r w:rsidR="007E7AC5">
        <w:rPr>
          <w:lang w:eastAsia="en-GB"/>
        </w:rPr>
        <w:t xml:space="preserve"> to face consultations with a physician</w:t>
      </w:r>
      <w:r>
        <w:rPr>
          <w:lang w:eastAsia="en-GB"/>
        </w:rPr>
        <w:t xml:space="preserve"> or nurse by </w:t>
      </w:r>
      <w:r>
        <w:rPr>
          <w:rFonts w:eastAsia="Times New Roman"/>
          <w:lang w:eastAsia="en-GB"/>
        </w:rPr>
        <w:t>number of comorbidities at time of consultation, 2000-2018.</w:t>
      </w:r>
      <w:bookmarkEnd w:id="4"/>
    </w:p>
    <w:tbl>
      <w:tblPr>
        <w:tblW w:w="13484" w:type="dxa"/>
        <w:tblLayout w:type="fixed"/>
        <w:tblLook w:val="04A0" w:firstRow="1" w:lastRow="0" w:firstColumn="1" w:lastColumn="0" w:noHBand="0" w:noVBand="1"/>
      </w:tblPr>
      <w:tblGrid>
        <w:gridCol w:w="851"/>
        <w:gridCol w:w="1134"/>
        <w:gridCol w:w="869"/>
        <w:gridCol w:w="865"/>
        <w:gridCol w:w="708"/>
        <w:gridCol w:w="707"/>
        <w:gridCol w:w="979"/>
        <w:gridCol w:w="708"/>
        <w:gridCol w:w="707"/>
        <w:gridCol w:w="959"/>
        <w:gridCol w:w="740"/>
        <w:gridCol w:w="708"/>
        <w:gridCol w:w="998"/>
        <w:gridCol w:w="707"/>
        <w:gridCol w:w="708"/>
        <w:gridCol w:w="1136"/>
      </w:tblGrid>
      <w:tr w:rsidR="00A51C1A" w:rsidRPr="00704732" w14:paraId="5BA0DB7D" w14:textId="77777777">
        <w:trPr>
          <w:trHeight w:val="227"/>
        </w:trPr>
        <w:tc>
          <w:tcPr>
            <w:tcW w:w="851" w:type="dxa"/>
            <w:vMerge w:val="restart"/>
            <w:tcBorders>
              <w:top w:val="single" w:sz="4" w:space="0" w:color="auto"/>
              <w:left w:val="nil"/>
              <w:bottom w:val="single" w:sz="4" w:space="0" w:color="000000"/>
              <w:right w:val="dotted" w:sz="4" w:space="0" w:color="auto"/>
            </w:tcBorders>
            <w:shd w:val="clear" w:color="auto" w:fill="auto"/>
            <w:noWrap/>
            <w:vAlign w:val="bottom"/>
          </w:tcPr>
          <w:p w14:paraId="2B4858B1" w14:textId="77777777" w:rsidR="00A51C1A" w:rsidRPr="00396DA8" w:rsidRDefault="00A51C1A" w:rsidP="00234D8F">
            <w:pPr>
              <w:spacing w:after="0" w:line="240" w:lineRule="auto"/>
              <w:jc w:val="center"/>
              <w:rPr>
                <w:rFonts w:eastAsia="Times New Roman" w:cstheme="minorHAnsi"/>
                <w:b/>
                <w:color w:val="000000"/>
                <w:sz w:val="20"/>
                <w:szCs w:val="20"/>
                <w:lang w:eastAsia="en-GB"/>
              </w:rPr>
            </w:pPr>
            <w:r w:rsidRPr="00396DA8">
              <w:rPr>
                <w:rFonts w:eastAsia="Times New Roman" w:cstheme="minorHAnsi"/>
                <w:b/>
                <w:color w:val="000000"/>
                <w:sz w:val="20"/>
                <w:szCs w:val="20"/>
                <w:lang w:eastAsia="en-GB"/>
              </w:rPr>
              <w:t>Year</w:t>
            </w:r>
          </w:p>
        </w:tc>
        <w:tc>
          <w:tcPr>
            <w:tcW w:w="1134" w:type="dxa"/>
            <w:vMerge w:val="restart"/>
            <w:tcBorders>
              <w:top w:val="single" w:sz="4" w:space="0" w:color="auto"/>
              <w:left w:val="dotted" w:sz="4" w:space="0" w:color="auto"/>
              <w:bottom w:val="single" w:sz="4" w:space="0" w:color="000000"/>
              <w:right w:val="nil"/>
            </w:tcBorders>
            <w:shd w:val="clear" w:color="auto" w:fill="auto"/>
            <w:vAlign w:val="bottom"/>
          </w:tcPr>
          <w:p w14:paraId="117F3753" w14:textId="77777777" w:rsidR="00A51C1A" w:rsidRPr="00396DA8" w:rsidRDefault="00A51C1A" w:rsidP="00234D8F">
            <w:pPr>
              <w:spacing w:after="0" w:line="240" w:lineRule="auto"/>
              <w:jc w:val="center"/>
              <w:rPr>
                <w:rFonts w:eastAsia="Times New Roman" w:cstheme="minorHAnsi"/>
                <w:b/>
                <w:color w:val="000000"/>
                <w:sz w:val="20"/>
                <w:szCs w:val="20"/>
                <w:lang w:eastAsia="en-GB"/>
              </w:rPr>
            </w:pPr>
            <w:r w:rsidRPr="00396DA8">
              <w:rPr>
                <w:rFonts w:eastAsia="Times New Roman" w:cstheme="minorHAnsi"/>
                <w:b/>
                <w:color w:val="000000"/>
                <w:sz w:val="20"/>
                <w:szCs w:val="20"/>
                <w:lang w:eastAsia="en-GB"/>
              </w:rPr>
              <w:t xml:space="preserve">2018 </w:t>
            </w:r>
            <w:r w:rsidRPr="00704732">
              <w:rPr>
                <w:rFonts w:eastAsia="Times New Roman" w:cstheme="minorHAnsi"/>
                <w:b/>
                <w:color w:val="000000"/>
                <w:sz w:val="20"/>
                <w:szCs w:val="20"/>
                <w:lang w:eastAsia="en-GB"/>
              </w:rPr>
              <w:t>Inflation</w:t>
            </w:r>
            <w:r w:rsidRPr="00396DA8">
              <w:rPr>
                <w:rFonts w:eastAsia="Times New Roman" w:cstheme="minorHAnsi"/>
                <w:b/>
                <w:color w:val="000000"/>
                <w:sz w:val="20"/>
                <w:szCs w:val="20"/>
                <w:lang w:eastAsia="en-GB"/>
              </w:rPr>
              <w:t xml:space="preserve"> multiplier</w:t>
            </w:r>
          </w:p>
        </w:tc>
        <w:tc>
          <w:tcPr>
            <w:tcW w:w="1734" w:type="dxa"/>
            <w:gridSpan w:val="2"/>
            <w:vMerge w:val="restart"/>
            <w:tcBorders>
              <w:top w:val="single" w:sz="4" w:space="0" w:color="auto"/>
              <w:left w:val="nil"/>
              <w:bottom w:val="single" w:sz="4" w:space="0" w:color="000000"/>
              <w:right w:val="dotted" w:sz="4" w:space="0" w:color="auto"/>
            </w:tcBorders>
            <w:shd w:val="clear" w:color="auto" w:fill="auto"/>
            <w:vAlign w:val="bottom"/>
          </w:tcPr>
          <w:p w14:paraId="587A2765" w14:textId="77777777" w:rsidR="00A51C1A" w:rsidRPr="00396DA8" w:rsidRDefault="00A51C1A" w:rsidP="00234D8F">
            <w:pPr>
              <w:spacing w:after="0" w:line="240" w:lineRule="auto"/>
              <w:jc w:val="center"/>
              <w:rPr>
                <w:rFonts w:eastAsia="Times New Roman" w:cstheme="minorHAnsi"/>
                <w:b/>
                <w:color w:val="000000"/>
                <w:sz w:val="20"/>
                <w:szCs w:val="20"/>
                <w:lang w:eastAsia="en-GB"/>
              </w:rPr>
            </w:pPr>
            <w:r w:rsidRPr="00396DA8">
              <w:rPr>
                <w:rFonts w:eastAsia="Times New Roman" w:cstheme="minorHAnsi"/>
                <w:b/>
                <w:color w:val="000000"/>
                <w:sz w:val="20"/>
                <w:szCs w:val="20"/>
                <w:lang w:eastAsia="en-GB"/>
              </w:rPr>
              <w:t>Cost per consultation</w:t>
            </w:r>
          </w:p>
        </w:tc>
        <w:tc>
          <w:tcPr>
            <w:tcW w:w="9765" w:type="dxa"/>
            <w:gridSpan w:val="12"/>
            <w:tcBorders>
              <w:top w:val="single" w:sz="4" w:space="0" w:color="auto"/>
              <w:left w:val="dotted" w:sz="4" w:space="0" w:color="auto"/>
              <w:bottom w:val="single" w:sz="4" w:space="0" w:color="auto"/>
              <w:right w:val="nil"/>
            </w:tcBorders>
            <w:shd w:val="clear" w:color="auto" w:fill="auto"/>
            <w:vAlign w:val="bottom"/>
          </w:tcPr>
          <w:p w14:paraId="61462907" w14:textId="77777777" w:rsidR="00A51C1A" w:rsidRPr="00396DA8" w:rsidRDefault="00A51C1A" w:rsidP="00234D8F">
            <w:pPr>
              <w:spacing w:after="0" w:line="240" w:lineRule="auto"/>
              <w:jc w:val="center"/>
              <w:rPr>
                <w:rFonts w:eastAsia="Times New Roman" w:cstheme="minorHAnsi"/>
                <w:b/>
                <w:color w:val="000000"/>
                <w:sz w:val="20"/>
                <w:szCs w:val="20"/>
                <w:lang w:eastAsia="en-GB"/>
              </w:rPr>
            </w:pPr>
            <w:r w:rsidRPr="00396DA8">
              <w:rPr>
                <w:rFonts w:eastAsia="Times New Roman" w:cstheme="minorHAnsi"/>
                <w:b/>
                <w:color w:val="000000"/>
                <w:sz w:val="20"/>
                <w:szCs w:val="20"/>
                <w:lang w:eastAsia="en-GB"/>
              </w:rPr>
              <w:t>Number of comorbidities</w:t>
            </w:r>
          </w:p>
        </w:tc>
      </w:tr>
      <w:tr w:rsidR="00A51C1A" w:rsidRPr="00704732" w14:paraId="3122C57B" w14:textId="77777777">
        <w:trPr>
          <w:trHeight w:val="227"/>
        </w:trPr>
        <w:tc>
          <w:tcPr>
            <w:tcW w:w="851" w:type="dxa"/>
            <w:vMerge/>
            <w:tcBorders>
              <w:top w:val="single" w:sz="4" w:space="0" w:color="auto"/>
              <w:left w:val="nil"/>
              <w:bottom w:val="single" w:sz="4" w:space="0" w:color="000000"/>
              <w:right w:val="dotted" w:sz="4" w:space="0" w:color="auto"/>
            </w:tcBorders>
            <w:vAlign w:val="center"/>
          </w:tcPr>
          <w:p w14:paraId="45114478" w14:textId="77777777" w:rsidR="00A51C1A" w:rsidRPr="00396DA8" w:rsidRDefault="00A51C1A" w:rsidP="00234D8F">
            <w:pPr>
              <w:spacing w:after="0" w:line="240" w:lineRule="auto"/>
              <w:rPr>
                <w:rFonts w:eastAsia="Times New Roman" w:cstheme="minorHAnsi"/>
                <w:b/>
                <w:color w:val="000000"/>
                <w:sz w:val="20"/>
                <w:szCs w:val="20"/>
                <w:lang w:eastAsia="en-GB"/>
              </w:rPr>
            </w:pPr>
          </w:p>
        </w:tc>
        <w:tc>
          <w:tcPr>
            <w:tcW w:w="1134" w:type="dxa"/>
            <w:vMerge/>
            <w:tcBorders>
              <w:top w:val="single" w:sz="4" w:space="0" w:color="auto"/>
              <w:left w:val="dotted" w:sz="4" w:space="0" w:color="auto"/>
              <w:bottom w:val="single" w:sz="4" w:space="0" w:color="000000"/>
              <w:right w:val="nil"/>
            </w:tcBorders>
            <w:vAlign w:val="center"/>
          </w:tcPr>
          <w:p w14:paraId="427C8550" w14:textId="77777777" w:rsidR="00A51C1A" w:rsidRPr="00396DA8" w:rsidRDefault="00A51C1A" w:rsidP="00234D8F">
            <w:pPr>
              <w:spacing w:after="0" w:line="240" w:lineRule="auto"/>
              <w:rPr>
                <w:rFonts w:eastAsia="Times New Roman" w:cstheme="minorHAnsi"/>
                <w:b/>
                <w:color w:val="000000"/>
                <w:sz w:val="20"/>
                <w:szCs w:val="20"/>
                <w:lang w:eastAsia="en-GB"/>
              </w:rPr>
            </w:pPr>
          </w:p>
        </w:tc>
        <w:tc>
          <w:tcPr>
            <w:tcW w:w="1734" w:type="dxa"/>
            <w:gridSpan w:val="2"/>
            <w:vMerge/>
            <w:tcBorders>
              <w:top w:val="single" w:sz="4" w:space="0" w:color="auto"/>
              <w:left w:val="nil"/>
              <w:bottom w:val="single" w:sz="4" w:space="0" w:color="000000"/>
              <w:right w:val="dotted" w:sz="4" w:space="0" w:color="auto"/>
            </w:tcBorders>
            <w:vAlign w:val="center"/>
          </w:tcPr>
          <w:p w14:paraId="3E13201C" w14:textId="77777777" w:rsidR="00A51C1A" w:rsidRPr="00396DA8" w:rsidRDefault="00A51C1A" w:rsidP="00234D8F">
            <w:pPr>
              <w:spacing w:after="0" w:line="240" w:lineRule="auto"/>
              <w:rPr>
                <w:rFonts w:eastAsia="Times New Roman" w:cstheme="minorHAnsi"/>
                <w:b/>
                <w:color w:val="000000"/>
                <w:sz w:val="20"/>
                <w:szCs w:val="20"/>
                <w:lang w:eastAsia="en-GB"/>
              </w:rPr>
            </w:pPr>
          </w:p>
        </w:tc>
        <w:tc>
          <w:tcPr>
            <w:tcW w:w="2394" w:type="dxa"/>
            <w:gridSpan w:val="3"/>
            <w:tcBorders>
              <w:top w:val="single" w:sz="4" w:space="0" w:color="auto"/>
              <w:left w:val="dotted" w:sz="4" w:space="0" w:color="auto"/>
              <w:bottom w:val="single" w:sz="4" w:space="0" w:color="auto"/>
              <w:right w:val="dotted" w:sz="4" w:space="0" w:color="auto"/>
            </w:tcBorders>
            <w:shd w:val="clear" w:color="auto" w:fill="auto"/>
            <w:vAlign w:val="bottom"/>
          </w:tcPr>
          <w:p w14:paraId="7EC3A809" w14:textId="77777777" w:rsidR="00A51C1A" w:rsidRPr="00396DA8" w:rsidRDefault="00A51C1A" w:rsidP="00234D8F">
            <w:pPr>
              <w:spacing w:after="0" w:line="240" w:lineRule="auto"/>
              <w:jc w:val="center"/>
              <w:rPr>
                <w:rFonts w:eastAsia="Times New Roman" w:cstheme="minorHAnsi"/>
                <w:b/>
                <w:color w:val="000000"/>
                <w:sz w:val="20"/>
                <w:szCs w:val="20"/>
                <w:lang w:eastAsia="en-GB"/>
              </w:rPr>
            </w:pPr>
            <w:r w:rsidRPr="00396DA8">
              <w:rPr>
                <w:rFonts w:eastAsia="Times New Roman" w:cstheme="minorHAnsi"/>
                <w:b/>
                <w:color w:val="000000"/>
                <w:sz w:val="20"/>
                <w:szCs w:val="20"/>
                <w:lang w:eastAsia="en-GB"/>
              </w:rPr>
              <w:t>T2DM only</w:t>
            </w:r>
          </w:p>
        </w:tc>
        <w:tc>
          <w:tcPr>
            <w:tcW w:w="2374" w:type="dxa"/>
            <w:gridSpan w:val="3"/>
            <w:tcBorders>
              <w:top w:val="single" w:sz="4" w:space="0" w:color="auto"/>
              <w:left w:val="dotted" w:sz="4" w:space="0" w:color="auto"/>
              <w:bottom w:val="single" w:sz="4" w:space="0" w:color="auto"/>
              <w:right w:val="dotted" w:sz="4" w:space="0" w:color="auto"/>
            </w:tcBorders>
            <w:shd w:val="clear" w:color="auto" w:fill="auto"/>
            <w:vAlign w:val="bottom"/>
          </w:tcPr>
          <w:p w14:paraId="3312679E" w14:textId="77777777" w:rsidR="00A51C1A" w:rsidRPr="00396DA8" w:rsidRDefault="00A51C1A" w:rsidP="00234D8F">
            <w:pPr>
              <w:spacing w:after="0" w:line="240" w:lineRule="auto"/>
              <w:jc w:val="center"/>
              <w:rPr>
                <w:rFonts w:eastAsia="Times New Roman" w:cstheme="minorHAnsi"/>
                <w:b/>
                <w:color w:val="000000"/>
                <w:sz w:val="20"/>
                <w:szCs w:val="20"/>
                <w:lang w:eastAsia="en-GB"/>
              </w:rPr>
            </w:pPr>
            <w:r w:rsidRPr="00396DA8">
              <w:rPr>
                <w:rFonts w:eastAsia="Times New Roman" w:cstheme="minorHAnsi"/>
                <w:b/>
                <w:color w:val="000000"/>
                <w:sz w:val="20"/>
                <w:szCs w:val="20"/>
                <w:lang w:eastAsia="en-GB"/>
              </w:rPr>
              <w:t>+1</w:t>
            </w:r>
          </w:p>
        </w:tc>
        <w:tc>
          <w:tcPr>
            <w:tcW w:w="2446" w:type="dxa"/>
            <w:gridSpan w:val="3"/>
            <w:tcBorders>
              <w:top w:val="single" w:sz="4" w:space="0" w:color="auto"/>
              <w:left w:val="dotted" w:sz="4" w:space="0" w:color="auto"/>
              <w:bottom w:val="single" w:sz="4" w:space="0" w:color="auto"/>
              <w:right w:val="dotted" w:sz="4" w:space="0" w:color="auto"/>
            </w:tcBorders>
            <w:shd w:val="clear" w:color="auto" w:fill="auto"/>
            <w:vAlign w:val="bottom"/>
          </w:tcPr>
          <w:p w14:paraId="641DE619" w14:textId="77777777" w:rsidR="00A51C1A" w:rsidRPr="00396DA8" w:rsidRDefault="00A51C1A" w:rsidP="00234D8F">
            <w:pPr>
              <w:spacing w:after="0" w:line="240" w:lineRule="auto"/>
              <w:jc w:val="center"/>
              <w:rPr>
                <w:rFonts w:eastAsia="Times New Roman" w:cstheme="minorHAnsi"/>
                <w:b/>
                <w:color w:val="000000"/>
                <w:sz w:val="20"/>
                <w:szCs w:val="20"/>
                <w:lang w:eastAsia="en-GB"/>
              </w:rPr>
            </w:pPr>
            <w:r w:rsidRPr="00396DA8">
              <w:rPr>
                <w:rFonts w:eastAsia="Times New Roman" w:cstheme="minorHAnsi"/>
                <w:b/>
                <w:color w:val="000000"/>
                <w:sz w:val="20"/>
                <w:szCs w:val="20"/>
                <w:lang w:eastAsia="en-GB"/>
              </w:rPr>
              <w:t>+2</w:t>
            </w:r>
          </w:p>
        </w:tc>
        <w:tc>
          <w:tcPr>
            <w:tcW w:w="2551" w:type="dxa"/>
            <w:gridSpan w:val="3"/>
            <w:tcBorders>
              <w:top w:val="single" w:sz="4" w:space="0" w:color="auto"/>
              <w:left w:val="dotted" w:sz="4" w:space="0" w:color="auto"/>
              <w:bottom w:val="single" w:sz="4" w:space="0" w:color="auto"/>
              <w:right w:val="nil"/>
            </w:tcBorders>
            <w:shd w:val="clear" w:color="auto" w:fill="auto"/>
            <w:vAlign w:val="bottom"/>
          </w:tcPr>
          <w:p w14:paraId="6A1134C8" w14:textId="77777777" w:rsidR="00A51C1A" w:rsidRPr="00396DA8" w:rsidRDefault="00A51C1A" w:rsidP="00234D8F">
            <w:pPr>
              <w:spacing w:after="0" w:line="240" w:lineRule="auto"/>
              <w:jc w:val="center"/>
              <w:rPr>
                <w:rFonts w:eastAsia="Times New Roman" w:cstheme="minorHAnsi"/>
                <w:b/>
                <w:color w:val="000000"/>
                <w:sz w:val="20"/>
                <w:szCs w:val="20"/>
                <w:lang w:eastAsia="en-GB"/>
              </w:rPr>
            </w:pPr>
            <w:r w:rsidRPr="00396DA8">
              <w:rPr>
                <w:rFonts w:eastAsia="Times New Roman" w:cstheme="minorHAnsi"/>
                <w:b/>
                <w:color w:val="000000"/>
                <w:sz w:val="20"/>
                <w:szCs w:val="20"/>
                <w:lang w:eastAsia="en-GB"/>
              </w:rPr>
              <w:t>+3 or more</w:t>
            </w:r>
          </w:p>
        </w:tc>
      </w:tr>
      <w:tr w:rsidR="00A51C1A" w:rsidRPr="00704732" w14:paraId="10D72B04" w14:textId="77777777">
        <w:trPr>
          <w:trHeight w:val="227"/>
        </w:trPr>
        <w:tc>
          <w:tcPr>
            <w:tcW w:w="851" w:type="dxa"/>
            <w:vMerge/>
            <w:tcBorders>
              <w:top w:val="single" w:sz="4" w:space="0" w:color="auto"/>
              <w:left w:val="nil"/>
              <w:bottom w:val="single" w:sz="4" w:space="0" w:color="000000"/>
              <w:right w:val="dotted" w:sz="4" w:space="0" w:color="auto"/>
            </w:tcBorders>
            <w:vAlign w:val="center"/>
          </w:tcPr>
          <w:p w14:paraId="1DFEDDF2" w14:textId="77777777" w:rsidR="00A51C1A" w:rsidRPr="00396DA8" w:rsidRDefault="00A51C1A" w:rsidP="00234D8F">
            <w:pPr>
              <w:spacing w:after="0" w:line="240" w:lineRule="auto"/>
              <w:rPr>
                <w:rFonts w:eastAsia="Times New Roman" w:cstheme="minorHAnsi"/>
                <w:b/>
                <w:color w:val="000000"/>
                <w:sz w:val="20"/>
                <w:szCs w:val="20"/>
                <w:lang w:eastAsia="en-GB"/>
              </w:rPr>
            </w:pPr>
          </w:p>
        </w:tc>
        <w:tc>
          <w:tcPr>
            <w:tcW w:w="1134" w:type="dxa"/>
            <w:vMerge/>
            <w:tcBorders>
              <w:top w:val="single" w:sz="4" w:space="0" w:color="auto"/>
              <w:left w:val="dotted" w:sz="4" w:space="0" w:color="auto"/>
              <w:bottom w:val="single" w:sz="4" w:space="0" w:color="000000"/>
              <w:right w:val="nil"/>
            </w:tcBorders>
            <w:vAlign w:val="center"/>
          </w:tcPr>
          <w:p w14:paraId="559553B8" w14:textId="77777777" w:rsidR="00A51C1A" w:rsidRPr="00396DA8" w:rsidRDefault="00A51C1A" w:rsidP="00234D8F">
            <w:pPr>
              <w:spacing w:after="0" w:line="240" w:lineRule="auto"/>
              <w:rPr>
                <w:rFonts w:eastAsia="Times New Roman" w:cstheme="minorHAnsi"/>
                <w:b/>
                <w:color w:val="000000"/>
                <w:sz w:val="20"/>
                <w:szCs w:val="20"/>
                <w:lang w:eastAsia="en-GB"/>
              </w:rPr>
            </w:pPr>
          </w:p>
        </w:tc>
        <w:tc>
          <w:tcPr>
            <w:tcW w:w="869" w:type="dxa"/>
            <w:tcBorders>
              <w:top w:val="nil"/>
              <w:left w:val="nil"/>
              <w:bottom w:val="single" w:sz="4" w:space="0" w:color="auto"/>
              <w:right w:val="nil"/>
            </w:tcBorders>
            <w:shd w:val="clear" w:color="auto" w:fill="auto"/>
            <w:vAlign w:val="bottom"/>
          </w:tcPr>
          <w:p w14:paraId="5CB9ACA2" w14:textId="77777777" w:rsidR="00A51C1A" w:rsidRPr="00396DA8" w:rsidRDefault="00A51C1A" w:rsidP="00234D8F">
            <w:pPr>
              <w:spacing w:after="0" w:line="240" w:lineRule="auto"/>
              <w:jc w:val="center"/>
              <w:rPr>
                <w:rFonts w:eastAsia="Times New Roman" w:cstheme="minorHAnsi"/>
                <w:b/>
                <w:color w:val="000000"/>
                <w:sz w:val="20"/>
                <w:szCs w:val="20"/>
                <w:lang w:eastAsia="en-GB"/>
              </w:rPr>
            </w:pPr>
            <w:r w:rsidRPr="00396DA8">
              <w:rPr>
                <w:rFonts w:eastAsia="Times New Roman" w:cstheme="minorHAnsi"/>
                <w:b/>
                <w:color w:val="000000"/>
                <w:sz w:val="20"/>
                <w:szCs w:val="20"/>
                <w:lang w:eastAsia="en-GB"/>
              </w:rPr>
              <w:t>GP</w:t>
            </w:r>
          </w:p>
        </w:tc>
        <w:tc>
          <w:tcPr>
            <w:tcW w:w="865" w:type="dxa"/>
            <w:tcBorders>
              <w:top w:val="nil"/>
              <w:left w:val="nil"/>
              <w:bottom w:val="single" w:sz="4" w:space="0" w:color="auto"/>
              <w:right w:val="dotted" w:sz="4" w:space="0" w:color="auto"/>
            </w:tcBorders>
            <w:shd w:val="clear" w:color="auto" w:fill="auto"/>
            <w:vAlign w:val="bottom"/>
          </w:tcPr>
          <w:p w14:paraId="5A20A72E" w14:textId="77777777" w:rsidR="00A51C1A" w:rsidRPr="00396DA8" w:rsidRDefault="00A51C1A" w:rsidP="00234D8F">
            <w:pPr>
              <w:spacing w:after="0" w:line="240" w:lineRule="auto"/>
              <w:jc w:val="center"/>
              <w:rPr>
                <w:rFonts w:eastAsia="Times New Roman" w:cstheme="minorHAnsi"/>
                <w:b/>
                <w:color w:val="000000"/>
                <w:sz w:val="20"/>
                <w:szCs w:val="20"/>
                <w:lang w:eastAsia="en-GB"/>
              </w:rPr>
            </w:pPr>
            <w:r w:rsidRPr="00396DA8">
              <w:rPr>
                <w:rFonts w:eastAsia="Times New Roman" w:cstheme="minorHAnsi"/>
                <w:b/>
                <w:color w:val="000000"/>
                <w:sz w:val="20"/>
                <w:szCs w:val="20"/>
                <w:lang w:eastAsia="en-GB"/>
              </w:rPr>
              <w:t>Nurse</w:t>
            </w:r>
          </w:p>
        </w:tc>
        <w:tc>
          <w:tcPr>
            <w:tcW w:w="708" w:type="dxa"/>
            <w:tcBorders>
              <w:top w:val="nil"/>
              <w:left w:val="dotted" w:sz="4" w:space="0" w:color="auto"/>
              <w:bottom w:val="single" w:sz="4" w:space="0" w:color="auto"/>
              <w:right w:val="nil"/>
            </w:tcBorders>
            <w:shd w:val="clear" w:color="auto" w:fill="auto"/>
            <w:vAlign w:val="bottom"/>
          </w:tcPr>
          <w:p w14:paraId="31BA71DE" w14:textId="77777777" w:rsidR="00A51C1A" w:rsidRPr="00396DA8" w:rsidRDefault="00A51C1A" w:rsidP="00234D8F">
            <w:pPr>
              <w:spacing w:after="0" w:line="240" w:lineRule="auto"/>
              <w:jc w:val="center"/>
              <w:rPr>
                <w:rFonts w:eastAsia="Times New Roman" w:cstheme="minorHAnsi"/>
                <w:b/>
                <w:color w:val="000000"/>
                <w:sz w:val="20"/>
                <w:szCs w:val="20"/>
                <w:lang w:eastAsia="en-GB"/>
              </w:rPr>
            </w:pPr>
            <w:r w:rsidRPr="00396DA8">
              <w:rPr>
                <w:rFonts w:eastAsia="Times New Roman" w:cstheme="minorHAnsi"/>
                <w:b/>
                <w:color w:val="000000"/>
                <w:sz w:val="20"/>
                <w:szCs w:val="20"/>
                <w:lang w:eastAsia="en-GB"/>
              </w:rPr>
              <w:t>GP rate</w:t>
            </w:r>
          </w:p>
        </w:tc>
        <w:tc>
          <w:tcPr>
            <w:tcW w:w="707" w:type="dxa"/>
            <w:tcBorders>
              <w:top w:val="nil"/>
              <w:left w:val="nil"/>
              <w:bottom w:val="single" w:sz="4" w:space="0" w:color="auto"/>
              <w:right w:val="nil"/>
            </w:tcBorders>
            <w:shd w:val="clear" w:color="auto" w:fill="auto"/>
            <w:vAlign w:val="bottom"/>
          </w:tcPr>
          <w:p w14:paraId="58AF298A" w14:textId="77777777" w:rsidR="00A51C1A" w:rsidRPr="00396DA8" w:rsidRDefault="00A51C1A" w:rsidP="00234D8F">
            <w:pPr>
              <w:spacing w:after="0" w:line="240" w:lineRule="auto"/>
              <w:jc w:val="center"/>
              <w:rPr>
                <w:rFonts w:eastAsia="Times New Roman" w:cstheme="minorHAnsi"/>
                <w:b/>
                <w:color w:val="000000"/>
                <w:sz w:val="20"/>
                <w:szCs w:val="20"/>
                <w:lang w:eastAsia="en-GB"/>
              </w:rPr>
            </w:pPr>
            <w:r w:rsidRPr="00396DA8">
              <w:rPr>
                <w:rFonts w:eastAsia="Times New Roman" w:cstheme="minorHAnsi"/>
                <w:b/>
                <w:color w:val="000000"/>
                <w:sz w:val="20"/>
                <w:szCs w:val="20"/>
                <w:lang w:eastAsia="en-GB"/>
              </w:rPr>
              <w:t>Nurse rate</w:t>
            </w:r>
          </w:p>
        </w:tc>
        <w:tc>
          <w:tcPr>
            <w:tcW w:w="979" w:type="dxa"/>
            <w:tcBorders>
              <w:top w:val="nil"/>
              <w:left w:val="nil"/>
              <w:bottom w:val="single" w:sz="4" w:space="0" w:color="auto"/>
              <w:right w:val="dotted" w:sz="4" w:space="0" w:color="auto"/>
            </w:tcBorders>
            <w:shd w:val="clear" w:color="auto" w:fill="E7E6E6" w:themeFill="background2"/>
            <w:vAlign w:val="bottom"/>
          </w:tcPr>
          <w:p w14:paraId="52D96F72" w14:textId="77777777" w:rsidR="00A51C1A" w:rsidRPr="00396DA8" w:rsidRDefault="00A51C1A" w:rsidP="00234D8F">
            <w:pPr>
              <w:spacing w:after="0" w:line="240" w:lineRule="auto"/>
              <w:jc w:val="center"/>
              <w:rPr>
                <w:rFonts w:eastAsia="Times New Roman" w:cstheme="minorHAnsi"/>
                <w:b/>
                <w:color w:val="000000"/>
                <w:sz w:val="20"/>
                <w:szCs w:val="20"/>
                <w:lang w:eastAsia="en-GB"/>
              </w:rPr>
            </w:pPr>
            <w:r w:rsidRPr="00704732">
              <w:rPr>
                <w:rFonts w:eastAsia="Times New Roman" w:cstheme="minorHAnsi"/>
                <w:b/>
                <w:color w:val="000000"/>
                <w:sz w:val="20"/>
                <w:szCs w:val="20"/>
                <w:lang w:eastAsia="en-GB"/>
              </w:rPr>
              <w:t>Annual</w:t>
            </w:r>
            <w:r w:rsidRPr="00396DA8">
              <w:rPr>
                <w:rFonts w:eastAsia="Times New Roman" w:cstheme="minorHAnsi"/>
                <w:b/>
                <w:color w:val="000000"/>
                <w:sz w:val="20"/>
                <w:szCs w:val="20"/>
                <w:lang w:eastAsia="en-GB"/>
              </w:rPr>
              <w:t xml:space="preserve"> cost</w:t>
            </w:r>
          </w:p>
        </w:tc>
        <w:tc>
          <w:tcPr>
            <w:tcW w:w="708" w:type="dxa"/>
            <w:tcBorders>
              <w:top w:val="nil"/>
              <w:left w:val="dotted" w:sz="4" w:space="0" w:color="auto"/>
              <w:bottom w:val="single" w:sz="4" w:space="0" w:color="auto"/>
              <w:right w:val="nil"/>
            </w:tcBorders>
            <w:shd w:val="clear" w:color="auto" w:fill="auto"/>
            <w:vAlign w:val="bottom"/>
          </w:tcPr>
          <w:p w14:paraId="7A9539DC" w14:textId="77777777" w:rsidR="00A51C1A" w:rsidRPr="00396DA8" w:rsidRDefault="00A51C1A" w:rsidP="00234D8F">
            <w:pPr>
              <w:spacing w:after="0" w:line="240" w:lineRule="auto"/>
              <w:jc w:val="center"/>
              <w:rPr>
                <w:rFonts w:eastAsia="Times New Roman" w:cstheme="minorHAnsi"/>
                <w:b/>
                <w:color w:val="000000"/>
                <w:sz w:val="20"/>
                <w:szCs w:val="20"/>
                <w:lang w:eastAsia="en-GB"/>
              </w:rPr>
            </w:pPr>
            <w:r w:rsidRPr="00396DA8">
              <w:rPr>
                <w:rFonts w:eastAsia="Times New Roman" w:cstheme="minorHAnsi"/>
                <w:b/>
                <w:color w:val="000000"/>
                <w:sz w:val="20"/>
                <w:szCs w:val="20"/>
                <w:lang w:eastAsia="en-GB"/>
              </w:rPr>
              <w:t>GP rate</w:t>
            </w:r>
          </w:p>
        </w:tc>
        <w:tc>
          <w:tcPr>
            <w:tcW w:w="707" w:type="dxa"/>
            <w:tcBorders>
              <w:top w:val="nil"/>
              <w:left w:val="nil"/>
              <w:bottom w:val="single" w:sz="4" w:space="0" w:color="auto"/>
              <w:right w:val="nil"/>
            </w:tcBorders>
            <w:shd w:val="clear" w:color="auto" w:fill="auto"/>
            <w:vAlign w:val="bottom"/>
          </w:tcPr>
          <w:p w14:paraId="49D997C5" w14:textId="77777777" w:rsidR="00A51C1A" w:rsidRPr="00396DA8" w:rsidRDefault="00A51C1A" w:rsidP="00234D8F">
            <w:pPr>
              <w:spacing w:after="0" w:line="240" w:lineRule="auto"/>
              <w:jc w:val="center"/>
              <w:rPr>
                <w:rFonts w:eastAsia="Times New Roman" w:cstheme="minorHAnsi"/>
                <w:b/>
                <w:color w:val="000000"/>
                <w:sz w:val="20"/>
                <w:szCs w:val="20"/>
                <w:lang w:eastAsia="en-GB"/>
              </w:rPr>
            </w:pPr>
            <w:r w:rsidRPr="00396DA8">
              <w:rPr>
                <w:rFonts w:eastAsia="Times New Roman" w:cstheme="minorHAnsi"/>
                <w:b/>
                <w:color w:val="000000"/>
                <w:sz w:val="20"/>
                <w:szCs w:val="20"/>
                <w:lang w:eastAsia="en-GB"/>
              </w:rPr>
              <w:t>Nurse rate</w:t>
            </w:r>
          </w:p>
        </w:tc>
        <w:tc>
          <w:tcPr>
            <w:tcW w:w="959" w:type="dxa"/>
            <w:tcBorders>
              <w:top w:val="nil"/>
              <w:left w:val="nil"/>
              <w:bottom w:val="single" w:sz="4" w:space="0" w:color="auto"/>
              <w:right w:val="dotted" w:sz="4" w:space="0" w:color="auto"/>
            </w:tcBorders>
            <w:shd w:val="clear" w:color="auto" w:fill="E7E6E6" w:themeFill="background2"/>
            <w:vAlign w:val="bottom"/>
          </w:tcPr>
          <w:p w14:paraId="3BA03B4E" w14:textId="77777777" w:rsidR="00A51C1A" w:rsidRPr="00396DA8" w:rsidRDefault="00A51C1A" w:rsidP="00234D8F">
            <w:pPr>
              <w:spacing w:after="0" w:line="240" w:lineRule="auto"/>
              <w:jc w:val="center"/>
              <w:rPr>
                <w:rFonts w:eastAsia="Times New Roman" w:cstheme="minorHAnsi"/>
                <w:b/>
                <w:color w:val="000000"/>
                <w:sz w:val="20"/>
                <w:szCs w:val="20"/>
                <w:lang w:eastAsia="en-GB"/>
              </w:rPr>
            </w:pPr>
            <w:r w:rsidRPr="00704732">
              <w:rPr>
                <w:rFonts w:eastAsia="Times New Roman" w:cstheme="minorHAnsi"/>
                <w:b/>
                <w:color w:val="000000"/>
                <w:sz w:val="20"/>
                <w:szCs w:val="20"/>
                <w:lang w:eastAsia="en-GB"/>
              </w:rPr>
              <w:t>Annual</w:t>
            </w:r>
            <w:r w:rsidRPr="00396DA8">
              <w:rPr>
                <w:rFonts w:eastAsia="Times New Roman" w:cstheme="minorHAnsi"/>
                <w:b/>
                <w:color w:val="000000"/>
                <w:sz w:val="20"/>
                <w:szCs w:val="20"/>
                <w:lang w:eastAsia="en-GB"/>
              </w:rPr>
              <w:t xml:space="preserve"> cost</w:t>
            </w:r>
          </w:p>
        </w:tc>
        <w:tc>
          <w:tcPr>
            <w:tcW w:w="740" w:type="dxa"/>
            <w:tcBorders>
              <w:top w:val="nil"/>
              <w:left w:val="dotted" w:sz="4" w:space="0" w:color="auto"/>
              <w:bottom w:val="single" w:sz="4" w:space="0" w:color="auto"/>
              <w:right w:val="nil"/>
            </w:tcBorders>
            <w:shd w:val="clear" w:color="auto" w:fill="auto"/>
            <w:vAlign w:val="bottom"/>
          </w:tcPr>
          <w:p w14:paraId="0D0FF7E8" w14:textId="77777777" w:rsidR="00A51C1A" w:rsidRPr="00396DA8" w:rsidRDefault="00A51C1A" w:rsidP="00234D8F">
            <w:pPr>
              <w:spacing w:after="0" w:line="240" w:lineRule="auto"/>
              <w:jc w:val="center"/>
              <w:rPr>
                <w:rFonts w:eastAsia="Times New Roman" w:cstheme="minorHAnsi"/>
                <w:b/>
                <w:color w:val="000000"/>
                <w:sz w:val="20"/>
                <w:szCs w:val="20"/>
                <w:lang w:eastAsia="en-GB"/>
              </w:rPr>
            </w:pPr>
            <w:r w:rsidRPr="00396DA8">
              <w:rPr>
                <w:rFonts w:eastAsia="Times New Roman" w:cstheme="minorHAnsi"/>
                <w:b/>
                <w:color w:val="000000"/>
                <w:sz w:val="20"/>
                <w:szCs w:val="20"/>
                <w:lang w:eastAsia="en-GB"/>
              </w:rPr>
              <w:t>GP rate</w:t>
            </w:r>
          </w:p>
        </w:tc>
        <w:tc>
          <w:tcPr>
            <w:tcW w:w="708" w:type="dxa"/>
            <w:tcBorders>
              <w:top w:val="nil"/>
              <w:left w:val="nil"/>
              <w:bottom w:val="single" w:sz="4" w:space="0" w:color="auto"/>
              <w:right w:val="nil"/>
            </w:tcBorders>
            <w:shd w:val="clear" w:color="auto" w:fill="auto"/>
            <w:vAlign w:val="bottom"/>
          </w:tcPr>
          <w:p w14:paraId="38A62738" w14:textId="77777777" w:rsidR="00A51C1A" w:rsidRPr="00396DA8" w:rsidRDefault="00A51C1A" w:rsidP="00234D8F">
            <w:pPr>
              <w:spacing w:after="0" w:line="240" w:lineRule="auto"/>
              <w:jc w:val="center"/>
              <w:rPr>
                <w:rFonts w:eastAsia="Times New Roman" w:cstheme="minorHAnsi"/>
                <w:b/>
                <w:color w:val="000000"/>
                <w:sz w:val="20"/>
                <w:szCs w:val="20"/>
                <w:lang w:eastAsia="en-GB"/>
              </w:rPr>
            </w:pPr>
            <w:r w:rsidRPr="00396DA8">
              <w:rPr>
                <w:rFonts w:eastAsia="Times New Roman" w:cstheme="minorHAnsi"/>
                <w:b/>
                <w:color w:val="000000"/>
                <w:sz w:val="20"/>
                <w:szCs w:val="20"/>
                <w:lang w:eastAsia="en-GB"/>
              </w:rPr>
              <w:t>Nurse rate</w:t>
            </w:r>
          </w:p>
        </w:tc>
        <w:tc>
          <w:tcPr>
            <w:tcW w:w="998" w:type="dxa"/>
            <w:tcBorders>
              <w:top w:val="nil"/>
              <w:left w:val="nil"/>
              <w:bottom w:val="single" w:sz="4" w:space="0" w:color="auto"/>
              <w:right w:val="dotted" w:sz="4" w:space="0" w:color="auto"/>
            </w:tcBorders>
            <w:shd w:val="clear" w:color="auto" w:fill="E7E6E6" w:themeFill="background2"/>
            <w:vAlign w:val="bottom"/>
          </w:tcPr>
          <w:p w14:paraId="593B6210" w14:textId="77777777" w:rsidR="00A51C1A" w:rsidRPr="00396DA8" w:rsidRDefault="00A51C1A" w:rsidP="00234D8F">
            <w:pPr>
              <w:spacing w:after="0" w:line="240" w:lineRule="auto"/>
              <w:jc w:val="center"/>
              <w:rPr>
                <w:rFonts w:eastAsia="Times New Roman" w:cstheme="minorHAnsi"/>
                <w:b/>
                <w:color w:val="000000"/>
                <w:sz w:val="20"/>
                <w:szCs w:val="20"/>
                <w:lang w:eastAsia="en-GB"/>
              </w:rPr>
            </w:pPr>
            <w:r w:rsidRPr="00704732">
              <w:rPr>
                <w:rFonts w:eastAsia="Times New Roman" w:cstheme="minorHAnsi"/>
                <w:b/>
                <w:color w:val="000000"/>
                <w:sz w:val="20"/>
                <w:szCs w:val="20"/>
                <w:lang w:eastAsia="en-GB"/>
              </w:rPr>
              <w:t>Annual</w:t>
            </w:r>
            <w:r w:rsidRPr="00396DA8">
              <w:rPr>
                <w:rFonts w:eastAsia="Times New Roman" w:cstheme="minorHAnsi"/>
                <w:b/>
                <w:color w:val="000000"/>
                <w:sz w:val="20"/>
                <w:szCs w:val="20"/>
                <w:lang w:eastAsia="en-GB"/>
              </w:rPr>
              <w:t xml:space="preserve"> cost</w:t>
            </w:r>
          </w:p>
        </w:tc>
        <w:tc>
          <w:tcPr>
            <w:tcW w:w="707" w:type="dxa"/>
            <w:tcBorders>
              <w:top w:val="nil"/>
              <w:left w:val="dotted" w:sz="4" w:space="0" w:color="auto"/>
              <w:bottom w:val="single" w:sz="4" w:space="0" w:color="auto"/>
              <w:right w:val="nil"/>
            </w:tcBorders>
            <w:shd w:val="clear" w:color="auto" w:fill="auto"/>
            <w:vAlign w:val="bottom"/>
          </w:tcPr>
          <w:p w14:paraId="562DEE08" w14:textId="77777777" w:rsidR="00A51C1A" w:rsidRPr="00396DA8" w:rsidRDefault="00A51C1A" w:rsidP="00234D8F">
            <w:pPr>
              <w:spacing w:after="0" w:line="240" w:lineRule="auto"/>
              <w:jc w:val="center"/>
              <w:rPr>
                <w:rFonts w:eastAsia="Times New Roman" w:cstheme="minorHAnsi"/>
                <w:b/>
                <w:color w:val="000000"/>
                <w:sz w:val="20"/>
                <w:szCs w:val="20"/>
                <w:lang w:eastAsia="en-GB"/>
              </w:rPr>
            </w:pPr>
            <w:r w:rsidRPr="00396DA8">
              <w:rPr>
                <w:rFonts w:eastAsia="Times New Roman" w:cstheme="minorHAnsi"/>
                <w:b/>
                <w:color w:val="000000"/>
                <w:sz w:val="20"/>
                <w:szCs w:val="20"/>
                <w:lang w:eastAsia="en-GB"/>
              </w:rPr>
              <w:t>GP rate</w:t>
            </w:r>
          </w:p>
        </w:tc>
        <w:tc>
          <w:tcPr>
            <w:tcW w:w="708" w:type="dxa"/>
            <w:tcBorders>
              <w:top w:val="nil"/>
              <w:left w:val="nil"/>
              <w:bottom w:val="single" w:sz="4" w:space="0" w:color="auto"/>
              <w:right w:val="nil"/>
            </w:tcBorders>
            <w:shd w:val="clear" w:color="auto" w:fill="auto"/>
            <w:vAlign w:val="bottom"/>
          </w:tcPr>
          <w:p w14:paraId="3B118A2A" w14:textId="77777777" w:rsidR="00A51C1A" w:rsidRPr="00396DA8" w:rsidRDefault="00A51C1A" w:rsidP="00234D8F">
            <w:pPr>
              <w:spacing w:after="0" w:line="240" w:lineRule="auto"/>
              <w:jc w:val="center"/>
              <w:rPr>
                <w:rFonts w:eastAsia="Times New Roman" w:cstheme="minorHAnsi"/>
                <w:b/>
                <w:color w:val="000000"/>
                <w:sz w:val="20"/>
                <w:szCs w:val="20"/>
                <w:lang w:eastAsia="en-GB"/>
              </w:rPr>
            </w:pPr>
            <w:r w:rsidRPr="00396DA8">
              <w:rPr>
                <w:rFonts w:eastAsia="Times New Roman" w:cstheme="minorHAnsi"/>
                <w:b/>
                <w:color w:val="000000"/>
                <w:sz w:val="20"/>
                <w:szCs w:val="20"/>
                <w:lang w:eastAsia="en-GB"/>
              </w:rPr>
              <w:t>Nurse rate</w:t>
            </w:r>
          </w:p>
        </w:tc>
        <w:tc>
          <w:tcPr>
            <w:tcW w:w="1136" w:type="dxa"/>
            <w:tcBorders>
              <w:top w:val="nil"/>
              <w:left w:val="nil"/>
              <w:bottom w:val="single" w:sz="4" w:space="0" w:color="auto"/>
              <w:right w:val="nil"/>
            </w:tcBorders>
            <w:shd w:val="clear" w:color="auto" w:fill="E7E6E6" w:themeFill="background2"/>
            <w:vAlign w:val="bottom"/>
          </w:tcPr>
          <w:p w14:paraId="2AEE3E42" w14:textId="77777777" w:rsidR="00A51C1A" w:rsidRPr="00396DA8" w:rsidRDefault="00A51C1A" w:rsidP="00234D8F">
            <w:pPr>
              <w:spacing w:after="0" w:line="240" w:lineRule="auto"/>
              <w:jc w:val="center"/>
              <w:rPr>
                <w:rFonts w:eastAsia="Times New Roman" w:cstheme="minorHAnsi"/>
                <w:b/>
                <w:color w:val="000000"/>
                <w:sz w:val="20"/>
                <w:szCs w:val="20"/>
                <w:lang w:eastAsia="en-GB"/>
              </w:rPr>
            </w:pPr>
            <w:r w:rsidRPr="00704732">
              <w:rPr>
                <w:rFonts w:eastAsia="Times New Roman" w:cstheme="minorHAnsi"/>
                <w:b/>
                <w:color w:val="000000"/>
                <w:sz w:val="20"/>
                <w:szCs w:val="20"/>
                <w:lang w:eastAsia="en-GB"/>
              </w:rPr>
              <w:t>Annual</w:t>
            </w:r>
            <w:r w:rsidRPr="00396DA8">
              <w:rPr>
                <w:rFonts w:eastAsia="Times New Roman" w:cstheme="minorHAnsi"/>
                <w:b/>
                <w:color w:val="000000"/>
                <w:sz w:val="20"/>
                <w:szCs w:val="20"/>
                <w:lang w:eastAsia="en-GB"/>
              </w:rPr>
              <w:t xml:space="preserve"> cost</w:t>
            </w:r>
          </w:p>
        </w:tc>
      </w:tr>
      <w:tr w:rsidR="00A51C1A" w:rsidRPr="00704732" w14:paraId="08C4BA01" w14:textId="77777777">
        <w:trPr>
          <w:trHeight w:val="227"/>
        </w:trPr>
        <w:tc>
          <w:tcPr>
            <w:tcW w:w="851" w:type="dxa"/>
            <w:tcBorders>
              <w:top w:val="nil"/>
              <w:left w:val="nil"/>
              <w:bottom w:val="nil"/>
              <w:right w:val="dotted" w:sz="4" w:space="0" w:color="auto"/>
            </w:tcBorders>
            <w:shd w:val="clear" w:color="auto" w:fill="auto"/>
            <w:noWrap/>
            <w:vAlign w:val="bottom"/>
          </w:tcPr>
          <w:p w14:paraId="299A0568"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2000</w:t>
            </w:r>
          </w:p>
        </w:tc>
        <w:tc>
          <w:tcPr>
            <w:tcW w:w="1134" w:type="dxa"/>
            <w:tcBorders>
              <w:top w:val="nil"/>
              <w:left w:val="dotted" w:sz="4" w:space="0" w:color="auto"/>
              <w:bottom w:val="nil"/>
              <w:right w:val="nil"/>
            </w:tcBorders>
            <w:shd w:val="clear" w:color="auto" w:fill="auto"/>
            <w:noWrap/>
            <w:vAlign w:val="bottom"/>
          </w:tcPr>
          <w:p w14:paraId="14CE2F2A"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1.65</w:t>
            </w:r>
          </w:p>
        </w:tc>
        <w:tc>
          <w:tcPr>
            <w:tcW w:w="869" w:type="dxa"/>
            <w:tcBorders>
              <w:top w:val="nil"/>
              <w:left w:val="nil"/>
              <w:bottom w:val="nil"/>
              <w:right w:val="nil"/>
            </w:tcBorders>
            <w:shd w:val="clear" w:color="auto" w:fill="auto"/>
            <w:noWrap/>
            <w:vAlign w:val="bottom"/>
          </w:tcPr>
          <w:p w14:paraId="44F42391"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£25.00</w:t>
            </w:r>
          </w:p>
        </w:tc>
        <w:tc>
          <w:tcPr>
            <w:tcW w:w="865" w:type="dxa"/>
            <w:tcBorders>
              <w:top w:val="nil"/>
              <w:left w:val="nil"/>
              <w:bottom w:val="nil"/>
              <w:right w:val="dotted" w:sz="4" w:space="0" w:color="auto"/>
            </w:tcBorders>
            <w:shd w:val="clear" w:color="auto" w:fill="auto"/>
            <w:noWrap/>
            <w:vAlign w:val="bottom"/>
          </w:tcPr>
          <w:p w14:paraId="65054C30"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£9.00</w:t>
            </w:r>
          </w:p>
        </w:tc>
        <w:tc>
          <w:tcPr>
            <w:tcW w:w="708" w:type="dxa"/>
            <w:tcBorders>
              <w:top w:val="nil"/>
              <w:left w:val="dotted" w:sz="4" w:space="0" w:color="auto"/>
              <w:bottom w:val="nil"/>
              <w:right w:val="nil"/>
            </w:tcBorders>
            <w:shd w:val="clear" w:color="auto" w:fill="auto"/>
            <w:noWrap/>
            <w:vAlign w:val="bottom"/>
          </w:tcPr>
          <w:p w14:paraId="1748B777"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10.50</w:t>
            </w:r>
          </w:p>
        </w:tc>
        <w:tc>
          <w:tcPr>
            <w:tcW w:w="707" w:type="dxa"/>
            <w:tcBorders>
              <w:top w:val="nil"/>
              <w:left w:val="nil"/>
              <w:bottom w:val="nil"/>
              <w:right w:val="nil"/>
            </w:tcBorders>
            <w:shd w:val="clear" w:color="auto" w:fill="auto"/>
            <w:noWrap/>
            <w:vAlign w:val="bottom"/>
          </w:tcPr>
          <w:p w14:paraId="5BB30487"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6.01</w:t>
            </w:r>
          </w:p>
        </w:tc>
        <w:tc>
          <w:tcPr>
            <w:tcW w:w="979" w:type="dxa"/>
            <w:tcBorders>
              <w:top w:val="nil"/>
              <w:left w:val="nil"/>
              <w:bottom w:val="nil"/>
              <w:right w:val="dotted" w:sz="4" w:space="0" w:color="auto"/>
            </w:tcBorders>
            <w:shd w:val="clear" w:color="auto" w:fill="E7E6E6" w:themeFill="background2"/>
            <w:noWrap/>
            <w:vAlign w:val="bottom"/>
          </w:tcPr>
          <w:p w14:paraId="7DC1A700"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£522.27</w:t>
            </w:r>
          </w:p>
        </w:tc>
        <w:tc>
          <w:tcPr>
            <w:tcW w:w="708" w:type="dxa"/>
            <w:tcBorders>
              <w:top w:val="nil"/>
              <w:left w:val="dotted" w:sz="4" w:space="0" w:color="auto"/>
              <w:bottom w:val="nil"/>
              <w:right w:val="nil"/>
            </w:tcBorders>
            <w:shd w:val="clear" w:color="auto" w:fill="auto"/>
            <w:noWrap/>
            <w:vAlign w:val="bottom"/>
          </w:tcPr>
          <w:p w14:paraId="0930A3CA"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12.25</w:t>
            </w:r>
          </w:p>
        </w:tc>
        <w:tc>
          <w:tcPr>
            <w:tcW w:w="707" w:type="dxa"/>
            <w:tcBorders>
              <w:top w:val="nil"/>
              <w:left w:val="nil"/>
              <w:bottom w:val="nil"/>
              <w:right w:val="nil"/>
            </w:tcBorders>
            <w:shd w:val="clear" w:color="auto" w:fill="auto"/>
            <w:noWrap/>
            <w:vAlign w:val="bottom"/>
          </w:tcPr>
          <w:p w14:paraId="2A08285E"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5.90</w:t>
            </w:r>
          </w:p>
        </w:tc>
        <w:tc>
          <w:tcPr>
            <w:tcW w:w="959" w:type="dxa"/>
            <w:tcBorders>
              <w:top w:val="nil"/>
              <w:left w:val="nil"/>
              <w:bottom w:val="nil"/>
              <w:right w:val="dotted" w:sz="4" w:space="0" w:color="auto"/>
            </w:tcBorders>
            <w:shd w:val="clear" w:color="auto" w:fill="E7E6E6" w:themeFill="background2"/>
            <w:noWrap/>
            <w:vAlign w:val="bottom"/>
          </w:tcPr>
          <w:p w14:paraId="16016987"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£593.11</w:t>
            </w:r>
          </w:p>
        </w:tc>
        <w:tc>
          <w:tcPr>
            <w:tcW w:w="740" w:type="dxa"/>
            <w:tcBorders>
              <w:top w:val="nil"/>
              <w:left w:val="dotted" w:sz="4" w:space="0" w:color="auto"/>
              <w:bottom w:val="nil"/>
              <w:right w:val="nil"/>
            </w:tcBorders>
            <w:shd w:val="clear" w:color="auto" w:fill="auto"/>
            <w:noWrap/>
            <w:vAlign w:val="bottom"/>
          </w:tcPr>
          <w:p w14:paraId="4F3A2F8B"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13.70</w:t>
            </w:r>
          </w:p>
        </w:tc>
        <w:tc>
          <w:tcPr>
            <w:tcW w:w="708" w:type="dxa"/>
            <w:tcBorders>
              <w:top w:val="nil"/>
              <w:left w:val="nil"/>
              <w:bottom w:val="nil"/>
              <w:right w:val="nil"/>
            </w:tcBorders>
            <w:shd w:val="clear" w:color="auto" w:fill="auto"/>
            <w:noWrap/>
            <w:vAlign w:val="bottom"/>
          </w:tcPr>
          <w:p w14:paraId="063EB6A0"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6.26</w:t>
            </w:r>
          </w:p>
        </w:tc>
        <w:tc>
          <w:tcPr>
            <w:tcW w:w="998" w:type="dxa"/>
            <w:tcBorders>
              <w:top w:val="nil"/>
              <w:left w:val="nil"/>
              <w:bottom w:val="nil"/>
              <w:right w:val="dotted" w:sz="4" w:space="0" w:color="auto"/>
            </w:tcBorders>
            <w:shd w:val="clear" w:color="auto" w:fill="E7E6E6" w:themeFill="background2"/>
            <w:noWrap/>
            <w:vAlign w:val="bottom"/>
          </w:tcPr>
          <w:p w14:paraId="2EF0C46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£658.16</w:t>
            </w:r>
          </w:p>
        </w:tc>
        <w:tc>
          <w:tcPr>
            <w:tcW w:w="707" w:type="dxa"/>
            <w:tcBorders>
              <w:top w:val="nil"/>
              <w:left w:val="dotted" w:sz="4" w:space="0" w:color="auto"/>
              <w:bottom w:val="nil"/>
              <w:right w:val="nil"/>
            </w:tcBorders>
            <w:shd w:val="clear" w:color="auto" w:fill="auto"/>
            <w:noWrap/>
            <w:vAlign w:val="bottom"/>
          </w:tcPr>
          <w:p w14:paraId="65ABB108"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19.24</w:t>
            </w:r>
          </w:p>
        </w:tc>
        <w:tc>
          <w:tcPr>
            <w:tcW w:w="708" w:type="dxa"/>
            <w:tcBorders>
              <w:top w:val="nil"/>
              <w:left w:val="nil"/>
              <w:bottom w:val="nil"/>
              <w:right w:val="nil"/>
            </w:tcBorders>
            <w:shd w:val="clear" w:color="auto" w:fill="auto"/>
            <w:noWrap/>
            <w:vAlign w:val="bottom"/>
          </w:tcPr>
          <w:p w14:paraId="06B3654A"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6.69</w:t>
            </w:r>
          </w:p>
        </w:tc>
        <w:tc>
          <w:tcPr>
            <w:tcW w:w="1136" w:type="dxa"/>
            <w:tcBorders>
              <w:top w:val="nil"/>
              <w:left w:val="nil"/>
              <w:bottom w:val="nil"/>
              <w:right w:val="nil"/>
            </w:tcBorders>
            <w:shd w:val="clear" w:color="auto" w:fill="E7E6E6" w:themeFill="background2"/>
            <w:noWrap/>
            <w:vAlign w:val="bottom"/>
          </w:tcPr>
          <w:p w14:paraId="2B417225"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£892.89</w:t>
            </w:r>
          </w:p>
        </w:tc>
      </w:tr>
      <w:tr w:rsidR="00A51C1A" w:rsidRPr="00704732" w14:paraId="52B85162" w14:textId="77777777">
        <w:trPr>
          <w:trHeight w:val="227"/>
        </w:trPr>
        <w:tc>
          <w:tcPr>
            <w:tcW w:w="851" w:type="dxa"/>
            <w:tcBorders>
              <w:top w:val="nil"/>
              <w:left w:val="nil"/>
              <w:bottom w:val="nil"/>
              <w:right w:val="dotted" w:sz="4" w:space="0" w:color="auto"/>
            </w:tcBorders>
            <w:shd w:val="clear" w:color="auto" w:fill="auto"/>
            <w:noWrap/>
            <w:vAlign w:val="bottom"/>
          </w:tcPr>
          <w:p w14:paraId="7E20738E"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2001</w:t>
            </w:r>
          </w:p>
        </w:tc>
        <w:tc>
          <w:tcPr>
            <w:tcW w:w="1134" w:type="dxa"/>
            <w:tcBorders>
              <w:top w:val="nil"/>
              <w:left w:val="dotted" w:sz="4" w:space="0" w:color="auto"/>
              <w:bottom w:val="nil"/>
              <w:right w:val="nil"/>
            </w:tcBorders>
            <w:shd w:val="clear" w:color="auto" w:fill="auto"/>
            <w:noWrap/>
            <w:vAlign w:val="bottom"/>
          </w:tcPr>
          <w:p w14:paraId="3DFDFB75"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1.60</w:t>
            </w:r>
          </w:p>
        </w:tc>
        <w:tc>
          <w:tcPr>
            <w:tcW w:w="869" w:type="dxa"/>
            <w:tcBorders>
              <w:top w:val="nil"/>
              <w:left w:val="nil"/>
              <w:bottom w:val="nil"/>
              <w:right w:val="nil"/>
            </w:tcBorders>
            <w:shd w:val="clear" w:color="auto" w:fill="auto"/>
            <w:noWrap/>
            <w:vAlign w:val="bottom"/>
          </w:tcPr>
          <w:p w14:paraId="53A48E7F"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£26.00</w:t>
            </w:r>
          </w:p>
        </w:tc>
        <w:tc>
          <w:tcPr>
            <w:tcW w:w="865" w:type="dxa"/>
            <w:tcBorders>
              <w:top w:val="nil"/>
              <w:left w:val="nil"/>
              <w:bottom w:val="nil"/>
              <w:right w:val="dotted" w:sz="4" w:space="0" w:color="auto"/>
            </w:tcBorders>
            <w:shd w:val="clear" w:color="auto" w:fill="auto"/>
            <w:noWrap/>
            <w:vAlign w:val="bottom"/>
          </w:tcPr>
          <w:p w14:paraId="6AFB738D"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£10.00</w:t>
            </w:r>
          </w:p>
        </w:tc>
        <w:tc>
          <w:tcPr>
            <w:tcW w:w="708" w:type="dxa"/>
            <w:tcBorders>
              <w:top w:val="nil"/>
              <w:left w:val="dotted" w:sz="4" w:space="0" w:color="auto"/>
              <w:bottom w:val="nil"/>
              <w:right w:val="nil"/>
            </w:tcBorders>
            <w:shd w:val="clear" w:color="auto" w:fill="auto"/>
            <w:noWrap/>
            <w:vAlign w:val="bottom"/>
          </w:tcPr>
          <w:p w14:paraId="4B8CEB1F"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8.92</w:t>
            </w:r>
          </w:p>
        </w:tc>
        <w:tc>
          <w:tcPr>
            <w:tcW w:w="707" w:type="dxa"/>
            <w:tcBorders>
              <w:top w:val="nil"/>
              <w:left w:val="nil"/>
              <w:bottom w:val="nil"/>
              <w:right w:val="nil"/>
            </w:tcBorders>
            <w:shd w:val="clear" w:color="auto" w:fill="auto"/>
            <w:noWrap/>
            <w:vAlign w:val="bottom"/>
          </w:tcPr>
          <w:p w14:paraId="7824EAB0"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4.89</w:t>
            </w:r>
          </w:p>
        </w:tc>
        <w:tc>
          <w:tcPr>
            <w:tcW w:w="979" w:type="dxa"/>
            <w:tcBorders>
              <w:top w:val="nil"/>
              <w:left w:val="nil"/>
              <w:bottom w:val="nil"/>
              <w:right w:val="dotted" w:sz="4" w:space="0" w:color="auto"/>
            </w:tcBorders>
            <w:shd w:val="clear" w:color="auto" w:fill="E7E6E6" w:themeFill="background2"/>
            <w:noWrap/>
            <w:vAlign w:val="bottom"/>
          </w:tcPr>
          <w:p w14:paraId="3B4C4764"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£449.31</w:t>
            </w:r>
          </w:p>
        </w:tc>
        <w:tc>
          <w:tcPr>
            <w:tcW w:w="708" w:type="dxa"/>
            <w:tcBorders>
              <w:top w:val="nil"/>
              <w:left w:val="dotted" w:sz="4" w:space="0" w:color="auto"/>
              <w:bottom w:val="nil"/>
              <w:right w:val="nil"/>
            </w:tcBorders>
            <w:shd w:val="clear" w:color="auto" w:fill="auto"/>
            <w:noWrap/>
            <w:vAlign w:val="bottom"/>
          </w:tcPr>
          <w:p w14:paraId="785B9F11"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10.74</w:t>
            </w:r>
          </w:p>
        </w:tc>
        <w:tc>
          <w:tcPr>
            <w:tcW w:w="707" w:type="dxa"/>
            <w:tcBorders>
              <w:top w:val="nil"/>
              <w:left w:val="nil"/>
              <w:bottom w:val="nil"/>
              <w:right w:val="nil"/>
            </w:tcBorders>
            <w:shd w:val="clear" w:color="auto" w:fill="auto"/>
            <w:noWrap/>
            <w:vAlign w:val="bottom"/>
          </w:tcPr>
          <w:p w14:paraId="6DF243E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5.22</w:t>
            </w:r>
          </w:p>
        </w:tc>
        <w:tc>
          <w:tcPr>
            <w:tcW w:w="959" w:type="dxa"/>
            <w:tcBorders>
              <w:top w:val="nil"/>
              <w:left w:val="nil"/>
              <w:bottom w:val="nil"/>
              <w:right w:val="dotted" w:sz="4" w:space="0" w:color="auto"/>
            </w:tcBorders>
            <w:shd w:val="clear" w:color="auto" w:fill="E7E6E6" w:themeFill="background2"/>
            <w:noWrap/>
            <w:vAlign w:val="bottom"/>
          </w:tcPr>
          <w:p w14:paraId="022441DA"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£530.21</w:t>
            </w:r>
          </w:p>
        </w:tc>
        <w:tc>
          <w:tcPr>
            <w:tcW w:w="740" w:type="dxa"/>
            <w:tcBorders>
              <w:top w:val="nil"/>
              <w:left w:val="dotted" w:sz="4" w:space="0" w:color="auto"/>
              <w:bottom w:val="nil"/>
              <w:right w:val="nil"/>
            </w:tcBorders>
            <w:shd w:val="clear" w:color="auto" w:fill="auto"/>
            <w:noWrap/>
            <w:vAlign w:val="bottom"/>
          </w:tcPr>
          <w:p w14:paraId="43FEF394"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12.16</w:t>
            </w:r>
          </w:p>
        </w:tc>
        <w:tc>
          <w:tcPr>
            <w:tcW w:w="708" w:type="dxa"/>
            <w:tcBorders>
              <w:top w:val="nil"/>
              <w:left w:val="nil"/>
              <w:bottom w:val="nil"/>
              <w:right w:val="nil"/>
            </w:tcBorders>
            <w:shd w:val="clear" w:color="auto" w:fill="auto"/>
            <w:noWrap/>
            <w:vAlign w:val="bottom"/>
          </w:tcPr>
          <w:p w14:paraId="26D35521"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5.51</w:t>
            </w:r>
          </w:p>
        </w:tc>
        <w:tc>
          <w:tcPr>
            <w:tcW w:w="998" w:type="dxa"/>
            <w:tcBorders>
              <w:top w:val="nil"/>
              <w:left w:val="nil"/>
              <w:bottom w:val="nil"/>
              <w:right w:val="dotted" w:sz="4" w:space="0" w:color="auto"/>
            </w:tcBorders>
            <w:shd w:val="clear" w:color="auto" w:fill="E7E6E6" w:themeFill="background2"/>
            <w:noWrap/>
            <w:vAlign w:val="bottom"/>
          </w:tcPr>
          <w:p w14:paraId="14758DBC"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£594.15</w:t>
            </w:r>
          </w:p>
        </w:tc>
        <w:tc>
          <w:tcPr>
            <w:tcW w:w="707" w:type="dxa"/>
            <w:tcBorders>
              <w:top w:val="nil"/>
              <w:left w:val="dotted" w:sz="4" w:space="0" w:color="auto"/>
              <w:bottom w:val="nil"/>
              <w:right w:val="nil"/>
            </w:tcBorders>
            <w:shd w:val="clear" w:color="auto" w:fill="auto"/>
            <w:noWrap/>
            <w:vAlign w:val="bottom"/>
          </w:tcPr>
          <w:p w14:paraId="7CCB285B"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15.10</w:t>
            </w:r>
          </w:p>
        </w:tc>
        <w:tc>
          <w:tcPr>
            <w:tcW w:w="708" w:type="dxa"/>
            <w:tcBorders>
              <w:top w:val="nil"/>
              <w:left w:val="nil"/>
              <w:bottom w:val="nil"/>
              <w:right w:val="nil"/>
            </w:tcBorders>
            <w:shd w:val="clear" w:color="auto" w:fill="auto"/>
            <w:noWrap/>
            <w:vAlign w:val="bottom"/>
          </w:tcPr>
          <w:p w14:paraId="18D81AB4"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6.27</w:t>
            </w:r>
          </w:p>
        </w:tc>
        <w:tc>
          <w:tcPr>
            <w:tcW w:w="1136" w:type="dxa"/>
            <w:tcBorders>
              <w:top w:val="nil"/>
              <w:left w:val="nil"/>
              <w:bottom w:val="nil"/>
              <w:right w:val="nil"/>
            </w:tcBorders>
            <w:shd w:val="clear" w:color="auto" w:fill="E7E6E6" w:themeFill="background2"/>
            <w:noWrap/>
            <w:vAlign w:val="bottom"/>
          </w:tcPr>
          <w:p w14:paraId="358537BE"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£728.48</w:t>
            </w:r>
          </w:p>
        </w:tc>
      </w:tr>
      <w:tr w:rsidR="00A51C1A" w:rsidRPr="00704732" w14:paraId="228A59CC" w14:textId="77777777">
        <w:trPr>
          <w:trHeight w:val="227"/>
        </w:trPr>
        <w:tc>
          <w:tcPr>
            <w:tcW w:w="851" w:type="dxa"/>
            <w:tcBorders>
              <w:top w:val="nil"/>
              <w:left w:val="nil"/>
              <w:bottom w:val="nil"/>
              <w:right w:val="dotted" w:sz="4" w:space="0" w:color="auto"/>
            </w:tcBorders>
            <w:shd w:val="clear" w:color="auto" w:fill="auto"/>
            <w:noWrap/>
            <w:vAlign w:val="bottom"/>
          </w:tcPr>
          <w:p w14:paraId="041702E2"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2002</w:t>
            </w:r>
          </w:p>
        </w:tc>
        <w:tc>
          <w:tcPr>
            <w:tcW w:w="1134" w:type="dxa"/>
            <w:tcBorders>
              <w:top w:val="nil"/>
              <w:left w:val="dotted" w:sz="4" w:space="0" w:color="auto"/>
              <w:bottom w:val="nil"/>
              <w:right w:val="nil"/>
            </w:tcBorders>
            <w:shd w:val="clear" w:color="auto" w:fill="auto"/>
            <w:noWrap/>
            <w:vAlign w:val="bottom"/>
          </w:tcPr>
          <w:p w14:paraId="01D64942"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1.57</w:t>
            </w:r>
          </w:p>
        </w:tc>
        <w:tc>
          <w:tcPr>
            <w:tcW w:w="869" w:type="dxa"/>
            <w:tcBorders>
              <w:top w:val="nil"/>
              <w:left w:val="nil"/>
              <w:bottom w:val="nil"/>
              <w:right w:val="nil"/>
            </w:tcBorders>
            <w:shd w:val="clear" w:color="auto" w:fill="auto"/>
            <w:noWrap/>
            <w:vAlign w:val="bottom"/>
          </w:tcPr>
          <w:p w14:paraId="14C52273"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£27.00</w:t>
            </w:r>
          </w:p>
        </w:tc>
        <w:tc>
          <w:tcPr>
            <w:tcW w:w="865" w:type="dxa"/>
            <w:tcBorders>
              <w:top w:val="nil"/>
              <w:left w:val="nil"/>
              <w:bottom w:val="nil"/>
              <w:right w:val="dotted" w:sz="4" w:space="0" w:color="auto"/>
            </w:tcBorders>
            <w:shd w:val="clear" w:color="auto" w:fill="auto"/>
            <w:noWrap/>
            <w:vAlign w:val="bottom"/>
          </w:tcPr>
          <w:p w14:paraId="69C75577"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£10.00</w:t>
            </w:r>
          </w:p>
        </w:tc>
        <w:tc>
          <w:tcPr>
            <w:tcW w:w="708" w:type="dxa"/>
            <w:tcBorders>
              <w:top w:val="nil"/>
              <w:left w:val="dotted" w:sz="4" w:space="0" w:color="auto"/>
              <w:bottom w:val="nil"/>
              <w:right w:val="nil"/>
            </w:tcBorders>
            <w:shd w:val="clear" w:color="auto" w:fill="auto"/>
            <w:noWrap/>
            <w:vAlign w:val="bottom"/>
          </w:tcPr>
          <w:p w14:paraId="1F26B636"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7.47</w:t>
            </w:r>
          </w:p>
        </w:tc>
        <w:tc>
          <w:tcPr>
            <w:tcW w:w="707" w:type="dxa"/>
            <w:tcBorders>
              <w:top w:val="nil"/>
              <w:left w:val="nil"/>
              <w:bottom w:val="nil"/>
              <w:right w:val="nil"/>
            </w:tcBorders>
            <w:shd w:val="clear" w:color="auto" w:fill="auto"/>
            <w:noWrap/>
            <w:vAlign w:val="bottom"/>
          </w:tcPr>
          <w:p w14:paraId="2B28F263"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4.70</w:t>
            </w:r>
          </w:p>
        </w:tc>
        <w:tc>
          <w:tcPr>
            <w:tcW w:w="979" w:type="dxa"/>
            <w:tcBorders>
              <w:top w:val="nil"/>
              <w:left w:val="nil"/>
              <w:bottom w:val="nil"/>
              <w:right w:val="dotted" w:sz="4" w:space="0" w:color="auto"/>
            </w:tcBorders>
            <w:shd w:val="clear" w:color="auto" w:fill="E7E6E6" w:themeFill="background2"/>
            <w:noWrap/>
            <w:vAlign w:val="bottom"/>
          </w:tcPr>
          <w:p w14:paraId="5CE77F5A"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£390.38</w:t>
            </w:r>
          </w:p>
        </w:tc>
        <w:tc>
          <w:tcPr>
            <w:tcW w:w="708" w:type="dxa"/>
            <w:tcBorders>
              <w:top w:val="nil"/>
              <w:left w:val="dotted" w:sz="4" w:space="0" w:color="auto"/>
              <w:bottom w:val="nil"/>
              <w:right w:val="nil"/>
            </w:tcBorders>
            <w:shd w:val="clear" w:color="auto" w:fill="auto"/>
            <w:noWrap/>
            <w:vAlign w:val="bottom"/>
          </w:tcPr>
          <w:p w14:paraId="380D932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9.24</w:t>
            </w:r>
          </w:p>
        </w:tc>
        <w:tc>
          <w:tcPr>
            <w:tcW w:w="707" w:type="dxa"/>
            <w:tcBorders>
              <w:top w:val="nil"/>
              <w:left w:val="nil"/>
              <w:bottom w:val="nil"/>
              <w:right w:val="nil"/>
            </w:tcBorders>
            <w:shd w:val="clear" w:color="auto" w:fill="auto"/>
            <w:noWrap/>
            <w:vAlign w:val="bottom"/>
          </w:tcPr>
          <w:p w14:paraId="7BD36235"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5.09</w:t>
            </w:r>
          </w:p>
        </w:tc>
        <w:tc>
          <w:tcPr>
            <w:tcW w:w="959" w:type="dxa"/>
            <w:tcBorders>
              <w:top w:val="nil"/>
              <w:left w:val="nil"/>
              <w:bottom w:val="nil"/>
              <w:right w:val="dotted" w:sz="4" w:space="0" w:color="auto"/>
            </w:tcBorders>
            <w:shd w:val="clear" w:color="auto" w:fill="E7E6E6" w:themeFill="background2"/>
            <w:noWrap/>
            <w:vAlign w:val="bottom"/>
          </w:tcPr>
          <w:p w14:paraId="776B950B"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£471.58</w:t>
            </w:r>
          </w:p>
        </w:tc>
        <w:tc>
          <w:tcPr>
            <w:tcW w:w="740" w:type="dxa"/>
            <w:tcBorders>
              <w:top w:val="nil"/>
              <w:left w:val="dotted" w:sz="4" w:space="0" w:color="auto"/>
              <w:bottom w:val="nil"/>
              <w:right w:val="nil"/>
            </w:tcBorders>
            <w:shd w:val="clear" w:color="auto" w:fill="auto"/>
            <w:noWrap/>
            <w:vAlign w:val="bottom"/>
          </w:tcPr>
          <w:p w14:paraId="7541C8B2"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10.98</w:t>
            </w:r>
          </w:p>
        </w:tc>
        <w:tc>
          <w:tcPr>
            <w:tcW w:w="708" w:type="dxa"/>
            <w:tcBorders>
              <w:top w:val="nil"/>
              <w:left w:val="nil"/>
              <w:bottom w:val="nil"/>
              <w:right w:val="nil"/>
            </w:tcBorders>
            <w:shd w:val="clear" w:color="auto" w:fill="auto"/>
            <w:noWrap/>
            <w:vAlign w:val="bottom"/>
          </w:tcPr>
          <w:p w14:paraId="77BD3EAF"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5.57</w:t>
            </w:r>
          </w:p>
        </w:tc>
        <w:tc>
          <w:tcPr>
            <w:tcW w:w="998" w:type="dxa"/>
            <w:tcBorders>
              <w:top w:val="nil"/>
              <w:left w:val="nil"/>
              <w:bottom w:val="nil"/>
              <w:right w:val="dotted" w:sz="4" w:space="0" w:color="auto"/>
            </w:tcBorders>
            <w:shd w:val="clear" w:color="auto" w:fill="E7E6E6" w:themeFill="background2"/>
            <w:noWrap/>
            <w:vAlign w:val="bottom"/>
          </w:tcPr>
          <w:p w14:paraId="321AC0AD"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£552.98</w:t>
            </w:r>
          </w:p>
        </w:tc>
        <w:tc>
          <w:tcPr>
            <w:tcW w:w="707" w:type="dxa"/>
            <w:tcBorders>
              <w:top w:val="nil"/>
              <w:left w:val="dotted" w:sz="4" w:space="0" w:color="auto"/>
              <w:bottom w:val="nil"/>
              <w:right w:val="nil"/>
            </w:tcBorders>
            <w:shd w:val="clear" w:color="auto" w:fill="auto"/>
            <w:noWrap/>
            <w:vAlign w:val="bottom"/>
          </w:tcPr>
          <w:p w14:paraId="475E857D"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12.19</w:t>
            </w:r>
          </w:p>
        </w:tc>
        <w:tc>
          <w:tcPr>
            <w:tcW w:w="708" w:type="dxa"/>
            <w:tcBorders>
              <w:top w:val="nil"/>
              <w:left w:val="nil"/>
              <w:bottom w:val="nil"/>
              <w:right w:val="nil"/>
            </w:tcBorders>
            <w:shd w:val="clear" w:color="auto" w:fill="auto"/>
            <w:noWrap/>
            <w:vAlign w:val="bottom"/>
          </w:tcPr>
          <w:p w14:paraId="1033E1AF"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6.86</w:t>
            </w:r>
          </w:p>
        </w:tc>
        <w:tc>
          <w:tcPr>
            <w:tcW w:w="1136" w:type="dxa"/>
            <w:tcBorders>
              <w:top w:val="nil"/>
              <w:left w:val="nil"/>
              <w:bottom w:val="nil"/>
              <w:right w:val="nil"/>
            </w:tcBorders>
            <w:shd w:val="clear" w:color="auto" w:fill="E7E6E6" w:themeFill="background2"/>
            <w:noWrap/>
            <w:vAlign w:val="bottom"/>
          </w:tcPr>
          <w:p w14:paraId="31659ED0"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£624.46</w:t>
            </w:r>
          </w:p>
        </w:tc>
      </w:tr>
      <w:tr w:rsidR="00A51C1A" w:rsidRPr="00704732" w14:paraId="2C46AC71" w14:textId="77777777">
        <w:trPr>
          <w:trHeight w:val="227"/>
        </w:trPr>
        <w:tc>
          <w:tcPr>
            <w:tcW w:w="851" w:type="dxa"/>
            <w:tcBorders>
              <w:top w:val="nil"/>
              <w:left w:val="nil"/>
              <w:bottom w:val="nil"/>
              <w:right w:val="dotted" w:sz="4" w:space="0" w:color="auto"/>
            </w:tcBorders>
            <w:shd w:val="clear" w:color="auto" w:fill="auto"/>
            <w:noWrap/>
            <w:vAlign w:val="bottom"/>
          </w:tcPr>
          <w:p w14:paraId="30A39E7C"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2003</w:t>
            </w:r>
          </w:p>
        </w:tc>
        <w:tc>
          <w:tcPr>
            <w:tcW w:w="1134" w:type="dxa"/>
            <w:tcBorders>
              <w:top w:val="nil"/>
              <w:left w:val="dotted" w:sz="4" w:space="0" w:color="auto"/>
              <w:bottom w:val="nil"/>
              <w:right w:val="nil"/>
            </w:tcBorders>
            <w:shd w:val="clear" w:color="auto" w:fill="auto"/>
            <w:noWrap/>
            <w:vAlign w:val="bottom"/>
          </w:tcPr>
          <w:p w14:paraId="1003B771"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1.55</w:t>
            </w:r>
          </w:p>
        </w:tc>
        <w:tc>
          <w:tcPr>
            <w:tcW w:w="869" w:type="dxa"/>
            <w:tcBorders>
              <w:top w:val="nil"/>
              <w:left w:val="nil"/>
              <w:bottom w:val="nil"/>
              <w:right w:val="nil"/>
            </w:tcBorders>
            <w:shd w:val="clear" w:color="auto" w:fill="auto"/>
            <w:noWrap/>
            <w:vAlign w:val="bottom"/>
          </w:tcPr>
          <w:p w14:paraId="79A12CF5"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£26.00</w:t>
            </w:r>
          </w:p>
        </w:tc>
        <w:tc>
          <w:tcPr>
            <w:tcW w:w="865" w:type="dxa"/>
            <w:tcBorders>
              <w:top w:val="nil"/>
              <w:left w:val="nil"/>
              <w:bottom w:val="nil"/>
              <w:right w:val="dotted" w:sz="4" w:space="0" w:color="auto"/>
            </w:tcBorders>
            <w:shd w:val="clear" w:color="auto" w:fill="auto"/>
            <w:noWrap/>
            <w:vAlign w:val="bottom"/>
          </w:tcPr>
          <w:p w14:paraId="3746BB13"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£10.00</w:t>
            </w:r>
          </w:p>
        </w:tc>
        <w:tc>
          <w:tcPr>
            <w:tcW w:w="708" w:type="dxa"/>
            <w:tcBorders>
              <w:top w:val="nil"/>
              <w:left w:val="dotted" w:sz="4" w:space="0" w:color="auto"/>
              <w:bottom w:val="nil"/>
              <w:right w:val="nil"/>
            </w:tcBorders>
            <w:shd w:val="clear" w:color="auto" w:fill="auto"/>
            <w:noWrap/>
            <w:vAlign w:val="bottom"/>
          </w:tcPr>
          <w:p w14:paraId="2F839C5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7.06</w:t>
            </w:r>
          </w:p>
        </w:tc>
        <w:tc>
          <w:tcPr>
            <w:tcW w:w="707" w:type="dxa"/>
            <w:tcBorders>
              <w:top w:val="nil"/>
              <w:left w:val="nil"/>
              <w:bottom w:val="nil"/>
              <w:right w:val="nil"/>
            </w:tcBorders>
            <w:shd w:val="clear" w:color="auto" w:fill="auto"/>
            <w:noWrap/>
            <w:vAlign w:val="bottom"/>
          </w:tcPr>
          <w:p w14:paraId="6711D101"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4.65</w:t>
            </w:r>
          </w:p>
        </w:tc>
        <w:tc>
          <w:tcPr>
            <w:tcW w:w="979" w:type="dxa"/>
            <w:tcBorders>
              <w:top w:val="nil"/>
              <w:left w:val="nil"/>
              <w:bottom w:val="nil"/>
              <w:right w:val="dotted" w:sz="4" w:space="0" w:color="auto"/>
            </w:tcBorders>
            <w:shd w:val="clear" w:color="auto" w:fill="E7E6E6" w:themeFill="background2"/>
            <w:noWrap/>
            <w:vAlign w:val="bottom"/>
          </w:tcPr>
          <w:p w14:paraId="318C08ED"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£356.73</w:t>
            </w:r>
          </w:p>
        </w:tc>
        <w:tc>
          <w:tcPr>
            <w:tcW w:w="708" w:type="dxa"/>
            <w:tcBorders>
              <w:top w:val="nil"/>
              <w:left w:val="dotted" w:sz="4" w:space="0" w:color="auto"/>
              <w:bottom w:val="nil"/>
              <w:right w:val="nil"/>
            </w:tcBorders>
            <w:shd w:val="clear" w:color="auto" w:fill="auto"/>
            <w:noWrap/>
            <w:vAlign w:val="bottom"/>
          </w:tcPr>
          <w:p w14:paraId="643F45B6"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8.89</w:t>
            </w:r>
          </w:p>
        </w:tc>
        <w:tc>
          <w:tcPr>
            <w:tcW w:w="707" w:type="dxa"/>
            <w:tcBorders>
              <w:top w:val="nil"/>
              <w:left w:val="nil"/>
              <w:bottom w:val="nil"/>
              <w:right w:val="nil"/>
            </w:tcBorders>
            <w:shd w:val="clear" w:color="auto" w:fill="auto"/>
            <w:noWrap/>
            <w:vAlign w:val="bottom"/>
          </w:tcPr>
          <w:p w14:paraId="6A623A3F"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5.20</w:t>
            </w:r>
          </w:p>
        </w:tc>
        <w:tc>
          <w:tcPr>
            <w:tcW w:w="959" w:type="dxa"/>
            <w:tcBorders>
              <w:top w:val="nil"/>
              <w:left w:val="nil"/>
              <w:bottom w:val="nil"/>
              <w:right w:val="dotted" w:sz="4" w:space="0" w:color="auto"/>
            </w:tcBorders>
            <w:shd w:val="clear" w:color="auto" w:fill="E7E6E6" w:themeFill="background2"/>
            <w:noWrap/>
            <w:vAlign w:val="bottom"/>
          </w:tcPr>
          <w:p w14:paraId="556168A3"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£438.71</w:t>
            </w:r>
          </w:p>
        </w:tc>
        <w:tc>
          <w:tcPr>
            <w:tcW w:w="740" w:type="dxa"/>
            <w:tcBorders>
              <w:top w:val="nil"/>
              <w:left w:val="dotted" w:sz="4" w:space="0" w:color="auto"/>
              <w:bottom w:val="nil"/>
              <w:right w:val="nil"/>
            </w:tcBorders>
            <w:shd w:val="clear" w:color="auto" w:fill="auto"/>
            <w:noWrap/>
            <w:vAlign w:val="bottom"/>
          </w:tcPr>
          <w:p w14:paraId="14F828AF"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10.74</w:t>
            </w:r>
          </w:p>
        </w:tc>
        <w:tc>
          <w:tcPr>
            <w:tcW w:w="708" w:type="dxa"/>
            <w:tcBorders>
              <w:top w:val="nil"/>
              <w:left w:val="nil"/>
              <w:bottom w:val="nil"/>
              <w:right w:val="nil"/>
            </w:tcBorders>
            <w:shd w:val="clear" w:color="auto" w:fill="auto"/>
            <w:noWrap/>
            <w:vAlign w:val="bottom"/>
          </w:tcPr>
          <w:p w14:paraId="0F3D7188"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5.87</w:t>
            </w:r>
          </w:p>
        </w:tc>
        <w:tc>
          <w:tcPr>
            <w:tcW w:w="998" w:type="dxa"/>
            <w:tcBorders>
              <w:top w:val="nil"/>
              <w:left w:val="nil"/>
              <w:bottom w:val="nil"/>
              <w:right w:val="dotted" w:sz="4" w:space="0" w:color="auto"/>
            </w:tcBorders>
            <w:shd w:val="clear" w:color="auto" w:fill="E7E6E6" w:themeFill="background2"/>
            <w:noWrap/>
            <w:vAlign w:val="bottom"/>
          </w:tcPr>
          <w:p w14:paraId="43392B7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£523.65</w:t>
            </w:r>
          </w:p>
        </w:tc>
        <w:tc>
          <w:tcPr>
            <w:tcW w:w="707" w:type="dxa"/>
            <w:tcBorders>
              <w:top w:val="nil"/>
              <w:left w:val="dotted" w:sz="4" w:space="0" w:color="auto"/>
              <w:bottom w:val="nil"/>
              <w:right w:val="nil"/>
            </w:tcBorders>
            <w:shd w:val="clear" w:color="auto" w:fill="auto"/>
            <w:noWrap/>
            <w:vAlign w:val="bottom"/>
          </w:tcPr>
          <w:p w14:paraId="03459C3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12.42</w:t>
            </w:r>
          </w:p>
        </w:tc>
        <w:tc>
          <w:tcPr>
            <w:tcW w:w="708" w:type="dxa"/>
            <w:tcBorders>
              <w:top w:val="nil"/>
              <w:left w:val="nil"/>
              <w:bottom w:val="nil"/>
              <w:right w:val="nil"/>
            </w:tcBorders>
            <w:shd w:val="clear" w:color="auto" w:fill="auto"/>
            <w:noWrap/>
            <w:vAlign w:val="bottom"/>
          </w:tcPr>
          <w:p w14:paraId="2086F354"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6.27</w:t>
            </w:r>
          </w:p>
        </w:tc>
        <w:tc>
          <w:tcPr>
            <w:tcW w:w="1136" w:type="dxa"/>
            <w:tcBorders>
              <w:top w:val="nil"/>
              <w:left w:val="nil"/>
              <w:bottom w:val="nil"/>
              <w:right w:val="nil"/>
            </w:tcBorders>
            <w:shd w:val="clear" w:color="auto" w:fill="E7E6E6" w:themeFill="background2"/>
            <w:noWrap/>
            <w:vAlign w:val="bottom"/>
          </w:tcPr>
          <w:p w14:paraId="74318EF8"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£597.68</w:t>
            </w:r>
          </w:p>
        </w:tc>
      </w:tr>
      <w:tr w:rsidR="00A51C1A" w:rsidRPr="00704732" w14:paraId="403A2DDC" w14:textId="77777777">
        <w:trPr>
          <w:trHeight w:val="227"/>
        </w:trPr>
        <w:tc>
          <w:tcPr>
            <w:tcW w:w="851" w:type="dxa"/>
            <w:tcBorders>
              <w:top w:val="nil"/>
              <w:left w:val="nil"/>
              <w:bottom w:val="nil"/>
              <w:right w:val="dotted" w:sz="4" w:space="0" w:color="auto"/>
            </w:tcBorders>
            <w:shd w:val="clear" w:color="auto" w:fill="auto"/>
            <w:noWrap/>
            <w:vAlign w:val="bottom"/>
          </w:tcPr>
          <w:p w14:paraId="2E5237B4"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2004</w:t>
            </w:r>
          </w:p>
        </w:tc>
        <w:tc>
          <w:tcPr>
            <w:tcW w:w="1134" w:type="dxa"/>
            <w:tcBorders>
              <w:top w:val="nil"/>
              <w:left w:val="dotted" w:sz="4" w:space="0" w:color="auto"/>
              <w:bottom w:val="nil"/>
              <w:right w:val="nil"/>
            </w:tcBorders>
            <w:shd w:val="clear" w:color="auto" w:fill="auto"/>
            <w:noWrap/>
            <w:vAlign w:val="bottom"/>
          </w:tcPr>
          <w:p w14:paraId="232FC743"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1.50</w:t>
            </w:r>
          </w:p>
        </w:tc>
        <w:tc>
          <w:tcPr>
            <w:tcW w:w="869" w:type="dxa"/>
            <w:tcBorders>
              <w:top w:val="nil"/>
              <w:left w:val="nil"/>
              <w:bottom w:val="nil"/>
              <w:right w:val="nil"/>
            </w:tcBorders>
            <w:shd w:val="clear" w:color="auto" w:fill="auto"/>
            <w:noWrap/>
            <w:vAlign w:val="bottom"/>
          </w:tcPr>
          <w:p w14:paraId="7AFC2B21"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£28.00</w:t>
            </w:r>
          </w:p>
        </w:tc>
        <w:tc>
          <w:tcPr>
            <w:tcW w:w="865" w:type="dxa"/>
            <w:tcBorders>
              <w:top w:val="nil"/>
              <w:left w:val="nil"/>
              <w:bottom w:val="nil"/>
              <w:right w:val="dotted" w:sz="4" w:space="0" w:color="auto"/>
            </w:tcBorders>
            <w:shd w:val="clear" w:color="auto" w:fill="auto"/>
            <w:noWrap/>
            <w:vAlign w:val="bottom"/>
          </w:tcPr>
          <w:p w14:paraId="370F905E"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£9.00</w:t>
            </w:r>
          </w:p>
        </w:tc>
        <w:tc>
          <w:tcPr>
            <w:tcW w:w="708" w:type="dxa"/>
            <w:tcBorders>
              <w:top w:val="nil"/>
              <w:left w:val="dotted" w:sz="4" w:space="0" w:color="auto"/>
              <w:bottom w:val="nil"/>
              <w:right w:val="nil"/>
            </w:tcBorders>
            <w:shd w:val="clear" w:color="auto" w:fill="auto"/>
            <w:noWrap/>
            <w:vAlign w:val="bottom"/>
          </w:tcPr>
          <w:p w14:paraId="6B2237E5"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6.97</w:t>
            </w:r>
          </w:p>
        </w:tc>
        <w:tc>
          <w:tcPr>
            <w:tcW w:w="707" w:type="dxa"/>
            <w:tcBorders>
              <w:top w:val="nil"/>
              <w:left w:val="nil"/>
              <w:bottom w:val="nil"/>
              <w:right w:val="nil"/>
            </w:tcBorders>
            <w:shd w:val="clear" w:color="auto" w:fill="auto"/>
            <w:noWrap/>
            <w:vAlign w:val="bottom"/>
          </w:tcPr>
          <w:p w14:paraId="1AC72C8D"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4.72</w:t>
            </w:r>
          </w:p>
        </w:tc>
        <w:tc>
          <w:tcPr>
            <w:tcW w:w="979" w:type="dxa"/>
            <w:tcBorders>
              <w:top w:val="nil"/>
              <w:left w:val="nil"/>
              <w:bottom w:val="nil"/>
              <w:right w:val="dotted" w:sz="4" w:space="0" w:color="auto"/>
            </w:tcBorders>
            <w:shd w:val="clear" w:color="auto" w:fill="E7E6E6" w:themeFill="background2"/>
            <w:noWrap/>
            <w:vAlign w:val="bottom"/>
          </w:tcPr>
          <w:p w14:paraId="6604E77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£356.73</w:t>
            </w:r>
          </w:p>
        </w:tc>
        <w:tc>
          <w:tcPr>
            <w:tcW w:w="708" w:type="dxa"/>
            <w:tcBorders>
              <w:top w:val="nil"/>
              <w:left w:val="dotted" w:sz="4" w:space="0" w:color="auto"/>
              <w:bottom w:val="nil"/>
              <w:right w:val="nil"/>
            </w:tcBorders>
            <w:shd w:val="clear" w:color="auto" w:fill="auto"/>
            <w:noWrap/>
            <w:vAlign w:val="bottom"/>
          </w:tcPr>
          <w:p w14:paraId="65310D62"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8.88</w:t>
            </w:r>
          </w:p>
        </w:tc>
        <w:tc>
          <w:tcPr>
            <w:tcW w:w="707" w:type="dxa"/>
            <w:tcBorders>
              <w:top w:val="nil"/>
              <w:left w:val="nil"/>
              <w:bottom w:val="nil"/>
              <w:right w:val="nil"/>
            </w:tcBorders>
            <w:shd w:val="clear" w:color="auto" w:fill="auto"/>
            <w:noWrap/>
            <w:vAlign w:val="bottom"/>
          </w:tcPr>
          <w:p w14:paraId="25DB4F2E"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5.44</w:t>
            </w:r>
          </w:p>
        </w:tc>
        <w:tc>
          <w:tcPr>
            <w:tcW w:w="959" w:type="dxa"/>
            <w:tcBorders>
              <w:top w:val="nil"/>
              <w:left w:val="nil"/>
              <w:bottom w:val="nil"/>
              <w:right w:val="dotted" w:sz="4" w:space="0" w:color="auto"/>
            </w:tcBorders>
            <w:shd w:val="clear" w:color="auto" w:fill="E7E6E6" w:themeFill="background2"/>
            <w:noWrap/>
            <w:vAlign w:val="bottom"/>
          </w:tcPr>
          <w:p w14:paraId="697964BC"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£446.17</w:t>
            </w:r>
          </w:p>
        </w:tc>
        <w:tc>
          <w:tcPr>
            <w:tcW w:w="740" w:type="dxa"/>
            <w:tcBorders>
              <w:top w:val="nil"/>
              <w:left w:val="dotted" w:sz="4" w:space="0" w:color="auto"/>
              <w:bottom w:val="nil"/>
              <w:right w:val="nil"/>
            </w:tcBorders>
            <w:shd w:val="clear" w:color="auto" w:fill="auto"/>
            <w:noWrap/>
            <w:vAlign w:val="bottom"/>
          </w:tcPr>
          <w:p w14:paraId="711A7602"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10.67</w:t>
            </w:r>
          </w:p>
        </w:tc>
        <w:tc>
          <w:tcPr>
            <w:tcW w:w="708" w:type="dxa"/>
            <w:tcBorders>
              <w:top w:val="nil"/>
              <w:left w:val="nil"/>
              <w:bottom w:val="nil"/>
              <w:right w:val="nil"/>
            </w:tcBorders>
            <w:shd w:val="clear" w:color="auto" w:fill="auto"/>
            <w:noWrap/>
            <w:vAlign w:val="bottom"/>
          </w:tcPr>
          <w:p w14:paraId="1F2E1248"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6.01</w:t>
            </w:r>
          </w:p>
        </w:tc>
        <w:tc>
          <w:tcPr>
            <w:tcW w:w="998" w:type="dxa"/>
            <w:tcBorders>
              <w:top w:val="nil"/>
              <w:left w:val="nil"/>
              <w:bottom w:val="nil"/>
              <w:right w:val="dotted" w:sz="4" w:space="0" w:color="auto"/>
            </w:tcBorders>
            <w:shd w:val="clear" w:color="auto" w:fill="E7E6E6" w:themeFill="background2"/>
            <w:noWrap/>
            <w:vAlign w:val="bottom"/>
          </w:tcPr>
          <w:p w14:paraId="458008D5"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£529.50</w:t>
            </w:r>
          </w:p>
        </w:tc>
        <w:tc>
          <w:tcPr>
            <w:tcW w:w="707" w:type="dxa"/>
            <w:tcBorders>
              <w:top w:val="nil"/>
              <w:left w:val="dotted" w:sz="4" w:space="0" w:color="auto"/>
              <w:bottom w:val="nil"/>
              <w:right w:val="nil"/>
            </w:tcBorders>
            <w:shd w:val="clear" w:color="auto" w:fill="auto"/>
            <w:noWrap/>
            <w:vAlign w:val="bottom"/>
          </w:tcPr>
          <w:p w14:paraId="5BDFA174"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13.03</w:t>
            </w:r>
          </w:p>
        </w:tc>
        <w:tc>
          <w:tcPr>
            <w:tcW w:w="708" w:type="dxa"/>
            <w:tcBorders>
              <w:top w:val="nil"/>
              <w:left w:val="nil"/>
              <w:bottom w:val="nil"/>
              <w:right w:val="nil"/>
            </w:tcBorders>
            <w:shd w:val="clear" w:color="auto" w:fill="auto"/>
            <w:noWrap/>
            <w:vAlign w:val="bottom"/>
          </w:tcPr>
          <w:p w14:paraId="2D41C352"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7.22</w:t>
            </w:r>
          </w:p>
        </w:tc>
        <w:tc>
          <w:tcPr>
            <w:tcW w:w="1136" w:type="dxa"/>
            <w:tcBorders>
              <w:top w:val="nil"/>
              <w:left w:val="nil"/>
              <w:bottom w:val="nil"/>
              <w:right w:val="nil"/>
            </w:tcBorders>
            <w:shd w:val="clear" w:color="auto" w:fill="E7E6E6" w:themeFill="background2"/>
            <w:noWrap/>
            <w:vAlign w:val="bottom"/>
          </w:tcPr>
          <w:p w14:paraId="4EEEF502"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£644.69</w:t>
            </w:r>
          </w:p>
        </w:tc>
      </w:tr>
      <w:tr w:rsidR="00A51C1A" w:rsidRPr="00704732" w14:paraId="4377B271" w14:textId="77777777">
        <w:trPr>
          <w:trHeight w:val="227"/>
        </w:trPr>
        <w:tc>
          <w:tcPr>
            <w:tcW w:w="851" w:type="dxa"/>
            <w:tcBorders>
              <w:top w:val="nil"/>
              <w:left w:val="nil"/>
              <w:bottom w:val="nil"/>
              <w:right w:val="dotted" w:sz="4" w:space="0" w:color="auto"/>
            </w:tcBorders>
            <w:shd w:val="clear" w:color="auto" w:fill="auto"/>
            <w:noWrap/>
            <w:vAlign w:val="bottom"/>
          </w:tcPr>
          <w:p w14:paraId="12FE2C7D"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2005</w:t>
            </w:r>
          </w:p>
        </w:tc>
        <w:tc>
          <w:tcPr>
            <w:tcW w:w="1134" w:type="dxa"/>
            <w:tcBorders>
              <w:top w:val="nil"/>
              <w:left w:val="dotted" w:sz="4" w:space="0" w:color="auto"/>
              <w:bottom w:val="nil"/>
              <w:right w:val="nil"/>
            </w:tcBorders>
            <w:shd w:val="clear" w:color="auto" w:fill="auto"/>
            <w:noWrap/>
            <w:vAlign w:val="bottom"/>
          </w:tcPr>
          <w:p w14:paraId="3BFD698A"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1.46</w:t>
            </w:r>
          </w:p>
        </w:tc>
        <w:tc>
          <w:tcPr>
            <w:tcW w:w="869" w:type="dxa"/>
            <w:tcBorders>
              <w:top w:val="nil"/>
              <w:left w:val="nil"/>
              <w:bottom w:val="nil"/>
              <w:right w:val="nil"/>
            </w:tcBorders>
            <w:shd w:val="clear" w:color="auto" w:fill="auto"/>
            <w:noWrap/>
            <w:vAlign w:val="bottom"/>
          </w:tcPr>
          <w:p w14:paraId="03C69A78"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£30.00</w:t>
            </w:r>
          </w:p>
        </w:tc>
        <w:tc>
          <w:tcPr>
            <w:tcW w:w="865" w:type="dxa"/>
            <w:tcBorders>
              <w:top w:val="nil"/>
              <w:left w:val="nil"/>
              <w:bottom w:val="nil"/>
              <w:right w:val="dotted" w:sz="4" w:space="0" w:color="auto"/>
            </w:tcBorders>
            <w:shd w:val="clear" w:color="auto" w:fill="auto"/>
            <w:noWrap/>
            <w:vAlign w:val="bottom"/>
          </w:tcPr>
          <w:p w14:paraId="75209E12"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£10.00</w:t>
            </w:r>
          </w:p>
        </w:tc>
        <w:tc>
          <w:tcPr>
            <w:tcW w:w="708" w:type="dxa"/>
            <w:tcBorders>
              <w:top w:val="nil"/>
              <w:left w:val="dotted" w:sz="4" w:space="0" w:color="auto"/>
              <w:bottom w:val="nil"/>
              <w:right w:val="nil"/>
            </w:tcBorders>
            <w:shd w:val="clear" w:color="auto" w:fill="auto"/>
            <w:noWrap/>
            <w:vAlign w:val="bottom"/>
          </w:tcPr>
          <w:p w14:paraId="7F5D0661"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6.67</w:t>
            </w:r>
          </w:p>
        </w:tc>
        <w:tc>
          <w:tcPr>
            <w:tcW w:w="707" w:type="dxa"/>
            <w:tcBorders>
              <w:top w:val="nil"/>
              <w:left w:val="nil"/>
              <w:bottom w:val="nil"/>
              <w:right w:val="nil"/>
            </w:tcBorders>
            <w:shd w:val="clear" w:color="auto" w:fill="auto"/>
            <w:noWrap/>
            <w:vAlign w:val="bottom"/>
          </w:tcPr>
          <w:p w14:paraId="2ECAC288"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4.67</w:t>
            </w:r>
          </w:p>
        </w:tc>
        <w:tc>
          <w:tcPr>
            <w:tcW w:w="979" w:type="dxa"/>
            <w:tcBorders>
              <w:top w:val="nil"/>
              <w:left w:val="nil"/>
              <w:bottom w:val="nil"/>
              <w:right w:val="dotted" w:sz="4" w:space="0" w:color="auto"/>
            </w:tcBorders>
            <w:shd w:val="clear" w:color="auto" w:fill="E7E6E6" w:themeFill="background2"/>
            <w:noWrap/>
            <w:vAlign w:val="bottom"/>
          </w:tcPr>
          <w:p w14:paraId="3395A8A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£360.26</w:t>
            </w:r>
          </w:p>
        </w:tc>
        <w:tc>
          <w:tcPr>
            <w:tcW w:w="708" w:type="dxa"/>
            <w:tcBorders>
              <w:top w:val="nil"/>
              <w:left w:val="dotted" w:sz="4" w:space="0" w:color="auto"/>
              <w:bottom w:val="nil"/>
              <w:right w:val="nil"/>
            </w:tcBorders>
            <w:shd w:val="clear" w:color="auto" w:fill="auto"/>
            <w:noWrap/>
            <w:vAlign w:val="bottom"/>
          </w:tcPr>
          <w:p w14:paraId="0F74194A"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8.43</w:t>
            </w:r>
          </w:p>
        </w:tc>
        <w:tc>
          <w:tcPr>
            <w:tcW w:w="707" w:type="dxa"/>
            <w:tcBorders>
              <w:top w:val="nil"/>
              <w:left w:val="nil"/>
              <w:bottom w:val="nil"/>
              <w:right w:val="nil"/>
            </w:tcBorders>
            <w:shd w:val="clear" w:color="auto" w:fill="auto"/>
            <w:noWrap/>
            <w:vAlign w:val="bottom"/>
          </w:tcPr>
          <w:p w14:paraId="73FAE0B4"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5.41</w:t>
            </w:r>
          </w:p>
        </w:tc>
        <w:tc>
          <w:tcPr>
            <w:tcW w:w="959" w:type="dxa"/>
            <w:tcBorders>
              <w:top w:val="nil"/>
              <w:left w:val="nil"/>
              <w:bottom w:val="nil"/>
              <w:right w:val="dotted" w:sz="4" w:space="0" w:color="auto"/>
            </w:tcBorders>
            <w:shd w:val="clear" w:color="auto" w:fill="E7E6E6" w:themeFill="background2"/>
            <w:noWrap/>
            <w:vAlign w:val="bottom"/>
          </w:tcPr>
          <w:p w14:paraId="7A8B5BC3"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£448.30</w:t>
            </w:r>
          </w:p>
        </w:tc>
        <w:tc>
          <w:tcPr>
            <w:tcW w:w="740" w:type="dxa"/>
            <w:tcBorders>
              <w:top w:val="nil"/>
              <w:left w:val="dotted" w:sz="4" w:space="0" w:color="auto"/>
              <w:bottom w:val="nil"/>
              <w:right w:val="nil"/>
            </w:tcBorders>
            <w:shd w:val="clear" w:color="auto" w:fill="auto"/>
            <w:noWrap/>
            <w:vAlign w:val="bottom"/>
          </w:tcPr>
          <w:p w14:paraId="4F4C4A24"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10.47</w:t>
            </w:r>
          </w:p>
        </w:tc>
        <w:tc>
          <w:tcPr>
            <w:tcW w:w="708" w:type="dxa"/>
            <w:tcBorders>
              <w:top w:val="nil"/>
              <w:left w:val="nil"/>
              <w:bottom w:val="nil"/>
              <w:right w:val="nil"/>
            </w:tcBorders>
            <w:shd w:val="clear" w:color="auto" w:fill="auto"/>
            <w:noWrap/>
            <w:vAlign w:val="bottom"/>
          </w:tcPr>
          <w:p w14:paraId="3CC51C1F"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6.01</w:t>
            </w:r>
          </w:p>
        </w:tc>
        <w:tc>
          <w:tcPr>
            <w:tcW w:w="998" w:type="dxa"/>
            <w:tcBorders>
              <w:top w:val="nil"/>
              <w:left w:val="nil"/>
              <w:bottom w:val="nil"/>
              <w:right w:val="dotted" w:sz="4" w:space="0" w:color="auto"/>
            </w:tcBorders>
            <w:shd w:val="clear" w:color="auto" w:fill="E7E6E6" w:themeFill="background2"/>
            <w:noWrap/>
            <w:vAlign w:val="bottom"/>
          </w:tcPr>
          <w:p w14:paraId="70D4B151"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£546.09</w:t>
            </w:r>
          </w:p>
        </w:tc>
        <w:tc>
          <w:tcPr>
            <w:tcW w:w="707" w:type="dxa"/>
            <w:tcBorders>
              <w:top w:val="nil"/>
              <w:left w:val="dotted" w:sz="4" w:space="0" w:color="auto"/>
              <w:bottom w:val="nil"/>
              <w:right w:val="nil"/>
            </w:tcBorders>
            <w:shd w:val="clear" w:color="auto" w:fill="auto"/>
            <w:noWrap/>
            <w:vAlign w:val="bottom"/>
          </w:tcPr>
          <w:p w14:paraId="2AA36B62"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12.52</w:t>
            </w:r>
          </w:p>
        </w:tc>
        <w:tc>
          <w:tcPr>
            <w:tcW w:w="708" w:type="dxa"/>
            <w:tcBorders>
              <w:top w:val="nil"/>
              <w:left w:val="nil"/>
              <w:bottom w:val="nil"/>
              <w:right w:val="nil"/>
            </w:tcBorders>
            <w:shd w:val="clear" w:color="auto" w:fill="auto"/>
            <w:noWrap/>
            <w:vAlign w:val="bottom"/>
          </w:tcPr>
          <w:p w14:paraId="5A5B6B4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7.01</w:t>
            </w:r>
          </w:p>
        </w:tc>
        <w:tc>
          <w:tcPr>
            <w:tcW w:w="1136" w:type="dxa"/>
            <w:tcBorders>
              <w:top w:val="nil"/>
              <w:left w:val="nil"/>
              <w:bottom w:val="nil"/>
              <w:right w:val="nil"/>
            </w:tcBorders>
            <w:shd w:val="clear" w:color="auto" w:fill="E7E6E6" w:themeFill="background2"/>
            <w:noWrap/>
            <w:vAlign w:val="bottom"/>
          </w:tcPr>
          <w:p w14:paraId="002FC3D0"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£650.83</w:t>
            </w:r>
          </w:p>
        </w:tc>
      </w:tr>
      <w:tr w:rsidR="00A51C1A" w:rsidRPr="00704732" w14:paraId="05CC4FA6" w14:textId="77777777">
        <w:trPr>
          <w:trHeight w:val="227"/>
        </w:trPr>
        <w:tc>
          <w:tcPr>
            <w:tcW w:w="851" w:type="dxa"/>
            <w:tcBorders>
              <w:top w:val="nil"/>
              <w:left w:val="nil"/>
              <w:bottom w:val="nil"/>
              <w:right w:val="dotted" w:sz="4" w:space="0" w:color="auto"/>
            </w:tcBorders>
            <w:shd w:val="clear" w:color="auto" w:fill="auto"/>
            <w:noWrap/>
            <w:vAlign w:val="bottom"/>
          </w:tcPr>
          <w:p w14:paraId="62057583"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2006</w:t>
            </w:r>
          </w:p>
        </w:tc>
        <w:tc>
          <w:tcPr>
            <w:tcW w:w="1134" w:type="dxa"/>
            <w:tcBorders>
              <w:top w:val="nil"/>
              <w:left w:val="dotted" w:sz="4" w:space="0" w:color="auto"/>
              <w:bottom w:val="nil"/>
              <w:right w:val="nil"/>
            </w:tcBorders>
            <w:shd w:val="clear" w:color="auto" w:fill="auto"/>
            <w:noWrap/>
            <w:vAlign w:val="bottom"/>
          </w:tcPr>
          <w:p w14:paraId="067A105D"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1.42</w:t>
            </w:r>
          </w:p>
        </w:tc>
        <w:tc>
          <w:tcPr>
            <w:tcW w:w="869" w:type="dxa"/>
            <w:tcBorders>
              <w:top w:val="nil"/>
              <w:left w:val="nil"/>
              <w:bottom w:val="nil"/>
              <w:right w:val="nil"/>
            </w:tcBorders>
            <w:shd w:val="clear" w:color="auto" w:fill="auto"/>
            <w:noWrap/>
            <w:vAlign w:val="bottom"/>
          </w:tcPr>
          <w:p w14:paraId="13D2773C"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£31.00</w:t>
            </w:r>
          </w:p>
        </w:tc>
        <w:tc>
          <w:tcPr>
            <w:tcW w:w="865" w:type="dxa"/>
            <w:tcBorders>
              <w:top w:val="nil"/>
              <w:left w:val="nil"/>
              <w:bottom w:val="nil"/>
              <w:right w:val="dotted" w:sz="4" w:space="0" w:color="auto"/>
            </w:tcBorders>
            <w:shd w:val="clear" w:color="auto" w:fill="auto"/>
            <w:noWrap/>
            <w:vAlign w:val="bottom"/>
          </w:tcPr>
          <w:p w14:paraId="0C34FC2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£10.00</w:t>
            </w:r>
          </w:p>
        </w:tc>
        <w:tc>
          <w:tcPr>
            <w:tcW w:w="708" w:type="dxa"/>
            <w:tcBorders>
              <w:top w:val="nil"/>
              <w:left w:val="dotted" w:sz="4" w:space="0" w:color="auto"/>
              <w:bottom w:val="nil"/>
              <w:right w:val="nil"/>
            </w:tcBorders>
            <w:shd w:val="clear" w:color="auto" w:fill="auto"/>
            <w:noWrap/>
            <w:vAlign w:val="bottom"/>
          </w:tcPr>
          <w:p w14:paraId="67BA6FAF"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6.45</w:t>
            </w:r>
          </w:p>
        </w:tc>
        <w:tc>
          <w:tcPr>
            <w:tcW w:w="707" w:type="dxa"/>
            <w:tcBorders>
              <w:top w:val="nil"/>
              <w:left w:val="nil"/>
              <w:bottom w:val="nil"/>
              <w:right w:val="nil"/>
            </w:tcBorders>
            <w:shd w:val="clear" w:color="auto" w:fill="auto"/>
            <w:noWrap/>
            <w:vAlign w:val="bottom"/>
          </w:tcPr>
          <w:p w14:paraId="765B6EA7"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4.50</w:t>
            </w:r>
          </w:p>
        </w:tc>
        <w:tc>
          <w:tcPr>
            <w:tcW w:w="979" w:type="dxa"/>
            <w:tcBorders>
              <w:top w:val="nil"/>
              <w:left w:val="nil"/>
              <w:bottom w:val="nil"/>
              <w:right w:val="dotted" w:sz="4" w:space="0" w:color="auto"/>
            </w:tcBorders>
            <w:shd w:val="clear" w:color="auto" w:fill="E7E6E6" w:themeFill="background2"/>
            <w:noWrap/>
            <w:vAlign w:val="bottom"/>
          </w:tcPr>
          <w:p w14:paraId="2CB0F3F5"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£347.98</w:t>
            </w:r>
          </w:p>
        </w:tc>
        <w:tc>
          <w:tcPr>
            <w:tcW w:w="708" w:type="dxa"/>
            <w:tcBorders>
              <w:top w:val="nil"/>
              <w:left w:val="dotted" w:sz="4" w:space="0" w:color="auto"/>
              <w:bottom w:val="nil"/>
              <w:right w:val="nil"/>
            </w:tcBorders>
            <w:shd w:val="clear" w:color="auto" w:fill="auto"/>
            <w:noWrap/>
            <w:vAlign w:val="bottom"/>
          </w:tcPr>
          <w:p w14:paraId="1B8BB813"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8.24</w:t>
            </w:r>
          </w:p>
        </w:tc>
        <w:tc>
          <w:tcPr>
            <w:tcW w:w="707" w:type="dxa"/>
            <w:tcBorders>
              <w:top w:val="nil"/>
              <w:left w:val="nil"/>
              <w:bottom w:val="nil"/>
              <w:right w:val="nil"/>
            </w:tcBorders>
            <w:shd w:val="clear" w:color="auto" w:fill="auto"/>
            <w:noWrap/>
            <w:vAlign w:val="bottom"/>
          </w:tcPr>
          <w:p w14:paraId="5A2181F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5.41</w:t>
            </w:r>
          </w:p>
        </w:tc>
        <w:tc>
          <w:tcPr>
            <w:tcW w:w="959" w:type="dxa"/>
            <w:tcBorders>
              <w:top w:val="nil"/>
              <w:left w:val="nil"/>
              <w:bottom w:val="nil"/>
              <w:right w:val="dotted" w:sz="4" w:space="0" w:color="auto"/>
            </w:tcBorders>
            <w:shd w:val="clear" w:color="auto" w:fill="E7E6E6" w:themeFill="background2"/>
            <w:noWrap/>
            <w:vAlign w:val="bottom"/>
          </w:tcPr>
          <w:p w14:paraId="52841BD3"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£439.51</w:t>
            </w:r>
          </w:p>
        </w:tc>
        <w:tc>
          <w:tcPr>
            <w:tcW w:w="740" w:type="dxa"/>
            <w:tcBorders>
              <w:top w:val="nil"/>
              <w:left w:val="dotted" w:sz="4" w:space="0" w:color="auto"/>
              <w:bottom w:val="nil"/>
              <w:right w:val="nil"/>
            </w:tcBorders>
            <w:shd w:val="clear" w:color="auto" w:fill="auto"/>
            <w:noWrap/>
            <w:vAlign w:val="bottom"/>
          </w:tcPr>
          <w:p w14:paraId="312C5CD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10.17</w:t>
            </w:r>
          </w:p>
        </w:tc>
        <w:tc>
          <w:tcPr>
            <w:tcW w:w="708" w:type="dxa"/>
            <w:tcBorders>
              <w:top w:val="nil"/>
              <w:left w:val="nil"/>
              <w:bottom w:val="nil"/>
              <w:right w:val="nil"/>
            </w:tcBorders>
            <w:shd w:val="clear" w:color="auto" w:fill="auto"/>
            <w:noWrap/>
            <w:vAlign w:val="bottom"/>
          </w:tcPr>
          <w:p w14:paraId="0DF2B997"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5.89</w:t>
            </w:r>
          </w:p>
        </w:tc>
        <w:tc>
          <w:tcPr>
            <w:tcW w:w="998" w:type="dxa"/>
            <w:tcBorders>
              <w:top w:val="nil"/>
              <w:left w:val="nil"/>
              <w:bottom w:val="nil"/>
              <w:right w:val="dotted" w:sz="4" w:space="0" w:color="auto"/>
            </w:tcBorders>
            <w:shd w:val="clear" w:color="auto" w:fill="E7E6E6" w:themeFill="background2"/>
            <w:noWrap/>
            <w:vAlign w:val="bottom"/>
          </w:tcPr>
          <w:p w14:paraId="33C697A5"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£531.46</w:t>
            </w:r>
          </w:p>
        </w:tc>
        <w:tc>
          <w:tcPr>
            <w:tcW w:w="707" w:type="dxa"/>
            <w:tcBorders>
              <w:top w:val="nil"/>
              <w:left w:val="dotted" w:sz="4" w:space="0" w:color="auto"/>
              <w:bottom w:val="nil"/>
              <w:right w:val="nil"/>
            </w:tcBorders>
            <w:shd w:val="clear" w:color="auto" w:fill="auto"/>
            <w:noWrap/>
            <w:vAlign w:val="bottom"/>
          </w:tcPr>
          <w:p w14:paraId="64B45AD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12.51</w:t>
            </w:r>
          </w:p>
        </w:tc>
        <w:tc>
          <w:tcPr>
            <w:tcW w:w="708" w:type="dxa"/>
            <w:tcBorders>
              <w:top w:val="nil"/>
              <w:left w:val="nil"/>
              <w:bottom w:val="nil"/>
              <w:right w:val="nil"/>
            </w:tcBorders>
            <w:shd w:val="clear" w:color="auto" w:fill="auto"/>
            <w:noWrap/>
            <w:vAlign w:val="bottom"/>
          </w:tcPr>
          <w:p w14:paraId="760E22BA"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7.33</w:t>
            </w:r>
          </w:p>
        </w:tc>
        <w:tc>
          <w:tcPr>
            <w:tcW w:w="1136" w:type="dxa"/>
            <w:tcBorders>
              <w:top w:val="nil"/>
              <w:left w:val="nil"/>
              <w:bottom w:val="nil"/>
              <w:right w:val="nil"/>
            </w:tcBorders>
            <w:shd w:val="clear" w:color="auto" w:fill="E7E6E6" w:themeFill="background2"/>
            <w:noWrap/>
            <w:vAlign w:val="bottom"/>
          </w:tcPr>
          <w:p w14:paraId="175728FE"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£654.91</w:t>
            </w:r>
          </w:p>
        </w:tc>
      </w:tr>
      <w:tr w:rsidR="00A51C1A" w:rsidRPr="00704732" w14:paraId="1BBB2BF0" w14:textId="77777777">
        <w:trPr>
          <w:trHeight w:val="227"/>
        </w:trPr>
        <w:tc>
          <w:tcPr>
            <w:tcW w:w="851" w:type="dxa"/>
            <w:tcBorders>
              <w:top w:val="nil"/>
              <w:left w:val="nil"/>
              <w:bottom w:val="nil"/>
              <w:right w:val="dotted" w:sz="4" w:space="0" w:color="auto"/>
            </w:tcBorders>
            <w:shd w:val="clear" w:color="auto" w:fill="auto"/>
            <w:noWrap/>
            <w:vAlign w:val="bottom"/>
          </w:tcPr>
          <w:p w14:paraId="0A184FB3"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2007</w:t>
            </w:r>
          </w:p>
        </w:tc>
        <w:tc>
          <w:tcPr>
            <w:tcW w:w="1134" w:type="dxa"/>
            <w:tcBorders>
              <w:top w:val="nil"/>
              <w:left w:val="dotted" w:sz="4" w:space="0" w:color="auto"/>
              <w:bottom w:val="nil"/>
              <w:right w:val="nil"/>
            </w:tcBorders>
            <w:shd w:val="clear" w:color="auto" w:fill="auto"/>
            <w:noWrap/>
            <w:vAlign w:val="bottom"/>
          </w:tcPr>
          <w:p w14:paraId="61B648F0"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1.38</w:t>
            </w:r>
          </w:p>
        </w:tc>
        <w:tc>
          <w:tcPr>
            <w:tcW w:w="869" w:type="dxa"/>
            <w:tcBorders>
              <w:top w:val="nil"/>
              <w:left w:val="nil"/>
              <w:bottom w:val="nil"/>
              <w:right w:val="nil"/>
            </w:tcBorders>
            <w:shd w:val="clear" w:color="auto" w:fill="auto"/>
            <w:noWrap/>
            <w:vAlign w:val="bottom"/>
          </w:tcPr>
          <w:p w14:paraId="291900E5"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£50.00</w:t>
            </w:r>
          </w:p>
        </w:tc>
        <w:tc>
          <w:tcPr>
            <w:tcW w:w="865" w:type="dxa"/>
            <w:tcBorders>
              <w:top w:val="nil"/>
              <w:left w:val="nil"/>
              <w:bottom w:val="nil"/>
              <w:right w:val="dotted" w:sz="4" w:space="0" w:color="auto"/>
            </w:tcBorders>
            <w:shd w:val="clear" w:color="auto" w:fill="auto"/>
            <w:noWrap/>
            <w:vAlign w:val="bottom"/>
          </w:tcPr>
          <w:p w14:paraId="3F4425A3"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£9.00</w:t>
            </w:r>
          </w:p>
        </w:tc>
        <w:tc>
          <w:tcPr>
            <w:tcW w:w="708" w:type="dxa"/>
            <w:tcBorders>
              <w:top w:val="nil"/>
              <w:left w:val="dotted" w:sz="4" w:space="0" w:color="auto"/>
              <w:bottom w:val="nil"/>
              <w:right w:val="nil"/>
            </w:tcBorders>
            <w:shd w:val="clear" w:color="auto" w:fill="auto"/>
            <w:noWrap/>
            <w:vAlign w:val="bottom"/>
          </w:tcPr>
          <w:p w14:paraId="3464ACE4"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6.02</w:t>
            </w:r>
          </w:p>
        </w:tc>
        <w:tc>
          <w:tcPr>
            <w:tcW w:w="707" w:type="dxa"/>
            <w:tcBorders>
              <w:top w:val="nil"/>
              <w:left w:val="nil"/>
              <w:bottom w:val="nil"/>
              <w:right w:val="nil"/>
            </w:tcBorders>
            <w:shd w:val="clear" w:color="auto" w:fill="auto"/>
            <w:noWrap/>
            <w:vAlign w:val="bottom"/>
          </w:tcPr>
          <w:p w14:paraId="15497608"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4.41</w:t>
            </w:r>
          </w:p>
        </w:tc>
        <w:tc>
          <w:tcPr>
            <w:tcW w:w="979" w:type="dxa"/>
            <w:tcBorders>
              <w:top w:val="nil"/>
              <w:left w:val="nil"/>
              <w:bottom w:val="nil"/>
              <w:right w:val="dotted" w:sz="4" w:space="0" w:color="auto"/>
            </w:tcBorders>
            <w:shd w:val="clear" w:color="auto" w:fill="E7E6E6" w:themeFill="background2"/>
            <w:noWrap/>
            <w:vAlign w:val="bottom"/>
          </w:tcPr>
          <w:p w14:paraId="3E41C428"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£470.08</w:t>
            </w:r>
          </w:p>
        </w:tc>
        <w:tc>
          <w:tcPr>
            <w:tcW w:w="708" w:type="dxa"/>
            <w:tcBorders>
              <w:top w:val="nil"/>
              <w:left w:val="dotted" w:sz="4" w:space="0" w:color="auto"/>
              <w:bottom w:val="nil"/>
              <w:right w:val="nil"/>
            </w:tcBorders>
            <w:shd w:val="clear" w:color="auto" w:fill="auto"/>
            <w:noWrap/>
            <w:vAlign w:val="bottom"/>
          </w:tcPr>
          <w:p w14:paraId="7C0F15A8"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7.63</w:t>
            </w:r>
          </w:p>
        </w:tc>
        <w:tc>
          <w:tcPr>
            <w:tcW w:w="707" w:type="dxa"/>
            <w:tcBorders>
              <w:top w:val="nil"/>
              <w:left w:val="nil"/>
              <w:bottom w:val="nil"/>
              <w:right w:val="nil"/>
            </w:tcBorders>
            <w:shd w:val="clear" w:color="auto" w:fill="auto"/>
            <w:noWrap/>
            <w:vAlign w:val="bottom"/>
          </w:tcPr>
          <w:p w14:paraId="69BEDA25"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5.11</w:t>
            </w:r>
          </w:p>
        </w:tc>
        <w:tc>
          <w:tcPr>
            <w:tcW w:w="959" w:type="dxa"/>
            <w:tcBorders>
              <w:top w:val="nil"/>
              <w:left w:val="nil"/>
              <w:bottom w:val="nil"/>
              <w:right w:val="dotted" w:sz="4" w:space="0" w:color="auto"/>
            </w:tcBorders>
            <w:shd w:val="clear" w:color="auto" w:fill="E7E6E6" w:themeFill="background2"/>
            <w:noWrap/>
            <w:vAlign w:val="bottom"/>
          </w:tcPr>
          <w:p w14:paraId="59C3B10E"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£589.79</w:t>
            </w:r>
          </w:p>
        </w:tc>
        <w:tc>
          <w:tcPr>
            <w:tcW w:w="740" w:type="dxa"/>
            <w:tcBorders>
              <w:top w:val="nil"/>
              <w:left w:val="dotted" w:sz="4" w:space="0" w:color="auto"/>
              <w:bottom w:val="nil"/>
              <w:right w:val="nil"/>
            </w:tcBorders>
            <w:shd w:val="clear" w:color="auto" w:fill="auto"/>
            <w:noWrap/>
            <w:vAlign w:val="bottom"/>
          </w:tcPr>
          <w:p w14:paraId="436C4A57"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9.47</w:t>
            </w:r>
          </w:p>
        </w:tc>
        <w:tc>
          <w:tcPr>
            <w:tcW w:w="708" w:type="dxa"/>
            <w:tcBorders>
              <w:top w:val="nil"/>
              <w:left w:val="nil"/>
              <w:bottom w:val="nil"/>
              <w:right w:val="nil"/>
            </w:tcBorders>
            <w:shd w:val="clear" w:color="auto" w:fill="auto"/>
            <w:noWrap/>
            <w:vAlign w:val="bottom"/>
          </w:tcPr>
          <w:p w14:paraId="2C6CC6CB"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5.79</w:t>
            </w:r>
          </w:p>
        </w:tc>
        <w:tc>
          <w:tcPr>
            <w:tcW w:w="998" w:type="dxa"/>
            <w:tcBorders>
              <w:top w:val="nil"/>
              <w:left w:val="nil"/>
              <w:bottom w:val="nil"/>
              <w:right w:val="dotted" w:sz="4" w:space="0" w:color="auto"/>
            </w:tcBorders>
            <w:shd w:val="clear" w:color="auto" w:fill="E7E6E6" w:themeFill="background2"/>
            <w:noWrap/>
            <w:vAlign w:val="bottom"/>
          </w:tcPr>
          <w:p w14:paraId="641335C2"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£725.53</w:t>
            </w:r>
          </w:p>
        </w:tc>
        <w:tc>
          <w:tcPr>
            <w:tcW w:w="707" w:type="dxa"/>
            <w:tcBorders>
              <w:top w:val="nil"/>
              <w:left w:val="dotted" w:sz="4" w:space="0" w:color="auto"/>
              <w:bottom w:val="nil"/>
              <w:right w:val="nil"/>
            </w:tcBorders>
            <w:shd w:val="clear" w:color="auto" w:fill="auto"/>
            <w:noWrap/>
            <w:vAlign w:val="bottom"/>
          </w:tcPr>
          <w:p w14:paraId="50022F6A"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11.69</w:t>
            </w:r>
          </w:p>
        </w:tc>
        <w:tc>
          <w:tcPr>
            <w:tcW w:w="708" w:type="dxa"/>
            <w:tcBorders>
              <w:top w:val="nil"/>
              <w:left w:val="nil"/>
              <w:bottom w:val="nil"/>
              <w:right w:val="nil"/>
            </w:tcBorders>
            <w:shd w:val="clear" w:color="auto" w:fill="auto"/>
            <w:noWrap/>
            <w:vAlign w:val="bottom"/>
          </w:tcPr>
          <w:p w14:paraId="7EE1CA7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7.10</w:t>
            </w:r>
          </w:p>
        </w:tc>
        <w:tc>
          <w:tcPr>
            <w:tcW w:w="1136" w:type="dxa"/>
            <w:tcBorders>
              <w:top w:val="nil"/>
              <w:left w:val="nil"/>
              <w:bottom w:val="nil"/>
              <w:right w:val="nil"/>
            </w:tcBorders>
            <w:shd w:val="clear" w:color="auto" w:fill="E7E6E6" w:themeFill="background2"/>
            <w:noWrap/>
            <w:vAlign w:val="bottom"/>
          </w:tcPr>
          <w:p w14:paraId="3721836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£894.77</w:t>
            </w:r>
          </w:p>
        </w:tc>
      </w:tr>
      <w:tr w:rsidR="00A51C1A" w:rsidRPr="00704732" w14:paraId="6B056AF0" w14:textId="77777777">
        <w:trPr>
          <w:trHeight w:val="227"/>
        </w:trPr>
        <w:tc>
          <w:tcPr>
            <w:tcW w:w="851" w:type="dxa"/>
            <w:tcBorders>
              <w:top w:val="nil"/>
              <w:left w:val="nil"/>
              <w:bottom w:val="nil"/>
              <w:right w:val="dotted" w:sz="4" w:space="0" w:color="auto"/>
            </w:tcBorders>
            <w:shd w:val="clear" w:color="auto" w:fill="auto"/>
            <w:noWrap/>
            <w:vAlign w:val="bottom"/>
          </w:tcPr>
          <w:p w14:paraId="76915307"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2008</w:t>
            </w:r>
          </w:p>
        </w:tc>
        <w:tc>
          <w:tcPr>
            <w:tcW w:w="1134" w:type="dxa"/>
            <w:tcBorders>
              <w:top w:val="nil"/>
              <w:left w:val="dotted" w:sz="4" w:space="0" w:color="auto"/>
              <w:bottom w:val="nil"/>
              <w:right w:val="nil"/>
            </w:tcBorders>
            <w:shd w:val="clear" w:color="auto" w:fill="auto"/>
            <w:noWrap/>
            <w:vAlign w:val="bottom"/>
          </w:tcPr>
          <w:p w14:paraId="402B2044"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1.32</w:t>
            </w:r>
          </w:p>
        </w:tc>
        <w:tc>
          <w:tcPr>
            <w:tcW w:w="869" w:type="dxa"/>
            <w:tcBorders>
              <w:top w:val="nil"/>
              <w:left w:val="nil"/>
              <w:bottom w:val="nil"/>
              <w:right w:val="nil"/>
            </w:tcBorders>
            <w:shd w:val="clear" w:color="auto" w:fill="auto"/>
            <w:noWrap/>
            <w:vAlign w:val="bottom"/>
          </w:tcPr>
          <w:p w14:paraId="518199C2"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£52.00</w:t>
            </w:r>
          </w:p>
        </w:tc>
        <w:tc>
          <w:tcPr>
            <w:tcW w:w="865" w:type="dxa"/>
            <w:tcBorders>
              <w:top w:val="nil"/>
              <w:left w:val="nil"/>
              <w:bottom w:val="nil"/>
              <w:right w:val="dotted" w:sz="4" w:space="0" w:color="auto"/>
            </w:tcBorders>
            <w:shd w:val="clear" w:color="auto" w:fill="auto"/>
            <w:noWrap/>
            <w:vAlign w:val="bottom"/>
          </w:tcPr>
          <w:p w14:paraId="73F48522"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£11.00</w:t>
            </w:r>
          </w:p>
        </w:tc>
        <w:tc>
          <w:tcPr>
            <w:tcW w:w="708" w:type="dxa"/>
            <w:tcBorders>
              <w:top w:val="nil"/>
              <w:left w:val="dotted" w:sz="4" w:space="0" w:color="auto"/>
              <w:bottom w:val="nil"/>
              <w:right w:val="nil"/>
            </w:tcBorders>
            <w:shd w:val="clear" w:color="auto" w:fill="auto"/>
            <w:noWrap/>
            <w:vAlign w:val="bottom"/>
          </w:tcPr>
          <w:p w14:paraId="06A46B81"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5.98</w:t>
            </w:r>
          </w:p>
        </w:tc>
        <w:tc>
          <w:tcPr>
            <w:tcW w:w="707" w:type="dxa"/>
            <w:tcBorders>
              <w:top w:val="nil"/>
              <w:left w:val="nil"/>
              <w:bottom w:val="nil"/>
              <w:right w:val="nil"/>
            </w:tcBorders>
            <w:shd w:val="clear" w:color="auto" w:fill="auto"/>
            <w:noWrap/>
            <w:vAlign w:val="bottom"/>
          </w:tcPr>
          <w:p w14:paraId="6CBCFAF8"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4.30</w:t>
            </w:r>
          </w:p>
        </w:tc>
        <w:tc>
          <w:tcPr>
            <w:tcW w:w="979" w:type="dxa"/>
            <w:tcBorders>
              <w:top w:val="nil"/>
              <w:left w:val="nil"/>
              <w:bottom w:val="nil"/>
              <w:right w:val="dotted" w:sz="4" w:space="0" w:color="auto"/>
            </w:tcBorders>
            <w:shd w:val="clear" w:color="auto" w:fill="E7E6E6" w:themeFill="background2"/>
            <w:noWrap/>
            <w:vAlign w:val="bottom"/>
          </w:tcPr>
          <w:p w14:paraId="28F4E465"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£473.01</w:t>
            </w:r>
          </w:p>
        </w:tc>
        <w:tc>
          <w:tcPr>
            <w:tcW w:w="708" w:type="dxa"/>
            <w:tcBorders>
              <w:top w:val="nil"/>
              <w:left w:val="dotted" w:sz="4" w:space="0" w:color="auto"/>
              <w:bottom w:val="nil"/>
              <w:right w:val="nil"/>
            </w:tcBorders>
            <w:shd w:val="clear" w:color="auto" w:fill="auto"/>
            <w:noWrap/>
            <w:vAlign w:val="bottom"/>
          </w:tcPr>
          <w:p w14:paraId="55EACA8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7.61</w:t>
            </w:r>
          </w:p>
        </w:tc>
        <w:tc>
          <w:tcPr>
            <w:tcW w:w="707" w:type="dxa"/>
            <w:tcBorders>
              <w:top w:val="nil"/>
              <w:left w:val="nil"/>
              <w:bottom w:val="nil"/>
              <w:right w:val="nil"/>
            </w:tcBorders>
            <w:shd w:val="clear" w:color="auto" w:fill="auto"/>
            <w:noWrap/>
            <w:vAlign w:val="bottom"/>
          </w:tcPr>
          <w:p w14:paraId="2B68CD6D"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5.01</w:t>
            </w:r>
          </w:p>
        </w:tc>
        <w:tc>
          <w:tcPr>
            <w:tcW w:w="959" w:type="dxa"/>
            <w:tcBorders>
              <w:top w:val="nil"/>
              <w:left w:val="nil"/>
              <w:bottom w:val="nil"/>
              <w:right w:val="dotted" w:sz="4" w:space="0" w:color="auto"/>
            </w:tcBorders>
            <w:shd w:val="clear" w:color="auto" w:fill="E7E6E6" w:themeFill="background2"/>
            <w:noWrap/>
            <w:vAlign w:val="bottom"/>
          </w:tcPr>
          <w:p w14:paraId="6E9D9866"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£595.31</w:t>
            </w:r>
          </w:p>
        </w:tc>
        <w:tc>
          <w:tcPr>
            <w:tcW w:w="740" w:type="dxa"/>
            <w:tcBorders>
              <w:top w:val="nil"/>
              <w:left w:val="dotted" w:sz="4" w:space="0" w:color="auto"/>
              <w:bottom w:val="nil"/>
              <w:right w:val="nil"/>
            </w:tcBorders>
            <w:shd w:val="clear" w:color="auto" w:fill="auto"/>
            <w:noWrap/>
            <w:vAlign w:val="bottom"/>
          </w:tcPr>
          <w:p w14:paraId="2EEC7E0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9.12</w:t>
            </w:r>
          </w:p>
        </w:tc>
        <w:tc>
          <w:tcPr>
            <w:tcW w:w="708" w:type="dxa"/>
            <w:tcBorders>
              <w:top w:val="nil"/>
              <w:left w:val="nil"/>
              <w:bottom w:val="nil"/>
              <w:right w:val="nil"/>
            </w:tcBorders>
            <w:shd w:val="clear" w:color="auto" w:fill="auto"/>
            <w:noWrap/>
            <w:vAlign w:val="bottom"/>
          </w:tcPr>
          <w:p w14:paraId="41ABF836"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5.73</w:t>
            </w:r>
          </w:p>
        </w:tc>
        <w:tc>
          <w:tcPr>
            <w:tcW w:w="998" w:type="dxa"/>
            <w:tcBorders>
              <w:top w:val="nil"/>
              <w:left w:val="nil"/>
              <w:bottom w:val="nil"/>
              <w:right w:val="dotted" w:sz="4" w:space="0" w:color="auto"/>
            </w:tcBorders>
            <w:shd w:val="clear" w:color="auto" w:fill="E7E6E6" w:themeFill="background2"/>
            <w:noWrap/>
            <w:vAlign w:val="bottom"/>
          </w:tcPr>
          <w:p w14:paraId="7D5DFA64"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£709.08</w:t>
            </w:r>
          </w:p>
        </w:tc>
        <w:tc>
          <w:tcPr>
            <w:tcW w:w="707" w:type="dxa"/>
            <w:tcBorders>
              <w:top w:val="nil"/>
              <w:left w:val="dotted" w:sz="4" w:space="0" w:color="auto"/>
              <w:bottom w:val="nil"/>
              <w:right w:val="nil"/>
            </w:tcBorders>
            <w:shd w:val="clear" w:color="auto" w:fill="auto"/>
            <w:noWrap/>
            <w:vAlign w:val="bottom"/>
          </w:tcPr>
          <w:p w14:paraId="195BD92C"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11.62</w:t>
            </w:r>
          </w:p>
        </w:tc>
        <w:tc>
          <w:tcPr>
            <w:tcW w:w="708" w:type="dxa"/>
            <w:tcBorders>
              <w:top w:val="nil"/>
              <w:left w:val="nil"/>
              <w:bottom w:val="nil"/>
              <w:right w:val="nil"/>
            </w:tcBorders>
            <w:shd w:val="clear" w:color="auto" w:fill="auto"/>
            <w:noWrap/>
            <w:vAlign w:val="bottom"/>
          </w:tcPr>
          <w:p w14:paraId="73A736C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6.88</w:t>
            </w:r>
          </w:p>
        </w:tc>
        <w:tc>
          <w:tcPr>
            <w:tcW w:w="1136" w:type="dxa"/>
            <w:tcBorders>
              <w:top w:val="nil"/>
              <w:left w:val="nil"/>
              <w:bottom w:val="nil"/>
              <w:right w:val="nil"/>
            </w:tcBorders>
            <w:shd w:val="clear" w:color="auto" w:fill="E7E6E6" w:themeFill="background2"/>
            <w:noWrap/>
            <w:vAlign w:val="bottom"/>
          </w:tcPr>
          <w:p w14:paraId="70EDB9FF"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£897.61</w:t>
            </w:r>
          </w:p>
        </w:tc>
      </w:tr>
      <w:tr w:rsidR="00A51C1A" w:rsidRPr="00704732" w14:paraId="6E43575B" w14:textId="77777777">
        <w:trPr>
          <w:trHeight w:val="227"/>
        </w:trPr>
        <w:tc>
          <w:tcPr>
            <w:tcW w:w="851" w:type="dxa"/>
            <w:tcBorders>
              <w:top w:val="nil"/>
              <w:left w:val="nil"/>
              <w:bottom w:val="nil"/>
              <w:right w:val="dotted" w:sz="4" w:space="0" w:color="auto"/>
            </w:tcBorders>
            <w:shd w:val="clear" w:color="auto" w:fill="auto"/>
            <w:noWrap/>
            <w:vAlign w:val="bottom"/>
          </w:tcPr>
          <w:p w14:paraId="49E46A67"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2009</w:t>
            </w:r>
          </w:p>
        </w:tc>
        <w:tc>
          <w:tcPr>
            <w:tcW w:w="1134" w:type="dxa"/>
            <w:tcBorders>
              <w:top w:val="nil"/>
              <w:left w:val="dotted" w:sz="4" w:space="0" w:color="auto"/>
              <w:bottom w:val="nil"/>
              <w:right w:val="nil"/>
            </w:tcBorders>
            <w:shd w:val="clear" w:color="auto" w:fill="auto"/>
            <w:noWrap/>
            <w:vAlign w:val="bottom"/>
          </w:tcPr>
          <w:p w14:paraId="5AD2DCF0"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1.27</w:t>
            </w:r>
          </w:p>
        </w:tc>
        <w:tc>
          <w:tcPr>
            <w:tcW w:w="869" w:type="dxa"/>
            <w:tcBorders>
              <w:top w:val="nil"/>
              <w:left w:val="nil"/>
              <w:bottom w:val="nil"/>
              <w:right w:val="nil"/>
            </w:tcBorders>
            <w:shd w:val="clear" w:color="auto" w:fill="auto"/>
            <w:noWrap/>
            <w:vAlign w:val="bottom"/>
          </w:tcPr>
          <w:p w14:paraId="6672D620"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£52.00</w:t>
            </w:r>
          </w:p>
        </w:tc>
        <w:tc>
          <w:tcPr>
            <w:tcW w:w="865" w:type="dxa"/>
            <w:tcBorders>
              <w:top w:val="nil"/>
              <w:left w:val="nil"/>
              <w:bottom w:val="nil"/>
              <w:right w:val="dotted" w:sz="4" w:space="0" w:color="auto"/>
            </w:tcBorders>
            <w:shd w:val="clear" w:color="auto" w:fill="auto"/>
            <w:noWrap/>
            <w:vAlign w:val="bottom"/>
          </w:tcPr>
          <w:p w14:paraId="5E8D7BE4"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£11.00</w:t>
            </w:r>
          </w:p>
        </w:tc>
        <w:tc>
          <w:tcPr>
            <w:tcW w:w="708" w:type="dxa"/>
            <w:tcBorders>
              <w:top w:val="nil"/>
              <w:left w:val="dotted" w:sz="4" w:space="0" w:color="auto"/>
              <w:bottom w:val="nil"/>
              <w:right w:val="nil"/>
            </w:tcBorders>
            <w:shd w:val="clear" w:color="auto" w:fill="auto"/>
            <w:noWrap/>
            <w:vAlign w:val="bottom"/>
          </w:tcPr>
          <w:p w14:paraId="74D6B3BD"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5.97</w:t>
            </w:r>
          </w:p>
        </w:tc>
        <w:tc>
          <w:tcPr>
            <w:tcW w:w="707" w:type="dxa"/>
            <w:tcBorders>
              <w:top w:val="nil"/>
              <w:left w:val="nil"/>
              <w:bottom w:val="nil"/>
              <w:right w:val="nil"/>
            </w:tcBorders>
            <w:shd w:val="clear" w:color="auto" w:fill="auto"/>
            <w:noWrap/>
            <w:vAlign w:val="bottom"/>
          </w:tcPr>
          <w:p w14:paraId="6BBA58A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4.36</w:t>
            </w:r>
          </w:p>
        </w:tc>
        <w:tc>
          <w:tcPr>
            <w:tcW w:w="979" w:type="dxa"/>
            <w:tcBorders>
              <w:top w:val="nil"/>
              <w:left w:val="nil"/>
              <w:bottom w:val="nil"/>
              <w:right w:val="dotted" w:sz="4" w:space="0" w:color="auto"/>
            </w:tcBorders>
            <w:shd w:val="clear" w:color="auto" w:fill="E7E6E6" w:themeFill="background2"/>
            <w:noWrap/>
            <w:vAlign w:val="bottom"/>
          </w:tcPr>
          <w:p w14:paraId="66E8471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£455.45</w:t>
            </w:r>
          </w:p>
        </w:tc>
        <w:tc>
          <w:tcPr>
            <w:tcW w:w="708" w:type="dxa"/>
            <w:tcBorders>
              <w:top w:val="nil"/>
              <w:left w:val="dotted" w:sz="4" w:space="0" w:color="auto"/>
              <w:bottom w:val="nil"/>
              <w:right w:val="nil"/>
            </w:tcBorders>
            <w:shd w:val="clear" w:color="auto" w:fill="auto"/>
            <w:noWrap/>
            <w:vAlign w:val="bottom"/>
          </w:tcPr>
          <w:p w14:paraId="77FC8616"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7.52</w:t>
            </w:r>
          </w:p>
        </w:tc>
        <w:tc>
          <w:tcPr>
            <w:tcW w:w="707" w:type="dxa"/>
            <w:tcBorders>
              <w:top w:val="nil"/>
              <w:left w:val="nil"/>
              <w:bottom w:val="nil"/>
              <w:right w:val="nil"/>
            </w:tcBorders>
            <w:shd w:val="clear" w:color="auto" w:fill="auto"/>
            <w:noWrap/>
            <w:vAlign w:val="bottom"/>
          </w:tcPr>
          <w:p w14:paraId="2DB0EB6F"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5.04</w:t>
            </w:r>
          </w:p>
        </w:tc>
        <w:tc>
          <w:tcPr>
            <w:tcW w:w="959" w:type="dxa"/>
            <w:tcBorders>
              <w:top w:val="nil"/>
              <w:left w:val="nil"/>
              <w:bottom w:val="nil"/>
              <w:right w:val="dotted" w:sz="4" w:space="0" w:color="auto"/>
            </w:tcBorders>
            <w:shd w:val="clear" w:color="auto" w:fill="E7E6E6" w:themeFill="background2"/>
            <w:noWrap/>
            <w:vAlign w:val="bottom"/>
          </w:tcPr>
          <w:p w14:paraId="7744DB76"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£566.70</w:t>
            </w:r>
          </w:p>
        </w:tc>
        <w:tc>
          <w:tcPr>
            <w:tcW w:w="740" w:type="dxa"/>
            <w:tcBorders>
              <w:top w:val="nil"/>
              <w:left w:val="dotted" w:sz="4" w:space="0" w:color="auto"/>
              <w:bottom w:val="nil"/>
              <w:right w:val="nil"/>
            </w:tcBorders>
            <w:shd w:val="clear" w:color="auto" w:fill="auto"/>
            <w:noWrap/>
            <w:vAlign w:val="bottom"/>
          </w:tcPr>
          <w:p w14:paraId="27A42B6A"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9.17</w:t>
            </w:r>
          </w:p>
        </w:tc>
        <w:tc>
          <w:tcPr>
            <w:tcW w:w="708" w:type="dxa"/>
            <w:tcBorders>
              <w:top w:val="nil"/>
              <w:left w:val="nil"/>
              <w:bottom w:val="nil"/>
              <w:right w:val="nil"/>
            </w:tcBorders>
            <w:shd w:val="clear" w:color="auto" w:fill="auto"/>
            <w:noWrap/>
            <w:vAlign w:val="bottom"/>
          </w:tcPr>
          <w:p w14:paraId="60224A90"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5.73</w:t>
            </w:r>
          </w:p>
        </w:tc>
        <w:tc>
          <w:tcPr>
            <w:tcW w:w="998" w:type="dxa"/>
            <w:tcBorders>
              <w:top w:val="nil"/>
              <w:left w:val="nil"/>
              <w:bottom w:val="nil"/>
              <w:right w:val="dotted" w:sz="4" w:space="0" w:color="auto"/>
            </w:tcBorders>
            <w:shd w:val="clear" w:color="auto" w:fill="E7E6E6" w:themeFill="background2"/>
            <w:noWrap/>
            <w:vAlign w:val="bottom"/>
          </w:tcPr>
          <w:p w14:paraId="1E9353FA"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£685.57</w:t>
            </w:r>
          </w:p>
        </w:tc>
        <w:tc>
          <w:tcPr>
            <w:tcW w:w="707" w:type="dxa"/>
            <w:tcBorders>
              <w:top w:val="nil"/>
              <w:left w:val="dotted" w:sz="4" w:space="0" w:color="auto"/>
              <w:bottom w:val="nil"/>
              <w:right w:val="nil"/>
            </w:tcBorders>
            <w:shd w:val="clear" w:color="auto" w:fill="auto"/>
            <w:noWrap/>
            <w:vAlign w:val="bottom"/>
          </w:tcPr>
          <w:p w14:paraId="1509533F"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11.69</w:t>
            </w:r>
          </w:p>
        </w:tc>
        <w:tc>
          <w:tcPr>
            <w:tcW w:w="708" w:type="dxa"/>
            <w:tcBorders>
              <w:top w:val="nil"/>
              <w:left w:val="nil"/>
              <w:bottom w:val="nil"/>
              <w:right w:val="nil"/>
            </w:tcBorders>
            <w:shd w:val="clear" w:color="auto" w:fill="auto"/>
            <w:noWrap/>
            <w:vAlign w:val="bottom"/>
          </w:tcPr>
          <w:p w14:paraId="21CB5EEC"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6.65</w:t>
            </w:r>
          </w:p>
        </w:tc>
        <w:tc>
          <w:tcPr>
            <w:tcW w:w="1136" w:type="dxa"/>
            <w:tcBorders>
              <w:top w:val="nil"/>
              <w:left w:val="nil"/>
              <w:bottom w:val="nil"/>
              <w:right w:val="nil"/>
            </w:tcBorders>
            <w:shd w:val="clear" w:color="auto" w:fill="E7E6E6" w:themeFill="background2"/>
            <w:noWrap/>
            <w:vAlign w:val="bottom"/>
          </w:tcPr>
          <w:p w14:paraId="12053EB5"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£864.65</w:t>
            </w:r>
          </w:p>
        </w:tc>
      </w:tr>
      <w:tr w:rsidR="00A51C1A" w:rsidRPr="00704732" w14:paraId="211CEE1F" w14:textId="77777777">
        <w:trPr>
          <w:trHeight w:val="227"/>
        </w:trPr>
        <w:tc>
          <w:tcPr>
            <w:tcW w:w="851" w:type="dxa"/>
            <w:tcBorders>
              <w:top w:val="nil"/>
              <w:left w:val="nil"/>
              <w:bottom w:val="nil"/>
              <w:right w:val="dotted" w:sz="4" w:space="0" w:color="auto"/>
            </w:tcBorders>
            <w:shd w:val="clear" w:color="auto" w:fill="auto"/>
            <w:noWrap/>
            <w:vAlign w:val="bottom"/>
          </w:tcPr>
          <w:p w14:paraId="287B2157"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2010</w:t>
            </w:r>
          </w:p>
        </w:tc>
        <w:tc>
          <w:tcPr>
            <w:tcW w:w="1134" w:type="dxa"/>
            <w:tcBorders>
              <w:top w:val="nil"/>
              <w:left w:val="dotted" w:sz="4" w:space="0" w:color="auto"/>
              <w:bottom w:val="nil"/>
              <w:right w:val="nil"/>
            </w:tcBorders>
            <w:shd w:val="clear" w:color="auto" w:fill="auto"/>
            <w:noWrap/>
            <w:vAlign w:val="bottom"/>
          </w:tcPr>
          <w:p w14:paraId="16BAD402"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1.28</w:t>
            </w:r>
          </w:p>
        </w:tc>
        <w:tc>
          <w:tcPr>
            <w:tcW w:w="869" w:type="dxa"/>
            <w:tcBorders>
              <w:top w:val="nil"/>
              <w:left w:val="nil"/>
              <w:bottom w:val="nil"/>
              <w:right w:val="nil"/>
            </w:tcBorders>
            <w:shd w:val="clear" w:color="auto" w:fill="auto"/>
            <w:noWrap/>
            <w:vAlign w:val="bottom"/>
          </w:tcPr>
          <w:p w14:paraId="18641C8F"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£53.00</w:t>
            </w:r>
          </w:p>
        </w:tc>
        <w:tc>
          <w:tcPr>
            <w:tcW w:w="865" w:type="dxa"/>
            <w:tcBorders>
              <w:top w:val="nil"/>
              <w:left w:val="nil"/>
              <w:bottom w:val="nil"/>
              <w:right w:val="dotted" w:sz="4" w:space="0" w:color="auto"/>
            </w:tcBorders>
            <w:shd w:val="clear" w:color="auto" w:fill="auto"/>
            <w:noWrap/>
            <w:vAlign w:val="bottom"/>
          </w:tcPr>
          <w:p w14:paraId="53A84688"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£12.00</w:t>
            </w:r>
          </w:p>
        </w:tc>
        <w:tc>
          <w:tcPr>
            <w:tcW w:w="708" w:type="dxa"/>
            <w:tcBorders>
              <w:top w:val="nil"/>
              <w:left w:val="dotted" w:sz="4" w:space="0" w:color="auto"/>
              <w:bottom w:val="nil"/>
              <w:right w:val="nil"/>
            </w:tcBorders>
            <w:shd w:val="clear" w:color="auto" w:fill="auto"/>
            <w:noWrap/>
            <w:vAlign w:val="bottom"/>
          </w:tcPr>
          <w:p w14:paraId="79A6AC2A"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6.02</w:t>
            </w:r>
          </w:p>
        </w:tc>
        <w:tc>
          <w:tcPr>
            <w:tcW w:w="707" w:type="dxa"/>
            <w:tcBorders>
              <w:top w:val="nil"/>
              <w:left w:val="nil"/>
              <w:bottom w:val="nil"/>
              <w:right w:val="nil"/>
            </w:tcBorders>
            <w:shd w:val="clear" w:color="auto" w:fill="auto"/>
            <w:noWrap/>
            <w:vAlign w:val="bottom"/>
          </w:tcPr>
          <w:p w14:paraId="0A27C285"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4.19</w:t>
            </w:r>
          </w:p>
        </w:tc>
        <w:tc>
          <w:tcPr>
            <w:tcW w:w="979" w:type="dxa"/>
            <w:tcBorders>
              <w:top w:val="nil"/>
              <w:left w:val="nil"/>
              <w:bottom w:val="nil"/>
              <w:right w:val="dotted" w:sz="4" w:space="0" w:color="auto"/>
            </w:tcBorders>
            <w:shd w:val="clear" w:color="auto" w:fill="E7E6E6" w:themeFill="background2"/>
            <w:noWrap/>
            <w:vAlign w:val="bottom"/>
          </w:tcPr>
          <w:p w14:paraId="325E1427"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£472.82</w:t>
            </w:r>
          </w:p>
        </w:tc>
        <w:tc>
          <w:tcPr>
            <w:tcW w:w="708" w:type="dxa"/>
            <w:tcBorders>
              <w:top w:val="nil"/>
              <w:left w:val="dotted" w:sz="4" w:space="0" w:color="auto"/>
              <w:bottom w:val="nil"/>
              <w:right w:val="nil"/>
            </w:tcBorders>
            <w:shd w:val="clear" w:color="auto" w:fill="auto"/>
            <w:noWrap/>
            <w:vAlign w:val="bottom"/>
          </w:tcPr>
          <w:p w14:paraId="5E37D99C"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7.58</w:t>
            </w:r>
          </w:p>
        </w:tc>
        <w:tc>
          <w:tcPr>
            <w:tcW w:w="707" w:type="dxa"/>
            <w:tcBorders>
              <w:top w:val="nil"/>
              <w:left w:val="nil"/>
              <w:bottom w:val="nil"/>
              <w:right w:val="nil"/>
            </w:tcBorders>
            <w:shd w:val="clear" w:color="auto" w:fill="auto"/>
            <w:noWrap/>
            <w:vAlign w:val="bottom"/>
          </w:tcPr>
          <w:p w14:paraId="1FA40D6A"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4.93</w:t>
            </w:r>
          </w:p>
        </w:tc>
        <w:tc>
          <w:tcPr>
            <w:tcW w:w="959" w:type="dxa"/>
            <w:tcBorders>
              <w:top w:val="nil"/>
              <w:left w:val="nil"/>
              <w:bottom w:val="nil"/>
              <w:right w:val="dotted" w:sz="4" w:space="0" w:color="auto"/>
            </w:tcBorders>
            <w:shd w:val="clear" w:color="auto" w:fill="E7E6E6" w:themeFill="background2"/>
            <w:noWrap/>
            <w:vAlign w:val="bottom"/>
          </w:tcPr>
          <w:p w14:paraId="73A369E1"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£589.79</w:t>
            </w:r>
          </w:p>
        </w:tc>
        <w:tc>
          <w:tcPr>
            <w:tcW w:w="740" w:type="dxa"/>
            <w:tcBorders>
              <w:top w:val="nil"/>
              <w:left w:val="dotted" w:sz="4" w:space="0" w:color="auto"/>
              <w:bottom w:val="nil"/>
              <w:right w:val="nil"/>
            </w:tcBorders>
            <w:shd w:val="clear" w:color="auto" w:fill="auto"/>
            <w:noWrap/>
            <w:vAlign w:val="bottom"/>
          </w:tcPr>
          <w:p w14:paraId="5F21DCCA"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9.15</w:t>
            </w:r>
          </w:p>
        </w:tc>
        <w:tc>
          <w:tcPr>
            <w:tcW w:w="708" w:type="dxa"/>
            <w:tcBorders>
              <w:top w:val="nil"/>
              <w:left w:val="nil"/>
              <w:bottom w:val="nil"/>
              <w:right w:val="nil"/>
            </w:tcBorders>
            <w:shd w:val="clear" w:color="auto" w:fill="auto"/>
            <w:noWrap/>
            <w:vAlign w:val="bottom"/>
          </w:tcPr>
          <w:p w14:paraId="31201B8F"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5.65</w:t>
            </w:r>
          </w:p>
        </w:tc>
        <w:tc>
          <w:tcPr>
            <w:tcW w:w="998" w:type="dxa"/>
            <w:tcBorders>
              <w:top w:val="nil"/>
              <w:left w:val="nil"/>
              <w:bottom w:val="nil"/>
              <w:right w:val="dotted" w:sz="4" w:space="0" w:color="auto"/>
            </w:tcBorders>
            <w:shd w:val="clear" w:color="auto" w:fill="E7E6E6" w:themeFill="background2"/>
            <w:noWrap/>
            <w:vAlign w:val="bottom"/>
          </w:tcPr>
          <w:p w14:paraId="37CDFF30"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£707.49</w:t>
            </w:r>
          </w:p>
        </w:tc>
        <w:tc>
          <w:tcPr>
            <w:tcW w:w="707" w:type="dxa"/>
            <w:tcBorders>
              <w:top w:val="nil"/>
              <w:left w:val="dotted" w:sz="4" w:space="0" w:color="auto"/>
              <w:bottom w:val="nil"/>
              <w:right w:val="nil"/>
            </w:tcBorders>
            <w:shd w:val="clear" w:color="auto" w:fill="auto"/>
            <w:noWrap/>
            <w:vAlign w:val="bottom"/>
          </w:tcPr>
          <w:p w14:paraId="74C39DCA"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11.70</w:t>
            </w:r>
          </w:p>
        </w:tc>
        <w:tc>
          <w:tcPr>
            <w:tcW w:w="708" w:type="dxa"/>
            <w:tcBorders>
              <w:top w:val="nil"/>
              <w:left w:val="nil"/>
              <w:bottom w:val="nil"/>
              <w:right w:val="nil"/>
            </w:tcBorders>
            <w:shd w:val="clear" w:color="auto" w:fill="auto"/>
            <w:noWrap/>
            <w:vAlign w:val="bottom"/>
          </w:tcPr>
          <w:p w14:paraId="0F8947EB"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6.66</w:t>
            </w:r>
          </w:p>
        </w:tc>
        <w:tc>
          <w:tcPr>
            <w:tcW w:w="1136" w:type="dxa"/>
            <w:tcBorders>
              <w:top w:val="nil"/>
              <w:left w:val="nil"/>
              <w:bottom w:val="nil"/>
              <w:right w:val="nil"/>
            </w:tcBorders>
            <w:shd w:val="clear" w:color="auto" w:fill="E7E6E6" w:themeFill="background2"/>
            <w:noWrap/>
            <w:vAlign w:val="bottom"/>
          </w:tcPr>
          <w:p w14:paraId="2098CDD3"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£896.33</w:t>
            </w:r>
          </w:p>
        </w:tc>
      </w:tr>
      <w:tr w:rsidR="00A51C1A" w:rsidRPr="00704732" w14:paraId="5EF07BB9" w14:textId="77777777">
        <w:trPr>
          <w:trHeight w:val="227"/>
        </w:trPr>
        <w:tc>
          <w:tcPr>
            <w:tcW w:w="851" w:type="dxa"/>
            <w:tcBorders>
              <w:top w:val="nil"/>
              <w:left w:val="nil"/>
              <w:bottom w:val="nil"/>
              <w:right w:val="dotted" w:sz="4" w:space="0" w:color="auto"/>
            </w:tcBorders>
            <w:shd w:val="clear" w:color="auto" w:fill="auto"/>
            <w:noWrap/>
            <w:vAlign w:val="bottom"/>
          </w:tcPr>
          <w:p w14:paraId="6DE7E643"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2011</w:t>
            </w:r>
          </w:p>
        </w:tc>
        <w:tc>
          <w:tcPr>
            <w:tcW w:w="1134" w:type="dxa"/>
            <w:tcBorders>
              <w:top w:val="nil"/>
              <w:left w:val="dotted" w:sz="4" w:space="0" w:color="auto"/>
              <w:bottom w:val="nil"/>
              <w:right w:val="nil"/>
            </w:tcBorders>
            <w:shd w:val="clear" w:color="auto" w:fill="auto"/>
            <w:noWrap/>
            <w:vAlign w:val="bottom"/>
          </w:tcPr>
          <w:p w14:paraId="747991B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1.22</w:t>
            </w:r>
          </w:p>
        </w:tc>
        <w:tc>
          <w:tcPr>
            <w:tcW w:w="869" w:type="dxa"/>
            <w:tcBorders>
              <w:top w:val="nil"/>
              <w:left w:val="nil"/>
              <w:bottom w:val="nil"/>
              <w:right w:val="nil"/>
            </w:tcBorders>
            <w:shd w:val="clear" w:color="auto" w:fill="auto"/>
            <w:noWrap/>
            <w:vAlign w:val="bottom"/>
          </w:tcPr>
          <w:p w14:paraId="76D849EF"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£53.00</w:t>
            </w:r>
          </w:p>
        </w:tc>
        <w:tc>
          <w:tcPr>
            <w:tcW w:w="865" w:type="dxa"/>
            <w:tcBorders>
              <w:top w:val="nil"/>
              <w:left w:val="nil"/>
              <w:bottom w:val="nil"/>
              <w:right w:val="dotted" w:sz="4" w:space="0" w:color="auto"/>
            </w:tcBorders>
            <w:shd w:val="clear" w:color="auto" w:fill="auto"/>
            <w:noWrap/>
            <w:vAlign w:val="bottom"/>
          </w:tcPr>
          <w:p w14:paraId="62994D0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£12.41</w:t>
            </w:r>
          </w:p>
        </w:tc>
        <w:tc>
          <w:tcPr>
            <w:tcW w:w="708" w:type="dxa"/>
            <w:tcBorders>
              <w:top w:val="nil"/>
              <w:left w:val="dotted" w:sz="4" w:space="0" w:color="auto"/>
              <w:bottom w:val="nil"/>
              <w:right w:val="nil"/>
            </w:tcBorders>
            <w:shd w:val="clear" w:color="auto" w:fill="auto"/>
            <w:noWrap/>
            <w:vAlign w:val="bottom"/>
          </w:tcPr>
          <w:p w14:paraId="2E2D2BCF"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5.86</w:t>
            </w:r>
          </w:p>
        </w:tc>
        <w:tc>
          <w:tcPr>
            <w:tcW w:w="707" w:type="dxa"/>
            <w:tcBorders>
              <w:top w:val="nil"/>
              <w:left w:val="nil"/>
              <w:bottom w:val="nil"/>
              <w:right w:val="nil"/>
            </w:tcBorders>
            <w:shd w:val="clear" w:color="auto" w:fill="auto"/>
            <w:noWrap/>
            <w:vAlign w:val="bottom"/>
          </w:tcPr>
          <w:p w14:paraId="15F6805D"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4.20</w:t>
            </w:r>
          </w:p>
        </w:tc>
        <w:tc>
          <w:tcPr>
            <w:tcW w:w="979" w:type="dxa"/>
            <w:tcBorders>
              <w:top w:val="nil"/>
              <w:left w:val="nil"/>
              <w:bottom w:val="nil"/>
              <w:right w:val="dotted" w:sz="4" w:space="0" w:color="auto"/>
            </w:tcBorders>
            <w:shd w:val="clear" w:color="auto" w:fill="E7E6E6" w:themeFill="background2"/>
            <w:noWrap/>
            <w:vAlign w:val="bottom"/>
          </w:tcPr>
          <w:p w14:paraId="2CA7334C"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£442.58</w:t>
            </w:r>
          </w:p>
        </w:tc>
        <w:tc>
          <w:tcPr>
            <w:tcW w:w="708" w:type="dxa"/>
            <w:tcBorders>
              <w:top w:val="nil"/>
              <w:left w:val="dotted" w:sz="4" w:space="0" w:color="auto"/>
              <w:bottom w:val="nil"/>
              <w:right w:val="nil"/>
            </w:tcBorders>
            <w:shd w:val="clear" w:color="auto" w:fill="auto"/>
            <w:noWrap/>
            <w:vAlign w:val="bottom"/>
          </w:tcPr>
          <w:p w14:paraId="2567B757"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7.53</w:t>
            </w:r>
          </w:p>
        </w:tc>
        <w:tc>
          <w:tcPr>
            <w:tcW w:w="707" w:type="dxa"/>
            <w:tcBorders>
              <w:top w:val="nil"/>
              <w:left w:val="nil"/>
              <w:bottom w:val="nil"/>
              <w:right w:val="nil"/>
            </w:tcBorders>
            <w:shd w:val="clear" w:color="auto" w:fill="auto"/>
            <w:noWrap/>
            <w:vAlign w:val="bottom"/>
          </w:tcPr>
          <w:p w14:paraId="16F13816"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4.93</w:t>
            </w:r>
          </w:p>
        </w:tc>
        <w:tc>
          <w:tcPr>
            <w:tcW w:w="959" w:type="dxa"/>
            <w:tcBorders>
              <w:top w:val="nil"/>
              <w:left w:val="nil"/>
              <w:bottom w:val="nil"/>
              <w:right w:val="dotted" w:sz="4" w:space="0" w:color="auto"/>
            </w:tcBorders>
            <w:shd w:val="clear" w:color="auto" w:fill="E7E6E6" w:themeFill="background2"/>
            <w:noWrap/>
            <w:vAlign w:val="bottom"/>
          </w:tcPr>
          <w:p w14:paraId="3F014F4D"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£561.41</w:t>
            </w:r>
          </w:p>
        </w:tc>
        <w:tc>
          <w:tcPr>
            <w:tcW w:w="740" w:type="dxa"/>
            <w:tcBorders>
              <w:top w:val="nil"/>
              <w:left w:val="dotted" w:sz="4" w:space="0" w:color="auto"/>
              <w:bottom w:val="nil"/>
              <w:right w:val="nil"/>
            </w:tcBorders>
            <w:shd w:val="clear" w:color="auto" w:fill="auto"/>
            <w:noWrap/>
            <w:vAlign w:val="bottom"/>
          </w:tcPr>
          <w:p w14:paraId="304C165D"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9.11</w:t>
            </w:r>
          </w:p>
        </w:tc>
        <w:tc>
          <w:tcPr>
            <w:tcW w:w="708" w:type="dxa"/>
            <w:tcBorders>
              <w:top w:val="nil"/>
              <w:left w:val="nil"/>
              <w:bottom w:val="nil"/>
              <w:right w:val="nil"/>
            </w:tcBorders>
            <w:shd w:val="clear" w:color="auto" w:fill="auto"/>
            <w:noWrap/>
            <w:vAlign w:val="bottom"/>
          </w:tcPr>
          <w:p w14:paraId="7202BC02"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5.84</w:t>
            </w:r>
          </w:p>
        </w:tc>
        <w:tc>
          <w:tcPr>
            <w:tcW w:w="998" w:type="dxa"/>
            <w:tcBorders>
              <w:top w:val="nil"/>
              <w:left w:val="nil"/>
              <w:bottom w:val="nil"/>
              <w:right w:val="dotted" w:sz="4" w:space="0" w:color="auto"/>
            </w:tcBorders>
            <w:shd w:val="clear" w:color="auto" w:fill="E7E6E6" w:themeFill="background2"/>
            <w:noWrap/>
            <w:vAlign w:val="bottom"/>
          </w:tcPr>
          <w:p w14:paraId="6DF38AD7"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£677.44</w:t>
            </w:r>
          </w:p>
        </w:tc>
        <w:tc>
          <w:tcPr>
            <w:tcW w:w="707" w:type="dxa"/>
            <w:tcBorders>
              <w:top w:val="nil"/>
              <w:left w:val="dotted" w:sz="4" w:space="0" w:color="auto"/>
              <w:bottom w:val="nil"/>
              <w:right w:val="nil"/>
            </w:tcBorders>
            <w:shd w:val="clear" w:color="auto" w:fill="auto"/>
            <w:noWrap/>
            <w:vAlign w:val="bottom"/>
          </w:tcPr>
          <w:p w14:paraId="33224C86"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11.72</w:t>
            </w:r>
          </w:p>
        </w:tc>
        <w:tc>
          <w:tcPr>
            <w:tcW w:w="708" w:type="dxa"/>
            <w:tcBorders>
              <w:top w:val="nil"/>
              <w:left w:val="nil"/>
              <w:bottom w:val="nil"/>
              <w:right w:val="nil"/>
            </w:tcBorders>
            <w:shd w:val="clear" w:color="auto" w:fill="auto"/>
            <w:noWrap/>
            <w:vAlign w:val="bottom"/>
          </w:tcPr>
          <w:p w14:paraId="45DE723E"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6.99</w:t>
            </w:r>
          </w:p>
        </w:tc>
        <w:tc>
          <w:tcPr>
            <w:tcW w:w="1136" w:type="dxa"/>
            <w:tcBorders>
              <w:top w:val="nil"/>
              <w:left w:val="nil"/>
              <w:bottom w:val="nil"/>
              <w:right w:val="nil"/>
            </w:tcBorders>
            <w:shd w:val="clear" w:color="auto" w:fill="E7E6E6" w:themeFill="background2"/>
            <w:noWrap/>
            <w:vAlign w:val="bottom"/>
          </w:tcPr>
          <w:p w14:paraId="01D18BE5"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£863.35</w:t>
            </w:r>
          </w:p>
        </w:tc>
      </w:tr>
      <w:tr w:rsidR="00A51C1A" w:rsidRPr="00704732" w14:paraId="6D4BFB3E" w14:textId="77777777">
        <w:trPr>
          <w:trHeight w:val="227"/>
        </w:trPr>
        <w:tc>
          <w:tcPr>
            <w:tcW w:w="851" w:type="dxa"/>
            <w:tcBorders>
              <w:top w:val="nil"/>
              <w:left w:val="nil"/>
              <w:bottom w:val="nil"/>
              <w:right w:val="dotted" w:sz="4" w:space="0" w:color="auto"/>
            </w:tcBorders>
            <w:shd w:val="clear" w:color="auto" w:fill="auto"/>
            <w:noWrap/>
            <w:vAlign w:val="bottom"/>
          </w:tcPr>
          <w:p w14:paraId="4AC75681"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2012</w:t>
            </w:r>
          </w:p>
        </w:tc>
        <w:tc>
          <w:tcPr>
            <w:tcW w:w="1134" w:type="dxa"/>
            <w:tcBorders>
              <w:top w:val="nil"/>
              <w:left w:val="dotted" w:sz="4" w:space="0" w:color="auto"/>
              <w:bottom w:val="nil"/>
              <w:right w:val="nil"/>
            </w:tcBorders>
            <w:shd w:val="clear" w:color="auto" w:fill="auto"/>
            <w:noWrap/>
            <w:vAlign w:val="bottom"/>
          </w:tcPr>
          <w:p w14:paraId="5C4E6BBA"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1.16</w:t>
            </w:r>
          </w:p>
        </w:tc>
        <w:tc>
          <w:tcPr>
            <w:tcW w:w="869" w:type="dxa"/>
            <w:tcBorders>
              <w:top w:val="nil"/>
              <w:left w:val="nil"/>
              <w:bottom w:val="nil"/>
              <w:right w:val="nil"/>
            </w:tcBorders>
            <w:shd w:val="clear" w:color="auto" w:fill="auto"/>
            <w:noWrap/>
            <w:vAlign w:val="bottom"/>
          </w:tcPr>
          <w:p w14:paraId="4787A8BE"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£63.00</w:t>
            </w:r>
          </w:p>
        </w:tc>
        <w:tc>
          <w:tcPr>
            <w:tcW w:w="865" w:type="dxa"/>
            <w:tcBorders>
              <w:top w:val="nil"/>
              <w:left w:val="nil"/>
              <w:bottom w:val="nil"/>
              <w:right w:val="dotted" w:sz="4" w:space="0" w:color="auto"/>
            </w:tcBorders>
            <w:shd w:val="clear" w:color="auto" w:fill="auto"/>
            <w:noWrap/>
            <w:vAlign w:val="bottom"/>
          </w:tcPr>
          <w:p w14:paraId="3A6169A0"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£12.83</w:t>
            </w:r>
          </w:p>
        </w:tc>
        <w:tc>
          <w:tcPr>
            <w:tcW w:w="708" w:type="dxa"/>
            <w:tcBorders>
              <w:top w:val="nil"/>
              <w:left w:val="dotted" w:sz="4" w:space="0" w:color="auto"/>
              <w:bottom w:val="nil"/>
              <w:right w:val="nil"/>
            </w:tcBorders>
            <w:shd w:val="clear" w:color="auto" w:fill="auto"/>
            <w:noWrap/>
            <w:vAlign w:val="bottom"/>
          </w:tcPr>
          <w:p w14:paraId="461DE87B"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5.93</w:t>
            </w:r>
          </w:p>
        </w:tc>
        <w:tc>
          <w:tcPr>
            <w:tcW w:w="707" w:type="dxa"/>
            <w:tcBorders>
              <w:top w:val="nil"/>
              <w:left w:val="nil"/>
              <w:bottom w:val="nil"/>
              <w:right w:val="nil"/>
            </w:tcBorders>
            <w:shd w:val="clear" w:color="auto" w:fill="auto"/>
            <w:noWrap/>
            <w:vAlign w:val="bottom"/>
          </w:tcPr>
          <w:p w14:paraId="046C89DC"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4.25</w:t>
            </w:r>
          </w:p>
        </w:tc>
        <w:tc>
          <w:tcPr>
            <w:tcW w:w="979" w:type="dxa"/>
            <w:tcBorders>
              <w:top w:val="nil"/>
              <w:left w:val="nil"/>
              <w:bottom w:val="nil"/>
              <w:right w:val="dotted" w:sz="4" w:space="0" w:color="auto"/>
            </w:tcBorders>
            <w:shd w:val="clear" w:color="auto" w:fill="E7E6E6" w:themeFill="background2"/>
            <w:noWrap/>
            <w:vAlign w:val="bottom"/>
          </w:tcPr>
          <w:p w14:paraId="52F161DC"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£496.33</w:t>
            </w:r>
          </w:p>
        </w:tc>
        <w:tc>
          <w:tcPr>
            <w:tcW w:w="708" w:type="dxa"/>
            <w:tcBorders>
              <w:top w:val="nil"/>
              <w:left w:val="dotted" w:sz="4" w:space="0" w:color="auto"/>
              <w:bottom w:val="nil"/>
              <w:right w:val="nil"/>
            </w:tcBorders>
            <w:shd w:val="clear" w:color="auto" w:fill="auto"/>
            <w:noWrap/>
            <w:vAlign w:val="bottom"/>
          </w:tcPr>
          <w:p w14:paraId="114423D2"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7.72</w:t>
            </w:r>
          </w:p>
        </w:tc>
        <w:tc>
          <w:tcPr>
            <w:tcW w:w="707" w:type="dxa"/>
            <w:tcBorders>
              <w:top w:val="nil"/>
              <w:left w:val="nil"/>
              <w:bottom w:val="nil"/>
              <w:right w:val="nil"/>
            </w:tcBorders>
            <w:shd w:val="clear" w:color="auto" w:fill="auto"/>
            <w:noWrap/>
            <w:vAlign w:val="bottom"/>
          </w:tcPr>
          <w:p w14:paraId="7E1EDC2B"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5.11</w:t>
            </w:r>
          </w:p>
        </w:tc>
        <w:tc>
          <w:tcPr>
            <w:tcW w:w="959" w:type="dxa"/>
            <w:tcBorders>
              <w:top w:val="nil"/>
              <w:left w:val="nil"/>
              <w:bottom w:val="nil"/>
              <w:right w:val="dotted" w:sz="4" w:space="0" w:color="auto"/>
            </w:tcBorders>
            <w:shd w:val="clear" w:color="auto" w:fill="E7E6E6" w:themeFill="background2"/>
            <w:noWrap/>
            <w:vAlign w:val="bottom"/>
          </w:tcPr>
          <w:p w14:paraId="00F15643"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£640.14</w:t>
            </w:r>
          </w:p>
        </w:tc>
        <w:tc>
          <w:tcPr>
            <w:tcW w:w="740" w:type="dxa"/>
            <w:tcBorders>
              <w:top w:val="nil"/>
              <w:left w:val="dotted" w:sz="4" w:space="0" w:color="auto"/>
              <w:bottom w:val="nil"/>
              <w:right w:val="nil"/>
            </w:tcBorders>
            <w:shd w:val="clear" w:color="auto" w:fill="auto"/>
            <w:noWrap/>
            <w:vAlign w:val="bottom"/>
          </w:tcPr>
          <w:p w14:paraId="4586E68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9.47</w:t>
            </w:r>
          </w:p>
        </w:tc>
        <w:tc>
          <w:tcPr>
            <w:tcW w:w="708" w:type="dxa"/>
            <w:tcBorders>
              <w:top w:val="nil"/>
              <w:left w:val="nil"/>
              <w:bottom w:val="nil"/>
              <w:right w:val="nil"/>
            </w:tcBorders>
            <w:shd w:val="clear" w:color="auto" w:fill="auto"/>
            <w:noWrap/>
            <w:vAlign w:val="bottom"/>
          </w:tcPr>
          <w:p w14:paraId="6346F753"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5.89</w:t>
            </w:r>
          </w:p>
        </w:tc>
        <w:tc>
          <w:tcPr>
            <w:tcW w:w="998" w:type="dxa"/>
            <w:tcBorders>
              <w:top w:val="nil"/>
              <w:left w:val="nil"/>
              <w:bottom w:val="nil"/>
              <w:right w:val="dotted" w:sz="4" w:space="0" w:color="auto"/>
            </w:tcBorders>
            <w:shd w:val="clear" w:color="auto" w:fill="E7E6E6" w:themeFill="background2"/>
            <w:noWrap/>
            <w:vAlign w:val="bottom"/>
          </w:tcPr>
          <w:p w14:paraId="348B237D"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£780.08</w:t>
            </w:r>
          </w:p>
        </w:tc>
        <w:tc>
          <w:tcPr>
            <w:tcW w:w="707" w:type="dxa"/>
            <w:tcBorders>
              <w:top w:val="nil"/>
              <w:left w:val="dotted" w:sz="4" w:space="0" w:color="auto"/>
              <w:bottom w:val="nil"/>
              <w:right w:val="nil"/>
            </w:tcBorders>
            <w:shd w:val="clear" w:color="auto" w:fill="auto"/>
            <w:noWrap/>
            <w:vAlign w:val="bottom"/>
          </w:tcPr>
          <w:p w14:paraId="58DD414F"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11.97</w:t>
            </w:r>
          </w:p>
        </w:tc>
        <w:tc>
          <w:tcPr>
            <w:tcW w:w="708" w:type="dxa"/>
            <w:tcBorders>
              <w:top w:val="nil"/>
              <w:left w:val="nil"/>
              <w:bottom w:val="nil"/>
              <w:right w:val="nil"/>
            </w:tcBorders>
            <w:shd w:val="clear" w:color="auto" w:fill="auto"/>
            <w:noWrap/>
            <w:vAlign w:val="bottom"/>
          </w:tcPr>
          <w:p w14:paraId="3B1F57CE"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6.99</w:t>
            </w:r>
          </w:p>
        </w:tc>
        <w:tc>
          <w:tcPr>
            <w:tcW w:w="1136" w:type="dxa"/>
            <w:tcBorders>
              <w:top w:val="nil"/>
              <w:left w:val="nil"/>
              <w:bottom w:val="nil"/>
              <w:right w:val="nil"/>
            </w:tcBorders>
            <w:shd w:val="clear" w:color="auto" w:fill="E7E6E6" w:themeFill="background2"/>
            <w:noWrap/>
            <w:vAlign w:val="bottom"/>
          </w:tcPr>
          <w:p w14:paraId="3C784716"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£979.06</w:t>
            </w:r>
          </w:p>
        </w:tc>
      </w:tr>
      <w:tr w:rsidR="00A51C1A" w:rsidRPr="00704732" w14:paraId="6614058B" w14:textId="77777777">
        <w:trPr>
          <w:trHeight w:val="227"/>
        </w:trPr>
        <w:tc>
          <w:tcPr>
            <w:tcW w:w="851" w:type="dxa"/>
            <w:tcBorders>
              <w:top w:val="nil"/>
              <w:left w:val="nil"/>
              <w:bottom w:val="nil"/>
              <w:right w:val="dotted" w:sz="4" w:space="0" w:color="auto"/>
            </w:tcBorders>
            <w:shd w:val="clear" w:color="auto" w:fill="auto"/>
            <w:noWrap/>
            <w:vAlign w:val="bottom"/>
          </w:tcPr>
          <w:p w14:paraId="16F27B14"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2013</w:t>
            </w:r>
          </w:p>
        </w:tc>
        <w:tc>
          <w:tcPr>
            <w:tcW w:w="1134" w:type="dxa"/>
            <w:tcBorders>
              <w:top w:val="nil"/>
              <w:left w:val="dotted" w:sz="4" w:space="0" w:color="auto"/>
              <w:bottom w:val="nil"/>
              <w:right w:val="nil"/>
            </w:tcBorders>
            <w:shd w:val="clear" w:color="auto" w:fill="auto"/>
            <w:noWrap/>
            <w:vAlign w:val="bottom"/>
          </w:tcPr>
          <w:p w14:paraId="6F6863FD"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1.12</w:t>
            </w:r>
          </w:p>
        </w:tc>
        <w:tc>
          <w:tcPr>
            <w:tcW w:w="869" w:type="dxa"/>
            <w:tcBorders>
              <w:top w:val="nil"/>
              <w:left w:val="nil"/>
              <w:bottom w:val="nil"/>
              <w:right w:val="nil"/>
            </w:tcBorders>
            <w:shd w:val="clear" w:color="auto" w:fill="auto"/>
            <w:noWrap/>
            <w:vAlign w:val="bottom"/>
          </w:tcPr>
          <w:p w14:paraId="12D0C3D2"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£66.00</w:t>
            </w:r>
          </w:p>
        </w:tc>
        <w:tc>
          <w:tcPr>
            <w:tcW w:w="865" w:type="dxa"/>
            <w:tcBorders>
              <w:top w:val="nil"/>
              <w:left w:val="nil"/>
              <w:bottom w:val="nil"/>
              <w:right w:val="dotted" w:sz="4" w:space="0" w:color="auto"/>
            </w:tcBorders>
            <w:shd w:val="clear" w:color="auto" w:fill="auto"/>
            <w:noWrap/>
            <w:vAlign w:val="bottom"/>
          </w:tcPr>
          <w:p w14:paraId="6DF4F9C5"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£13.27</w:t>
            </w:r>
          </w:p>
        </w:tc>
        <w:tc>
          <w:tcPr>
            <w:tcW w:w="708" w:type="dxa"/>
            <w:tcBorders>
              <w:top w:val="nil"/>
              <w:left w:val="dotted" w:sz="4" w:space="0" w:color="auto"/>
              <w:bottom w:val="nil"/>
              <w:right w:val="nil"/>
            </w:tcBorders>
            <w:shd w:val="clear" w:color="auto" w:fill="auto"/>
            <w:noWrap/>
            <w:vAlign w:val="bottom"/>
          </w:tcPr>
          <w:p w14:paraId="6A1EFA64"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5.99</w:t>
            </w:r>
          </w:p>
        </w:tc>
        <w:tc>
          <w:tcPr>
            <w:tcW w:w="707" w:type="dxa"/>
            <w:tcBorders>
              <w:top w:val="nil"/>
              <w:left w:val="nil"/>
              <w:bottom w:val="nil"/>
              <w:right w:val="nil"/>
            </w:tcBorders>
            <w:shd w:val="clear" w:color="auto" w:fill="auto"/>
            <w:noWrap/>
            <w:vAlign w:val="bottom"/>
          </w:tcPr>
          <w:p w14:paraId="4178CA0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4.13</w:t>
            </w:r>
          </w:p>
        </w:tc>
        <w:tc>
          <w:tcPr>
            <w:tcW w:w="979" w:type="dxa"/>
            <w:tcBorders>
              <w:top w:val="nil"/>
              <w:left w:val="nil"/>
              <w:bottom w:val="nil"/>
              <w:right w:val="dotted" w:sz="4" w:space="0" w:color="auto"/>
            </w:tcBorders>
            <w:shd w:val="clear" w:color="auto" w:fill="E7E6E6" w:themeFill="background2"/>
            <w:noWrap/>
            <w:vAlign w:val="bottom"/>
          </w:tcPr>
          <w:p w14:paraId="51EB90D6"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£504.04</w:t>
            </w:r>
          </w:p>
        </w:tc>
        <w:tc>
          <w:tcPr>
            <w:tcW w:w="708" w:type="dxa"/>
            <w:tcBorders>
              <w:top w:val="nil"/>
              <w:left w:val="dotted" w:sz="4" w:space="0" w:color="auto"/>
              <w:bottom w:val="nil"/>
              <w:right w:val="nil"/>
            </w:tcBorders>
            <w:shd w:val="clear" w:color="auto" w:fill="auto"/>
            <w:noWrap/>
            <w:vAlign w:val="bottom"/>
          </w:tcPr>
          <w:p w14:paraId="55204C37"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7.83</w:t>
            </w:r>
          </w:p>
        </w:tc>
        <w:tc>
          <w:tcPr>
            <w:tcW w:w="707" w:type="dxa"/>
            <w:tcBorders>
              <w:top w:val="nil"/>
              <w:left w:val="nil"/>
              <w:bottom w:val="nil"/>
              <w:right w:val="nil"/>
            </w:tcBorders>
            <w:shd w:val="clear" w:color="auto" w:fill="auto"/>
            <w:noWrap/>
            <w:vAlign w:val="bottom"/>
          </w:tcPr>
          <w:p w14:paraId="5318B817"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5.02</w:t>
            </w:r>
          </w:p>
        </w:tc>
        <w:tc>
          <w:tcPr>
            <w:tcW w:w="959" w:type="dxa"/>
            <w:tcBorders>
              <w:top w:val="nil"/>
              <w:left w:val="nil"/>
              <w:bottom w:val="nil"/>
              <w:right w:val="dotted" w:sz="4" w:space="0" w:color="auto"/>
            </w:tcBorders>
            <w:shd w:val="clear" w:color="auto" w:fill="E7E6E6" w:themeFill="background2"/>
            <w:noWrap/>
            <w:vAlign w:val="bottom"/>
          </w:tcPr>
          <w:p w14:paraId="765B2996"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£653.29</w:t>
            </w:r>
          </w:p>
        </w:tc>
        <w:tc>
          <w:tcPr>
            <w:tcW w:w="740" w:type="dxa"/>
            <w:tcBorders>
              <w:top w:val="nil"/>
              <w:left w:val="dotted" w:sz="4" w:space="0" w:color="auto"/>
              <w:bottom w:val="nil"/>
              <w:right w:val="nil"/>
            </w:tcBorders>
            <w:shd w:val="clear" w:color="auto" w:fill="auto"/>
            <w:noWrap/>
            <w:vAlign w:val="bottom"/>
          </w:tcPr>
          <w:p w14:paraId="22575A87"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9.74</w:t>
            </w:r>
          </w:p>
        </w:tc>
        <w:tc>
          <w:tcPr>
            <w:tcW w:w="708" w:type="dxa"/>
            <w:tcBorders>
              <w:top w:val="nil"/>
              <w:left w:val="nil"/>
              <w:bottom w:val="nil"/>
              <w:right w:val="nil"/>
            </w:tcBorders>
            <w:shd w:val="clear" w:color="auto" w:fill="auto"/>
            <w:noWrap/>
            <w:vAlign w:val="bottom"/>
          </w:tcPr>
          <w:p w14:paraId="0C38AA6A"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5.98</w:t>
            </w:r>
          </w:p>
        </w:tc>
        <w:tc>
          <w:tcPr>
            <w:tcW w:w="998" w:type="dxa"/>
            <w:tcBorders>
              <w:top w:val="nil"/>
              <w:left w:val="nil"/>
              <w:bottom w:val="nil"/>
              <w:right w:val="dotted" w:sz="4" w:space="0" w:color="auto"/>
            </w:tcBorders>
            <w:shd w:val="clear" w:color="auto" w:fill="E7E6E6" w:themeFill="background2"/>
            <w:noWrap/>
            <w:vAlign w:val="bottom"/>
          </w:tcPr>
          <w:p w14:paraId="74EE4EEA"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£808.90</w:t>
            </w:r>
          </w:p>
        </w:tc>
        <w:tc>
          <w:tcPr>
            <w:tcW w:w="707" w:type="dxa"/>
            <w:tcBorders>
              <w:top w:val="nil"/>
              <w:left w:val="dotted" w:sz="4" w:space="0" w:color="auto"/>
              <w:bottom w:val="nil"/>
              <w:right w:val="nil"/>
            </w:tcBorders>
            <w:shd w:val="clear" w:color="auto" w:fill="auto"/>
            <w:noWrap/>
            <w:vAlign w:val="bottom"/>
          </w:tcPr>
          <w:p w14:paraId="75565FDD"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12.62</w:t>
            </w:r>
          </w:p>
        </w:tc>
        <w:tc>
          <w:tcPr>
            <w:tcW w:w="708" w:type="dxa"/>
            <w:tcBorders>
              <w:top w:val="nil"/>
              <w:left w:val="nil"/>
              <w:bottom w:val="nil"/>
              <w:right w:val="nil"/>
            </w:tcBorders>
            <w:shd w:val="clear" w:color="auto" w:fill="auto"/>
            <w:noWrap/>
            <w:vAlign w:val="bottom"/>
          </w:tcPr>
          <w:p w14:paraId="0DA8A10B"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7.12</w:t>
            </w:r>
          </w:p>
        </w:tc>
        <w:tc>
          <w:tcPr>
            <w:tcW w:w="1136" w:type="dxa"/>
            <w:tcBorders>
              <w:top w:val="nil"/>
              <w:left w:val="nil"/>
              <w:bottom w:val="nil"/>
              <w:right w:val="nil"/>
            </w:tcBorders>
            <w:shd w:val="clear" w:color="auto" w:fill="E7E6E6" w:themeFill="background2"/>
            <w:noWrap/>
            <w:vAlign w:val="bottom"/>
          </w:tcPr>
          <w:p w14:paraId="1936CAF0"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£1,038.65</w:t>
            </w:r>
          </w:p>
        </w:tc>
      </w:tr>
      <w:tr w:rsidR="00A51C1A" w:rsidRPr="00704732" w14:paraId="2CBC883E" w14:textId="77777777">
        <w:trPr>
          <w:trHeight w:val="227"/>
        </w:trPr>
        <w:tc>
          <w:tcPr>
            <w:tcW w:w="851" w:type="dxa"/>
            <w:tcBorders>
              <w:top w:val="nil"/>
              <w:left w:val="nil"/>
              <w:bottom w:val="nil"/>
              <w:right w:val="dotted" w:sz="4" w:space="0" w:color="auto"/>
            </w:tcBorders>
            <w:shd w:val="clear" w:color="auto" w:fill="auto"/>
            <w:noWrap/>
            <w:vAlign w:val="bottom"/>
          </w:tcPr>
          <w:p w14:paraId="292593B8"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2014</w:t>
            </w:r>
          </w:p>
        </w:tc>
        <w:tc>
          <w:tcPr>
            <w:tcW w:w="1134" w:type="dxa"/>
            <w:tcBorders>
              <w:top w:val="nil"/>
              <w:left w:val="dotted" w:sz="4" w:space="0" w:color="auto"/>
              <w:bottom w:val="nil"/>
              <w:right w:val="nil"/>
            </w:tcBorders>
            <w:shd w:val="clear" w:color="auto" w:fill="auto"/>
            <w:noWrap/>
            <w:vAlign w:val="bottom"/>
          </w:tcPr>
          <w:p w14:paraId="21A0B4BD"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1.09</w:t>
            </w:r>
          </w:p>
        </w:tc>
        <w:tc>
          <w:tcPr>
            <w:tcW w:w="869" w:type="dxa"/>
            <w:tcBorders>
              <w:top w:val="nil"/>
              <w:left w:val="nil"/>
              <w:bottom w:val="nil"/>
              <w:right w:val="nil"/>
            </w:tcBorders>
            <w:shd w:val="clear" w:color="auto" w:fill="auto"/>
            <w:noWrap/>
            <w:vAlign w:val="bottom"/>
          </w:tcPr>
          <w:p w14:paraId="2D4287A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£67.00</w:t>
            </w:r>
          </w:p>
        </w:tc>
        <w:tc>
          <w:tcPr>
            <w:tcW w:w="865" w:type="dxa"/>
            <w:tcBorders>
              <w:top w:val="nil"/>
              <w:left w:val="nil"/>
              <w:bottom w:val="nil"/>
              <w:right w:val="dotted" w:sz="4" w:space="0" w:color="auto"/>
            </w:tcBorders>
            <w:shd w:val="clear" w:color="auto" w:fill="auto"/>
            <w:noWrap/>
            <w:vAlign w:val="bottom"/>
          </w:tcPr>
          <w:p w14:paraId="6C5B1F6E"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£13.72</w:t>
            </w:r>
          </w:p>
        </w:tc>
        <w:tc>
          <w:tcPr>
            <w:tcW w:w="708" w:type="dxa"/>
            <w:tcBorders>
              <w:top w:val="nil"/>
              <w:left w:val="dotted" w:sz="4" w:space="0" w:color="auto"/>
              <w:bottom w:val="nil"/>
              <w:right w:val="nil"/>
            </w:tcBorders>
            <w:shd w:val="clear" w:color="auto" w:fill="auto"/>
            <w:noWrap/>
            <w:vAlign w:val="bottom"/>
          </w:tcPr>
          <w:p w14:paraId="7ED1B246"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5.82</w:t>
            </w:r>
          </w:p>
        </w:tc>
        <w:tc>
          <w:tcPr>
            <w:tcW w:w="707" w:type="dxa"/>
            <w:tcBorders>
              <w:top w:val="nil"/>
              <w:left w:val="nil"/>
              <w:bottom w:val="nil"/>
              <w:right w:val="nil"/>
            </w:tcBorders>
            <w:shd w:val="clear" w:color="auto" w:fill="auto"/>
            <w:noWrap/>
            <w:vAlign w:val="bottom"/>
          </w:tcPr>
          <w:p w14:paraId="4DB11640"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3.85</w:t>
            </w:r>
          </w:p>
        </w:tc>
        <w:tc>
          <w:tcPr>
            <w:tcW w:w="979" w:type="dxa"/>
            <w:tcBorders>
              <w:top w:val="nil"/>
              <w:left w:val="nil"/>
              <w:bottom w:val="nil"/>
              <w:right w:val="dotted" w:sz="4" w:space="0" w:color="auto"/>
            </w:tcBorders>
            <w:shd w:val="clear" w:color="auto" w:fill="E7E6E6" w:themeFill="background2"/>
            <w:noWrap/>
            <w:vAlign w:val="bottom"/>
          </w:tcPr>
          <w:p w14:paraId="1DAF619B"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£482.50</w:t>
            </w:r>
          </w:p>
        </w:tc>
        <w:tc>
          <w:tcPr>
            <w:tcW w:w="708" w:type="dxa"/>
            <w:tcBorders>
              <w:top w:val="nil"/>
              <w:left w:val="dotted" w:sz="4" w:space="0" w:color="auto"/>
              <w:bottom w:val="nil"/>
              <w:right w:val="nil"/>
            </w:tcBorders>
            <w:shd w:val="clear" w:color="auto" w:fill="auto"/>
            <w:noWrap/>
            <w:vAlign w:val="bottom"/>
          </w:tcPr>
          <w:p w14:paraId="6C402E4E"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7.77</w:t>
            </w:r>
          </w:p>
        </w:tc>
        <w:tc>
          <w:tcPr>
            <w:tcW w:w="707" w:type="dxa"/>
            <w:tcBorders>
              <w:top w:val="nil"/>
              <w:left w:val="nil"/>
              <w:bottom w:val="nil"/>
              <w:right w:val="nil"/>
            </w:tcBorders>
            <w:shd w:val="clear" w:color="auto" w:fill="auto"/>
            <w:noWrap/>
            <w:vAlign w:val="bottom"/>
          </w:tcPr>
          <w:p w14:paraId="753D4C9C"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4.75</w:t>
            </w:r>
          </w:p>
        </w:tc>
        <w:tc>
          <w:tcPr>
            <w:tcW w:w="959" w:type="dxa"/>
            <w:tcBorders>
              <w:top w:val="nil"/>
              <w:left w:val="nil"/>
              <w:bottom w:val="nil"/>
              <w:right w:val="dotted" w:sz="4" w:space="0" w:color="auto"/>
            </w:tcBorders>
            <w:shd w:val="clear" w:color="auto" w:fill="E7E6E6" w:themeFill="background2"/>
            <w:noWrap/>
            <w:vAlign w:val="bottom"/>
          </w:tcPr>
          <w:p w14:paraId="4BB0FAA0"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£638.39</w:t>
            </w:r>
          </w:p>
        </w:tc>
        <w:tc>
          <w:tcPr>
            <w:tcW w:w="740" w:type="dxa"/>
            <w:tcBorders>
              <w:top w:val="nil"/>
              <w:left w:val="dotted" w:sz="4" w:space="0" w:color="auto"/>
              <w:bottom w:val="nil"/>
              <w:right w:val="nil"/>
            </w:tcBorders>
            <w:shd w:val="clear" w:color="auto" w:fill="auto"/>
            <w:noWrap/>
            <w:vAlign w:val="bottom"/>
          </w:tcPr>
          <w:p w14:paraId="5F8BB300"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9.50</w:t>
            </w:r>
          </w:p>
        </w:tc>
        <w:tc>
          <w:tcPr>
            <w:tcW w:w="708" w:type="dxa"/>
            <w:tcBorders>
              <w:top w:val="nil"/>
              <w:left w:val="nil"/>
              <w:bottom w:val="nil"/>
              <w:right w:val="nil"/>
            </w:tcBorders>
            <w:shd w:val="clear" w:color="auto" w:fill="auto"/>
            <w:noWrap/>
            <w:vAlign w:val="bottom"/>
          </w:tcPr>
          <w:p w14:paraId="0D5EEFE7"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5.59</w:t>
            </w:r>
          </w:p>
        </w:tc>
        <w:tc>
          <w:tcPr>
            <w:tcW w:w="998" w:type="dxa"/>
            <w:tcBorders>
              <w:top w:val="nil"/>
              <w:left w:val="nil"/>
              <w:bottom w:val="nil"/>
              <w:right w:val="dotted" w:sz="4" w:space="0" w:color="auto"/>
            </w:tcBorders>
            <w:shd w:val="clear" w:color="auto" w:fill="E7E6E6" w:themeFill="background2"/>
            <w:noWrap/>
            <w:vAlign w:val="bottom"/>
          </w:tcPr>
          <w:p w14:paraId="0E262FC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£777.53</w:t>
            </w:r>
          </w:p>
        </w:tc>
        <w:tc>
          <w:tcPr>
            <w:tcW w:w="707" w:type="dxa"/>
            <w:tcBorders>
              <w:top w:val="nil"/>
              <w:left w:val="dotted" w:sz="4" w:space="0" w:color="auto"/>
              <w:bottom w:val="nil"/>
              <w:right w:val="nil"/>
            </w:tcBorders>
            <w:shd w:val="clear" w:color="auto" w:fill="auto"/>
            <w:noWrap/>
            <w:vAlign w:val="bottom"/>
          </w:tcPr>
          <w:p w14:paraId="6A03F4B4"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12.72</w:t>
            </w:r>
          </w:p>
        </w:tc>
        <w:tc>
          <w:tcPr>
            <w:tcW w:w="708" w:type="dxa"/>
            <w:tcBorders>
              <w:top w:val="nil"/>
              <w:left w:val="nil"/>
              <w:bottom w:val="nil"/>
              <w:right w:val="nil"/>
            </w:tcBorders>
            <w:shd w:val="clear" w:color="auto" w:fill="auto"/>
            <w:noWrap/>
            <w:vAlign w:val="bottom"/>
          </w:tcPr>
          <w:p w14:paraId="34CF908E"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6.54</w:t>
            </w:r>
          </w:p>
        </w:tc>
        <w:tc>
          <w:tcPr>
            <w:tcW w:w="1136" w:type="dxa"/>
            <w:tcBorders>
              <w:top w:val="nil"/>
              <w:left w:val="nil"/>
              <w:bottom w:val="nil"/>
              <w:right w:val="nil"/>
            </w:tcBorders>
            <w:shd w:val="clear" w:color="auto" w:fill="E7E6E6" w:themeFill="background2"/>
            <w:noWrap/>
            <w:vAlign w:val="bottom"/>
          </w:tcPr>
          <w:p w14:paraId="19E97865"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£1,026.38</w:t>
            </w:r>
          </w:p>
        </w:tc>
      </w:tr>
      <w:tr w:rsidR="00A51C1A" w:rsidRPr="00704732" w14:paraId="4C3049F4" w14:textId="77777777">
        <w:trPr>
          <w:trHeight w:val="227"/>
        </w:trPr>
        <w:tc>
          <w:tcPr>
            <w:tcW w:w="851" w:type="dxa"/>
            <w:tcBorders>
              <w:top w:val="nil"/>
              <w:left w:val="nil"/>
              <w:bottom w:val="nil"/>
              <w:right w:val="dotted" w:sz="4" w:space="0" w:color="auto"/>
            </w:tcBorders>
            <w:shd w:val="clear" w:color="auto" w:fill="auto"/>
            <w:noWrap/>
            <w:vAlign w:val="bottom"/>
          </w:tcPr>
          <w:p w14:paraId="57C38C4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2015</w:t>
            </w:r>
          </w:p>
        </w:tc>
        <w:tc>
          <w:tcPr>
            <w:tcW w:w="1134" w:type="dxa"/>
            <w:tcBorders>
              <w:top w:val="nil"/>
              <w:left w:val="dotted" w:sz="4" w:space="0" w:color="auto"/>
              <w:bottom w:val="nil"/>
              <w:right w:val="nil"/>
            </w:tcBorders>
            <w:shd w:val="clear" w:color="auto" w:fill="auto"/>
            <w:noWrap/>
            <w:vAlign w:val="bottom"/>
          </w:tcPr>
          <w:p w14:paraId="03E9BD97"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1.07</w:t>
            </w:r>
          </w:p>
        </w:tc>
        <w:tc>
          <w:tcPr>
            <w:tcW w:w="869" w:type="dxa"/>
            <w:tcBorders>
              <w:top w:val="nil"/>
              <w:left w:val="nil"/>
              <w:bottom w:val="nil"/>
              <w:right w:val="nil"/>
            </w:tcBorders>
            <w:shd w:val="clear" w:color="auto" w:fill="auto"/>
            <w:noWrap/>
            <w:vAlign w:val="bottom"/>
          </w:tcPr>
          <w:p w14:paraId="391B0101"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£65.00</w:t>
            </w:r>
          </w:p>
        </w:tc>
        <w:tc>
          <w:tcPr>
            <w:tcW w:w="865" w:type="dxa"/>
            <w:tcBorders>
              <w:top w:val="nil"/>
              <w:left w:val="nil"/>
              <w:bottom w:val="nil"/>
              <w:right w:val="dotted" w:sz="4" w:space="0" w:color="auto"/>
            </w:tcBorders>
            <w:shd w:val="clear" w:color="auto" w:fill="auto"/>
            <w:noWrap/>
            <w:vAlign w:val="bottom"/>
          </w:tcPr>
          <w:p w14:paraId="5C025136"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£14.18</w:t>
            </w:r>
          </w:p>
        </w:tc>
        <w:tc>
          <w:tcPr>
            <w:tcW w:w="708" w:type="dxa"/>
            <w:tcBorders>
              <w:top w:val="nil"/>
              <w:left w:val="dotted" w:sz="4" w:space="0" w:color="auto"/>
              <w:bottom w:val="nil"/>
              <w:right w:val="nil"/>
            </w:tcBorders>
            <w:shd w:val="clear" w:color="auto" w:fill="auto"/>
            <w:noWrap/>
            <w:vAlign w:val="bottom"/>
          </w:tcPr>
          <w:p w14:paraId="5FF27A41"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5.64</w:t>
            </w:r>
          </w:p>
        </w:tc>
        <w:tc>
          <w:tcPr>
            <w:tcW w:w="707" w:type="dxa"/>
            <w:tcBorders>
              <w:top w:val="nil"/>
              <w:left w:val="nil"/>
              <w:bottom w:val="nil"/>
              <w:right w:val="nil"/>
            </w:tcBorders>
            <w:shd w:val="clear" w:color="auto" w:fill="auto"/>
            <w:noWrap/>
            <w:vAlign w:val="bottom"/>
          </w:tcPr>
          <w:p w14:paraId="7448F031"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3.96</w:t>
            </w:r>
          </w:p>
        </w:tc>
        <w:tc>
          <w:tcPr>
            <w:tcW w:w="979" w:type="dxa"/>
            <w:tcBorders>
              <w:top w:val="nil"/>
              <w:left w:val="nil"/>
              <w:bottom w:val="nil"/>
              <w:right w:val="dotted" w:sz="4" w:space="0" w:color="auto"/>
            </w:tcBorders>
            <w:shd w:val="clear" w:color="auto" w:fill="E7E6E6" w:themeFill="background2"/>
            <w:noWrap/>
            <w:vAlign w:val="bottom"/>
          </w:tcPr>
          <w:p w14:paraId="2D338D2D"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£452.10</w:t>
            </w:r>
          </w:p>
        </w:tc>
        <w:tc>
          <w:tcPr>
            <w:tcW w:w="708" w:type="dxa"/>
            <w:tcBorders>
              <w:top w:val="nil"/>
              <w:left w:val="dotted" w:sz="4" w:space="0" w:color="auto"/>
              <w:bottom w:val="nil"/>
              <w:right w:val="nil"/>
            </w:tcBorders>
            <w:shd w:val="clear" w:color="auto" w:fill="auto"/>
            <w:noWrap/>
            <w:vAlign w:val="bottom"/>
          </w:tcPr>
          <w:p w14:paraId="2DBBB71D"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7.32</w:t>
            </w:r>
          </w:p>
        </w:tc>
        <w:tc>
          <w:tcPr>
            <w:tcW w:w="707" w:type="dxa"/>
            <w:tcBorders>
              <w:top w:val="nil"/>
              <w:left w:val="nil"/>
              <w:bottom w:val="nil"/>
              <w:right w:val="nil"/>
            </w:tcBorders>
            <w:shd w:val="clear" w:color="auto" w:fill="auto"/>
            <w:noWrap/>
            <w:vAlign w:val="bottom"/>
          </w:tcPr>
          <w:p w14:paraId="156C9D1E"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4.77</w:t>
            </w:r>
          </w:p>
        </w:tc>
        <w:tc>
          <w:tcPr>
            <w:tcW w:w="959" w:type="dxa"/>
            <w:tcBorders>
              <w:top w:val="nil"/>
              <w:left w:val="nil"/>
              <w:bottom w:val="nil"/>
              <w:right w:val="dotted" w:sz="4" w:space="0" w:color="auto"/>
            </w:tcBorders>
            <w:shd w:val="clear" w:color="auto" w:fill="E7E6E6" w:themeFill="background2"/>
            <w:noWrap/>
            <w:vAlign w:val="bottom"/>
          </w:tcPr>
          <w:p w14:paraId="02D4499D"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£581.61</w:t>
            </w:r>
          </w:p>
        </w:tc>
        <w:tc>
          <w:tcPr>
            <w:tcW w:w="740" w:type="dxa"/>
            <w:tcBorders>
              <w:top w:val="nil"/>
              <w:left w:val="dotted" w:sz="4" w:space="0" w:color="auto"/>
              <w:bottom w:val="nil"/>
              <w:right w:val="nil"/>
            </w:tcBorders>
            <w:shd w:val="clear" w:color="auto" w:fill="auto"/>
            <w:noWrap/>
            <w:vAlign w:val="bottom"/>
          </w:tcPr>
          <w:p w14:paraId="2518CAFA"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9.13</w:t>
            </w:r>
          </w:p>
        </w:tc>
        <w:tc>
          <w:tcPr>
            <w:tcW w:w="708" w:type="dxa"/>
            <w:tcBorders>
              <w:top w:val="nil"/>
              <w:left w:val="nil"/>
              <w:bottom w:val="nil"/>
              <w:right w:val="nil"/>
            </w:tcBorders>
            <w:shd w:val="clear" w:color="auto" w:fill="auto"/>
            <w:noWrap/>
            <w:vAlign w:val="bottom"/>
          </w:tcPr>
          <w:p w14:paraId="432FA27A"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5.64</w:t>
            </w:r>
          </w:p>
        </w:tc>
        <w:tc>
          <w:tcPr>
            <w:tcW w:w="998" w:type="dxa"/>
            <w:tcBorders>
              <w:top w:val="nil"/>
              <w:left w:val="nil"/>
              <w:bottom w:val="nil"/>
              <w:right w:val="dotted" w:sz="4" w:space="0" w:color="auto"/>
            </w:tcBorders>
            <w:shd w:val="clear" w:color="auto" w:fill="E7E6E6" w:themeFill="background2"/>
            <w:noWrap/>
            <w:vAlign w:val="bottom"/>
          </w:tcPr>
          <w:p w14:paraId="15790202"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£720.40</w:t>
            </w:r>
          </w:p>
        </w:tc>
        <w:tc>
          <w:tcPr>
            <w:tcW w:w="707" w:type="dxa"/>
            <w:tcBorders>
              <w:top w:val="nil"/>
              <w:left w:val="dotted" w:sz="4" w:space="0" w:color="auto"/>
              <w:bottom w:val="nil"/>
              <w:right w:val="nil"/>
            </w:tcBorders>
            <w:shd w:val="clear" w:color="auto" w:fill="auto"/>
            <w:noWrap/>
            <w:vAlign w:val="bottom"/>
          </w:tcPr>
          <w:p w14:paraId="5E4EB87A"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11.81</w:t>
            </w:r>
          </w:p>
        </w:tc>
        <w:tc>
          <w:tcPr>
            <w:tcW w:w="708" w:type="dxa"/>
            <w:tcBorders>
              <w:top w:val="nil"/>
              <w:left w:val="nil"/>
              <w:bottom w:val="nil"/>
              <w:right w:val="nil"/>
            </w:tcBorders>
            <w:shd w:val="clear" w:color="auto" w:fill="auto"/>
            <w:noWrap/>
            <w:vAlign w:val="bottom"/>
          </w:tcPr>
          <w:p w14:paraId="0D08118A"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6.54</w:t>
            </w:r>
          </w:p>
        </w:tc>
        <w:tc>
          <w:tcPr>
            <w:tcW w:w="1136" w:type="dxa"/>
            <w:tcBorders>
              <w:top w:val="nil"/>
              <w:left w:val="nil"/>
              <w:bottom w:val="nil"/>
              <w:right w:val="nil"/>
            </w:tcBorders>
            <w:shd w:val="clear" w:color="auto" w:fill="E7E6E6" w:themeFill="background2"/>
            <w:noWrap/>
            <w:vAlign w:val="bottom"/>
          </w:tcPr>
          <w:p w14:paraId="0995A038"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£920.60</w:t>
            </w:r>
          </w:p>
        </w:tc>
      </w:tr>
      <w:tr w:rsidR="00A51C1A" w:rsidRPr="00704732" w14:paraId="64760722" w14:textId="77777777">
        <w:trPr>
          <w:trHeight w:val="227"/>
        </w:trPr>
        <w:tc>
          <w:tcPr>
            <w:tcW w:w="851" w:type="dxa"/>
            <w:tcBorders>
              <w:top w:val="nil"/>
              <w:left w:val="nil"/>
              <w:bottom w:val="nil"/>
              <w:right w:val="dotted" w:sz="4" w:space="0" w:color="auto"/>
            </w:tcBorders>
            <w:shd w:val="clear" w:color="auto" w:fill="auto"/>
            <w:noWrap/>
            <w:vAlign w:val="bottom"/>
          </w:tcPr>
          <w:p w14:paraId="7391E5A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2016</w:t>
            </w:r>
          </w:p>
        </w:tc>
        <w:tc>
          <w:tcPr>
            <w:tcW w:w="1134" w:type="dxa"/>
            <w:tcBorders>
              <w:top w:val="nil"/>
              <w:left w:val="dotted" w:sz="4" w:space="0" w:color="auto"/>
              <w:bottom w:val="nil"/>
              <w:right w:val="nil"/>
            </w:tcBorders>
            <w:shd w:val="clear" w:color="auto" w:fill="auto"/>
            <w:noWrap/>
            <w:vAlign w:val="bottom"/>
          </w:tcPr>
          <w:p w14:paraId="3F24844C"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1.05</w:t>
            </w:r>
          </w:p>
        </w:tc>
        <w:tc>
          <w:tcPr>
            <w:tcW w:w="869" w:type="dxa"/>
            <w:tcBorders>
              <w:top w:val="nil"/>
              <w:left w:val="nil"/>
              <w:bottom w:val="nil"/>
              <w:right w:val="nil"/>
            </w:tcBorders>
            <w:shd w:val="clear" w:color="auto" w:fill="auto"/>
            <w:noWrap/>
            <w:vAlign w:val="bottom"/>
          </w:tcPr>
          <w:p w14:paraId="76F433D8"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£36.00</w:t>
            </w:r>
          </w:p>
        </w:tc>
        <w:tc>
          <w:tcPr>
            <w:tcW w:w="865" w:type="dxa"/>
            <w:tcBorders>
              <w:top w:val="nil"/>
              <w:left w:val="nil"/>
              <w:bottom w:val="nil"/>
              <w:right w:val="dotted" w:sz="4" w:space="0" w:color="auto"/>
            </w:tcBorders>
            <w:shd w:val="clear" w:color="auto" w:fill="auto"/>
            <w:noWrap/>
            <w:vAlign w:val="bottom"/>
          </w:tcPr>
          <w:p w14:paraId="1175D650"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£14.67</w:t>
            </w:r>
          </w:p>
        </w:tc>
        <w:tc>
          <w:tcPr>
            <w:tcW w:w="708" w:type="dxa"/>
            <w:tcBorders>
              <w:top w:val="nil"/>
              <w:left w:val="dotted" w:sz="4" w:space="0" w:color="auto"/>
              <w:bottom w:val="nil"/>
              <w:right w:val="nil"/>
            </w:tcBorders>
            <w:shd w:val="clear" w:color="auto" w:fill="auto"/>
            <w:noWrap/>
            <w:vAlign w:val="bottom"/>
          </w:tcPr>
          <w:p w14:paraId="70AB83D1"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5.59</w:t>
            </w:r>
          </w:p>
        </w:tc>
        <w:tc>
          <w:tcPr>
            <w:tcW w:w="707" w:type="dxa"/>
            <w:tcBorders>
              <w:top w:val="nil"/>
              <w:left w:val="nil"/>
              <w:bottom w:val="nil"/>
              <w:right w:val="nil"/>
            </w:tcBorders>
            <w:shd w:val="clear" w:color="auto" w:fill="auto"/>
            <w:noWrap/>
            <w:vAlign w:val="bottom"/>
          </w:tcPr>
          <w:p w14:paraId="7EECD113"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3.60</w:t>
            </w:r>
          </w:p>
        </w:tc>
        <w:tc>
          <w:tcPr>
            <w:tcW w:w="979" w:type="dxa"/>
            <w:tcBorders>
              <w:top w:val="nil"/>
              <w:left w:val="nil"/>
              <w:bottom w:val="nil"/>
              <w:right w:val="dotted" w:sz="4" w:space="0" w:color="auto"/>
            </w:tcBorders>
            <w:shd w:val="clear" w:color="auto" w:fill="E7E6E6" w:themeFill="background2"/>
            <w:noWrap/>
            <w:vAlign w:val="bottom"/>
          </w:tcPr>
          <w:p w14:paraId="5E1DB252"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£266.83</w:t>
            </w:r>
          </w:p>
        </w:tc>
        <w:tc>
          <w:tcPr>
            <w:tcW w:w="708" w:type="dxa"/>
            <w:tcBorders>
              <w:top w:val="nil"/>
              <w:left w:val="dotted" w:sz="4" w:space="0" w:color="auto"/>
              <w:bottom w:val="nil"/>
              <w:right w:val="nil"/>
            </w:tcBorders>
            <w:shd w:val="clear" w:color="auto" w:fill="auto"/>
            <w:noWrap/>
            <w:vAlign w:val="bottom"/>
          </w:tcPr>
          <w:p w14:paraId="344EEDB3"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7.32</w:t>
            </w:r>
          </w:p>
        </w:tc>
        <w:tc>
          <w:tcPr>
            <w:tcW w:w="707" w:type="dxa"/>
            <w:tcBorders>
              <w:top w:val="nil"/>
              <w:left w:val="nil"/>
              <w:bottom w:val="nil"/>
              <w:right w:val="nil"/>
            </w:tcBorders>
            <w:shd w:val="clear" w:color="auto" w:fill="auto"/>
            <w:noWrap/>
            <w:vAlign w:val="bottom"/>
          </w:tcPr>
          <w:p w14:paraId="5301B3CF"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4.24</w:t>
            </w:r>
          </w:p>
        </w:tc>
        <w:tc>
          <w:tcPr>
            <w:tcW w:w="959" w:type="dxa"/>
            <w:tcBorders>
              <w:top w:val="nil"/>
              <w:left w:val="nil"/>
              <w:bottom w:val="nil"/>
              <w:right w:val="dotted" w:sz="4" w:space="0" w:color="auto"/>
            </w:tcBorders>
            <w:shd w:val="clear" w:color="auto" w:fill="E7E6E6" w:themeFill="background2"/>
            <w:noWrap/>
            <w:vAlign w:val="bottom"/>
          </w:tcPr>
          <w:p w14:paraId="035BE67E"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£342.07</w:t>
            </w:r>
          </w:p>
        </w:tc>
        <w:tc>
          <w:tcPr>
            <w:tcW w:w="740" w:type="dxa"/>
            <w:tcBorders>
              <w:top w:val="nil"/>
              <w:left w:val="dotted" w:sz="4" w:space="0" w:color="auto"/>
              <w:bottom w:val="nil"/>
              <w:right w:val="nil"/>
            </w:tcBorders>
            <w:shd w:val="clear" w:color="auto" w:fill="auto"/>
            <w:noWrap/>
            <w:vAlign w:val="bottom"/>
          </w:tcPr>
          <w:p w14:paraId="77A61E87"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9.11</w:t>
            </w:r>
          </w:p>
        </w:tc>
        <w:tc>
          <w:tcPr>
            <w:tcW w:w="708" w:type="dxa"/>
            <w:tcBorders>
              <w:top w:val="nil"/>
              <w:left w:val="nil"/>
              <w:bottom w:val="nil"/>
              <w:right w:val="nil"/>
            </w:tcBorders>
            <w:shd w:val="clear" w:color="auto" w:fill="auto"/>
            <w:noWrap/>
            <w:vAlign w:val="bottom"/>
          </w:tcPr>
          <w:p w14:paraId="3AEE0812"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4.97</w:t>
            </w:r>
          </w:p>
        </w:tc>
        <w:tc>
          <w:tcPr>
            <w:tcW w:w="998" w:type="dxa"/>
            <w:tcBorders>
              <w:top w:val="nil"/>
              <w:left w:val="nil"/>
              <w:bottom w:val="nil"/>
              <w:right w:val="dotted" w:sz="4" w:space="0" w:color="auto"/>
            </w:tcBorders>
            <w:shd w:val="clear" w:color="auto" w:fill="E7E6E6" w:themeFill="background2"/>
            <w:noWrap/>
            <w:vAlign w:val="bottom"/>
          </w:tcPr>
          <w:p w14:paraId="58B86B16"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£421.04</w:t>
            </w:r>
          </w:p>
        </w:tc>
        <w:tc>
          <w:tcPr>
            <w:tcW w:w="707" w:type="dxa"/>
            <w:tcBorders>
              <w:top w:val="nil"/>
              <w:left w:val="dotted" w:sz="4" w:space="0" w:color="auto"/>
              <w:bottom w:val="nil"/>
              <w:right w:val="nil"/>
            </w:tcBorders>
            <w:shd w:val="clear" w:color="auto" w:fill="auto"/>
            <w:noWrap/>
            <w:vAlign w:val="bottom"/>
          </w:tcPr>
          <w:p w14:paraId="35F10EF3"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12.09</w:t>
            </w:r>
          </w:p>
        </w:tc>
        <w:tc>
          <w:tcPr>
            <w:tcW w:w="708" w:type="dxa"/>
            <w:tcBorders>
              <w:top w:val="nil"/>
              <w:left w:val="nil"/>
              <w:bottom w:val="nil"/>
              <w:right w:val="nil"/>
            </w:tcBorders>
            <w:shd w:val="clear" w:color="auto" w:fill="auto"/>
            <w:noWrap/>
            <w:vAlign w:val="bottom"/>
          </w:tcPr>
          <w:p w14:paraId="7BD73F97"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5.73</w:t>
            </w:r>
          </w:p>
        </w:tc>
        <w:tc>
          <w:tcPr>
            <w:tcW w:w="1136" w:type="dxa"/>
            <w:tcBorders>
              <w:top w:val="nil"/>
              <w:left w:val="nil"/>
              <w:bottom w:val="nil"/>
              <w:right w:val="nil"/>
            </w:tcBorders>
            <w:shd w:val="clear" w:color="auto" w:fill="E7E6E6" w:themeFill="background2"/>
            <w:noWrap/>
            <w:vAlign w:val="bottom"/>
          </w:tcPr>
          <w:p w14:paraId="0BAF705B"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£545.13</w:t>
            </w:r>
          </w:p>
        </w:tc>
      </w:tr>
      <w:tr w:rsidR="00A51C1A" w:rsidRPr="00704732" w14:paraId="241CAE4A" w14:textId="77777777">
        <w:trPr>
          <w:trHeight w:val="227"/>
        </w:trPr>
        <w:tc>
          <w:tcPr>
            <w:tcW w:w="851" w:type="dxa"/>
            <w:tcBorders>
              <w:top w:val="nil"/>
              <w:left w:val="nil"/>
              <w:bottom w:val="nil"/>
              <w:right w:val="dotted" w:sz="4" w:space="0" w:color="auto"/>
            </w:tcBorders>
            <w:shd w:val="clear" w:color="auto" w:fill="auto"/>
            <w:noWrap/>
            <w:vAlign w:val="bottom"/>
          </w:tcPr>
          <w:p w14:paraId="1EFC8669"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2017</w:t>
            </w:r>
          </w:p>
        </w:tc>
        <w:tc>
          <w:tcPr>
            <w:tcW w:w="1134" w:type="dxa"/>
            <w:tcBorders>
              <w:top w:val="nil"/>
              <w:left w:val="dotted" w:sz="4" w:space="0" w:color="auto"/>
              <w:bottom w:val="nil"/>
              <w:right w:val="nil"/>
            </w:tcBorders>
            <w:shd w:val="clear" w:color="auto" w:fill="auto"/>
            <w:noWrap/>
            <w:vAlign w:val="bottom"/>
          </w:tcPr>
          <w:p w14:paraId="58BD2290"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1.04</w:t>
            </w:r>
          </w:p>
        </w:tc>
        <w:tc>
          <w:tcPr>
            <w:tcW w:w="869" w:type="dxa"/>
            <w:tcBorders>
              <w:top w:val="nil"/>
              <w:left w:val="nil"/>
              <w:bottom w:val="nil"/>
              <w:right w:val="nil"/>
            </w:tcBorders>
            <w:shd w:val="clear" w:color="auto" w:fill="auto"/>
            <w:noWrap/>
            <w:vAlign w:val="bottom"/>
          </w:tcPr>
          <w:p w14:paraId="6AE3E5E5"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£38.00</w:t>
            </w:r>
          </w:p>
        </w:tc>
        <w:tc>
          <w:tcPr>
            <w:tcW w:w="865" w:type="dxa"/>
            <w:tcBorders>
              <w:top w:val="nil"/>
              <w:left w:val="nil"/>
              <w:bottom w:val="nil"/>
              <w:right w:val="dotted" w:sz="4" w:space="0" w:color="auto"/>
            </w:tcBorders>
            <w:shd w:val="clear" w:color="auto" w:fill="auto"/>
            <w:noWrap/>
            <w:vAlign w:val="bottom"/>
          </w:tcPr>
          <w:p w14:paraId="43F77E7F"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£15.16</w:t>
            </w:r>
          </w:p>
        </w:tc>
        <w:tc>
          <w:tcPr>
            <w:tcW w:w="708" w:type="dxa"/>
            <w:tcBorders>
              <w:top w:val="nil"/>
              <w:left w:val="dotted" w:sz="4" w:space="0" w:color="auto"/>
              <w:bottom w:val="nil"/>
              <w:right w:val="nil"/>
            </w:tcBorders>
            <w:shd w:val="clear" w:color="auto" w:fill="auto"/>
            <w:noWrap/>
            <w:vAlign w:val="bottom"/>
          </w:tcPr>
          <w:p w14:paraId="08BCB52B"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5.84</w:t>
            </w:r>
          </w:p>
        </w:tc>
        <w:tc>
          <w:tcPr>
            <w:tcW w:w="707" w:type="dxa"/>
            <w:tcBorders>
              <w:top w:val="nil"/>
              <w:left w:val="nil"/>
              <w:bottom w:val="nil"/>
              <w:right w:val="nil"/>
            </w:tcBorders>
            <w:shd w:val="clear" w:color="auto" w:fill="auto"/>
            <w:noWrap/>
            <w:vAlign w:val="bottom"/>
          </w:tcPr>
          <w:p w14:paraId="4A7EDCBB"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3.31</w:t>
            </w:r>
          </w:p>
        </w:tc>
        <w:tc>
          <w:tcPr>
            <w:tcW w:w="979" w:type="dxa"/>
            <w:tcBorders>
              <w:top w:val="nil"/>
              <w:left w:val="nil"/>
              <w:bottom w:val="nil"/>
              <w:right w:val="dotted" w:sz="4" w:space="0" w:color="auto"/>
            </w:tcBorders>
            <w:shd w:val="clear" w:color="auto" w:fill="E7E6E6" w:themeFill="background2"/>
            <w:noWrap/>
            <w:vAlign w:val="bottom"/>
          </w:tcPr>
          <w:p w14:paraId="7FE6CEEB"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£283.14</w:t>
            </w:r>
          </w:p>
        </w:tc>
        <w:tc>
          <w:tcPr>
            <w:tcW w:w="708" w:type="dxa"/>
            <w:tcBorders>
              <w:top w:val="nil"/>
              <w:left w:val="dotted" w:sz="4" w:space="0" w:color="auto"/>
              <w:bottom w:val="nil"/>
              <w:right w:val="nil"/>
            </w:tcBorders>
            <w:shd w:val="clear" w:color="auto" w:fill="auto"/>
            <w:noWrap/>
            <w:vAlign w:val="bottom"/>
          </w:tcPr>
          <w:p w14:paraId="549CF72B"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7.53</w:t>
            </w:r>
          </w:p>
        </w:tc>
        <w:tc>
          <w:tcPr>
            <w:tcW w:w="707" w:type="dxa"/>
            <w:tcBorders>
              <w:top w:val="nil"/>
              <w:left w:val="nil"/>
              <w:bottom w:val="nil"/>
              <w:right w:val="nil"/>
            </w:tcBorders>
            <w:shd w:val="clear" w:color="auto" w:fill="auto"/>
            <w:noWrap/>
            <w:vAlign w:val="bottom"/>
          </w:tcPr>
          <w:p w14:paraId="24C318BF"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3.96</w:t>
            </w:r>
          </w:p>
        </w:tc>
        <w:tc>
          <w:tcPr>
            <w:tcW w:w="959" w:type="dxa"/>
            <w:tcBorders>
              <w:top w:val="nil"/>
              <w:left w:val="nil"/>
              <w:bottom w:val="nil"/>
              <w:right w:val="dotted" w:sz="4" w:space="0" w:color="auto"/>
            </w:tcBorders>
            <w:shd w:val="clear" w:color="auto" w:fill="E7E6E6" w:themeFill="background2"/>
            <w:noWrap/>
            <w:vAlign w:val="bottom"/>
          </w:tcPr>
          <w:p w14:paraId="6B990EFB"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£360.06</w:t>
            </w:r>
          </w:p>
        </w:tc>
        <w:tc>
          <w:tcPr>
            <w:tcW w:w="740" w:type="dxa"/>
            <w:tcBorders>
              <w:top w:val="nil"/>
              <w:left w:val="dotted" w:sz="4" w:space="0" w:color="auto"/>
              <w:bottom w:val="nil"/>
              <w:right w:val="nil"/>
            </w:tcBorders>
            <w:shd w:val="clear" w:color="auto" w:fill="auto"/>
            <w:noWrap/>
            <w:vAlign w:val="bottom"/>
          </w:tcPr>
          <w:p w14:paraId="69E0AAD8"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9.53</w:t>
            </w:r>
          </w:p>
        </w:tc>
        <w:tc>
          <w:tcPr>
            <w:tcW w:w="708" w:type="dxa"/>
            <w:tcBorders>
              <w:top w:val="nil"/>
              <w:left w:val="nil"/>
              <w:bottom w:val="nil"/>
              <w:right w:val="nil"/>
            </w:tcBorders>
            <w:shd w:val="clear" w:color="auto" w:fill="auto"/>
            <w:noWrap/>
            <w:vAlign w:val="bottom"/>
          </w:tcPr>
          <w:p w14:paraId="6B06FD74"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4.62</w:t>
            </w:r>
          </w:p>
        </w:tc>
        <w:tc>
          <w:tcPr>
            <w:tcW w:w="998" w:type="dxa"/>
            <w:tcBorders>
              <w:top w:val="nil"/>
              <w:left w:val="nil"/>
              <w:bottom w:val="nil"/>
              <w:right w:val="dotted" w:sz="4" w:space="0" w:color="auto"/>
            </w:tcBorders>
            <w:shd w:val="clear" w:color="auto" w:fill="E7E6E6" w:themeFill="background2"/>
            <w:noWrap/>
            <w:vAlign w:val="bottom"/>
          </w:tcPr>
          <w:p w14:paraId="063634F1"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£449.68</w:t>
            </w:r>
          </w:p>
        </w:tc>
        <w:tc>
          <w:tcPr>
            <w:tcW w:w="707" w:type="dxa"/>
            <w:tcBorders>
              <w:top w:val="nil"/>
              <w:left w:val="dotted" w:sz="4" w:space="0" w:color="auto"/>
              <w:bottom w:val="nil"/>
              <w:right w:val="nil"/>
            </w:tcBorders>
            <w:shd w:val="clear" w:color="auto" w:fill="auto"/>
            <w:noWrap/>
            <w:vAlign w:val="bottom"/>
          </w:tcPr>
          <w:p w14:paraId="6899C74F"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12.32</w:t>
            </w:r>
          </w:p>
        </w:tc>
        <w:tc>
          <w:tcPr>
            <w:tcW w:w="708" w:type="dxa"/>
            <w:tcBorders>
              <w:top w:val="nil"/>
              <w:left w:val="nil"/>
              <w:bottom w:val="nil"/>
              <w:right w:val="nil"/>
            </w:tcBorders>
            <w:shd w:val="clear" w:color="auto" w:fill="auto"/>
            <w:noWrap/>
            <w:vAlign w:val="bottom"/>
          </w:tcPr>
          <w:p w14:paraId="6E7FFFA8"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5.14</w:t>
            </w:r>
          </w:p>
        </w:tc>
        <w:tc>
          <w:tcPr>
            <w:tcW w:w="1136" w:type="dxa"/>
            <w:tcBorders>
              <w:top w:val="nil"/>
              <w:left w:val="nil"/>
              <w:bottom w:val="nil"/>
              <w:right w:val="nil"/>
            </w:tcBorders>
            <w:shd w:val="clear" w:color="auto" w:fill="E7E6E6" w:themeFill="background2"/>
            <w:noWrap/>
            <w:vAlign w:val="bottom"/>
          </w:tcPr>
          <w:p w14:paraId="3F7FC7B1"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£567.77</w:t>
            </w:r>
          </w:p>
        </w:tc>
      </w:tr>
      <w:tr w:rsidR="00A51C1A" w:rsidRPr="00704732" w14:paraId="4EE7392C" w14:textId="77777777">
        <w:trPr>
          <w:trHeight w:val="227"/>
        </w:trPr>
        <w:tc>
          <w:tcPr>
            <w:tcW w:w="851" w:type="dxa"/>
            <w:tcBorders>
              <w:top w:val="nil"/>
              <w:left w:val="nil"/>
              <w:bottom w:val="single" w:sz="4" w:space="0" w:color="auto"/>
              <w:right w:val="dotted" w:sz="4" w:space="0" w:color="auto"/>
            </w:tcBorders>
            <w:shd w:val="clear" w:color="auto" w:fill="auto"/>
            <w:noWrap/>
            <w:vAlign w:val="bottom"/>
          </w:tcPr>
          <w:p w14:paraId="7B571051"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2018</w:t>
            </w:r>
          </w:p>
        </w:tc>
        <w:tc>
          <w:tcPr>
            <w:tcW w:w="1134" w:type="dxa"/>
            <w:tcBorders>
              <w:top w:val="nil"/>
              <w:left w:val="dotted" w:sz="4" w:space="0" w:color="auto"/>
              <w:bottom w:val="single" w:sz="4" w:space="0" w:color="auto"/>
              <w:right w:val="nil"/>
            </w:tcBorders>
            <w:shd w:val="clear" w:color="auto" w:fill="auto"/>
            <w:noWrap/>
            <w:vAlign w:val="bottom"/>
          </w:tcPr>
          <w:p w14:paraId="5619DF8C"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1.00</w:t>
            </w:r>
          </w:p>
        </w:tc>
        <w:tc>
          <w:tcPr>
            <w:tcW w:w="869" w:type="dxa"/>
            <w:tcBorders>
              <w:top w:val="nil"/>
              <w:left w:val="nil"/>
              <w:bottom w:val="single" w:sz="4" w:space="0" w:color="auto"/>
              <w:right w:val="nil"/>
            </w:tcBorders>
            <w:shd w:val="clear" w:color="auto" w:fill="auto"/>
            <w:noWrap/>
            <w:vAlign w:val="bottom"/>
          </w:tcPr>
          <w:p w14:paraId="39A1DBE5"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£37.40</w:t>
            </w:r>
          </w:p>
        </w:tc>
        <w:tc>
          <w:tcPr>
            <w:tcW w:w="865" w:type="dxa"/>
            <w:tcBorders>
              <w:top w:val="nil"/>
              <w:left w:val="nil"/>
              <w:bottom w:val="single" w:sz="4" w:space="0" w:color="auto"/>
              <w:right w:val="dotted" w:sz="4" w:space="0" w:color="auto"/>
            </w:tcBorders>
            <w:shd w:val="clear" w:color="auto" w:fill="auto"/>
            <w:noWrap/>
            <w:vAlign w:val="bottom"/>
          </w:tcPr>
          <w:p w14:paraId="117DB876"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£15.68</w:t>
            </w:r>
          </w:p>
        </w:tc>
        <w:tc>
          <w:tcPr>
            <w:tcW w:w="708" w:type="dxa"/>
            <w:tcBorders>
              <w:top w:val="nil"/>
              <w:left w:val="dotted" w:sz="4" w:space="0" w:color="auto"/>
              <w:bottom w:val="single" w:sz="4" w:space="0" w:color="auto"/>
              <w:right w:val="nil"/>
            </w:tcBorders>
            <w:shd w:val="clear" w:color="auto" w:fill="auto"/>
            <w:noWrap/>
            <w:vAlign w:val="bottom"/>
          </w:tcPr>
          <w:p w14:paraId="1F1A394C"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5.62</w:t>
            </w:r>
          </w:p>
        </w:tc>
        <w:tc>
          <w:tcPr>
            <w:tcW w:w="707" w:type="dxa"/>
            <w:tcBorders>
              <w:top w:val="nil"/>
              <w:left w:val="nil"/>
              <w:bottom w:val="single" w:sz="4" w:space="0" w:color="auto"/>
              <w:right w:val="nil"/>
            </w:tcBorders>
            <w:shd w:val="clear" w:color="auto" w:fill="auto"/>
            <w:noWrap/>
            <w:vAlign w:val="bottom"/>
          </w:tcPr>
          <w:p w14:paraId="4C14D573"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3.11</w:t>
            </w:r>
          </w:p>
        </w:tc>
        <w:tc>
          <w:tcPr>
            <w:tcW w:w="979" w:type="dxa"/>
            <w:tcBorders>
              <w:top w:val="nil"/>
              <w:left w:val="nil"/>
              <w:bottom w:val="single" w:sz="4" w:space="0" w:color="auto"/>
              <w:right w:val="dotted" w:sz="4" w:space="0" w:color="auto"/>
            </w:tcBorders>
            <w:shd w:val="clear" w:color="auto" w:fill="E7E6E6" w:themeFill="background2"/>
            <w:noWrap/>
            <w:vAlign w:val="bottom"/>
          </w:tcPr>
          <w:p w14:paraId="564D897F"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£258.75</w:t>
            </w:r>
          </w:p>
        </w:tc>
        <w:tc>
          <w:tcPr>
            <w:tcW w:w="708" w:type="dxa"/>
            <w:tcBorders>
              <w:top w:val="nil"/>
              <w:left w:val="dotted" w:sz="4" w:space="0" w:color="auto"/>
              <w:bottom w:val="single" w:sz="4" w:space="0" w:color="auto"/>
              <w:right w:val="nil"/>
            </w:tcBorders>
            <w:shd w:val="clear" w:color="auto" w:fill="auto"/>
            <w:noWrap/>
            <w:vAlign w:val="bottom"/>
          </w:tcPr>
          <w:p w14:paraId="77A0BC7A"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7.28</w:t>
            </w:r>
          </w:p>
        </w:tc>
        <w:tc>
          <w:tcPr>
            <w:tcW w:w="707" w:type="dxa"/>
            <w:tcBorders>
              <w:top w:val="nil"/>
              <w:left w:val="nil"/>
              <w:bottom w:val="single" w:sz="4" w:space="0" w:color="auto"/>
              <w:right w:val="nil"/>
            </w:tcBorders>
            <w:shd w:val="clear" w:color="auto" w:fill="auto"/>
            <w:noWrap/>
            <w:vAlign w:val="bottom"/>
          </w:tcPr>
          <w:p w14:paraId="6C6B9160"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3.88</w:t>
            </w:r>
          </w:p>
        </w:tc>
        <w:tc>
          <w:tcPr>
            <w:tcW w:w="959" w:type="dxa"/>
            <w:tcBorders>
              <w:top w:val="nil"/>
              <w:left w:val="nil"/>
              <w:bottom w:val="single" w:sz="4" w:space="0" w:color="auto"/>
              <w:right w:val="dotted" w:sz="4" w:space="0" w:color="auto"/>
            </w:tcBorders>
            <w:shd w:val="clear" w:color="auto" w:fill="E7E6E6" w:themeFill="background2"/>
            <w:noWrap/>
            <w:vAlign w:val="bottom"/>
          </w:tcPr>
          <w:p w14:paraId="75B4EFDB"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£333.08</w:t>
            </w:r>
          </w:p>
        </w:tc>
        <w:tc>
          <w:tcPr>
            <w:tcW w:w="740" w:type="dxa"/>
            <w:tcBorders>
              <w:top w:val="nil"/>
              <w:left w:val="dotted" w:sz="4" w:space="0" w:color="auto"/>
              <w:bottom w:val="single" w:sz="4" w:space="0" w:color="auto"/>
              <w:right w:val="nil"/>
            </w:tcBorders>
            <w:shd w:val="clear" w:color="auto" w:fill="auto"/>
            <w:noWrap/>
            <w:vAlign w:val="bottom"/>
          </w:tcPr>
          <w:p w14:paraId="396298A0"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8.79</w:t>
            </w:r>
          </w:p>
        </w:tc>
        <w:tc>
          <w:tcPr>
            <w:tcW w:w="708" w:type="dxa"/>
            <w:tcBorders>
              <w:top w:val="nil"/>
              <w:left w:val="nil"/>
              <w:bottom w:val="single" w:sz="4" w:space="0" w:color="auto"/>
              <w:right w:val="nil"/>
            </w:tcBorders>
            <w:shd w:val="clear" w:color="auto" w:fill="auto"/>
            <w:noWrap/>
            <w:vAlign w:val="bottom"/>
          </w:tcPr>
          <w:p w14:paraId="1685F38A"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4.25</w:t>
            </w:r>
          </w:p>
        </w:tc>
        <w:tc>
          <w:tcPr>
            <w:tcW w:w="998" w:type="dxa"/>
            <w:tcBorders>
              <w:top w:val="nil"/>
              <w:left w:val="nil"/>
              <w:bottom w:val="single" w:sz="4" w:space="0" w:color="auto"/>
              <w:right w:val="dotted" w:sz="4" w:space="0" w:color="auto"/>
            </w:tcBorders>
            <w:shd w:val="clear" w:color="auto" w:fill="E7E6E6" w:themeFill="background2"/>
            <w:noWrap/>
            <w:vAlign w:val="bottom"/>
          </w:tcPr>
          <w:p w14:paraId="2BDCBE90"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£395.48</w:t>
            </w:r>
          </w:p>
        </w:tc>
        <w:tc>
          <w:tcPr>
            <w:tcW w:w="707" w:type="dxa"/>
            <w:tcBorders>
              <w:top w:val="nil"/>
              <w:left w:val="dotted" w:sz="4" w:space="0" w:color="auto"/>
              <w:bottom w:val="single" w:sz="4" w:space="0" w:color="auto"/>
              <w:right w:val="nil"/>
            </w:tcBorders>
            <w:shd w:val="clear" w:color="auto" w:fill="auto"/>
            <w:noWrap/>
            <w:vAlign w:val="bottom"/>
          </w:tcPr>
          <w:p w14:paraId="4E877473"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11.53</w:t>
            </w:r>
          </w:p>
        </w:tc>
        <w:tc>
          <w:tcPr>
            <w:tcW w:w="708" w:type="dxa"/>
            <w:tcBorders>
              <w:top w:val="nil"/>
              <w:left w:val="nil"/>
              <w:bottom w:val="single" w:sz="4" w:space="0" w:color="auto"/>
              <w:right w:val="nil"/>
            </w:tcBorders>
            <w:shd w:val="clear" w:color="auto" w:fill="auto"/>
            <w:noWrap/>
            <w:vAlign w:val="bottom"/>
          </w:tcPr>
          <w:p w14:paraId="3D8B4D53"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4.99</w:t>
            </w:r>
          </w:p>
        </w:tc>
        <w:tc>
          <w:tcPr>
            <w:tcW w:w="1136" w:type="dxa"/>
            <w:tcBorders>
              <w:top w:val="nil"/>
              <w:left w:val="nil"/>
              <w:bottom w:val="single" w:sz="4" w:space="0" w:color="auto"/>
              <w:right w:val="nil"/>
            </w:tcBorders>
            <w:shd w:val="clear" w:color="auto" w:fill="E7E6E6" w:themeFill="background2"/>
            <w:noWrap/>
            <w:vAlign w:val="bottom"/>
          </w:tcPr>
          <w:p w14:paraId="2422320F" w14:textId="77777777" w:rsidR="00A51C1A" w:rsidRPr="00396DA8" w:rsidRDefault="00A51C1A" w:rsidP="00234D8F">
            <w:pPr>
              <w:spacing w:after="0" w:line="240" w:lineRule="auto"/>
              <w:jc w:val="right"/>
              <w:rPr>
                <w:rFonts w:eastAsia="Times New Roman" w:cstheme="minorHAnsi"/>
                <w:color w:val="000000"/>
                <w:sz w:val="20"/>
                <w:szCs w:val="20"/>
                <w:lang w:eastAsia="en-GB"/>
              </w:rPr>
            </w:pPr>
            <w:r w:rsidRPr="00396DA8">
              <w:rPr>
                <w:rFonts w:eastAsia="Times New Roman" w:cstheme="minorHAnsi"/>
                <w:color w:val="000000"/>
                <w:sz w:val="20"/>
                <w:szCs w:val="20"/>
                <w:lang w:eastAsia="en-GB"/>
              </w:rPr>
              <w:t>£509.54</w:t>
            </w:r>
          </w:p>
        </w:tc>
      </w:tr>
    </w:tbl>
    <w:bookmarkEnd w:id="5"/>
    <w:p w14:paraId="17893104" w14:textId="77777777" w:rsidR="00A51C1A" w:rsidRPr="009E7199" w:rsidRDefault="007E7AC5">
      <w:pPr>
        <w:rPr>
          <w:sz w:val="18"/>
          <w:szCs w:val="18"/>
          <w:lang w:eastAsia="en-GB"/>
        </w:rPr>
      </w:pPr>
      <w:r>
        <w:rPr>
          <w:sz w:val="18"/>
          <w:szCs w:val="18"/>
          <w:lang w:eastAsia="en-GB"/>
        </w:rPr>
        <w:t xml:space="preserve">GP= general practitioner. </w:t>
      </w:r>
      <w:r w:rsidR="00A51C1A">
        <w:rPr>
          <w:sz w:val="18"/>
          <w:szCs w:val="18"/>
          <w:lang w:eastAsia="en-GB"/>
        </w:rPr>
        <w:t>Crude r</w:t>
      </w:r>
      <w:r w:rsidR="00A51C1A" w:rsidRPr="009E7199">
        <w:rPr>
          <w:sz w:val="18"/>
          <w:szCs w:val="18"/>
          <w:lang w:eastAsia="en-GB"/>
        </w:rPr>
        <w:t xml:space="preserve">ates are per patient per year. Annual costs are the estimated cost per patient per year. </w:t>
      </w:r>
      <w:r w:rsidR="00A51C1A">
        <w:rPr>
          <w:sz w:val="18"/>
          <w:szCs w:val="18"/>
          <w:lang w:eastAsia="en-GB"/>
        </w:rPr>
        <w:t xml:space="preserve">GP costs per consultation were estimated based on a face to face clinic consultation </w:t>
      </w:r>
      <w:r w:rsidR="00A51C1A" w:rsidRPr="00152BC3">
        <w:rPr>
          <w:sz w:val="18"/>
          <w:szCs w:val="18"/>
          <w:lang w:eastAsia="en-GB"/>
        </w:rPr>
        <w:t>la</w:t>
      </w:r>
      <w:r w:rsidR="00A51C1A">
        <w:rPr>
          <w:sz w:val="18"/>
          <w:szCs w:val="18"/>
          <w:lang w:eastAsia="en-GB"/>
        </w:rPr>
        <w:t xml:space="preserve">sting 12.6 minutes from </w:t>
      </w:r>
      <w:r w:rsidR="00A51C1A" w:rsidRPr="00152BC3">
        <w:rPr>
          <w:sz w:val="18"/>
          <w:szCs w:val="18"/>
          <w:lang w:eastAsia="en-GB"/>
        </w:rPr>
        <w:t>2000-2006</w:t>
      </w:r>
      <w:r w:rsidR="00A51C1A">
        <w:rPr>
          <w:sz w:val="18"/>
          <w:szCs w:val="18"/>
          <w:lang w:eastAsia="en-GB"/>
        </w:rPr>
        <w:t xml:space="preserve">, </w:t>
      </w:r>
      <w:r w:rsidR="00A51C1A" w:rsidRPr="00152BC3">
        <w:rPr>
          <w:sz w:val="18"/>
          <w:szCs w:val="18"/>
          <w:lang w:eastAsia="en-GB"/>
        </w:rPr>
        <w:t>17.2 minutes</w:t>
      </w:r>
      <w:r w:rsidR="00A51C1A">
        <w:rPr>
          <w:sz w:val="18"/>
          <w:szCs w:val="18"/>
          <w:lang w:eastAsia="en-GB"/>
        </w:rPr>
        <w:t xml:space="preserve"> from </w:t>
      </w:r>
      <w:r w:rsidR="00A51C1A" w:rsidRPr="00152BC3">
        <w:rPr>
          <w:sz w:val="18"/>
          <w:szCs w:val="18"/>
          <w:lang w:eastAsia="en-GB"/>
        </w:rPr>
        <w:t>2007</w:t>
      </w:r>
      <w:r w:rsidR="00A51C1A">
        <w:rPr>
          <w:sz w:val="18"/>
          <w:szCs w:val="18"/>
          <w:lang w:eastAsia="en-GB"/>
        </w:rPr>
        <w:t>-2015</w:t>
      </w:r>
      <w:r w:rsidR="00A51C1A" w:rsidRPr="00152BC3">
        <w:rPr>
          <w:sz w:val="18"/>
          <w:szCs w:val="18"/>
          <w:lang w:eastAsia="en-GB"/>
        </w:rPr>
        <w:t xml:space="preserve">, </w:t>
      </w:r>
      <w:r w:rsidR="00A51C1A">
        <w:rPr>
          <w:sz w:val="18"/>
          <w:szCs w:val="18"/>
          <w:lang w:eastAsia="en-GB"/>
        </w:rPr>
        <w:t xml:space="preserve">and </w:t>
      </w:r>
      <w:r w:rsidR="00A51C1A" w:rsidRPr="00152BC3">
        <w:rPr>
          <w:sz w:val="18"/>
          <w:szCs w:val="18"/>
          <w:lang w:eastAsia="en-GB"/>
        </w:rPr>
        <w:t>9.2 minutes</w:t>
      </w:r>
      <w:r w:rsidR="00A51C1A">
        <w:rPr>
          <w:sz w:val="18"/>
          <w:szCs w:val="18"/>
          <w:lang w:eastAsia="en-GB"/>
        </w:rPr>
        <w:t xml:space="preserve"> from </w:t>
      </w:r>
      <w:r w:rsidR="00A51C1A" w:rsidRPr="00152BC3">
        <w:rPr>
          <w:sz w:val="18"/>
          <w:szCs w:val="18"/>
          <w:lang w:eastAsia="en-GB"/>
        </w:rPr>
        <w:t>2016</w:t>
      </w:r>
      <w:r w:rsidR="00A51C1A">
        <w:rPr>
          <w:sz w:val="18"/>
          <w:szCs w:val="18"/>
          <w:lang w:eastAsia="en-GB"/>
        </w:rPr>
        <w:t>-2018</w:t>
      </w:r>
      <w:r w:rsidR="00A51C1A" w:rsidRPr="00152BC3">
        <w:rPr>
          <w:sz w:val="18"/>
          <w:szCs w:val="18"/>
          <w:lang w:eastAsia="en-GB"/>
        </w:rPr>
        <w:t xml:space="preserve">. </w:t>
      </w:r>
      <w:r w:rsidR="00A51C1A" w:rsidRPr="009E7199">
        <w:rPr>
          <w:sz w:val="18"/>
          <w:szCs w:val="18"/>
          <w:lang w:eastAsia="en-GB"/>
        </w:rPr>
        <w:br w:type="page"/>
      </w:r>
    </w:p>
    <w:p w14:paraId="052A2CBD" w14:textId="77777777" w:rsidR="00033865" w:rsidRPr="00D40BFC" w:rsidRDefault="00033865" w:rsidP="00234D8F">
      <w:pPr>
        <w:spacing w:after="0" w:line="240" w:lineRule="auto"/>
        <w:rPr>
          <w:b/>
          <w:sz w:val="30"/>
          <w:szCs w:val="30"/>
          <w:lang w:eastAsia="en-GB"/>
        </w:rPr>
      </w:pPr>
      <w:r w:rsidRPr="00D40BFC">
        <w:rPr>
          <w:b/>
          <w:sz w:val="30"/>
          <w:szCs w:val="30"/>
          <w:lang w:eastAsia="en-GB"/>
        </w:rPr>
        <w:lastRenderedPageBreak/>
        <w:t xml:space="preserve">Figure </w:t>
      </w:r>
      <w:r w:rsidR="00D40BFC" w:rsidRPr="00D40BFC">
        <w:rPr>
          <w:b/>
          <w:sz w:val="30"/>
          <w:szCs w:val="30"/>
          <w:lang w:eastAsia="en-GB"/>
        </w:rPr>
        <w:t>caption</w:t>
      </w:r>
    </w:p>
    <w:p w14:paraId="3E0310AC" w14:textId="77777777" w:rsidR="00033865" w:rsidRDefault="00033865" w:rsidP="00234D8F">
      <w:pPr>
        <w:spacing w:after="0" w:line="240" w:lineRule="auto"/>
        <w:rPr>
          <w:b/>
          <w:lang w:eastAsia="en-GB"/>
        </w:rPr>
      </w:pPr>
    </w:p>
    <w:p w14:paraId="16A3714D" w14:textId="77777777" w:rsidR="00033865" w:rsidRDefault="00033865" w:rsidP="00234D8F">
      <w:pPr>
        <w:spacing w:after="0" w:line="240" w:lineRule="auto"/>
        <w:rPr>
          <w:b/>
          <w:lang w:eastAsia="en-GB"/>
        </w:rPr>
      </w:pPr>
    </w:p>
    <w:p w14:paraId="173E5025" w14:textId="77777777" w:rsidR="00A51C1A" w:rsidRDefault="00D40BFC" w:rsidP="00D40BFC">
      <w:pPr>
        <w:spacing w:after="0" w:line="240" w:lineRule="auto"/>
        <w:rPr>
          <w:b/>
          <w:sz w:val="30"/>
          <w:szCs w:val="30"/>
          <w:lang w:eastAsia="en-GB"/>
        </w:rPr>
      </w:pPr>
      <w:r>
        <w:rPr>
          <w:b/>
          <w:lang w:eastAsia="en-GB"/>
        </w:rPr>
        <w:t>Fig 1</w:t>
      </w:r>
      <w:r w:rsidR="00A51C1A" w:rsidRPr="00F0597D">
        <w:rPr>
          <w:b/>
          <w:lang w:eastAsia="en-GB"/>
        </w:rPr>
        <w:t xml:space="preserve"> </w:t>
      </w:r>
      <w:r w:rsidR="00A51C1A">
        <w:rPr>
          <w:lang w:eastAsia="en-GB"/>
        </w:rPr>
        <w:t>Temporal trends of age-sex-adjusted</w:t>
      </w:r>
      <w:r w:rsidR="00A51C1A" w:rsidRPr="00F0597D">
        <w:rPr>
          <w:lang w:eastAsia="en-GB"/>
        </w:rPr>
        <w:t xml:space="preserve"> face to face</w:t>
      </w:r>
      <w:r>
        <w:rPr>
          <w:lang w:eastAsia="en-GB"/>
        </w:rPr>
        <w:t xml:space="preserve"> consultation rate with a physician </w:t>
      </w:r>
      <w:r w:rsidR="00A51C1A">
        <w:rPr>
          <w:lang w:eastAsia="en-GB"/>
        </w:rPr>
        <w:t>or nurse</w:t>
      </w:r>
      <w:r w:rsidR="00A51C1A" w:rsidRPr="00F0597D">
        <w:rPr>
          <w:lang w:eastAsia="en-GB"/>
        </w:rPr>
        <w:t xml:space="preserve"> by number of comorbidities at time of</w:t>
      </w:r>
      <w:r w:rsidR="00A51C1A">
        <w:rPr>
          <w:lang w:eastAsia="en-GB"/>
        </w:rPr>
        <w:t xml:space="preserve"> type 2 diabetes d</w:t>
      </w:r>
      <w:r>
        <w:rPr>
          <w:lang w:eastAsia="en-GB"/>
        </w:rPr>
        <w:t>iagnosis</w:t>
      </w:r>
    </w:p>
    <w:p w14:paraId="4C95659F" w14:textId="77777777" w:rsidR="00D40BFC" w:rsidRDefault="00D40BFC" w:rsidP="00D40BFC">
      <w:pPr>
        <w:spacing w:after="0" w:line="240" w:lineRule="auto"/>
        <w:rPr>
          <w:b/>
          <w:sz w:val="30"/>
          <w:szCs w:val="30"/>
          <w:lang w:eastAsia="en-GB"/>
        </w:rPr>
      </w:pPr>
    </w:p>
    <w:p w14:paraId="1A6857DC" w14:textId="77777777" w:rsidR="00A51C1A" w:rsidRPr="009270B4" w:rsidRDefault="00A51C1A" w:rsidP="00234D8F">
      <w:pPr>
        <w:rPr>
          <w:b/>
          <w:sz w:val="20"/>
          <w:szCs w:val="20"/>
          <w:lang w:eastAsia="en-GB"/>
        </w:rPr>
      </w:pPr>
      <w:r w:rsidRPr="00BD70A4">
        <w:rPr>
          <w:sz w:val="18"/>
          <w:szCs w:val="18"/>
          <w:lang w:eastAsia="en-GB"/>
        </w:rPr>
        <w:t xml:space="preserve">*Indicates that the Annual Percent Change (APC) </w:t>
      </w:r>
      <w:r w:rsidR="00D40BFC">
        <w:rPr>
          <w:sz w:val="18"/>
          <w:szCs w:val="18"/>
          <w:lang w:eastAsia="en-GB"/>
        </w:rPr>
        <w:t xml:space="preserve">for spline </w:t>
      </w:r>
      <w:r w:rsidRPr="00BD70A4">
        <w:rPr>
          <w:sz w:val="18"/>
          <w:szCs w:val="18"/>
          <w:lang w:eastAsia="en-GB"/>
        </w:rPr>
        <w:t xml:space="preserve">is significantly different from zero at alpha </w:t>
      </w:r>
      <w:r>
        <w:rPr>
          <w:sz w:val="18"/>
          <w:szCs w:val="18"/>
          <w:lang w:eastAsia="en-GB"/>
        </w:rPr>
        <w:t>level 0.05.</w:t>
      </w:r>
      <w:r w:rsidRPr="009270B4">
        <w:rPr>
          <w:b/>
          <w:sz w:val="20"/>
          <w:szCs w:val="20"/>
          <w:lang w:eastAsia="en-GB"/>
        </w:rPr>
        <w:t xml:space="preserve"> </w:t>
      </w:r>
    </w:p>
    <w:p w14:paraId="2FFF5742" w14:textId="77777777" w:rsidR="00A75E04" w:rsidRDefault="00A75E04"/>
    <w:sectPr w:rsidR="00A75E04" w:rsidSect="00234D8F">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8126B" w14:textId="77777777" w:rsidR="0078015A" w:rsidRDefault="0078015A">
      <w:pPr>
        <w:spacing w:after="0" w:line="240" w:lineRule="auto"/>
      </w:pPr>
      <w:r>
        <w:separator/>
      </w:r>
    </w:p>
  </w:endnote>
  <w:endnote w:type="continuationSeparator" w:id="0">
    <w:p w14:paraId="2ECBE615" w14:textId="77777777" w:rsidR="0078015A" w:rsidRDefault="00780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Times">
    <w:panose1 w:val="0202060305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A2145" w14:textId="77777777" w:rsidR="0078015A" w:rsidRDefault="007801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496"/>
      <w:docPartObj>
        <w:docPartGallery w:val="Page Numbers (Bottom of Page)"/>
        <w:docPartUnique/>
      </w:docPartObj>
    </w:sdtPr>
    <w:sdtEndPr>
      <w:rPr>
        <w:noProof/>
      </w:rPr>
    </w:sdtEndPr>
    <w:sdtContent>
      <w:p w14:paraId="4BDA1FA3" w14:textId="4BDF4773" w:rsidR="0078015A" w:rsidRDefault="0078015A">
        <w:pPr>
          <w:pStyle w:val="Footer"/>
          <w:jc w:val="right"/>
        </w:pPr>
        <w:r>
          <w:fldChar w:fldCharType="begin"/>
        </w:r>
        <w:r>
          <w:instrText xml:space="preserve"> PAGE   \* MERGEFORMAT </w:instrText>
        </w:r>
        <w:r>
          <w:fldChar w:fldCharType="separate"/>
        </w:r>
        <w:r w:rsidR="00B01754">
          <w:rPr>
            <w:noProof/>
          </w:rPr>
          <w:t>16</w:t>
        </w:r>
        <w:r>
          <w:rPr>
            <w:noProof/>
          </w:rPr>
          <w:fldChar w:fldCharType="end"/>
        </w:r>
      </w:p>
    </w:sdtContent>
  </w:sdt>
  <w:p w14:paraId="09FC8423" w14:textId="77777777" w:rsidR="0078015A" w:rsidRDefault="007801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A2FF9" w14:textId="77777777" w:rsidR="0078015A" w:rsidRDefault="007801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0EAC31" w14:textId="77777777" w:rsidR="0078015A" w:rsidRDefault="0078015A">
      <w:pPr>
        <w:spacing w:after="0" w:line="240" w:lineRule="auto"/>
      </w:pPr>
      <w:r>
        <w:separator/>
      </w:r>
    </w:p>
  </w:footnote>
  <w:footnote w:type="continuationSeparator" w:id="0">
    <w:p w14:paraId="1F8486CA" w14:textId="77777777" w:rsidR="0078015A" w:rsidRDefault="007801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FDCD3" w14:textId="77777777" w:rsidR="0078015A" w:rsidRDefault="007801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E9DBE" w14:textId="77777777" w:rsidR="0078015A" w:rsidRDefault="007801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09A81" w14:textId="77777777" w:rsidR="0078015A" w:rsidRDefault="007801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4949"/>
    <w:multiLevelType w:val="hybridMultilevel"/>
    <w:tmpl w:val="6696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ED792E"/>
    <w:multiLevelType w:val="hybridMultilevel"/>
    <w:tmpl w:val="5F3849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665155"/>
    <w:multiLevelType w:val="multilevel"/>
    <w:tmpl w:val="BE30F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2EC7B0D"/>
    <w:multiLevelType w:val="hybridMultilevel"/>
    <w:tmpl w:val="0A5A7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23167B"/>
    <w:multiLevelType w:val="hybridMultilevel"/>
    <w:tmpl w:val="092E78EE"/>
    <w:lvl w:ilvl="0" w:tplc="A8BCD05E">
      <w:start w:val="1"/>
      <w:numFmt w:val="decimal"/>
      <w:lvlText w:val="%1."/>
      <w:lvlJc w:val="left"/>
      <w:pPr>
        <w:ind w:left="1080" w:hanging="720"/>
      </w:pPr>
      <w:rPr>
        <w:rFonts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9171141"/>
    <w:multiLevelType w:val="hybridMultilevel"/>
    <w:tmpl w:val="22D48C8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BD0635E"/>
    <w:multiLevelType w:val="hybridMultilevel"/>
    <w:tmpl w:val="CA0E0B88"/>
    <w:lvl w:ilvl="0" w:tplc="6AB8939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DCF78CA"/>
    <w:multiLevelType w:val="hybridMultilevel"/>
    <w:tmpl w:val="5F00F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2"/>
  </w:num>
  <w:num w:numId="6">
    <w:abstractNumId w:val="7"/>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A51C1A"/>
    <w:rsid w:val="00033865"/>
    <w:rsid w:val="000505E2"/>
    <w:rsid w:val="000D5E0E"/>
    <w:rsid w:val="00107E0E"/>
    <w:rsid w:val="001525AC"/>
    <w:rsid w:val="001B34B3"/>
    <w:rsid w:val="00213E27"/>
    <w:rsid w:val="00234D8F"/>
    <w:rsid w:val="002B0276"/>
    <w:rsid w:val="00320D28"/>
    <w:rsid w:val="0043462A"/>
    <w:rsid w:val="004E76AB"/>
    <w:rsid w:val="0050400D"/>
    <w:rsid w:val="00533502"/>
    <w:rsid w:val="0056684B"/>
    <w:rsid w:val="00583BA1"/>
    <w:rsid w:val="005C2A3D"/>
    <w:rsid w:val="00736158"/>
    <w:rsid w:val="0078015A"/>
    <w:rsid w:val="007E7AC5"/>
    <w:rsid w:val="00891344"/>
    <w:rsid w:val="0089178A"/>
    <w:rsid w:val="008A43D8"/>
    <w:rsid w:val="008B7597"/>
    <w:rsid w:val="009D75AF"/>
    <w:rsid w:val="00A2145B"/>
    <w:rsid w:val="00A51C1A"/>
    <w:rsid w:val="00A75BE1"/>
    <w:rsid w:val="00A75E04"/>
    <w:rsid w:val="00AE1997"/>
    <w:rsid w:val="00B01754"/>
    <w:rsid w:val="00B042F6"/>
    <w:rsid w:val="00B92740"/>
    <w:rsid w:val="00C4708E"/>
    <w:rsid w:val="00C95E81"/>
    <w:rsid w:val="00D40BFC"/>
    <w:rsid w:val="00E4170E"/>
    <w:rsid w:val="00F3009A"/>
    <w:rsid w:val="00F44BBB"/>
    <w:rsid w:val="00FB105B"/>
    <w:rsid w:val="00FC13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C73D8"/>
  <w15:chartTrackingRefBased/>
  <w15:docId w15:val="{DE8A4837-CF48-456E-B23B-B6010FA17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1C1A"/>
  </w:style>
  <w:style w:type="paragraph" w:styleId="Heading1">
    <w:name w:val="heading 1"/>
    <w:basedOn w:val="Normal"/>
    <w:next w:val="Normal"/>
    <w:link w:val="Heading1Char"/>
    <w:rsid w:val="00A51C1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51C1A"/>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A51C1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A51C1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1C1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51C1A"/>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A51C1A"/>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A51C1A"/>
    <w:rPr>
      <w:rFonts w:asciiTheme="majorHAnsi" w:eastAsiaTheme="majorEastAsia" w:hAnsiTheme="majorHAnsi" w:cstheme="majorBidi"/>
      <w:i/>
      <w:iCs/>
      <w:color w:val="2E74B5" w:themeColor="accent1" w:themeShade="BF"/>
    </w:rPr>
  </w:style>
  <w:style w:type="paragraph" w:customStyle="1" w:styleId="xmsonormal">
    <w:name w:val="x_msonormal"/>
    <w:basedOn w:val="Normal"/>
    <w:rsid w:val="00A51C1A"/>
    <w:pPr>
      <w:spacing w:after="0" w:line="240" w:lineRule="auto"/>
    </w:pPr>
    <w:rPr>
      <w:rFonts w:ascii="Times New Roman" w:eastAsiaTheme="minorEastAsia" w:hAnsi="Times New Roman" w:cs="Times New Roman"/>
      <w:sz w:val="24"/>
      <w:szCs w:val="24"/>
      <w:lang w:eastAsia="en-GB"/>
    </w:rPr>
  </w:style>
  <w:style w:type="character" w:styleId="Hyperlink">
    <w:name w:val="Hyperlink"/>
    <w:basedOn w:val="DefaultParagraphFont"/>
    <w:uiPriority w:val="99"/>
    <w:unhideWhenUsed/>
    <w:rsid w:val="00A51C1A"/>
    <w:rPr>
      <w:color w:val="0563C1" w:themeColor="hyperlink"/>
      <w:u w:val="single"/>
    </w:rPr>
  </w:style>
  <w:style w:type="paragraph" w:customStyle="1" w:styleId="EndNoteBibliographyTitle">
    <w:name w:val="EndNote Bibliography Title"/>
    <w:basedOn w:val="Normal"/>
    <w:link w:val="EndNoteBibliographyTitleChar"/>
    <w:rsid w:val="00A51C1A"/>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51C1A"/>
    <w:rPr>
      <w:rFonts w:ascii="Calibri" w:hAnsi="Calibri" w:cs="Calibri"/>
      <w:noProof/>
      <w:lang w:val="en-US"/>
    </w:rPr>
  </w:style>
  <w:style w:type="paragraph" w:customStyle="1" w:styleId="EndNoteBibliography">
    <w:name w:val="EndNote Bibliography"/>
    <w:basedOn w:val="Normal"/>
    <w:link w:val="EndNoteBibliographyChar"/>
    <w:rsid w:val="00A51C1A"/>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A51C1A"/>
    <w:rPr>
      <w:rFonts w:ascii="Calibri" w:hAnsi="Calibri" w:cs="Calibri"/>
      <w:noProof/>
      <w:lang w:val="en-US"/>
    </w:rPr>
  </w:style>
  <w:style w:type="paragraph" w:styleId="Header">
    <w:name w:val="header"/>
    <w:basedOn w:val="Normal"/>
    <w:link w:val="HeaderChar"/>
    <w:uiPriority w:val="99"/>
    <w:unhideWhenUsed/>
    <w:rsid w:val="00A51C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1C1A"/>
  </w:style>
  <w:style w:type="paragraph" w:styleId="Footer">
    <w:name w:val="footer"/>
    <w:basedOn w:val="Normal"/>
    <w:link w:val="FooterChar"/>
    <w:uiPriority w:val="99"/>
    <w:unhideWhenUsed/>
    <w:rsid w:val="00A51C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1C1A"/>
  </w:style>
  <w:style w:type="paragraph" w:styleId="NormalWeb">
    <w:name w:val="Normal (Web)"/>
    <w:basedOn w:val="Normal"/>
    <w:uiPriority w:val="99"/>
    <w:unhideWhenUsed/>
    <w:rsid w:val="00A51C1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ighlight">
    <w:name w:val="highlight"/>
    <w:basedOn w:val="DefaultParagraphFont"/>
    <w:rsid w:val="00A51C1A"/>
  </w:style>
  <w:style w:type="character" w:styleId="FollowedHyperlink">
    <w:name w:val="FollowedHyperlink"/>
    <w:basedOn w:val="DefaultParagraphFont"/>
    <w:uiPriority w:val="99"/>
    <w:semiHidden/>
    <w:unhideWhenUsed/>
    <w:rsid w:val="00A51C1A"/>
    <w:rPr>
      <w:color w:val="954F72" w:themeColor="followedHyperlink"/>
      <w:u w:val="single"/>
    </w:rPr>
  </w:style>
  <w:style w:type="paragraph" w:styleId="BalloonText">
    <w:name w:val="Balloon Text"/>
    <w:basedOn w:val="Normal"/>
    <w:link w:val="BalloonTextChar"/>
    <w:semiHidden/>
    <w:unhideWhenUsed/>
    <w:rsid w:val="00A51C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A51C1A"/>
    <w:rPr>
      <w:rFonts w:ascii="Segoe UI" w:hAnsi="Segoe UI" w:cs="Segoe UI"/>
      <w:sz w:val="18"/>
      <w:szCs w:val="18"/>
    </w:rPr>
  </w:style>
  <w:style w:type="paragraph" w:customStyle="1" w:styleId="msonormal0">
    <w:name w:val="msonormal"/>
    <w:basedOn w:val="Normal"/>
    <w:rsid w:val="00A51C1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63">
    <w:name w:val="xl63"/>
    <w:basedOn w:val="Normal"/>
    <w:rsid w:val="00A51C1A"/>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en-GB"/>
    </w:rPr>
  </w:style>
  <w:style w:type="paragraph" w:customStyle="1" w:styleId="xl64">
    <w:name w:val="xl64"/>
    <w:basedOn w:val="Normal"/>
    <w:rsid w:val="00A51C1A"/>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en-GB"/>
    </w:rPr>
  </w:style>
  <w:style w:type="paragraph" w:customStyle="1" w:styleId="xl65">
    <w:name w:val="xl65"/>
    <w:basedOn w:val="Normal"/>
    <w:rsid w:val="00A51C1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en-GB"/>
    </w:rPr>
  </w:style>
  <w:style w:type="paragraph" w:customStyle="1" w:styleId="xl66">
    <w:name w:val="xl66"/>
    <w:basedOn w:val="Normal"/>
    <w:rsid w:val="00A51C1A"/>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0"/>
      <w:szCs w:val="20"/>
      <w:lang w:eastAsia="en-GB"/>
    </w:rPr>
  </w:style>
  <w:style w:type="paragraph" w:customStyle="1" w:styleId="xl67">
    <w:name w:val="xl67"/>
    <w:basedOn w:val="Normal"/>
    <w:rsid w:val="00A51C1A"/>
    <w:pP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en-GB"/>
    </w:rPr>
  </w:style>
  <w:style w:type="paragraph" w:customStyle="1" w:styleId="xl68">
    <w:name w:val="xl68"/>
    <w:basedOn w:val="Normal"/>
    <w:rsid w:val="00A51C1A"/>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en-GB"/>
    </w:rPr>
  </w:style>
  <w:style w:type="paragraph" w:customStyle="1" w:styleId="xl69">
    <w:name w:val="xl69"/>
    <w:basedOn w:val="Normal"/>
    <w:rsid w:val="00A51C1A"/>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en-GB"/>
    </w:rPr>
  </w:style>
  <w:style w:type="paragraph" w:customStyle="1" w:styleId="xl70">
    <w:name w:val="xl70"/>
    <w:basedOn w:val="Normal"/>
    <w:rsid w:val="00A51C1A"/>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GB"/>
    </w:rPr>
  </w:style>
  <w:style w:type="paragraph" w:customStyle="1" w:styleId="xl71">
    <w:name w:val="xl71"/>
    <w:basedOn w:val="Normal"/>
    <w:rsid w:val="00A51C1A"/>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GB"/>
    </w:rPr>
  </w:style>
  <w:style w:type="paragraph" w:customStyle="1" w:styleId="xl72">
    <w:name w:val="xl72"/>
    <w:basedOn w:val="Normal"/>
    <w:rsid w:val="00A51C1A"/>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en-GB"/>
    </w:rPr>
  </w:style>
  <w:style w:type="paragraph" w:customStyle="1" w:styleId="xl73">
    <w:name w:val="xl73"/>
    <w:basedOn w:val="Normal"/>
    <w:rsid w:val="00A51C1A"/>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GB"/>
    </w:rPr>
  </w:style>
  <w:style w:type="paragraph" w:customStyle="1" w:styleId="xl74">
    <w:name w:val="xl74"/>
    <w:basedOn w:val="Normal"/>
    <w:rsid w:val="00A51C1A"/>
    <w:pPr>
      <w:spacing w:before="100" w:beforeAutospacing="1" w:after="100" w:afterAutospacing="1" w:line="240" w:lineRule="auto"/>
      <w:textAlignment w:val="center"/>
    </w:pPr>
    <w:rPr>
      <w:rFonts w:ascii="Times New Roman" w:eastAsia="Times New Roman" w:hAnsi="Times New Roman" w:cs="Times New Roman"/>
      <w:sz w:val="20"/>
      <w:szCs w:val="20"/>
      <w:lang w:eastAsia="en-GB"/>
    </w:rPr>
  </w:style>
  <w:style w:type="paragraph" w:customStyle="1" w:styleId="xl75">
    <w:name w:val="xl75"/>
    <w:basedOn w:val="Normal"/>
    <w:rsid w:val="00A51C1A"/>
    <w:pP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en-GB"/>
    </w:rPr>
  </w:style>
  <w:style w:type="paragraph" w:customStyle="1" w:styleId="xl76">
    <w:name w:val="xl76"/>
    <w:basedOn w:val="Normal"/>
    <w:rsid w:val="00A51C1A"/>
    <w:pP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en-GB"/>
    </w:rPr>
  </w:style>
  <w:style w:type="paragraph" w:customStyle="1" w:styleId="xl77">
    <w:name w:val="xl77"/>
    <w:basedOn w:val="Normal"/>
    <w:rsid w:val="00A51C1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GB"/>
    </w:rPr>
  </w:style>
  <w:style w:type="paragraph" w:customStyle="1" w:styleId="xl78">
    <w:name w:val="xl78"/>
    <w:basedOn w:val="Normal"/>
    <w:rsid w:val="00A51C1A"/>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GB"/>
    </w:rPr>
  </w:style>
  <w:style w:type="paragraph" w:styleId="ListParagraph">
    <w:name w:val="List Paragraph"/>
    <w:basedOn w:val="Normal"/>
    <w:uiPriority w:val="34"/>
    <w:qFormat/>
    <w:rsid w:val="00A51C1A"/>
    <w:pPr>
      <w:ind w:left="720"/>
      <w:contextualSpacing/>
    </w:pPr>
  </w:style>
  <w:style w:type="character" w:styleId="CommentReference">
    <w:name w:val="annotation reference"/>
    <w:basedOn w:val="DefaultParagraphFont"/>
    <w:semiHidden/>
    <w:unhideWhenUsed/>
    <w:rsid w:val="00A51C1A"/>
    <w:rPr>
      <w:sz w:val="16"/>
      <w:szCs w:val="16"/>
    </w:rPr>
  </w:style>
  <w:style w:type="paragraph" w:styleId="CommentText">
    <w:name w:val="annotation text"/>
    <w:basedOn w:val="Normal"/>
    <w:link w:val="CommentTextChar"/>
    <w:semiHidden/>
    <w:unhideWhenUsed/>
    <w:rsid w:val="00A51C1A"/>
    <w:pPr>
      <w:spacing w:line="240" w:lineRule="auto"/>
    </w:pPr>
    <w:rPr>
      <w:sz w:val="20"/>
      <w:szCs w:val="20"/>
    </w:rPr>
  </w:style>
  <w:style w:type="character" w:customStyle="1" w:styleId="CommentTextChar">
    <w:name w:val="Comment Text Char"/>
    <w:basedOn w:val="DefaultParagraphFont"/>
    <w:link w:val="CommentText"/>
    <w:semiHidden/>
    <w:rsid w:val="00A51C1A"/>
    <w:rPr>
      <w:sz w:val="20"/>
      <w:szCs w:val="20"/>
    </w:rPr>
  </w:style>
  <w:style w:type="paragraph" w:styleId="CommentSubject">
    <w:name w:val="annotation subject"/>
    <w:basedOn w:val="CommentText"/>
    <w:next w:val="CommentText"/>
    <w:link w:val="CommentSubjectChar"/>
    <w:semiHidden/>
    <w:unhideWhenUsed/>
    <w:rsid w:val="00A51C1A"/>
    <w:rPr>
      <w:b/>
      <w:bCs/>
    </w:rPr>
  </w:style>
  <w:style w:type="character" w:customStyle="1" w:styleId="CommentSubjectChar">
    <w:name w:val="Comment Subject Char"/>
    <w:basedOn w:val="CommentTextChar"/>
    <w:link w:val="CommentSubject"/>
    <w:semiHidden/>
    <w:rsid w:val="00A51C1A"/>
    <w:rPr>
      <w:b/>
      <w:bCs/>
      <w:sz w:val="20"/>
      <w:szCs w:val="20"/>
    </w:rPr>
  </w:style>
  <w:style w:type="paragraph" w:customStyle="1" w:styleId="Default">
    <w:name w:val="Default"/>
    <w:rsid w:val="00A51C1A"/>
    <w:pPr>
      <w:widowControl w:val="0"/>
      <w:autoSpaceDE w:val="0"/>
      <w:autoSpaceDN w:val="0"/>
      <w:adjustRightInd w:val="0"/>
      <w:spacing w:after="0" w:line="240" w:lineRule="auto"/>
    </w:pPr>
    <w:rPr>
      <w:rFonts w:ascii="Arial" w:hAnsi="Arial" w:cs="Arial"/>
      <w:color w:val="000000"/>
      <w:sz w:val="24"/>
      <w:szCs w:val="24"/>
      <w:lang w:val="en-US"/>
    </w:rPr>
  </w:style>
  <w:style w:type="character" w:styleId="Strong">
    <w:name w:val="Strong"/>
    <w:basedOn w:val="DefaultParagraphFont"/>
    <w:uiPriority w:val="22"/>
    <w:qFormat/>
    <w:rsid w:val="00234D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1179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se.ac.uk/business-and-consultancy/consulting/assets/documents/diabetes-expenditure-burden-of-disease-and-management-in-5-eu-countries.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950EB-BB37-4DA3-9688-75DB068BC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6573</Words>
  <Characters>37470</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43956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Coles, Briana</dc:creator>
  <cp:keywords/>
  <dc:description/>
  <cp:lastModifiedBy>Coles, Briana</cp:lastModifiedBy>
  <cp:revision>2</cp:revision>
  <dcterms:created xsi:type="dcterms:W3CDTF">2021-01-18T10:50:00Z</dcterms:created>
  <dcterms:modified xsi:type="dcterms:W3CDTF">2021-01-18T10:50:00Z</dcterms:modified>
</cp:coreProperties>
</file>