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6C5230" w14:textId="0FCCC376" w:rsidR="00B1644A" w:rsidRPr="00C951F0" w:rsidRDefault="00B1644A" w:rsidP="0039543A">
      <w:pPr>
        <w:pStyle w:val="Heading1"/>
        <w:spacing w:line="480" w:lineRule="auto"/>
        <w:rPr>
          <w:color w:val="000000" w:themeColor="text1"/>
          <w:szCs w:val="28"/>
        </w:rPr>
      </w:pPr>
      <w:bookmarkStart w:id="0" w:name="_Hlk491095034"/>
      <w:bookmarkStart w:id="1" w:name="_Hlk531360446"/>
      <w:r w:rsidRPr="00C951F0">
        <w:rPr>
          <w:color w:val="000000" w:themeColor="text1"/>
          <w:szCs w:val="28"/>
        </w:rPr>
        <w:t xml:space="preserve">Efficacy and </w:t>
      </w:r>
      <w:r w:rsidR="00EB2E16" w:rsidRPr="00C951F0">
        <w:rPr>
          <w:color w:val="000000" w:themeColor="text1"/>
          <w:szCs w:val="28"/>
        </w:rPr>
        <w:t xml:space="preserve">safety </w:t>
      </w:r>
      <w:r w:rsidRPr="00C951F0">
        <w:rPr>
          <w:color w:val="000000" w:themeColor="text1"/>
          <w:szCs w:val="28"/>
        </w:rPr>
        <w:t xml:space="preserve">of </w:t>
      </w:r>
      <w:r w:rsidR="00EB2E16" w:rsidRPr="00C951F0">
        <w:rPr>
          <w:color w:val="000000" w:themeColor="text1"/>
          <w:szCs w:val="28"/>
        </w:rPr>
        <w:t xml:space="preserve">semaglutide </w:t>
      </w:r>
      <w:r w:rsidRPr="00C951F0">
        <w:rPr>
          <w:color w:val="000000" w:themeColor="text1"/>
          <w:szCs w:val="28"/>
        </w:rPr>
        <w:t>2</w:t>
      </w:r>
      <w:r w:rsidR="00C5236B" w:rsidRPr="00C951F0">
        <w:rPr>
          <w:color w:val="000000" w:themeColor="text1"/>
          <w:szCs w:val="28"/>
        </w:rPr>
        <w:t>·</w:t>
      </w:r>
      <w:r w:rsidRPr="00C951F0">
        <w:rPr>
          <w:color w:val="000000" w:themeColor="text1"/>
          <w:szCs w:val="28"/>
        </w:rPr>
        <w:t xml:space="preserve">4 mg </w:t>
      </w:r>
      <w:r w:rsidR="00EB2E16" w:rsidRPr="00C951F0">
        <w:rPr>
          <w:color w:val="000000" w:themeColor="text1"/>
          <w:szCs w:val="28"/>
        </w:rPr>
        <w:t xml:space="preserve">once weekly </w:t>
      </w:r>
      <w:r w:rsidRPr="00C951F0">
        <w:rPr>
          <w:color w:val="000000" w:themeColor="text1"/>
          <w:szCs w:val="28"/>
        </w:rPr>
        <w:t xml:space="preserve">in </w:t>
      </w:r>
      <w:r w:rsidR="00EB2E16" w:rsidRPr="00C951F0">
        <w:rPr>
          <w:color w:val="000000" w:themeColor="text1"/>
          <w:szCs w:val="28"/>
        </w:rPr>
        <w:t>a</w:t>
      </w:r>
      <w:r w:rsidR="007B5725" w:rsidRPr="00C951F0">
        <w:rPr>
          <w:color w:val="000000" w:themeColor="text1"/>
          <w:szCs w:val="28"/>
        </w:rPr>
        <w:t xml:space="preserve">dults </w:t>
      </w:r>
      <w:r w:rsidRPr="00C951F0">
        <w:rPr>
          <w:color w:val="000000" w:themeColor="text1"/>
          <w:szCs w:val="28"/>
        </w:rPr>
        <w:t xml:space="preserve">with </w:t>
      </w:r>
      <w:r w:rsidR="00EB2E16" w:rsidRPr="00C951F0">
        <w:rPr>
          <w:color w:val="000000" w:themeColor="text1"/>
          <w:szCs w:val="28"/>
        </w:rPr>
        <w:t xml:space="preserve">overweight </w:t>
      </w:r>
      <w:r w:rsidRPr="00C951F0">
        <w:rPr>
          <w:color w:val="000000" w:themeColor="text1"/>
          <w:szCs w:val="28"/>
        </w:rPr>
        <w:t xml:space="preserve">or </w:t>
      </w:r>
      <w:r w:rsidR="00EB2E16" w:rsidRPr="00C951F0">
        <w:rPr>
          <w:color w:val="000000" w:themeColor="text1"/>
          <w:szCs w:val="28"/>
        </w:rPr>
        <w:t xml:space="preserve">obesity </w:t>
      </w:r>
      <w:r w:rsidRPr="00C951F0">
        <w:rPr>
          <w:color w:val="000000" w:themeColor="text1"/>
          <w:szCs w:val="28"/>
        </w:rPr>
        <w:t xml:space="preserve">and </w:t>
      </w:r>
      <w:r w:rsidR="00EB2E16" w:rsidRPr="00C951F0">
        <w:rPr>
          <w:color w:val="000000" w:themeColor="text1"/>
          <w:szCs w:val="28"/>
        </w:rPr>
        <w:t xml:space="preserve">type </w:t>
      </w:r>
      <w:r w:rsidRPr="00C951F0">
        <w:rPr>
          <w:color w:val="000000" w:themeColor="text1"/>
          <w:szCs w:val="28"/>
        </w:rPr>
        <w:t xml:space="preserve">2 </w:t>
      </w:r>
      <w:r w:rsidR="00EB2E16" w:rsidRPr="00C951F0">
        <w:rPr>
          <w:color w:val="000000" w:themeColor="text1"/>
          <w:szCs w:val="28"/>
        </w:rPr>
        <w:t>diabetes</w:t>
      </w:r>
      <w:r w:rsidR="00AB6A68">
        <w:rPr>
          <w:color w:val="000000" w:themeColor="text1"/>
          <w:szCs w:val="28"/>
        </w:rPr>
        <w:t xml:space="preserve"> </w:t>
      </w:r>
      <w:bookmarkStart w:id="2" w:name="_Hlk59022937"/>
      <w:r w:rsidR="00AB6A68">
        <w:rPr>
          <w:color w:val="000000" w:themeColor="text1"/>
          <w:szCs w:val="28"/>
        </w:rPr>
        <w:t>(STEP 2)</w:t>
      </w:r>
      <w:r w:rsidR="00E2302F">
        <w:rPr>
          <w:color w:val="000000" w:themeColor="text1"/>
          <w:szCs w:val="28"/>
        </w:rPr>
        <w:t xml:space="preserve">: </w:t>
      </w:r>
      <w:r w:rsidR="00AB6A68">
        <w:rPr>
          <w:color w:val="000000" w:themeColor="text1"/>
          <w:szCs w:val="28"/>
        </w:rPr>
        <w:t>a</w:t>
      </w:r>
      <w:r w:rsidR="00E2302F">
        <w:rPr>
          <w:color w:val="000000" w:themeColor="text1"/>
          <w:szCs w:val="28"/>
        </w:rPr>
        <w:t xml:space="preserve"> </w:t>
      </w:r>
      <w:proofErr w:type="spellStart"/>
      <w:r w:rsidR="00E21A97">
        <w:rPr>
          <w:color w:val="000000" w:themeColor="text1"/>
          <w:szCs w:val="28"/>
        </w:rPr>
        <w:t>randomised</w:t>
      </w:r>
      <w:proofErr w:type="spellEnd"/>
      <w:r w:rsidR="00E21A97">
        <w:rPr>
          <w:color w:val="000000" w:themeColor="text1"/>
          <w:szCs w:val="28"/>
        </w:rPr>
        <w:t xml:space="preserve">, </w:t>
      </w:r>
      <w:r w:rsidR="00E21A97" w:rsidRPr="00E21A97">
        <w:rPr>
          <w:color w:val="000000" w:themeColor="text1"/>
          <w:szCs w:val="28"/>
        </w:rPr>
        <w:t>double-blind, double-dummy</w:t>
      </w:r>
      <w:r w:rsidR="00E21A97">
        <w:rPr>
          <w:color w:val="000000" w:themeColor="text1"/>
          <w:szCs w:val="28"/>
        </w:rPr>
        <w:t>,</w:t>
      </w:r>
      <w:r w:rsidR="00E21A97" w:rsidRPr="00E21A97">
        <w:rPr>
          <w:color w:val="000000" w:themeColor="text1"/>
          <w:szCs w:val="28"/>
        </w:rPr>
        <w:t xml:space="preserve"> </w:t>
      </w:r>
      <w:r w:rsidR="00C10782">
        <w:rPr>
          <w:color w:val="000000" w:themeColor="text1"/>
          <w:szCs w:val="28"/>
        </w:rPr>
        <w:t xml:space="preserve">placebo-controlled, </w:t>
      </w:r>
      <w:r w:rsidR="00E21A97">
        <w:rPr>
          <w:color w:val="000000" w:themeColor="text1"/>
          <w:szCs w:val="28"/>
        </w:rPr>
        <w:t>phase 3 clinical trial</w:t>
      </w:r>
      <w:bookmarkEnd w:id="2"/>
    </w:p>
    <w:bookmarkEnd w:id="0"/>
    <w:p w14:paraId="2E99DD38" w14:textId="69B90A41" w:rsidR="00B1644A" w:rsidRPr="00C951F0" w:rsidRDefault="00B1644A" w:rsidP="0039543A">
      <w:pPr>
        <w:rPr>
          <w:color w:val="000000" w:themeColor="text1"/>
        </w:rPr>
      </w:pPr>
      <w:r w:rsidRPr="00C951F0">
        <w:rPr>
          <w:color w:val="000000" w:themeColor="text1"/>
        </w:rPr>
        <w:t>Melanie Davies, MD,</w:t>
      </w:r>
      <w:r w:rsidR="00EB2E16" w:rsidRPr="00C951F0">
        <w:rPr>
          <w:color w:val="000000" w:themeColor="text1"/>
          <w:vertAlign w:val="superscript"/>
        </w:rPr>
        <w:t>1,2</w:t>
      </w:r>
      <w:r w:rsidRPr="00C951F0">
        <w:rPr>
          <w:color w:val="000000" w:themeColor="text1"/>
        </w:rPr>
        <w:t xml:space="preserve"> Louise Færch, MD,</w:t>
      </w:r>
      <w:r w:rsidR="00EB2E16" w:rsidRPr="00C951F0">
        <w:rPr>
          <w:color w:val="000000" w:themeColor="text1"/>
          <w:vertAlign w:val="superscript"/>
        </w:rPr>
        <w:t>3</w:t>
      </w:r>
      <w:r w:rsidRPr="00C951F0">
        <w:rPr>
          <w:color w:val="000000" w:themeColor="text1"/>
        </w:rPr>
        <w:t xml:space="preserve"> Ole Kleist Jeppesen, MSc,</w:t>
      </w:r>
      <w:r w:rsidR="00EB2E16" w:rsidRPr="00C951F0">
        <w:rPr>
          <w:color w:val="000000" w:themeColor="text1"/>
          <w:vertAlign w:val="superscript"/>
        </w:rPr>
        <w:t>3</w:t>
      </w:r>
      <w:r w:rsidRPr="00C951F0">
        <w:rPr>
          <w:color w:val="000000" w:themeColor="text1"/>
        </w:rPr>
        <w:t xml:space="preserve"> Arash Pakseresht, MD,</w:t>
      </w:r>
      <w:r w:rsidR="00EB2E16" w:rsidRPr="00C951F0">
        <w:rPr>
          <w:color w:val="000000" w:themeColor="text1"/>
          <w:vertAlign w:val="superscript"/>
        </w:rPr>
        <w:t>3</w:t>
      </w:r>
      <w:r w:rsidRPr="00C951F0">
        <w:rPr>
          <w:color w:val="000000" w:themeColor="text1"/>
        </w:rPr>
        <w:t xml:space="preserve"> Sue D. Pedersen, MD,</w:t>
      </w:r>
      <w:r w:rsidR="00EB2E16" w:rsidRPr="00C951F0">
        <w:rPr>
          <w:color w:val="000000" w:themeColor="text1"/>
          <w:vertAlign w:val="superscript"/>
        </w:rPr>
        <w:t>4</w:t>
      </w:r>
      <w:r w:rsidRPr="00C951F0">
        <w:rPr>
          <w:color w:val="000000" w:themeColor="text1"/>
        </w:rPr>
        <w:t xml:space="preserve"> Leigh Perreault, MD,</w:t>
      </w:r>
      <w:r w:rsidR="00EB2E16" w:rsidRPr="00C951F0">
        <w:rPr>
          <w:color w:val="000000" w:themeColor="text1"/>
          <w:vertAlign w:val="superscript"/>
        </w:rPr>
        <w:t>5</w:t>
      </w:r>
      <w:r w:rsidRPr="00C951F0">
        <w:rPr>
          <w:color w:val="000000" w:themeColor="text1"/>
        </w:rPr>
        <w:t xml:space="preserve"> Julio Rosenstock, MD,</w:t>
      </w:r>
      <w:r w:rsidR="00EB2E16" w:rsidRPr="00C951F0">
        <w:rPr>
          <w:color w:val="000000" w:themeColor="text1"/>
          <w:vertAlign w:val="superscript"/>
        </w:rPr>
        <w:t>6</w:t>
      </w:r>
      <w:r w:rsidRPr="00C951F0">
        <w:rPr>
          <w:color w:val="000000" w:themeColor="text1"/>
        </w:rPr>
        <w:t xml:space="preserve"> Iichiro Shimomura, MD</w:t>
      </w:r>
      <w:r w:rsidR="00352258" w:rsidRPr="00C951F0">
        <w:rPr>
          <w:color w:val="000000" w:themeColor="text1"/>
        </w:rPr>
        <w:t>,</w:t>
      </w:r>
      <w:r w:rsidR="00EB2E16" w:rsidRPr="00C951F0">
        <w:rPr>
          <w:color w:val="000000" w:themeColor="text1"/>
          <w:vertAlign w:val="superscript"/>
        </w:rPr>
        <w:t>7</w:t>
      </w:r>
      <w:r w:rsidRPr="00C951F0">
        <w:rPr>
          <w:color w:val="000000" w:themeColor="text1"/>
        </w:rPr>
        <w:t xml:space="preserve"> Adie Viljoen, FRCPath,</w:t>
      </w:r>
      <w:r w:rsidR="00EB2E16" w:rsidRPr="00C951F0">
        <w:rPr>
          <w:color w:val="000000" w:themeColor="text1"/>
          <w:vertAlign w:val="superscript"/>
        </w:rPr>
        <w:t>8</w:t>
      </w:r>
      <w:r w:rsidRPr="00C951F0">
        <w:rPr>
          <w:color w:val="000000" w:themeColor="text1"/>
        </w:rPr>
        <w:t xml:space="preserve"> Thomas A. Wadden, PhD,</w:t>
      </w:r>
      <w:r w:rsidR="00EB2E16" w:rsidRPr="00C951F0">
        <w:rPr>
          <w:color w:val="000000" w:themeColor="text1"/>
          <w:vertAlign w:val="superscript"/>
        </w:rPr>
        <w:t>9</w:t>
      </w:r>
      <w:r w:rsidR="00352258" w:rsidRPr="00C951F0">
        <w:rPr>
          <w:color w:val="000000" w:themeColor="text1"/>
        </w:rPr>
        <w:t xml:space="preserve"> </w:t>
      </w:r>
      <w:r w:rsidRPr="00C951F0">
        <w:rPr>
          <w:color w:val="000000" w:themeColor="text1"/>
        </w:rPr>
        <w:t>Ildiko Lingvay, MD</w:t>
      </w:r>
      <w:r w:rsidR="00352258" w:rsidRPr="00C951F0">
        <w:rPr>
          <w:color w:val="000000" w:themeColor="text1"/>
        </w:rPr>
        <w:t>,</w:t>
      </w:r>
      <w:r w:rsidR="003E3932" w:rsidRPr="00C951F0">
        <w:rPr>
          <w:color w:val="000000" w:themeColor="text1"/>
          <w:vertAlign w:val="superscript"/>
        </w:rPr>
        <w:t>10</w:t>
      </w:r>
      <w:r w:rsidRPr="00C951F0">
        <w:rPr>
          <w:color w:val="000000" w:themeColor="text1"/>
        </w:rPr>
        <w:t xml:space="preserve"> for the STEP 2 Study Group*</w:t>
      </w:r>
    </w:p>
    <w:p w14:paraId="59FA5252" w14:textId="29AAEA46" w:rsidR="00EB2E16" w:rsidRPr="00C951F0" w:rsidRDefault="00EB2E16" w:rsidP="00236FEA">
      <w:pPr>
        <w:rPr>
          <w:color w:val="000000" w:themeColor="text1"/>
        </w:rPr>
      </w:pPr>
      <w:r w:rsidRPr="00C951F0">
        <w:rPr>
          <w:color w:val="000000" w:themeColor="text1"/>
          <w:vertAlign w:val="superscript"/>
        </w:rPr>
        <w:t>1</w:t>
      </w:r>
      <w:r w:rsidR="00B1644A" w:rsidRPr="00C951F0">
        <w:rPr>
          <w:color w:val="000000" w:themeColor="text1"/>
        </w:rPr>
        <w:t>Diabetes Research Centre, University of Leicester, Leicester, UK</w:t>
      </w:r>
      <w:r w:rsidR="00BA3417" w:rsidRPr="00C951F0">
        <w:rPr>
          <w:color w:val="000000" w:themeColor="text1"/>
        </w:rPr>
        <w:t xml:space="preserve">; </w:t>
      </w:r>
    </w:p>
    <w:p w14:paraId="52E2F042" w14:textId="1CEA5A18" w:rsidR="00EB2E16" w:rsidRPr="00C951F0" w:rsidRDefault="00EB2E16" w:rsidP="00236FEA">
      <w:pPr>
        <w:rPr>
          <w:color w:val="000000" w:themeColor="text1"/>
        </w:rPr>
      </w:pPr>
      <w:r w:rsidRPr="00C951F0">
        <w:rPr>
          <w:color w:val="000000" w:themeColor="text1"/>
          <w:vertAlign w:val="superscript"/>
        </w:rPr>
        <w:t>2</w:t>
      </w:r>
      <w:r w:rsidR="00B1644A" w:rsidRPr="00C951F0">
        <w:rPr>
          <w:color w:val="000000" w:themeColor="text1"/>
        </w:rPr>
        <w:t>NIHR Leicester Biomedical Research Centre, Leicester, UK</w:t>
      </w:r>
      <w:r w:rsidR="00BA3417" w:rsidRPr="00C951F0">
        <w:rPr>
          <w:color w:val="000000" w:themeColor="text1"/>
        </w:rPr>
        <w:t>;</w:t>
      </w:r>
      <w:r w:rsidR="00352258" w:rsidRPr="00C951F0">
        <w:rPr>
          <w:color w:val="000000" w:themeColor="text1"/>
        </w:rPr>
        <w:t xml:space="preserve"> </w:t>
      </w:r>
    </w:p>
    <w:p w14:paraId="059591AA" w14:textId="119B3418" w:rsidR="00EB2E16" w:rsidRPr="00C951F0" w:rsidRDefault="00EB2E16" w:rsidP="00236FEA">
      <w:pPr>
        <w:rPr>
          <w:color w:val="000000" w:themeColor="text1"/>
        </w:rPr>
      </w:pPr>
      <w:r w:rsidRPr="00C951F0">
        <w:rPr>
          <w:color w:val="000000" w:themeColor="text1"/>
          <w:vertAlign w:val="superscript"/>
        </w:rPr>
        <w:t>3</w:t>
      </w:r>
      <w:r w:rsidR="00B1644A" w:rsidRPr="00C951F0">
        <w:rPr>
          <w:color w:val="000000" w:themeColor="text1"/>
        </w:rPr>
        <w:t xml:space="preserve">Novo Nordisk A/S, </w:t>
      </w:r>
      <w:proofErr w:type="spellStart"/>
      <w:r w:rsidR="00B1644A" w:rsidRPr="00C951F0">
        <w:rPr>
          <w:color w:val="000000" w:themeColor="text1"/>
        </w:rPr>
        <w:t>Søborg</w:t>
      </w:r>
      <w:proofErr w:type="spellEnd"/>
      <w:r w:rsidR="00B1644A" w:rsidRPr="00C951F0">
        <w:rPr>
          <w:color w:val="000000" w:themeColor="text1"/>
        </w:rPr>
        <w:t>, Denmark</w:t>
      </w:r>
      <w:r w:rsidR="00BA3417" w:rsidRPr="00C951F0">
        <w:rPr>
          <w:color w:val="000000" w:themeColor="text1"/>
        </w:rPr>
        <w:t>;</w:t>
      </w:r>
      <w:r w:rsidR="00352258" w:rsidRPr="00C951F0">
        <w:rPr>
          <w:color w:val="000000" w:themeColor="text1"/>
        </w:rPr>
        <w:t xml:space="preserve"> </w:t>
      </w:r>
    </w:p>
    <w:p w14:paraId="21FB2C01" w14:textId="0A2A2602" w:rsidR="00EB2E16" w:rsidRPr="00C951F0" w:rsidRDefault="00EB2E16" w:rsidP="00236FEA">
      <w:pPr>
        <w:rPr>
          <w:color w:val="000000" w:themeColor="text1"/>
        </w:rPr>
      </w:pPr>
      <w:r w:rsidRPr="00C951F0">
        <w:rPr>
          <w:color w:val="000000" w:themeColor="text1"/>
          <w:vertAlign w:val="superscript"/>
        </w:rPr>
        <w:t>4</w:t>
      </w:r>
      <w:r w:rsidR="00B1644A" w:rsidRPr="00C951F0">
        <w:rPr>
          <w:color w:val="000000" w:themeColor="text1"/>
        </w:rPr>
        <w:t>C-ENDO Diabetes &amp; Endocrinology Clinic Calgary, Calgary, AB, Canada</w:t>
      </w:r>
      <w:r w:rsidR="00BA3417" w:rsidRPr="00C951F0">
        <w:rPr>
          <w:color w:val="000000" w:themeColor="text1"/>
        </w:rPr>
        <w:t>;</w:t>
      </w:r>
      <w:r w:rsidR="00352258" w:rsidRPr="00C951F0">
        <w:rPr>
          <w:color w:val="000000" w:themeColor="text1"/>
        </w:rPr>
        <w:t xml:space="preserve"> </w:t>
      </w:r>
    </w:p>
    <w:p w14:paraId="49A5606E" w14:textId="0E00D16D" w:rsidR="00EB2E16" w:rsidRPr="00C951F0" w:rsidRDefault="00EB2E16" w:rsidP="00236FEA">
      <w:pPr>
        <w:rPr>
          <w:rFonts w:cs="Arial"/>
          <w:color w:val="000000" w:themeColor="text1"/>
          <w:shd w:val="clear" w:color="auto" w:fill="FFFFFF"/>
        </w:rPr>
      </w:pPr>
      <w:r w:rsidRPr="00C951F0">
        <w:rPr>
          <w:color w:val="000000" w:themeColor="text1"/>
          <w:vertAlign w:val="superscript"/>
        </w:rPr>
        <w:t>5</w:t>
      </w:r>
      <w:r w:rsidR="00B1644A" w:rsidRPr="00C951F0">
        <w:rPr>
          <w:rFonts w:cs="Arial"/>
          <w:color w:val="000000" w:themeColor="text1"/>
          <w:shd w:val="clear" w:color="auto" w:fill="FFFFFF"/>
        </w:rPr>
        <w:t>University of Colorado Anschutz Medical Campus, Aurora, CO, USA</w:t>
      </w:r>
      <w:r w:rsidR="00BA3417" w:rsidRPr="00C951F0">
        <w:rPr>
          <w:rFonts w:cs="Arial"/>
          <w:color w:val="000000" w:themeColor="text1"/>
          <w:shd w:val="clear" w:color="auto" w:fill="FFFFFF"/>
        </w:rPr>
        <w:t>;</w:t>
      </w:r>
      <w:r w:rsidR="00352258" w:rsidRPr="00C951F0">
        <w:rPr>
          <w:rFonts w:cs="Arial"/>
          <w:color w:val="000000" w:themeColor="text1"/>
          <w:shd w:val="clear" w:color="auto" w:fill="FFFFFF"/>
        </w:rPr>
        <w:t xml:space="preserve"> </w:t>
      </w:r>
    </w:p>
    <w:p w14:paraId="5C6E7105" w14:textId="506F0D00" w:rsidR="00EB2E16" w:rsidRPr="00C951F0" w:rsidRDefault="00EB2E16" w:rsidP="00236FEA">
      <w:pPr>
        <w:rPr>
          <w:color w:val="000000" w:themeColor="text1"/>
        </w:rPr>
      </w:pPr>
      <w:r w:rsidRPr="00C951F0">
        <w:rPr>
          <w:rFonts w:cs="Arial"/>
          <w:color w:val="000000" w:themeColor="text1"/>
          <w:shd w:val="clear" w:color="auto" w:fill="FFFFFF"/>
          <w:vertAlign w:val="superscript"/>
        </w:rPr>
        <w:t>6</w:t>
      </w:r>
      <w:r w:rsidR="00B1644A" w:rsidRPr="00C951F0">
        <w:rPr>
          <w:color w:val="000000" w:themeColor="text1"/>
        </w:rPr>
        <w:t>Dallas Diabetes Research Center at Medical City, Dallas, TX, USA</w:t>
      </w:r>
      <w:r w:rsidR="00BA3417" w:rsidRPr="00C951F0">
        <w:rPr>
          <w:color w:val="000000" w:themeColor="text1"/>
        </w:rPr>
        <w:t>;</w:t>
      </w:r>
      <w:r w:rsidR="00352258" w:rsidRPr="00C951F0">
        <w:rPr>
          <w:color w:val="000000" w:themeColor="text1"/>
        </w:rPr>
        <w:t xml:space="preserve"> </w:t>
      </w:r>
    </w:p>
    <w:p w14:paraId="6099B990" w14:textId="4F52A100" w:rsidR="00EB2E16" w:rsidRPr="00C951F0" w:rsidRDefault="00EB2E16" w:rsidP="00236FEA">
      <w:pPr>
        <w:rPr>
          <w:color w:val="000000" w:themeColor="text1"/>
        </w:rPr>
      </w:pPr>
      <w:r w:rsidRPr="00C951F0">
        <w:rPr>
          <w:color w:val="000000" w:themeColor="text1"/>
          <w:vertAlign w:val="superscript"/>
        </w:rPr>
        <w:t>7</w:t>
      </w:r>
      <w:r w:rsidR="00B1644A" w:rsidRPr="00C951F0">
        <w:rPr>
          <w:color w:val="000000" w:themeColor="text1"/>
        </w:rPr>
        <w:t>Graduate School of Medicine, Osaka University, 2-2-B5, Yamada-</w:t>
      </w:r>
      <w:proofErr w:type="spellStart"/>
      <w:r w:rsidR="00B1644A" w:rsidRPr="00C951F0">
        <w:rPr>
          <w:color w:val="000000" w:themeColor="text1"/>
        </w:rPr>
        <w:t>oka</w:t>
      </w:r>
      <w:proofErr w:type="spellEnd"/>
      <w:r w:rsidR="00B1644A" w:rsidRPr="00C951F0">
        <w:rPr>
          <w:color w:val="000000" w:themeColor="text1"/>
        </w:rPr>
        <w:t>, Suita, Osaka 565–0871, Japan</w:t>
      </w:r>
      <w:r w:rsidR="00BA3417" w:rsidRPr="00C951F0">
        <w:rPr>
          <w:color w:val="000000" w:themeColor="text1"/>
        </w:rPr>
        <w:t>;</w:t>
      </w:r>
      <w:r w:rsidR="00352258" w:rsidRPr="00C951F0">
        <w:rPr>
          <w:color w:val="000000" w:themeColor="text1"/>
        </w:rPr>
        <w:t xml:space="preserve"> </w:t>
      </w:r>
    </w:p>
    <w:p w14:paraId="70B41AE3" w14:textId="2FF75B56" w:rsidR="00EB2E16" w:rsidRPr="00C951F0" w:rsidRDefault="00EB2E16" w:rsidP="00236FEA">
      <w:pPr>
        <w:rPr>
          <w:color w:val="000000" w:themeColor="text1"/>
        </w:rPr>
      </w:pPr>
      <w:r w:rsidRPr="00C951F0">
        <w:rPr>
          <w:color w:val="000000" w:themeColor="text1"/>
          <w:vertAlign w:val="superscript"/>
        </w:rPr>
        <w:t>8</w:t>
      </w:r>
      <w:r w:rsidR="00B1644A" w:rsidRPr="00C951F0">
        <w:rPr>
          <w:color w:val="000000" w:themeColor="text1"/>
        </w:rPr>
        <w:t xml:space="preserve">Borthwick Diabetes Research Unit, Lister Hospital, </w:t>
      </w:r>
      <w:proofErr w:type="spellStart"/>
      <w:r w:rsidR="00B1644A" w:rsidRPr="00C951F0">
        <w:rPr>
          <w:color w:val="000000" w:themeColor="text1"/>
        </w:rPr>
        <w:t>Stevenage</w:t>
      </w:r>
      <w:proofErr w:type="spellEnd"/>
      <w:r w:rsidR="00B1644A" w:rsidRPr="00C951F0">
        <w:rPr>
          <w:color w:val="000000" w:themeColor="text1"/>
        </w:rPr>
        <w:t>, UK</w:t>
      </w:r>
      <w:r w:rsidR="00FF595F" w:rsidRPr="00C951F0">
        <w:rPr>
          <w:color w:val="000000" w:themeColor="text1"/>
        </w:rPr>
        <w:t>;</w:t>
      </w:r>
      <w:r w:rsidR="00352258" w:rsidRPr="00C951F0">
        <w:rPr>
          <w:color w:val="000000" w:themeColor="text1"/>
        </w:rPr>
        <w:t xml:space="preserve"> </w:t>
      </w:r>
    </w:p>
    <w:p w14:paraId="6337C561" w14:textId="700E481F" w:rsidR="00EB2E16" w:rsidRPr="00C951F0" w:rsidRDefault="00EB2E16" w:rsidP="00236FEA">
      <w:pPr>
        <w:rPr>
          <w:color w:val="000000" w:themeColor="text1"/>
        </w:rPr>
      </w:pPr>
      <w:r w:rsidRPr="00C951F0">
        <w:rPr>
          <w:color w:val="000000" w:themeColor="text1"/>
          <w:vertAlign w:val="superscript"/>
        </w:rPr>
        <w:t>9</w:t>
      </w:r>
      <w:r w:rsidR="00B1644A" w:rsidRPr="00C951F0">
        <w:rPr>
          <w:color w:val="000000" w:themeColor="text1"/>
        </w:rPr>
        <w:t>Perelman School of Medicine, University of Pennsylvania, Philadelphia, PA, USA</w:t>
      </w:r>
      <w:r w:rsidR="00FF595F" w:rsidRPr="00C951F0">
        <w:rPr>
          <w:color w:val="000000" w:themeColor="text1"/>
        </w:rPr>
        <w:t>;</w:t>
      </w:r>
    </w:p>
    <w:p w14:paraId="20E554D0" w14:textId="7D799777" w:rsidR="00B1644A" w:rsidRPr="00C951F0" w:rsidRDefault="00EB2E16" w:rsidP="00236FEA">
      <w:pPr>
        <w:rPr>
          <w:color w:val="000000" w:themeColor="text1"/>
        </w:rPr>
      </w:pPr>
      <w:r w:rsidRPr="00C951F0">
        <w:rPr>
          <w:color w:val="000000" w:themeColor="text1"/>
          <w:vertAlign w:val="superscript"/>
        </w:rPr>
        <w:t>10</w:t>
      </w:r>
      <w:r w:rsidR="00B1644A" w:rsidRPr="00C951F0">
        <w:rPr>
          <w:color w:val="000000" w:themeColor="text1"/>
        </w:rPr>
        <w:t>University of Texas Southwestern Medical Center, Dallas, TX, USA</w:t>
      </w:r>
    </w:p>
    <w:p w14:paraId="18F37E9D" w14:textId="540706BE" w:rsidR="00B1644A" w:rsidRPr="00C951F0" w:rsidRDefault="00B1644A" w:rsidP="0039543A">
      <w:pPr>
        <w:rPr>
          <w:color w:val="000000" w:themeColor="text1"/>
        </w:rPr>
      </w:pPr>
      <w:r w:rsidRPr="00C951F0">
        <w:rPr>
          <w:color w:val="000000" w:themeColor="text1"/>
        </w:rPr>
        <w:t>*A complete list of investigators for the Semaglutide Treatment Effect in People with Obesity (STEP) 2 trial is provided in the supplementary appendix</w:t>
      </w:r>
      <w:r w:rsidR="00775C37" w:rsidRPr="00C951F0">
        <w:rPr>
          <w:color w:val="000000" w:themeColor="text1"/>
        </w:rPr>
        <w:t xml:space="preserve"> (p 2)</w:t>
      </w:r>
      <w:r w:rsidRPr="00C951F0">
        <w:rPr>
          <w:color w:val="000000" w:themeColor="text1"/>
        </w:rPr>
        <w:t>.</w:t>
      </w:r>
    </w:p>
    <w:bookmarkEnd w:id="1"/>
    <w:p w14:paraId="613E6466" w14:textId="77777777" w:rsidR="00330FE0" w:rsidRDefault="00330FE0" w:rsidP="00BA3417">
      <w:pPr>
        <w:rPr>
          <w:b/>
          <w:color w:val="000000" w:themeColor="text1"/>
        </w:rPr>
      </w:pPr>
    </w:p>
    <w:p w14:paraId="32C6913F" w14:textId="518E757F" w:rsidR="00EB2E16" w:rsidRPr="00C951F0" w:rsidRDefault="00EB2E16" w:rsidP="00BA3417">
      <w:pPr>
        <w:rPr>
          <w:b/>
          <w:color w:val="000000" w:themeColor="text1"/>
        </w:rPr>
      </w:pPr>
      <w:r w:rsidRPr="00C951F0">
        <w:rPr>
          <w:b/>
          <w:color w:val="000000" w:themeColor="text1"/>
        </w:rPr>
        <w:lastRenderedPageBreak/>
        <w:t>Corresponding Author</w:t>
      </w:r>
    </w:p>
    <w:p w14:paraId="6450BB0D" w14:textId="10397D72" w:rsidR="00EB2E16" w:rsidRPr="00C951F0" w:rsidRDefault="00BA3417" w:rsidP="00BA3417">
      <w:pPr>
        <w:rPr>
          <w:color w:val="000000" w:themeColor="text1"/>
        </w:rPr>
      </w:pPr>
      <w:r w:rsidRPr="00C951F0">
        <w:rPr>
          <w:color w:val="000000" w:themeColor="text1"/>
        </w:rPr>
        <w:t>Dr</w:t>
      </w:r>
      <w:r w:rsidR="009B7CB5" w:rsidRPr="00C951F0">
        <w:rPr>
          <w:color w:val="000000" w:themeColor="text1"/>
        </w:rPr>
        <w:t>.</w:t>
      </w:r>
      <w:r w:rsidR="00EB2E16" w:rsidRPr="00C951F0">
        <w:rPr>
          <w:color w:val="000000" w:themeColor="text1"/>
        </w:rPr>
        <w:t xml:space="preserve"> Ildiko</w:t>
      </w:r>
      <w:r w:rsidRPr="00C951F0">
        <w:rPr>
          <w:color w:val="000000" w:themeColor="text1"/>
        </w:rPr>
        <w:t xml:space="preserve"> </w:t>
      </w:r>
      <w:r w:rsidR="00B1644A" w:rsidRPr="00C951F0">
        <w:rPr>
          <w:color w:val="000000" w:themeColor="text1"/>
        </w:rPr>
        <w:t>Lingvay</w:t>
      </w:r>
    </w:p>
    <w:p w14:paraId="2AF13659" w14:textId="088E374A" w:rsidR="00CE7BB9" w:rsidRPr="00C951F0" w:rsidRDefault="00B1644A" w:rsidP="00BA3417">
      <w:pPr>
        <w:rPr>
          <w:color w:val="000000" w:themeColor="text1"/>
        </w:rPr>
      </w:pPr>
      <w:r w:rsidRPr="00C951F0">
        <w:rPr>
          <w:color w:val="000000" w:themeColor="text1"/>
        </w:rPr>
        <w:t>University of Texas Southwestern Medical Center</w:t>
      </w:r>
      <w:r w:rsidR="00BA3417" w:rsidRPr="00C951F0">
        <w:rPr>
          <w:color w:val="000000" w:themeColor="text1"/>
        </w:rPr>
        <w:t xml:space="preserve">, </w:t>
      </w:r>
      <w:r w:rsidRPr="00C951F0">
        <w:rPr>
          <w:color w:val="000000" w:themeColor="text1"/>
        </w:rPr>
        <w:t>Department of Internal Medicine/Endocrinology and Department of Population and Data Sciences</w:t>
      </w:r>
      <w:r w:rsidR="00BA3417" w:rsidRPr="00C951F0">
        <w:rPr>
          <w:color w:val="000000" w:themeColor="text1"/>
        </w:rPr>
        <w:t xml:space="preserve">, </w:t>
      </w:r>
      <w:r w:rsidRPr="00C951F0">
        <w:rPr>
          <w:color w:val="000000" w:themeColor="text1"/>
        </w:rPr>
        <w:t>5323 Harry Hines Blvd</w:t>
      </w:r>
      <w:r w:rsidR="00BA3417" w:rsidRPr="00C951F0">
        <w:rPr>
          <w:color w:val="000000" w:themeColor="text1"/>
        </w:rPr>
        <w:t xml:space="preserve">, </w:t>
      </w:r>
      <w:r w:rsidRPr="00C951F0">
        <w:rPr>
          <w:color w:val="000000" w:themeColor="text1"/>
        </w:rPr>
        <w:t>Dallas TX 75390-9302, USA</w:t>
      </w:r>
    </w:p>
    <w:p w14:paraId="4929EF62" w14:textId="52EBC030" w:rsidR="00BA3417" w:rsidRPr="00C951F0" w:rsidRDefault="00CE7BB9" w:rsidP="00BA3417">
      <w:pPr>
        <w:rPr>
          <w:color w:val="000000" w:themeColor="text1"/>
        </w:rPr>
      </w:pPr>
      <w:r w:rsidRPr="00C951F0">
        <w:rPr>
          <w:b/>
          <w:bCs/>
          <w:color w:val="000000" w:themeColor="text1"/>
        </w:rPr>
        <w:t>Email:</w:t>
      </w:r>
      <w:r w:rsidRPr="00C951F0">
        <w:rPr>
          <w:color w:val="000000" w:themeColor="text1"/>
        </w:rPr>
        <w:t xml:space="preserve"> </w:t>
      </w:r>
      <w:r w:rsidR="00BA3417" w:rsidRPr="00C951F0">
        <w:rPr>
          <w:color w:val="000000" w:themeColor="text1"/>
        </w:rPr>
        <w:t>Ildiko.lingvay@utsouthwestern.edu</w:t>
      </w:r>
    </w:p>
    <w:p w14:paraId="06FFF6EF" w14:textId="1D860349" w:rsidR="00B1644A" w:rsidRPr="00C951F0" w:rsidRDefault="00B1644A" w:rsidP="0039543A">
      <w:pPr>
        <w:rPr>
          <w:color w:val="000000" w:themeColor="text1"/>
        </w:rPr>
      </w:pPr>
      <w:r w:rsidRPr="00C951F0">
        <w:rPr>
          <w:b/>
          <w:bCs/>
          <w:color w:val="000000" w:themeColor="text1"/>
        </w:rPr>
        <w:t>Telephone:</w:t>
      </w:r>
      <w:r w:rsidRPr="00C951F0">
        <w:rPr>
          <w:color w:val="000000" w:themeColor="text1"/>
        </w:rPr>
        <w:t xml:space="preserve"> +1 214-648-2779</w:t>
      </w:r>
    </w:p>
    <w:p w14:paraId="2EA78F83" w14:textId="77777777" w:rsidR="00B1644A" w:rsidRPr="00C951F0" w:rsidRDefault="00B1644A">
      <w:pPr>
        <w:spacing w:after="160" w:line="259" w:lineRule="auto"/>
        <w:rPr>
          <w:rStyle w:val="Heading1Char"/>
          <w:rFonts w:eastAsiaTheme="minorHAnsi"/>
          <w:color w:val="000000" w:themeColor="text1"/>
          <w:szCs w:val="36"/>
        </w:rPr>
      </w:pPr>
      <w:r w:rsidRPr="00C951F0">
        <w:rPr>
          <w:rStyle w:val="Heading1Char"/>
          <w:rFonts w:eastAsiaTheme="minorHAnsi"/>
          <w:b w:val="0"/>
          <w:bCs w:val="0"/>
          <w:color w:val="000000" w:themeColor="text1"/>
          <w:szCs w:val="36"/>
        </w:rPr>
        <w:br w:type="page"/>
      </w:r>
    </w:p>
    <w:p w14:paraId="6D395A32" w14:textId="1FB9A088" w:rsidR="00B1644A" w:rsidRPr="00C951F0" w:rsidRDefault="00D12997" w:rsidP="0039543A">
      <w:pPr>
        <w:pStyle w:val="Heading1"/>
        <w:rPr>
          <w:rFonts w:cs="Arial"/>
          <w:color w:val="000000" w:themeColor="text1"/>
        </w:rPr>
      </w:pPr>
      <w:r w:rsidRPr="00C951F0">
        <w:rPr>
          <w:rStyle w:val="Heading1Char"/>
          <w:rFonts w:eastAsiaTheme="minorHAnsi"/>
          <w:b/>
          <w:bCs/>
          <w:color w:val="000000" w:themeColor="text1"/>
          <w:szCs w:val="36"/>
        </w:rPr>
        <w:lastRenderedPageBreak/>
        <w:t>Abstract</w:t>
      </w:r>
      <w:r w:rsidR="00B1644A" w:rsidRPr="00C951F0">
        <w:rPr>
          <w:rFonts w:cs="Arial"/>
          <w:color w:val="000000" w:themeColor="text1"/>
        </w:rPr>
        <w:t xml:space="preserve"> </w:t>
      </w:r>
    </w:p>
    <w:p w14:paraId="4C46268D" w14:textId="7B25E83B" w:rsidR="00B1644A" w:rsidRPr="00C951F0" w:rsidRDefault="00B1644A" w:rsidP="0039543A">
      <w:pPr>
        <w:spacing w:after="0"/>
        <w:rPr>
          <w:rFonts w:cstheme="minorHAnsi"/>
          <w:b/>
          <w:bCs/>
          <w:color w:val="000000" w:themeColor="text1"/>
        </w:rPr>
      </w:pPr>
      <w:r w:rsidRPr="00C951F0">
        <w:rPr>
          <w:rFonts w:cstheme="minorHAnsi"/>
          <w:b/>
          <w:bCs/>
          <w:color w:val="000000" w:themeColor="text1"/>
        </w:rPr>
        <w:t xml:space="preserve">Background: </w:t>
      </w:r>
      <w:r w:rsidR="00B87F20" w:rsidRPr="00C951F0">
        <w:rPr>
          <w:rFonts w:cstheme="minorHAnsi"/>
          <w:color w:val="000000" w:themeColor="text1"/>
        </w:rPr>
        <w:t>This trial</w:t>
      </w:r>
      <w:r w:rsidRPr="00C951F0">
        <w:rPr>
          <w:rFonts w:cstheme="minorHAnsi"/>
          <w:color w:val="000000" w:themeColor="text1"/>
        </w:rPr>
        <w:t xml:space="preserve"> </w:t>
      </w:r>
      <w:r w:rsidR="00B87F20" w:rsidRPr="00C951F0">
        <w:rPr>
          <w:rFonts w:cstheme="minorHAnsi"/>
          <w:color w:val="000000" w:themeColor="text1"/>
        </w:rPr>
        <w:t>assessed</w:t>
      </w:r>
      <w:r w:rsidRPr="00C951F0">
        <w:rPr>
          <w:rFonts w:cstheme="minorHAnsi"/>
          <w:color w:val="000000" w:themeColor="text1"/>
        </w:rPr>
        <w:t xml:space="preserve"> </w:t>
      </w:r>
      <w:r w:rsidR="00E9760F">
        <w:rPr>
          <w:rFonts w:cstheme="minorHAnsi"/>
          <w:color w:val="000000" w:themeColor="text1"/>
        </w:rPr>
        <w:t xml:space="preserve">the efficacy and safety of the </w:t>
      </w:r>
      <w:r w:rsidR="00E9760F" w:rsidRPr="00C951F0">
        <w:rPr>
          <w:rFonts w:cstheme="minorHAnsi"/>
          <w:color w:val="000000" w:themeColor="text1"/>
        </w:rPr>
        <w:t xml:space="preserve">glucagon-like peptide-1 analogue </w:t>
      </w:r>
      <w:r w:rsidRPr="00C951F0">
        <w:rPr>
          <w:rFonts w:cstheme="minorHAnsi"/>
          <w:color w:val="000000" w:themeColor="text1"/>
        </w:rPr>
        <w:t xml:space="preserve">once-weekly </w:t>
      </w:r>
      <w:r w:rsidR="002B637F" w:rsidRPr="00C951F0">
        <w:rPr>
          <w:color w:val="000000" w:themeColor="text1"/>
        </w:rPr>
        <w:t>subcutaneous</w:t>
      </w:r>
      <w:r w:rsidR="002B637F">
        <w:rPr>
          <w:color w:val="000000" w:themeColor="text1"/>
        </w:rPr>
        <w:t xml:space="preserve"> </w:t>
      </w:r>
      <w:r w:rsidRPr="00C951F0">
        <w:rPr>
          <w:rFonts w:cstheme="minorHAnsi"/>
          <w:color w:val="000000" w:themeColor="text1"/>
        </w:rPr>
        <w:t xml:space="preserve">semaglutide </w:t>
      </w:r>
      <w:r w:rsidR="00E9760F" w:rsidRPr="00C951F0">
        <w:rPr>
          <w:rFonts w:eastAsia="TimesLTStd-Roman" w:cstheme="minorHAnsi"/>
          <w:color w:val="000000" w:themeColor="text1"/>
        </w:rPr>
        <w:t xml:space="preserve">2·4 mg versus 1·0 mg (dose approved </w:t>
      </w:r>
      <w:r w:rsidR="004E732B">
        <w:rPr>
          <w:rFonts w:eastAsia="TimesLTStd-Roman" w:cstheme="minorHAnsi"/>
          <w:color w:val="000000" w:themeColor="text1"/>
        </w:rPr>
        <w:t xml:space="preserve">for </w:t>
      </w:r>
      <w:r w:rsidR="00E9760F" w:rsidRPr="00C951F0">
        <w:rPr>
          <w:rFonts w:eastAsia="TimesLTStd-Roman" w:cstheme="minorHAnsi"/>
          <w:color w:val="000000" w:themeColor="text1"/>
        </w:rPr>
        <w:t xml:space="preserve">diabetes treatment) and </w:t>
      </w:r>
      <w:proofErr w:type="gramStart"/>
      <w:r w:rsidR="00E9760F" w:rsidRPr="00C951F0">
        <w:rPr>
          <w:rFonts w:eastAsia="TimesLTStd-Roman" w:cstheme="minorHAnsi"/>
          <w:color w:val="000000" w:themeColor="text1"/>
        </w:rPr>
        <w:t>placebo</w:t>
      </w:r>
      <w:r w:rsidR="00E9760F">
        <w:rPr>
          <w:rFonts w:cstheme="minorHAnsi"/>
          <w:color w:val="000000" w:themeColor="text1"/>
        </w:rPr>
        <w:t xml:space="preserve"> </w:t>
      </w:r>
      <w:r w:rsidRPr="00C951F0">
        <w:rPr>
          <w:rFonts w:cstheme="minorHAnsi"/>
          <w:color w:val="000000" w:themeColor="text1"/>
        </w:rPr>
        <w:t xml:space="preserve"> for</w:t>
      </w:r>
      <w:proofErr w:type="gramEnd"/>
      <w:r w:rsidRPr="00C951F0">
        <w:rPr>
          <w:rFonts w:cstheme="minorHAnsi"/>
          <w:color w:val="000000" w:themeColor="text1"/>
        </w:rPr>
        <w:t xml:space="preserve"> weight management in adults with overweight/obesity and type 2 diabetes.</w:t>
      </w:r>
    </w:p>
    <w:p w14:paraId="1C02295F" w14:textId="77777777" w:rsidR="00706382" w:rsidRDefault="00B1644A" w:rsidP="0039543A">
      <w:pPr>
        <w:autoSpaceDE w:val="0"/>
        <w:autoSpaceDN w:val="0"/>
        <w:adjustRightInd w:val="0"/>
        <w:spacing w:after="0"/>
        <w:rPr>
          <w:color w:val="000000" w:themeColor="text1"/>
        </w:rPr>
      </w:pPr>
      <w:r w:rsidRPr="00C951F0">
        <w:rPr>
          <w:b/>
          <w:bCs/>
          <w:color w:val="000000" w:themeColor="text1"/>
        </w:rPr>
        <w:t xml:space="preserve">Methods: </w:t>
      </w:r>
      <w:r w:rsidRPr="00C951F0">
        <w:rPr>
          <w:color w:val="000000" w:themeColor="text1"/>
        </w:rPr>
        <w:t xml:space="preserve">This </w:t>
      </w:r>
      <w:bookmarkStart w:id="3" w:name="_Hlk58410541"/>
      <w:r w:rsidRPr="00C951F0">
        <w:rPr>
          <w:color w:val="000000" w:themeColor="text1"/>
        </w:rPr>
        <w:t>double-blind, double-dummy</w:t>
      </w:r>
      <w:r w:rsidR="00E9760F">
        <w:rPr>
          <w:color w:val="000000" w:themeColor="text1"/>
        </w:rPr>
        <w:t>, phase 3</w:t>
      </w:r>
      <w:r w:rsidRPr="00C951F0">
        <w:rPr>
          <w:color w:val="000000" w:themeColor="text1"/>
        </w:rPr>
        <w:t xml:space="preserve"> study</w:t>
      </w:r>
      <w:r w:rsidR="00E9760F">
        <w:rPr>
          <w:color w:val="000000" w:themeColor="text1"/>
        </w:rPr>
        <w:t>,</w:t>
      </w:r>
      <w:r w:rsidRPr="00C951F0">
        <w:rPr>
          <w:color w:val="000000" w:themeColor="text1"/>
        </w:rPr>
        <w:t xml:space="preserve"> </w:t>
      </w:r>
      <w:r w:rsidR="00301168">
        <w:rPr>
          <w:color w:val="000000" w:themeColor="text1"/>
        </w:rPr>
        <w:t xml:space="preserve">enrolled </w:t>
      </w:r>
      <w:bookmarkEnd w:id="3"/>
      <w:r w:rsidRPr="00C951F0">
        <w:rPr>
          <w:color w:val="000000" w:themeColor="text1"/>
        </w:rPr>
        <w:t xml:space="preserve">adults with body mass index </w:t>
      </w:r>
      <w:r w:rsidRPr="00C951F0">
        <w:rPr>
          <w:rFonts w:cs="Arial"/>
          <w:color w:val="000000" w:themeColor="text1"/>
        </w:rPr>
        <w:t>≥</w:t>
      </w:r>
      <w:r w:rsidRPr="00C951F0">
        <w:rPr>
          <w:color w:val="000000" w:themeColor="text1"/>
        </w:rPr>
        <w:t>27 kg/m</w:t>
      </w:r>
      <w:r w:rsidRPr="00C951F0">
        <w:rPr>
          <w:color w:val="000000" w:themeColor="text1"/>
          <w:vertAlign w:val="superscript"/>
        </w:rPr>
        <w:t>2</w:t>
      </w:r>
      <w:r w:rsidRPr="00C951F0">
        <w:rPr>
          <w:color w:val="000000" w:themeColor="text1"/>
        </w:rPr>
        <w:t xml:space="preserve"> and glycated </w:t>
      </w:r>
      <w:proofErr w:type="spellStart"/>
      <w:r w:rsidR="007B5725" w:rsidRPr="00C951F0">
        <w:rPr>
          <w:color w:val="000000" w:themeColor="text1"/>
        </w:rPr>
        <w:t>haemo</w:t>
      </w:r>
      <w:r w:rsidRPr="00C951F0">
        <w:rPr>
          <w:color w:val="000000" w:themeColor="text1"/>
        </w:rPr>
        <w:t>globin</w:t>
      </w:r>
      <w:proofErr w:type="spellEnd"/>
      <w:r w:rsidRPr="00C951F0">
        <w:rPr>
          <w:color w:val="000000" w:themeColor="text1"/>
        </w:rPr>
        <w:t xml:space="preserve"> 7–10% </w:t>
      </w:r>
      <w:r w:rsidR="0096099B" w:rsidRPr="00C951F0">
        <w:rPr>
          <w:color w:val="000000" w:themeColor="text1"/>
        </w:rPr>
        <w:t>(</w:t>
      </w:r>
      <w:r w:rsidRPr="00C951F0">
        <w:rPr>
          <w:color w:val="000000" w:themeColor="text1"/>
        </w:rPr>
        <w:t>53–86 mmol/mol)</w:t>
      </w:r>
      <w:r w:rsidR="001F1B21">
        <w:rPr>
          <w:color w:val="000000" w:themeColor="text1"/>
        </w:rPr>
        <w:t xml:space="preserve">. </w:t>
      </w:r>
      <w:r w:rsidR="00CF7014">
        <w:rPr>
          <w:color w:val="000000" w:themeColor="text1"/>
        </w:rPr>
        <w:t>Patients</w:t>
      </w:r>
      <w:r w:rsidR="001F1B21" w:rsidRPr="001F1B21">
        <w:rPr>
          <w:color w:val="000000" w:themeColor="text1"/>
        </w:rPr>
        <w:t xml:space="preserve"> were </w:t>
      </w:r>
      <w:proofErr w:type="spellStart"/>
      <w:r w:rsidR="001F1B21" w:rsidRPr="001F1B21">
        <w:rPr>
          <w:color w:val="000000" w:themeColor="text1"/>
        </w:rPr>
        <w:t>random</w:t>
      </w:r>
      <w:r w:rsidR="001F1B21">
        <w:rPr>
          <w:color w:val="000000" w:themeColor="text1"/>
        </w:rPr>
        <w:t>ised</w:t>
      </w:r>
      <w:proofErr w:type="spellEnd"/>
      <w:r w:rsidR="001F1B21" w:rsidRPr="001F1B21">
        <w:rPr>
          <w:color w:val="000000" w:themeColor="text1"/>
        </w:rPr>
        <w:t xml:space="preserve"> (</w:t>
      </w:r>
      <w:r w:rsidR="001F1B21">
        <w:rPr>
          <w:color w:val="000000" w:themeColor="text1"/>
        </w:rPr>
        <w:t>1</w:t>
      </w:r>
      <w:r w:rsidR="001F1B21" w:rsidRPr="001F1B21">
        <w:rPr>
          <w:color w:val="000000" w:themeColor="text1"/>
        </w:rPr>
        <w:t>:</w:t>
      </w:r>
      <w:r w:rsidR="001F1B21">
        <w:rPr>
          <w:color w:val="000000" w:themeColor="text1"/>
        </w:rPr>
        <w:t>1</w:t>
      </w:r>
      <w:r w:rsidR="001F1B21" w:rsidRPr="001F1B21">
        <w:rPr>
          <w:color w:val="000000" w:themeColor="text1"/>
        </w:rPr>
        <w:t xml:space="preserve">:1) </w:t>
      </w:r>
      <w:r w:rsidR="001F1B21">
        <w:rPr>
          <w:color w:val="000000" w:themeColor="text1"/>
        </w:rPr>
        <w:t>via</w:t>
      </w:r>
      <w:r w:rsidR="001F1B21" w:rsidRPr="001F1B21">
        <w:rPr>
          <w:color w:val="000000" w:themeColor="text1"/>
        </w:rPr>
        <w:t xml:space="preserve"> an interactive web-response system and stratified by</w:t>
      </w:r>
      <w:r w:rsidR="001F1B21">
        <w:rPr>
          <w:color w:val="000000" w:themeColor="text1"/>
        </w:rPr>
        <w:t xml:space="preserve"> </w:t>
      </w:r>
      <w:r w:rsidR="001F1B21" w:rsidRPr="001F1B21">
        <w:rPr>
          <w:color w:val="000000" w:themeColor="text1"/>
        </w:rPr>
        <w:t xml:space="preserve">background glucose-lowering medication and </w:t>
      </w:r>
      <w:r w:rsidR="001F1B21">
        <w:rPr>
          <w:color w:val="000000" w:themeColor="text1"/>
        </w:rPr>
        <w:t xml:space="preserve">glycated </w:t>
      </w:r>
      <w:proofErr w:type="spellStart"/>
      <w:r w:rsidR="001F1B21">
        <w:rPr>
          <w:color w:val="000000" w:themeColor="text1"/>
        </w:rPr>
        <w:t>haemoglobin</w:t>
      </w:r>
      <w:proofErr w:type="spellEnd"/>
      <w:r w:rsidR="001F1B21" w:rsidRPr="001F1B21">
        <w:rPr>
          <w:color w:val="000000" w:themeColor="text1"/>
        </w:rPr>
        <w:t xml:space="preserve">, </w:t>
      </w:r>
      <w:r w:rsidRPr="00C951F0">
        <w:rPr>
          <w:color w:val="000000" w:themeColor="text1"/>
        </w:rPr>
        <w:t xml:space="preserve">to once-weekly subcutaneous </w:t>
      </w:r>
      <w:r w:rsidR="00B55DEA">
        <w:rPr>
          <w:color w:val="000000" w:themeColor="text1"/>
        </w:rPr>
        <w:t xml:space="preserve">injection of </w:t>
      </w:r>
      <w:r w:rsidRPr="00C951F0">
        <w:rPr>
          <w:color w:val="000000" w:themeColor="text1"/>
        </w:rPr>
        <w:t>semaglutide 2</w:t>
      </w:r>
      <w:r w:rsidR="006014F5" w:rsidRPr="00C951F0">
        <w:rPr>
          <w:color w:val="000000" w:themeColor="text1"/>
        </w:rPr>
        <w:t>·</w:t>
      </w:r>
      <w:r w:rsidRPr="00C951F0">
        <w:rPr>
          <w:color w:val="000000" w:themeColor="text1"/>
        </w:rPr>
        <w:t xml:space="preserve">4 mg, </w:t>
      </w:r>
      <w:r w:rsidR="00B55DEA">
        <w:rPr>
          <w:color w:val="000000" w:themeColor="text1"/>
        </w:rPr>
        <w:t xml:space="preserve">or </w:t>
      </w:r>
      <w:r w:rsidRPr="00C951F0">
        <w:rPr>
          <w:color w:val="000000" w:themeColor="text1"/>
        </w:rPr>
        <w:t>1</w:t>
      </w:r>
      <w:r w:rsidR="006014F5" w:rsidRPr="00C951F0">
        <w:rPr>
          <w:color w:val="000000" w:themeColor="text1"/>
        </w:rPr>
        <w:t>·</w:t>
      </w:r>
      <w:r w:rsidRPr="00C951F0">
        <w:rPr>
          <w:color w:val="000000" w:themeColor="text1"/>
        </w:rPr>
        <w:t xml:space="preserve">0 mg, or </w:t>
      </w:r>
      <w:r w:rsidR="00CF7014">
        <w:rPr>
          <w:color w:val="000000" w:themeColor="text1"/>
        </w:rPr>
        <w:t xml:space="preserve">visually matching </w:t>
      </w:r>
      <w:r w:rsidRPr="00C951F0">
        <w:rPr>
          <w:color w:val="000000" w:themeColor="text1"/>
        </w:rPr>
        <w:t>placebo for 68 weeks. Co-primary endpoints were percentage change in body weight and achievement of weight reduction</w:t>
      </w:r>
      <w:r w:rsidR="00FF595F" w:rsidRPr="00C951F0">
        <w:rPr>
          <w:color w:val="000000" w:themeColor="text1"/>
        </w:rPr>
        <w:t xml:space="preserve"> </w:t>
      </w:r>
      <w:r w:rsidRPr="00C951F0">
        <w:rPr>
          <w:color w:val="000000" w:themeColor="text1"/>
        </w:rPr>
        <w:t>≥5% for semaglutide 2</w:t>
      </w:r>
      <w:r w:rsidR="006014F5" w:rsidRPr="00C951F0">
        <w:rPr>
          <w:color w:val="000000" w:themeColor="text1"/>
        </w:rPr>
        <w:t>·</w:t>
      </w:r>
      <w:r w:rsidRPr="00C951F0">
        <w:rPr>
          <w:color w:val="000000" w:themeColor="text1"/>
        </w:rPr>
        <w:t>4 mg v</w:t>
      </w:r>
      <w:r w:rsidR="007B5725" w:rsidRPr="00C951F0">
        <w:rPr>
          <w:color w:val="000000" w:themeColor="text1"/>
        </w:rPr>
        <w:t>ersu</w:t>
      </w:r>
      <w:r w:rsidRPr="00C951F0">
        <w:rPr>
          <w:color w:val="000000" w:themeColor="text1"/>
        </w:rPr>
        <w:t xml:space="preserve">s placebo. </w:t>
      </w:r>
      <w:r w:rsidR="00DF77AC" w:rsidRPr="00C951F0">
        <w:rPr>
          <w:color w:val="000000" w:themeColor="text1"/>
        </w:rPr>
        <w:t>Percentage change in body weight between semaglutide 2·4 mg and 1·0 mg was predefined in the hierarchical testing</w:t>
      </w:r>
      <w:r w:rsidR="00CB13C0">
        <w:rPr>
          <w:color w:val="000000" w:themeColor="text1"/>
        </w:rPr>
        <w:t xml:space="preserve"> approach</w:t>
      </w:r>
      <w:r w:rsidR="00DF77AC" w:rsidRPr="00C951F0">
        <w:rPr>
          <w:color w:val="000000" w:themeColor="text1"/>
        </w:rPr>
        <w:t xml:space="preserve">, all other comparisons between these groups are </w:t>
      </w:r>
      <w:r w:rsidR="004D5D21">
        <w:rPr>
          <w:color w:val="000000" w:themeColor="text1"/>
        </w:rPr>
        <w:t>exploratory</w:t>
      </w:r>
      <w:r w:rsidR="00DF77AC" w:rsidRPr="00C951F0">
        <w:rPr>
          <w:color w:val="000000" w:themeColor="text1"/>
        </w:rPr>
        <w:t>.</w:t>
      </w:r>
      <w:r w:rsidR="00F664B4">
        <w:rPr>
          <w:color w:val="000000" w:themeColor="text1"/>
        </w:rPr>
        <w:t xml:space="preserve"> Secondary endpoints included changes in waist </w:t>
      </w:r>
      <w:r w:rsidR="00F664B4" w:rsidRPr="0037035E">
        <w:rPr>
          <w:color w:val="000000" w:themeColor="text1"/>
        </w:rPr>
        <w:t>circumference, HbA</w:t>
      </w:r>
      <w:r w:rsidR="00F664B4" w:rsidRPr="0037035E">
        <w:rPr>
          <w:color w:val="000000" w:themeColor="text1"/>
          <w:vertAlign w:val="subscript"/>
        </w:rPr>
        <w:t>1c</w:t>
      </w:r>
      <w:r w:rsidR="00F664B4" w:rsidRPr="0037035E">
        <w:rPr>
          <w:color w:val="000000" w:themeColor="text1"/>
        </w:rPr>
        <w:t xml:space="preserve">, blood pressure, and patient-reported physical functioning. </w:t>
      </w:r>
      <w:r w:rsidR="006443B5" w:rsidRPr="0037035E">
        <w:rPr>
          <w:color w:val="000000" w:themeColor="text1"/>
        </w:rPr>
        <w:t>Safety was assessed in all patients who received at least one dose of study drug</w:t>
      </w:r>
      <w:r w:rsidR="00CF7014" w:rsidRPr="0037035E">
        <w:rPr>
          <w:color w:val="000000" w:themeColor="text1"/>
        </w:rPr>
        <w:t>.</w:t>
      </w:r>
    </w:p>
    <w:p w14:paraId="08BFBD01" w14:textId="782E1C57" w:rsidR="00B1644A" w:rsidRPr="00C951F0" w:rsidRDefault="006014F5" w:rsidP="0039543A">
      <w:pPr>
        <w:autoSpaceDE w:val="0"/>
        <w:autoSpaceDN w:val="0"/>
        <w:adjustRightInd w:val="0"/>
        <w:spacing w:after="0"/>
        <w:rPr>
          <w:color w:val="000000" w:themeColor="text1"/>
        </w:rPr>
      </w:pPr>
      <w:r w:rsidRPr="00C951F0">
        <w:rPr>
          <w:b/>
          <w:bCs/>
          <w:color w:val="000000" w:themeColor="text1"/>
        </w:rPr>
        <w:t>Findings</w:t>
      </w:r>
      <w:r w:rsidR="00B1644A" w:rsidRPr="00C951F0">
        <w:rPr>
          <w:b/>
          <w:bCs/>
          <w:color w:val="000000" w:themeColor="text1"/>
        </w:rPr>
        <w:t xml:space="preserve">: </w:t>
      </w:r>
      <w:r w:rsidR="00301168" w:rsidRPr="00301168">
        <w:rPr>
          <w:color w:val="000000" w:themeColor="text1"/>
        </w:rPr>
        <w:t>From</w:t>
      </w:r>
      <w:r w:rsidR="00E9760F">
        <w:rPr>
          <w:color w:val="000000" w:themeColor="text1"/>
        </w:rPr>
        <w:t xml:space="preserve"> </w:t>
      </w:r>
      <w:r w:rsidR="00E9760F" w:rsidRPr="00C951F0">
        <w:rPr>
          <w:color w:val="000000" w:themeColor="text1"/>
        </w:rPr>
        <w:t>June to November 2018</w:t>
      </w:r>
      <w:r w:rsidR="00E9760F">
        <w:rPr>
          <w:color w:val="000000" w:themeColor="text1"/>
        </w:rPr>
        <w:t xml:space="preserve">, </w:t>
      </w:r>
      <w:r w:rsidR="00E9760F" w:rsidRPr="00C951F0">
        <w:rPr>
          <w:color w:val="000000" w:themeColor="text1"/>
        </w:rPr>
        <w:t xml:space="preserve">1595 patients </w:t>
      </w:r>
      <w:r w:rsidR="00E9760F">
        <w:rPr>
          <w:color w:val="000000" w:themeColor="text1"/>
        </w:rPr>
        <w:t>were screened, of wh</w:t>
      </w:r>
      <w:r w:rsidR="004D2AC4">
        <w:rPr>
          <w:color w:val="000000" w:themeColor="text1"/>
        </w:rPr>
        <w:t>om</w:t>
      </w:r>
      <w:r w:rsidR="00E9760F">
        <w:rPr>
          <w:color w:val="000000" w:themeColor="text1"/>
        </w:rPr>
        <w:t xml:space="preserve"> </w:t>
      </w:r>
      <w:r w:rsidR="00E9760F" w:rsidRPr="00C951F0">
        <w:rPr>
          <w:color w:val="000000" w:themeColor="text1"/>
        </w:rPr>
        <w:t xml:space="preserve">1210 were </w:t>
      </w:r>
      <w:proofErr w:type="spellStart"/>
      <w:r w:rsidR="00E9760F" w:rsidRPr="00C951F0">
        <w:rPr>
          <w:color w:val="000000" w:themeColor="text1"/>
        </w:rPr>
        <w:t>randomised</w:t>
      </w:r>
      <w:proofErr w:type="spellEnd"/>
      <w:r w:rsidR="00E9760F" w:rsidRPr="00C951F0">
        <w:rPr>
          <w:color w:val="000000" w:themeColor="text1"/>
        </w:rPr>
        <w:t xml:space="preserve"> to semaglutide 2·4 mg (</w:t>
      </w:r>
      <w:r w:rsidR="00E9760F">
        <w:rPr>
          <w:color w:val="000000" w:themeColor="text1"/>
        </w:rPr>
        <w:t>n=</w:t>
      </w:r>
      <w:r w:rsidR="00E9760F" w:rsidRPr="00C951F0">
        <w:rPr>
          <w:color w:val="000000" w:themeColor="text1"/>
        </w:rPr>
        <w:t>404) or 1·0 mg (</w:t>
      </w:r>
      <w:r w:rsidR="00E9760F">
        <w:rPr>
          <w:color w:val="000000" w:themeColor="text1"/>
        </w:rPr>
        <w:t>n=</w:t>
      </w:r>
      <w:r w:rsidR="00E9760F" w:rsidRPr="00C951F0">
        <w:rPr>
          <w:color w:val="000000" w:themeColor="text1"/>
        </w:rPr>
        <w:t>403), or placebo (</w:t>
      </w:r>
      <w:r w:rsidR="00E9760F">
        <w:rPr>
          <w:color w:val="000000" w:themeColor="text1"/>
        </w:rPr>
        <w:t>n=</w:t>
      </w:r>
      <w:r w:rsidR="00E9760F" w:rsidRPr="00C951F0">
        <w:rPr>
          <w:color w:val="000000" w:themeColor="text1"/>
        </w:rPr>
        <w:t>403)</w:t>
      </w:r>
      <w:r w:rsidR="001F1B21">
        <w:rPr>
          <w:color w:val="000000" w:themeColor="text1"/>
        </w:rPr>
        <w:t xml:space="preserve"> and </w:t>
      </w:r>
      <w:r w:rsidR="001F1B21" w:rsidRPr="001F1B21">
        <w:rPr>
          <w:color w:val="000000" w:themeColor="text1"/>
        </w:rPr>
        <w:t>included in the full analysis set</w:t>
      </w:r>
      <w:r w:rsidR="00E9760F">
        <w:rPr>
          <w:color w:val="000000" w:themeColor="text1"/>
        </w:rPr>
        <w:t>.</w:t>
      </w:r>
      <w:r w:rsidR="00E9760F" w:rsidRPr="00C951F0">
        <w:rPr>
          <w:color w:val="000000" w:themeColor="text1"/>
        </w:rPr>
        <w:t xml:space="preserve"> </w:t>
      </w:r>
      <w:r w:rsidR="00AF6309">
        <w:rPr>
          <w:color w:val="000000" w:themeColor="text1"/>
        </w:rPr>
        <w:t xml:space="preserve">Estimated </w:t>
      </w:r>
      <w:r w:rsidR="00B1644A" w:rsidRPr="00C951F0">
        <w:rPr>
          <w:color w:val="000000" w:themeColor="text1"/>
        </w:rPr>
        <w:t xml:space="preserve">change </w:t>
      </w:r>
      <w:r w:rsidR="00AF6309">
        <w:rPr>
          <w:color w:val="000000" w:themeColor="text1"/>
        </w:rPr>
        <w:t>in m</w:t>
      </w:r>
      <w:r w:rsidR="00AF6309" w:rsidRPr="00C951F0">
        <w:rPr>
          <w:color w:val="000000" w:themeColor="text1"/>
        </w:rPr>
        <w:t xml:space="preserve">ean body weight </w:t>
      </w:r>
      <w:r w:rsidR="00B1644A" w:rsidRPr="00C951F0">
        <w:rPr>
          <w:color w:val="000000" w:themeColor="text1"/>
        </w:rPr>
        <w:t>from baseline to week 68 was –9</w:t>
      </w:r>
      <w:r w:rsidRPr="00C951F0">
        <w:rPr>
          <w:color w:val="000000" w:themeColor="text1"/>
        </w:rPr>
        <w:t>·</w:t>
      </w:r>
      <w:r w:rsidR="00B1644A" w:rsidRPr="00C951F0">
        <w:rPr>
          <w:color w:val="000000" w:themeColor="text1"/>
        </w:rPr>
        <w:t>6%</w:t>
      </w:r>
      <w:r w:rsidR="00F73FFC">
        <w:rPr>
          <w:color w:val="000000" w:themeColor="text1"/>
        </w:rPr>
        <w:t xml:space="preserve"> (SE 0.4)</w:t>
      </w:r>
      <w:r w:rsidR="00B1644A" w:rsidRPr="00C951F0">
        <w:rPr>
          <w:color w:val="000000" w:themeColor="text1"/>
        </w:rPr>
        <w:t>, –7</w:t>
      </w:r>
      <w:r w:rsidRPr="00C951F0">
        <w:rPr>
          <w:color w:val="000000" w:themeColor="text1"/>
        </w:rPr>
        <w:t>·</w:t>
      </w:r>
      <w:r w:rsidR="00B1644A" w:rsidRPr="00C951F0">
        <w:rPr>
          <w:color w:val="000000" w:themeColor="text1"/>
        </w:rPr>
        <w:t>0%</w:t>
      </w:r>
      <w:r w:rsidR="00F73FFC">
        <w:rPr>
          <w:color w:val="000000" w:themeColor="text1"/>
        </w:rPr>
        <w:t xml:space="preserve"> (SE 0.4)</w:t>
      </w:r>
      <w:r w:rsidR="00FF595F" w:rsidRPr="00C951F0">
        <w:rPr>
          <w:color w:val="000000" w:themeColor="text1"/>
        </w:rPr>
        <w:t>,</w:t>
      </w:r>
      <w:r w:rsidR="00B1644A" w:rsidRPr="00C951F0">
        <w:rPr>
          <w:color w:val="000000" w:themeColor="text1"/>
        </w:rPr>
        <w:t xml:space="preserve"> and –3</w:t>
      </w:r>
      <w:r w:rsidRPr="00C951F0">
        <w:rPr>
          <w:color w:val="000000" w:themeColor="text1"/>
        </w:rPr>
        <w:t>·</w:t>
      </w:r>
      <w:r w:rsidR="00B1644A" w:rsidRPr="00C951F0">
        <w:rPr>
          <w:color w:val="000000" w:themeColor="text1"/>
        </w:rPr>
        <w:t>4%</w:t>
      </w:r>
      <w:r w:rsidR="00F73FFC">
        <w:rPr>
          <w:color w:val="000000" w:themeColor="text1"/>
        </w:rPr>
        <w:t xml:space="preserve"> (SE 0.4)</w:t>
      </w:r>
      <w:r w:rsidR="00B1644A" w:rsidRPr="00C951F0">
        <w:rPr>
          <w:color w:val="000000" w:themeColor="text1"/>
        </w:rPr>
        <w:t xml:space="preserve"> with semaglutide 2</w:t>
      </w:r>
      <w:r w:rsidRPr="00C951F0">
        <w:rPr>
          <w:color w:val="000000" w:themeColor="text1"/>
        </w:rPr>
        <w:t>·</w:t>
      </w:r>
      <w:r w:rsidR="00B1644A" w:rsidRPr="00C951F0">
        <w:rPr>
          <w:color w:val="000000" w:themeColor="text1"/>
        </w:rPr>
        <w:t>4 mg, 1</w:t>
      </w:r>
      <w:r w:rsidRPr="00C951F0">
        <w:rPr>
          <w:color w:val="000000" w:themeColor="text1"/>
        </w:rPr>
        <w:t>·</w:t>
      </w:r>
      <w:r w:rsidR="00B1644A" w:rsidRPr="00C951F0">
        <w:rPr>
          <w:color w:val="000000" w:themeColor="text1"/>
        </w:rPr>
        <w:t xml:space="preserve">0 mg, and placebo, respectively. Estimated </w:t>
      </w:r>
      <w:r w:rsidR="00B1644A" w:rsidRPr="0037035E">
        <w:rPr>
          <w:color w:val="000000" w:themeColor="text1"/>
        </w:rPr>
        <w:t xml:space="preserve">treatment difference </w:t>
      </w:r>
      <w:r w:rsidR="007B5725" w:rsidRPr="0037035E">
        <w:rPr>
          <w:color w:val="000000" w:themeColor="text1"/>
        </w:rPr>
        <w:t>(</w:t>
      </w:r>
      <w:r w:rsidR="00B1644A" w:rsidRPr="0037035E">
        <w:rPr>
          <w:color w:val="000000" w:themeColor="text1"/>
        </w:rPr>
        <w:t>95% confidence interval</w:t>
      </w:r>
      <w:r w:rsidR="007B5725" w:rsidRPr="0037035E">
        <w:rPr>
          <w:color w:val="000000" w:themeColor="text1"/>
        </w:rPr>
        <w:t xml:space="preserve">) </w:t>
      </w:r>
      <w:r w:rsidR="000424D3" w:rsidRPr="0037035E">
        <w:rPr>
          <w:color w:val="000000" w:themeColor="text1"/>
        </w:rPr>
        <w:t>for semaglutide 2</w:t>
      </w:r>
      <w:r w:rsidRPr="0037035E">
        <w:rPr>
          <w:color w:val="000000" w:themeColor="text1"/>
        </w:rPr>
        <w:t>·</w:t>
      </w:r>
      <w:r w:rsidR="000424D3" w:rsidRPr="0037035E">
        <w:rPr>
          <w:color w:val="000000" w:themeColor="text1"/>
        </w:rPr>
        <w:t xml:space="preserve">4 mg </w:t>
      </w:r>
      <w:r w:rsidRPr="0037035E">
        <w:rPr>
          <w:color w:val="000000" w:themeColor="text1"/>
        </w:rPr>
        <w:t>versus</w:t>
      </w:r>
      <w:r w:rsidR="000424D3" w:rsidRPr="0037035E">
        <w:rPr>
          <w:color w:val="000000" w:themeColor="text1"/>
        </w:rPr>
        <w:t xml:space="preserve"> placebo was −6</w:t>
      </w:r>
      <w:r w:rsidRPr="0037035E">
        <w:rPr>
          <w:color w:val="000000" w:themeColor="text1"/>
        </w:rPr>
        <w:t>·</w:t>
      </w:r>
      <w:r w:rsidR="000424D3" w:rsidRPr="0037035E">
        <w:rPr>
          <w:color w:val="000000" w:themeColor="text1"/>
        </w:rPr>
        <w:t>2</w:t>
      </w:r>
      <w:r w:rsidR="00171AC0" w:rsidRPr="0037035E">
        <w:rPr>
          <w:color w:val="000000" w:themeColor="text1"/>
        </w:rPr>
        <w:t xml:space="preserve"> percentage-points</w:t>
      </w:r>
      <w:r w:rsidR="000424D3" w:rsidRPr="0037035E">
        <w:rPr>
          <w:color w:val="000000" w:themeColor="text1"/>
        </w:rPr>
        <w:t xml:space="preserve"> </w:t>
      </w:r>
      <w:r w:rsidR="007B5725" w:rsidRPr="0037035E">
        <w:rPr>
          <w:color w:val="000000" w:themeColor="text1"/>
        </w:rPr>
        <w:t>(−</w:t>
      </w:r>
      <w:r w:rsidR="000424D3" w:rsidRPr="0037035E">
        <w:rPr>
          <w:color w:val="000000" w:themeColor="text1"/>
        </w:rPr>
        <w:t>7</w:t>
      </w:r>
      <w:r w:rsidRPr="0037035E">
        <w:rPr>
          <w:color w:val="000000" w:themeColor="text1"/>
        </w:rPr>
        <w:t>·</w:t>
      </w:r>
      <w:r w:rsidR="000424D3" w:rsidRPr="0037035E">
        <w:rPr>
          <w:color w:val="000000" w:themeColor="text1"/>
        </w:rPr>
        <w:t>3% to −5</w:t>
      </w:r>
      <w:r w:rsidRPr="0037035E">
        <w:rPr>
          <w:color w:val="000000" w:themeColor="text1"/>
        </w:rPr>
        <w:t>·</w:t>
      </w:r>
      <w:r w:rsidR="000424D3" w:rsidRPr="0037035E">
        <w:rPr>
          <w:color w:val="000000" w:themeColor="text1"/>
        </w:rPr>
        <w:t>2</w:t>
      </w:r>
      <w:r w:rsidR="007B5725" w:rsidRPr="0037035E">
        <w:rPr>
          <w:color w:val="000000" w:themeColor="text1"/>
        </w:rPr>
        <w:t>%; p</w:t>
      </w:r>
      <w:r w:rsidR="000424D3" w:rsidRPr="0037035E">
        <w:rPr>
          <w:color w:val="000000" w:themeColor="text1"/>
        </w:rPr>
        <w:t>&lt;0</w:t>
      </w:r>
      <w:r w:rsidRPr="0037035E">
        <w:rPr>
          <w:color w:val="000000" w:themeColor="text1"/>
        </w:rPr>
        <w:t>·</w:t>
      </w:r>
      <w:r w:rsidR="000424D3" w:rsidRPr="0037035E">
        <w:rPr>
          <w:color w:val="000000" w:themeColor="text1"/>
        </w:rPr>
        <w:t>001)</w:t>
      </w:r>
      <w:r w:rsidR="007B5725" w:rsidRPr="0037035E">
        <w:rPr>
          <w:color w:val="000000" w:themeColor="text1"/>
        </w:rPr>
        <w:t>,</w:t>
      </w:r>
      <w:r w:rsidR="000424D3" w:rsidRPr="0037035E">
        <w:rPr>
          <w:color w:val="000000" w:themeColor="text1"/>
        </w:rPr>
        <w:t xml:space="preserve"> and </w:t>
      </w:r>
      <w:r w:rsidR="00B1644A" w:rsidRPr="0037035E">
        <w:rPr>
          <w:color w:val="000000" w:themeColor="text1"/>
        </w:rPr>
        <w:t>for semaglutide 2</w:t>
      </w:r>
      <w:r w:rsidRPr="0037035E">
        <w:rPr>
          <w:color w:val="000000" w:themeColor="text1"/>
        </w:rPr>
        <w:t>·</w:t>
      </w:r>
      <w:r w:rsidR="00B1644A" w:rsidRPr="0037035E">
        <w:rPr>
          <w:color w:val="000000" w:themeColor="text1"/>
        </w:rPr>
        <w:t>4 mg v</w:t>
      </w:r>
      <w:r w:rsidRPr="0037035E">
        <w:rPr>
          <w:color w:val="000000" w:themeColor="text1"/>
        </w:rPr>
        <w:t>ersus</w:t>
      </w:r>
      <w:r w:rsidR="00B1644A" w:rsidRPr="0037035E">
        <w:rPr>
          <w:color w:val="000000" w:themeColor="text1"/>
        </w:rPr>
        <w:t xml:space="preserve"> 1</w:t>
      </w:r>
      <w:r w:rsidRPr="0037035E">
        <w:rPr>
          <w:color w:val="000000" w:themeColor="text1"/>
        </w:rPr>
        <w:t>·</w:t>
      </w:r>
      <w:r w:rsidR="00B1644A" w:rsidRPr="0037035E">
        <w:rPr>
          <w:color w:val="000000" w:themeColor="text1"/>
        </w:rPr>
        <w:t>0 mg was −2</w:t>
      </w:r>
      <w:r w:rsidRPr="0037035E">
        <w:rPr>
          <w:color w:val="000000" w:themeColor="text1"/>
        </w:rPr>
        <w:t>·</w:t>
      </w:r>
      <w:r w:rsidR="00B1644A" w:rsidRPr="0037035E">
        <w:rPr>
          <w:color w:val="000000" w:themeColor="text1"/>
        </w:rPr>
        <w:t>7</w:t>
      </w:r>
      <w:r w:rsidR="00171AC0" w:rsidRPr="0037035E">
        <w:rPr>
          <w:color w:val="000000" w:themeColor="text1"/>
        </w:rPr>
        <w:t xml:space="preserve"> percentage-points </w:t>
      </w:r>
      <w:r w:rsidR="007B5725" w:rsidRPr="0037035E">
        <w:rPr>
          <w:color w:val="000000" w:themeColor="text1"/>
        </w:rPr>
        <w:t>(−</w:t>
      </w:r>
      <w:r w:rsidR="00B1644A" w:rsidRPr="0037035E">
        <w:rPr>
          <w:color w:val="000000" w:themeColor="text1"/>
        </w:rPr>
        <w:t>3</w:t>
      </w:r>
      <w:r w:rsidRPr="0037035E">
        <w:rPr>
          <w:color w:val="000000" w:themeColor="text1"/>
        </w:rPr>
        <w:t>·</w:t>
      </w:r>
      <w:r w:rsidR="00B1644A" w:rsidRPr="0037035E">
        <w:rPr>
          <w:color w:val="000000" w:themeColor="text1"/>
        </w:rPr>
        <w:t>7%</w:t>
      </w:r>
      <w:r w:rsidR="00FF595F" w:rsidRPr="0037035E">
        <w:rPr>
          <w:color w:val="000000" w:themeColor="text1"/>
        </w:rPr>
        <w:t xml:space="preserve"> to</w:t>
      </w:r>
      <w:r w:rsidR="00B1644A" w:rsidRPr="0037035E">
        <w:rPr>
          <w:color w:val="000000" w:themeColor="text1"/>
        </w:rPr>
        <w:t xml:space="preserve"> −1</w:t>
      </w:r>
      <w:r w:rsidRPr="0037035E">
        <w:rPr>
          <w:color w:val="000000" w:themeColor="text1"/>
        </w:rPr>
        <w:t>·</w:t>
      </w:r>
      <w:r w:rsidR="00B1644A" w:rsidRPr="0037035E">
        <w:rPr>
          <w:color w:val="000000" w:themeColor="text1"/>
        </w:rPr>
        <w:t>6</w:t>
      </w:r>
      <w:r w:rsidR="007B5725" w:rsidRPr="0037035E">
        <w:rPr>
          <w:color w:val="000000" w:themeColor="text1"/>
        </w:rPr>
        <w:t>%; p</w:t>
      </w:r>
      <w:r w:rsidR="00B1644A" w:rsidRPr="0037035E">
        <w:rPr>
          <w:color w:val="000000" w:themeColor="text1"/>
        </w:rPr>
        <w:t>&lt;0</w:t>
      </w:r>
      <w:r w:rsidRPr="0037035E">
        <w:rPr>
          <w:color w:val="000000" w:themeColor="text1"/>
        </w:rPr>
        <w:t>·</w:t>
      </w:r>
      <w:r w:rsidR="00B1644A" w:rsidRPr="0037035E">
        <w:rPr>
          <w:color w:val="000000" w:themeColor="text1"/>
        </w:rPr>
        <w:t>001). At week 68, more patients on semaglutide 2</w:t>
      </w:r>
      <w:r w:rsidRPr="0037035E">
        <w:rPr>
          <w:color w:val="000000" w:themeColor="text1"/>
        </w:rPr>
        <w:t>·</w:t>
      </w:r>
      <w:r w:rsidR="00B1644A" w:rsidRPr="0037035E">
        <w:rPr>
          <w:color w:val="000000" w:themeColor="text1"/>
        </w:rPr>
        <w:t xml:space="preserve">4 mg achieved weight reductions of </w:t>
      </w:r>
      <w:r w:rsidR="00B1644A" w:rsidRPr="0037035E">
        <w:rPr>
          <w:rFonts w:cs="Arial"/>
          <w:color w:val="000000" w:themeColor="text1"/>
        </w:rPr>
        <w:t>≥</w:t>
      </w:r>
      <w:r w:rsidR="00B1644A" w:rsidRPr="0037035E">
        <w:rPr>
          <w:color w:val="000000" w:themeColor="text1"/>
        </w:rPr>
        <w:t>5%</w:t>
      </w:r>
      <w:r w:rsidR="0039526E" w:rsidRPr="0037035E">
        <w:rPr>
          <w:color w:val="000000" w:themeColor="text1"/>
        </w:rPr>
        <w:t xml:space="preserve"> versus placebo</w:t>
      </w:r>
      <w:r w:rsidR="00B1644A" w:rsidRPr="0037035E">
        <w:rPr>
          <w:color w:val="000000" w:themeColor="text1"/>
        </w:rPr>
        <w:t xml:space="preserve"> (</w:t>
      </w:r>
      <w:r w:rsidR="00335633" w:rsidRPr="0037035E">
        <w:rPr>
          <w:color w:val="000000" w:themeColor="text1"/>
        </w:rPr>
        <w:t>n=267</w:t>
      </w:r>
      <w:r w:rsidR="00171AC0" w:rsidRPr="0037035E">
        <w:rPr>
          <w:color w:val="000000" w:themeColor="text1"/>
        </w:rPr>
        <w:t>/388</w:t>
      </w:r>
      <w:r w:rsidR="00335633" w:rsidRPr="0037035E">
        <w:rPr>
          <w:color w:val="000000" w:themeColor="text1"/>
        </w:rPr>
        <w:t xml:space="preserve"> [</w:t>
      </w:r>
      <w:r w:rsidR="00B1644A" w:rsidRPr="0037035E">
        <w:rPr>
          <w:color w:val="000000" w:themeColor="text1"/>
        </w:rPr>
        <w:t>68</w:t>
      </w:r>
      <w:r w:rsidRPr="0037035E">
        <w:rPr>
          <w:color w:val="000000" w:themeColor="text1"/>
        </w:rPr>
        <w:t>·</w:t>
      </w:r>
      <w:r w:rsidR="00B1644A" w:rsidRPr="0037035E">
        <w:rPr>
          <w:color w:val="000000" w:themeColor="text1"/>
        </w:rPr>
        <w:t>8%</w:t>
      </w:r>
      <w:r w:rsidR="00335633" w:rsidRPr="0037035E">
        <w:rPr>
          <w:color w:val="000000" w:themeColor="text1"/>
        </w:rPr>
        <w:t>]</w:t>
      </w:r>
      <w:r w:rsidR="0039526E" w:rsidRPr="0037035E">
        <w:rPr>
          <w:color w:val="000000" w:themeColor="text1"/>
        </w:rPr>
        <w:t xml:space="preserve"> vs </w:t>
      </w:r>
      <w:r w:rsidR="00335633" w:rsidRPr="0037035E">
        <w:rPr>
          <w:color w:val="000000" w:themeColor="text1"/>
        </w:rPr>
        <w:t>n=107</w:t>
      </w:r>
      <w:r w:rsidR="00171AC0" w:rsidRPr="0037035E">
        <w:rPr>
          <w:color w:val="000000" w:themeColor="text1"/>
        </w:rPr>
        <w:t>/376</w:t>
      </w:r>
      <w:r w:rsidR="00335633" w:rsidRPr="0037035E">
        <w:rPr>
          <w:color w:val="000000" w:themeColor="text1"/>
        </w:rPr>
        <w:t xml:space="preserve"> [</w:t>
      </w:r>
      <w:r w:rsidR="0039526E" w:rsidRPr="0037035E">
        <w:rPr>
          <w:color w:val="000000" w:themeColor="text1"/>
        </w:rPr>
        <w:t>28.5%</w:t>
      </w:r>
      <w:r w:rsidR="00335633" w:rsidRPr="0037035E">
        <w:rPr>
          <w:color w:val="000000" w:themeColor="text1"/>
        </w:rPr>
        <w:t>]</w:t>
      </w:r>
      <w:r w:rsidR="0039526E" w:rsidRPr="0037035E">
        <w:rPr>
          <w:color w:val="000000" w:themeColor="text1"/>
        </w:rPr>
        <w:t>; odds ratio 4·88, 95% CI, 3·58 to 6·64;</w:t>
      </w:r>
      <w:r w:rsidR="00B1644A" w:rsidRPr="00C951F0">
        <w:rPr>
          <w:color w:val="000000" w:themeColor="text1"/>
        </w:rPr>
        <w:t xml:space="preserve"> </w:t>
      </w:r>
      <w:r w:rsidR="007B5725" w:rsidRPr="00C951F0">
        <w:rPr>
          <w:color w:val="000000" w:themeColor="text1"/>
        </w:rPr>
        <w:t>p</w:t>
      </w:r>
      <w:r w:rsidR="00B1644A" w:rsidRPr="00C951F0">
        <w:rPr>
          <w:color w:val="000000" w:themeColor="text1"/>
        </w:rPr>
        <w:t>&lt;0</w:t>
      </w:r>
      <w:r w:rsidRPr="00C951F0">
        <w:rPr>
          <w:color w:val="000000" w:themeColor="text1"/>
        </w:rPr>
        <w:t>·</w:t>
      </w:r>
      <w:r w:rsidR="00B1644A" w:rsidRPr="00C951F0">
        <w:rPr>
          <w:color w:val="000000" w:themeColor="text1"/>
        </w:rPr>
        <w:t xml:space="preserve">001). </w:t>
      </w:r>
      <w:r w:rsidR="00F664B4">
        <w:rPr>
          <w:color w:val="000000" w:themeColor="text1"/>
        </w:rPr>
        <w:t xml:space="preserve">Semaglutide 2.4 mg improved </w:t>
      </w:r>
      <w:proofErr w:type="spellStart"/>
      <w:r w:rsidR="00F664B4">
        <w:rPr>
          <w:color w:val="000000" w:themeColor="text1"/>
        </w:rPr>
        <w:t>glycaemic</w:t>
      </w:r>
      <w:proofErr w:type="spellEnd"/>
      <w:r w:rsidR="00F664B4">
        <w:rPr>
          <w:color w:val="000000" w:themeColor="text1"/>
        </w:rPr>
        <w:t xml:space="preserve"> control </w:t>
      </w:r>
      <w:r w:rsidR="00F664B4">
        <w:rPr>
          <w:color w:val="000000" w:themeColor="text1"/>
        </w:rPr>
        <w:lastRenderedPageBreak/>
        <w:t>(HbA</w:t>
      </w:r>
      <w:r w:rsidR="00F664B4" w:rsidRPr="00F664B4">
        <w:rPr>
          <w:color w:val="000000" w:themeColor="text1"/>
          <w:vertAlign w:val="subscript"/>
        </w:rPr>
        <w:t>1c</w:t>
      </w:r>
      <w:r w:rsidR="00F664B4">
        <w:rPr>
          <w:color w:val="000000" w:themeColor="text1"/>
        </w:rPr>
        <w:t xml:space="preserve"> levels; target HbA</w:t>
      </w:r>
      <w:r w:rsidR="00F664B4" w:rsidRPr="00F664B4">
        <w:rPr>
          <w:color w:val="000000" w:themeColor="text1"/>
          <w:vertAlign w:val="subscript"/>
        </w:rPr>
        <w:t>1c</w:t>
      </w:r>
      <w:r w:rsidR="00F664B4">
        <w:rPr>
          <w:color w:val="000000" w:themeColor="text1"/>
        </w:rPr>
        <w:t xml:space="preserve">), </w:t>
      </w:r>
      <w:r w:rsidR="00F664B4" w:rsidRPr="00C951F0">
        <w:rPr>
          <w:rFonts w:cs="Arial"/>
          <w:color w:val="000000" w:themeColor="text1"/>
        </w:rPr>
        <w:t xml:space="preserve">cardiometabolic risk factors </w:t>
      </w:r>
      <w:r w:rsidR="00F664B4">
        <w:rPr>
          <w:rFonts w:cs="Arial"/>
          <w:color w:val="000000" w:themeColor="text1"/>
        </w:rPr>
        <w:t xml:space="preserve">(waist circumference, blood pressure, lipids, C-reactive protein) and physical functioning </w:t>
      </w:r>
      <w:r w:rsidR="00F664B4" w:rsidRPr="00C951F0">
        <w:rPr>
          <w:rFonts w:cs="Arial"/>
          <w:color w:val="000000" w:themeColor="text1"/>
        </w:rPr>
        <w:t xml:space="preserve">compared with placebo. </w:t>
      </w:r>
      <w:r w:rsidR="009F14D0">
        <w:rPr>
          <w:color w:val="000000" w:themeColor="text1"/>
        </w:rPr>
        <w:t xml:space="preserve">Adverse events were </w:t>
      </w:r>
      <w:r w:rsidR="00C503FA">
        <w:rPr>
          <w:color w:val="000000" w:themeColor="text1"/>
        </w:rPr>
        <w:t>more f</w:t>
      </w:r>
      <w:r w:rsidR="009F14D0">
        <w:rPr>
          <w:color w:val="000000" w:themeColor="text1"/>
        </w:rPr>
        <w:t>re</w:t>
      </w:r>
      <w:r w:rsidR="00C503FA">
        <w:rPr>
          <w:color w:val="000000" w:themeColor="text1"/>
        </w:rPr>
        <w:t>quent with semaglutide 2.4 mg (353/403;</w:t>
      </w:r>
      <w:r w:rsidR="009F14D0">
        <w:rPr>
          <w:color w:val="000000" w:themeColor="text1"/>
        </w:rPr>
        <w:t xml:space="preserve"> </w:t>
      </w:r>
      <w:r w:rsidR="009F14D0" w:rsidRPr="00C951F0">
        <w:rPr>
          <w:color w:val="000000" w:themeColor="text1"/>
        </w:rPr>
        <w:t>87·6%</w:t>
      </w:r>
      <w:r w:rsidR="00C503FA">
        <w:rPr>
          <w:color w:val="000000" w:themeColor="text1"/>
        </w:rPr>
        <w:t>)</w:t>
      </w:r>
      <w:r w:rsidR="009F14D0" w:rsidRPr="00C951F0">
        <w:rPr>
          <w:color w:val="000000" w:themeColor="text1"/>
        </w:rPr>
        <w:t>,</w:t>
      </w:r>
      <w:r w:rsidR="00C503FA">
        <w:rPr>
          <w:color w:val="000000" w:themeColor="text1"/>
        </w:rPr>
        <w:t xml:space="preserve"> and 1.0 mg (329/402;</w:t>
      </w:r>
      <w:r w:rsidR="009F14D0" w:rsidRPr="00C951F0">
        <w:rPr>
          <w:color w:val="000000" w:themeColor="text1"/>
        </w:rPr>
        <w:t xml:space="preserve"> 81·8%</w:t>
      </w:r>
      <w:r w:rsidR="00C503FA">
        <w:rPr>
          <w:color w:val="000000" w:themeColor="text1"/>
        </w:rPr>
        <w:t>) than placebo (309/402;</w:t>
      </w:r>
      <w:r w:rsidR="009F14D0" w:rsidRPr="00C951F0">
        <w:rPr>
          <w:color w:val="000000" w:themeColor="text1"/>
        </w:rPr>
        <w:t xml:space="preserve"> 76·9%</w:t>
      </w:r>
      <w:r w:rsidR="00C503FA">
        <w:rPr>
          <w:color w:val="000000" w:themeColor="text1"/>
        </w:rPr>
        <w:t>)</w:t>
      </w:r>
      <w:r w:rsidR="00DF2360">
        <w:rPr>
          <w:color w:val="000000" w:themeColor="text1"/>
        </w:rPr>
        <w:t>.</w:t>
      </w:r>
      <w:r w:rsidR="00301168">
        <w:rPr>
          <w:color w:val="000000" w:themeColor="text1"/>
        </w:rPr>
        <w:t xml:space="preserve"> </w:t>
      </w:r>
      <w:r w:rsidR="00B1644A" w:rsidRPr="00C951F0">
        <w:rPr>
          <w:color w:val="000000" w:themeColor="text1"/>
        </w:rPr>
        <w:t>Gastrointestinal adverse events (mostly mild-to-moderate) were reported in 63</w:t>
      </w:r>
      <w:r w:rsidRPr="00C951F0">
        <w:rPr>
          <w:color w:val="000000" w:themeColor="text1"/>
        </w:rPr>
        <w:t>·</w:t>
      </w:r>
      <w:r w:rsidR="00B1644A" w:rsidRPr="00C951F0">
        <w:rPr>
          <w:color w:val="000000" w:themeColor="text1"/>
        </w:rPr>
        <w:t>5%</w:t>
      </w:r>
      <w:r w:rsidR="00DF2360">
        <w:rPr>
          <w:color w:val="000000" w:themeColor="text1"/>
        </w:rPr>
        <w:t xml:space="preserve"> (256/403)</w:t>
      </w:r>
      <w:r w:rsidR="00B1644A" w:rsidRPr="00C951F0">
        <w:rPr>
          <w:color w:val="000000" w:themeColor="text1"/>
        </w:rPr>
        <w:t>, 57</w:t>
      </w:r>
      <w:r w:rsidRPr="00C951F0">
        <w:rPr>
          <w:color w:val="000000" w:themeColor="text1"/>
        </w:rPr>
        <w:t>·</w:t>
      </w:r>
      <w:r w:rsidR="00B1644A" w:rsidRPr="00C951F0">
        <w:rPr>
          <w:color w:val="000000" w:themeColor="text1"/>
        </w:rPr>
        <w:t>5%</w:t>
      </w:r>
      <w:r w:rsidR="00DF2360">
        <w:rPr>
          <w:color w:val="000000" w:themeColor="text1"/>
        </w:rPr>
        <w:t xml:space="preserve"> (231/402)</w:t>
      </w:r>
      <w:r w:rsidR="00B1644A" w:rsidRPr="00C951F0">
        <w:rPr>
          <w:color w:val="000000" w:themeColor="text1"/>
        </w:rPr>
        <w:t>, and 34</w:t>
      </w:r>
      <w:r w:rsidRPr="00C951F0">
        <w:rPr>
          <w:color w:val="000000" w:themeColor="text1"/>
        </w:rPr>
        <w:t>·</w:t>
      </w:r>
      <w:r w:rsidR="00B1644A" w:rsidRPr="00C951F0">
        <w:rPr>
          <w:color w:val="000000" w:themeColor="text1"/>
        </w:rPr>
        <w:t>3%</w:t>
      </w:r>
      <w:r w:rsidR="00DF2360">
        <w:rPr>
          <w:color w:val="000000" w:themeColor="text1"/>
        </w:rPr>
        <w:t xml:space="preserve"> (138/402)</w:t>
      </w:r>
      <w:r w:rsidR="00B1644A" w:rsidRPr="00C951F0">
        <w:rPr>
          <w:color w:val="000000" w:themeColor="text1"/>
        </w:rPr>
        <w:t xml:space="preserve"> of patients treated with semaglutide 2</w:t>
      </w:r>
      <w:r w:rsidRPr="00C951F0">
        <w:rPr>
          <w:color w:val="000000" w:themeColor="text1"/>
        </w:rPr>
        <w:t>·</w:t>
      </w:r>
      <w:r w:rsidR="00B1644A" w:rsidRPr="00C951F0">
        <w:rPr>
          <w:color w:val="000000" w:themeColor="text1"/>
        </w:rPr>
        <w:t>4 mg, 1</w:t>
      </w:r>
      <w:r w:rsidRPr="00C951F0">
        <w:rPr>
          <w:color w:val="000000" w:themeColor="text1"/>
        </w:rPr>
        <w:t>·0 </w:t>
      </w:r>
      <w:r w:rsidR="00B1644A" w:rsidRPr="00C951F0">
        <w:rPr>
          <w:color w:val="000000" w:themeColor="text1"/>
        </w:rPr>
        <w:t>mg, and placebo, respectively.</w:t>
      </w:r>
    </w:p>
    <w:p w14:paraId="62837F28" w14:textId="115D86AB" w:rsidR="006014F5" w:rsidRPr="00C951F0" w:rsidRDefault="006014F5" w:rsidP="00FD3AF7">
      <w:pPr>
        <w:spacing w:after="0"/>
        <w:rPr>
          <w:rFonts w:cstheme="minorHAnsi"/>
          <w:color w:val="000000" w:themeColor="text1"/>
        </w:rPr>
      </w:pPr>
      <w:r w:rsidRPr="00C951F0">
        <w:rPr>
          <w:rFonts w:cstheme="minorHAnsi"/>
          <w:b/>
          <w:bCs/>
          <w:color w:val="000000" w:themeColor="text1"/>
        </w:rPr>
        <w:t>Interpretations</w:t>
      </w:r>
      <w:r w:rsidR="00B1644A" w:rsidRPr="00C951F0">
        <w:rPr>
          <w:rFonts w:cstheme="minorHAnsi"/>
          <w:b/>
          <w:bCs/>
          <w:color w:val="000000" w:themeColor="text1"/>
        </w:rPr>
        <w:t xml:space="preserve">: </w:t>
      </w:r>
      <w:r w:rsidR="00B1644A" w:rsidRPr="00C951F0">
        <w:rPr>
          <w:rFonts w:cstheme="minorHAnsi"/>
          <w:color w:val="000000" w:themeColor="text1"/>
        </w:rPr>
        <w:t>In adults with overweight/obesity and type 2 diabetes, once-weekly semaglutide 2</w:t>
      </w:r>
      <w:r w:rsidRPr="00C951F0">
        <w:rPr>
          <w:rFonts w:cstheme="minorHAnsi"/>
          <w:color w:val="000000" w:themeColor="text1"/>
        </w:rPr>
        <w:t>·</w:t>
      </w:r>
      <w:r w:rsidR="00B1644A" w:rsidRPr="00C951F0">
        <w:rPr>
          <w:rFonts w:cstheme="minorHAnsi"/>
          <w:color w:val="000000" w:themeColor="text1"/>
        </w:rPr>
        <w:t>4 mg achieved a superior and clinically meaningful decrease in body weight v</w:t>
      </w:r>
      <w:r w:rsidR="007B5725" w:rsidRPr="00C951F0">
        <w:rPr>
          <w:rFonts w:cstheme="minorHAnsi"/>
          <w:color w:val="000000" w:themeColor="text1"/>
        </w:rPr>
        <w:t>ersus</w:t>
      </w:r>
      <w:r w:rsidR="00B1644A" w:rsidRPr="00C951F0">
        <w:rPr>
          <w:rFonts w:cstheme="minorHAnsi"/>
          <w:color w:val="000000" w:themeColor="text1"/>
        </w:rPr>
        <w:t xml:space="preserve"> </w:t>
      </w:r>
      <w:r w:rsidR="000424D3" w:rsidRPr="00C951F0">
        <w:rPr>
          <w:rFonts w:cstheme="minorHAnsi"/>
          <w:color w:val="000000" w:themeColor="text1"/>
        </w:rPr>
        <w:t xml:space="preserve">placebo and </w:t>
      </w:r>
      <w:r w:rsidR="00B1644A" w:rsidRPr="00C951F0">
        <w:rPr>
          <w:rFonts w:cstheme="minorHAnsi"/>
          <w:color w:val="000000" w:themeColor="text1"/>
        </w:rPr>
        <w:t>semaglutide 1</w:t>
      </w:r>
      <w:r w:rsidRPr="00C951F0">
        <w:rPr>
          <w:rFonts w:cstheme="minorHAnsi"/>
          <w:color w:val="000000" w:themeColor="text1"/>
        </w:rPr>
        <w:t>·</w:t>
      </w:r>
      <w:r w:rsidR="00B1644A" w:rsidRPr="00C951F0">
        <w:rPr>
          <w:rFonts w:cstheme="minorHAnsi"/>
          <w:color w:val="000000" w:themeColor="text1"/>
        </w:rPr>
        <w:t xml:space="preserve">0 mg. </w:t>
      </w:r>
    </w:p>
    <w:p w14:paraId="3EC292E0" w14:textId="53927BAA" w:rsidR="00B1644A" w:rsidRPr="00C951F0" w:rsidRDefault="006014F5" w:rsidP="00FD3AF7">
      <w:pPr>
        <w:spacing w:after="0"/>
        <w:rPr>
          <w:rFonts w:cstheme="minorHAnsi"/>
          <w:color w:val="000000" w:themeColor="text1"/>
        </w:rPr>
      </w:pPr>
      <w:r w:rsidRPr="00C951F0">
        <w:rPr>
          <w:rFonts w:cstheme="minorHAnsi"/>
          <w:b/>
          <w:bCs/>
          <w:color w:val="000000" w:themeColor="text1"/>
        </w:rPr>
        <w:t>Funding:</w:t>
      </w:r>
      <w:r w:rsidRPr="00C951F0">
        <w:rPr>
          <w:rFonts w:cstheme="minorHAnsi"/>
          <w:color w:val="000000" w:themeColor="text1"/>
        </w:rPr>
        <w:t xml:space="preserve"> </w:t>
      </w:r>
      <w:r w:rsidR="00B1644A" w:rsidRPr="00C951F0">
        <w:rPr>
          <w:rFonts w:cstheme="minorHAnsi"/>
          <w:color w:val="000000" w:themeColor="text1"/>
        </w:rPr>
        <w:t xml:space="preserve">Funded by </w:t>
      </w:r>
      <w:r w:rsidR="00B1644A" w:rsidRPr="00C951F0">
        <w:rPr>
          <w:color w:val="000000" w:themeColor="text1"/>
        </w:rPr>
        <w:t xml:space="preserve">Novo Nordisk A/S; STEP 2 ClinicalTrials.gov number, </w:t>
      </w:r>
      <w:r w:rsidR="00B1644A" w:rsidRPr="00C951F0">
        <w:rPr>
          <w:rFonts w:cs="Arial"/>
          <w:color w:val="000000" w:themeColor="text1"/>
        </w:rPr>
        <w:t>NCT03552757.</w:t>
      </w:r>
    </w:p>
    <w:p w14:paraId="4989681A" w14:textId="77777777" w:rsidR="00B1644A" w:rsidRPr="00C951F0" w:rsidRDefault="00B1644A" w:rsidP="0039543A">
      <w:pPr>
        <w:rPr>
          <w:rFonts w:cstheme="minorHAnsi"/>
          <w:color w:val="000000" w:themeColor="text1"/>
        </w:rPr>
      </w:pPr>
    </w:p>
    <w:p w14:paraId="5CED83F0" w14:textId="77777777" w:rsidR="00B9469E" w:rsidRDefault="00B1644A" w:rsidP="00706382">
      <w:pPr>
        <w:spacing w:after="0"/>
        <w:rPr>
          <w:rFonts w:cstheme="minorHAnsi"/>
          <w:bCs/>
          <w:color w:val="000000" w:themeColor="text1"/>
        </w:rPr>
      </w:pPr>
      <w:r w:rsidRPr="00C951F0">
        <w:rPr>
          <w:rFonts w:cstheme="minorHAnsi"/>
          <w:b/>
          <w:color w:val="000000" w:themeColor="text1"/>
        </w:rPr>
        <w:t xml:space="preserve">Keywords (3–10): </w:t>
      </w:r>
      <w:r w:rsidRPr="00C951F0">
        <w:rPr>
          <w:rFonts w:cstheme="minorHAnsi"/>
          <w:bCs/>
          <w:color w:val="000000" w:themeColor="text1"/>
        </w:rPr>
        <w:t>body weight</w:t>
      </w:r>
      <w:r w:rsidRPr="00C951F0">
        <w:rPr>
          <w:color w:val="000000" w:themeColor="text1"/>
        </w:rPr>
        <w:t>;</w:t>
      </w:r>
      <w:r w:rsidRPr="00C951F0">
        <w:rPr>
          <w:rFonts w:cstheme="minorHAnsi"/>
          <w:color w:val="000000" w:themeColor="text1"/>
        </w:rPr>
        <w:t xml:space="preserve"> </w:t>
      </w:r>
      <w:r w:rsidRPr="00C951F0">
        <w:rPr>
          <w:color w:val="000000" w:themeColor="text1"/>
        </w:rPr>
        <w:t>GLP-1 receptor agonist;</w:t>
      </w:r>
      <w:r w:rsidRPr="00C951F0">
        <w:rPr>
          <w:rFonts w:cstheme="minorHAnsi"/>
          <w:color w:val="000000" w:themeColor="text1"/>
        </w:rPr>
        <w:t xml:space="preserve"> IWQOL-Lite-CT; </w:t>
      </w:r>
      <w:r w:rsidRPr="00C951F0">
        <w:rPr>
          <w:rFonts w:cstheme="minorHAnsi"/>
          <w:bCs/>
          <w:color w:val="000000" w:themeColor="text1"/>
        </w:rPr>
        <w:t>obesity; overweight; semaglutide; SF-36; type 2 diabetes; weight loss.</w:t>
      </w:r>
    </w:p>
    <w:p w14:paraId="3331CD31" w14:textId="2663C79C" w:rsidR="00B1644A" w:rsidRPr="00C951F0" w:rsidRDefault="00B1644A" w:rsidP="00706382">
      <w:pPr>
        <w:spacing w:after="0"/>
        <w:rPr>
          <w:color w:val="000000" w:themeColor="text1"/>
        </w:rPr>
      </w:pPr>
      <w:r w:rsidRPr="00C951F0">
        <w:rPr>
          <w:color w:val="000000" w:themeColor="text1"/>
        </w:rPr>
        <w:br w:type="page"/>
      </w:r>
    </w:p>
    <w:p w14:paraId="71D1FF39" w14:textId="77777777" w:rsidR="00DF77AC" w:rsidRPr="00C951F0" w:rsidRDefault="00DF77AC" w:rsidP="00DF77AC">
      <w:pPr>
        <w:pStyle w:val="Heading1"/>
        <w:spacing w:line="480" w:lineRule="auto"/>
        <w:rPr>
          <w:color w:val="000000" w:themeColor="text1"/>
        </w:rPr>
      </w:pPr>
      <w:r w:rsidRPr="00C951F0">
        <w:rPr>
          <w:color w:val="000000" w:themeColor="text1"/>
        </w:rPr>
        <w:lastRenderedPageBreak/>
        <w:t xml:space="preserve">Research in context </w:t>
      </w:r>
    </w:p>
    <w:p w14:paraId="203921A0" w14:textId="5B33CAAA" w:rsidR="00DF77AC" w:rsidRPr="00C951F0" w:rsidRDefault="00DF77AC" w:rsidP="00DF77AC">
      <w:pPr>
        <w:pStyle w:val="Heading2"/>
        <w:rPr>
          <w:color w:val="000000" w:themeColor="text1"/>
        </w:rPr>
      </w:pPr>
      <w:r w:rsidRPr="00C951F0">
        <w:rPr>
          <w:caps w:val="0"/>
          <w:color w:val="000000" w:themeColor="text1"/>
        </w:rPr>
        <w:t xml:space="preserve">Evidence before this study </w:t>
      </w:r>
    </w:p>
    <w:p w14:paraId="4ACBAA9A" w14:textId="31340063" w:rsidR="00DF77AC" w:rsidRPr="00C951F0" w:rsidRDefault="00DF77AC" w:rsidP="00DF77AC">
      <w:pPr>
        <w:rPr>
          <w:rFonts w:cs="Arial"/>
          <w:color w:val="000000" w:themeColor="text1"/>
        </w:rPr>
      </w:pPr>
      <w:r w:rsidRPr="00C951F0">
        <w:rPr>
          <w:rFonts w:cs="Arial"/>
          <w:color w:val="000000" w:themeColor="text1"/>
        </w:rPr>
        <w:t xml:space="preserve">Weight loss has been shown to improve </w:t>
      </w:r>
      <w:proofErr w:type="spellStart"/>
      <w:r w:rsidRPr="00C951F0">
        <w:rPr>
          <w:rFonts w:cs="Arial"/>
          <w:color w:val="000000" w:themeColor="text1"/>
        </w:rPr>
        <w:t>glycaemic</w:t>
      </w:r>
      <w:proofErr w:type="spellEnd"/>
      <w:r w:rsidRPr="00C951F0">
        <w:rPr>
          <w:rFonts w:cs="Arial"/>
          <w:color w:val="000000" w:themeColor="text1"/>
        </w:rPr>
        <w:t xml:space="preserve"> control and reverse </w:t>
      </w:r>
      <w:r w:rsidR="005815DD" w:rsidRPr="00C951F0">
        <w:rPr>
          <w:rFonts w:cs="Arial"/>
          <w:color w:val="000000" w:themeColor="text1"/>
        </w:rPr>
        <w:t xml:space="preserve">disease </w:t>
      </w:r>
      <w:r w:rsidRPr="00C951F0">
        <w:rPr>
          <w:rFonts w:cs="Arial"/>
          <w:color w:val="000000" w:themeColor="text1"/>
        </w:rPr>
        <w:t xml:space="preserve">progression in people with </w:t>
      </w:r>
      <w:r w:rsidR="005815DD" w:rsidRPr="00C951F0">
        <w:rPr>
          <w:rFonts w:cs="Arial"/>
          <w:color w:val="000000" w:themeColor="text1"/>
        </w:rPr>
        <w:t>type 2 diabetes</w:t>
      </w:r>
      <w:r w:rsidRPr="00C951F0">
        <w:rPr>
          <w:rFonts w:cs="Arial"/>
          <w:color w:val="000000" w:themeColor="text1"/>
        </w:rPr>
        <w:t xml:space="preserve">. Glucagon-like peptide-1 receptor agonists (GLP-1RAs) have demonstrated efficacy in lowering glycated </w:t>
      </w:r>
      <w:proofErr w:type="spellStart"/>
      <w:r w:rsidRPr="00C951F0">
        <w:rPr>
          <w:rFonts w:cs="Arial"/>
          <w:color w:val="000000" w:themeColor="text1"/>
        </w:rPr>
        <w:t>h</w:t>
      </w:r>
      <w:r w:rsidR="00ED27DB">
        <w:rPr>
          <w:rFonts w:cs="Arial"/>
          <w:color w:val="000000" w:themeColor="text1"/>
        </w:rPr>
        <w:t>a</w:t>
      </w:r>
      <w:r w:rsidRPr="00C951F0">
        <w:rPr>
          <w:rFonts w:cs="Arial"/>
          <w:color w:val="000000" w:themeColor="text1"/>
        </w:rPr>
        <w:t>emoglobin</w:t>
      </w:r>
      <w:proofErr w:type="spellEnd"/>
      <w:r w:rsidRPr="00C951F0">
        <w:rPr>
          <w:rFonts w:cs="Arial"/>
          <w:color w:val="000000" w:themeColor="text1"/>
        </w:rPr>
        <w:t xml:space="preserve"> (HbA</w:t>
      </w:r>
      <w:r w:rsidRPr="00C951F0">
        <w:rPr>
          <w:rFonts w:cs="Arial"/>
          <w:color w:val="000000" w:themeColor="text1"/>
          <w:vertAlign w:val="subscript"/>
        </w:rPr>
        <w:t>1c</w:t>
      </w:r>
      <w:r w:rsidRPr="00C951F0">
        <w:rPr>
          <w:rFonts w:cs="Arial"/>
          <w:color w:val="000000" w:themeColor="text1"/>
        </w:rPr>
        <w:t>) and decreasing weight in patients with type 2 diabetes</w:t>
      </w:r>
      <w:r w:rsidR="005815DD" w:rsidRPr="00C951F0">
        <w:rPr>
          <w:rFonts w:cs="Arial"/>
          <w:color w:val="000000" w:themeColor="text1"/>
        </w:rPr>
        <w:t>.</w:t>
      </w:r>
      <w:r w:rsidRPr="00C951F0">
        <w:rPr>
          <w:rFonts w:cs="Arial"/>
          <w:color w:val="000000" w:themeColor="text1"/>
        </w:rPr>
        <w:t xml:space="preserve"> </w:t>
      </w:r>
      <w:r w:rsidR="005815DD" w:rsidRPr="00C951F0">
        <w:rPr>
          <w:rFonts w:cs="Arial"/>
          <w:color w:val="000000" w:themeColor="text1"/>
        </w:rPr>
        <w:t>O</w:t>
      </w:r>
      <w:r w:rsidRPr="00C951F0">
        <w:rPr>
          <w:rFonts w:cs="Arial"/>
          <w:color w:val="000000" w:themeColor="text1"/>
        </w:rPr>
        <w:t xml:space="preserve">nce-weekly semaglutide </w:t>
      </w:r>
      <w:r w:rsidR="005815DD" w:rsidRPr="00C951F0">
        <w:rPr>
          <w:rFonts w:cs="Arial"/>
          <w:color w:val="000000" w:themeColor="text1"/>
        </w:rPr>
        <w:t>2.4</w:t>
      </w:r>
      <w:r w:rsidRPr="00C951F0">
        <w:rPr>
          <w:rFonts w:cs="Arial"/>
          <w:color w:val="000000" w:themeColor="text1"/>
        </w:rPr>
        <w:t xml:space="preserve"> mg is currently being investigated as an obesity pharmacotherapy. </w:t>
      </w:r>
    </w:p>
    <w:p w14:paraId="112D6378" w14:textId="7974FEEB" w:rsidR="00A24463" w:rsidRPr="00C951F0" w:rsidRDefault="00DF77AC" w:rsidP="00A24463">
      <w:pPr>
        <w:rPr>
          <w:rFonts w:cs="Arial"/>
          <w:color w:val="000000" w:themeColor="text1"/>
        </w:rPr>
      </w:pPr>
      <w:r w:rsidRPr="00C951F0">
        <w:rPr>
          <w:rFonts w:cs="Arial"/>
          <w:color w:val="000000" w:themeColor="text1"/>
        </w:rPr>
        <w:t xml:space="preserve">We searched PubMed on Nov 24, 2020 for articles published in the past 5 years, with no language restrictions, using the search terms “glucagon-like peptide-1 receptor agonist”, “obesity”, and “overweight”. The SCALE Diabetes trial of once-daily liraglutide 3·0 mg as an adjunct to lifestyle intervention in patients with obesity/overweight and type 2 diabetes </w:t>
      </w:r>
      <w:r w:rsidR="00236A44">
        <w:rPr>
          <w:rFonts w:cs="Arial"/>
          <w:color w:val="000000" w:themeColor="text1"/>
        </w:rPr>
        <w:t xml:space="preserve">(N=846) </w:t>
      </w:r>
      <w:r w:rsidRPr="00C951F0">
        <w:rPr>
          <w:rFonts w:cs="Arial"/>
          <w:color w:val="000000" w:themeColor="text1"/>
        </w:rPr>
        <w:t xml:space="preserve">reported a reduction in body weight of 5·4% from baseline. In </w:t>
      </w:r>
      <w:r w:rsidR="00A24463" w:rsidRPr="00C951F0">
        <w:rPr>
          <w:rFonts w:cs="Arial"/>
          <w:color w:val="000000" w:themeColor="text1"/>
        </w:rPr>
        <w:t>a</w:t>
      </w:r>
      <w:r w:rsidRPr="00C951F0">
        <w:rPr>
          <w:rFonts w:cs="Arial"/>
          <w:color w:val="000000" w:themeColor="text1"/>
        </w:rPr>
        <w:t xml:space="preserve"> phase 2, dose-finding trial</w:t>
      </w:r>
      <w:r w:rsidR="00236A44">
        <w:rPr>
          <w:rFonts w:cs="Arial"/>
          <w:color w:val="000000" w:themeColor="text1"/>
        </w:rPr>
        <w:t xml:space="preserve"> (N=957)</w:t>
      </w:r>
      <w:r w:rsidRPr="00C951F0">
        <w:rPr>
          <w:rFonts w:cs="Arial"/>
          <w:color w:val="000000" w:themeColor="text1"/>
        </w:rPr>
        <w:t>, once-daily subcutaneous semaglutide 0·4 mg demonstrated effective weight loss and an acceptable safety profile.</w:t>
      </w:r>
    </w:p>
    <w:p w14:paraId="3E5DE09C" w14:textId="2C106A47" w:rsidR="00DF77AC" w:rsidRPr="00C951F0" w:rsidRDefault="00DF77AC" w:rsidP="002D0D7C">
      <w:pPr>
        <w:rPr>
          <w:rFonts w:cs="Arial"/>
          <w:b/>
          <w:bCs/>
          <w:color w:val="000000" w:themeColor="text1"/>
        </w:rPr>
      </w:pPr>
      <w:r w:rsidRPr="00C951F0">
        <w:rPr>
          <w:rFonts w:cs="Arial"/>
          <w:b/>
          <w:bCs/>
          <w:color w:val="000000" w:themeColor="text1"/>
        </w:rPr>
        <w:t xml:space="preserve">Added value of this study </w:t>
      </w:r>
    </w:p>
    <w:p w14:paraId="327EA36E" w14:textId="3B2F6232" w:rsidR="00DF77AC" w:rsidRPr="00C951F0" w:rsidRDefault="00DF77AC" w:rsidP="00DF77AC">
      <w:pPr>
        <w:rPr>
          <w:rFonts w:cs="Arial"/>
          <w:color w:val="000000" w:themeColor="text1"/>
        </w:rPr>
      </w:pPr>
      <w:r w:rsidRPr="00C951F0">
        <w:rPr>
          <w:rFonts w:cs="Arial"/>
          <w:color w:val="000000" w:themeColor="text1"/>
        </w:rPr>
        <w:t xml:space="preserve">In adults with overweight/obesity and type 2 diabetes, once-weekly semaglutide 2·4 mg achieved a superior decrease in </w:t>
      </w:r>
      <w:r w:rsidR="002D0D7C" w:rsidRPr="00C951F0">
        <w:rPr>
          <w:rFonts w:cs="Arial"/>
          <w:color w:val="000000" w:themeColor="text1"/>
        </w:rPr>
        <w:t xml:space="preserve">mean </w:t>
      </w:r>
      <w:r w:rsidRPr="00C951F0">
        <w:rPr>
          <w:rFonts w:cs="Arial"/>
          <w:color w:val="000000" w:themeColor="text1"/>
        </w:rPr>
        <w:t>body weight (–9.6%</w:t>
      </w:r>
      <w:r w:rsidR="00377F95">
        <w:rPr>
          <w:rFonts w:cs="Arial"/>
          <w:color w:val="000000" w:themeColor="text1"/>
        </w:rPr>
        <w:t xml:space="preserve"> [SE 0.4]</w:t>
      </w:r>
      <w:r w:rsidRPr="00C951F0">
        <w:rPr>
          <w:rFonts w:cs="Arial"/>
          <w:color w:val="000000" w:themeColor="text1"/>
        </w:rPr>
        <w:t>) compared with semaglutide 1·0</w:t>
      </w:r>
      <w:r w:rsidR="002D0D7C" w:rsidRPr="00C951F0">
        <w:rPr>
          <w:rFonts w:cs="Arial"/>
          <w:color w:val="000000" w:themeColor="text1"/>
        </w:rPr>
        <w:t> </w:t>
      </w:r>
      <w:r w:rsidRPr="00C951F0">
        <w:rPr>
          <w:rFonts w:cs="Arial"/>
          <w:color w:val="000000" w:themeColor="text1"/>
        </w:rPr>
        <w:t xml:space="preserve">mg and placebo (–7·0% </w:t>
      </w:r>
      <w:r w:rsidR="00377F95">
        <w:rPr>
          <w:rFonts w:cs="Arial"/>
          <w:color w:val="000000" w:themeColor="text1"/>
        </w:rPr>
        <w:t xml:space="preserve">[SE 0.4] </w:t>
      </w:r>
      <w:r w:rsidRPr="00C951F0">
        <w:rPr>
          <w:rFonts w:cs="Arial"/>
          <w:color w:val="000000" w:themeColor="text1"/>
        </w:rPr>
        <w:t>and –3·4%</w:t>
      </w:r>
      <w:r w:rsidR="00377F95">
        <w:rPr>
          <w:rFonts w:cs="Arial"/>
          <w:color w:val="000000" w:themeColor="text1"/>
        </w:rPr>
        <w:t xml:space="preserve"> [SE 0.4]</w:t>
      </w:r>
      <w:r w:rsidRPr="00C951F0">
        <w:rPr>
          <w:rFonts w:cs="Arial"/>
          <w:color w:val="000000" w:themeColor="text1"/>
        </w:rPr>
        <w:t>, respectively)</w:t>
      </w:r>
      <w:r w:rsidR="002D0D7C" w:rsidRPr="00C951F0">
        <w:rPr>
          <w:rFonts w:cs="Arial"/>
          <w:color w:val="000000" w:themeColor="text1"/>
        </w:rPr>
        <w:t>, with clinically meaningful reductions (≥5%) reported in over two-thirds of patients on semaglutide 2·4 mg</w:t>
      </w:r>
      <w:r w:rsidRPr="00C951F0">
        <w:rPr>
          <w:rFonts w:cs="Arial"/>
          <w:color w:val="000000" w:themeColor="text1"/>
        </w:rPr>
        <w:t xml:space="preserve">. </w:t>
      </w:r>
      <w:r w:rsidR="002D0D7C" w:rsidRPr="00C951F0">
        <w:rPr>
          <w:rFonts w:cs="Arial"/>
          <w:color w:val="000000" w:themeColor="text1"/>
        </w:rPr>
        <w:t>Furthermore, m</w:t>
      </w:r>
      <w:r w:rsidRPr="00C951F0">
        <w:rPr>
          <w:rFonts w:cs="Arial"/>
          <w:color w:val="000000" w:themeColor="text1"/>
        </w:rPr>
        <w:t>ore than two-thirds of patients treated with semaglutide 2·4 mg achieved a target HbA</w:t>
      </w:r>
      <w:r w:rsidRPr="00C951F0">
        <w:rPr>
          <w:rFonts w:cs="Arial"/>
          <w:color w:val="000000" w:themeColor="text1"/>
          <w:vertAlign w:val="subscript"/>
        </w:rPr>
        <w:t>1c</w:t>
      </w:r>
      <w:r w:rsidRPr="00C951F0">
        <w:rPr>
          <w:rFonts w:cs="Arial"/>
          <w:color w:val="000000" w:themeColor="text1"/>
        </w:rPr>
        <w:t xml:space="preserve"> ≤6·5%. Semaglutide 2·4 mg also resulted in improvement in cardiometabolic risk factors </w:t>
      </w:r>
      <w:r w:rsidR="002D0D7C" w:rsidRPr="00C951F0">
        <w:rPr>
          <w:rFonts w:cs="Arial"/>
          <w:color w:val="000000" w:themeColor="text1"/>
        </w:rPr>
        <w:t xml:space="preserve">compared </w:t>
      </w:r>
      <w:r w:rsidRPr="00C951F0">
        <w:rPr>
          <w:rFonts w:cs="Arial"/>
          <w:color w:val="000000" w:themeColor="text1"/>
        </w:rPr>
        <w:t xml:space="preserve">with </w:t>
      </w:r>
      <w:r w:rsidR="002D0D7C" w:rsidRPr="00C951F0">
        <w:rPr>
          <w:rFonts w:cs="Arial"/>
          <w:color w:val="000000" w:themeColor="text1"/>
        </w:rPr>
        <w:t>placebo</w:t>
      </w:r>
      <w:r w:rsidRPr="00C951F0">
        <w:rPr>
          <w:rFonts w:cs="Arial"/>
          <w:color w:val="000000" w:themeColor="text1"/>
        </w:rPr>
        <w:t>. The safety profile of semaglutide 2·4 mg was typical of a GLP-1RA.</w:t>
      </w:r>
    </w:p>
    <w:p w14:paraId="3F5075DF" w14:textId="77777777" w:rsidR="00DF77AC" w:rsidRPr="00C951F0" w:rsidRDefault="00DF77AC" w:rsidP="00647766">
      <w:pPr>
        <w:keepNext/>
        <w:rPr>
          <w:rFonts w:cs="Arial"/>
          <w:b/>
          <w:bCs/>
          <w:color w:val="000000" w:themeColor="text1"/>
        </w:rPr>
      </w:pPr>
      <w:r w:rsidRPr="00C951F0">
        <w:rPr>
          <w:rFonts w:cs="Arial"/>
          <w:b/>
          <w:bCs/>
          <w:color w:val="000000" w:themeColor="text1"/>
        </w:rPr>
        <w:lastRenderedPageBreak/>
        <w:t>Implications of all the available evidence</w:t>
      </w:r>
    </w:p>
    <w:p w14:paraId="0CC6CDB9" w14:textId="191DECC1" w:rsidR="00DF77AC" w:rsidRPr="00C951F0" w:rsidRDefault="00DF77AC" w:rsidP="00DF77AC">
      <w:pPr>
        <w:rPr>
          <w:rFonts w:cs="Arial"/>
          <w:color w:val="000000" w:themeColor="text1"/>
        </w:rPr>
      </w:pPr>
      <w:r w:rsidRPr="00C951F0">
        <w:rPr>
          <w:rFonts w:cs="Arial"/>
          <w:color w:val="000000" w:themeColor="text1"/>
        </w:rPr>
        <w:t>This is the first trial to show that in adults with overweight/obesity and type 2 diabetes, once-weekly subcutaneous semaglutide 2·4 mg produces clinically meaningful reductions in body weight</w:t>
      </w:r>
      <w:r w:rsidR="005815DD" w:rsidRPr="00C951F0">
        <w:rPr>
          <w:rFonts w:cs="Arial"/>
          <w:color w:val="000000" w:themeColor="text1"/>
        </w:rPr>
        <w:t xml:space="preserve">. The magnitude of weight loss achieved with semaglutide 2·4 mg in STEP 2 was greater than that observed with liraglutide and other approved anti-obesity medications in similar patient populations. </w:t>
      </w:r>
      <w:r w:rsidRPr="00C951F0">
        <w:rPr>
          <w:rFonts w:cs="Arial"/>
          <w:color w:val="000000" w:themeColor="text1"/>
        </w:rPr>
        <w:t xml:space="preserve">Semaglutide </w:t>
      </w:r>
      <w:r w:rsidR="005815DD" w:rsidRPr="00C951F0">
        <w:rPr>
          <w:rFonts w:cs="Arial"/>
          <w:color w:val="000000" w:themeColor="text1"/>
        </w:rPr>
        <w:t xml:space="preserve">2.4 mg </w:t>
      </w:r>
      <w:r w:rsidRPr="00C951F0">
        <w:rPr>
          <w:rFonts w:cs="Arial"/>
          <w:color w:val="000000" w:themeColor="text1"/>
        </w:rPr>
        <w:t xml:space="preserve">is a promising treatment option for weight management in patients with overweight/obesity and type 2 diabetes. </w:t>
      </w:r>
    </w:p>
    <w:p w14:paraId="602F2F89" w14:textId="77777777" w:rsidR="00DF77AC" w:rsidRPr="00C951F0" w:rsidRDefault="00DF77AC">
      <w:pPr>
        <w:spacing w:after="160" w:line="259" w:lineRule="auto"/>
        <w:rPr>
          <w:rStyle w:val="Heading1Char"/>
          <w:rFonts w:eastAsiaTheme="minorHAnsi"/>
          <w:color w:val="000000" w:themeColor="text1"/>
        </w:rPr>
      </w:pPr>
      <w:r w:rsidRPr="00C951F0">
        <w:rPr>
          <w:rStyle w:val="Heading1Char"/>
          <w:rFonts w:eastAsiaTheme="minorHAnsi"/>
          <w:b w:val="0"/>
          <w:bCs w:val="0"/>
          <w:color w:val="000000" w:themeColor="text1"/>
        </w:rPr>
        <w:br w:type="page"/>
      </w:r>
    </w:p>
    <w:p w14:paraId="1899AA31" w14:textId="5519F740" w:rsidR="00B1644A" w:rsidRPr="00C951F0" w:rsidRDefault="00D12997" w:rsidP="0039543A">
      <w:pPr>
        <w:pStyle w:val="Heading1"/>
        <w:rPr>
          <w:b w:val="0"/>
          <w:color w:val="000000" w:themeColor="text1"/>
        </w:rPr>
      </w:pPr>
      <w:r w:rsidRPr="00C951F0">
        <w:rPr>
          <w:rStyle w:val="Heading1Char"/>
          <w:rFonts w:eastAsiaTheme="minorHAnsi"/>
          <w:b/>
          <w:bCs/>
          <w:color w:val="000000" w:themeColor="text1"/>
        </w:rPr>
        <w:lastRenderedPageBreak/>
        <w:t>Introduction</w:t>
      </w:r>
      <w:r w:rsidR="00B1644A" w:rsidRPr="00C951F0">
        <w:rPr>
          <w:b w:val="0"/>
          <w:color w:val="000000" w:themeColor="text1"/>
        </w:rPr>
        <w:t xml:space="preserve"> </w:t>
      </w:r>
    </w:p>
    <w:p w14:paraId="5A22E806" w14:textId="42F180CC" w:rsidR="00B1644A" w:rsidRPr="00C951F0" w:rsidRDefault="002B637F" w:rsidP="00E455C9">
      <w:pPr>
        <w:rPr>
          <w:color w:val="000000" w:themeColor="text1"/>
        </w:rPr>
      </w:pPr>
      <w:bookmarkStart w:id="4" w:name="_Hlk58511167"/>
      <w:bookmarkStart w:id="5" w:name="_Hlk48135581"/>
      <w:r w:rsidRPr="002B637F">
        <w:rPr>
          <w:color w:val="000000" w:themeColor="text1"/>
        </w:rPr>
        <w:t>Over 90% of people with type 2 diabetes are also those with overweight/obesity</w:t>
      </w:r>
      <w:bookmarkEnd w:id="4"/>
      <w:r w:rsidR="00B1644A" w:rsidRPr="00C951F0">
        <w:rPr>
          <w:color w:val="000000" w:themeColor="text1"/>
          <w:vertAlign w:val="superscript"/>
        </w:rPr>
        <w:t>1</w:t>
      </w:r>
      <w:r w:rsidR="00B1644A" w:rsidRPr="00C951F0">
        <w:rPr>
          <w:color w:val="000000" w:themeColor="text1"/>
        </w:rPr>
        <w:t xml:space="preserve"> </w:t>
      </w:r>
      <w:r w:rsidR="00612C7D">
        <w:rPr>
          <w:color w:val="000000" w:themeColor="text1"/>
        </w:rPr>
        <w:t>and over 20% of people with obesity also have diabetes</w:t>
      </w:r>
      <w:r w:rsidR="001D4439">
        <w:rPr>
          <w:color w:val="000000" w:themeColor="text1"/>
        </w:rPr>
        <w:t>.</w:t>
      </w:r>
      <w:r w:rsidR="00666D26" w:rsidRPr="00666D26">
        <w:rPr>
          <w:color w:val="000000" w:themeColor="text1"/>
          <w:vertAlign w:val="superscript"/>
        </w:rPr>
        <w:t>2</w:t>
      </w:r>
      <w:r w:rsidR="001D4439">
        <w:rPr>
          <w:color w:val="000000" w:themeColor="text1"/>
        </w:rPr>
        <w:t xml:space="preserve"> </w:t>
      </w:r>
      <w:r w:rsidR="00697576">
        <w:rPr>
          <w:color w:val="000000" w:themeColor="text1"/>
        </w:rPr>
        <w:t>Some</w:t>
      </w:r>
      <w:r w:rsidR="00697576" w:rsidRPr="00C951F0">
        <w:rPr>
          <w:color w:val="000000" w:themeColor="text1"/>
        </w:rPr>
        <w:t xml:space="preserve"> </w:t>
      </w:r>
      <w:r w:rsidR="00B1644A" w:rsidRPr="00C951F0">
        <w:rPr>
          <w:color w:val="000000" w:themeColor="text1"/>
        </w:rPr>
        <w:t>medications used to treat type 2 diabetes are associated with weight gain,</w:t>
      </w:r>
      <w:r w:rsidR="004B580E">
        <w:rPr>
          <w:color w:val="000000" w:themeColor="text1"/>
          <w:vertAlign w:val="superscript"/>
        </w:rPr>
        <w:t>3</w:t>
      </w:r>
      <w:r w:rsidR="00B1644A" w:rsidRPr="00C951F0">
        <w:rPr>
          <w:color w:val="000000" w:themeColor="text1"/>
        </w:rPr>
        <w:t xml:space="preserve"> aggravating this common comorbidity. Weight loss </w:t>
      </w:r>
      <w:r w:rsidR="00DF2360">
        <w:rPr>
          <w:color w:val="000000" w:themeColor="text1"/>
        </w:rPr>
        <w:t xml:space="preserve">is an important </w:t>
      </w:r>
      <w:r w:rsidR="00CF7014">
        <w:rPr>
          <w:color w:val="000000" w:themeColor="text1"/>
        </w:rPr>
        <w:t>tool</w:t>
      </w:r>
      <w:r w:rsidR="00DF2360">
        <w:rPr>
          <w:color w:val="000000" w:themeColor="text1"/>
        </w:rPr>
        <w:t xml:space="preserve"> in the management of type 2 diabetes</w:t>
      </w:r>
      <w:r w:rsidR="00CF7014">
        <w:rPr>
          <w:color w:val="000000" w:themeColor="text1"/>
        </w:rPr>
        <w:t xml:space="preserve"> as it</w:t>
      </w:r>
      <w:r w:rsidR="00B1644A" w:rsidRPr="00C951F0">
        <w:rPr>
          <w:color w:val="000000" w:themeColor="text1"/>
        </w:rPr>
        <w:t xml:space="preserve"> improve</w:t>
      </w:r>
      <w:r w:rsidR="00CF7014">
        <w:rPr>
          <w:color w:val="000000" w:themeColor="text1"/>
        </w:rPr>
        <w:t>s</w:t>
      </w:r>
      <w:r w:rsidR="00B1644A" w:rsidRPr="00C951F0">
        <w:rPr>
          <w:color w:val="000000" w:themeColor="text1"/>
        </w:rPr>
        <w:t xml:space="preserve"> </w:t>
      </w:r>
      <w:proofErr w:type="spellStart"/>
      <w:r w:rsidR="00BF42BE" w:rsidRPr="00C951F0">
        <w:rPr>
          <w:color w:val="000000" w:themeColor="text1"/>
        </w:rPr>
        <w:t>glycaem</w:t>
      </w:r>
      <w:r w:rsidR="00B1644A" w:rsidRPr="00C951F0">
        <w:rPr>
          <w:color w:val="000000" w:themeColor="text1"/>
        </w:rPr>
        <w:t>ic</w:t>
      </w:r>
      <w:proofErr w:type="spellEnd"/>
      <w:r w:rsidR="00B1644A" w:rsidRPr="00C951F0">
        <w:rPr>
          <w:color w:val="000000" w:themeColor="text1"/>
        </w:rPr>
        <w:t xml:space="preserve"> control and </w:t>
      </w:r>
      <w:r w:rsidR="00CF7014">
        <w:rPr>
          <w:color w:val="000000" w:themeColor="text1"/>
        </w:rPr>
        <w:t>associated metabolic comorbidities</w:t>
      </w:r>
      <w:r w:rsidR="00B1644A" w:rsidRPr="00C951F0">
        <w:rPr>
          <w:color w:val="000000" w:themeColor="text1"/>
        </w:rPr>
        <w:t>.</w:t>
      </w:r>
      <w:r w:rsidR="004B580E">
        <w:rPr>
          <w:color w:val="000000" w:themeColor="text1"/>
          <w:vertAlign w:val="superscript"/>
        </w:rPr>
        <w:t>4</w:t>
      </w:r>
      <w:r w:rsidR="00B1644A" w:rsidRPr="00C951F0">
        <w:rPr>
          <w:color w:val="000000" w:themeColor="text1"/>
        </w:rPr>
        <w:t xml:space="preserve"> </w:t>
      </w:r>
    </w:p>
    <w:p w14:paraId="082C204D" w14:textId="2D2858DB" w:rsidR="00B1644A" w:rsidRPr="00C951F0" w:rsidRDefault="00B1644A" w:rsidP="0039543A">
      <w:pPr>
        <w:rPr>
          <w:color w:val="000000" w:themeColor="text1"/>
        </w:rPr>
      </w:pPr>
      <w:r w:rsidRPr="00C951F0">
        <w:rPr>
          <w:color w:val="000000" w:themeColor="text1"/>
        </w:rPr>
        <w:t>Glucagon</w:t>
      </w:r>
      <w:r w:rsidR="00352258" w:rsidRPr="00C951F0">
        <w:rPr>
          <w:color w:val="000000" w:themeColor="text1"/>
        </w:rPr>
        <w:t>-</w:t>
      </w:r>
      <w:r w:rsidRPr="00C951F0">
        <w:rPr>
          <w:color w:val="000000" w:themeColor="text1"/>
        </w:rPr>
        <w:t xml:space="preserve">like peptide-1 receptor agonists (GLP-1RAs) have demonstrated efficacy in lowering glycated </w:t>
      </w:r>
      <w:proofErr w:type="spellStart"/>
      <w:r w:rsidR="007B5725" w:rsidRPr="00C951F0">
        <w:rPr>
          <w:color w:val="000000" w:themeColor="text1"/>
        </w:rPr>
        <w:t>haemo</w:t>
      </w:r>
      <w:r w:rsidRPr="00C951F0">
        <w:rPr>
          <w:color w:val="000000" w:themeColor="text1"/>
        </w:rPr>
        <w:t>globin</w:t>
      </w:r>
      <w:proofErr w:type="spellEnd"/>
      <w:r w:rsidRPr="00C951F0">
        <w:rPr>
          <w:color w:val="000000" w:themeColor="text1"/>
        </w:rPr>
        <w:t xml:space="preserve"> (HbA</w:t>
      </w:r>
      <w:r w:rsidRPr="00C951F0">
        <w:rPr>
          <w:color w:val="000000" w:themeColor="text1"/>
          <w:vertAlign w:val="subscript"/>
        </w:rPr>
        <w:t>1c</w:t>
      </w:r>
      <w:r w:rsidRPr="00C951F0">
        <w:rPr>
          <w:color w:val="000000" w:themeColor="text1"/>
        </w:rPr>
        <w:t>) and decreasing weight in patients with type 2 diabetes, and are recommended as a second</w:t>
      </w:r>
      <w:r w:rsidR="003304FC" w:rsidRPr="00C951F0">
        <w:rPr>
          <w:color w:val="000000" w:themeColor="text1"/>
        </w:rPr>
        <w:t>-</w:t>
      </w:r>
      <w:r w:rsidRPr="00C951F0">
        <w:rPr>
          <w:color w:val="000000" w:themeColor="text1"/>
        </w:rPr>
        <w:t>line therapy after metformin and as the first injectable after failure of oral glucose-lowering agents.</w:t>
      </w:r>
      <w:r w:rsidR="004B580E">
        <w:rPr>
          <w:color w:val="000000" w:themeColor="text1"/>
          <w:vertAlign w:val="superscript"/>
        </w:rPr>
        <w:t>5</w:t>
      </w:r>
      <w:r w:rsidR="00CE7BB9" w:rsidRPr="00C951F0">
        <w:rPr>
          <w:color w:val="000000" w:themeColor="text1"/>
          <w:vertAlign w:val="superscript"/>
        </w:rPr>
        <w:t>–</w:t>
      </w:r>
      <w:r w:rsidR="004B580E">
        <w:rPr>
          <w:color w:val="000000" w:themeColor="text1"/>
          <w:vertAlign w:val="superscript"/>
        </w:rPr>
        <w:t>7</w:t>
      </w:r>
      <w:r w:rsidRPr="00C951F0">
        <w:rPr>
          <w:color w:val="000000" w:themeColor="text1"/>
        </w:rPr>
        <w:t xml:space="preserve"> Furthermore, the GLP-1RA liraglutide is available for the treatment of overweight and obesity in people with or without type 2 diabetes.</w:t>
      </w:r>
      <w:r w:rsidR="004B580E">
        <w:rPr>
          <w:color w:val="000000" w:themeColor="text1"/>
          <w:vertAlign w:val="superscript"/>
        </w:rPr>
        <w:t>8</w:t>
      </w:r>
      <w:r w:rsidRPr="00C951F0">
        <w:rPr>
          <w:color w:val="000000" w:themeColor="text1"/>
        </w:rPr>
        <w:t xml:space="preserve"> Among currently available GLP-1 RAs for the treatment of diabetes, semaglutide 1</w:t>
      </w:r>
      <w:r w:rsidR="00C5236B" w:rsidRPr="00C951F0">
        <w:rPr>
          <w:color w:val="000000" w:themeColor="text1"/>
        </w:rPr>
        <w:t>·</w:t>
      </w:r>
      <w:r w:rsidRPr="00C951F0">
        <w:rPr>
          <w:color w:val="000000" w:themeColor="text1"/>
        </w:rPr>
        <w:t>0 mg has demonstrated the greatest weight loss effect in patients with type 2 diabetes,</w:t>
      </w:r>
      <w:r w:rsidR="004B580E">
        <w:rPr>
          <w:color w:val="000000" w:themeColor="text1"/>
          <w:vertAlign w:val="superscript"/>
        </w:rPr>
        <w:t>9</w:t>
      </w:r>
      <w:r w:rsidR="00CE7BB9" w:rsidRPr="00C951F0">
        <w:rPr>
          <w:color w:val="000000" w:themeColor="text1"/>
          <w:vertAlign w:val="superscript"/>
        </w:rPr>
        <w:t>–</w:t>
      </w:r>
      <w:r w:rsidR="004B580E">
        <w:rPr>
          <w:color w:val="000000" w:themeColor="text1"/>
          <w:vertAlign w:val="superscript"/>
        </w:rPr>
        <w:t>11</w:t>
      </w:r>
      <w:r w:rsidRPr="00C951F0">
        <w:rPr>
          <w:color w:val="000000" w:themeColor="text1"/>
        </w:rPr>
        <w:t xml:space="preserve"> and is currently being investigated at the higher dose of 2</w:t>
      </w:r>
      <w:r w:rsidR="00C5236B" w:rsidRPr="00C951F0">
        <w:rPr>
          <w:color w:val="000000" w:themeColor="text1"/>
        </w:rPr>
        <w:t>·</w:t>
      </w:r>
      <w:r w:rsidRPr="00C951F0">
        <w:rPr>
          <w:color w:val="000000" w:themeColor="text1"/>
        </w:rPr>
        <w:t xml:space="preserve">4 mg as an obesity pharmacotherapy. The present study, part of the Semaglutide Treatment Effect for People with obesity </w:t>
      </w:r>
      <w:r w:rsidR="0096099B" w:rsidRPr="00C951F0">
        <w:rPr>
          <w:color w:val="000000" w:themeColor="text1"/>
        </w:rPr>
        <w:t>(</w:t>
      </w:r>
      <w:r w:rsidRPr="00C951F0">
        <w:rPr>
          <w:color w:val="000000" w:themeColor="text1"/>
        </w:rPr>
        <w:t>STEP</w:t>
      </w:r>
      <w:r w:rsidR="0096099B" w:rsidRPr="00C951F0">
        <w:rPr>
          <w:color w:val="000000" w:themeColor="text1"/>
        </w:rPr>
        <w:t xml:space="preserve">) </w:t>
      </w:r>
      <w:r w:rsidR="00BF42BE" w:rsidRPr="00C951F0">
        <w:rPr>
          <w:color w:val="000000" w:themeColor="text1"/>
        </w:rPr>
        <w:t>programme</w:t>
      </w:r>
      <w:r w:rsidR="00CE7BB9" w:rsidRPr="00C951F0">
        <w:rPr>
          <w:color w:val="000000" w:themeColor="text1"/>
        </w:rPr>
        <w:t>,</w:t>
      </w:r>
      <w:r w:rsidR="004B580E">
        <w:rPr>
          <w:color w:val="000000" w:themeColor="text1"/>
          <w:vertAlign w:val="superscript"/>
        </w:rPr>
        <w:t>12</w:t>
      </w:r>
      <w:r w:rsidRPr="00C951F0">
        <w:rPr>
          <w:color w:val="000000" w:themeColor="text1"/>
        </w:rPr>
        <w:t xml:space="preserve"> </w:t>
      </w:r>
      <w:r w:rsidRPr="00C951F0">
        <w:rPr>
          <w:rFonts w:eastAsia="TimesLTStd-Roman" w:cstheme="minorHAnsi"/>
          <w:color w:val="000000" w:themeColor="text1"/>
        </w:rPr>
        <w:t xml:space="preserve">evaluated the efficacy and safety of once-weekly </w:t>
      </w:r>
      <w:r w:rsidR="00814F11" w:rsidRPr="00C951F0">
        <w:rPr>
          <w:rFonts w:eastAsia="TimesLTStd-Roman" w:cstheme="minorHAnsi"/>
          <w:color w:val="000000" w:themeColor="text1"/>
        </w:rPr>
        <w:t>subcutaneous</w:t>
      </w:r>
      <w:r w:rsidRPr="00C951F0">
        <w:rPr>
          <w:rFonts w:eastAsia="TimesLTStd-Roman" w:cstheme="minorHAnsi"/>
          <w:color w:val="000000" w:themeColor="text1"/>
        </w:rPr>
        <w:t xml:space="preserve"> semaglutide 2</w:t>
      </w:r>
      <w:r w:rsidR="00C5236B" w:rsidRPr="00C951F0">
        <w:rPr>
          <w:rFonts w:eastAsia="TimesLTStd-Roman" w:cstheme="minorHAnsi"/>
          <w:color w:val="000000" w:themeColor="text1"/>
        </w:rPr>
        <w:t>·</w:t>
      </w:r>
      <w:r w:rsidRPr="00C951F0">
        <w:rPr>
          <w:rFonts w:eastAsia="TimesLTStd-Roman" w:cstheme="minorHAnsi"/>
          <w:color w:val="000000" w:themeColor="text1"/>
        </w:rPr>
        <w:t xml:space="preserve">4 mg </w:t>
      </w:r>
      <w:r w:rsidR="00BF42BE" w:rsidRPr="00C951F0">
        <w:rPr>
          <w:rFonts w:eastAsia="TimesLTStd-Roman" w:cstheme="minorHAnsi"/>
          <w:color w:val="000000" w:themeColor="text1"/>
        </w:rPr>
        <w:t>versus</w:t>
      </w:r>
      <w:r w:rsidRPr="00C951F0">
        <w:rPr>
          <w:rFonts w:eastAsia="TimesLTStd-Roman" w:cstheme="minorHAnsi"/>
          <w:color w:val="000000" w:themeColor="text1"/>
        </w:rPr>
        <w:t xml:space="preserve"> 1</w:t>
      </w:r>
      <w:r w:rsidR="00C5236B" w:rsidRPr="00C951F0">
        <w:rPr>
          <w:rFonts w:eastAsia="TimesLTStd-Roman" w:cstheme="minorHAnsi"/>
          <w:color w:val="000000" w:themeColor="text1"/>
        </w:rPr>
        <w:t>·</w:t>
      </w:r>
      <w:r w:rsidRPr="00C951F0">
        <w:rPr>
          <w:rFonts w:eastAsia="TimesLTStd-Roman" w:cstheme="minorHAnsi"/>
          <w:color w:val="000000" w:themeColor="text1"/>
        </w:rPr>
        <w:t>0 mg (</w:t>
      </w:r>
      <w:r w:rsidR="007626D5" w:rsidRPr="00C951F0">
        <w:rPr>
          <w:rFonts w:eastAsia="TimesLTStd-Roman" w:cstheme="minorHAnsi"/>
          <w:color w:val="000000" w:themeColor="text1"/>
        </w:rPr>
        <w:t>dose</w:t>
      </w:r>
      <w:r w:rsidRPr="00C951F0">
        <w:rPr>
          <w:rFonts w:eastAsia="TimesLTStd-Roman" w:cstheme="minorHAnsi"/>
          <w:color w:val="000000" w:themeColor="text1"/>
        </w:rPr>
        <w:t xml:space="preserve"> approved diabetes treatment) and placebo for weight management in adults with overweight/</w:t>
      </w:r>
      <w:r w:rsidRPr="00C951F0">
        <w:rPr>
          <w:color w:val="000000" w:themeColor="text1"/>
        </w:rPr>
        <w:t>obesity and type 2 diabetes.</w:t>
      </w:r>
    </w:p>
    <w:bookmarkEnd w:id="5"/>
    <w:p w14:paraId="1FDFCF97" w14:textId="77777777" w:rsidR="00B1644A" w:rsidRPr="00C951F0" w:rsidRDefault="00B1644A" w:rsidP="0039543A">
      <w:pPr>
        <w:spacing w:before="120" w:line="276" w:lineRule="auto"/>
        <w:rPr>
          <w:color w:val="000000" w:themeColor="text1"/>
        </w:rPr>
      </w:pPr>
    </w:p>
    <w:p w14:paraId="682B8E5F" w14:textId="7014F949" w:rsidR="00B1644A" w:rsidRPr="00C951F0" w:rsidRDefault="00D12997" w:rsidP="0039543A">
      <w:pPr>
        <w:pStyle w:val="Heading1"/>
        <w:rPr>
          <w:color w:val="000000" w:themeColor="text1"/>
        </w:rPr>
      </w:pPr>
      <w:r w:rsidRPr="00C951F0">
        <w:rPr>
          <w:color w:val="000000" w:themeColor="text1"/>
        </w:rPr>
        <w:t xml:space="preserve">Methods </w:t>
      </w:r>
    </w:p>
    <w:p w14:paraId="6A01CD64" w14:textId="3F71ADE0" w:rsidR="00B1644A" w:rsidRPr="00C951F0" w:rsidRDefault="00D12997" w:rsidP="00FD3AF7">
      <w:pPr>
        <w:pStyle w:val="Heading3"/>
        <w:rPr>
          <w:bCs/>
          <w:color w:val="000000" w:themeColor="text1"/>
        </w:rPr>
      </w:pPr>
      <w:r w:rsidRPr="00C951F0">
        <w:rPr>
          <w:b/>
          <w:bCs/>
          <w:color w:val="000000" w:themeColor="text1"/>
        </w:rPr>
        <w:t>Trial design and oversight</w:t>
      </w:r>
    </w:p>
    <w:p w14:paraId="62317155" w14:textId="37918AF6" w:rsidR="00B1644A" w:rsidRPr="00C951F0" w:rsidRDefault="00B1644A" w:rsidP="0039543A">
      <w:pPr>
        <w:rPr>
          <w:color w:val="000000" w:themeColor="text1"/>
        </w:rPr>
      </w:pPr>
      <w:bookmarkStart w:id="6" w:name="_Hlk58411767"/>
      <w:r w:rsidRPr="00C951F0">
        <w:rPr>
          <w:color w:val="000000" w:themeColor="text1"/>
        </w:rPr>
        <w:t xml:space="preserve">This </w:t>
      </w:r>
      <w:r w:rsidR="00D03F4E">
        <w:rPr>
          <w:color w:val="000000" w:themeColor="text1"/>
        </w:rPr>
        <w:t xml:space="preserve">phase 3, </w:t>
      </w:r>
      <w:proofErr w:type="spellStart"/>
      <w:r w:rsidR="007B5725" w:rsidRPr="00C951F0">
        <w:rPr>
          <w:color w:val="000000" w:themeColor="text1"/>
        </w:rPr>
        <w:t>randomis</w:t>
      </w:r>
      <w:r w:rsidRPr="00C951F0">
        <w:rPr>
          <w:color w:val="000000" w:themeColor="text1"/>
        </w:rPr>
        <w:t>ed</w:t>
      </w:r>
      <w:proofErr w:type="spellEnd"/>
      <w:r w:rsidRPr="00C951F0">
        <w:rPr>
          <w:color w:val="000000" w:themeColor="text1"/>
        </w:rPr>
        <w:t>,</w:t>
      </w:r>
      <w:bookmarkEnd w:id="6"/>
      <w:r w:rsidRPr="00C951F0">
        <w:rPr>
          <w:color w:val="000000" w:themeColor="text1"/>
        </w:rPr>
        <w:t xml:space="preserve"> double-blind, double-dummy, placebo-controlled, </w:t>
      </w:r>
      <w:proofErr w:type="spellStart"/>
      <w:r w:rsidRPr="00C951F0">
        <w:rPr>
          <w:color w:val="000000" w:themeColor="text1"/>
        </w:rPr>
        <w:t>multi</w:t>
      </w:r>
      <w:r w:rsidR="00BF42BE" w:rsidRPr="00C951F0">
        <w:rPr>
          <w:color w:val="000000" w:themeColor="text1"/>
        </w:rPr>
        <w:t>centre</w:t>
      </w:r>
      <w:proofErr w:type="spellEnd"/>
      <w:r w:rsidRPr="00C951F0">
        <w:rPr>
          <w:color w:val="000000" w:themeColor="text1"/>
        </w:rPr>
        <w:t xml:space="preserve"> study was conducted at 149 sites in 12 countries </w:t>
      </w:r>
      <w:r w:rsidR="00097852" w:rsidRPr="00C951F0">
        <w:rPr>
          <w:color w:val="000000" w:themeColor="text1"/>
        </w:rPr>
        <w:t xml:space="preserve">across </w:t>
      </w:r>
      <w:r w:rsidRPr="00C951F0">
        <w:rPr>
          <w:color w:val="000000" w:themeColor="text1"/>
        </w:rPr>
        <w:t>Europe, North America, South America, Middle East, South Africa</w:t>
      </w:r>
      <w:r w:rsidR="00814F11" w:rsidRPr="00C951F0">
        <w:rPr>
          <w:color w:val="000000" w:themeColor="text1"/>
        </w:rPr>
        <w:t>,</w:t>
      </w:r>
      <w:r w:rsidRPr="00C951F0">
        <w:rPr>
          <w:color w:val="000000" w:themeColor="text1"/>
        </w:rPr>
        <w:t xml:space="preserve"> and Asia</w:t>
      </w:r>
      <w:r w:rsidR="00814F11" w:rsidRPr="00C951F0">
        <w:rPr>
          <w:color w:val="000000" w:themeColor="text1"/>
        </w:rPr>
        <w:t>,</w:t>
      </w:r>
      <w:r w:rsidRPr="00C951F0">
        <w:rPr>
          <w:color w:val="000000" w:themeColor="text1"/>
        </w:rPr>
        <w:t xml:space="preserve"> as described previously.</w:t>
      </w:r>
      <w:r w:rsidR="004B580E">
        <w:rPr>
          <w:color w:val="000000" w:themeColor="text1"/>
          <w:vertAlign w:val="superscript"/>
        </w:rPr>
        <w:t>12</w:t>
      </w:r>
      <w:r w:rsidRPr="00C951F0">
        <w:rPr>
          <w:color w:val="000000" w:themeColor="text1"/>
        </w:rPr>
        <w:t xml:space="preserve"> The sponsor (Novo Nordisk) designed the trial and oversaw its conduct. The trial was conducted in compliance with the International Conference on Harmonization Good Clinical Practice guidelines</w:t>
      </w:r>
      <w:r w:rsidR="004B580E">
        <w:rPr>
          <w:color w:val="000000" w:themeColor="text1"/>
          <w:vertAlign w:val="superscript"/>
        </w:rPr>
        <w:t>13</w:t>
      </w:r>
      <w:r w:rsidRPr="00C951F0">
        <w:rPr>
          <w:color w:val="000000" w:themeColor="text1"/>
        </w:rPr>
        <w:t xml:space="preserve"> and the Declaration of Helsinki. The protocol and amendments were approved by the relevant </w:t>
      </w:r>
      <w:r w:rsidRPr="00C951F0">
        <w:rPr>
          <w:color w:val="000000" w:themeColor="text1"/>
        </w:rPr>
        <w:lastRenderedPageBreak/>
        <w:t>institutional review board or independent ethics committee at each study site.</w:t>
      </w:r>
      <w:r w:rsidR="00B809C6" w:rsidRPr="00C951F0">
        <w:rPr>
          <w:color w:val="000000" w:themeColor="text1"/>
        </w:rPr>
        <w:t xml:space="preserve"> A redacted protocol is in the appendix (</w:t>
      </w:r>
      <w:r w:rsidR="00B809C6" w:rsidRPr="001140AC">
        <w:rPr>
          <w:color w:val="000000" w:themeColor="text1"/>
        </w:rPr>
        <w:t xml:space="preserve">pp </w:t>
      </w:r>
      <w:r w:rsidR="00775C37" w:rsidRPr="001140AC">
        <w:rPr>
          <w:color w:val="000000" w:themeColor="text1"/>
        </w:rPr>
        <w:t>2</w:t>
      </w:r>
      <w:r w:rsidR="001140AC">
        <w:rPr>
          <w:color w:val="000000" w:themeColor="text1"/>
        </w:rPr>
        <w:t>5</w:t>
      </w:r>
      <w:r w:rsidR="00B809C6" w:rsidRPr="001140AC">
        <w:rPr>
          <w:color w:val="000000" w:themeColor="text1"/>
        </w:rPr>
        <w:t>-</w:t>
      </w:r>
      <w:r w:rsidR="00C951F0" w:rsidRPr="001140AC">
        <w:rPr>
          <w:color w:val="000000" w:themeColor="text1"/>
        </w:rPr>
        <w:t>19</w:t>
      </w:r>
      <w:r w:rsidR="001140AC">
        <w:rPr>
          <w:color w:val="000000" w:themeColor="text1"/>
        </w:rPr>
        <w:t>1</w:t>
      </w:r>
      <w:r w:rsidR="00C951F0" w:rsidRPr="00C951F0">
        <w:rPr>
          <w:color w:val="000000" w:themeColor="text1"/>
        </w:rPr>
        <w:t>)</w:t>
      </w:r>
      <w:r w:rsidR="00B809C6" w:rsidRPr="00C951F0">
        <w:rPr>
          <w:color w:val="000000" w:themeColor="text1"/>
        </w:rPr>
        <w:t>.</w:t>
      </w:r>
      <w:r w:rsidRPr="00C951F0">
        <w:rPr>
          <w:color w:val="000000" w:themeColor="text1"/>
        </w:rPr>
        <w:t xml:space="preserve"> Investigators </w:t>
      </w:r>
      <w:r w:rsidRPr="00C951F0">
        <w:rPr>
          <w:rFonts w:cstheme="minorHAnsi"/>
          <w:color w:val="000000" w:themeColor="text1"/>
        </w:rPr>
        <w:t xml:space="preserve">were responsible for trial-related medical decisions and data collection, </w:t>
      </w:r>
      <w:r w:rsidRPr="00C951F0">
        <w:rPr>
          <w:color w:val="000000" w:themeColor="text1"/>
        </w:rPr>
        <w:t>and the sponsor undertook site monitoring, data collation, and analysis.</w:t>
      </w:r>
    </w:p>
    <w:p w14:paraId="1DD5BB53" w14:textId="56A8FE8B" w:rsidR="00B1644A" w:rsidRPr="00C951F0" w:rsidRDefault="00B1644A" w:rsidP="0039543A">
      <w:pPr>
        <w:rPr>
          <w:color w:val="000000" w:themeColor="text1"/>
        </w:rPr>
      </w:pPr>
      <w:bookmarkStart w:id="7" w:name="_Hlk57102773"/>
      <w:r w:rsidRPr="00C951F0">
        <w:rPr>
          <w:color w:val="000000" w:themeColor="text1"/>
        </w:rPr>
        <w:t xml:space="preserve">All authors had access to study data, contributed to the manuscript writing </w:t>
      </w:r>
      <w:r w:rsidRPr="00C951F0">
        <w:rPr>
          <w:rFonts w:cstheme="minorHAnsi"/>
          <w:color w:val="000000" w:themeColor="text1"/>
        </w:rPr>
        <w:t>(assisted by a sponsor-funded medical writer)</w:t>
      </w:r>
      <w:r w:rsidRPr="00C951F0">
        <w:rPr>
          <w:color w:val="000000" w:themeColor="text1"/>
        </w:rPr>
        <w:t>, approved the final version, agreed to submission for publication</w:t>
      </w:r>
      <w:r w:rsidR="00814F11" w:rsidRPr="00C951F0">
        <w:rPr>
          <w:color w:val="000000" w:themeColor="text1"/>
        </w:rPr>
        <w:t>,</w:t>
      </w:r>
      <w:r w:rsidRPr="00C951F0">
        <w:rPr>
          <w:color w:val="000000" w:themeColor="text1"/>
        </w:rPr>
        <w:t xml:space="preserve"> and vouch for data accuracy and fidelity to the protocol.</w:t>
      </w:r>
    </w:p>
    <w:bookmarkEnd w:id="7"/>
    <w:p w14:paraId="2B8012C8" w14:textId="282E6A13" w:rsidR="00B1644A" w:rsidRPr="00C951F0" w:rsidRDefault="00D12997" w:rsidP="00FD3AF7">
      <w:pPr>
        <w:pStyle w:val="Heading3"/>
        <w:rPr>
          <w:bCs/>
          <w:color w:val="000000" w:themeColor="text1"/>
        </w:rPr>
      </w:pPr>
      <w:r w:rsidRPr="00C951F0">
        <w:rPr>
          <w:b/>
          <w:bCs/>
          <w:color w:val="000000" w:themeColor="text1"/>
        </w:rPr>
        <w:t>Patients</w:t>
      </w:r>
    </w:p>
    <w:p w14:paraId="6B5D3BE6" w14:textId="6190F92A" w:rsidR="00B1644A" w:rsidRPr="00C951F0" w:rsidRDefault="00B1644A" w:rsidP="0039543A">
      <w:pPr>
        <w:rPr>
          <w:color w:val="000000" w:themeColor="text1"/>
        </w:rPr>
      </w:pPr>
      <w:r w:rsidRPr="00C951F0">
        <w:rPr>
          <w:color w:val="000000" w:themeColor="text1"/>
        </w:rPr>
        <w:t xml:space="preserve">Eligible patients were </w:t>
      </w:r>
      <w:r w:rsidRPr="00C951F0">
        <w:rPr>
          <w:rFonts w:cs="Arial"/>
          <w:color w:val="000000" w:themeColor="text1"/>
        </w:rPr>
        <w:t>≥</w:t>
      </w:r>
      <w:r w:rsidRPr="00C951F0">
        <w:rPr>
          <w:color w:val="000000" w:themeColor="text1"/>
        </w:rPr>
        <w:t>18</w:t>
      </w:r>
      <w:r w:rsidR="00037BDD" w:rsidRPr="00C951F0">
        <w:rPr>
          <w:color w:val="000000" w:themeColor="text1"/>
        </w:rPr>
        <w:t>-</w:t>
      </w:r>
      <w:r w:rsidRPr="00C951F0">
        <w:rPr>
          <w:color w:val="000000" w:themeColor="text1"/>
        </w:rPr>
        <w:t>years</w:t>
      </w:r>
      <w:r w:rsidR="00037BDD" w:rsidRPr="00C951F0">
        <w:rPr>
          <w:color w:val="000000" w:themeColor="text1"/>
        </w:rPr>
        <w:t>-old</w:t>
      </w:r>
      <w:r w:rsidRPr="00C951F0">
        <w:rPr>
          <w:color w:val="000000" w:themeColor="text1"/>
        </w:rPr>
        <w:t xml:space="preserve">, reported </w:t>
      </w:r>
      <w:r w:rsidRPr="00C951F0">
        <w:rPr>
          <w:rFonts w:cs="Arial"/>
          <w:color w:val="000000" w:themeColor="text1"/>
        </w:rPr>
        <w:t>≥</w:t>
      </w:r>
      <w:r w:rsidRPr="00C951F0">
        <w:rPr>
          <w:color w:val="000000" w:themeColor="text1"/>
        </w:rPr>
        <w:t xml:space="preserve">1 unsuccessful dietary effort to lose weight, had body mass index (BMI) </w:t>
      </w:r>
      <w:r w:rsidRPr="00C951F0">
        <w:rPr>
          <w:rFonts w:cs="Arial"/>
          <w:color w:val="000000" w:themeColor="text1"/>
        </w:rPr>
        <w:t>≥</w:t>
      </w:r>
      <w:r w:rsidRPr="00C951F0">
        <w:rPr>
          <w:color w:val="000000" w:themeColor="text1"/>
        </w:rPr>
        <w:t>27 kg/m</w:t>
      </w:r>
      <w:r w:rsidRPr="00C951F0">
        <w:rPr>
          <w:color w:val="000000" w:themeColor="text1"/>
          <w:vertAlign w:val="superscript"/>
        </w:rPr>
        <w:t>2</w:t>
      </w:r>
      <w:r w:rsidR="000A4BD1" w:rsidRPr="00C951F0">
        <w:rPr>
          <w:color w:val="000000" w:themeColor="text1"/>
        </w:rPr>
        <w:t xml:space="preserve"> and </w:t>
      </w:r>
      <w:r w:rsidRPr="00C951F0">
        <w:rPr>
          <w:color w:val="000000" w:themeColor="text1"/>
        </w:rPr>
        <w:t>HbA</w:t>
      </w:r>
      <w:r w:rsidRPr="00C951F0">
        <w:rPr>
          <w:color w:val="000000" w:themeColor="text1"/>
          <w:vertAlign w:val="subscript"/>
        </w:rPr>
        <w:t>1c</w:t>
      </w:r>
      <w:r w:rsidRPr="00C951F0">
        <w:rPr>
          <w:color w:val="000000" w:themeColor="text1"/>
        </w:rPr>
        <w:t xml:space="preserve"> 7–10% </w:t>
      </w:r>
      <w:r w:rsidR="0096099B" w:rsidRPr="00C951F0">
        <w:rPr>
          <w:color w:val="000000" w:themeColor="text1"/>
        </w:rPr>
        <w:t>(</w:t>
      </w:r>
      <w:r w:rsidRPr="00C951F0">
        <w:rPr>
          <w:color w:val="000000" w:themeColor="text1"/>
        </w:rPr>
        <w:t>53–86 mmol/mol</w:t>
      </w:r>
      <w:r w:rsidR="0096099B" w:rsidRPr="00C951F0">
        <w:rPr>
          <w:color w:val="000000" w:themeColor="text1"/>
        </w:rPr>
        <w:t xml:space="preserve">), </w:t>
      </w:r>
      <w:r w:rsidRPr="00C951F0">
        <w:rPr>
          <w:color w:val="000000" w:themeColor="text1"/>
        </w:rPr>
        <w:t xml:space="preserve">and </w:t>
      </w:r>
      <w:r w:rsidR="00814F11" w:rsidRPr="00C951F0">
        <w:rPr>
          <w:color w:val="000000" w:themeColor="text1"/>
        </w:rPr>
        <w:t xml:space="preserve">had been </w:t>
      </w:r>
      <w:r w:rsidRPr="00C951F0">
        <w:rPr>
          <w:color w:val="000000" w:themeColor="text1"/>
        </w:rPr>
        <w:t xml:space="preserve">diagnosed with type 2 diabetes </w:t>
      </w:r>
      <w:r w:rsidRPr="00C951F0">
        <w:rPr>
          <w:rFonts w:cs="Arial"/>
          <w:color w:val="000000" w:themeColor="text1"/>
        </w:rPr>
        <w:t>≥</w:t>
      </w:r>
      <w:r w:rsidRPr="00C951F0">
        <w:rPr>
          <w:color w:val="000000" w:themeColor="text1"/>
        </w:rPr>
        <w:t xml:space="preserve">180 days prior to screening. Patients were managed with diet and exercise alone, or </w:t>
      </w:r>
      <w:bookmarkStart w:id="8" w:name="_Hlk58501547"/>
      <w:r w:rsidRPr="00C951F0">
        <w:rPr>
          <w:color w:val="000000" w:themeColor="text1"/>
        </w:rPr>
        <w:t>treated with a stable dose of up to three oral glucose</w:t>
      </w:r>
      <w:r w:rsidR="00814F11" w:rsidRPr="00C951F0">
        <w:rPr>
          <w:color w:val="000000" w:themeColor="text1"/>
        </w:rPr>
        <w:t>-</w:t>
      </w:r>
      <w:r w:rsidRPr="00C951F0">
        <w:rPr>
          <w:color w:val="000000" w:themeColor="text1"/>
        </w:rPr>
        <w:t>lowering agents (metformin, sulfonylureas, sodium</w:t>
      </w:r>
      <w:r w:rsidR="00814F11" w:rsidRPr="00C951F0">
        <w:rPr>
          <w:color w:val="000000" w:themeColor="text1"/>
        </w:rPr>
        <w:t>–</w:t>
      </w:r>
      <w:r w:rsidRPr="00C951F0">
        <w:rPr>
          <w:color w:val="000000" w:themeColor="text1"/>
        </w:rPr>
        <w:t>glucose co-transporter</w:t>
      </w:r>
      <w:r w:rsidR="009B7CB5" w:rsidRPr="00C951F0">
        <w:rPr>
          <w:color w:val="000000" w:themeColor="text1"/>
        </w:rPr>
        <w:t xml:space="preserve"> </w:t>
      </w:r>
      <w:r w:rsidRPr="00C951F0">
        <w:rPr>
          <w:color w:val="000000" w:themeColor="text1"/>
        </w:rPr>
        <w:t>2 inhibitors</w:t>
      </w:r>
      <w:r w:rsidR="00814F11" w:rsidRPr="00C951F0">
        <w:rPr>
          <w:color w:val="000000" w:themeColor="text1"/>
        </w:rPr>
        <w:t>,</w:t>
      </w:r>
      <w:r w:rsidRPr="00C951F0">
        <w:rPr>
          <w:color w:val="000000" w:themeColor="text1"/>
        </w:rPr>
        <w:t xml:space="preserve"> or thiazolidinediones) for </w:t>
      </w:r>
      <w:r w:rsidRPr="00C951F0">
        <w:rPr>
          <w:rFonts w:cs="Arial"/>
          <w:color w:val="000000" w:themeColor="text1"/>
        </w:rPr>
        <w:t>≥</w:t>
      </w:r>
      <w:r w:rsidRPr="00C951F0">
        <w:rPr>
          <w:color w:val="000000" w:themeColor="text1"/>
        </w:rPr>
        <w:t>90 days prior to screening</w:t>
      </w:r>
      <w:bookmarkEnd w:id="8"/>
      <w:r w:rsidRPr="00C951F0">
        <w:rPr>
          <w:color w:val="000000" w:themeColor="text1"/>
        </w:rPr>
        <w:t>.</w:t>
      </w:r>
    </w:p>
    <w:p w14:paraId="72CFDE10" w14:textId="658CDC93" w:rsidR="00B1644A" w:rsidRPr="00C951F0" w:rsidRDefault="00B1644A" w:rsidP="0039543A">
      <w:pPr>
        <w:rPr>
          <w:color w:val="000000" w:themeColor="text1"/>
        </w:rPr>
      </w:pPr>
      <w:r w:rsidRPr="00C951F0">
        <w:rPr>
          <w:color w:val="000000" w:themeColor="text1"/>
        </w:rPr>
        <w:t xml:space="preserve">Key exclusion criteria included: self-reported changes in body weight of </w:t>
      </w:r>
      <w:r w:rsidRPr="00C951F0">
        <w:rPr>
          <w:rFonts w:cs="Arial"/>
          <w:color w:val="000000" w:themeColor="text1"/>
        </w:rPr>
        <w:t>&gt;</w:t>
      </w:r>
      <w:r w:rsidRPr="00C951F0">
        <w:rPr>
          <w:color w:val="000000" w:themeColor="text1"/>
        </w:rPr>
        <w:t>5 kg within 90 days before screening and previous/planned (during the trial period) obesity treatment with surgery or a weight</w:t>
      </w:r>
      <w:r w:rsidR="000A4BD1" w:rsidRPr="00C951F0">
        <w:rPr>
          <w:color w:val="000000" w:themeColor="text1"/>
        </w:rPr>
        <w:t>-</w:t>
      </w:r>
      <w:r w:rsidRPr="00C951F0">
        <w:rPr>
          <w:color w:val="000000" w:themeColor="text1"/>
        </w:rPr>
        <w:t>loss device. Full eligibility criteria are in the Supplementary Appendix</w:t>
      </w:r>
      <w:r w:rsidR="00832ED4" w:rsidRPr="00C951F0">
        <w:rPr>
          <w:color w:val="000000" w:themeColor="text1"/>
        </w:rPr>
        <w:t xml:space="preserve"> (</w:t>
      </w:r>
      <w:r w:rsidR="00832ED4" w:rsidRPr="001140AC">
        <w:rPr>
          <w:color w:val="000000" w:themeColor="text1"/>
        </w:rPr>
        <w:t>pp 3-4</w:t>
      </w:r>
      <w:r w:rsidR="00832ED4" w:rsidRPr="00C951F0">
        <w:rPr>
          <w:color w:val="000000" w:themeColor="text1"/>
        </w:rPr>
        <w:t>)</w:t>
      </w:r>
      <w:r w:rsidRPr="00C951F0">
        <w:rPr>
          <w:color w:val="000000" w:themeColor="text1"/>
        </w:rPr>
        <w:t>.</w:t>
      </w:r>
    </w:p>
    <w:p w14:paraId="2B87013A" w14:textId="3430EB7A" w:rsidR="00B1644A" w:rsidRPr="00C951F0" w:rsidRDefault="00D12997" w:rsidP="00FD3AF7">
      <w:pPr>
        <w:pStyle w:val="Heading3"/>
        <w:rPr>
          <w:bCs/>
          <w:color w:val="000000" w:themeColor="text1"/>
        </w:rPr>
      </w:pPr>
      <w:proofErr w:type="spellStart"/>
      <w:r w:rsidRPr="00C951F0">
        <w:rPr>
          <w:b/>
          <w:bCs/>
          <w:color w:val="000000" w:themeColor="text1"/>
        </w:rPr>
        <w:t>Randomisation</w:t>
      </w:r>
      <w:proofErr w:type="spellEnd"/>
      <w:r w:rsidRPr="00C951F0">
        <w:rPr>
          <w:b/>
          <w:bCs/>
          <w:color w:val="000000" w:themeColor="text1"/>
        </w:rPr>
        <w:t xml:space="preserve"> and masking</w:t>
      </w:r>
    </w:p>
    <w:p w14:paraId="7546D9D2" w14:textId="67F6F21B" w:rsidR="00B1644A" w:rsidRPr="00C951F0" w:rsidRDefault="00377F95" w:rsidP="00F07DAC">
      <w:pPr>
        <w:rPr>
          <w:color w:val="000000" w:themeColor="text1"/>
        </w:rPr>
      </w:pPr>
      <w:r>
        <w:rPr>
          <w:color w:val="000000" w:themeColor="text1"/>
        </w:rPr>
        <w:t>P</w:t>
      </w:r>
      <w:r w:rsidR="00B1644A" w:rsidRPr="00C951F0">
        <w:rPr>
          <w:color w:val="000000" w:themeColor="text1"/>
        </w:rPr>
        <w:t xml:space="preserve">atients were </w:t>
      </w:r>
      <w:proofErr w:type="spellStart"/>
      <w:r w:rsidR="007B5725" w:rsidRPr="00C951F0">
        <w:rPr>
          <w:color w:val="000000" w:themeColor="text1"/>
        </w:rPr>
        <w:t>randomis</w:t>
      </w:r>
      <w:r w:rsidR="00B1644A" w:rsidRPr="00C951F0">
        <w:rPr>
          <w:color w:val="000000" w:themeColor="text1"/>
        </w:rPr>
        <w:t>ed</w:t>
      </w:r>
      <w:proofErr w:type="spellEnd"/>
      <w:r w:rsidR="00B1644A" w:rsidRPr="00C951F0">
        <w:rPr>
          <w:color w:val="000000" w:themeColor="text1"/>
        </w:rPr>
        <w:t xml:space="preserve"> 1:1:1 to semaglutide 2</w:t>
      </w:r>
      <w:r w:rsidR="00C5236B" w:rsidRPr="00C951F0">
        <w:rPr>
          <w:color w:val="000000" w:themeColor="text1"/>
        </w:rPr>
        <w:t>·</w:t>
      </w:r>
      <w:r w:rsidR="00B1644A" w:rsidRPr="00C951F0">
        <w:rPr>
          <w:color w:val="000000" w:themeColor="text1"/>
        </w:rPr>
        <w:t xml:space="preserve">4 </w:t>
      </w:r>
      <w:r w:rsidR="000424D3" w:rsidRPr="00C951F0">
        <w:rPr>
          <w:color w:val="000000" w:themeColor="text1"/>
        </w:rPr>
        <w:t>or 1</w:t>
      </w:r>
      <w:r w:rsidR="00C5236B" w:rsidRPr="00C951F0">
        <w:rPr>
          <w:color w:val="000000" w:themeColor="text1"/>
        </w:rPr>
        <w:t>·</w:t>
      </w:r>
      <w:r w:rsidR="000424D3" w:rsidRPr="00C951F0">
        <w:rPr>
          <w:color w:val="000000" w:themeColor="text1"/>
        </w:rPr>
        <w:t xml:space="preserve">0 mg </w:t>
      </w:r>
      <w:r w:rsidR="00814F11" w:rsidRPr="00C951F0">
        <w:rPr>
          <w:color w:val="000000" w:themeColor="text1"/>
        </w:rPr>
        <w:t>or placebo</w:t>
      </w:r>
      <w:r w:rsidR="00B1644A" w:rsidRPr="00C951F0">
        <w:rPr>
          <w:color w:val="000000" w:themeColor="text1"/>
        </w:rPr>
        <w:t xml:space="preserve"> once weekly for 68 weeks</w:t>
      </w:r>
      <w:r w:rsidR="002B637F" w:rsidRPr="002B637F">
        <w:rPr>
          <w:color w:val="000000" w:themeColor="text1"/>
        </w:rPr>
        <w:t>, plus lifestyle intervention</w:t>
      </w:r>
      <w:r w:rsidR="00E13F0F">
        <w:rPr>
          <w:color w:val="000000" w:themeColor="text1"/>
        </w:rPr>
        <w:t>,</w:t>
      </w:r>
      <w:r w:rsidR="00B1644A" w:rsidRPr="00C951F0">
        <w:rPr>
          <w:color w:val="000000" w:themeColor="text1"/>
        </w:rPr>
        <w:t xml:space="preserve"> followed by 7</w:t>
      </w:r>
      <w:r w:rsidR="00FA54DD" w:rsidRPr="00C951F0">
        <w:rPr>
          <w:color w:val="000000" w:themeColor="text1"/>
        </w:rPr>
        <w:t> </w:t>
      </w:r>
      <w:r w:rsidR="00B1644A" w:rsidRPr="00C951F0">
        <w:rPr>
          <w:color w:val="000000" w:themeColor="text1"/>
        </w:rPr>
        <w:t>weeks without treatment. Semaglutide was initiated at 0</w:t>
      </w:r>
      <w:r w:rsidR="00C5236B" w:rsidRPr="00C951F0">
        <w:rPr>
          <w:color w:val="000000" w:themeColor="text1"/>
        </w:rPr>
        <w:t>·</w:t>
      </w:r>
      <w:r w:rsidR="00B1644A" w:rsidRPr="00C951F0">
        <w:rPr>
          <w:color w:val="000000" w:themeColor="text1"/>
        </w:rPr>
        <w:t>25 mg per week and escalated in a fixed-dose regimen every 4 weeks until target dose was reached (</w:t>
      </w:r>
      <w:r w:rsidR="000424D3" w:rsidRPr="00C951F0">
        <w:rPr>
          <w:color w:val="000000" w:themeColor="text1"/>
        </w:rPr>
        <w:t>2</w:t>
      </w:r>
      <w:r w:rsidR="00C5236B" w:rsidRPr="00C951F0">
        <w:rPr>
          <w:color w:val="000000" w:themeColor="text1"/>
        </w:rPr>
        <w:t>·</w:t>
      </w:r>
      <w:r w:rsidR="000424D3" w:rsidRPr="00C951F0">
        <w:rPr>
          <w:color w:val="000000" w:themeColor="text1"/>
        </w:rPr>
        <w:t xml:space="preserve">4 </w:t>
      </w:r>
      <w:r w:rsidR="00B1644A" w:rsidRPr="00C951F0">
        <w:rPr>
          <w:color w:val="000000" w:themeColor="text1"/>
        </w:rPr>
        <w:t xml:space="preserve">or </w:t>
      </w:r>
      <w:r w:rsidR="000424D3" w:rsidRPr="00C951F0">
        <w:rPr>
          <w:color w:val="000000" w:themeColor="text1"/>
        </w:rPr>
        <w:t>1</w:t>
      </w:r>
      <w:r w:rsidR="00C5236B" w:rsidRPr="00C951F0">
        <w:rPr>
          <w:color w:val="000000" w:themeColor="text1"/>
        </w:rPr>
        <w:t>·</w:t>
      </w:r>
      <w:r w:rsidR="000424D3" w:rsidRPr="00C951F0">
        <w:rPr>
          <w:color w:val="000000" w:themeColor="text1"/>
        </w:rPr>
        <w:t>0</w:t>
      </w:r>
      <w:r w:rsidR="00B1644A" w:rsidRPr="00C951F0">
        <w:rPr>
          <w:color w:val="000000" w:themeColor="text1"/>
        </w:rPr>
        <w:t>mg, weeks 8</w:t>
      </w:r>
      <w:r w:rsidR="00B1644A" w:rsidRPr="00C951F0">
        <w:rPr>
          <w:rFonts w:cs="Arial"/>
          <w:color w:val="000000" w:themeColor="text1"/>
        </w:rPr>
        <w:t xml:space="preserve">–16; </w:t>
      </w:r>
      <w:r w:rsidR="005A23D1" w:rsidRPr="00C951F0">
        <w:rPr>
          <w:rFonts w:cs="Arial"/>
          <w:color w:val="000000" w:themeColor="text1"/>
        </w:rPr>
        <w:t>figure</w:t>
      </w:r>
      <w:r w:rsidR="00814F11" w:rsidRPr="00C951F0">
        <w:rPr>
          <w:rFonts w:cs="Arial"/>
          <w:color w:val="000000" w:themeColor="text1"/>
        </w:rPr>
        <w:t xml:space="preserve"> S1 in the </w:t>
      </w:r>
      <w:r w:rsidR="00B1644A" w:rsidRPr="00C951F0">
        <w:rPr>
          <w:color w:val="000000" w:themeColor="text1"/>
        </w:rPr>
        <w:t>Supplementary Appendix</w:t>
      </w:r>
      <w:r w:rsidR="00832ED4" w:rsidRPr="00C951F0">
        <w:rPr>
          <w:color w:val="000000" w:themeColor="text1"/>
        </w:rPr>
        <w:t xml:space="preserve"> [</w:t>
      </w:r>
      <w:r w:rsidR="00832ED4" w:rsidRPr="001140AC">
        <w:rPr>
          <w:color w:val="000000" w:themeColor="text1"/>
        </w:rPr>
        <w:t>p 15</w:t>
      </w:r>
      <w:r w:rsidR="00832ED4" w:rsidRPr="00C951F0">
        <w:rPr>
          <w:color w:val="000000" w:themeColor="text1"/>
        </w:rPr>
        <w:t>]</w:t>
      </w:r>
      <w:r w:rsidR="00B1644A" w:rsidRPr="00C951F0">
        <w:rPr>
          <w:color w:val="000000" w:themeColor="text1"/>
        </w:rPr>
        <w:t>).</w:t>
      </w:r>
      <w:r w:rsidR="00F07DAC">
        <w:rPr>
          <w:color w:val="000000" w:themeColor="text1"/>
        </w:rPr>
        <w:t xml:space="preserve"> </w:t>
      </w:r>
      <w:bookmarkStart w:id="9" w:name="_Hlk58412532"/>
      <w:r w:rsidR="00F07DAC" w:rsidRPr="00F07DAC">
        <w:rPr>
          <w:color w:val="000000" w:themeColor="text1"/>
        </w:rPr>
        <w:t>We used a double-blind, double-dummy design</w:t>
      </w:r>
      <w:r w:rsidR="00F07DAC">
        <w:rPr>
          <w:color w:val="000000" w:themeColor="text1"/>
        </w:rPr>
        <w:t xml:space="preserve"> </w:t>
      </w:r>
      <w:r w:rsidR="00F07DAC" w:rsidRPr="00F07DAC">
        <w:rPr>
          <w:color w:val="000000" w:themeColor="text1"/>
        </w:rPr>
        <w:t xml:space="preserve">in which </w:t>
      </w:r>
      <w:r w:rsidR="00CF7014">
        <w:rPr>
          <w:color w:val="000000" w:themeColor="text1"/>
        </w:rPr>
        <w:t>patient</w:t>
      </w:r>
      <w:r w:rsidR="00F07DAC" w:rsidRPr="00F07DAC">
        <w:rPr>
          <w:color w:val="000000" w:themeColor="text1"/>
        </w:rPr>
        <w:t xml:space="preserve">s received active </w:t>
      </w:r>
      <w:r w:rsidR="00F07DAC">
        <w:rPr>
          <w:color w:val="000000" w:themeColor="text1"/>
        </w:rPr>
        <w:t xml:space="preserve">drug </w:t>
      </w:r>
      <w:r w:rsidR="00F07DAC" w:rsidRPr="00F07DAC">
        <w:rPr>
          <w:color w:val="000000" w:themeColor="text1"/>
        </w:rPr>
        <w:t>or</w:t>
      </w:r>
      <w:r w:rsidR="00F07DAC">
        <w:rPr>
          <w:color w:val="000000" w:themeColor="text1"/>
        </w:rPr>
        <w:t xml:space="preserve"> </w:t>
      </w:r>
      <w:r w:rsidR="00F07DAC" w:rsidRPr="00F07DAC">
        <w:rPr>
          <w:color w:val="000000" w:themeColor="text1"/>
        </w:rPr>
        <w:t>placebo</w:t>
      </w:r>
      <w:r w:rsidR="00F07DAC">
        <w:rPr>
          <w:color w:val="000000" w:themeColor="text1"/>
        </w:rPr>
        <w:t xml:space="preserve"> as</w:t>
      </w:r>
      <w:r w:rsidR="00F07DAC" w:rsidRPr="00F07DAC">
        <w:rPr>
          <w:color w:val="000000" w:themeColor="text1"/>
        </w:rPr>
        <w:t xml:space="preserve"> an injection</w:t>
      </w:r>
      <w:r w:rsidR="00BA2DEC">
        <w:rPr>
          <w:color w:val="000000" w:themeColor="text1"/>
        </w:rPr>
        <w:t xml:space="preserve"> (two injections per week)</w:t>
      </w:r>
      <w:r w:rsidR="00F07DAC">
        <w:rPr>
          <w:color w:val="000000" w:themeColor="text1"/>
        </w:rPr>
        <w:t xml:space="preserve">. </w:t>
      </w:r>
      <w:r w:rsidR="00F07DAC" w:rsidRPr="00F07DAC">
        <w:rPr>
          <w:color w:val="000000" w:themeColor="text1"/>
        </w:rPr>
        <w:t xml:space="preserve">For both </w:t>
      </w:r>
      <w:r w:rsidR="00F07DAC">
        <w:rPr>
          <w:color w:val="000000" w:themeColor="text1"/>
        </w:rPr>
        <w:t xml:space="preserve">doses of </w:t>
      </w:r>
      <w:r w:rsidR="00F07DAC" w:rsidRPr="00F07DAC">
        <w:rPr>
          <w:color w:val="000000" w:themeColor="text1"/>
        </w:rPr>
        <w:t>semaglutide, the active and</w:t>
      </w:r>
      <w:r w:rsidR="00F07DAC">
        <w:rPr>
          <w:color w:val="000000" w:themeColor="text1"/>
        </w:rPr>
        <w:t xml:space="preserve"> </w:t>
      </w:r>
      <w:r w:rsidR="00F07DAC" w:rsidRPr="00F07DAC">
        <w:rPr>
          <w:color w:val="000000" w:themeColor="text1"/>
        </w:rPr>
        <w:t>corresponding placebo products were visually identical to</w:t>
      </w:r>
      <w:r w:rsidR="00F07DAC">
        <w:rPr>
          <w:color w:val="000000" w:themeColor="text1"/>
        </w:rPr>
        <w:t xml:space="preserve"> </w:t>
      </w:r>
      <w:r w:rsidR="00F07DAC" w:rsidRPr="00F07DAC">
        <w:rPr>
          <w:color w:val="000000" w:themeColor="text1"/>
        </w:rPr>
        <w:lastRenderedPageBreak/>
        <w:t xml:space="preserve">maintain masking of </w:t>
      </w:r>
      <w:r w:rsidR="00CF7014">
        <w:rPr>
          <w:color w:val="000000" w:themeColor="text1"/>
        </w:rPr>
        <w:t>patients</w:t>
      </w:r>
      <w:r w:rsidR="00F07DAC" w:rsidRPr="00F07DAC">
        <w:rPr>
          <w:color w:val="000000" w:themeColor="text1"/>
        </w:rPr>
        <w:t xml:space="preserve"> and site staff.</w:t>
      </w:r>
      <w:bookmarkEnd w:id="9"/>
      <w:r w:rsidR="00F07DAC">
        <w:rPr>
          <w:color w:val="000000" w:themeColor="text1"/>
        </w:rPr>
        <w:t xml:space="preserve"> </w:t>
      </w:r>
      <w:bookmarkStart w:id="10" w:name="_Hlk58413213"/>
      <w:proofErr w:type="spellStart"/>
      <w:r w:rsidR="005F2EA8">
        <w:t>Randomisation</w:t>
      </w:r>
      <w:proofErr w:type="spellEnd"/>
      <w:r w:rsidR="005F2EA8">
        <w:t xml:space="preserve"> was done centrally with an interactive web-response system that assigned subjects to the next available treatment, with trial product dispensed at the trial visits</w:t>
      </w:r>
      <w:r w:rsidR="00495187">
        <w:t xml:space="preserve">. </w:t>
      </w:r>
      <w:proofErr w:type="spellStart"/>
      <w:r w:rsidR="00495187" w:rsidRPr="0037035E">
        <w:t>Randomisation</w:t>
      </w:r>
      <w:proofErr w:type="spellEnd"/>
      <w:r w:rsidR="00495187" w:rsidRPr="0037035E">
        <w:t xml:space="preserve"> was</w:t>
      </w:r>
      <w:r w:rsidR="005F2EA8" w:rsidRPr="0037035E">
        <w:t xml:space="preserve"> stratified </w:t>
      </w:r>
      <w:r w:rsidR="00495187" w:rsidRPr="0037035E">
        <w:t xml:space="preserve">according to background </w:t>
      </w:r>
      <w:r w:rsidR="002B637F" w:rsidRPr="0037035E">
        <w:t>diabetes treatment</w:t>
      </w:r>
      <w:r w:rsidR="00495187" w:rsidRPr="0037035E">
        <w:t xml:space="preserve"> as follows: </w:t>
      </w:r>
      <w:proofErr w:type="spellStart"/>
      <w:r w:rsidR="00495187" w:rsidRPr="0037035E">
        <w:t>i</w:t>
      </w:r>
      <w:proofErr w:type="spellEnd"/>
      <w:r w:rsidR="00495187" w:rsidRPr="0037035E">
        <w:t xml:space="preserve">) patients who received </w:t>
      </w:r>
      <w:r w:rsidR="002B637F" w:rsidRPr="0037035E">
        <w:t xml:space="preserve">diet and physical activity counselling only or </w:t>
      </w:r>
      <w:r w:rsidR="00495187" w:rsidRPr="0037035E">
        <w:t xml:space="preserve">patients who received </w:t>
      </w:r>
      <w:r w:rsidR="002B637F" w:rsidRPr="0037035E">
        <w:t>glucose-lowering background medication (metformin or sodium-glucose co-transporter 2 inhibitor)</w:t>
      </w:r>
      <w:r w:rsidR="00495187" w:rsidRPr="0037035E">
        <w:t>; ii) patients who received</w:t>
      </w:r>
      <w:r w:rsidR="00690087" w:rsidRPr="0037035E">
        <w:t xml:space="preserve"> a</w:t>
      </w:r>
      <w:r w:rsidR="002B637F" w:rsidRPr="0037035E">
        <w:t xml:space="preserve"> single </w:t>
      </w:r>
      <w:r w:rsidR="00690087" w:rsidRPr="0037035E">
        <w:t xml:space="preserve">oral glucose-lowering medication </w:t>
      </w:r>
      <w:r w:rsidR="002B637F" w:rsidRPr="0037035E">
        <w:t xml:space="preserve">or </w:t>
      </w:r>
      <w:r w:rsidR="00690087" w:rsidRPr="0037035E">
        <w:t xml:space="preserve">patients who received a </w:t>
      </w:r>
      <w:r w:rsidR="002B637F" w:rsidRPr="0037035E">
        <w:t xml:space="preserve">combination (up to three) </w:t>
      </w:r>
      <w:r w:rsidR="00690087" w:rsidRPr="0037035E">
        <w:t xml:space="preserve">of </w:t>
      </w:r>
      <w:r w:rsidR="002B637F" w:rsidRPr="0037035E">
        <w:t xml:space="preserve">oral glucose-lowering medications. </w:t>
      </w:r>
      <w:r w:rsidR="005F2EA8" w:rsidRPr="0037035E">
        <w:t>Subjects were further stratified by screening HbA</w:t>
      </w:r>
      <w:r w:rsidR="005F2EA8" w:rsidRPr="0037035E">
        <w:rPr>
          <w:vertAlign w:val="subscript"/>
        </w:rPr>
        <w:t>1c</w:t>
      </w:r>
      <w:r w:rsidRPr="0037035E">
        <w:t xml:space="preserve"> (above/below 8.5%)</w:t>
      </w:r>
      <w:r w:rsidR="005F2EA8" w:rsidRPr="0037035E">
        <w:t>.</w:t>
      </w:r>
      <w:bookmarkEnd w:id="10"/>
    </w:p>
    <w:p w14:paraId="3A1F3FA1" w14:textId="323647F2" w:rsidR="00B1644A" w:rsidRPr="00C951F0" w:rsidRDefault="001E0374" w:rsidP="0039543A">
      <w:pPr>
        <w:rPr>
          <w:color w:val="000000" w:themeColor="text1"/>
        </w:rPr>
      </w:pPr>
      <w:bookmarkStart w:id="11" w:name="_Hlk58408820"/>
      <w:r w:rsidRPr="0037035E">
        <w:t xml:space="preserve">Lifestyle intervention involved counselling on diet (500 kcal/day reduction relative to the estimated total daily energy expenditure calculated at </w:t>
      </w:r>
      <w:proofErr w:type="spellStart"/>
      <w:r w:rsidRPr="0037035E">
        <w:t>randomisation</w:t>
      </w:r>
      <w:proofErr w:type="spellEnd"/>
      <w:r w:rsidRPr="0037035E">
        <w:t xml:space="preserve">) and physical activity (150 min/week, </w:t>
      </w:r>
      <w:proofErr w:type="spellStart"/>
      <w:proofErr w:type="gramStart"/>
      <w:r w:rsidRPr="0037035E">
        <w:t>eg</w:t>
      </w:r>
      <w:proofErr w:type="spellEnd"/>
      <w:proofErr w:type="gramEnd"/>
      <w:r w:rsidRPr="0037035E">
        <w:t xml:space="preserve"> walking or using the stairs). Counselling was provided by a dietician or a similarly qualified healthcare professional every fourth week via in</w:t>
      </w:r>
      <w:r w:rsidR="00301168" w:rsidRPr="0037035E">
        <w:t>-</w:t>
      </w:r>
      <w:r w:rsidRPr="0037035E">
        <w:t xml:space="preserve">person visit or via telephone. Patients were instructed how to measure their physical activity and food intake, and were encouraged to keep a food and activity diary on a daily basis using paper, an app or other tool, which was reviewed during counselling sessions. </w:t>
      </w:r>
      <w:r w:rsidR="00E2302F" w:rsidRPr="0037035E">
        <w:t xml:space="preserve">The </w:t>
      </w:r>
      <w:r w:rsidR="00E2302F" w:rsidRPr="00E2302F">
        <w:rPr>
          <w:color w:val="000000" w:themeColor="text1"/>
        </w:rPr>
        <w:t>estimated total daily energy expenditure was calculated by multiplying the estimated basal metabolic rate with a physical activity level value of 1.3</w:t>
      </w:r>
      <w:r w:rsidR="00DA707C">
        <w:rPr>
          <w:color w:val="000000" w:themeColor="text1"/>
        </w:rPr>
        <w:t>.</w:t>
      </w:r>
      <w:r w:rsidR="004B580E">
        <w:rPr>
          <w:color w:val="000000" w:themeColor="text1"/>
          <w:vertAlign w:val="superscript"/>
        </w:rPr>
        <w:t>14</w:t>
      </w:r>
      <w:bookmarkStart w:id="12" w:name="_Hlk58408987"/>
      <w:bookmarkEnd w:id="11"/>
      <w:r w:rsidR="00B1644A" w:rsidRPr="00C951F0">
        <w:rPr>
          <w:color w:val="000000" w:themeColor="text1"/>
        </w:rPr>
        <w:t xml:space="preserve"> </w:t>
      </w:r>
      <w:bookmarkEnd w:id="12"/>
      <w:r w:rsidR="00B1644A" w:rsidRPr="00C951F0">
        <w:rPr>
          <w:color w:val="000000" w:themeColor="text1"/>
        </w:rPr>
        <w:t xml:space="preserve">To mitigate risk of </w:t>
      </w:r>
      <w:proofErr w:type="spellStart"/>
      <w:r w:rsidR="00B1644A" w:rsidRPr="00C951F0">
        <w:rPr>
          <w:color w:val="000000" w:themeColor="text1"/>
        </w:rPr>
        <w:t>hypo</w:t>
      </w:r>
      <w:r w:rsidR="00BF42BE" w:rsidRPr="00C951F0">
        <w:rPr>
          <w:color w:val="000000" w:themeColor="text1"/>
        </w:rPr>
        <w:t>glycaem</w:t>
      </w:r>
      <w:r w:rsidR="00B1644A" w:rsidRPr="00C951F0">
        <w:rPr>
          <w:color w:val="000000" w:themeColor="text1"/>
        </w:rPr>
        <w:t>ia</w:t>
      </w:r>
      <w:proofErr w:type="spellEnd"/>
      <w:r w:rsidR="00B1644A" w:rsidRPr="00C951F0">
        <w:rPr>
          <w:color w:val="000000" w:themeColor="text1"/>
        </w:rPr>
        <w:t xml:space="preserve">, patients on sulfonylureas were to reduce the dose by approximately 50% at </w:t>
      </w:r>
      <w:r w:rsidR="00814F11" w:rsidRPr="00C951F0">
        <w:rPr>
          <w:color w:val="000000" w:themeColor="text1"/>
        </w:rPr>
        <w:t xml:space="preserve">treatment </w:t>
      </w:r>
      <w:r w:rsidR="00B1644A" w:rsidRPr="00C951F0">
        <w:rPr>
          <w:color w:val="000000" w:themeColor="text1"/>
        </w:rPr>
        <w:t xml:space="preserve">start, at the </w:t>
      </w:r>
      <w:r w:rsidR="000A4BD1" w:rsidRPr="00C951F0">
        <w:rPr>
          <w:color w:val="000000" w:themeColor="text1"/>
        </w:rPr>
        <w:t xml:space="preserve">investigator’s </w:t>
      </w:r>
      <w:r w:rsidR="00B1644A" w:rsidRPr="00C951F0">
        <w:rPr>
          <w:color w:val="000000" w:themeColor="text1"/>
        </w:rPr>
        <w:t>discretion. Patients could intensify glucose</w:t>
      </w:r>
      <w:r w:rsidR="00814F11" w:rsidRPr="00C951F0">
        <w:rPr>
          <w:color w:val="000000" w:themeColor="text1"/>
        </w:rPr>
        <w:t>-</w:t>
      </w:r>
      <w:r w:rsidR="00B1644A" w:rsidRPr="00C951F0">
        <w:rPr>
          <w:color w:val="000000" w:themeColor="text1"/>
        </w:rPr>
        <w:t>lowering therapy as judged by the investigator according to local guidelines. Insulin was permitted</w:t>
      </w:r>
      <w:r w:rsidR="00814F11" w:rsidRPr="00C951F0">
        <w:rPr>
          <w:color w:val="000000" w:themeColor="text1"/>
        </w:rPr>
        <w:t xml:space="preserve"> only</w:t>
      </w:r>
      <w:r w:rsidR="00B1644A" w:rsidRPr="00C951F0">
        <w:rPr>
          <w:color w:val="000000" w:themeColor="text1"/>
        </w:rPr>
        <w:t xml:space="preserve"> in cases of persistent </w:t>
      </w:r>
      <w:proofErr w:type="spellStart"/>
      <w:r w:rsidR="00B1644A" w:rsidRPr="00C951F0">
        <w:rPr>
          <w:color w:val="000000" w:themeColor="text1"/>
        </w:rPr>
        <w:t>hyper</w:t>
      </w:r>
      <w:r w:rsidR="00BF42BE" w:rsidRPr="00C951F0">
        <w:rPr>
          <w:color w:val="000000" w:themeColor="text1"/>
        </w:rPr>
        <w:t>glycaem</w:t>
      </w:r>
      <w:r w:rsidR="00B1644A" w:rsidRPr="00C951F0">
        <w:rPr>
          <w:color w:val="000000" w:themeColor="text1"/>
        </w:rPr>
        <w:t>ia</w:t>
      </w:r>
      <w:proofErr w:type="spellEnd"/>
      <w:r w:rsidR="00B1644A" w:rsidRPr="00C951F0">
        <w:rPr>
          <w:color w:val="000000" w:themeColor="text1"/>
        </w:rPr>
        <w:t xml:space="preserve"> (fasting plasma glucose &gt;15 mmol/l). Patients remained in the trial regardless of whether they discontinued treatment with </w:t>
      </w:r>
      <w:r w:rsidR="00814F11" w:rsidRPr="00C951F0">
        <w:rPr>
          <w:color w:val="000000" w:themeColor="text1"/>
        </w:rPr>
        <w:t xml:space="preserve">the </w:t>
      </w:r>
      <w:r w:rsidR="00B1644A" w:rsidRPr="00C951F0">
        <w:rPr>
          <w:color w:val="000000" w:themeColor="text1"/>
        </w:rPr>
        <w:t>study drug.</w:t>
      </w:r>
    </w:p>
    <w:p w14:paraId="5BD8E485" w14:textId="2785EF2E" w:rsidR="00B1644A" w:rsidRPr="00C951F0" w:rsidRDefault="00D12997" w:rsidP="00FD3AF7">
      <w:pPr>
        <w:pStyle w:val="Heading3"/>
        <w:rPr>
          <w:bCs/>
          <w:color w:val="000000" w:themeColor="text1"/>
        </w:rPr>
      </w:pPr>
      <w:r w:rsidRPr="00C951F0">
        <w:rPr>
          <w:b/>
          <w:bCs/>
          <w:color w:val="000000" w:themeColor="text1"/>
        </w:rPr>
        <w:t>Endpoints</w:t>
      </w:r>
    </w:p>
    <w:p w14:paraId="2AC3A4C6" w14:textId="2EE40FB4" w:rsidR="00B1644A" w:rsidRPr="00C951F0" w:rsidRDefault="00B1644A" w:rsidP="0039543A">
      <w:pPr>
        <w:rPr>
          <w:rFonts w:cstheme="minorHAnsi"/>
          <w:color w:val="000000" w:themeColor="text1"/>
        </w:rPr>
      </w:pPr>
      <w:r w:rsidRPr="00C951F0">
        <w:rPr>
          <w:color w:val="000000" w:themeColor="text1"/>
        </w:rPr>
        <w:t xml:space="preserve">Co-primary endpoints were percentage change in body weight from baseline to week 68 and loss of </w:t>
      </w:r>
      <w:r w:rsidRPr="00C951F0">
        <w:rPr>
          <w:rFonts w:cs="Arial"/>
          <w:color w:val="000000" w:themeColor="text1"/>
        </w:rPr>
        <w:t>≥</w:t>
      </w:r>
      <w:r w:rsidRPr="00C951F0">
        <w:rPr>
          <w:color w:val="000000" w:themeColor="text1"/>
        </w:rPr>
        <w:t>5% of baseline weight at week 68 (semaglutide 2</w:t>
      </w:r>
      <w:r w:rsidR="00C5236B" w:rsidRPr="00C951F0">
        <w:rPr>
          <w:color w:val="000000" w:themeColor="text1"/>
        </w:rPr>
        <w:t>·</w:t>
      </w:r>
      <w:r w:rsidRPr="00C951F0">
        <w:rPr>
          <w:color w:val="000000" w:themeColor="text1"/>
        </w:rPr>
        <w:t xml:space="preserve">4 mg </w:t>
      </w:r>
      <w:r w:rsidRPr="00C951F0">
        <w:rPr>
          <w:i/>
          <w:iCs/>
          <w:color w:val="000000" w:themeColor="text1"/>
        </w:rPr>
        <w:t>vs</w:t>
      </w:r>
      <w:r w:rsidRPr="00C951F0">
        <w:rPr>
          <w:color w:val="000000" w:themeColor="text1"/>
        </w:rPr>
        <w:t xml:space="preserve"> placebo). </w:t>
      </w:r>
      <w:bookmarkStart w:id="13" w:name="_Hlk58586697"/>
      <w:r w:rsidRPr="00C951F0">
        <w:rPr>
          <w:color w:val="000000" w:themeColor="text1"/>
        </w:rPr>
        <w:t xml:space="preserve">Confirmatory secondary endpoints </w:t>
      </w:r>
      <w:bookmarkEnd w:id="13"/>
      <w:r w:rsidRPr="00C951F0">
        <w:rPr>
          <w:color w:val="000000" w:themeColor="text1"/>
        </w:rPr>
        <w:t>(semaglutide 2</w:t>
      </w:r>
      <w:r w:rsidR="00C5236B" w:rsidRPr="00C951F0">
        <w:rPr>
          <w:color w:val="000000" w:themeColor="text1"/>
        </w:rPr>
        <w:t>·</w:t>
      </w:r>
      <w:r w:rsidRPr="00C951F0">
        <w:rPr>
          <w:color w:val="000000" w:themeColor="text1"/>
        </w:rPr>
        <w:t xml:space="preserve">4 mg </w:t>
      </w:r>
      <w:r w:rsidRPr="00C951F0">
        <w:rPr>
          <w:i/>
          <w:iCs/>
          <w:color w:val="000000" w:themeColor="text1"/>
        </w:rPr>
        <w:t>vs</w:t>
      </w:r>
      <w:r w:rsidRPr="00C951F0">
        <w:rPr>
          <w:color w:val="000000" w:themeColor="text1"/>
        </w:rPr>
        <w:t xml:space="preserve"> placebo, unless stated otherwise) in </w:t>
      </w:r>
      <w:r w:rsidRPr="00C951F0">
        <w:rPr>
          <w:color w:val="000000" w:themeColor="text1"/>
        </w:rPr>
        <w:lastRenderedPageBreak/>
        <w:t>hierarchical testing order were: proportions of patients achieving body weight reductions of at least 10% or 15% at week 68, change from baseline to week 68 in waist circumference, percentage change in body weight (semaglutide 2</w:t>
      </w:r>
      <w:r w:rsidR="00C5236B" w:rsidRPr="00C951F0">
        <w:rPr>
          <w:color w:val="000000" w:themeColor="text1"/>
        </w:rPr>
        <w:t>·</w:t>
      </w:r>
      <w:r w:rsidRPr="00C951F0">
        <w:rPr>
          <w:color w:val="000000" w:themeColor="text1"/>
        </w:rPr>
        <w:t xml:space="preserve">4 </w:t>
      </w:r>
      <w:r w:rsidRPr="00C951F0">
        <w:rPr>
          <w:i/>
          <w:iCs/>
          <w:color w:val="000000" w:themeColor="text1"/>
        </w:rPr>
        <w:t>vs</w:t>
      </w:r>
      <w:r w:rsidRPr="00C951F0">
        <w:rPr>
          <w:color w:val="000000" w:themeColor="text1"/>
        </w:rPr>
        <w:t xml:space="preserve"> 1</w:t>
      </w:r>
      <w:r w:rsidR="00C5236B" w:rsidRPr="00C951F0">
        <w:rPr>
          <w:color w:val="000000" w:themeColor="text1"/>
        </w:rPr>
        <w:t>·</w:t>
      </w:r>
      <w:r w:rsidRPr="00C951F0">
        <w:rPr>
          <w:color w:val="000000" w:themeColor="text1"/>
        </w:rPr>
        <w:t>0 mg) at week 68, change from baseline to week 68 in HbA</w:t>
      </w:r>
      <w:r w:rsidRPr="00C951F0">
        <w:rPr>
          <w:color w:val="000000" w:themeColor="text1"/>
          <w:vertAlign w:val="subscript"/>
        </w:rPr>
        <w:t>1c</w:t>
      </w:r>
      <w:r w:rsidRPr="00C951F0">
        <w:rPr>
          <w:color w:val="000000" w:themeColor="text1"/>
        </w:rPr>
        <w:t xml:space="preserve">, systolic blood pressure, </w:t>
      </w:r>
      <w:r w:rsidRPr="00C951F0">
        <w:rPr>
          <w:rFonts w:cstheme="minorHAnsi"/>
          <w:color w:val="000000" w:themeColor="text1"/>
        </w:rPr>
        <w:t>Short Form36v2</w:t>
      </w:r>
      <w:r w:rsidRPr="00C951F0">
        <w:rPr>
          <w:rFonts w:cstheme="minorHAnsi"/>
          <w:color w:val="000000" w:themeColor="text1"/>
          <w:vertAlign w:val="superscript"/>
        </w:rPr>
        <w:t>®</w:t>
      </w:r>
      <w:r w:rsidRPr="00C951F0">
        <w:rPr>
          <w:rFonts w:cstheme="minorHAnsi"/>
          <w:color w:val="000000" w:themeColor="text1"/>
        </w:rPr>
        <w:t xml:space="preserve"> Health Survey, Acute Version (SF-36) physical functioning score, and Impact of Weight on Quality of Life-Lite for Clinical Trials Version (IWQOL-Lite-CT) physical function score (see Supplementary Appendix for additional details</w:t>
      </w:r>
      <w:r w:rsidR="00832ED4" w:rsidRPr="00C951F0">
        <w:rPr>
          <w:rFonts w:cstheme="minorHAnsi"/>
          <w:color w:val="000000" w:themeColor="text1"/>
        </w:rPr>
        <w:t xml:space="preserve"> [</w:t>
      </w:r>
      <w:r w:rsidR="00832ED4" w:rsidRPr="001140AC">
        <w:rPr>
          <w:rFonts w:cstheme="minorHAnsi"/>
          <w:color w:val="000000" w:themeColor="text1"/>
        </w:rPr>
        <w:t>p 6</w:t>
      </w:r>
      <w:r w:rsidR="00832ED4" w:rsidRPr="00C951F0">
        <w:rPr>
          <w:rFonts w:cstheme="minorHAnsi"/>
          <w:color w:val="000000" w:themeColor="text1"/>
        </w:rPr>
        <w:t>]</w:t>
      </w:r>
      <w:r w:rsidRPr="00C951F0">
        <w:rPr>
          <w:rFonts w:cstheme="minorHAnsi"/>
          <w:color w:val="000000" w:themeColor="text1"/>
        </w:rPr>
        <w:t>)</w:t>
      </w:r>
      <w:r w:rsidRPr="00C951F0">
        <w:rPr>
          <w:color w:val="000000" w:themeColor="text1"/>
        </w:rPr>
        <w:t>.</w:t>
      </w:r>
      <w:r w:rsidRPr="00C951F0">
        <w:rPr>
          <w:rFonts w:cstheme="minorHAnsi"/>
          <w:color w:val="000000" w:themeColor="text1"/>
        </w:rPr>
        <w:t xml:space="preserve"> The semaglutide 1</w:t>
      </w:r>
      <w:r w:rsidR="00C5236B" w:rsidRPr="00C951F0">
        <w:rPr>
          <w:rFonts w:cstheme="minorHAnsi"/>
          <w:color w:val="000000" w:themeColor="text1"/>
        </w:rPr>
        <w:t>·</w:t>
      </w:r>
      <w:r w:rsidRPr="00C951F0">
        <w:rPr>
          <w:rFonts w:cstheme="minorHAnsi"/>
          <w:color w:val="000000" w:themeColor="text1"/>
        </w:rPr>
        <w:t>0 mg arm was included to enable comparison of body weight and safety outcomes with the semaglutide 2</w:t>
      </w:r>
      <w:r w:rsidR="00C5236B" w:rsidRPr="00C951F0">
        <w:rPr>
          <w:rFonts w:cstheme="minorHAnsi"/>
          <w:color w:val="000000" w:themeColor="text1"/>
        </w:rPr>
        <w:t>·</w:t>
      </w:r>
      <w:r w:rsidRPr="00C951F0">
        <w:rPr>
          <w:rFonts w:cstheme="minorHAnsi"/>
          <w:color w:val="000000" w:themeColor="text1"/>
        </w:rPr>
        <w:t xml:space="preserve">4 mg arm. </w:t>
      </w:r>
      <w:r w:rsidR="004D5D21">
        <w:rPr>
          <w:rFonts w:cs="Arial"/>
          <w:color w:val="000000" w:themeColor="text1"/>
        </w:rPr>
        <w:t>Exploratory</w:t>
      </w:r>
      <w:r w:rsidR="004D5D21" w:rsidRPr="00C951F0">
        <w:rPr>
          <w:rFonts w:cs="Arial"/>
          <w:color w:val="000000" w:themeColor="text1"/>
        </w:rPr>
        <w:t xml:space="preserve"> </w:t>
      </w:r>
      <w:r w:rsidR="003863C3" w:rsidRPr="00C951F0">
        <w:rPr>
          <w:rFonts w:cs="Arial"/>
          <w:color w:val="000000" w:themeColor="text1"/>
        </w:rPr>
        <w:t>secondary endpoints compared semaglutide 2</w:t>
      </w:r>
      <w:r w:rsidR="00C5236B" w:rsidRPr="00C951F0">
        <w:rPr>
          <w:rFonts w:cs="Arial"/>
          <w:color w:val="000000" w:themeColor="text1"/>
        </w:rPr>
        <w:t>·</w:t>
      </w:r>
      <w:r w:rsidR="003863C3" w:rsidRPr="00C951F0">
        <w:rPr>
          <w:rFonts w:cs="Arial"/>
          <w:color w:val="000000" w:themeColor="text1"/>
        </w:rPr>
        <w:t>4 mg versus placebo, and semaglutide 2</w:t>
      </w:r>
      <w:r w:rsidR="00C5236B" w:rsidRPr="00C951F0">
        <w:rPr>
          <w:rFonts w:cs="Arial"/>
          <w:color w:val="000000" w:themeColor="text1"/>
        </w:rPr>
        <w:t>·</w:t>
      </w:r>
      <w:r w:rsidR="003863C3" w:rsidRPr="00C951F0">
        <w:rPr>
          <w:rFonts w:cs="Arial"/>
          <w:color w:val="000000" w:themeColor="text1"/>
        </w:rPr>
        <w:t>4 mg versus 1</w:t>
      </w:r>
      <w:r w:rsidR="00C5236B" w:rsidRPr="00C951F0">
        <w:rPr>
          <w:rFonts w:cs="Arial"/>
          <w:color w:val="000000" w:themeColor="text1"/>
        </w:rPr>
        <w:t>·</w:t>
      </w:r>
      <w:r w:rsidR="003863C3" w:rsidRPr="00C951F0">
        <w:rPr>
          <w:rFonts w:cs="Arial"/>
          <w:color w:val="000000" w:themeColor="text1"/>
        </w:rPr>
        <w:t>0 mg once weekly, unless otherwise stated</w:t>
      </w:r>
      <w:r w:rsidRPr="00C951F0">
        <w:rPr>
          <w:rFonts w:cstheme="minorHAnsi"/>
          <w:color w:val="000000" w:themeColor="text1"/>
        </w:rPr>
        <w:t xml:space="preserve"> (see Supplementary Appendix for additional details</w:t>
      </w:r>
      <w:r w:rsidR="000A4BD1" w:rsidRPr="00C951F0">
        <w:rPr>
          <w:rFonts w:cstheme="minorHAnsi"/>
          <w:color w:val="000000" w:themeColor="text1"/>
        </w:rPr>
        <w:t xml:space="preserve"> and </w:t>
      </w:r>
      <w:r w:rsidRPr="00C951F0">
        <w:rPr>
          <w:color w:val="000000" w:themeColor="text1"/>
        </w:rPr>
        <w:t>a full list of endpoints</w:t>
      </w:r>
      <w:r w:rsidR="00832ED4" w:rsidRPr="00C951F0">
        <w:rPr>
          <w:color w:val="000000" w:themeColor="text1"/>
        </w:rPr>
        <w:t xml:space="preserve"> [</w:t>
      </w:r>
      <w:r w:rsidR="00832ED4" w:rsidRPr="001140AC">
        <w:rPr>
          <w:color w:val="000000" w:themeColor="text1"/>
        </w:rPr>
        <w:t>pp 6-7</w:t>
      </w:r>
      <w:r w:rsidR="00832ED4" w:rsidRPr="00C951F0">
        <w:rPr>
          <w:color w:val="000000" w:themeColor="text1"/>
        </w:rPr>
        <w:t>]</w:t>
      </w:r>
      <w:r w:rsidR="000A4BD1" w:rsidRPr="00C951F0">
        <w:rPr>
          <w:color w:val="000000" w:themeColor="text1"/>
        </w:rPr>
        <w:t>)</w:t>
      </w:r>
      <w:r w:rsidRPr="00C951F0">
        <w:rPr>
          <w:color w:val="000000" w:themeColor="text1"/>
        </w:rPr>
        <w:t>.</w:t>
      </w:r>
    </w:p>
    <w:p w14:paraId="2E950D55" w14:textId="10AB0D68" w:rsidR="00B1644A" w:rsidRPr="00C951F0" w:rsidRDefault="00B1644A" w:rsidP="0039543A">
      <w:pPr>
        <w:rPr>
          <w:color w:val="000000" w:themeColor="text1"/>
        </w:rPr>
      </w:pPr>
      <w:r w:rsidRPr="00C951F0">
        <w:rPr>
          <w:color w:val="000000" w:themeColor="text1"/>
        </w:rPr>
        <w:t>Safety assessments included number of treatment-emergent adverse events and serious adverse events, and number of severe</w:t>
      </w:r>
      <w:r w:rsidRPr="00C951F0">
        <w:rPr>
          <w:rFonts w:ascii="TimesNewRoman" w:eastAsia="TimesNewRoman" w:hAnsiTheme="minorHAnsi" w:cs="TimesNewRoman"/>
          <w:color w:val="000000" w:themeColor="text1"/>
          <w:sz w:val="24"/>
          <w:szCs w:val="24"/>
        </w:rPr>
        <w:t xml:space="preserve"> </w:t>
      </w:r>
      <w:r w:rsidRPr="00C951F0">
        <w:rPr>
          <w:color w:val="000000" w:themeColor="text1"/>
        </w:rPr>
        <w:t>or blood glucose</w:t>
      </w:r>
      <w:r w:rsidR="00814F11" w:rsidRPr="00C951F0">
        <w:rPr>
          <w:color w:val="000000" w:themeColor="text1"/>
        </w:rPr>
        <w:t>-</w:t>
      </w:r>
      <w:r w:rsidRPr="00C951F0">
        <w:rPr>
          <w:color w:val="000000" w:themeColor="text1"/>
        </w:rPr>
        <w:t xml:space="preserve">confirmed symptomatic </w:t>
      </w:r>
      <w:proofErr w:type="spellStart"/>
      <w:r w:rsidRPr="00C951F0">
        <w:rPr>
          <w:color w:val="000000" w:themeColor="text1"/>
        </w:rPr>
        <w:t>hypo</w:t>
      </w:r>
      <w:r w:rsidR="00BF42BE" w:rsidRPr="00C951F0">
        <w:rPr>
          <w:color w:val="000000" w:themeColor="text1"/>
        </w:rPr>
        <w:t>glycaem</w:t>
      </w:r>
      <w:r w:rsidRPr="00C951F0">
        <w:rPr>
          <w:color w:val="000000" w:themeColor="text1"/>
        </w:rPr>
        <w:t>ia</w:t>
      </w:r>
      <w:proofErr w:type="spellEnd"/>
      <w:r w:rsidRPr="00C951F0">
        <w:rPr>
          <w:color w:val="000000" w:themeColor="text1"/>
        </w:rPr>
        <w:t xml:space="preserve"> episodes. An independent external event adjudication committee reviewed cardiovascular events</w:t>
      </w:r>
      <w:r w:rsidR="000424D3" w:rsidRPr="00C951F0">
        <w:rPr>
          <w:color w:val="000000" w:themeColor="text1"/>
        </w:rPr>
        <w:t>,</w:t>
      </w:r>
      <w:r w:rsidRPr="00C951F0">
        <w:rPr>
          <w:color w:val="000000" w:themeColor="text1"/>
        </w:rPr>
        <w:t xml:space="preserve"> acute pancreatitis, and deaths.</w:t>
      </w:r>
    </w:p>
    <w:p w14:paraId="272D41B5" w14:textId="5ECDDADB" w:rsidR="00B1644A" w:rsidRPr="00C951F0" w:rsidRDefault="00D12997" w:rsidP="00FD3AF7">
      <w:pPr>
        <w:pStyle w:val="Heading3"/>
        <w:rPr>
          <w:bCs/>
          <w:color w:val="000000" w:themeColor="text1"/>
        </w:rPr>
      </w:pPr>
      <w:r w:rsidRPr="00C951F0">
        <w:rPr>
          <w:b/>
          <w:bCs/>
          <w:color w:val="000000" w:themeColor="text1"/>
        </w:rPr>
        <w:t>Statistical analysis</w:t>
      </w:r>
    </w:p>
    <w:p w14:paraId="0E3E8FB4" w14:textId="42F0D7E2" w:rsidR="00B1644A" w:rsidRPr="00C951F0" w:rsidRDefault="00B1644A" w:rsidP="0039543A">
      <w:pPr>
        <w:rPr>
          <w:color w:val="000000" w:themeColor="text1"/>
        </w:rPr>
      </w:pPr>
      <w:r w:rsidRPr="00C951F0">
        <w:rPr>
          <w:color w:val="000000" w:themeColor="text1"/>
        </w:rPr>
        <w:t>A sample size of 1200 patients (400 in each arm) provided power of 94% for the co-primary and confirmatory secondary endpoints</w:t>
      </w:r>
      <w:r w:rsidR="002A54F5">
        <w:rPr>
          <w:color w:val="000000" w:themeColor="text1"/>
        </w:rPr>
        <w:t xml:space="preserve"> (see protocol </w:t>
      </w:r>
      <w:r w:rsidR="002A54F5" w:rsidRPr="00C951F0">
        <w:rPr>
          <w:color w:val="000000" w:themeColor="text1"/>
        </w:rPr>
        <w:t xml:space="preserve">in the appendix </w:t>
      </w:r>
      <w:r w:rsidR="002A54F5">
        <w:rPr>
          <w:color w:val="000000" w:themeColor="text1"/>
        </w:rPr>
        <w:t>[</w:t>
      </w:r>
      <w:r w:rsidR="002A54F5" w:rsidRPr="001140AC">
        <w:rPr>
          <w:color w:val="000000" w:themeColor="text1"/>
        </w:rPr>
        <w:t>pp 2</w:t>
      </w:r>
      <w:r w:rsidR="001140AC">
        <w:rPr>
          <w:color w:val="000000" w:themeColor="text1"/>
        </w:rPr>
        <w:t>5</w:t>
      </w:r>
      <w:r w:rsidR="002A54F5" w:rsidRPr="001140AC">
        <w:rPr>
          <w:color w:val="000000" w:themeColor="text1"/>
        </w:rPr>
        <w:t>-19</w:t>
      </w:r>
      <w:r w:rsidR="001140AC">
        <w:rPr>
          <w:color w:val="000000" w:themeColor="text1"/>
        </w:rPr>
        <w:t>1</w:t>
      </w:r>
      <w:r w:rsidR="002A54F5">
        <w:rPr>
          <w:color w:val="000000" w:themeColor="text1"/>
        </w:rPr>
        <w:t>])</w:t>
      </w:r>
      <w:r w:rsidRPr="00C951F0">
        <w:rPr>
          <w:color w:val="000000" w:themeColor="text1"/>
        </w:rPr>
        <w:t>, tested in a predefined hierarchical order (</w:t>
      </w:r>
      <w:r w:rsidR="00814F11" w:rsidRPr="00C951F0">
        <w:rPr>
          <w:color w:val="000000" w:themeColor="text1"/>
        </w:rPr>
        <w:t xml:space="preserve">Table S1 in the </w:t>
      </w:r>
      <w:r w:rsidRPr="00C951F0">
        <w:rPr>
          <w:color w:val="000000" w:themeColor="text1"/>
        </w:rPr>
        <w:t>Supplementary Appendix</w:t>
      </w:r>
      <w:r w:rsidR="00832ED4" w:rsidRPr="00C951F0">
        <w:rPr>
          <w:color w:val="000000" w:themeColor="text1"/>
        </w:rPr>
        <w:t xml:space="preserve"> [p </w:t>
      </w:r>
      <w:r w:rsidR="001140AC">
        <w:rPr>
          <w:color w:val="000000" w:themeColor="text1"/>
        </w:rPr>
        <w:t>8</w:t>
      </w:r>
      <w:r w:rsidR="00832ED4" w:rsidRPr="00C951F0">
        <w:rPr>
          <w:color w:val="000000" w:themeColor="text1"/>
        </w:rPr>
        <w:t>]</w:t>
      </w:r>
      <w:r w:rsidRPr="00C951F0">
        <w:rPr>
          <w:color w:val="000000" w:themeColor="text1"/>
        </w:rPr>
        <w:t xml:space="preserve">). </w:t>
      </w:r>
      <w:r w:rsidRPr="00C951F0">
        <w:rPr>
          <w:rFonts w:cstheme="minorHAnsi"/>
          <w:color w:val="000000" w:themeColor="text1"/>
        </w:rPr>
        <w:t xml:space="preserve">Efficacy endpoints were </w:t>
      </w:r>
      <w:proofErr w:type="spellStart"/>
      <w:r w:rsidR="00097852" w:rsidRPr="00C951F0">
        <w:rPr>
          <w:rFonts w:cstheme="minorHAnsi"/>
          <w:color w:val="000000" w:themeColor="text1"/>
        </w:rPr>
        <w:t>analysed</w:t>
      </w:r>
      <w:proofErr w:type="spellEnd"/>
      <w:r w:rsidRPr="00C951F0">
        <w:rPr>
          <w:rFonts w:cstheme="minorHAnsi"/>
          <w:color w:val="000000" w:themeColor="text1"/>
        </w:rPr>
        <w:t xml:space="preserve"> using the full analysis set (all </w:t>
      </w:r>
      <w:proofErr w:type="spellStart"/>
      <w:r w:rsidR="007B5725" w:rsidRPr="00C951F0">
        <w:rPr>
          <w:rFonts w:cstheme="minorHAnsi"/>
          <w:color w:val="000000" w:themeColor="text1"/>
        </w:rPr>
        <w:t>randomis</w:t>
      </w:r>
      <w:r w:rsidRPr="00C951F0">
        <w:rPr>
          <w:rFonts w:cstheme="minorHAnsi"/>
          <w:color w:val="000000" w:themeColor="text1"/>
        </w:rPr>
        <w:t>ed</w:t>
      </w:r>
      <w:proofErr w:type="spellEnd"/>
      <w:r w:rsidRPr="00C951F0">
        <w:rPr>
          <w:rFonts w:cstheme="minorHAnsi"/>
          <w:color w:val="000000" w:themeColor="text1"/>
        </w:rPr>
        <w:t xml:space="preserve"> patients according to the intention-to-treat principle)</w:t>
      </w:r>
      <w:r w:rsidR="00037BDD" w:rsidRPr="00C951F0">
        <w:rPr>
          <w:rFonts w:cstheme="minorHAnsi"/>
          <w:color w:val="000000" w:themeColor="text1"/>
        </w:rPr>
        <w:t>;</w:t>
      </w:r>
      <w:r w:rsidR="00814F11" w:rsidRPr="00C951F0">
        <w:rPr>
          <w:rFonts w:cstheme="minorHAnsi"/>
          <w:color w:val="000000" w:themeColor="text1"/>
        </w:rPr>
        <w:t xml:space="preserve"> </w:t>
      </w:r>
      <w:r w:rsidRPr="00C951F0">
        <w:rPr>
          <w:rFonts w:cstheme="minorHAnsi"/>
          <w:color w:val="000000" w:themeColor="text1"/>
        </w:rPr>
        <w:t xml:space="preserve">safety endpoints were </w:t>
      </w:r>
      <w:proofErr w:type="spellStart"/>
      <w:r w:rsidR="00097852" w:rsidRPr="00C951F0">
        <w:rPr>
          <w:rFonts w:cstheme="minorHAnsi"/>
          <w:color w:val="000000" w:themeColor="text1"/>
        </w:rPr>
        <w:t>analysed</w:t>
      </w:r>
      <w:proofErr w:type="spellEnd"/>
      <w:r w:rsidRPr="00C951F0">
        <w:rPr>
          <w:rFonts w:cstheme="minorHAnsi"/>
          <w:color w:val="000000" w:themeColor="text1"/>
        </w:rPr>
        <w:t xml:space="preserve"> using the safety analysis set (all </w:t>
      </w:r>
      <w:proofErr w:type="spellStart"/>
      <w:r w:rsidR="007B5725" w:rsidRPr="00C951F0">
        <w:rPr>
          <w:rFonts w:cstheme="minorHAnsi"/>
          <w:color w:val="000000" w:themeColor="text1"/>
        </w:rPr>
        <w:t>randomis</w:t>
      </w:r>
      <w:r w:rsidRPr="00C951F0">
        <w:rPr>
          <w:rFonts w:cstheme="minorHAnsi"/>
          <w:color w:val="000000" w:themeColor="text1"/>
        </w:rPr>
        <w:t>ed</w:t>
      </w:r>
      <w:proofErr w:type="spellEnd"/>
      <w:r w:rsidRPr="00C951F0">
        <w:rPr>
          <w:rFonts w:cstheme="minorHAnsi"/>
          <w:color w:val="000000" w:themeColor="text1"/>
        </w:rPr>
        <w:t xml:space="preserve"> patients exposed to at least one dose of </w:t>
      </w:r>
      <w:proofErr w:type="spellStart"/>
      <w:r w:rsidR="007B5725" w:rsidRPr="00C951F0">
        <w:rPr>
          <w:rFonts w:cstheme="minorHAnsi"/>
          <w:color w:val="000000" w:themeColor="text1"/>
        </w:rPr>
        <w:t>randomis</w:t>
      </w:r>
      <w:r w:rsidRPr="00C951F0">
        <w:rPr>
          <w:rFonts w:cstheme="minorHAnsi"/>
          <w:color w:val="000000" w:themeColor="text1"/>
        </w:rPr>
        <w:t>ed</w:t>
      </w:r>
      <w:proofErr w:type="spellEnd"/>
      <w:r w:rsidRPr="00C951F0">
        <w:rPr>
          <w:rFonts w:cstheme="minorHAnsi"/>
          <w:color w:val="000000" w:themeColor="text1"/>
        </w:rPr>
        <w:t xml:space="preserve"> treatment). Observation periods included the in-trial period (while in trial, regardless of treatment discontinuation or obesity rescue intervention) and the on-treatment period (with trial product). All results from statistical analyses </w:t>
      </w:r>
      <w:r w:rsidR="00377F95" w:rsidRPr="00377F95">
        <w:rPr>
          <w:rFonts w:cstheme="minorHAnsi"/>
          <w:color w:val="000000" w:themeColor="text1"/>
        </w:rPr>
        <w:t xml:space="preserve">on confirmatory endpoints </w:t>
      </w:r>
      <w:r w:rsidRPr="00C951F0">
        <w:rPr>
          <w:rFonts w:cstheme="minorHAnsi"/>
          <w:color w:val="000000" w:themeColor="text1"/>
        </w:rPr>
        <w:t>were accompanied by two-sided 95% confidence interval</w:t>
      </w:r>
      <w:r w:rsidR="007626D5" w:rsidRPr="00C951F0">
        <w:rPr>
          <w:rFonts w:cstheme="minorHAnsi"/>
          <w:color w:val="000000" w:themeColor="text1"/>
        </w:rPr>
        <w:t>s</w:t>
      </w:r>
      <w:r w:rsidRPr="00C951F0">
        <w:rPr>
          <w:rFonts w:cstheme="minorHAnsi"/>
          <w:color w:val="000000" w:themeColor="text1"/>
        </w:rPr>
        <w:t xml:space="preserve"> (CI) and corresponding </w:t>
      </w:r>
      <w:r w:rsidR="00097852" w:rsidRPr="00C951F0">
        <w:rPr>
          <w:rFonts w:cstheme="minorHAnsi"/>
          <w:color w:val="000000" w:themeColor="text1"/>
        </w:rPr>
        <w:t xml:space="preserve">p </w:t>
      </w:r>
      <w:r w:rsidRPr="00C951F0">
        <w:rPr>
          <w:rFonts w:cstheme="minorHAnsi"/>
          <w:color w:val="000000" w:themeColor="text1"/>
        </w:rPr>
        <w:t xml:space="preserve">values (superiority defined as </w:t>
      </w:r>
      <w:r w:rsidR="00097852" w:rsidRPr="00C951F0">
        <w:rPr>
          <w:rFonts w:cstheme="minorHAnsi"/>
          <w:color w:val="000000" w:themeColor="text1"/>
        </w:rPr>
        <w:t>p</w:t>
      </w:r>
      <w:r w:rsidRPr="00C951F0">
        <w:rPr>
          <w:rFonts w:cstheme="minorHAnsi"/>
          <w:color w:val="000000" w:themeColor="text1"/>
        </w:rPr>
        <w:t xml:space="preserve">&lt;0.05). </w:t>
      </w:r>
      <w:r w:rsidR="004D5D21">
        <w:rPr>
          <w:rFonts w:cstheme="minorHAnsi"/>
          <w:color w:val="000000" w:themeColor="text1"/>
        </w:rPr>
        <w:lastRenderedPageBreak/>
        <w:t>Exploratory</w:t>
      </w:r>
      <w:r w:rsidR="004D5D21" w:rsidRPr="00C951F0">
        <w:rPr>
          <w:rFonts w:cstheme="minorHAnsi"/>
          <w:color w:val="000000" w:themeColor="text1"/>
        </w:rPr>
        <w:t xml:space="preserve"> </w:t>
      </w:r>
      <w:r w:rsidRPr="00C951F0">
        <w:rPr>
          <w:rFonts w:cstheme="minorHAnsi"/>
          <w:color w:val="000000" w:themeColor="text1"/>
        </w:rPr>
        <w:t>secondary endpoint analyses were not controlled for multiple comparisons and should not be used to infer definitive treatment effects.</w:t>
      </w:r>
    </w:p>
    <w:p w14:paraId="4266056C" w14:textId="2F0AD18A" w:rsidR="002A54F5" w:rsidRDefault="002A54F5" w:rsidP="002A54F5">
      <w:bookmarkStart w:id="14" w:name="_Hlk59107195"/>
      <w:r>
        <w:t>Two estimands (the treatment policy estimand and the trial product estimand) were employed to assess treatment efficacy, and accounted differently for intercurrent events and missing data, as described previously.</w:t>
      </w:r>
      <w:r w:rsidR="004B580E">
        <w:rPr>
          <w:vertAlign w:val="superscript"/>
        </w:rPr>
        <w:t>15</w:t>
      </w:r>
    </w:p>
    <w:p w14:paraId="5EEAD760" w14:textId="4D1555A7" w:rsidR="002A54F5" w:rsidRDefault="002A54F5" w:rsidP="002A54F5">
      <w:r>
        <w:t xml:space="preserve">The treatment policy estimand, which quantified average treatment effect among all </w:t>
      </w:r>
      <w:proofErr w:type="spellStart"/>
      <w:r>
        <w:t>randomised</w:t>
      </w:r>
      <w:proofErr w:type="spellEnd"/>
      <w:r>
        <w:t xml:space="preserve"> patients, regardless of adherence to treatment or initiation of rescue intervention (patients in trial, ‘intention-to-treat’) was used to assess the superiority of semaglutide 2·4</w:t>
      </w:r>
      <w:r w:rsidR="00330FE0">
        <w:t> </w:t>
      </w:r>
      <w:r>
        <w:t xml:space="preserve">mg versus placebo and versus semaglutide 1·0 mg for the primary and secondary confirmatory endpoints in a predefined hierarchical order. Continuous endpoints were </w:t>
      </w:r>
      <w:proofErr w:type="spellStart"/>
      <w:r>
        <w:t>analysed</w:t>
      </w:r>
      <w:proofErr w:type="spellEnd"/>
      <w:r>
        <w:t xml:space="preserve"> using an analysis of covariance model with </w:t>
      </w:r>
      <w:proofErr w:type="spellStart"/>
      <w:r>
        <w:t>randomised</w:t>
      </w:r>
      <w:proofErr w:type="spellEnd"/>
      <w:r>
        <w:t xml:space="preserve"> treatment</w:t>
      </w:r>
      <w:r w:rsidR="00377F95">
        <w:t>,</w:t>
      </w:r>
      <w:r>
        <w:t xml:space="preserve"> stratification groups</w:t>
      </w:r>
      <w:r w:rsidR="00377F95">
        <w:t>, and the interaction between stratification groups as factors</w:t>
      </w:r>
      <w:r>
        <w:t xml:space="preserve"> and baseline endpoint value as covariate. Missing data were imputed </w:t>
      </w:r>
      <w:r w:rsidR="00377F95">
        <w:t xml:space="preserve">1000 times from retrieved patients of the same </w:t>
      </w:r>
      <w:proofErr w:type="spellStart"/>
      <w:r w:rsidR="00377F95">
        <w:t>randomised</w:t>
      </w:r>
      <w:proofErr w:type="spellEnd"/>
      <w:r w:rsidR="00377F95">
        <w:t xml:space="preserve"> treatment and combined the results using Rubin’s rule</w:t>
      </w:r>
      <w:r>
        <w:t xml:space="preserve">. Categorical endpoints were </w:t>
      </w:r>
      <w:proofErr w:type="spellStart"/>
      <w:r>
        <w:t>analysed</w:t>
      </w:r>
      <w:proofErr w:type="spellEnd"/>
      <w:r>
        <w:t xml:space="preserve"> by logistic regression using </w:t>
      </w:r>
      <w:proofErr w:type="spellStart"/>
      <w:r>
        <w:t>randomised</w:t>
      </w:r>
      <w:proofErr w:type="spellEnd"/>
      <w:r>
        <w:t xml:space="preserve"> treatment</w:t>
      </w:r>
      <w:r w:rsidR="00377F95">
        <w:t>,</w:t>
      </w:r>
      <w:r>
        <w:t xml:space="preserve"> stratification groups</w:t>
      </w:r>
      <w:r w:rsidR="00377F95">
        <w:t>, and the interaction between stratification groups</w:t>
      </w:r>
      <w:r>
        <w:t xml:space="preserve"> as factors and baseline endpoint value as a covariate.</w:t>
      </w:r>
    </w:p>
    <w:p w14:paraId="6C40F446" w14:textId="3A3C449C" w:rsidR="00B1644A" w:rsidRPr="00C951F0" w:rsidRDefault="002A54F5" w:rsidP="0039543A">
      <w:pPr>
        <w:rPr>
          <w:color w:val="000000" w:themeColor="text1"/>
        </w:rPr>
      </w:pPr>
      <w:r>
        <w:t xml:space="preserve">The trial product estimand </w:t>
      </w:r>
      <w:r w:rsidR="00301168">
        <w:t>modeled</w:t>
      </w:r>
      <w:r>
        <w:t xml:space="preserve"> the average treatment effect in all </w:t>
      </w:r>
      <w:proofErr w:type="spellStart"/>
      <w:r>
        <w:t>randomised</w:t>
      </w:r>
      <w:proofErr w:type="spellEnd"/>
      <w:r>
        <w:t xml:space="preserve"> patients</w:t>
      </w:r>
      <w:r w:rsidR="00301168">
        <w:t>, assuming</w:t>
      </w:r>
      <w:r>
        <w:t xml:space="preserve"> </w:t>
      </w:r>
      <w:r w:rsidR="000C544C">
        <w:t>that</w:t>
      </w:r>
      <w:r>
        <w:t xml:space="preserve"> they </w:t>
      </w:r>
      <w:r w:rsidR="000C544C">
        <w:t xml:space="preserve">had </w:t>
      </w:r>
      <w:r>
        <w:t xml:space="preserve">remained on treatment for the duration of the trial, </w:t>
      </w:r>
      <w:r w:rsidR="000C544C">
        <w:t xml:space="preserve">and </w:t>
      </w:r>
      <w:r>
        <w:t xml:space="preserve">without initiation of obesity rescue medication (patients on treatment). Continuous endpoints were </w:t>
      </w:r>
      <w:proofErr w:type="spellStart"/>
      <w:r>
        <w:t>analysed</w:t>
      </w:r>
      <w:proofErr w:type="spellEnd"/>
      <w:r>
        <w:t xml:space="preserve"> using a mixed model for repeated measurements (MMRM) with same factors and covariates as the treatment policy estimand all nested within visit, and categorical endpoints were </w:t>
      </w:r>
      <w:proofErr w:type="spellStart"/>
      <w:r>
        <w:t>analysed</w:t>
      </w:r>
      <w:proofErr w:type="spellEnd"/>
      <w:r>
        <w:t xml:space="preserve"> using the predicted values from the MMRM by logistic regression with treatment and stratification groups as factors and baseline endpoint as covariate.</w:t>
      </w:r>
      <w:bookmarkEnd w:id="14"/>
    </w:p>
    <w:p w14:paraId="33F669FC" w14:textId="15BCC6B5" w:rsidR="00091237" w:rsidRPr="00C951F0" w:rsidRDefault="00D12997" w:rsidP="00FD3AF7">
      <w:pPr>
        <w:pStyle w:val="Heading3"/>
        <w:rPr>
          <w:bCs/>
          <w:caps/>
          <w:color w:val="000000" w:themeColor="text1"/>
        </w:rPr>
      </w:pPr>
      <w:r w:rsidRPr="00C951F0">
        <w:rPr>
          <w:b/>
          <w:bCs/>
          <w:color w:val="000000" w:themeColor="text1"/>
        </w:rPr>
        <w:t>Role of the funding source</w:t>
      </w:r>
    </w:p>
    <w:p w14:paraId="0B517CBF" w14:textId="571CAADC" w:rsidR="00091237" w:rsidRPr="00C951F0" w:rsidRDefault="001D195A" w:rsidP="001D195A">
      <w:pPr>
        <w:rPr>
          <w:color w:val="000000" w:themeColor="text1"/>
        </w:rPr>
      </w:pPr>
      <w:r w:rsidRPr="00C951F0">
        <w:rPr>
          <w:color w:val="000000" w:themeColor="text1"/>
        </w:rPr>
        <w:t xml:space="preserve">The funder designed the trial, monitored trial sites, and collected and </w:t>
      </w:r>
      <w:proofErr w:type="spellStart"/>
      <w:r w:rsidRPr="00C951F0">
        <w:rPr>
          <w:color w:val="000000" w:themeColor="text1"/>
        </w:rPr>
        <w:t>analysed</w:t>
      </w:r>
      <w:proofErr w:type="spellEnd"/>
      <w:r w:rsidRPr="00C951F0">
        <w:rPr>
          <w:color w:val="000000" w:themeColor="text1"/>
        </w:rPr>
        <w:t xml:space="preserve"> data. This manuscript was drafted under the guidance of the authors with medical writing and editorial </w:t>
      </w:r>
      <w:r w:rsidRPr="00C951F0">
        <w:rPr>
          <w:color w:val="000000" w:themeColor="text1"/>
        </w:rPr>
        <w:lastRenderedPageBreak/>
        <w:t>support, which was paid for by the funder. All authors had full access to all the data in the study, actively contributed to all drafts of the manuscript, and made the decision to submit the manuscript for publication.</w:t>
      </w:r>
    </w:p>
    <w:p w14:paraId="12E819EB" w14:textId="58A51B28" w:rsidR="00B1644A" w:rsidRPr="00C951F0" w:rsidRDefault="00D12997" w:rsidP="0039543A">
      <w:pPr>
        <w:pStyle w:val="Heading1"/>
        <w:keepNext/>
        <w:rPr>
          <w:color w:val="000000" w:themeColor="text1"/>
        </w:rPr>
      </w:pPr>
      <w:r w:rsidRPr="00C951F0">
        <w:rPr>
          <w:color w:val="000000" w:themeColor="text1"/>
        </w:rPr>
        <w:t>Results</w:t>
      </w:r>
    </w:p>
    <w:p w14:paraId="6D3702D7" w14:textId="096CD5B3" w:rsidR="00B1644A" w:rsidRPr="00C951F0" w:rsidRDefault="00D12997" w:rsidP="00FD3AF7">
      <w:pPr>
        <w:pStyle w:val="Heading3"/>
        <w:rPr>
          <w:bCs/>
          <w:color w:val="000000" w:themeColor="text1"/>
        </w:rPr>
      </w:pPr>
      <w:r w:rsidRPr="00C951F0">
        <w:rPr>
          <w:b/>
          <w:bCs/>
          <w:color w:val="000000" w:themeColor="text1"/>
        </w:rPr>
        <w:t>Patients</w:t>
      </w:r>
    </w:p>
    <w:p w14:paraId="7274F454" w14:textId="75C90696" w:rsidR="00B1644A" w:rsidRPr="00C951F0" w:rsidRDefault="00B1644A" w:rsidP="0039543A">
      <w:pPr>
        <w:rPr>
          <w:color w:val="000000" w:themeColor="text1"/>
        </w:rPr>
      </w:pPr>
      <w:r w:rsidRPr="00C951F0">
        <w:rPr>
          <w:color w:val="000000" w:themeColor="text1"/>
        </w:rPr>
        <w:t xml:space="preserve">Of 1595 patients screened </w:t>
      </w:r>
      <w:r w:rsidR="00716800" w:rsidRPr="00C951F0">
        <w:rPr>
          <w:color w:val="000000" w:themeColor="text1"/>
        </w:rPr>
        <w:t>from</w:t>
      </w:r>
      <w:r w:rsidRPr="00C951F0">
        <w:rPr>
          <w:color w:val="000000" w:themeColor="text1"/>
        </w:rPr>
        <w:t xml:space="preserve"> June </w:t>
      </w:r>
      <w:r w:rsidR="00716800" w:rsidRPr="00C951F0">
        <w:rPr>
          <w:color w:val="000000" w:themeColor="text1"/>
        </w:rPr>
        <w:t>to</w:t>
      </w:r>
      <w:r w:rsidRPr="00C951F0">
        <w:rPr>
          <w:color w:val="000000" w:themeColor="text1"/>
        </w:rPr>
        <w:t xml:space="preserve"> November 2018, 1210 were </w:t>
      </w:r>
      <w:proofErr w:type="spellStart"/>
      <w:r w:rsidR="007B5725" w:rsidRPr="00C951F0">
        <w:rPr>
          <w:color w:val="000000" w:themeColor="text1"/>
        </w:rPr>
        <w:t>randomis</w:t>
      </w:r>
      <w:r w:rsidRPr="00C951F0">
        <w:rPr>
          <w:color w:val="000000" w:themeColor="text1"/>
        </w:rPr>
        <w:t>ed</w:t>
      </w:r>
      <w:proofErr w:type="spellEnd"/>
      <w:r w:rsidRPr="00C951F0">
        <w:rPr>
          <w:color w:val="000000" w:themeColor="text1"/>
        </w:rPr>
        <w:t xml:space="preserve"> to </w:t>
      </w:r>
      <w:r w:rsidR="00E876F5" w:rsidRPr="00C951F0">
        <w:rPr>
          <w:color w:val="000000" w:themeColor="text1"/>
        </w:rPr>
        <w:t xml:space="preserve">semaglutide </w:t>
      </w:r>
      <w:r w:rsidRPr="00C951F0">
        <w:rPr>
          <w:color w:val="000000" w:themeColor="text1"/>
        </w:rPr>
        <w:t>2</w:t>
      </w:r>
      <w:r w:rsidR="00C5236B" w:rsidRPr="00C951F0">
        <w:rPr>
          <w:color w:val="000000" w:themeColor="text1"/>
        </w:rPr>
        <w:t>·</w:t>
      </w:r>
      <w:r w:rsidRPr="00C951F0">
        <w:rPr>
          <w:color w:val="000000" w:themeColor="text1"/>
        </w:rPr>
        <w:t>4 mg (404 patients)</w:t>
      </w:r>
      <w:r w:rsidR="00E876F5" w:rsidRPr="00C951F0">
        <w:rPr>
          <w:color w:val="000000" w:themeColor="text1"/>
        </w:rPr>
        <w:t xml:space="preserve"> or</w:t>
      </w:r>
      <w:r w:rsidRPr="00C951F0">
        <w:rPr>
          <w:color w:val="000000" w:themeColor="text1"/>
        </w:rPr>
        <w:t xml:space="preserve"> 1</w:t>
      </w:r>
      <w:r w:rsidR="00C5236B" w:rsidRPr="00C951F0">
        <w:rPr>
          <w:color w:val="000000" w:themeColor="text1"/>
        </w:rPr>
        <w:t>·</w:t>
      </w:r>
      <w:r w:rsidRPr="00C951F0">
        <w:rPr>
          <w:color w:val="000000" w:themeColor="text1"/>
        </w:rPr>
        <w:t xml:space="preserve">0 mg (403 patients), or placebo (403 patients), and </w:t>
      </w:r>
      <w:bookmarkStart w:id="15" w:name="_Hlk58485422"/>
      <w:r w:rsidRPr="00C951F0">
        <w:rPr>
          <w:color w:val="000000" w:themeColor="text1"/>
        </w:rPr>
        <w:t xml:space="preserve">included in the full analysis set </w:t>
      </w:r>
      <w:bookmarkEnd w:id="15"/>
      <w:r w:rsidRPr="00C951F0">
        <w:rPr>
          <w:color w:val="000000" w:themeColor="text1"/>
        </w:rPr>
        <w:t>(</w:t>
      </w:r>
      <w:r w:rsidR="005A23D1" w:rsidRPr="00C951F0">
        <w:rPr>
          <w:color w:val="000000" w:themeColor="text1"/>
        </w:rPr>
        <w:t>figure</w:t>
      </w:r>
      <w:r w:rsidRPr="00C951F0">
        <w:rPr>
          <w:color w:val="000000" w:themeColor="text1"/>
        </w:rPr>
        <w:t xml:space="preserve"> </w:t>
      </w:r>
      <w:r w:rsidR="00CC150E">
        <w:rPr>
          <w:color w:val="000000" w:themeColor="text1"/>
        </w:rPr>
        <w:t>1</w:t>
      </w:r>
      <w:r w:rsidRPr="00C951F0">
        <w:rPr>
          <w:color w:val="000000" w:themeColor="text1"/>
        </w:rPr>
        <w:t xml:space="preserve">). </w:t>
      </w:r>
      <w:bookmarkStart w:id="16" w:name="_Hlk50019183"/>
      <w:r w:rsidRPr="00C951F0">
        <w:rPr>
          <w:color w:val="000000" w:themeColor="text1"/>
        </w:rPr>
        <w:t>Treatment and trial compliance were high (</w:t>
      </w:r>
      <w:r w:rsidR="003E1C36" w:rsidRPr="00C951F0">
        <w:rPr>
          <w:color w:val="000000" w:themeColor="text1"/>
        </w:rPr>
        <w:t xml:space="preserve">87% </w:t>
      </w:r>
      <w:r w:rsidR="00ED27DB">
        <w:rPr>
          <w:color w:val="000000" w:themeColor="text1"/>
        </w:rPr>
        <w:t>[</w:t>
      </w:r>
      <w:r w:rsidR="00ED27DB" w:rsidRPr="00ED27DB">
        <w:rPr>
          <w:color w:val="000000" w:themeColor="text1"/>
        </w:rPr>
        <w:t>1058/1210</w:t>
      </w:r>
      <w:r w:rsidR="00ED27DB">
        <w:rPr>
          <w:color w:val="000000" w:themeColor="text1"/>
        </w:rPr>
        <w:t xml:space="preserve">] </w:t>
      </w:r>
      <w:r w:rsidR="003E1C36" w:rsidRPr="00C951F0">
        <w:rPr>
          <w:color w:val="000000" w:themeColor="text1"/>
        </w:rPr>
        <w:t>and 96%</w:t>
      </w:r>
      <w:r w:rsidR="00ED27DB">
        <w:rPr>
          <w:color w:val="000000" w:themeColor="text1"/>
        </w:rPr>
        <w:t xml:space="preserve"> [1164/1210]</w:t>
      </w:r>
      <w:r w:rsidR="003E1C36" w:rsidRPr="00C951F0">
        <w:rPr>
          <w:color w:val="000000" w:themeColor="text1"/>
        </w:rPr>
        <w:t xml:space="preserve">, respectively; </w:t>
      </w:r>
      <w:r w:rsidRPr="00C951F0">
        <w:rPr>
          <w:color w:val="000000" w:themeColor="text1"/>
        </w:rPr>
        <w:t xml:space="preserve">see </w:t>
      </w:r>
      <w:r w:rsidR="00832ED4" w:rsidRPr="00C951F0">
        <w:rPr>
          <w:color w:val="000000" w:themeColor="text1"/>
        </w:rPr>
        <w:t xml:space="preserve">figure </w:t>
      </w:r>
      <w:r w:rsidR="00CC150E">
        <w:rPr>
          <w:color w:val="000000" w:themeColor="text1"/>
        </w:rPr>
        <w:t>1</w:t>
      </w:r>
      <w:r w:rsidRPr="00C951F0">
        <w:rPr>
          <w:color w:val="000000" w:themeColor="text1"/>
        </w:rPr>
        <w:t xml:space="preserve">). </w:t>
      </w:r>
      <w:r w:rsidRPr="00C951F0">
        <w:rPr>
          <w:rFonts w:cstheme="minorHAnsi"/>
          <w:color w:val="000000" w:themeColor="text1"/>
        </w:rPr>
        <w:t>Twenty-four patients received obesity rescue medication (semaglutide 2</w:t>
      </w:r>
      <w:r w:rsidR="00C5236B" w:rsidRPr="00C951F0">
        <w:rPr>
          <w:rFonts w:cstheme="minorHAnsi"/>
          <w:color w:val="000000" w:themeColor="text1"/>
        </w:rPr>
        <w:t>·</w:t>
      </w:r>
      <w:r w:rsidRPr="00C951F0">
        <w:rPr>
          <w:rFonts w:cstheme="minorHAnsi"/>
          <w:color w:val="000000" w:themeColor="text1"/>
        </w:rPr>
        <w:t xml:space="preserve">4 mg, n=4; </w:t>
      </w:r>
      <w:r w:rsidR="00E876F5" w:rsidRPr="00C951F0">
        <w:rPr>
          <w:rFonts w:cstheme="minorHAnsi"/>
          <w:color w:val="000000" w:themeColor="text1"/>
        </w:rPr>
        <w:t xml:space="preserve">semaglutide </w:t>
      </w:r>
      <w:r w:rsidRPr="00C951F0">
        <w:rPr>
          <w:rFonts w:cstheme="minorHAnsi"/>
          <w:color w:val="000000" w:themeColor="text1"/>
        </w:rPr>
        <w:t>1</w:t>
      </w:r>
      <w:r w:rsidR="00C5236B" w:rsidRPr="00C951F0">
        <w:rPr>
          <w:rFonts w:cstheme="minorHAnsi"/>
          <w:color w:val="000000" w:themeColor="text1"/>
        </w:rPr>
        <w:t>·</w:t>
      </w:r>
      <w:r w:rsidRPr="00C951F0">
        <w:rPr>
          <w:rFonts w:cstheme="minorHAnsi"/>
          <w:color w:val="000000" w:themeColor="text1"/>
        </w:rPr>
        <w:t>0 mg, n=7; placebo</w:t>
      </w:r>
      <w:bookmarkEnd w:id="16"/>
      <w:r w:rsidRPr="00C951F0">
        <w:rPr>
          <w:rFonts w:cstheme="minorHAnsi"/>
          <w:color w:val="000000" w:themeColor="text1"/>
        </w:rPr>
        <w:t xml:space="preserve">, n=13). One patient in the placebo group received bariatric surgery. </w:t>
      </w:r>
    </w:p>
    <w:p w14:paraId="0BCE2F08" w14:textId="3C4C8D58" w:rsidR="00B1644A" w:rsidRPr="00C951F0" w:rsidRDefault="00B1644A" w:rsidP="0039543A">
      <w:pPr>
        <w:rPr>
          <w:color w:val="000000" w:themeColor="text1"/>
        </w:rPr>
      </w:pPr>
      <w:r w:rsidRPr="00C951F0">
        <w:rPr>
          <w:color w:val="000000" w:themeColor="text1"/>
        </w:rPr>
        <w:t>Baseline characteristics were well balanced across groups (</w:t>
      </w:r>
      <w:r w:rsidR="005A23D1" w:rsidRPr="00C951F0">
        <w:rPr>
          <w:color w:val="000000" w:themeColor="text1"/>
        </w:rPr>
        <w:t xml:space="preserve">table </w:t>
      </w:r>
      <w:r w:rsidRPr="00C951F0">
        <w:rPr>
          <w:color w:val="000000" w:themeColor="text1"/>
        </w:rPr>
        <w:t xml:space="preserve">1). Mean </w:t>
      </w:r>
      <w:r w:rsidR="00ED27DB">
        <w:rPr>
          <w:color w:val="000000" w:themeColor="text1"/>
        </w:rPr>
        <w:t xml:space="preserve">(standard deviation [SD]) </w:t>
      </w:r>
      <w:r w:rsidRPr="00C951F0">
        <w:rPr>
          <w:color w:val="000000" w:themeColor="text1"/>
        </w:rPr>
        <w:t>body weight, BMI</w:t>
      </w:r>
      <w:r w:rsidR="00E876F5" w:rsidRPr="00C951F0">
        <w:rPr>
          <w:color w:val="000000" w:themeColor="text1"/>
        </w:rPr>
        <w:t>,</w:t>
      </w:r>
      <w:r w:rsidRPr="00C951F0">
        <w:rPr>
          <w:color w:val="000000" w:themeColor="text1"/>
        </w:rPr>
        <w:t xml:space="preserve"> and waist circumference were 99</w:t>
      </w:r>
      <w:r w:rsidR="00C5236B" w:rsidRPr="00C951F0">
        <w:rPr>
          <w:color w:val="000000" w:themeColor="text1"/>
        </w:rPr>
        <w:t>·</w:t>
      </w:r>
      <w:r w:rsidRPr="00C951F0">
        <w:rPr>
          <w:color w:val="000000" w:themeColor="text1"/>
        </w:rPr>
        <w:t xml:space="preserve">8 </w:t>
      </w:r>
      <w:r w:rsidR="00ED27DB">
        <w:rPr>
          <w:rFonts w:cs="Arial"/>
          <w:color w:val="000000" w:themeColor="text1"/>
        </w:rPr>
        <w:t>±</w:t>
      </w:r>
      <w:r w:rsidR="00ED27DB">
        <w:rPr>
          <w:color w:val="000000" w:themeColor="text1"/>
        </w:rPr>
        <w:t xml:space="preserve"> 21</w:t>
      </w:r>
      <w:r w:rsidR="00ED27DB" w:rsidRPr="00C951F0">
        <w:rPr>
          <w:color w:val="000000" w:themeColor="text1"/>
        </w:rPr>
        <w:t>·</w:t>
      </w:r>
      <w:r w:rsidR="00ED27DB">
        <w:rPr>
          <w:color w:val="000000" w:themeColor="text1"/>
        </w:rPr>
        <w:t xml:space="preserve">5 </w:t>
      </w:r>
      <w:r w:rsidRPr="00C951F0">
        <w:rPr>
          <w:color w:val="000000" w:themeColor="text1"/>
        </w:rPr>
        <w:t>kg, 35</w:t>
      </w:r>
      <w:r w:rsidR="00C5236B" w:rsidRPr="00C951F0">
        <w:rPr>
          <w:color w:val="000000" w:themeColor="text1"/>
        </w:rPr>
        <w:t>·</w:t>
      </w:r>
      <w:r w:rsidRPr="00C951F0">
        <w:rPr>
          <w:color w:val="000000" w:themeColor="text1"/>
        </w:rPr>
        <w:t xml:space="preserve">7 </w:t>
      </w:r>
      <w:r w:rsidR="00ED27DB">
        <w:rPr>
          <w:rFonts w:cs="Arial"/>
          <w:color w:val="000000" w:themeColor="text1"/>
        </w:rPr>
        <w:t>±</w:t>
      </w:r>
      <w:r w:rsidR="00ED27DB">
        <w:rPr>
          <w:color w:val="000000" w:themeColor="text1"/>
        </w:rPr>
        <w:t xml:space="preserve"> 6</w:t>
      </w:r>
      <w:r w:rsidR="00ED27DB" w:rsidRPr="00C951F0">
        <w:rPr>
          <w:color w:val="000000" w:themeColor="text1"/>
        </w:rPr>
        <w:t>·</w:t>
      </w:r>
      <w:r w:rsidR="00ED27DB">
        <w:rPr>
          <w:color w:val="000000" w:themeColor="text1"/>
        </w:rPr>
        <w:t>3</w:t>
      </w:r>
      <w:r w:rsidR="00330FE0">
        <w:rPr>
          <w:color w:val="000000" w:themeColor="text1"/>
        </w:rPr>
        <w:t> </w:t>
      </w:r>
      <w:r w:rsidRPr="00C951F0">
        <w:rPr>
          <w:color w:val="000000" w:themeColor="text1"/>
        </w:rPr>
        <w:t>kg/m</w:t>
      </w:r>
      <w:r w:rsidRPr="00C951F0">
        <w:rPr>
          <w:color w:val="000000" w:themeColor="text1"/>
          <w:vertAlign w:val="superscript"/>
        </w:rPr>
        <w:t xml:space="preserve">2 </w:t>
      </w:r>
      <w:r w:rsidRPr="00C951F0">
        <w:rPr>
          <w:color w:val="000000" w:themeColor="text1"/>
        </w:rPr>
        <w:t>and 114</w:t>
      </w:r>
      <w:r w:rsidR="00C5236B" w:rsidRPr="00C951F0">
        <w:rPr>
          <w:color w:val="000000" w:themeColor="text1"/>
        </w:rPr>
        <w:t>·</w:t>
      </w:r>
      <w:r w:rsidRPr="00C951F0">
        <w:rPr>
          <w:color w:val="000000" w:themeColor="text1"/>
        </w:rPr>
        <w:t xml:space="preserve">6 </w:t>
      </w:r>
      <w:r w:rsidR="00ED27DB">
        <w:rPr>
          <w:rFonts w:cs="Arial"/>
          <w:color w:val="000000" w:themeColor="text1"/>
        </w:rPr>
        <w:t>±</w:t>
      </w:r>
      <w:r w:rsidR="00ED27DB">
        <w:rPr>
          <w:color w:val="000000" w:themeColor="text1"/>
        </w:rPr>
        <w:t xml:space="preserve"> 14</w:t>
      </w:r>
      <w:r w:rsidR="00ED27DB" w:rsidRPr="00C951F0">
        <w:rPr>
          <w:color w:val="000000" w:themeColor="text1"/>
        </w:rPr>
        <w:t>·</w:t>
      </w:r>
      <w:r w:rsidR="00ED27DB">
        <w:rPr>
          <w:color w:val="000000" w:themeColor="text1"/>
        </w:rPr>
        <w:t xml:space="preserve">1 </w:t>
      </w:r>
      <w:r w:rsidRPr="00C951F0">
        <w:rPr>
          <w:color w:val="000000" w:themeColor="text1"/>
        </w:rPr>
        <w:t>cm, respectively. Mean duration of diabetes was 8</w:t>
      </w:r>
      <w:r w:rsidR="00C5236B" w:rsidRPr="00C951F0">
        <w:rPr>
          <w:color w:val="000000" w:themeColor="text1"/>
        </w:rPr>
        <w:t>·</w:t>
      </w:r>
      <w:r w:rsidRPr="00C951F0">
        <w:rPr>
          <w:color w:val="000000" w:themeColor="text1"/>
        </w:rPr>
        <w:t xml:space="preserve">0 </w:t>
      </w:r>
      <w:r w:rsidR="0035067B">
        <w:rPr>
          <w:rFonts w:cs="Arial"/>
          <w:color w:val="000000" w:themeColor="text1"/>
        </w:rPr>
        <w:t>±</w:t>
      </w:r>
      <w:r w:rsidR="0035067B">
        <w:rPr>
          <w:color w:val="000000" w:themeColor="text1"/>
        </w:rPr>
        <w:t xml:space="preserve"> 6</w:t>
      </w:r>
      <w:r w:rsidR="0035067B" w:rsidRPr="00C951F0">
        <w:rPr>
          <w:color w:val="000000" w:themeColor="text1"/>
        </w:rPr>
        <w:t>·</w:t>
      </w:r>
      <w:r w:rsidR="0035067B">
        <w:rPr>
          <w:color w:val="000000" w:themeColor="text1"/>
        </w:rPr>
        <w:t xml:space="preserve">1 </w:t>
      </w:r>
      <w:r w:rsidRPr="00C951F0">
        <w:rPr>
          <w:color w:val="000000" w:themeColor="text1"/>
        </w:rPr>
        <w:t xml:space="preserve">years. </w:t>
      </w:r>
    </w:p>
    <w:p w14:paraId="7FEF0AC3" w14:textId="03C5F280" w:rsidR="00B1644A" w:rsidRPr="00C951F0" w:rsidRDefault="00D12997" w:rsidP="00FD3AF7">
      <w:pPr>
        <w:pStyle w:val="Heading3"/>
        <w:rPr>
          <w:bCs/>
          <w:color w:val="000000" w:themeColor="text1"/>
        </w:rPr>
      </w:pPr>
      <w:r w:rsidRPr="00C951F0">
        <w:rPr>
          <w:b/>
          <w:bCs/>
          <w:color w:val="000000" w:themeColor="text1"/>
        </w:rPr>
        <w:t>Body weight</w:t>
      </w:r>
    </w:p>
    <w:p w14:paraId="107CD846" w14:textId="38F59D78" w:rsidR="00B1644A" w:rsidRPr="00C951F0" w:rsidRDefault="00B1644A" w:rsidP="0039543A">
      <w:pPr>
        <w:rPr>
          <w:color w:val="000000" w:themeColor="text1"/>
        </w:rPr>
      </w:pPr>
      <w:r w:rsidRPr="00C951F0">
        <w:rPr>
          <w:color w:val="000000" w:themeColor="text1"/>
        </w:rPr>
        <w:t xml:space="preserve">Mean body weight change over time is shown in </w:t>
      </w:r>
      <w:r w:rsidR="005A23D1" w:rsidRPr="00C951F0">
        <w:rPr>
          <w:color w:val="000000" w:themeColor="text1"/>
        </w:rPr>
        <w:t xml:space="preserve">figures </w:t>
      </w:r>
      <w:r w:rsidR="00CC150E">
        <w:rPr>
          <w:color w:val="000000" w:themeColor="text1"/>
        </w:rPr>
        <w:t>2</w:t>
      </w:r>
      <w:r w:rsidRPr="00C951F0">
        <w:rPr>
          <w:color w:val="000000" w:themeColor="text1"/>
        </w:rPr>
        <w:t>A and B (see</w:t>
      </w:r>
      <w:r w:rsidR="00E876F5" w:rsidRPr="00C951F0">
        <w:rPr>
          <w:color w:val="000000" w:themeColor="text1"/>
        </w:rPr>
        <w:t xml:space="preserve"> </w:t>
      </w:r>
      <w:r w:rsidR="005A23D1" w:rsidRPr="00C951F0">
        <w:rPr>
          <w:color w:val="000000" w:themeColor="text1"/>
        </w:rPr>
        <w:t>figure</w:t>
      </w:r>
      <w:r w:rsidR="00E876F5" w:rsidRPr="00C951F0">
        <w:rPr>
          <w:color w:val="000000" w:themeColor="text1"/>
        </w:rPr>
        <w:t xml:space="preserve"> S</w:t>
      </w:r>
      <w:r w:rsidR="00CC150E">
        <w:rPr>
          <w:color w:val="000000" w:themeColor="text1"/>
        </w:rPr>
        <w:t>2</w:t>
      </w:r>
      <w:r w:rsidRPr="00C951F0">
        <w:rPr>
          <w:color w:val="000000" w:themeColor="text1"/>
        </w:rPr>
        <w:t xml:space="preserve"> </w:t>
      </w:r>
      <w:r w:rsidR="00E876F5" w:rsidRPr="00C951F0">
        <w:rPr>
          <w:color w:val="000000" w:themeColor="text1"/>
        </w:rPr>
        <w:t xml:space="preserve">in the </w:t>
      </w:r>
      <w:r w:rsidRPr="00C951F0">
        <w:rPr>
          <w:color w:val="000000" w:themeColor="text1"/>
        </w:rPr>
        <w:t>Supplementary Appendix for cumulative distribution function plots</w:t>
      </w:r>
      <w:r w:rsidR="00832ED4" w:rsidRPr="00C951F0">
        <w:rPr>
          <w:color w:val="000000" w:themeColor="text1"/>
        </w:rPr>
        <w:t xml:space="preserve"> [</w:t>
      </w:r>
      <w:r w:rsidR="00832ED4" w:rsidRPr="001140AC">
        <w:rPr>
          <w:color w:val="000000" w:themeColor="text1"/>
        </w:rPr>
        <w:t>p 1</w:t>
      </w:r>
      <w:r w:rsidR="001140AC">
        <w:rPr>
          <w:color w:val="000000" w:themeColor="text1"/>
        </w:rPr>
        <w:t>6</w:t>
      </w:r>
      <w:r w:rsidR="00832ED4" w:rsidRPr="00C951F0">
        <w:rPr>
          <w:color w:val="000000" w:themeColor="text1"/>
        </w:rPr>
        <w:t>]</w:t>
      </w:r>
      <w:r w:rsidRPr="00C951F0">
        <w:rPr>
          <w:color w:val="000000" w:themeColor="text1"/>
        </w:rPr>
        <w:t>). Using the treatment policy estimand, percentage mean weight change at week 68 with semaglutide 2</w:t>
      </w:r>
      <w:r w:rsidR="00C5236B" w:rsidRPr="00C951F0">
        <w:rPr>
          <w:color w:val="000000" w:themeColor="text1"/>
        </w:rPr>
        <w:t>·</w:t>
      </w:r>
      <w:r w:rsidR="004B580E" w:rsidRPr="00C951F0">
        <w:rPr>
          <w:color w:val="000000" w:themeColor="text1"/>
        </w:rPr>
        <w:t>4</w:t>
      </w:r>
      <w:r w:rsidR="004B580E">
        <w:rPr>
          <w:color w:val="000000" w:themeColor="text1"/>
        </w:rPr>
        <w:t> </w:t>
      </w:r>
      <w:r w:rsidRPr="00C951F0">
        <w:rPr>
          <w:color w:val="000000" w:themeColor="text1"/>
        </w:rPr>
        <w:t>mg was −9</w:t>
      </w:r>
      <w:r w:rsidR="00C5236B" w:rsidRPr="00C951F0">
        <w:rPr>
          <w:color w:val="000000" w:themeColor="text1"/>
        </w:rPr>
        <w:t>·</w:t>
      </w:r>
      <w:r w:rsidRPr="00C951F0">
        <w:rPr>
          <w:color w:val="000000" w:themeColor="text1"/>
        </w:rPr>
        <w:t>6%</w:t>
      </w:r>
      <w:r w:rsidR="0017439D">
        <w:rPr>
          <w:color w:val="000000" w:themeColor="text1"/>
        </w:rPr>
        <w:t xml:space="preserve"> (SE 0.4)</w:t>
      </w:r>
      <w:r w:rsidRPr="00C951F0">
        <w:rPr>
          <w:color w:val="000000" w:themeColor="text1"/>
        </w:rPr>
        <w:t xml:space="preserve"> </w:t>
      </w:r>
      <w:r w:rsidR="00BF42BE" w:rsidRPr="00C951F0">
        <w:rPr>
          <w:color w:val="000000" w:themeColor="text1"/>
        </w:rPr>
        <w:t>versus</w:t>
      </w:r>
      <w:r w:rsidRPr="00C951F0">
        <w:rPr>
          <w:color w:val="000000" w:themeColor="text1"/>
        </w:rPr>
        <w:t xml:space="preserve"> −3</w:t>
      </w:r>
      <w:r w:rsidR="00C5236B" w:rsidRPr="00C951F0">
        <w:rPr>
          <w:color w:val="000000" w:themeColor="text1"/>
        </w:rPr>
        <w:t>·</w:t>
      </w:r>
      <w:r w:rsidRPr="00C951F0">
        <w:rPr>
          <w:color w:val="000000" w:themeColor="text1"/>
        </w:rPr>
        <w:t>4%</w:t>
      </w:r>
      <w:r w:rsidR="0017439D">
        <w:rPr>
          <w:color w:val="000000" w:themeColor="text1"/>
        </w:rPr>
        <w:t xml:space="preserve"> (SE 0.4)</w:t>
      </w:r>
      <w:r w:rsidRPr="00C951F0">
        <w:rPr>
          <w:color w:val="000000" w:themeColor="text1"/>
        </w:rPr>
        <w:t xml:space="preserve"> with placebo (</w:t>
      </w:r>
      <w:r w:rsidR="0035067B">
        <w:rPr>
          <w:color w:val="000000" w:themeColor="text1"/>
        </w:rPr>
        <w:t xml:space="preserve">co-primary endpoint; </w:t>
      </w:r>
      <w:r w:rsidRPr="00C951F0">
        <w:rPr>
          <w:color w:val="000000" w:themeColor="text1"/>
        </w:rPr>
        <w:t>estimated treatment difference [ETD] –6</w:t>
      </w:r>
      <w:r w:rsidR="00C5236B" w:rsidRPr="00C951F0">
        <w:rPr>
          <w:color w:val="000000" w:themeColor="text1"/>
        </w:rPr>
        <w:t>·</w:t>
      </w:r>
      <w:r w:rsidRPr="00C951F0">
        <w:rPr>
          <w:color w:val="000000" w:themeColor="text1"/>
        </w:rPr>
        <w:t>2</w:t>
      </w:r>
      <w:r w:rsidR="00171AC0">
        <w:rPr>
          <w:color w:val="000000" w:themeColor="text1"/>
        </w:rPr>
        <w:t xml:space="preserve"> percentage-points</w:t>
      </w:r>
      <w:r w:rsidR="00097852" w:rsidRPr="00C951F0">
        <w:rPr>
          <w:color w:val="000000" w:themeColor="text1"/>
        </w:rPr>
        <w:t xml:space="preserve">, </w:t>
      </w:r>
      <w:r w:rsidR="00E876F5" w:rsidRPr="00C951F0">
        <w:rPr>
          <w:color w:val="000000" w:themeColor="text1"/>
        </w:rPr>
        <w:t xml:space="preserve">95% CI </w:t>
      </w:r>
      <w:r w:rsidRPr="00C951F0">
        <w:rPr>
          <w:color w:val="000000" w:themeColor="text1"/>
        </w:rPr>
        <w:t>–7</w:t>
      </w:r>
      <w:r w:rsidR="00C5236B" w:rsidRPr="00C951F0">
        <w:rPr>
          <w:color w:val="000000" w:themeColor="text1"/>
        </w:rPr>
        <w:t>·</w:t>
      </w:r>
      <w:r w:rsidRPr="00C951F0">
        <w:rPr>
          <w:color w:val="000000" w:themeColor="text1"/>
        </w:rPr>
        <w:t xml:space="preserve">3 </w:t>
      </w:r>
      <w:r w:rsidR="00E876F5" w:rsidRPr="00C951F0">
        <w:rPr>
          <w:color w:val="000000" w:themeColor="text1"/>
        </w:rPr>
        <w:t xml:space="preserve">to </w:t>
      </w:r>
      <w:r w:rsidRPr="00C951F0">
        <w:rPr>
          <w:color w:val="000000" w:themeColor="text1"/>
        </w:rPr>
        <w:t>–5</w:t>
      </w:r>
      <w:r w:rsidR="00C5236B" w:rsidRPr="00C951F0">
        <w:rPr>
          <w:color w:val="000000" w:themeColor="text1"/>
        </w:rPr>
        <w:t>·</w:t>
      </w:r>
      <w:r w:rsidRPr="00C951F0">
        <w:rPr>
          <w:color w:val="000000" w:themeColor="text1"/>
        </w:rPr>
        <w:t xml:space="preserve">2; </w:t>
      </w:r>
      <w:r w:rsidR="00097852" w:rsidRPr="00C951F0">
        <w:rPr>
          <w:color w:val="000000" w:themeColor="text1"/>
        </w:rPr>
        <w:t>p</w:t>
      </w:r>
      <w:r w:rsidRPr="00C951F0">
        <w:rPr>
          <w:color w:val="000000" w:themeColor="text1"/>
        </w:rPr>
        <w:t>&lt;0</w:t>
      </w:r>
      <w:r w:rsidR="00C5236B" w:rsidRPr="00C951F0">
        <w:rPr>
          <w:color w:val="000000" w:themeColor="text1"/>
        </w:rPr>
        <w:t>·</w:t>
      </w:r>
      <w:r w:rsidRPr="00C951F0">
        <w:rPr>
          <w:color w:val="000000" w:themeColor="text1"/>
        </w:rPr>
        <w:t>001</w:t>
      </w:r>
      <w:r w:rsidR="00E876F5" w:rsidRPr="00C951F0">
        <w:rPr>
          <w:color w:val="000000" w:themeColor="text1"/>
        </w:rPr>
        <w:t>)</w:t>
      </w:r>
      <w:r w:rsidRPr="00C951F0">
        <w:rPr>
          <w:color w:val="000000" w:themeColor="text1"/>
        </w:rPr>
        <w:t xml:space="preserve"> </w:t>
      </w:r>
      <w:r w:rsidR="00E876F5" w:rsidRPr="00C951F0">
        <w:rPr>
          <w:color w:val="000000" w:themeColor="text1"/>
        </w:rPr>
        <w:t>(</w:t>
      </w:r>
      <w:r w:rsidR="005A23D1" w:rsidRPr="00C951F0">
        <w:rPr>
          <w:color w:val="000000" w:themeColor="text1"/>
        </w:rPr>
        <w:t xml:space="preserve">figure </w:t>
      </w:r>
      <w:r w:rsidR="00CC150E">
        <w:rPr>
          <w:color w:val="000000" w:themeColor="text1"/>
        </w:rPr>
        <w:t>2</w:t>
      </w:r>
      <w:r w:rsidRPr="00C951F0">
        <w:rPr>
          <w:color w:val="000000" w:themeColor="text1"/>
        </w:rPr>
        <w:t>A), and for semaglutide 1</w:t>
      </w:r>
      <w:r w:rsidR="00C5236B" w:rsidRPr="00C951F0">
        <w:rPr>
          <w:color w:val="000000" w:themeColor="text1"/>
        </w:rPr>
        <w:t>·</w:t>
      </w:r>
      <w:r w:rsidRPr="00C951F0">
        <w:rPr>
          <w:color w:val="000000" w:themeColor="text1"/>
        </w:rPr>
        <w:t>0 mg was −7</w:t>
      </w:r>
      <w:r w:rsidR="00C5236B" w:rsidRPr="00C951F0">
        <w:rPr>
          <w:color w:val="000000" w:themeColor="text1"/>
        </w:rPr>
        <w:t>·</w:t>
      </w:r>
      <w:r w:rsidRPr="00C951F0">
        <w:rPr>
          <w:color w:val="000000" w:themeColor="text1"/>
        </w:rPr>
        <w:t>0%</w:t>
      </w:r>
      <w:r w:rsidR="0017439D">
        <w:rPr>
          <w:color w:val="000000" w:themeColor="text1"/>
        </w:rPr>
        <w:t xml:space="preserve"> (SE 0.4)</w:t>
      </w:r>
      <w:r w:rsidRPr="00C951F0">
        <w:rPr>
          <w:color w:val="000000" w:themeColor="text1"/>
        </w:rPr>
        <w:t xml:space="preserve"> (ETD for 2</w:t>
      </w:r>
      <w:r w:rsidR="00C5236B" w:rsidRPr="00C951F0">
        <w:rPr>
          <w:color w:val="000000" w:themeColor="text1"/>
        </w:rPr>
        <w:t>·</w:t>
      </w:r>
      <w:r w:rsidRPr="00C951F0">
        <w:rPr>
          <w:color w:val="000000" w:themeColor="text1"/>
        </w:rPr>
        <w:t>4 mg vs 1</w:t>
      </w:r>
      <w:r w:rsidR="00C5236B" w:rsidRPr="00C951F0">
        <w:rPr>
          <w:color w:val="000000" w:themeColor="text1"/>
        </w:rPr>
        <w:t>·</w:t>
      </w:r>
      <w:r w:rsidRPr="00C951F0">
        <w:rPr>
          <w:color w:val="000000" w:themeColor="text1"/>
        </w:rPr>
        <w:t>0 mg −2</w:t>
      </w:r>
      <w:r w:rsidR="00C5236B" w:rsidRPr="00C951F0">
        <w:rPr>
          <w:color w:val="000000" w:themeColor="text1"/>
        </w:rPr>
        <w:t>·</w:t>
      </w:r>
      <w:r w:rsidRPr="00C951F0">
        <w:rPr>
          <w:color w:val="000000" w:themeColor="text1"/>
        </w:rPr>
        <w:t>7%</w:t>
      </w:r>
      <w:r w:rsidR="00097852" w:rsidRPr="00C951F0">
        <w:rPr>
          <w:color w:val="000000" w:themeColor="text1"/>
        </w:rPr>
        <w:t>,</w:t>
      </w:r>
      <w:r w:rsidRPr="00C951F0">
        <w:rPr>
          <w:color w:val="000000" w:themeColor="text1"/>
        </w:rPr>
        <w:t xml:space="preserve"> 95% CI −3</w:t>
      </w:r>
      <w:r w:rsidR="00C5236B" w:rsidRPr="00C951F0">
        <w:rPr>
          <w:color w:val="000000" w:themeColor="text1"/>
        </w:rPr>
        <w:t>·</w:t>
      </w:r>
      <w:r w:rsidRPr="00C951F0">
        <w:rPr>
          <w:color w:val="000000" w:themeColor="text1"/>
        </w:rPr>
        <w:t>7</w:t>
      </w:r>
      <w:r w:rsidR="00E876F5" w:rsidRPr="00C951F0">
        <w:rPr>
          <w:color w:val="000000" w:themeColor="text1"/>
        </w:rPr>
        <w:t xml:space="preserve"> to</w:t>
      </w:r>
      <w:r w:rsidRPr="00C951F0">
        <w:rPr>
          <w:color w:val="000000" w:themeColor="text1"/>
        </w:rPr>
        <w:t xml:space="preserve"> −1</w:t>
      </w:r>
      <w:r w:rsidR="00C5236B" w:rsidRPr="00C951F0">
        <w:rPr>
          <w:color w:val="000000" w:themeColor="text1"/>
        </w:rPr>
        <w:t>·</w:t>
      </w:r>
      <w:r w:rsidRPr="00C951F0">
        <w:rPr>
          <w:color w:val="000000" w:themeColor="text1"/>
        </w:rPr>
        <w:t xml:space="preserve">6; </w:t>
      </w:r>
      <w:r w:rsidR="00097852" w:rsidRPr="00C951F0">
        <w:rPr>
          <w:color w:val="000000" w:themeColor="text1"/>
        </w:rPr>
        <w:t>p</w:t>
      </w:r>
      <w:r w:rsidRPr="00C951F0">
        <w:rPr>
          <w:color w:val="000000" w:themeColor="text1"/>
        </w:rPr>
        <w:t>&lt;0</w:t>
      </w:r>
      <w:r w:rsidR="00C5236B" w:rsidRPr="00C951F0">
        <w:rPr>
          <w:color w:val="000000" w:themeColor="text1"/>
        </w:rPr>
        <w:t>·</w:t>
      </w:r>
      <w:r w:rsidRPr="00C951F0">
        <w:rPr>
          <w:color w:val="000000" w:themeColor="text1"/>
        </w:rPr>
        <w:t>0001</w:t>
      </w:r>
      <w:r w:rsidR="00E876F5" w:rsidRPr="00C951F0">
        <w:rPr>
          <w:color w:val="000000" w:themeColor="text1"/>
        </w:rPr>
        <w:t>)</w:t>
      </w:r>
      <w:r w:rsidRPr="00C951F0">
        <w:rPr>
          <w:color w:val="000000" w:themeColor="text1"/>
        </w:rPr>
        <w:t xml:space="preserve"> </w:t>
      </w:r>
      <w:r w:rsidR="00E876F5" w:rsidRPr="00C951F0">
        <w:rPr>
          <w:color w:val="000000" w:themeColor="text1"/>
        </w:rPr>
        <w:t>(</w:t>
      </w:r>
      <w:r w:rsidR="005A23D1" w:rsidRPr="00C951F0">
        <w:rPr>
          <w:color w:val="000000" w:themeColor="text1"/>
        </w:rPr>
        <w:t>figure</w:t>
      </w:r>
      <w:r w:rsidR="005A23D1" w:rsidRPr="00C951F0" w:rsidDel="005A23D1">
        <w:rPr>
          <w:color w:val="000000" w:themeColor="text1"/>
        </w:rPr>
        <w:t xml:space="preserve"> </w:t>
      </w:r>
      <w:r w:rsidR="00CC150E">
        <w:rPr>
          <w:color w:val="000000" w:themeColor="text1"/>
        </w:rPr>
        <w:t>2</w:t>
      </w:r>
      <w:r w:rsidRPr="00C951F0">
        <w:rPr>
          <w:color w:val="000000" w:themeColor="text1"/>
        </w:rPr>
        <w:t>A). The change for the trial product estimand was −10</w:t>
      </w:r>
      <w:r w:rsidR="00C5236B" w:rsidRPr="00C951F0">
        <w:rPr>
          <w:color w:val="000000" w:themeColor="text1"/>
        </w:rPr>
        <w:t>·</w:t>
      </w:r>
      <w:r w:rsidRPr="00C951F0">
        <w:rPr>
          <w:color w:val="000000" w:themeColor="text1"/>
        </w:rPr>
        <w:t>6%</w:t>
      </w:r>
      <w:r w:rsidR="00171AC0">
        <w:rPr>
          <w:color w:val="000000" w:themeColor="text1"/>
        </w:rPr>
        <w:t xml:space="preserve"> (SE 0.4)</w:t>
      </w:r>
      <w:r w:rsidRPr="00C951F0">
        <w:rPr>
          <w:color w:val="000000" w:themeColor="text1"/>
        </w:rPr>
        <w:t xml:space="preserve"> for semaglutide 2</w:t>
      </w:r>
      <w:r w:rsidR="00C5236B" w:rsidRPr="00C951F0">
        <w:rPr>
          <w:color w:val="000000" w:themeColor="text1"/>
        </w:rPr>
        <w:t>·</w:t>
      </w:r>
      <w:r w:rsidRPr="00C951F0">
        <w:rPr>
          <w:color w:val="000000" w:themeColor="text1"/>
        </w:rPr>
        <w:t xml:space="preserve">4 mg </w:t>
      </w:r>
      <w:r w:rsidR="00BF42BE" w:rsidRPr="00C951F0">
        <w:rPr>
          <w:color w:val="000000" w:themeColor="text1"/>
        </w:rPr>
        <w:t>versus</w:t>
      </w:r>
      <w:r w:rsidRPr="00C951F0">
        <w:rPr>
          <w:color w:val="000000" w:themeColor="text1"/>
        </w:rPr>
        <w:t xml:space="preserve"> −3</w:t>
      </w:r>
      <w:r w:rsidR="00C5236B" w:rsidRPr="00C951F0">
        <w:rPr>
          <w:color w:val="000000" w:themeColor="text1"/>
        </w:rPr>
        <w:t>·</w:t>
      </w:r>
      <w:r w:rsidRPr="00C951F0">
        <w:rPr>
          <w:color w:val="000000" w:themeColor="text1"/>
        </w:rPr>
        <w:t>1% for placebo (ETD −7</w:t>
      </w:r>
      <w:r w:rsidR="00C5236B" w:rsidRPr="00C951F0">
        <w:rPr>
          <w:color w:val="000000" w:themeColor="text1"/>
        </w:rPr>
        <w:t>·</w:t>
      </w:r>
      <w:r w:rsidRPr="00C951F0">
        <w:rPr>
          <w:color w:val="000000" w:themeColor="text1"/>
        </w:rPr>
        <w:t>6</w:t>
      </w:r>
      <w:r w:rsidR="00171AC0">
        <w:rPr>
          <w:color w:val="000000" w:themeColor="text1"/>
        </w:rPr>
        <w:t xml:space="preserve"> percentage-points</w:t>
      </w:r>
      <w:r w:rsidR="00097852" w:rsidRPr="00C951F0">
        <w:rPr>
          <w:color w:val="000000" w:themeColor="text1"/>
        </w:rPr>
        <w:t>,</w:t>
      </w:r>
      <w:r w:rsidRPr="00C951F0">
        <w:rPr>
          <w:color w:val="000000" w:themeColor="text1"/>
        </w:rPr>
        <w:t xml:space="preserve"> </w:t>
      </w:r>
      <w:r w:rsidR="00E876F5" w:rsidRPr="00C951F0">
        <w:rPr>
          <w:color w:val="000000" w:themeColor="text1"/>
        </w:rPr>
        <w:t xml:space="preserve">95% CI </w:t>
      </w:r>
      <w:r w:rsidRPr="00C951F0">
        <w:rPr>
          <w:color w:val="000000" w:themeColor="text1"/>
        </w:rPr>
        <w:t>−8</w:t>
      </w:r>
      <w:r w:rsidR="00C5236B" w:rsidRPr="00C951F0">
        <w:rPr>
          <w:color w:val="000000" w:themeColor="text1"/>
        </w:rPr>
        <w:t>·</w:t>
      </w:r>
      <w:r w:rsidRPr="00C951F0">
        <w:rPr>
          <w:color w:val="000000" w:themeColor="text1"/>
        </w:rPr>
        <w:t>6</w:t>
      </w:r>
      <w:r w:rsidR="00E876F5" w:rsidRPr="00C951F0">
        <w:rPr>
          <w:color w:val="000000" w:themeColor="text1"/>
        </w:rPr>
        <w:t xml:space="preserve"> to</w:t>
      </w:r>
      <w:r w:rsidRPr="00C951F0">
        <w:rPr>
          <w:color w:val="000000" w:themeColor="text1"/>
        </w:rPr>
        <w:t xml:space="preserve"> −6</w:t>
      </w:r>
      <w:r w:rsidR="00C5236B" w:rsidRPr="00C951F0">
        <w:rPr>
          <w:color w:val="000000" w:themeColor="text1"/>
        </w:rPr>
        <w:t>·</w:t>
      </w:r>
      <w:r w:rsidRPr="00C951F0">
        <w:rPr>
          <w:color w:val="000000" w:themeColor="text1"/>
        </w:rPr>
        <w:t>6</w:t>
      </w:r>
      <w:r w:rsidR="00E876F5" w:rsidRPr="00C951F0">
        <w:rPr>
          <w:color w:val="000000" w:themeColor="text1"/>
        </w:rPr>
        <w:t>)</w:t>
      </w:r>
      <w:r w:rsidRPr="00C951F0">
        <w:rPr>
          <w:color w:val="000000" w:themeColor="text1"/>
        </w:rPr>
        <w:t xml:space="preserve"> </w:t>
      </w:r>
      <w:r w:rsidR="00E876F5" w:rsidRPr="00C951F0">
        <w:rPr>
          <w:color w:val="000000" w:themeColor="text1"/>
        </w:rPr>
        <w:t>(</w:t>
      </w:r>
      <w:r w:rsidR="005A23D1" w:rsidRPr="00C951F0">
        <w:rPr>
          <w:color w:val="000000" w:themeColor="text1"/>
        </w:rPr>
        <w:t>figure</w:t>
      </w:r>
      <w:r w:rsidR="005A23D1" w:rsidRPr="00C951F0" w:rsidDel="005A23D1">
        <w:rPr>
          <w:color w:val="000000" w:themeColor="text1"/>
        </w:rPr>
        <w:t xml:space="preserve"> </w:t>
      </w:r>
      <w:r w:rsidR="0035067B">
        <w:rPr>
          <w:color w:val="000000" w:themeColor="text1"/>
        </w:rPr>
        <w:t>2</w:t>
      </w:r>
      <w:r w:rsidRPr="00C951F0">
        <w:rPr>
          <w:color w:val="000000" w:themeColor="text1"/>
        </w:rPr>
        <w:t>B), and −7</w:t>
      </w:r>
      <w:r w:rsidR="00C5236B" w:rsidRPr="00C951F0">
        <w:rPr>
          <w:color w:val="000000" w:themeColor="text1"/>
        </w:rPr>
        <w:t>·</w:t>
      </w:r>
      <w:r w:rsidR="00206BDD" w:rsidRPr="00C951F0">
        <w:rPr>
          <w:color w:val="000000" w:themeColor="text1"/>
        </w:rPr>
        <w:t>6</w:t>
      </w:r>
      <w:r w:rsidRPr="00C951F0">
        <w:rPr>
          <w:color w:val="000000" w:themeColor="text1"/>
        </w:rPr>
        <w:t>% for semaglutide 1</w:t>
      </w:r>
      <w:r w:rsidR="00C5236B" w:rsidRPr="00C951F0">
        <w:rPr>
          <w:color w:val="000000" w:themeColor="text1"/>
        </w:rPr>
        <w:t>·</w:t>
      </w:r>
      <w:r w:rsidRPr="00C951F0">
        <w:rPr>
          <w:color w:val="000000" w:themeColor="text1"/>
        </w:rPr>
        <w:t>0 mg (ETD for 2</w:t>
      </w:r>
      <w:r w:rsidR="00C5236B" w:rsidRPr="00C951F0">
        <w:rPr>
          <w:color w:val="000000" w:themeColor="text1"/>
        </w:rPr>
        <w:t>·</w:t>
      </w:r>
      <w:r w:rsidRPr="00C951F0">
        <w:rPr>
          <w:color w:val="000000" w:themeColor="text1"/>
        </w:rPr>
        <w:t>4 mg vs 1</w:t>
      </w:r>
      <w:r w:rsidR="00C5236B" w:rsidRPr="00C951F0">
        <w:rPr>
          <w:color w:val="000000" w:themeColor="text1"/>
        </w:rPr>
        <w:t>·</w:t>
      </w:r>
      <w:r w:rsidRPr="00C951F0">
        <w:rPr>
          <w:color w:val="000000" w:themeColor="text1"/>
        </w:rPr>
        <w:t>0 mg −3</w:t>
      </w:r>
      <w:r w:rsidR="00C5236B" w:rsidRPr="00C951F0">
        <w:rPr>
          <w:color w:val="000000" w:themeColor="text1"/>
        </w:rPr>
        <w:t>·</w:t>
      </w:r>
      <w:r w:rsidRPr="00C951F0">
        <w:rPr>
          <w:color w:val="000000" w:themeColor="text1"/>
        </w:rPr>
        <w:t>1</w:t>
      </w:r>
      <w:r w:rsidR="00171AC0">
        <w:rPr>
          <w:color w:val="000000" w:themeColor="text1"/>
        </w:rPr>
        <w:t xml:space="preserve"> percentage-points</w:t>
      </w:r>
      <w:r w:rsidR="00097852" w:rsidRPr="00C951F0">
        <w:rPr>
          <w:color w:val="000000" w:themeColor="text1"/>
        </w:rPr>
        <w:t>,</w:t>
      </w:r>
      <w:r w:rsidRPr="00C951F0">
        <w:rPr>
          <w:color w:val="000000" w:themeColor="text1"/>
        </w:rPr>
        <w:t xml:space="preserve"> 95% CI</w:t>
      </w:r>
      <w:r w:rsidR="00E876F5" w:rsidRPr="00C951F0">
        <w:rPr>
          <w:color w:val="000000" w:themeColor="text1"/>
        </w:rPr>
        <w:t>,</w:t>
      </w:r>
      <w:r w:rsidRPr="00C951F0">
        <w:rPr>
          <w:color w:val="000000" w:themeColor="text1"/>
        </w:rPr>
        <w:t xml:space="preserve"> −4</w:t>
      </w:r>
      <w:r w:rsidR="00C5236B" w:rsidRPr="00C951F0">
        <w:rPr>
          <w:color w:val="000000" w:themeColor="text1"/>
        </w:rPr>
        <w:t>·</w:t>
      </w:r>
      <w:r w:rsidRPr="00C951F0">
        <w:rPr>
          <w:color w:val="000000" w:themeColor="text1"/>
        </w:rPr>
        <w:t>1</w:t>
      </w:r>
      <w:r w:rsidR="00E876F5" w:rsidRPr="00C951F0">
        <w:rPr>
          <w:color w:val="000000" w:themeColor="text1"/>
        </w:rPr>
        <w:t xml:space="preserve"> to</w:t>
      </w:r>
      <w:r w:rsidRPr="00C951F0">
        <w:rPr>
          <w:color w:val="000000" w:themeColor="text1"/>
        </w:rPr>
        <w:t xml:space="preserve"> −2</w:t>
      </w:r>
      <w:r w:rsidR="00C5236B" w:rsidRPr="00C951F0">
        <w:rPr>
          <w:color w:val="000000" w:themeColor="text1"/>
        </w:rPr>
        <w:t>·</w:t>
      </w:r>
      <w:r w:rsidRPr="00C951F0">
        <w:rPr>
          <w:color w:val="000000" w:themeColor="text1"/>
        </w:rPr>
        <w:t>1</w:t>
      </w:r>
      <w:r w:rsidR="00E876F5" w:rsidRPr="00C951F0">
        <w:rPr>
          <w:color w:val="000000" w:themeColor="text1"/>
        </w:rPr>
        <w:t>)</w:t>
      </w:r>
      <w:r w:rsidRPr="00C951F0">
        <w:rPr>
          <w:color w:val="000000" w:themeColor="text1"/>
        </w:rPr>
        <w:t xml:space="preserve"> </w:t>
      </w:r>
      <w:r w:rsidR="00E876F5" w:rsidRPr="00C951F0">
        <w:rPr>
          <w:color w:val="000000" w:themeColor="text1"/>
        </w:rPr>
        <w:t>(</w:t>
      </w:r>
      <w:r w:rsidR="005A23D1" w:rsidRPr="00C951F0">
        <w:rPr>
          <w:color w:val="000000" w:themeColor="text1"/>
        </w:rPr>
        <w:t>figure</w:t>
      </w:r>
      <w:r w:rsidR="005A23D1" w:rsidRPr="00C951F0" w:rsidDel="005A23D1">
        <w:rPr>
          <w:color w:val="000000" w:themeColor="text1"/>
        </w:rPr>
        <w:t xml:space="preserve"> </w:t>
      </w:r>
      <w:r w:rsidR="00CC150E">
        <w:rPr>
          <w:color w:val="000000" w:themeColor="text1"/>
        </w:rPr>
        <w:t>2</w:t>
      </w:r>
      <w:r w:rsidRPr="00C951F0">
        <w:rPr>
          <w:color w:val="000000" w:themeColor="text1"/>
        </w:rPr>
        <w:t>B).</w:t>
      </w:r>
    </w:p>
    <w:p w14:paraId="2081AB9B" w14:textId="18E8AAE3" w:rsidR="00B1644A" w:rsidRPr="00C951F0" w:rsidRDefault="00B1644A" w:rsidP="0039543A">
      <w:pPr>
        <w:rPr>
          <w:color w:val="000000" w:themeColor="text1"/>
        </w:rPr>
      </w:pPr>
      <w:r w:rsidRPr="00C951F0">
        <w:rPr>
          <w:color w:val="000000" w:themeColor="text1"/>
        </w:rPr>
        <w:lastRenderedPageBreak/>
        <w:t xml:space="preserve">Patients were more likely to achieve </w:t>
      </w:r>
      <w:r w:rsidRPr="00C951F0">
        <w:rPr>
          <w:rFonts w:cs="Arial"/>
          <w:color w:val="000000" w:themeColor="text1"/>
        </w:rPr>
        <w:t>≥</w:t>
      </w:r>
      <w:r w:rsidRPr="00C951F0">
        <w:rPr>
          <w:color w:val="000000" w:themeColor="text1"/>
        </w:rPr>
        <w:t xml:space="preserve">5% reduction in baseline body weight at week 68 </w:t>
      </w:r>
      <w:r w:rsidR="001335B4">
        <w:rPr>
          <w:color w:val="000000" w:themeColor="text1"/>
        </w:rPr>
        <w:t xml:space="preserve">(co-primary endpoint) </w:t>
      </w:r>
      <w:r w:rsidRPr="00C951F0">
        <w:rPr>
          <w:color w:val="000000" w:themeColor="text1"/>
        </w:rPr>
        <w:t>with semaglutide 2</w:t>
      </w:r>
      <w:r w:rsidR="00C5236B" w:rsidRPr="00C951F0">
        <w:rPr>
          <w:color w:val="000000" w:themeColor="text1"/>
        </w:rPr>
        <w:t>·</w:t>
      </w:r>
      <w:r w:rsidRPr="00C951F0">
        <w:rPr>
          <w:color w:val="000000" w:themeColor="text1"/>
        </w:rPr>
        <w:t xml:space="preserve">4 mg </w:t>
      </w:r>
      <w:r w:rsidR="0035067B">
        <w:rPr>
          <w:color w:val="000000" w:themeColor="text1"/>
        </w:rPr>
        <w:t>(68·8% [267/388]</w:t>
      </w:r>
      <w:r w:rsidR="00DB1537">
        <w:rPr>
          <w:color w:val="000000" w:themeColor="text1"/>
        </w:rPr>
        <w:t>)</w:t>
      </w:r>
      <w:r w:rsidR="0035067B">
        <w:rPr>
          <w:color w:val="000000" w:themeColor="text1"/>
        </w:rPr>
        <w:t xml:space="preserve"> </w:t>
      </w:r>
      <w:r w:rsidR="00BF42BE" w:rsidRPr="00C951F0">
        <w:rPr>
          <w:color w:val="000000" w:themeColor="text1"/>
        </w:rPr>
        <w:t>versus</w:t>
      </w:r>
      <w:r w:rsidRPr="00C951F0">
        <w:rPr>
          <w:color w:val="000000" w:themeColor="text1"/>
        </w:rPr>
        <w:t xml:space="preserve"> placebo (</w:t>
      </w:r>
      <w:r w:rsidR="00DB1537">
        <w:rPr>
          <w:color w:val="000000" w:themeColor="text1"/>
        </w:rPr>
        <w:t xml:space="preserve">28·5% [107/376]; </w:t>
      </w:r>
      <w:r w:rsidRPr="00C951F0">
        <w:rPr>
          <w:color w:val="000000" w:themeColor="text1"/>
        </w:rPr>
        <w:t>odds ratio for semaglutide 2</w:t>
      </w:r>
      <w:r w:rsidR="00C5236B" w:rsidRPr="00C951F0">
        <w:rPr>
          <w:color w:val="000000" w:themeColor="text1"/>
        </w:rPr>
        <w:t>·</w:t>
      </w:r>
      <w:r w:rsidRPr="00C951F0">
        <w:rPr>
          <w:color w:val="000000" w:themeColor="text1"/>
        </w:rPr>
        <w:t xml:space="preserve">4 mg </w:t>
      </w:r>
      <w:r w:rsidRPr="00C951F0">
        <w:rPr>
          <w:i/>
          <w:iCs/>
          <w:color w:val="000000" w:themeColor="text1"/>
        </w:rPr>
        <w:t>vs</w:t>
      </w:r>
      <w:r w:rsidR="00BF42BE" w:rsidRPr="00C951F0">
        <w:rPr>
          <w:color w:val="000000" w:themeColor="text1"/>
        </w:rPr>
        <w:t xml:space="preserve"> </w:t>
      </w:r>
      <w:r w:rsidRPr="00C951F0">
        <w:rPr>
          <w:color w:val="000000" w:themeColor="text1"/>
        </w:rPr>
        <w:t>placebo 4</w:t>
      </w:r>
      <w:r w:rsidR="00C5236B" w:rsidRPr="00C951F0">
        <w:rPr>
          <w:color w:val="000000" w:themeColor="text1"/>
        </w:rPr>
        <w:t>·</w:t>
      </w:r>
      <w:r w:rsidRPr="00C951F0">
        <w:rPr>
          <w:color w:val="000000" w:themeColor="text1"/>
        </w:rPr>
        <w:t>88</w:t>
      </w:r>
      <w:r w:rsidR="00097852" w:rsidRPr="00C951F0">
        <w:rPr>
          <w:color w:val="000000" w:themeColor="text1"/>
        </w:rPr>
        <w:t>,</w:t>
      </w:r>
      <w:r w:rsidRPr="00C951F0">
        <w:rPr>
          <w:color w:val="000000" w:themeColor="text1"/>
        </w:rPr>
        <w:t xml:space="preserve"> </w:t>
      </w:r>
      <w:r w:rsidR="0024449C" w:rsidRPr="00C951F0">
        <w:rPr>
          <w:color w:val="000000" w:themeColor="text1"/>
        </w:rPr>
        <w:t xml:space="preserve">95% CI, </w:t>
      </w:r>
      <w:r w:rsidRPr="00C951F0">
        <w:rPr>
          <w:color w:val="000000" w:themeColor="text1"/>
        </w:rPr>
        <w:t>3</w:t>
      </w:r>
      <w:r w:rsidR="00C5236B" w:rsidRPr="00C951F0">
        <w:rPr>
          <w:color w:val="000000" w:themeColor="text1"/>
        </w:rPr>
        <w:t>·</w:t>
      </w:r>
      <w:r w:rsidRPr="00C951F0">
        <w:rPr>
          <w:color w:val="000000" w:themeColor="text1"/>
        </w:rPr>
        <w:t>58</w:t>
      </w:r>
      <w:r w:rsidR="00E876F5" w:rsidRPr="00C951F0">
        <w:rPr>
          <w:color w:val="000000" w:themeColor="text1"/>
        </w:rPr>
        <w:t xml:space="preserve"> to</w:t>
      </w:r>
      <w:r w:rsidRPr="00C951F0">
        <w:rPr>
          <w:color w:val="000000" w:themeColor="text1"/>
        </w:rPr>
        <w:t xml:space="preserve"> 6</w:t>
      </w:r>
      <w:r w:rsidR="00C5236B" w:rsidRPr="00C951F0">
        <w:rPr>
          <w:color w:val="000000" w:themeColor="text1"/>
        </w:rPr>
        <w:t>·</w:t>
      </w:r>
      <w:r w:rsidRPr="00C951F0">
        <w:rPr>
          <w:color w:val="000000" w:themeColor="text1"/>
        </w:rPr>
        <w:t xml:space="preserve">64; </w:t>
      </w:r>
      <w:r w:rsidR="00097852" w:rsidRPr="00C951F0">
        <w:rPr>
          <w:color w:val="000000" w:themeColor="text1"/>
        </w:rPr>
        <w:t>p</w:t>
      </w:r>
      <w:r w:rsidRPr="00C951F0">
        <w:rPr>
          <w:color w:val="000000" w:themeColor="text1"/>
        </w:rPr>
        <w:t>&lt;0</w:t>
      </w:r>
      <w:r w:rsidR="00C5236B" w:rsidRPr="00C951F0">
        <w:rPr>
          <w:color w:val="000000" w:themeColor="text1"/>
        </w:rPr>
        <w:t>·</w:t>
      </w:r>
      <w:r w:rsidRPr="00C951F0">
        <w:rPr>
          <w:color w:val="000000" w:themeColor="text1"/>
        </w:rPr>
        <w:t xml:space="preserve">001; </w:t>
      </w:r>
      <w:r w:rsidR="0017439D">
        <w:rPr>
          <w:color w:val="000000" w:themeColor="text1"/>
        </w:rPr>
        <w:t>treatment policy estimand</w:t>
      </w:r>
      <w:r w:rsidR="00E876F5" w:rsidRPr="00C951F0">
        <w:rPr>
          <w:color w:val="000000" w:themeColor="text1"/>
        </w:rPr>
        <w:t>)</w:t>
      </w:r>
      <w:r w:rsidR="00DB1537">
        <w:rPr>
          <w:color w:val="000000" w:themeColor="text1"/>
        </w:rPr>
        <w:t xml:space="preserve"> or semaglutide </w:t>
      </w:r>
      <w:r w:rsidR="00DB1537" w:rsidRPr="00C951F0">
        <w:rPr>
          <w:color w:val="000000" w:themeColor="text1"/>
        </w:rPr>
        <w:t xml:space="preserve">1·0 mg </w:t>
      </w:r>
      <w:r w:rsidR="00DB1537">
        <w:rPr>
          <w:color w:val="000000" w:themeColor="text1"/>
        </w:rPr>
        <w:t xml:space="preserve">(57·1% [217/380]; </w:t>
      </w:r>
      <w:r w:rsidR="00DB1537" w:rsidRPr="00C951F0">
        <w:rPr>
          <w:color w:val="000000" w:themeColor="text1"/>
        </w:rPr>
        <w:t xml:space="preserve">odds ratio for semaglutide 2·4 mg </w:t>
      </w:r>
      <w:r w:rsidR="00DB1537" w:rsidRPr="00C951F0">
        <w:rPr>
          <w:i/>
          <w:iCs/>
          <w:color w:val="000000" w:themeColor="text1"/>
        </w:rPr>
        <w:t>vs</w:t>
      </w:r>
      <w:r w:rsidR="00DB1537" w:rsidRPr="00C951F0">
        <w:rPr>
          <w:color w:val="000000" w:themeColor="text1"/>
        </w:rPr>
        <w:t xml:space="preserve"> </w:t>
      </w:r>
      <w:r w:rsidR="00DB1537">
        <w:rPr>
          <w:color w:val="000000" w:themeColor="text1"/>
        </w:rPr>
        <w:t>1</w:t>
      </w:r>
      <w:r w:rsidR="00DB1537" w:rsidRPr="00C951F0">
        <w:rPr>
          <w:color w:val="000000" w:themeColor="text1"/>
        </w:rPr>
        <w:t>·</w:t>
      </w:r>
      <w:r w:rsidR="00DB1537">
        <w:rPr>
          <w:color w:val="000000" w:themeColor="text1"/>
        </w:rPr>
        <w:t>0 mg 1</w:t>
      </w:r>
      <w:r w:rsidR="00DB1537" w:rsidRPr="00C951F0">
        <w:rPr>
          <w:color w:val="000000" w:themeColor="text1"/>
        </w:rPr>
        <w:t>·</w:t>
      </w:r>
      <w:r w:rsidR="00DB1537">
        <w:rPr>
          <w:color w:val="000000" w:themeColor="text1"/>
        </w:rPr>
        <w:t>62</w:t>
      </w:r>
      <w:r w:rsidR="00DB1537" w:rsidRPr="00C951F0">
        <w:rPr>
          <w:color w:val="000000" w:themeColor="text1"/>
        </w:rPr>
        <w:t xml:space="preserve">, 95% CI, </w:t>
      </w:r>
      <w:r w:rsidR="00DB1537">
        <w:rPr>
          <w:color w:val="000000" w:themeColor="text1"/>
        </w:rPr>
        <w:t>1</w:t>
      </w:r>
      <w:r w:rsidR="00DB1537" w:rsidRPr="00C951F0">
        <w:rPr>
          <w:color w:val="000000" w:themeColor="text1"/>
        </w:rPr>
        <w:t>·</w:t>
      </w:r>
      <w:r w:rsidR="00DB1537">
        <w:rPr>
          <w:color w:val="000000" w:themeColor="text1"/>
        </w:rPr>
        <w:t>21</w:t>
      </w:r>
      <w:r w:rsidR="00DB1537" w:rsidRPr="00C951F0">
        <w:rPr>
          <w:color w:val="000000" w:themeColor="text1"/>
        </w:rPr>
        <w:t xml:space="preserve"> to</w:t>
      </w:r>
      <w:r w:rsidR="00DB1537">
        <w:rPr>
          <w:color w:val="000000" w:themeColor="text1"/>
        </w:rPr>
        <w:t xml:space="preserve"> 2</w:t>
      </w:r>
      <w:r w:rsidR="00DB1537" w:rsidRPr="00C951F0">
        <w:rPr>
          <w:color w:val="000000" w:themeColor="text1"/>
        </w:rPr>
        <w:t>·</w:t>
      </w:r>
      <w:r w:rsidR="00DB1537">
        <w:rPr>
          <w:color w:val="000000" w:themeColor="text1"/>
        </w:rPr>
        <w:t>18</w:t>
      </w:r>
      <w:r w:rsidR="00DB1537" w:rsidRPr="00C951F0">
        <w:rPr>
          <w:color w:val="000000" w:themeColor="text1"/>
        </w:rPr>
        <w:t>;</w:t>
      </w:r>
      <w:r w:rsidR="00DB1537">
        <w:rPr>
          <w:color w:val="000000" w:themeColor="text1"/>
        </w:rPr>
        <w:t xml:space="preserve"> p=0.0012; </w:t>
      </w:r>
      <w:r w:rsidR="0017439D">
        <w:rPr>
          <w:color w:val="000000" w:themeColor="text1"/>
        </w:rPr>
        <w:t>treatment policy estimand</w:t>
      </w:r>
      <w:r w:rsidR="00DB1537">
        <w:rPr>
          <w:color w:val="000000" w:themeColor="text1"/>
        </w:rPr>
        <w:t>)</w:t>
      </w:r>
      <w:r w:rsidRPr="00C951F0">
        <w:rPr>
          <w:color w:val="000000" w:themeColor="text1"/>
        </w:rPr>
        <w:t xml:space="preserve"> </w:t>
      </w:r>
      <w:r w:rsidR="00E876F5" w:rsidRPr="00C951F0">
        <w:rPr>
          <w:color w:val="000000" w:themeColor="text1"/>
        </w:rPr>
        <w:t>(</w:t>
      </w:r>
      <w:r w:rsidR="005A23D1" w:rsidRPr="00C951F0">
        <w:rPr>
          <w:color w:val="000000" w:themeColor="text1"/>
        </w:rPr>
        <w:t>figure</w:t>
      </w:r>
      <w:r w:rsidR="005A23D1" w:rsidRPr="00C951F0" w:rsidDel="005A23D1">
        <w:rPr>
          <w:color w:val="000000" w:themeColor="text1"/>
        </w:rPr>
        <w:t xml:space="preserve"> </w:t>
      </w:r>
      <w:r w:rsidR="00CC150E">
        <w:rPr>
          <w:color w:val="000000" w:themeColor="text1"/>
        </w:rPr>
        <w:t>2</w:t>
      </w:r>
      <w:r w:rsidRPr="00C951F0">
        <w:rPr>
          <w:color w:val="000000" w:themeColor="text1"/>
        </w:rPr>
        <w:t xml:space="preserve">C). Similarly, more patients achieved reductions of </w:t>
      </w:r>
      <w:r w:rsidRPr="00C951F0">
        <w:rPr>
          <w:rFonts w:cs="Arial"/>
          <w:color w:val="000000" w:themeColor="text1"/>
        </w:rPr>
        <w:t>≥</w:t>
      </w:r>
      <w:r w:rsidRPr="00C951F0">
        <w:rPr>
          <w:color w:val="000000" w:themeColor="text1"/>
        </w:rPr>
        <w:t>10%</w:t>
      </w:r>
      <w:r w:rsidR="002E36FC" w:rsidRPr="00C951F0">
        <w:rPr>
          <w:color w:val="000000" w:themeColor="text1"/>
        </w:rPr>
        <w:t>,</w:t>
      </w:r>
      <w:r w:rsidRPr="00C951F0">
        <w:rPr>
          <w:color w:val="000000" w:themeColor="text1"/>
        </w:rPr>
        <w:t xml:space="preserve"> ≥15%</w:t>
      </w:r>
      <w:r w:rsidR="0024449C" w:rsidRPr="00C951F0">
        <w:rPr>
          <w:color w:val="000000" w:themeColor="text1"/>
        </w:rPr>
        <w:t>,</w:t>
      </w:r>
      <w:r w:rsidRPr="00C951F0">
        <w:rPr>
          <w:color w:val="000000" w:themeColor="text1"/>
        </w:rPr>
        <w:t xml:space="preserve"> </w:t>
      </w:r>
      <w:r w:rsidR="002E36FC" w:rsidRPr="00C951F0">
        <w:rPr>
          <w:color w:val="000000" w:themeColor="text1"/>
        </w:rPr>
        <w:t xml:space="preserve">and ≥20% </w:t>
      </w:r>
      <w:r w:rsidRPr="00C951F0">
        <w:rPr>
          <w:color w:val="000000" w:themeColor="text1"/>
        </w:rPr>
        <w:t>at week 68 with semaglutide 2</w:t>
      </w:r>
      <w:r w:rsidR="00C5236B" w:rsidRPr="00C951F0">
        <w:rPr>
          <w:color w:val="000000" w:themeColor="text1"/>
        </w:rPr>
        <w:t>·</w:t>
      </w:r>
      <w:r w:rsidRPr="00C951F0">
        <w:rPr>
          <w:color w:val="000000" w:themeColor="text1"/>
        </w:rPr>
        <w:t xml:space="preserve">4 mg </w:t>
      </w:r>
      <w:r w:rsidR="00BF42BE" w:rsidRPr="00C951F0">
        <w:rPr>
          <w:color w:val="000000" w:themeColor="text1"/>
        </w:rPr>
        <w:t>versus</w:t>
      </w:r>
      <w:r w:rsidRPr="00C951F0">
        <w:rPr>
          <w:color w:val="000000" w:themeColor="text1"/>
        </w:rPr>
        <w:t xml:space="preserve"> 1</w:t>
      </w:r>
      <w:r w:rsidR="00C5236B" w:rsidRPr="00C951F0">
        <w:rPr>
          <w:color w:val="000000" w:themeColor="text1"/>
        </w:rPr>
        <w:t>·</w:t>
      </w:r>
      <w:r w:rsidRPr="00C951F0">
        <w:rPr>
          <w:color w:val="000000" w:themeColor="text1"/>
        </w:rPr>
        <w:t>0 mg or placebo (</w:t>
      </w:r>
      <w:r w:rsidR="00BC4C09" w:rsidRPr="00C951F0">
        <w:rPr>
          <w:color w:val="000000" w:themeColor="text1"/>
        </w:rPr>
        <w:t xml:space="preserve">≥20% threshold not part of statistical testing hierarchy; </w:t>
      </w:r>
      <w:r w:rsidR="005A23D1" w:rsidRPr="00C951F0">
        <w:rPr>
          <w:color w:val="000000" w:themeColor="text1"/>
        </w:rPr>
        <w:t>figures</w:t>
      </w:r>
      <w:r w:rsidRPr="00C951F0">
        <w:rPr>
          <w:color w:val="000000" w:themeColor="text1"/>
        </w:rPr>
        <w:t xml:space="preserve"> </w:t>
      </w:r>
      <w:r w:rsidR="00CC150E">
        <w:rPr>
          <w:color w:val="000000" w:themeColor="text1"/>
        </w:rPr>
        <w:t>2</w:t>
      </w:r>
      <w:r w:rsidRPr="00C951F0">
        <w:rPr>
          <w:color w:val="000000" w:themeColor="text1"/>
        </w:rPr>
        <w:t xml:space="preserve">C and </w:t>
      </w:r>
      <w:r w:rsidR="00CC150E">
        <w:rPr>
          <w:color w:val="000000" w:themeColor="text1"/>
        </w:rPr>
        <w:t>2</w:t>
      </w:r>
      <w:r w:rsidRPr="00C951F0">
        <w:rPr>
          <w:color w:val="000000" w:themeColor="text1"/>
        </w:rPr>
        <w:t>D).</w:t>
      </w:r>
    </w:p>
    <w:p w14:paraId="29A1194D" w14:textId="30F079F1" w:rsidR="00B1644A" w:rsidRPr="00C951F0" w:rsidRDefault="00D12997" w:rsidP="00FD3AF7">
      <w:pPr>
        <w:pStyle w:val="Heading3"/>
        <w:rPr>
          <w:bCs/>
          <w:color w:val="000000" w:themeColor="text1"/>
        </w:rPr>
      </w:pPr>
      <w:r w:rsidRPr="00C951F0">
        <w:rPr>
          <w:b/>
          <w:bCs/>
          <w:color w:val="000000" w:themeColor="text1"/>
        </w:rPr>
        <w:t xml:space="preserve">Cardiometabolic </w:t>
      </w:r>
      <w:r w:rsidR="002D5524">
        <w:rPr>
          <w:b/>
          <w:bCs/>
          <w:color w:val="000000" w:themeColor="text1"/>
        </w:rPr>
        <w:t>risk factors</w:t>
      </w:r>
    </w:p>
    <w:p w14:paraId="24545719" w14:textId="5857D531" w:rsidR="00B1644A" w:rsidRPr="00C951F0" w:rsidRDefault="00B1644A" w:rsidP="0039543A">
      <w:pPr>
        <w:rPr>
          <w:color w:val="000000" w:themeColor="text1"/>
        </w:rPr>
      </w:pPr>
      <w:r w:rsidRPr="00C951F0">
        <w:rPr>
          <w:color w:val="000000" w:themeColor="text1"/>
        </w:rPr>
        <w:t xml:space="preserve">Benefits significantly </w:t>
      </w:r>
      <w:proofErr w:type="spellStart"/>
      <w:r w:rsidRPr="00C951F0">
        <w:rPr>
          <w:color w:val="000000" w:themeColor="text1"/>
        </w:rPr>
        <w:t>favo</w:t>
      </w:r>
      <w:r w:rsidR="00CC150E">
        <w:rPr>
          <w:color w:val="000000" w:themeColor="text1"/>
        </w:rPr>
        <w:t>u</w:t>
      </w:r>
      <w:r w:rsidRPr="00C951F0">
        <w:rPr>
          <w:color w:val="000000" w:themeColor="text1"/>
        </w:rPr>
        <w:t>ring</w:t>
      </w:r>
      <w:proofErr w:type="spellEnd"/>
      <w:r w:rsidRPr="00C951F0">
        <w:rPr>
          <w:color w:val="000000" w:themeColor="text1"/>
        </w:rPr>
        <w:t xml:space="preserve"> semaglutide 2</w:t>
      </w:r>
      <w:r w:rsidR="00C5236B" w:rsidRPr="00C951F0">
        <w:rPr>
          <w:color w:val="000000" w:themeColor="text1"/>
        </w:rPr>
        <w:t>·</w:t>
      </w:r>
      <w:r w:rsidRPr="00C951F0">
        <w:rPr>
          <w:color w:val="000000" w:themeColor="text1"/>
        </w:rPr>
        <w:t xml:space="preserve">4 mg </w:t>
      </w:r>
      <w:r w:rsidR="00BF42BE" w:rsidRPr="00C951F0">
        <w:rPr>
          <w:color w:val="000000" w:themeColor="text1"/>
        </w:rPr>
        <w:t>versus</w:t>
      </w:r>
      <w:r w:rsidRPr="00C951F0">
        <w:rPr>
          <w:color w:val="000000" w:themeColor="text1"/>
        </w:rPr>
        <w:t xml:space="preserve"> placebo were seen for changes in waist circumference and systolic blood pressur</w:t>
      </w:r>
      <w:r w:rsidRPr="00C951F0">
        <w:rPr>
          <w:rFonts w:cs="Arial"/>
          <w:color w:val="000000" w:themeColor="text1"/>
        </w:rPr>
        <w:t>e</w:t>
      </w:r>
      <w:r w:rsidRPr="00C951F0">
        <w:rPr>
          <w:color w:val="000000" w:themeColor="text1"/>
        </w:rPr>
        <w:t xml:space="preserve"> (</w:t>
      </w:r>
      <w:r w:rsidR="005A23D1" w:rsidRPr="00C951F0">
        <w:rPr>
          <w:color w:val="000000" w:themeColor="text1"/>
        </w:rPr>
        <w:t xml:space="preserve">table </w:t>
      </w:r>
      <w:r w:rsidRPr="00C951F0">
        <w:rPr>
          <w:color w:val="000000" w:themeColor="text1"/>
        </w:rPr>
        <w:t xml:space="preserve">2; </w:t>
      </w:r>
      <w:r w:rsidR="005A23D1" w:rsidRPr="00C951F0">
        <w:rPr>
          <w:color w:val="000000" w:themeColor="text1"/>
        </w:rPr>
        <w:t>figure</w:t>
      </w:r>
      <w:r w:rsidR="005A23D1" w:rsidRPr="00C951F0" w:rsidDel="005A23D1">
        <w:rPr>
          <w:color w:val="000000" w:themeColor="text1"/>
        </w:rPr>
        <w:t xml:space="preserve"> </w:t>
      </w:r>
      <w:r w:rsidR="00CC150E">
        <w:rPr>
          <w:color w:val="000000" w:themeColor="text1"/>
        </w:rPr>
        <w:t>3</w:t>
      </w:r>
      <w:r w:rsidRPr="00C951F0">
        <w:rPr>
          <w:color w:val="000000" w:themeColor="text1"/>
        </w:rPr>
        <w:t xml:space="preserve">A, B; </w:t>
      </w:r>
      <w:r w:rsidR="005A23D1" w:rsidRPr="00C951F0">
        <w:rPr>
          <w:color w:val="000000" w:themeColor="text1"/>
        </w:rPr>
        <w:t>figures</w:t>
      </w:r>
      <w:r w:rsidR="0024449C" w:rsidRPr="00C951F0">
        <w:rPr>
          <w:color w:val="000000" w:themeColor="text1"/>
        </w:rPr>
        <w:t xml:space="preserve"> S</w:t>
      </w:r>
      <w:r w:rsidR="00CC150E">
        <w:rPr>
          <w:color w:val="000000" w:themeColor="text1"/>
        </w:rPr>
        <w:t>3</w:t>
      </w:r>
      <w:r w:rsidR="0024449C" w:rsidRPr="00C951F0">
        <w:rPr>
          <w:color w:val="000000" w:themeColor="text1"/>
        </w:rPr>
        <w:t xml:space="preserve">A, B in the </w:t>
      </w:r>
      <w:r w:rsidRPr="00C951F0">
        <w:rPr>
          <w:color w:val="000000" w:themeColor="text1"/>
        </w:rPr>
        <w:t>Supplementary Appendix</w:t>
      </w:r>
      <w:r w:rsidR="00832ED4" w:rsidRPr="00C951F0">
        <w:rPr>
          <w:color w:val="000000" w:themeColor="text1"/>
        </w:rPr>
        <w:t xml:space="preserve"> [</w:t>
      </w:r>
      <w:r w:rsidR="00832ED4" w:rsidRPr="001140AC">
        <w:rPr>
          <w:color w:val="000000" w:themeColor="text1"/>
        </w:rPr>
        <w:t>p 1</w:t>
      </w:r>
      <w:r w:rsidR="001140AC">
        <w:rPr>
          <w:color w:val="000000" w:themeColor="text1"/>
        </w:rPr>
        <w:t>7</w:t>
      </w:r>
      <w:r w:rsidR="00832ED4" w:rsidRPr="00C951F0">
        <w:rPr>
          <w:color w:val="000000" w:themeColor="text1"/>
        </w:rPr>
        <w:t>]</w:t>
      </w:r>
      <w:r w:rsidRPr="00C951F0">
        <w:rPr>
          <w:color w:val="000000" w:themeColor="text1"/>
        </w:rPr>
        <w:t>). Improvements were also noted in lipid profile and inflammatory markers (</w:t>
      </w:r>
      <w:r w:rsidR="005A23D1" w:rsidRPr="00C951F0">
        <w:rPr>
          <w:color w:val="000000" w:themeColor="text1"/>
        </w:rPr>
        <w:t xml:space="preserve">table </w:t>
      </w:r>
      <w:r w:rsidRPr="00C951F0">
        <w:rPr>
          <w:color w:val="000000" w:themeColor="text1"/>
        </w:rPr>
        <w:t xml:space="preserve">2). </w:t>
      </w:r>
      <w:r w:rsidRPr="00C951F0" w:rsidDel="00CB2F2C">
        <w:rPr>
          <w:color w:val="000000" w:themeColor="text1"/>
        </w:rPr>
        <w:t xml:space="preserve">Data for </w:t>
      </w:r>
      <w:r w:rsidRPr="00C951F0">
        <w:rPr>
          <w:color w:val="000000" w:themeColor="text1"/>
        </w:rPr>
        <w:t xml:space="preserve">confirmatory secondary endpoints and </w:t>
      </w:r>
      <w:r w:rsidRPr="00C951F0" w:rsidDel="00CB2F2C">
        <w:rPr>
          <w:color w:val="000000" w:themeColor="text1"/>
        </w:rPr>
        <w:t xml:space="preserve">exploratory endpoints </w:t>
      </w:r>
      <w:r w:rsidRPr="00C951F0">
        <w:rPr>
          <w:color w:val="000000" w:themeColor="text1"/>
        </w:rPr>
        <w:t xml:space="preserve">of interest </w:t>
      </w:r>
      <w:r w:rsidRPr="00C951F0" w:rsidDel="00CB2F2C">
        <w:rPr>
          <w:color w:val="000000" w:themeColor="text1"/>
        </w:rPr>
        <w:t xml:space="preserve">are presented in </w:t>
      </w:r>
      <w:r w:rsidR="005A23D1" w:rsidRPr="00C951F0">
        <w:rPr>
          <w:color w:val="000000" w:themeColor="text1"/>
        </w:rPr>
        <w:t xml:space="preserve">table </w:t>
      </w:r>
      <w:r w:rsidRPr="00C951F0">
        <w:rPr>
          <w:color w:val="000000" w:themeColor="text1"/>
        </w:rPr>
        <w:t xml:space="preserve">2 </w:t>
      </w:r>
      <w:r w:rsidR="000A4BD1" w:rsidRPr="00C951F0">
        <w:rPr>
          <w:color w:val="000000" w:themeColor="text1"/>
        </w:rPr>
        <w:t>(see also</w:t>
      </w:r>
      <w:r w:rsidR="0024449C" w:rsidRPr="00C951F0">
        <w:rPr>
          <w:color w:val="000000" w:themeColor="text1"/>
        </w:rPr>
        <w:t xml:space="preserve"> </w:t>
      </w:r>
      <w:r w:rsidR="005A23D1" w:rsidRPr="00C951F0">
        <w:rPr>
          <w:color w:val="000000" w:themeColor="text1"/>
        </w:rPr>
        <w:t xml:space="preserve">table </w:t>
      </w:r>
      <w:r w:rsidR="0024449C" w:rsidRPr="00C951F0">
        <w:rPr>
          <w:color w:val="000000" w:themeColor="text1"/>
        </w:rPr>
        <w:t xml:space="preserve">S2 in the </w:t>
      </w:r>
      <w:r w:rsidRPr="00C951F0">
        <w:rPr>
          <w:color w:val="000000" w:themeColor="text1"/>
        </w:rPr>
        <w:t>Supplementary Appendix</w:t>
      </w:r>
      <w:r w:rsidR="00832ED4" w:rsidRPr="00C951F0">
        <w:rPr>
          <w:color w:val="000000" w:themeColor="text1"/>
        </w:rPr>
        <w:t xml:space="preserve"> [</w:t>
      </w:r>
      <w:r w:rsidR="00832ED4" w:rsidRPr="0066565B">
        <w:rPr>
          <w:color w:val="000000" w:themeColor="text1"/>
        </w:rPr>
        <w:t xml:space="preserve">pp </w:t>
      </w:r>
      <w:r w:rsidR="0066565B" w:rsidRPr="00031B6A">
        <w:rPr>
          <w:color w:val="000000" w:themeColor="text1"/>
        </w:rPr>
        <w:t>9</w:t>
      </w:r>
      <w:r w:rsidR="00832ED4" w:rsidRPr="00031B6A">
        <w:rPr>
          <w:color w:val="000000" w:themeColor="text1"/>
        </w:rPr>
        <w:t>-13</w:t>
      </w:r>
      <w:r w:rsidR="00832ED4" w:rsidRPr="00C951F0">
        <w:rPr>
          <w:color w:val="000000" w:themeColor="text1"/>
        </w:rPr>
        <w:t>]</w:t>
      </w:r>
      <w:r w:rsidR="000A4BD1" w:rsidRPr="00C951F0">
        <w:rPr>
          <w:color w:val="000000" w:themeColor="text1"/>
        </w:rPr>
        <w:t>)</w:t>
      </w:r>
      <w:r w:rsidRPr="00C951F0" w:rsidDel="00CB2F2C">
        <w:rPr>
          <w:color w:val="000000" w:themeColor="text1"/>
        </w:rPr>
        <w:t>.</w:t>
      </w:r>
    </w:p>
    <w:p w14:paraId="529E0F6E" w14:textId="613B97EE" w:rsidR="00B1644A" w:rsidRPr="00C951F0" w:rsidRDefault="00D12997" w:rsidP="00FD3AF7">
      <w:pPr>
        <w:pStyle w:val="Heading3"/>
        <w:rPr>
          <w:bCs/>
          <w:color w:val="000000" w:themeColor="text1"/>
        </w:rPr>
      </w:pPr>
      <w:r w:rsidRPr="00C951F0">
        <w:rPr>
          <w:b/>
          <w:bCs/>
          <w:color w:val="000000" w:themeColor="text1"/>
        </w:rPr>
        <w:t xml:space="preserve">Glycated </w:t>
      </w:r>
      <w:proofErr w:type="spellStart"/>
      <w:r w:rsidRPr="00C951F0">
        <w:rPr>
          <w:b/>
          <w:bCs/>
          <w:color w:val="000000" w:themeColor="text1"/>
        </w:rPr>
        <w:t>haemoglobin</w:t>
      </w:r>
      <w:proofErr w:type="spellEnd"/>
    </w:p>
    <w:p w14:paraId="14C2D564" w14:textId="0918DD39" w:rsidR="00B1644A" w:rsidRPr="0037035E" w:rsidRDefault="00B1644A" w:rsidP="0039543A">
      <w:pPr>
        <w:rPr>
          <w:color w:val="000000" w:themeColor="text1"/>
        </w:rPr>
      </w:pPr>
      <w:bookmarkStart w:id="17" w:name="_Hlk49950601"/>
      <w:r w:rsidRPr="00C951F0">
        <w:rPr>
          <w:color w:val="000000" w:themeColor="text1"/>
        </w:rPr>
        <w:t>HbA</w:t>
      </w:r>
      <w:r w:rsidRPr="00C951F0">
        <w:rPr>
          <w:color w:val="000000" w:themeColor="text1"/>
          <w:vertAlign w:val="subscript"/>
        </w:rPr>
        <w:t>1c</w:t>
      </w:r>
      <w:r w:rsidRPr="00C951F0">
        <w:rPr>
          <w:color w:val="000000" w:themeColor="text1"/>
        </w:rPr>
        <w:t xml:space="preserve"> improved from baseline to week 68 by –1</w:t>
      </w:r>
      <w:r w:rsidR="00C5236B" w:rsidRPr="00C951F0">
        <w:rPr>
          <w:color w:val="000000" w:themeColor="text1"/>
        </w:rPr>
        <w:t>·</w:t>
      </w:r>
      <w:r w:rsidRPr="00C951F0">
        <w:rPr>
          <w:color w:val="000000" w:themeColor="text1"/>
        </w:rPr>
        <w:t>6%</w:t>
      </w:r>
      <w:r w:rsidR="0017439D">
        <w:rPr>
          <w:color w:val="000000" w:themeColor="text1"/>
        </w:rPr>
        <w:t xml:space="preserve"> (SE 0.1)</w:t>
      </w:r>
      <w:r w:rsidRPr="00C951F0">
        <w:rPr>
          <w:color w:val="000000" w:themeColor="text1"/>
        </w:rPr>
        <w:t>, –1</w:t>
      </w:r>
      <w:r w:rsidR="00C5236B" w:rsidRPr="00C951F0">
        <w:rPr>
          <w:color w:val="000000" w:themeColor="text1"/>
        </w:rPr>
        <w:t>·</w:t>
      </w:r>
      <w:r w:rsidRPr="00C951F0">
        <w:rPr>
          <w:color w:val="000000" w:themeColor="text1"/>
        </w:rPr>
        <w:t>5%</w:t>
      </w:r>
      <w:r w:rsidR="0017439D">
        <w:rPr>
          <w:color w:val="000000" w:themeColor="text1"/>
        </w:rPr>
        <w:t xml:space="preserve"> (SE 0.1)</w:t>
      </w:r>
      <w:r w:rsidR="0024449C" w:rsidRPr="00C951F0">
        <w:rPr>
          <w:color w:val="000000" w:themeColor="text1"/>
        </w:rPr>
        <w:t>,</w:t>
      </w:r>
      <w:r w:rsidRPr="00C951F0">
        <w:rPr>
          <w:color w:val="000000" w:themeColor="text1"/>
        </w:rPr>
        <w:t xml:space="preserve"> and –0</w:t>
      </w:r>
      <w:r w:rsidR="00C5236B" w:rsidRPr="00C951F0">
        <w:rPr>
          <w:color w:val="000000" w:themeColor="text1"/>
        </w:rPr>
        <w:t>·</w:t>
      </w:r>
      <w:r w:rsidRPr="00C951F0">
        <w:rPr>
          <w:color w:val="000000" w:themeColor="text1"/>
        </w:rPr>
        <w:t xml:space="preserve">4% </w:t>
      </w:r>
      <w:r w:rsidR="0017439D">
        <w:rPr>
          <w:color w:val="000000" w:themeColor="text1"/>
        </w:rPr>
        <w:t xml:space="preserve">(SE 0.1) </w:t>
      </w:r>
      <w:r w:rsidRPr="00C951F0">
        <w:rPr>
          <w:color w:val="000000" w:themeColor="text1"/>
        </w:rPr>
        <w:t>with semaglutide 2</w:t>
      </w:r>
      <w:r w:rsidR="00C5236B" w:rsidRPr="00C951F0">
        <w:rPr>
          <w:color w:val="000000" w:themeColor="text1"/>
        </w:rPr>
        <w:t>·</w:t>
      </w:r>
      <w:r w:rsidRPr="00C951F0">
        <w:rPr>
          <w:color w:val="000000" w:themeColor="text1"/>
        </w:rPr>
        <w:t>4 mg, 1</w:t>
      </w:r>
      <w:r w:rsidR="00C5236B" w:rsidRPr="00C951F0">
        <w:rPr>
          <w:color w:val="000000" w:themeColor="text1"/>
        </w:rPr>
        <w:t>·</w:t>
      </w:r>
      <w:r w:rsidRPr="00C951F0">
        <w:rPr>
          <w:color w:val="000000" w:themeColor="text1"/>
        </w:rPr>
        <w:t>0 mg, and placebo, respectively (</w:t>
      </w:r>
      <w:bookmarkEnd w:id="17"/>
      <w:r w:rsidR="005A23D1" w:rsidRPr="00C951F0">
        <w:rPr>
          <w:color w:val="000000" w:themeColor="text1"/>
        </w:rPr>
        <w:t xml:space="preserve">table </w:t>
      </w:r>
      <w:r w:rsidRPr="00C951F0">
        <w:rPr>
          <w:color w:val="000000" w:themeColor="text1"/>
        </w:rPr>
        <w:t xml:space="preserve">2; </w:t>
      </w:r>
      <w:r w:rsidR="005A23D1" w:rsidRPr="00C951F0">
        <w:rPr>
          <w:color w:val="000000" w:themeColor="text1"/>
        </w:rPr>
        <w:t>figure</w:t>
      </w:r>
      <w:r w:rsidR="005A23D1" w:rsidRPr="00C951F0" w:rsidDel="005A23D1">
        <w:rPr>
          <w:color w:val="000000" w:themeColor="text1"/>
        </w:rPr>
        <w:t xml:space="preserve"> </w:t>
      </w:r>
      <w:r w:rsidR="00CC150E">
        <w:rPr>
          <w:color w:val="000000" w:themeColor="text1"/>
        </w:rPr>
        <w:t>3</w:t>
      </w:r>
      <w:r w:rsidRPr="00C951F0">
        <w:rPr>
          <w:color w:val="000000" w:themeColor="text1"/>
        </w:rPr>
        <w:t xml:space="preserve">C; </w:t>
      </w:r>
      <w:r w:rsidR="005A23D1" w:rsidRPr="00C951F0">
        <w:rPr>
          <w:color w:val="000000" w:themeColor="text1"/>
        </w:rPr>
        <w:t>figure</w:t>
      </w:r>
      <w:r w:rsidR="005A23D1" w:rsidRPr="00C951F0" w:rsidDel="005A23D1">
        <w:rPr>
          <w:color w:val="000000" w:themeColor="text1"/>
        </w:rPr>
        <w:t xml:space="preserve"> </w:t>
      </w:r>
      <w:r w:rsidR="0024449C" w:rsidRPr="00C951F0">
        <w:rPr>
          <w:color w:val="000000" w:themeColor="text1"/>
        </w:rPr>
        <w:t>S</w:t>
      </w:r>
      <w:r w:rsidR="00CC150E">
        <w:rPr>
          <w:color w:val="000000" w:themeColor="text1"/>
        </w:rPr>
        <w:t>3</w:t>
      </w:r>
      <w:r w:rsidR="0024449C" w:rsidRPr="00C951F0">
        <w:rPr>
          <w:color w:val="000000" w:themeColor="text1"/>
        </w:rPr>
        <w:t xml:space="preserve">C in the </w:t>
      </w:r>
      <w:r w:rsidRPr="00C951F0">
        <w:rPr>
          <w:color w:val="000000" w:themeColor="text1"/>
        </w:rPr>
        <w:t>Supplementary Appendix</w:t>
      </w:r>
      <w:r w:rsidR="00554670" w:rsidRPr="00C951F0">
        <w:rPr>
          <w:color w:val="000000" w:themeColor="text1"/>
        </w:rPr>
        <w:t xml:space="preserve"> [p 1</w:t>
      </w:r>
      <w:r w:rsidR="0066565B">
        <w:rPr>
          <w:color w:val="000000" w:themeColor="text1"/>
        </w:rPr>
        <w:t>7</w:t>
      </w:r>
      <w:r w:rsidR="00554670" w:rsidRPr="00C951F0">
        <w:rPr>
          <w:color w:val="000000" w:themeColor="text1"/>
        </w:rPr>
        <w:t>]</w:t>
      </w:r>
      <w:r w:rsidRPr="00C951F0">
        <w:rPr>
          <w:color w:val="000000" w:themeColor="text1"/>
        </w:rPr>
        <w:t>). The proportion of patients in each group who achieved HbA</w:t>
      </w:r>
      <w:r w:rsidRPr="00C951F0">
        <w:rPr>
          <w:color w:val="000000" w:themeColor="text1"/>
          <w:vertAlign w:val="subscript"/>
        </w:rPr>
        <w:t>1c</w:t>
      </w:r>
      <w:r w:rsidRPr="00C951F0">
        <w:rPr>
          <w:color w:val="000000" w:themeColor="text1"/>
        </w:rPr>
        <w:t xml:space="preserve"> levels </w:t>
      </w:r>
      <w:r w:rsidRPr="00C951F0">
        <w:rPr>
          <w:rFonts w:cs="Arial"/>
          <w:color w:val="000000" w:themeColor="text1"/>
        </w:rPr>
        <w:t>≤</w:t>
      </w:r>
      <w:r w:rsidRPr="00C951F0">
        <w:rPr>
          <w:color w:val="000000" w:themeColor="text1"/>
        </w:rPr>
        <w:t>6</w:t>
      </w:r>
      <w:r w:rsidR="00C5236B" w:rsidRPr="00C951F0">
        <w:rPr>
          <w:color w:val="000000" w:themeColor="text1"/>
        </w:rPr>
        <w:t>·</w:t>
      </w:r>
      <w:r w:rsidRPr="00C951F0">
        <w:rPr>
          <w:color w:val="000000" w:themeColor="text1"/>
        </w:rPr>
        <w:t xml:space="preserve">5% and </w:t>
      </w:r>
      <w:r w:rsidRPr="00C951F0">
        <w:rPr>
          <w:rFonts w:cs="Arial"/>
          <w:color w:val="000000" w:themeColor="text1"/>
        </w:rPr>
        <w:t>&lt;</w:t>
      </w:r>
      <w:r w:rsidRPr="00C951F0">
        <w:rPr>
          <w:color w:val="000000" w:themeColor="text1"/>
        </w:rPr>
        <w:t>7</w:t>
      </w:r>
      <w:r w:rsidR="00C5236B" w:rsidRPr="00C951F0">
        <w:rPr>
          <w:color w:val="000000" w:themeColor="text1"/>
        </w:rPr>
        <w:t>·</w:t>
      </w:r>
      <w:r w:rsidRPr="00C951F0">
        <w:rPr>
          <w:color w:val="000000" w:themeColor="text1"/>
        </w:rPr>
        <w:t xml:space="preserve">0% at week 68 are shown in </w:t>
      </w:r>
      <w:r w:rsidR="005A23D1" w:rsidRPr="00C951F0">
        <w:rPr>
          <w:color w:val="000000" w:themeColor="text1"/>
        </w:rPr>
        <w:t xml:space="preserve">figure </w:t>
      </w:r>
      <w:r w:rsidRPr="00C951F0">
        <w:rPr>
          <w:color w:val="000000" w:themeColor="text1"/>
        </w:rPr>
        <w:t xml:space="preserve">2D </w:t>
      </w:r>
      <w:r w:rsidR="000A4BD1" w:rsidRPr="00C951F0">
        <w:rPr>
          <w:color w:val="000000" w:themeColor="text1"/>
        </w:rPr>
        <w:t xml:space="preserve">(see also </w:t>
      </w:r>
      <w:r w:rsidR="005A23D1" w:rsidRPr="00C951F0">
        <w:rPr>
          <w:color w:val="000000" w:themeColor="text1"/>
        </w:rPr>
        <w:t xml:space="preserve">figure </w:t>
      </w:r>
      <w:r w:rsidR="0024449C" w:rsidRPr="00C951F0">
        <w:rPr>
          <w:color w:val="000000" w:themeColor="text1"/>
        </w:rPr>
        <w:t>S</w:t>
      </w:r>
      <w:r w:rsidR="00CC150E">
        <w:rPr>
          <w:color w:val="000000" w:themeColor="text1"/>
        </w:rPr>
        <w:t>3</w:t>
      </w:r>
      <w:r w:rsidR="0024449C" w:rsidRPr="00C951F0">
        <w:rPr>
          <w:color w:val="000000" w:themeColor="text1"/>
        </w:rPr>
        <w:t xml:space="preserve">D in the </w:t>
      </w:r>
      <w:r w:rsidRPr="00C951F0">
        <w:rPr>
          <w:color w:val="000000" w:themeColor="text1"/>
        </w:rPr>
        <w:t xml:space="preserve">Supplementary </w:t>
      </w:r>
      <w:r w:rsidR="000A4BD1" w:rsidRPr="00C951F0">
        <w:rPr>
          <w:color w:val="000000" w:themeColor="text1"/>
        </w:rPr>
        <w:t>Appendix</w:t>
      </w:r>
      <w:r w:rsidR="00554670" w:rsidRPr="00C951F0">
        <w:rPr>
          <w:color w:val="000000" w:themeColor="text1"/>
        </w:rPr>
        <w:t xml:space="preserve"> [p 1</w:t>
      </w:r>
      <w:r w:rsidR="0066565B">
        <w:rPr>
          <w:color w:val="000000" w:themeColor="text1"/>
        </w:rPr>
        <w:t>7</w:t>
      </w:r>
      <w:r w:rsidR="00554670" w:rsidRPr="00C951F0">
        <w:rPr>
          <w:color w:val="000000" w:themeColor="text1"/>
        </w:rPr>
        <w:t>]</w:t>
      </w:r>
      <w:r w:rsidR="000A4BD1" w:rsidRPr="00C951F0">
        <w:rPr>
          <w:color w:val="000000" w:themeColor="text1"/>
        </w:rPr>
        <w:t>)</w:t>
      </w:r>
      <w:r w:rsidRPr="00C951F0">
        <w:rPr>
          <w:color w:val="000000" w:themeColor="text1"/>
        </w:rPr>
        <w:t xml:space="preserve">. Improvement in </w:t>
      </w:r>
      <w:r w:rsidRPr="0037035E">
        <w:rPr>
          <w:color w:val="000000" w:themeColor="text1"/>
        </w:rPr>
        <w:t xml:space="preserve">fasting plasma glucose was observed for both semaglutide arms </w:t>
      </w:r>
      <w:r w:rsidR="00BF42BE" w:rsidRPr="0037035E">
        <w:rPr>
          <w:color w:val="000000" w:themeColor="text1"/>
        </w:rPr>
        <w:t>versus</w:t>
      </w:r>
      <w:r w:rsidRPr="0037035E">
        <w:rPr>
          <w:color w:val="000000" w:themeColor="text1"/>
        </w:rPr>
        <w:t xml:space="preserve"> placebo (</w:t>
      </w:r>
      <w:r w:rsidR="005A23D1" w:rsidRPr="0037035E">
        <w:rPr>
          <w:color w:val="000000" w:themeColor="text1"/>
        </w:rPr>
        <w:t xml:space="preserve">table </w:t>
      </w:r>
      <w:r w:rsidRPr="0037035E">
        <w:rPr>
          <w:color w:val="000000" w:themeColor="text1"/>
        </w:rPr>
        <w:t>2). A decrease in use of concomitant glucose</w:t>
      </w:r>
      <w:r w:rsidR="0024449C" w:rsidRPr="0037035E">
        <w:rPr>
          <w:color w:val="000000" w:themeColor="text1"/>
        </w:rPr>
        <w:t>-</w:t>
      </w:r>
      <w:r w:rsidRPr="0037035E">
        <w:rPr>
          <w:color w:val="000000" w:themeColor="text1"/>
        </w:rPr>
        <w:t xml:space="preserve">lowering medication </w:t>
      </w:r>
      <w:r w:rsidR="00560C5B" w:rsidRPr="0037035E">
        <w:rPr>
          <w:color w:val="000000" w:themeColor="text1"/>
        </w:rPr>
        <w:t>(</w:t>
      </w:r>
      <w:r w:rsidR="005A74CD" w:rsidRPr="0037035E">
        <w:t>reduction, change in product or stopping the medication</w:t>
      </w:r>
      <w:r w:rsidR="00560C5B" w:rsidRPr="0037035E">
        <w:rPr>
          <w:color w:val="000000" w:themeColor="text1"/>
        </w:rPr>
        <w:t xml:space="preserve">) </w:t>
      </w:r>
      <w:r w:rsidRPr="0037035E">
        <w:rPr>
          <w:color w:val="000000" w:themeColor="text1"/>
        </w:rPr>
        <w:t>was reported in 2</w:t>
      </w:r>
      <w:r w:rsidR="00171AC0" w:rsidRPr="0037035E">
        <w:rPr>
          <w:color w:val="000000" w:themeColor="text1"/>
        </w:rPr>
        <w:t>8</w:t>
      </w:r>
      <w:r w:rsidR="00C5236B" w:rsidRPr="0037035E">
        <w:rPr>
          <w:color w:val="000000" w:themeColor="text1"/>
        </w:rPr>
        <w:t>·</w:t>
      </w:r>
      <w:r w:rsidR="00171AC0" w:rsidRPr="0037035E">
        <w:rPr>
          <w:color w:val="000000" w:themeColor="text1"/>
        </w:rPr>
        <w:t>6</w:t>
      </w:r>
      <w:r w:rsidRPr="0037035E">
        <w:rPr>
          <w:color w:val="000000" w:themeColor="text1"/>
        </w:rPr>
        <w:t>%</w:t>
      </w:r>
      <w:r w:rsidR="00DB1537" w:rsidRPr="0037035E">
        <w:rPr>
          <w:color w:val="000000" w:themeColor="text1"/>
        </w:rPr>
        <w:t xml:space="preserve"> (106/3</w:t>
      </w:r>
      <w:r w:rsidR="00171AC0" w:rsidRPr="0037035E">
        <w:rPr>
          <w:color w:val="000000" w:themeColor="text1"/>
        </w:rPr>
        <w:t>7</w:t>
      </w:r>
      <w:r w:rsidR="00DB1537" w:rsidRPr="0037035E">
        <w:rPr>
          <w:color w:val="000000" w:themeColor="text1"/>
        </w:rPr>
        <w:t>1)</w:t>
      </w:r>
      <w:r w:rsidRPr="0037035E">
        <w:rPr>
          <w:color w:val="000000" w:themeColor="text1"/>
        </w:rPr>
        <w:t>, 2</w:t>
      </w:r>
      <w:r w:rsidR="00174DB6" w:rsidRPr="0037035E">
        <w:rPr>
          <w:color w:val="000000" w:themeColor="text1"/>
        </w:rPr>
        <w:t>5</w:t>
      </w:r>
      <w:r w:rsidR="00C5236B" w:rsidRPr="0037035E">
        <w:rPr>
          <w:color w:val="000000" w:themeColor="text1"/>
        </w:rPr>
        <w:t>·</w:t>
      </w:r>
      <w:r w:rsidR="00174DB6" w:rsidRPr="0037035E">
        <w:rPr>
          <w:color w:val="000000" w:themeColor="text1"/>
        </w:rPr>
        <w:t>1</w:t>
      </w:r>
      <w:r w:rsidRPr="0037035E">
        <w:rPr>
          <w:color w:val="000000" w:themeColor="text1"/>
        </w:rPr>
        <w:t>%</w:t>
      </w:r>
      <w:r w:rsidR="00DB1537" w:rsidRPr="0037035E">
        <w:rPr>
          <w:color w:val="000000" w:themeColor="text1"/>
        </w:rPr>
        <w:t xml:space="preserve"> (93/38</w:t>
      </w:r>
      <w:r w:rsidR="00174DB6" w:rsidRPr="0037035E">
        <w:rPr>
          <w:color w:val="000000" w:themeColor="text1"/>
        </w:rPr>
        <w:t>1</w:t>
      </w:r>
      <w:r w:rsidR="00DB1537" w:rsidRPr="0037035E">
        <w:rPr>
          <w:color w:val="000000" w:themeColor="text1"/>
        </w:rPr>
        <w:t>)</w:t>
      </w:r>
      <w:r w:rsidRPr="0037035E">
        <w:rPr>
          <w:color w:val="000000" w:themeColor="text1"/>
        </w:rPr>
        <w:t xml:space="preserve">, and </w:t>
      </w:r>
      <w:r w:rsidR="00DB1537" w:rsidRPr="0037035E">
        <w:rPr>
          <w:color w:val="000000" w:themeColor="text1"/>
        </w:rPr>
        <w:t>(26/3</w:t>
      </w:r>
      <w:r w:rsidR="00174DB6" w:rsidRPr="0037035E">
        <w:rPr>
          <w:color w:val="000000" w:themeColor="text1"/>
        </w:rPr>
        <w:t>64</w:t>
      </w:r>
      <w:r w:rsidR="00DB1537" w:rsidRPr="0037035E">
        <w:rPr>
          <w:color w:val="000000" w:themeColor="text1"/>
        </w:rPr>
        <w:t xml:space="preserve">) </w:t>
      </w:r>
      <w:r w:rsidR="00174DB6" w:rsidRPr="0037035E">
        <w:rPr>
          <w:color w:val="000000" w:themeColor="text1"/>
        </w:rPr>
        <w:t>7</w:t>
      </w:r>
      <w:r w:rsidR="00C5236B" w:rsidRPr="0037035E">
        <w:rPr>
          <w:color w:val="000000" w:themeColor="text1"/>
        </w:rPr>
        <w:t>·</w:t>
      </w:r>
      <w:r w:rsidR="00174DB6" w:rsidRPr="0037035E">
        <w:rPr>
          <w:color w:val="000000" w:themeColor="text1"/>
        </w:rPr>
        <w:t>1</w:t>
      </w:r>
      <w:r w:rsidRPr="0037035E">
        <w:rPr>
          <w:color w:val="000000" w:themeColor="text1"/>
        </w:rPr>
        <w:t>% of patients receiving semaglutide 2</w:t>
      </w:r>
      <w:r w:rsidR="00C5236B" w:rsidRPr="0037035E">
        <w:rPr>
          <w:color w:val="000000" w:themeColor="text1"/>
        </w:rPr>
        <w:t>·</w:t>
      </w:r>
      <w:r w:rsidRPr="0037035E">
        <w:rPr>
          <w:color w:val="000000" w:themeColor="text1"/>
        </w:rPr>
        <w:t>4 mg, 1</w:t>
      </w:r>
      <w:r w:rsidR="00C5236B" w:rsidRPr="0037035E">
        <w:rPr>
          <w:color w:val="000000" w:themeColor="text1"/>
        </w:rPr>
        <w:t>·</w:t>
      </w:r>
      <w:r w:rsidRPr="0037035E">
        <w:rPr>
          <w:color w:val="000000" w:themeColor="text1"/>
        </w:rPr>
        <w:t>0 mg</w:t>
      </w:r>
      <w:r w:rsidR="0024449C" w:rsidRPr="0037035E">
        <w:rPr>
          <w:color w:val="000000" w:themeColor="text1"/>
        </w:rPr>
        <w:t>,</w:t>
      </w:r>
      <w:r w:rsidRPr="0037035E">
        <w:rPr>
          <w:color w:val="000000" w:themeColor="text1"/>
        </w:rPr>
        <w:t xml:space="preserve"> and placebo, respectively.</w:t>
      </w:r>
    </w:p>
    <w:p w14:paraId="11811C6C" w14:textId="6C9046DB" w:rsidR="00B1644A" w:rsidRPr="0037035E" w:rsidRDefault="00D12997" w:rsidP="00FD3AF7">
      <w:pPr>
        <w:pStyle w:val="Heading3"/>
        <w:rPr>
          <w:bCs/>
          <w:color w:val="000000" w:themeColor="text1"/>
        </w:rPr>
      </w:pPr>
      <w:r w:rsidRPr="0037035E">
        <w:rPr>
          <w:b/>
          <w:bCs/>
          <w:color w:val="000000" w:themeColor="text1"/>
        </w:rPr>
        <w:lastRenderedPageBreak/>
        <w:t>Physical functioning</w:t>
      </w:r>
    </w:p>
    <w:p w14:paraId="212C0C77" w14:textId="3B312321" w:rsidR="00B1644A" w:rsidRPr="00C951F0" w:rsidRDefault="00B1644A" w:rsidP="0039543A">
      <w:pPr>
        <w:rPr>
          <w:color w:val="000000" w:themeColor="text1"/>
        </w:rPr>
      </w:pPr>
      <w:r w:rsidRPr="0037035E">
        <w:rPr>
          <w:color w:val="000000" w:themeColor="text1"/>
        </w:rPr>
        <w:t>Improvements in SF-36 physical functioning score and IWQOL-Lite-CT physical function</w:t>
      </w:r>
      <w:r w:rsidRPr="00C951F0">
        <w:rPr>
          <w:color w:val="000000" w:themeColor="text1"/>
        </w:rPr>
        <w:t xml:space="preserve"> score were observed with semaglutide 2</w:t>
      </w:r>
      <w:r w:rsidR="00C5236B" w:rsidRPr="00C951F0">
        <w:rPr>
          <w:color w:val="000000" w:themeColor="text1"/>
        </w:rPr>
        <w:t>·</w:t>
      </w:r>
      <w:r w:rsidRPr="00C951F0">
        <w:rPr>
          <w:color w:val="000000" w:themeColor="text1"/>
        </w:rPr>
        <w:t>4 mg relative to placebo (</w:t>
      </w:r>
      <w:r w:rsidR="005A23D1" w:rsidRPr="00C951F0">
        <w:rPr>
          <w:color w:val="000000" w:themeColor="text1"/>
        </w:rPr>
        <w:t>figure</w:t>
      </w:r>
      <w:r w:rsidRPr="00C951F0">
        <w:rPr>
          <w:color w:val="000000" w:themeColor="text1"/>
        </w:rPr>
        <w:t xml:space="preserve">s </w:t>
      </w:r>
      <w:r w:rsidR="00CC150E">
        <w:rPr>
          <w:color w:val="000000" w:themeColor="text1"/>
        </w:rPr>
        <w:t>3</w:t>
      </w:r>
      <w:r w:rsidRPr="00C951F0">
        <w:rPr>
          <w:color w:val="000000" w:themeColor="text1"/>
        </w:rPr>
        <w:t xml:space="preserve">E, </w:t>
      </w:r>
      <w:r w:rsidR="00CC150E">
        <w:rPr>
          <w:color w:val="000000" w:themeColor="text1"/>
        </w:rPr>
        <w:t>3</w:t>
      </w:r>
      <w:r w:rsidRPr="00C951F0">
        <w:rPr>
          <w:color w:val="000000" w:themeColor="text1"/>
        </w:rPr>
        <w:t xml:space="preserve">F; </w:t>
      </w:r>
      <w:r w:rsidR="005A23D1" w:rsidRPr="00C951F0">
        <w:rPr>
          <w:color w:val="000000" w:themeColor="text1"/>
        </w:rPr>
        <w:t>figure</w:t>
      </w:r>
      <w:r w:rsidR="0024449C" w:rsidRPr="00C951F0">
        <w:rPr>
          <w:color w:val="000000" w:themeColor="text1"/>
        </w:rPr>
        <w:t>s S</w:t>
      </w:r>
      <w:r w:rsidR="00CC150E">
        <w:rPr>
          <w:color w:val="000000" w:themeColor="text1"/>
        </w:rPr>
        <w:t>3</w:t>
      </w:r>
      <w:r w:rsidR="0024449C" w:rsidRPr="00C951F0">
        <w:rPr>
          <w:color w:val="000000" w:themeColor="text1"/>
        </w:rPr>
        <w:t>E, S</w:t>
      </w:r>
      <w:r w:rsidR="00CC150E">
        <w:rPr>
          <w:color w:val="000000" w:themeColor="text1"/>
        </w:rPr>
        <w:t>3</w:t>
      </w:r>
      <w:r w:rsidR="0024449C" w:rsidRPr="00C951F0">
        <w:rPr>
          <w:color w:val="000000" w:themeColor="text1"/>
        </w:rPr>
        <w:t>F, S</w:t>
      </w:r>
      <w:r w:rsidR="00CC150E">
        <w:rPr>
          <w:color w:val="000000" w:themeColor="text1"/>
        </w:rPr>
        <w:t>4</w:t>
      </w:r>
      <w:r w:rsidR="0024449C" w:rsidRPr="00C951F0">
        <w:rPr>
          <w:color w:val="000000" w:themeColor="text1"/>
        </w:rPr>
        <w:t xml:space="preserve"> in the </w:t>
      </w:r>
      <w:r w:rsidRPr="00C951F0">
        <w:rPr>
          <w:color w:val="000000" w:themeColor="text1"/>
        </w:rPr>
        <w:t>Supplementary Appendix</w:t>
      </w:r>
      <w:r w:rsidR="00554670" w:rsidRPr="00C951F0">
        <w:rPr>
          <w:color w:val="000000" w:themeColor="text1"/>
        </w:rPr>
        <w:t xml:space="preserve"> [</w:t>
      </w:r>
      <w:r w:rsidR="00554670" w:rsidRPr="0066565B">
        <w:rPr>
          <w:color w:val="000000" w:themeColor="text1"/>
        </w:rPr>
        <w:t xml:space="preserve">pp </w:t>
      </w:r>
      <w:r w:rsidR="0066565B" w:rsidRPr="0087110E">
        <w:rPr>
          <w:color w:val="000000" w:themeColor="text1"/>
        </w:rPr>
        <w:t>17-</w:t>
      </w:r>
      <w:r w:rsidR="00554670" w:rsidRPr="0066565B">
        <w:rPr>
          <w:color w:val="000000" w:themeColor="text1"/>
        </w:rPr>
        <w:t>20</w:t>
      </w:r>
      <w:r w:rsidR="00554670" w:rsidRPr="00C951F0">
        <w:rPr>
          <w:color w:val="000000" w:themeColor="text1"/>
        </w:rPr>
        <w:t>]</w:t>
      </w:r>
      <w:r w:rsidRPr="00C951F0">
        <w:rPr>
          <w:color w:val="000000" w:themeColor="text1"/>
        </w:rPr>
        <w:t>).</w:t>
      </w:r>
    </w:p>
    <w:p w14:paraId="31E6F1AC" w14:textId="40F8428A" w:rsidR="00B1644A" w:rsidRPr="00C951F0" w:rsidRDefault="00D12997" w:rsidP="00FD3AF7">
      <w:pPr>
        <w:pStyle w:val="Heading3"/>
        <w:rPr>
          <w:bCs/>
          <w:color w:val="000000" w:themeColor="text1"/>
        </w:rPr>
      </w:pPr>
      <w:r w:rsidRPr="00C951F0">
        <w:rPr>
          <w:b/>
          <w:bCs/>
          <w:color w:val="000000" w:themeColor="text1"/>
        </w:rPr>
        <w:t>Safety and tolerability</w:t>
      </w:r>
    </w:p>
    <w:p w14:paraId="03D20F0E" w14:textId="0E8B4C2C" w:rsidR="00B1644A" w:rsidRPr="00C951F0" w:rsidRDefault="00B1644A" w:rsidP="0039543A">
      <w:pPr>
        <w:rPr>
          <w:color w:val="000000" w:themeColor="text1"/>
        </w:rPr>
      </w:pPr>
      <w:bookmarkStart w:id="18" w:name="_Hlk58488132"/>
      <w:r w:rsidRPr="00C951F0">
        <w:rPr>
          <w:color w:val="000000" w:themeColor="text1"/>
        </w:rPr>
        <w:t>The proportion of patients reporting adverse events was 87</w:t>
      </w:r>
      <w:r w:rsidR="00C5236B" w:rsidRPr="00C951F0">
        <w:rPr>
          <w:color w:val="000000" w:themeColor="text1"/>
        </w:rPr>
        <w:t>·</w:t>
      </w:r>
      <w:r w:rsidRPr="00C951F0">
        <w:rPr>
          <w:color w:val="000000" w:themeColor="text1"/>
        </w:rPr>
        <w:t>6%</w:t>
      </w:r>
      <w:r w:rsidR="00DB1537">
        <w:rPr>
          <w:color w:val="000000" w:themeColor="text1"/>
        </w:rPr>
        <w:t xml:space="preserve"> (353/403)</w:t>
      </w:r>
      <w:r w:rsidRPr="00C951F0">
        <w:rPr>
          <w:color w:val="000000" w:themeColor="text1"/>
        </w:rPr>
        <w:t>, 81</w:t>
      </w:r>
      <w:r w:rsidR="00C5236B" w:rsidRPr="00C951F0">
        <w:rPr>
          <w:color w:val="000000" w:themeColor="text1"/>
        </w:rPr>
        <w:t>·</w:t>
      </w:r>
      <w:r w:rsidRPr="00C951F0">
        <w:rPr>
          <w:color w:val="000000" w:themeColor="text1"/>
        </w:rPr>
        <w:t>8%</w:t>
      </w:r>
      <w:r w:rsidR="00DB1537">
        <w:rPr>
          <w:color w:val="000000" w:themeColor="text1"/>
        </w:rPr>
        <w:t xml:space="preserve"> (329/402)</w:t>
      </w:r>
      <w:r w:rsidR="0024449C" w:rsidRPr="00C951F0">
        <w:rPr>
          <w:color w:val="000000" w:themeColor="text1"/>
        </w:rPr>
        <w:t>,</w:t>
      </w:r>
      <w:r w:rsidRPr="00C951F0">
        <w:rPr>
          <w:color w:val="000000" w:themeColor="text1"/>
        </w:rPr>
        <w:t xml:space="preserve"> and 76</w:t>
      </w:r>
      <w:r w:rsidR="00C5236B" w:rsidRPr="00C951F0">
        <w:rPr>
          <w:color w:val="000000" w:themeColor="text1"/>
        </w:rPr>
        <w:t>·</w:t>
      </w:r>
      <w:r w:rsidRPr="00C951F0">
        <w:rPr>
          <w:color w:val="000000" w:themeColor="text1"/>
        </w:rPr>
        <w:t>9%</w:t>
      </w:r>
      <w:r w:rsidR="00DB1537">
        <w:rPr>
          <w:color w:val="000000" w:themeColor="text1"/>
        </w:rPr>
        <w:t xml:space="preserve"> (309/402)</w:t>
      </w:r>
      <w:r w:rsidRPr="00C951F0">
        <w:rPr>
          <w:color w:val="000000" w:themeColor="text1"/>
        </w:rPr>
        <w:t xml:space="preserve"> in the semaglutide 2</w:t>
      </w:r>
      <w:r w:rsidR="00C5236B" w:rsidRPr="00C951F0">
        <w:rPr>
          <w:color w:val="000000" w:themeColor="text1"/>
        </w:rPr>
        <w:t>·</w:t>
      </w:r>
      <w:r w:rsidRPr="00C951F0">
        <w:rPr>
          <w:color w:val="000000" w:themeColor="text1"/>
        </w:rPr>
        <w:t>4 mg, 1</w:t>
      </w:r>
      <w:r w:rsidR="00C5236B" w:rsidRPr="00C951F0">
        <w:rPr>
          <w:color w:val="000000" w:themeColor="text1"/>
        </w:rPr>
        <w:t>·</w:t>
      </w:r>
      <w:r w:rsidRPr="00C951F0">
        <w:rPr>
          <w:color w:val="000000" w:themeColor="text1"/>
        </w:rPr>
        <w:t>0 mg</w:t>
      </w:r>
      <w:r w:rsidR="0024449C" w:rsidRPr="00C951F0">
        <w:rPr>
          <w:color w:val="000000" w:themeColor="text1"/>
        </w:rPr>
        <w:t>,</w:t>
      </w:r>
      <w:r w:rsidRPr="00C951F0">
        <w:rPr>
          <w:color w:val="000000" w:themeColor="text1"/>
        </w:rPr>
        <w:t xml:space="preserve"> and placebo groups, respectively </w:t>
      </w:r>
      <w:bookmarkEnd w:id="18"/>
      <w:r w:rsidRPr="00C951F0">
        <w:rPr>
          <w:color w:val="000000" w:themeColor="text1"/>
        </w:rPr>
        <w:t>(</w:t>
      </w:r>
      <w:r w:rsidR="005A23D1" w:rsidRPr="00C951F0">
        <w:rPr>
          <w:color w:val="000000" w:themeColor="text1"/>
        </w:rPr>
        <w:t xml:space="preserve">table </w:t>
      </w:r>
      <w:r w:rsidRPr="00C951F0">
        <w:rPr>
          <w:color w:val="000000" w:themeColor="text1"/>
        </w:rPr>
        <w:t xml:space="preserve">3). Gastrointestinal disorders were the most frequently reported events. The most common gastrointestinal events were nausea, vomiting, </w:t>
      </w:r>
      <w:proofErr w:type="spellStart"/>
      <w:r w:rsidR="00097852" w:rsidRPr="00C951F0">
        <w:rPr>
          <w:color w:val="000000" w:themeColor="text1"/>
        </w:rPr>
        <w:t>diarrhoea</w:t>
      </w:r>
      <w:proofErr w:type="spellEnd"/>
      <w:r w:rsidR="0024449C" w:rsidRPr="00C951F0">
        <w:rPr>
          <w:color w:val="000000" w:themeColor="text1"/>
        </w:rPr>
        <w:t>,</w:t>
      </w:r>
      <w:r w:rsidRPr="00C951F0">
        <w:rPr>
          <w:color w:val="000000" w:themeColor="text1"/>
        </w:rPr>
        <w:t xml:space="preserve"> and constipation, mostly mild–moderate in severity and transient (</w:t>
      </w:r>
      <w:r w:rsidR="005A23D1" w:rsidRPr="00C951F0">
        <w:rPr>
          <w:color w:val="000000" w:themeColor="text1"/>
        </w:rPr>
        <w:t>figure</w:t>
      </w:r>
      <w:r w:rsidR="005A23D1" w:rsidRPr="00C951F0" w:rsidDel="005A23D1">
        <w:rPr>
          <w:color w:val="000000" w:themeColor="text1"/>
        </w:rPr>
        <w:t xml:space="preserve"> </w:t>
      </w:r>
      <w:r w:rsidR="0024449C" w:rsidRPr="00C951F0">
        <w:rPr>
          <w:color w:val="000000" w:themeColor="text1"/>
        </w:rPr>
        <w:t>S</w:t>
      </w:r>
      <w:r w:rsidR="00CC150E">
        <w:rPr>
          <w:color w:val="000000" w:themeColor="text1"/>
        </w:rPr>
        <w:t>5</w:t>
      </w:r>
      <w:r w:rsidR="0024449C" w:rsidRPr="00C951F0">
        <w:rPr>
          <w:color w:val="000000" w:themeColor="text1"/>
        </w:rPr>
        <w:t xml:space="preserve"> in the </w:t>
      </w:r>
      <w:r w:rsidRPr="00C951F0">
        <w:rPr>
          <w:color w:val="000000" w:themeColor="text1"/>
        </w:rPr>
        <w:t>Supplementary Appendix</w:t>
      </w:r>
      <w:r w:rsidR="00554670" w:rsidRPr="00C951F0">
        <w:rPr>
          <w:color w:val="000000" w:themeColor="text1"/>
        </w:rPr>
        <w:t xml:space="preserve"> [p2</w:t>
      </w:r>
      <w:r w:rsidR="0066565B">
        <w:rPr>
          <w:color w:val="000000" w:themeColor="text1"/>
        </w:rPr>
        <w:t>2</w:t>
      </w:r>
      <w:r w:rsidR="00554670" w:rsidRPr="00C951F0">
        <w:rPr>
          <w:color w:val="000000" w:themeColor="text1"/>
        </w:rPr>
        <w:t>]</w:t>
      </w:r>
      <w:r w:rsidRPr="00C951F0">
        <w:rPr>
          <w:color w:val="000000" w:themeColor="text1"/>
        </w:rPr>
        <w:t xml:space="preserve">). The majority of patients continued </w:t>
      </w:r>
      <w:r w:rsidR="0024449C" w:rsidRPr="00C951F0">
        <w:rPr>
          <w:color w:val="000000" w:themeColor="text1"/>
        </w:rPr>
        <w:t xml:space="preserve">the </w:t>
      </w:r>
      <w:r w:rsidRPr="00C951F0">
        <w:rPr>
          <w:color w:val="000000" w:themeColor="text1"/>
        </w:rPr>
        <w:t>trial product and recovered. Serious adverse events were reported in 9</w:t>
      </w:r>
      <w:r w:rsidR="00C5236B" w:rsidRPr="00C951F0">
        <w:rPr>
          <w:color w:val="000000" w:themeColor="text1"/>
        </w:rPr>
        <w:t>·</w:t>
      </w:r>
      <w:r w:rsidRPr="00C951F0">
        <w:rPr>
          <w:color w:val="000000" w:themeColor="text1"/>
        </w:rPr>
        <w:t>9%</w:t>
      </w:r>
      <w:r w:rsidR="0052387D" w:rsidRPr="0052387D">
        <w:rPr>
          <w:color w:val="000000" w:themeColor="text1"/>
        </w:rPr>
        <w:t xml:space="preserve"> (40/403)</w:t>
      </w:r>
      <w:r w:rsidRPr="00C951F0">
        <w:rPr>
          <w:color w:val="000000" w:themeColor="text1"/>
        </w:rPr>
        <w:t>, 7</w:t>
      </w:r>
      <w:r w:rsidR="00C5236B" w:rsidRPr="00C951F0">
        <w:rPr>
          <w:color w:val="000000" w:themeColor="text1"/>
        </w:rPr>
        <w:t>·</w:t>
      </w:r>
      <w:r w:rsidRPr="00C951F0">
        <w:rPr>
          <w:color w:val="000000" w:themeColor="text1"/>
        </w:rPr>
        <w:t>7%</w:t>
      </w:r>
      <w:r w:rsidR="0052387D">
        <w:rPr>
          <w:color w:val="000000" w:themeColor="text1"/>
        </w:rPr>
        <w:t xml:space="preserve"> (31/402)</w:t>
      </w:r>
      <w:r w:rsidRPr="00C951F0">
        <w:rPr>
          <w:color w:val="000000" w:themeColor="text1"/>
        </w:rPr>
        <w:t>, and 9</w:t>
      </w:r>
      <w:r w:rsidR="00C5236B" w:rsidRPr="00C951F0">
        <w:rPr>
          <w:color w:val="000000" w:themeColor="text1"/>
        </w:rPr>
        <w:t>·</w:t>
      </w:r>
      <w:r w:rsidRPr="00C951F0">
        <w:rPr>
          <w:color w:val="000000" w:themeColor="text1"/>
        </w:rPr>
        <w:t>2%</w:t>
      </w:r>
      <w:r w:rsidR="0052387D" w:rsidRPr="00C951F0">
        <w:rPr>
          <w:color w:val="000000" w:themeColor="text1"/>
        </w:rPr>
        <w:t xml:space="preserve"> </w:t>
      </w:r>
      <w:r w:rsidR="0052387D">
        <w:rPr>
          <w:color w:val="000000" w:themeColor="text1"/>
        </w:rPr>
        <w:t>(37/402)</w:t>
      </w:r>
      <w:r w:rsidRPr="00C951F0">
        <w:rPr>
          <w:color w:val="000000" w:themeColor="text1"/>
        </w:rPr>
        <w:t xml:space="preserve"> of patients in the semaglutide 2</w:t>
      </w:r>
      <w:r w:rsidR="00C5236B" w:rsidRPr="00C951F0">
        <w:rPr>
          <w:color w:val="000000" w:themeColor="text1"/>
        </w:rPr>
        <w:t>·</w:t>
      </w:r>
      <w:r w:rsidRPr="00C951F0">
        <w:rPr>
          <w:color w:val="000000" w:themeColor="text1"/>
        </w:rPr>
        <w:t>4 mg, 1</w:t>
      </w:r>
      <w:r w:rsidR="00C5236B" w:rsidRPr="00C951F0">
        <w:rPr>
          <w:color w:val="000000" w:themeColor="text1"/>
        </w:rPr>
        <w:t>·</w:t>
      </w:r>
      <w:r w:rsidRPr="00C951F0">
        <w:rPr>
          <w:color w:val="000000" w:themeColor="text1"/>
        </w:rPr>
        <w:t xml:space="preserve">0 mg, and placebo groups, respectively. </w:t>
      </w:r>
      <w:r w:rsidR="00767398" w:rsidRPr="00C951F0">
        <w:rPr>
          <w:color w:val="000000" w:themeColor="text1"/>
        </w:rPr>
        <w:t xml:space="preserve">One death was reported in each group. </w:t>
      </w:r>
      <w:r w:rsidRPr="00C951F0">
        <w:rPr>
          <w:color w:val="000000" w:themeColor="text1"/>
        </w:rPr>
        <w:t>More patients</w:t>
      </w:r>
      <w:r w:rsidR="000A4BD1" w:rsidRPr="00C951F0">
        <w:rPr>
          <w:color w:val="000000" w:themeColor="text1"/>
        </w:rPr>
        <w:t xml:space="preserve"> </w:t>
      </w:r>
      <w:r w:rsidR="00002E30" w:rsidRPr="00C951F0">
        <w:rPr>
          <w:color w:val="000000" w:themeColor="text1"/>
        </w:rPr>
        <w:t>receiving</w:t>
      </w:r>
      <w:r w:rsidR="000A4BD1" w:rsidRPr="00C951F0">
        <w:rPr>
          <w:color w:val="000000" w:themeColor="text1"/>
        </w:rPr>
        <w:t xml:space="preserve"> semaglutide</w:t>
      </w:r>
      <w:r w:rsidRPr="00C951F0">
        <w:rPr>
          <w:color w:val="000000" w:themeColor="text1"/>
        </w:rPr>
        <w:t xml:space="preserve"> discontinued treatment due to adverse events, mainly due to gastrointestinal events (</w:t>
      </w:r>
      <w:r w:rsidR="005A23D1" w:rsidRPr="00C951F0">
        <w:rPr>
          <w:color w:val="000000" w:themeColor="text1"/>
        </w:rPr>
        <w:t>figure</w:t>
      </w:r>
      <w:r w:rsidR="005A23D1" w:rsidRPr="00C951F0" w:rsidDel="005A23D1">
        <w:rPr>
          <w:color w:val="000000" w:themeColor="text1"/>
        </w:rPr>
        <w:t xml:space="preserve"> </w:t>
      </w:r>
      <w:r w:rsidR="0024449C" w:rsidRPr="00C951F0">
        <w:rPr>
          <w:color w:val="000000" w:themeColor="text1"/>
        </w:rPr>
        <w:t>S</w:t>
      </w:r>
      <w:r w:rsidR="00CC150E">
        <w:rPr>
          <w:color w:val="000000" w:themeColor="text1"/>
        </w:rPr>
        <w:t>6</w:t>
      </w:r>
      <w:r w:rsidR="0024449C" w:rsidRPr="00C951F0">
        <w:rPr>
          <w:color w:val="000000" w:themeColor="text1"/>
        </w:rPr>
        <w:t xml:space="preserve"> in the </w:t>
      </w:r>
      <w:r w:rsidRPr="00C951F0">
        <w:rPr>
          <w:color w:val="000000" w:themeColor="text1"/>
        </w:rPr>
        <w:t>Supplementary Appendix</w:t>
      </w:r>
      <w:r w:rsidR="00554670" w:rsidRPr="00C951F0">
        <w:rPr>
          <w:color w:val="000000" w:themeColor="text1"/>
        </w:rPr>
        <w:t xml:space="preserve"> [p 2</w:t>
      </w:r>
      <w:r w:rsidR="0066565B">
        <w:rPr>
          <w:color w:val="000000" w:themeColor="text1"/>
        </w:rPr>
        <w:t>3</w:t>
      </w:r>
      <w:r w:rsidR="00554670" w:rsidRPr="00C951F0">
        <w:rPr>
          <w:color w:val="000000" w:themeColor="text1"/>
        </w:rPr>
        <w:t>]</w:t>
      </w:r>
      <w:r w:rsidRPr="00C951F0">
        <w:rPr>
          <w:color w:val="000000" w:themeColor="text1"/>
        </w:rPr>
        <w:t xml:space="preserve">). A decrease </w:t>
      </w:r>
      <w:r w:rsidR="003E73C6" w:rsidRPr="00C951F0">
        <w:rPr>
          <w:color w:val="000000" w:themeColor="text1"/>
        </w:rPr>
        <w:t xml:space="preserve">from baseline </w:t>
      </w:r>
      <w:r w:rsidRPr="00C951F0">
        <w:rPr>
          <w:color w:val="000000" w:themeColor="text1"/>
        </w:rPr>
        <w:t>in alanine aminotransferase, aspartate aminotransferase</w:t>
      </w:r>
      <w:r w:rsidR="0024449C" w:rsidRPr="00C951F0">
        <w:rPr>
          <w:color w:val="000000" w:themeColor="text1"/>
        </w:rPr>
        <w:t>,</w:t>
      </w:r>
      <w:r w:rsidRPr="00C951F0">
        <w:rPr>
          <w:color w:val="000000" w:themeColor="text1"/>
        </w:rPr>
        <w:t xml:space="preserve"> and urine-to-albumin-creatinine ratio was observed with semaglutide 2</w:t>
      </w:r>
      <w:r w:rsidR="00C5236B" w:rsidRPr="00C951F0">
        <w:rPr>
          <w:color w:val="000000" w:themeColor="text1"/>
        </w:rPr>
        <w:t>·</w:t>
      </w:r>
      <w:r w:rsidRPr="00C951F0">
        <w:rPr>
          <w:color w:val="000000" w:themeColor="text1"/>
        </w:rPr>
        <w:t xml:space="preserve">4 mg, with no clinically relevant findings in other biochemistry or </w:t>
      </w:r>
      <w:proofErr w:type="spellStart"/>
      <w:r w:rsidRPr="00C951F0">
        <w:rPr>
          <w:color w:val="000000" w:themeColor="text1"/>
        </w:rPr>
        <w:t>h</w:t>
      </w:r>
      <w:r w:rsidR="000F4F5C" w:rsidRPr="00C951F0">
        <w:rPr>
          <w:color w:val="000000" w:themeColor="text1"/>
        </w:rPr>
        <w:t>a</w:t>
      </w:r>
      <w:r w:rsidRPr="00C951F0">
        <w:rPr>
          <w:color w:val="000000" w:themeColor="text1"/>
        </w:rPr>
        <w:t>ematology</w:t>
      </w:r>
      <w:proofErr w:type="spellEnd"/>
      <w:r w:rsidRPr="00C951F0">
        <w:rPr>
          <w:color w:val="000000" w:themeColor="text1"/>
        </w:rPr>
        <w:t xml:space="preserve"> parameters (</w:t>
      </w:r>
      <w:r w:rsidR="005A23D1" w:rsidRPr="00C951F0">
        <w:rPr>
          <w:color w:val="000000" w:themeColor="text1"/>
        </w:rPr>
        <w:t xml:space="preserve">table </w:t>
      </w:r>
      <w:r w:rsidR="0024449C" w:rsidRPr="00C951F0">
        <w:rPr>
          <w:color w:val="000000" w:themeColor="text1"/>
        </w:rPr>
        <w:t xml:space="preserve">S3 in the </w:t>
      </w:r>
      <w:r w:rsidRPr="00C951F0">
        <w:rPr>
          <w:color w:val="000000" w:themeColor="text1"/>
        </w:rPr>
        <w:t>Supplementary Appendix</w:t>
      </w:r>
      <w:r w:rsidR="00554670" w:rsidRPr="00C951F0">
        <w:rPr>
          <w:color w:val="000000" w:themeColor="text1"/>
        </w:rPr>
        <w:t xml:space="preserve"> [p14]</w:t>
      </w:r>
      <w:r w:rsidRPr="00C951F0">
        <w:rPr>
          <w:color w:val="000000" w:themeColor="text1"/>
        </w:rPr>
        <w:t>).</w:t>
      </w:r>
    </w:p>
    <w:p w14:paraId="2C984F13" w14:textId="10F5DC26" w:rsidR="00B1644A" w:rsidRPr="00C951F0" w:rsidRDefault="00B1644A" w:rsidP="0039543A">
      <w:pPr>
        <w:rPr>
          <w:color w:val="000000" w:themeColor="text1"/>
        </w:rPr>
      </w:pPr>
      <w:r w:rsidRPr="00C951F0">
        <w:rPr>
          <w:color w:val="000000" w:themeColor="text1"/>
        </w:rPr>
        <w:t>Severe or blood glucose</w:t>
      </w:r>
      <w:r w:rsidR="0024449C" w:rsidRPr="00C951F0">
        <w:rPr>
          <w:color w:val="000000" w:themeColor="text1"/>
        </w:rPr>
        <w:t>-</w:t>
      </w:r>
      <w:r w:rsidRPr="00C951F0">
        <w:rPr>
          <w:color w:val="000000" w:themeColor="text1"/>
        </w:rPr>
        <w:t xml:space="preserve">confirmed symptomatic </w:t>
      </w:r>
      <w:proofErr w:type="spellStart"/>
      <w:r w:rsidRPr="00C951F0">
        <w:rPr>
          <w:color w:val="000000" w:themeColor="text1"/>
        </w:rPr>
        <w:t>hypo</w:t>
      </w:r>
      <w:r w:rsidR="00BF42BE" w:rsidRPr="00C951F0">
        <w:rPr>
          <w:color w:val="000000" w:themeColor="text1"/>
        </w:rPr>
        <w:t>glycaem</w:t>
      </w:r>
      <w:r w:rsidRPr="00C951F0">
        <w:rPr>
          <w:color w:val="000000" w:themeColor="text1"/>
        </w:rPr>
        <w:t>ic</w:t>
      </w:r>
      <w:proofErr w:type="spellEnd"/>
      <w:r w:rsidRPr="00C951F0">
        <w:rPr>
          <w:color w:val="000000" w:themeColor="text1"/>
        </w:rPr>
        <w:t xml:space="preserve"> episodes were reported in 5</w:t>
      </w:r>
      <w:r w:rsidR="00C5236B" w:rsidRPr="00C951F0">
        <w:rPr>
          <w:color w:val="000000" w:themeColor="text1"/>
        </w:rPr>
        <w:t>·</w:t>
      </w:r>
      <w:r w:rsidRPr="00C951F0">
        <w:rPr>
          <w:color w:val="000000" w:themeColor="text1"/>
        </w:rPr>
        <w:t>7%</w:t>
      </w:r>
      <w:r w:rsidR="0052387D">
        <w:rPr>
          <w:color w:val="000000" w:themeColor="text1"/>
        </w:rPr>
        <w:t xml:space="preserve"> (23/403)</w:t>
      </w:r>
      <w:r w:rsidRPr="00C951F0">
        <w:rPr>
          <w:color w:val="000000" w:themeColor="text1"/>
        </w:rPr>
        <w:t>, 5</w:t>
      </w:r>
      <w:r w:rsidR="00C5236B" w:rsidRPr="00C951F0">
        <w:rPr>
          <w:color w:val="000000" w:themeColor="text1"/>
        </w:rPr>
        <w:t>·</w:t>
      </w:r>
      <w:r w:rsidRPr="00C951F0">
        <w:rPr>
          <w:color w:val="000000" w:themeColor="text1"/>
        </w:rPr>
        <w:t>5%</w:t>
      </w:r>
      <w:r w:rsidR="0052387D">
        <w:rPr>
          <w:color w:val="000000" w:themeColor="text1"/>
        </w:rPr>
        <w:t xml:space="preserve"> (22/402)</w:t>
      </w:r>
      <w:r w:rsidR="0024449C" w:rsidRPr="00C951F0">
        <w:rPr>
          <w:color w:val="000000" w:themeColor="text1"/>
        </w:rPr>
        <w:t>,</w:t>
      </w:r>
      <w:r w:rsidRPr="00C951F0">
        <w:rPr>
          <w:color w:val="000000" w:themeColor="text1"/>
        </w:rPr>
        <w:t xml:space="preserve"> and 3</w:t>
      </w:r>
      <w:r w:rsidR="00C5236B" w:rsidRPr="00C951F0">
        <w:rPr>
          <w:color w:val="000000" w:themeColor="text1"/>
        </w:rPr>
        <w:t>·</w:t>
      </w:r>
      <w:r w:rsidRPr="00C951F0">
        <w:rPr>
          <w:color w:val="000000" w:themeColor="text1"/>
        </w:rPr>
        <w:t>0%</w:t>
      </w:r>
      <w:r w:rsidR="0052387D" w:rsidRPr="00C951F0">
        <w:rPr>
          <w:color w:val="000000" w:themeColor="text1"/>
        </w:rPr>
        <w:t xml:space="preserve"> </w:t>
      </w:r>
      <w:r w:rsidR="0052387D">
        <w:rPr>
          <w:color w:val="000000" w:themeColor="text1"/>
        </w:rPr>
        <w:t>(12/402)</w:t>
      </w:r>
      <w:r w:rsidRPr="00C951F0">
        <w:rPr>
          <w:color w:val="000000" w:themeColor="text1"/>
        </w:rPr>
        <w:t xml:space="preserve"> of patients treated with semaglutide 2</w:t>
      </w:r>
      <w:r w:rsidR="00C5236B" w:rsidRPr="00C951F0">
        <w:rPr>
          <w:color w:val="000000" w:themeColor="text1"/>
        </w:rPr>
        <w:t>·</w:t>
      </w:r>
      <w:r w:rsidR="00330FE0" w:rsidRPr="00C951F0">
        <w:rPr>
          <w:color w:val="000000" w:themeColor="text1"/>
        </w:rPr>
        <w:t>4</w:t>
      </w:r>
      <w:r w:rsidR="00330FE0">
        <w:rPr>
          <w:color w:val="000000" w:themeColor="text1"/>
        </w:rPr>
        <w:t> </w:t>
      </w:r>
      <w:r w:rsidRPr="00C951F0">
        <w:rPr>
          <w:color w:val="000000" w:themeColor="text1"/>
        </w:rPr>
        <w:t>mg, 1</w:t>
      </w:r>
      <w:r w:rsidR="00C5236B" w:rsidRPr="00C951F0">
        <w:rPr>
          <w:color w:val="000000" w:themeColor="text1"/>
        </w:rPr>
        <w:t>·</w:t>
      </w:r>
      <w:r w:rsidRPr="00C951F0">
        <w:rPr>
          <w:color w:val="000000" w:themeColor="text1"/>
        </w:rPr>
        <w:t xml:space="preserve">0 mg, and placebo, respectively. One severe </w:t>
      </w:r>
      <w:proofErr w:type="spellStart"/>
      <w:r w:rsidRPr="00C951F0">
        <w:rPr>
          <w:color w:val="000000" w:themeColor="text1"/>
        </w:rPr>
        <w:t>hypo</w:t>
      </w:r>
      <w:r w:rsidR="00BF42BE" w:rsidRPr="00C951F0">
        <w:rPr>
          <w:color w:val="000000" w:themeColor="text1"/>
        </w:rPr>
        <w:t>glycaem</w:t>
      </w:r>
      <w:r w:rsidRPr="00C951F0">
        <w:rPr>
          <w:color w:val="000000" w:themeColor="text1"/>
        </w:rPr>
        <w:t>ic</w:t>
      </w:r>
      <w:proofErr w:type="spellEnd"/>
      <w:r w:rsidRPr="00C951F0">
        <w:rPr>
          <w:color w:val="000000" w:themeColor="text1"/>
        </w:rPr>
        <w:t xml:space="preserve"> episode was observed during dose escalation with semaglutide 2</w:t>
      </w:r>
      <w:r w:rsidR="00C5236B" w:rsidRPr="00C951F0">
        <w:rPr>
          <w:color w:val="000000" w:themeColor="text1"/>
        </w:rPr>
        <w:t>·</w:t>
      </w:r>
      <w:r w:rsidRPr="00C951F0">
        <w:rPr>
          <w:color w:val="000000" w:themeColor="text1"/>
        </w:rPr>
        <w:t xml:space="preserve">4 mg. Diabetic retinopathy events were reported </w:t>
      </w:r>
      <w:bookmarkStart w:id="19" w:name="_Hlk59035494"/>
      <w:r w:rsidRPr="00C951F0">
        <w:rPr>
          <w:color w:val="000000" w:themeColor="text1"/>
        </w:rPr>
        <w:t>in 4</w:t>
      </w:r>
      <w:r w:rsidR="00C5236B" w:rsidRPr="00C951F0">
        <w:rPr>
          <w:color w:val="000000" w:themeColor="text1"/>
        </w:rPr>
        <w:t>·</w:t>
      </w:r>
      <w:r w:rsidRPr="00C951F0">
        <w:rPr>
          <w:color w:val="000000" w:themeColor="text1"/>
        </w:rPr>
        <w:t>0%</w:t>
      </w:r>
      <w:r w:rsidR="0052387D">
        <w:rPr>
          <w:color w:val="000000" w:themeColor="text1"/>
        </w:rPr>
        <w:t xml:space="preserve"> (16/403)</w:t>
      </w:r>
      <w:r w:rsidRPr="00C951F0">
        <w:rPr>
          <w:color w:val="000000" w:themeColor="text1"/>
        </w:rPr>
        <w:t>, 2</w:t>
      </w:r>
      <w:r w:rsidR="00C5236B" w:rsidRPr="00C951F0">
        <w:rPr>
          <w:color w:val="000000" w:themeColor="text1"/>
        </w:rPr>
        <w:t>·</w:t>
      </w:r>
      <w:r w:rsidRPr="00C951F0">
        <w:rPr>
          <w:color w:val="000000" w:themeColor="text1"/>
        </w:rPr>
        <w:t>7%</w:t>
      </w:r>
      <w:r w:rsidR="0052387D">
        <w:rPr>
          <w:color w:val="000000" w:themeColor="text1"/>
        </w:rPr>
        <w:t xml:space="preserve"> (11/402)</w:t>
      </w:r>
      <w:r w:rsidR="0024449C" w:rsidRPr="00C951F0">
        <w:rPr>
          <w:color w:val="000000" w:themeColor="text1"/>
        </w:rPr>
        <w:t>,</w:t>
      </w:r>
      <w:r w:rsidRPr="00C951F0">
        <w:rPr>
          <w:color w:val="000000" w:themeColor="text1"/>
        </w:rPr>
        <w:t xml:space="preserve"> and 2</w:t>
      </w:r>
      <w:r w:rsidR="00C5236B" w:rsidRPr="00C951F0">
        <w:rPr>
          <w:color w:val="000000" w:themeColor="text1"/>
        </w:rPr>
        <w:t>·</w:t>
      </w:r>
      <w:r w:rsidRPr="00C951F0">
        <w:rPr>
          <w:color w:val="000000" w:themeColor="text1"/>
        </w:rPr>
        <w:t>7%</w:t>
      </w:r>
      <w:r w:rsidR="0052387D" w:rsidRPr="00C951F0">
        <w:rPr>
          <w:color w:val="000000" w:themeColor="text1"/>
        </w:rPr>
        <w:t xml:space="preserve"> </w:t>
      </w:r>
      <w:r w:rsidR="0052387D">
        <w:rPr>
          <w:color w:val="000000" w:themeColor="text1"/>
        </w:rPr>
        <w:t>(11/402</w:t>
      </w:r>
      <w:bookmarkEnd w:id="19"/>
      <w:r w:rsidR="0052387D">
        <w:rPr>
          <w:color w:val="000000" w:themeColor="text1"/>
        </w:rPr>
        <w:t>)</w:t>
      </w:r>
      <w:r w:rsidRPr="00C951F0">
        <w:rPr>
          <w:color w:val="000000" w:themeColor="text1"/>
        </w:rPr>
        <w:t xml:space="preserve"> of patients receiving semaglutide 2</w:t>
      </w:r>
      <w:r w:rsidR="00C5236B" w:rsidRPr="00C951F0">
        <w:rPr>
          <w:color w:val="000000" w:themeColor="text1"/>
        </w:rPr>
        <w:t>·</w:t>
      </w:r>
      <w:r w:rsidRPr="00C951F0">
        <w:rPr>
          <w:color w:val="000000" w:themeColor="text1"/>
        </w:rPr>
        <w:t>4 mg, 1</w:t>
      </w:r>
      <w:r w:rsidR="00C5236B" w:rsidRPr="00C951F0">
        <w:rPr>
          <w:color w:val="000000" w:themeColor="text1"/>
        </w:rPr>
        <w:t>·</w:t>
      </w:r>
      <w:r w:rsidRPr="00C951F0">
        <w:rPr>
          <w:color w:val="000000" w:themeColor="text1"/>
        </w:rPr>
        <w:t>0 mg</w:t>
      </w:r>
      <w:r w:rsidR="0024449C" w:rsidRPr="00C951F0">
        <w:rPr>
          <w:color w:val="000000" w:themeColor="text1"/>
        </w:rPr>
        <w:t>,</w:t>
      </w:r>
      <w:r w:rsidRPr="00C951F0">
        <w:rPr>
          <w:color w:val="000000" w:themeColor="text1"/>
        </w:rPr>
        <w:t xml:space="preserve"> and placebo, respectively.</w:t>
      </w:r>
    </w:p>
    <w:p w14:paraId="6A1E4E36" w14:textId="41F6FD72" w:rsidR="00B1644A" w:rsidRPr="00C951F0" w:rsidRDefault="00767398" w:rsidP="0039543A">
      <w:pPr>
        <w:rPr>
          <w:color w:val="000000" w:themeColor="text1"/>
        </w:rPr>
      </w:pPr>
      <w:r w:rsidRPr="00C951F0">
        <w:rPr>
          <w:color w:val="000000" w:themeColor="text1"/>
        </w:rPr>
        <w:lastRenderedPageBreak/>
        <w:t>Of event adjudication committee-confirmed events, a</w:t>
      </w:r>
      <w:r w:rsidR="00B1644A" w:rsidRPr="00C951F0">
        <w:rPr>
          <w:color w:val="000000" w:themeColor="text1"/>
        </w:rPr>
        <w:t>cute pancreatitis was reported in one patient in each of the semaglutide 2</w:t>
      </w:r>
      <w:r w:rsidR="00C5236B" w:rsidRPr="00C951F0">
        <w:rPr>
          <w:color w:val="000000" w:themeColor="text1"/>
        </w:rPr>
        <w:t>·</w:t>
      </w:r>
      <w:r w:rsidR="00B1644A" w:rsidRPr="00C951F0">
        <w:rPr>
          <w:color w:val="000000" w:themeColor="text1"/>
        </w:rPr>
        <w:t>4 mg and placebo groups. Cardiovascular events were few and reported in similar proportions of patients (</w:t>
      </w:r>
      <w:r w:rsidR="005A23D1" w:rsidRPr="00C951F0">
        <w:rPr>
          <w:color w:val="000000" w:themeColor="text1"/>
        </w:rPr>
        <w:t xml:space="preserve">table </w:t>
      </w:r>
      <w:r w:rsidR="00B1644A" w:rsidRPr="00C951F0">
        <w:rPr>
          <w:color w:val="000000" w:themeColor="text1"/>
        </w:rPr>
        <w:t>3).</w:t>
      </w:r>
    </w:p>
    <w:p w14:paraId="27AB644E" w14:textId="77777777" w:rsidR="00B1644A" w:rsidRPr="00C951F0" w:rsidRDefault="00B1644A" w:rsidP="0039543A">
      <w:pPr>
        <w:rPr>
          <w:color w:val="000000" w:themeColor="text1"/>
        </w:rPr>
      </w:pPr>
      <w:r w:rsidRPr="00C951F0">
        <w:rPr>
          <w:color w:val="000000" w:themeColor="text1"/>
        </w:rPr>
        <w:t>No cases of medullary thyroid cancer or pancreatic cancer were reported.</w:t>
      </w:r>
    </w:p>
    <w:p w14:paraId="7533D362" w14:textId="779D5B52" w:rsidR="00B1644A" w:rsidRPr="00C951F0" w:rsidRDefault="00D12997" w:rsidP="0039543A">
      <w:pPr>
        <w:pStyle w:val="Heading1"/>
        <w:rPr>
          <w:color w:val="000000" w:themeColor="text1"/>
        </w:rPr>
      </w:pPr>
      <w:r w:rsidRPr="00C951F0">
        <w:rPr>
          <w:color w:val="000000" w:themeColor="text1"/>
        </w:rPr>
        <w:t xml:space="preserve">Discussion </w:t>
      </w:r>
    </w:p>
    <w:p w14:paraId="604148A4" w14:textId="64FABC61" w:rsidR="00B1644A" w:rsidRPr="00C951F0" w:rsidRDefault="00B1644A" w:rsidP="0039543A">
      <w:pPr>
        <w:spacing w:after="160"/>
        <w:rPr>
          <w:color w:val="000000" w:themeColor="text1"/>
        </w:rPr>
      </w:pPr>
      <w:r w:rsidRPr="00C951F0">
        <w:rPr>
          <w:color w:val="000000" w:themeColor="text1"/>
        </w:rPr>
        <w:t>STEP 2 demonstrated that in adults with overweight/obesity and type 2 diabetes, once-weekly subcutaneous semaglutide 2</w:t>
      </w:r>
      <w:r w:rsidR="00C5236B" w:rsidRPr="00C951F0">
        <w:rPr>
          <w:color w:val="000000" w:themeColor="text1"/>
        </w:rPr>
        <w:t>·</w:t>
      </w:r>
      <w:r w:rsidRPr="00C951F0">
        <w:rPr>
          <w:color w:val="000000" w:themeColor="text1"/>
        </w:rPr>
        <w:t xml:space="preserve">4 mg </w:t>
      </w:r>
      <w:r w:rsidR="00B4549A">
        <w:rPr>
          <w:color w:val="000000" w:themeColor="text1"/>
        </w:rPr>
        <w:t xml:space="preserve">as adjunct to lifestyle intervention </w:t>
      </w:r>
      <w:r w:rsidRPr="00C951F0">
        <w:rPr>
          <w:color w:val="000000" w:themeColor="text1"/>
        </w:rPr>
        <w:t>significantly reduced body weight by 9</w:t>
      </w:r>
      <w:r w:rsidR="00C5236B" w:rsidRPr="00C951F0">
        <w:rPr>
          <w:color w:val="000000" w:themeColor="text1"/>
        </w:rPr>
        <w:t>·</w:t>
      </w:r>
      <w:r w:rsidRPr="00C951F0">
        <w:rPr>
          <w:color w:val="000000" w:themeColor="text1"/>
        </w:rPr>
        <w:t>6% (6</w:t>
      </w:r>
      <w:r w:rsidR="00C5236B" w:rsidRPr="00C951F0">
        <w:rPr>
          <w:color w:val="000000" w:themeColor="text1"/>
        </w:rPr>
        <w:t>·</w:t>
      </w:r>
      <w:r w:rsidRPr="00C951F0">
        <w:rPr>
          <w:color w:val="000000" w:themeColor="text1"/>
        </w:rPr>
        <w:t>2 and 2</w:t>
      </w:r>
      <w:r w:rsidR="00C5236B" w:rsidRPr="00C951F0">
        <w:rPr>
          <w:color w:val="000000" w:themeColor="text1"/>
        </w:rPr>
        <w:t>·</w:t>
      </w:r>
      <w:r w:rsidRPr="00C951F0">
        <w:rPr>
          <w:color w:val="000000" w:themeColor="text1"/>
        </w:rPr>
        <w:t xml:space="preserve">7 </w:t>
      </w:r>
      <w:r w:rsidR="000C544C">
        <w:rPr>
          <w:color w:val="000000" w:themeColor="text1"/>
        </w:rPr>
        <w:t xml:space="preserve">percentage points </w:t>
      </w:r>
      <w:r w:rsidRPr="00C951F0">
        <w:rPr>
          <w:color w:val="000000" w:themeColor="text1"/>
        </w:rPr>
        <w:t>more than placebo and semaglutide 1</w:t>
      </w:r>
      <w:r w:rsidR="00C5236B" w:rsidRPr="00C951F0">
        <w:rPr>
          <w:color w:val="000000" w:themeColor="text1"/>
        </w:rPr>
        <w:t>·</w:t>
      </w:r>
      <w:r w:rsidRPr="00C951F0">
        <w:rPr>
          <w:color w:val="000000" w:themeColor="text1"/>
        </w:rPr>
        <w:t>0 mg, respectively). This degree of weight loss was achieved whil</w:t>
      </w:r>
      <w:r w:rsidR="00D70E96" w:rsidRPr="00C951F0">
        <w:rPr>
          <w:color w:val="000000" w:themeColor="text1"/>
        </w:rPr>
        <w:t>e</w:t>
      </w:r>
      <w:r w:rsidRPr="00C951F0">
        <w:rPr>
          <w:color w:val="000000" w:themeColor="text1"/>
        </w:rPr>
        <w:t xml:space="preserve"> more than two-thirds of patients treated with semaglutide 2</w:t>
      </w:r>
      <w:r w:rsidR="00C5236B" w:rsidRPr="00C951F0">
        <w:rPr>
          <w:color w:val="000000" w:themeColor="text1"/>
        </w:rPr>
        <w:t>·</w:t>
      </w:r>
      <w:r w:rsidRPr="00C951F0">
        <w:rPr>
          <w:color w:val="000000" w:themeColor="text1"/>
        </w:rPr>
        <w:t>4 mg achieved a target HbA</w:t>
      </w:r>
      <w:r w:rsidRPr="00C951F0">
        <w:rPr>
          <w:color w:val="000000" w:themeColor="text1"/>
          <w:vertAlign w:val="subscript"/>
        </w:rPr>
        <w:t>1c</w:t>
      </w:r>
      <w:r w:rsidRPr="00C951F0">
        <w:rPr>
          <w:color w:val="000000" w:themeColor="text1"/>
        </w:rPr>
        <w:t xml:space="preserve"> ≤6</w:t>
      </w:r>
      <w:r w:rsidR="00C5236B" w:rsidRPr="00C951F0">
        <w:rPr>
          <w:color w:val="000000" w:themeColor="text1"/>
        </w:rPr>
        <w:t>·</w:t>
      </w:r>
      <w:r w:rsidRPr="00C951F0">
        <w:rPr>
          <w:color w:val="000000" w:themeColor="text1"/>
        </w:rPr>
        <w:t>5%. Furthermore, 69% of patients on semaglutide 2</w:t>
      </w:r>
      <w:r w:rsidR="00C5236B" w:rsidRPr="00C951F0">
        <w:rPr>
          <w:color w:val="000000" w:themeColor="text1"/>
        </w:rPr>
        <w:t>·</w:t>
      </w:r>
      <w:r w:rsidRPr="00C951F0">
        <w:rPr>
          <w:color w:val="000000" w:themeColor="text1"/>
        </w:rPr>
        <w:t xml:space="preserve">4 mg lost </w:t>
      </w:r>
      <w:r w:rsidRPr="00C951F0">
        <w:rPr>
          <w:rFonts w:cs="Arial"/>
          <w:color w:val="000000" w:themeColor="text1"/>
        </w:rPr>
        <w:t>≥</w:t>
      </w:r>
      <w:r w:rsidRPr="00C951F0">
        <w:rPr>
          <w:color w:val="000000" w:themeColor="text1"/>
        </w:rPr>
        <w:t>5% of baseline weight</w:t>
      </w:r>
      <w:r w:rsidR="007E6091">
        <w:rPr>
          <w:color w:val="000000" w:themeColor="text1"/>
        </w:rPr>
        <w:t xml:space="preserve"> (compared with 5</w:t>
      </w:r>
      <w:r w:rsidR="007E6091" w:rsidRPr="00C951F0">
        <w:rPr>
          <w:color w:val="000000" w:themeColor="text1"/>
        </w:rPr>
        <w:t>7% with 1·0 mg</w:t>
      </w:r>
      <w:r w:rsidR="007E6091">
        <w:rPr>
          <w:color w:val="000000" w:themeColor="text1"/>
        </w:rPr>
        <w:t xml:space="preserve"> and 29%</w:t>
      </w:r>
      <w:r w:rsidR="007E6091" w:rsidRPr="00C951F0">
        <w:rPr>
          <w:color w:val="000000" w:themeColor="text1"/>
        </w:rPr>
        <w:t xml:space="preserve"> with </w:t>
      </w:r>
      <w:r w:rsidR="007E6091">
        <w:rPr>
          <w:color w:val="000000" w:themeColor="text1"/>
        </w:rPr>
        <w:t>placebo</w:t>
      </w:r>
      <w:r w:rsidR="007E6091" w:rsidRPr="00C951F0">
        <w:rPr>
          <w:color w:val="000000" w:themeColor="text1"/>
        </w:rPr>
        <w:t>)</w:t>
      </w:r>
      <w:r w:rsidRPr="00C951F0">
        <w:rPr>
          <w:color w:val="000000" w:themeColor="text1"/>
        </w:rPr>
        <w:t>, a threshold cited as clinically meaningful weight loss.</w:t>
      </w:r>
      <w:r w:rsidR="004B580E">
        <w:rPr>
          <w:color w:val="000000" w:themeColor="text1"/>
          <w:vertAlign w:val="superscript"/>
        </w:rPr>
        <w:t>16</w:t>
      </w:r>
      <w:r w:rsidRPr="00C951F0">
        <w:rPr>
          <w:color w:val="000000" w:themeColor="text1"/>
        </w:rPr>
        <w:t xml:space="preserve"> All prespecified outcomes in the hierarchical stepwise testing were met, indicating that semaglutide 2</w:t>
      </w:r>
      <w:r w:rsidR="00C5236B" w:rsidRPr="00C951F0">
        <w:rPr>
          <w:color w:val="000000" w:themeColor="text1"/>
        </w:rPr>
        <w:t>·</w:t>
      </w:r>
      <w:r w:rsidRPr="00C951F0">
        <w:rPr>
          <w:color w:val="000000" w:themeColor="text1"/>
        </w:rPr>
        <w:t xml:space="preserve">4 mg is not only effective at lowering weight, but also </w:t>
      </w:r>
      <w:r w:rsidR="00D70E96" w:rsidRPr="00C951F0">
        <w:rPr>
          <w:color w:val="000000" w:themeColor="text1"/>
        </w:rPr>
        <w:t>at</w:t>
      </w:r>
      <w:r w:rsidRPr="00C951F0">
        <w:rPr>
          <w:color w:val="000000" w:themeColor="text1"/>
        </w:rPr>
        <w:t xml:space="preserve"> improving cardiometabolic </w:t>
      </w:r>
      <w:r w:rsidR="002D5524">
        <w:rPr>
          <w:color w:val="000000" w:themeColor="text1"/>
        </w:rPr>
        <w:t>risk factors</w:t>
      </w:r>
      <w:r w:rsidR="007626D5" w:rsidRPr="00C951F0">
        <w:rPr>
          <w:color w:val="000000" w:themeColor="text1"/>
        </w:rPr>
        <w:t xml:space="preserve"> and</w:t>
      </w:r>
      <w:r w:rsidRPr="00C951F0">
        <w:rPr>
          <w:color w:val="000000" w:themeColor="text1"/>
        </w:rPr>
        <w:t xml:space="preserve"> </w:t>
      </w:r>
      <w:proofErr w:type="spellStart"/>
      <w:r w:rsidR="00BF42BE" w:rsidRPr="00C951F0">
        <w:rPr>
          <w:color w:val="000000" w:themeColor="text1"/>
        </w:rPr>
        <w:t>glycaem</w:t>
      </w:r>
      <w:r w:rsidRPr="00C951F0">
        <w:rPr>
          <w:color w:val="000000" w:themeColor="text1"/>
        </w:rPr>
        <w:t>ic</w:t>
      </w:r>
      <w:proofErr w:type="spellEnd"/>
      <w:r w:rsidRPr="00C951F0">
        <w:rPr>
          <w:color w:val="000000" w:themeColor="text1"/>
        </w:rPr>
        <w:t xml:space="preserve"> control in people with type 2 diabetes. </w:t>
      </w:r>
    </w:p>
    <w:p w14:paraId="438CA71A" w14:textId="23C90278" w:rsidR="00B1644A" w:rsidRPr="00C951F0" w:rsidRDefault="00B1644A" w:rsidP="0039543A">
      <w:pPr>
        <w:spacing w:after="160"/>
        <w:rPr>
          <w:color w:val="000000" w:themeColor="text1"/>
        </w:rPr>
      </w:pPr>
      <w:r w:rsidRPr="00C951F0">
        <w:rPr>
          <w:color w:val="000000" w:themeColor="text1"/>
        </w:rPr>
        <w:t>The magnitude of weight loss achieved with semaglutide 2</w:t>
      </w:r>
      <w:r w:rsidR="00C5236B" w:rsidRPr="00C951F0">
        <w:rPr>
          <w:color w:val="000000" w:themeColor="text1"/>
        </w:rPr>
        <w:t>·</w:t>
      </w:r>
      <w:r w:rsidRPr="00C951F0">
        <w:rPr>
          <w:color w:val="000000" w:themeColor="text1"/>
        </w:rPr>
        <w:t>4 mg in STEP 2 was greater than that observed in other studies with a similar patient population. In the SCALE Diabetes trial of once-</w:t>
      </w:r>
      <w:r w:rsidR="00A13FCC" w:rsidRPr="00C951F0">
        <w:rPr>
          <w:color w:val="000000" w:themeColor="text1"/>
        </w:rPr>
        <w:t>daily</w:t>
      </w:r>
      <w:r w:rsidRPr="00C951F0">
        <w:rPr>
          <w:color w:val="000000" w:themeColor="text1"/>
        </w:rPr>
        <w:t xml:space="preserve"> liraglutide 3</w:t>
      </w:r>
      <w:r w:rsidR="00C5236B" w:rsidRPr="00C951F0">
        <w:rPr>
          <w:color w:val="000000" w:themeColor="text1"/>
        </w:rPr>
        <w:t>·</w:t>
      </w:r>
      <w:r w:rsidRPr="00C951F0">
        <w:rPr>
          <w:color w:val="000000" w:themeColor="text1"/>
        </w:rPr>
        <w:t xml:space="preserve">0 mg as an adjunct to lifestyle intervention in patients with obesity/overweight and type 2 diabetes, a </w:t>
      </w:r>
      <w:r w:rsidR="007626D5" w:rsidRPr="00C951F0">
        <w:rPr>
          <w:color w:val="000000" w:themeColor="text1"/>
        </w:rPr>
        <w:t>5</w:t>
      </w:r>
      <w:r w:rsidR="00C5236B" w:rsidRPr="00C951F0">
        <w:rPr>
          <w:color w:val="000000" w:themeColor="text1"/>
        </w:rPr>
        <w:t>·</w:t>
      </w:r>
      <w:r w:rsidR="007626D5" w:rsidRPr="00C951F0">
        <w:rPr>
          <w:color w:val="000000" w:themeColor="text1"/>
        </w:rPr>
        <w:t xml:space="preserve">4% </w:t>
      </w:r>
      <w:r w:rsidRPr="00C951F0">
        <w:rPr>
          <w:color w:val="000000" w:themeColor="text1"/>
        </w:rPr>
        <w:t xml:space="preserve">weight reduction </w:t>
      </w:r>
      <w:r w:rsidR="00B87F20" w:rsidRPr="00C951F0">
        <w:rPr>
          <w:color w:val="000000" w:themeColor="text1"/>
        </w:rPr>
        <w:t xml:space="preserve">from baseline </w:t>
      </w:r>
      <w:r w:rsidR="007626D5" w:rsidRPr="00C951F0">
        <w:rPr>
          <w:color w:val="000000" w:themeColor="text1"/>
        </w:rPr>
        <w:t>occurred</w:t>
      </w:r>
      <w:r w:rsidRPr="00C951F0">
        <w:rPr>
          <w:color w:val="000000" w:themeColor="text1"/>
        </w:rPr>
        <w:t>.</w:t>
      </w:r>
      <w:r w:rsidR="004B580E">
        <w:rPr>
          <w:color w:val="000000" w:themeColor="text1"/>
          <w:vertAlign w:val="superscript"/>
        </w:rPr>
        <w:t>8</w:t>
      </w:r>
      <w:r w:rsidRPr="00C951F0">
        <w:rPr>
          <w:color w:val="000000" w:themeColor="text1"/>
          <w:vertAlign w:val="superscript"/>
        </w:rPr>
        <w:t>,</w:t>
      </w:r>
      <w:r w:rsidR="004B580E">
        <w:rPr>
          <w:color w:val="000000" w:themeColor="text1"/>
          <w:vertAlign w:val="superscript"/>
        </w:rPr>
        <w:t>17</w:t>
      </w:r>
      <w:r w:rsidRPr="00C951F0">
        <w:rPr>
          <w:color w:val="000000" w:themeColor="text1"/>
          <w:shd w:val="clear" w:color="auto" w:fill="E6E6E6"/>
        </w:rPr>
        <w:t xml:space="preserve"> </w:t>
      </w:r>
      <w:r w:rsidRPr="00C951F0">
        <w:rPr>
          <w:color w:val="000000" w:themeColor="text1"/>
        </w:rPr>
        <w:t xml:space="preserve">Reductions in body weight of </w:t>
      </w:r>
      <w:r w:rsidRPr="00C951F0">
        <w:rPr>
          <w:rFonts w:cs="Arial"/>
          <w:color w:val="000000" w:themeColor="text1"/>
        </w:rPr>
        <w:t>~</w:t>
      </w:r>
      <w:r w:rsidRPr="00C951F0">
        <w:rPr>
          <w:color w:val="000000" w:themeColor="text1"/>
        </w:rPr>
        <w:t xml:space="preserve">5% have also been reported in </w:t>
      </w:r>
      <w:r w:rsidR="007D3A77" w:rsidRPr="00C951F0">
        <w:rPr>
          <w:color w:val="000000" w:themeColor="text1"/>
        </w:rPr>
        <w:t>similar</w:t>
      </w:r>
      <w:r w:rsidRPr="00C951F0">
        <w:rPr>
          <w:color w:val="000000" w:themeColor="text1"/>
        </w:rPr>
        <w:t xml:space="preserve"> patient population</w:t>
      </w:r>
      <w:r w:rsidR="007D3A77" w:rsidRPr="00C951F0">
        <w:rPr>
          <w:color w:val="000000" w:themeColor="text1"/>
        </w:rPr>
        <w:t>s</w:t>
      </w:r>
      <w:r w:rsidRPr="00C951F0">
        <w:rPr>
          <w:color w:val="000000" w:themeColor="text1"/>
        </w:rPr>
        <w:t xml:space="preserve"> with orlistat, and</w:t>
      </w:r>
      <w:r w:rsidR="009B7CB5" w:rsidRPr="00C951F0">
        <w:rPr>
          <w:color w:val="000000" w:themeColor="text1"/>
        </w:rPr>
        <w:t xml:space="preserve"> with</w:t>
      </w:r>
      <w:r w:rsidRPr="00C951F0">
        <w:rPr>
          <w:color w:val="000000" w:themeColor="text1"/>
        </w:rPr>
        <w:t xml:space="preserve"> the combination of naltrexone 32 mg/bupropion 360 mg sustained-release.</w:t>
      </w:r>
      <w:r w:rsidR="004B580E">
        <w:rPr>
          <w:color w:val="000000" w:themeColor="text1"/>
          <w:vertAlign w:val="superscript"/>
        </w:rPr>
        <w:t>18</w:t>
      </w:r>
      <w:r w:rsidR="0092499A" w:rsidRPr="00C951F0">
        <w:rPr>
          <w:color w:val="000000" w:themeColor="text1"/>
          <w:vertAlign w:val="superscript"/>
        </w:rPr>
        <w:t>,</w:t>
      </w:r>
      <w:r w:rsidR="004B580E">
        <w:rPr>
          <w:color w:val="000000" w:themeColor="text1"/>
          <w:vertAlign w:val="superscript"/>
        </w:rPr>
        <w:t>19</w:t>
      </w:r>
      <w:r w:rsidR="0092499A" w:rsidRPr="00C951F0">
        <w:rPr>
          <w:color w:val="000000" w:themeColor="text1"/>
          <w:vertAlign w:val="superscript"/>
        </w:rPr>
        <w:t xml:space="preserve"> </w:t>
      </w:r>
      <w:r w:rsidRPr="00C951F0">
        <w:rPr>
          <w:color w:val="000000" w:themeColor="text1"/>
        </w:rPr>
        <w:t xml:space="preserve">The challenges of achieving weight reduction in people with type 2 diabetes are well known, and smaller weight losses </w:t>
      </w:r>
      <w:r w:rsidR="00B87F20" w:rsidRPr="00C951F0">
        <w:rPr>
          <w:color w:val="000000" w:themeColor="text1"/>
        </w:rPr>
        <w:t xml:space="preserve">with the same drug </w:t>
      </w:r>
      <w:r w:rsidRPr="00C951F0">
        <w:rPr>
          <w:color w:val="000000" w:themeColor="text1"/>
        </w:rPr>
        <w:t xml:space="preserve">would be predicted </w:t>
      </w:r>
      <w:r w:rsidR="00716800" w:rsidRPr="00C951F0">
        <w:rPr>
          <w:color w:val="000000" w:themeColor="text1"/>
        </w:rPr>
        <w:t>in treating patients with and</w:t>
      </w:r>
      <w:r w:rsidRPr="00C951F0">
        <w:rPr>
          <w:color w:val="000000" w:themeColor="text1"/>
        </w:rPr>
        <w:t xml:space="preserve"> without type 2 diabetes. </w:t>
      </w:r>
      <w:r w:rsidR="00475CF2" w:rsidRPr="00C951F0">
        <w:rPr>
          <w:color w:val="000000" w:themeColor="text1"/>
        </w:rPr>
        <w:t>In the SCALE Obesity and Prediabetes trial</w:t>
      </w:r>
      <w:r w:rsidR="00B87F20" w:rsidRPr="00C951F0">
        <w:rPr>
          <w:color w:val="000000" w:themeColor="text1"/>
        </w:rPr>
        <w:t xml:space="preserve"> (</w:t>
      </w:r>
      <w:r w:rsidR="00716800" w:rsidRPr="00C951F0">
        <w:rPr>
          <w:color w:val="000000" w:themeColor="text1"/>
        </w:rPr>
        <w:t>with overweight or obesity but not type 2 diabetes</w:t>
      </w:r>
      <w:r w:rsidR="00B87F20" w:rsidRPr="00C951F0">
        <w:rPr>
          <w:color w:val="000000" w:themeColor="text1"/>
        </w:rPr>
        <w:t>)</w:t>
      </w:r>
      <w:r w:rsidR="00475CF2" w:rsidRPr="00C951F0">
        <w:rPr>
          <w:color w:val="000000" w:themeColor="text1"/>
        </w:rPr>
        <w:t>, weight loss of 8</w:t>
      </w:r>
      <w:r w:rsidR="00C5236B" w:rsidRPr="00C951F0">
        <w:rPr>
          <w:color w:val="000000" w:themeColor="text1"/>
        </w:rPr>
        <w:t>·</w:t>
      </w:r>
      <w:r w:rsidR="00475CF2" w:rsidRPr="00C951F0">
        <w:rPr>
          <w:color w:val="000000" w:themeColor="text1"/>
        </w:rPr>
        <w:t>0% was achieved with liraglutide</w:t>
      </w:r>
      <w:r w:rsidR="004B580E">
        <w:rPr>
          <w:color w:val="000000" w:themeColor="text1"/>
          <w:vertAlign w:val="superscript"/>
        </w:rPr>
        <w:t>20</w:t>
      </w:r>
      <w:r w:rsidR="00475CF2" w:rsidRPr="00C951F0">
        <w:rPr>
          <w:color w:val="000000" w:themeColor="text1"/>
        </w:rPr>
        <w:t xml:space="preserve"> </w:t>
      </w:r>
      <w:r w:rsidR="00716800" w:rsidRPr="00C951F0">
        <w:rPr>
          <w:color w:val="000000" w:themeColor="text1"/>
        </w:rPr>
        <w:t>(compared with 5</w:t>
      </w:r>
      <w:r w:rsidR="00C5236B" w:rsidRPr="00C951F0">
        <w:rPr>
          <w:color w:val="000000" w:themeColor="text1"/>
        </w:rPr>
        <w:t>·</w:t>
      </w:r>
      <w:r w:rsidR="00716800" w:rsidRPr="00C951F0">
        <w:rPr>
          <w:color w:val="000000" w:themeColor="text1"/>
        </w:rPr>
        <w:t>4% in patients with diabetes</w:t>
      </w:r>
      <w:r w:rsidR="004B580E">
        <w:rPr>
          <w:color w:val="000000" w:themeColor="text1"/>
          <w:vertAlign w:val="superscript"/>
        </w:rPr>
        <w:t>16</w:t>
      </w:r>
      <w:r w:rsidR="00716800" w:rsidRPr="00C951F0">
        <w:rPr>
          <w:color w:val="000000" w:themeColor="text1"/>
        </w:rPr>
        <w:t xml:space="preserve">). </w:t>
      </w:r>
      <w:r w:rsidR="00475CF2" w:rsidRPr="00C951F0">
        <w:rPr>
          <w:color w:val="000000" w:themeColor="text1"/>
        </w:rPr>
        <w:t>Furthermore</w:t>
      </w:r>
      <w:r w:rsidRPr="00C951F0">
        <w:rPr>
          <w:color w:val="000000" w:themeColor="text1"/>
        </w:rPr>
        <w:t xml:space="preserve">, in the STEP 1 </w:t>
      </w:r>
      <w:r w:rsidRPr="00C951F0">
        <w:rPr>
          <w:color w:val="000000" w:themeColor="text1"/>
        </w:rPr>
        <w:lastRenderedPageBreak/>
        <w:t xml:space="preserve">trial in subjects with overweight/obesity without type 2 diabetes, </w:t>
      </w:r>
      <w:r w:rsidR="007626D5" w:rsidRPr="00C951F0">
        <w:rPr>
          <w:color w:val="000000" w:themeColor="text1"/>
        </w:rPr>
        <w:t xml:space="preserve">body weight reduction </w:t>
      </w:r>
      <w:bookmarkStart w:id="20" w:name="_Hlk58591034"/>
      <w:r w:rsidR="00B4549A">
        <w:rPr>
          <w:color w:val="000000" w:themeColor="text1"/>
        </w:rPr>
        <w:t xml:space="preserve">with semaglutide 2.4 mg as adjunct to lifestyle intervention </w:t>
      </w:r>
      <w:r w:rsidR="007626D5" w:rsidRPr="00C951F0">
        <w:rPr>
          <w:color w:val="000000" w:themeColor="text1"/>
        </w:rPr>
        <w:t xml:space="preserve">was </w:t>
      </w:r>
      <w:r w:rsidRPr="00C951F0">
        <w:rPr>
          <w:color w:val="000000" w:themeColor="text1"/>
        </w:rPr>
        <w:t>14</w:t>
      </w:r>
      <w:r w:rsidR="00C5236B" w:rsidRPr="00C951F0">
        <w:rPr>
          <w:color w:val="000000" w:themeColor="text1"/>
        </w:rPr>
        <w:t>·</w:t>
      </w:r>
      <w:r w:rsidRPr="00C951F0">
        <w:rPr>
          <w:color w:val="000000" w:themeColor="text1"/>
        </w:rPr>
        <w:t>9%</w:t>
      </w:r>
      <w:r w:rsidR="00B4549A">
        <w:rPr>
          <w:color w:val="000000" w:themeColor="text1"/>
        </w:rPr>
        <w:t xml:space="preserve"> versus </w:t>
      </w:r>
      <w:r w:rsidR="00B4549A" w:rsidRPr="00B4549A">
        <w:rPr>
          <w:color w:val="000000" w:themeColor="text1"/>
        </w:rPr>
        <w:t>2.4% with placebo</w:t>
      </w:r>
      <w:r w:rsidRPr="00C951F0">
        <w:rPr>
          <w:color w:val="000000" w:themeColor="text1"/>
        </w:rPr>
        <w:t>.</w:t>
      </w:r>
      <w:bookmarkEnd w:id="20"/>
      <w:r w:rsidR="004B580E">
        <w:rPr>
          <w:color w:val="000000" w:themeColor="text1"/>
          <w:vertAlign w:val="superscript"/>
        </w:rPr>
        <w:t>21</w:t>
      </w:r>
      <w:r w:rsidR="00DA707C" w:rsidRPr="0014266D">
        <w:rPr>
          <w:color w:val="000000" w:themeColor="text1"/>
        </w:rPr>
        <w:t xml:space="preserve"> </w:t>
      </w:r>
      <w:r w:rsidR="0014266D" w:rsidRPr="0014266D">
        <w:rPr>
          <w:color w:val="000000" w:themeColor="text1"/>
        </w:rPr>
        <w:t xml:space="preserve">The observed plateau of weight loss towards the end of the study is consistent with metabolic adaptation and physiological response </w:t>
      </w:r>
      <w:r w:rsidR="001A18F0">
        <w:rPr>
          <w:color w:val="000000" w:themeColor="text1"/>
        </w:rPr>
        <w:t>to the weight loss</w:t>
      </w:r>
      <w:r w:rsidR="00012D40">
        <w:rPr>
          <w:color w:val="000000" w:themeColor="text1"/>
        </w:rPr>
        <w:t>, and is typical of any weight loss intervention</w:t>
      </w:r>
      <w:r w:rsidR="001A18F0">
        <w:rPr>
          <w:color w:val="000000" w:themeColor="text1"/>
        </w:rPr>
        <w:t>.</w:t>
      </w:r>
      <w:r w:rsidR="0014266D" w:rsidRPr="0014266D">
        <w:rPr>
          <w:color w:val="000000" w:themeColor="text1"/>
        </w:rPr>
        <w:t xml:space="preserve"> These changes are a result of reductions in resting and non-resting energy expenditure</w:t>
      </w:r>
      <w:r w:rsidR="000C544C">
        <w:rPr>
          <w:color w:val="000000" w:themeColor="text1"/>
        </w:rPr>
        <w:t xml:space="preserve"> which accompany</w:t>
      </w:r>
      <w:r w:rsidR="0014266D" w:rsidRPr="0014266D">
        <w:rPr>
          <w:color w:val="000000" w:themeColor="text1"/>
        </w:rPr>
        <w:t xml:space="preserve"> compensatory changes in </w:t>
      </w:r>
      <w:r w:rsidR="001A18F0">
        <w:rPr>
          <w:color w:val="000000" w:themeColor="text1"/>
        </w:rPr>
        <w:t xml:space="preserve">appetite </w:t>
      </w:r>
      <w:r w:rsidR="0014266D" w:rsidRPr="0014266D">
        <w:rPr>
          <w:color w:val="000000" w:themeColor="text1"/>
        </w:rPr>
        <w:t>regulat</w:t>
      </w:r>
      <w:r w:rsidR="001A18F0">
        <w:rPr>
          <w:color w:val="000000" w:themeColor="text1"/>
        </w:rPr>
        <w:t>ing hormones</w:t>
      </w:r>
      <w:r w:rsidR="0014266D" w:rsidRPr="0014266D">
        <w:rPr>
          <w:color w:val="000000" w:themeColor="text1"/>
        </w:rPr>
        <w:t>.</w:t>
      </w:r>
      <w:r w:rsidR="004B580E">
        <w:rPr>
          <w:color w:val="000000" w:themeColor="text1"/>
          <w:vertAlign w:val="superscript"/>
        </w:rPr>
        <w:t>22</w:t>
      </w:r>
      <w:r w:rsidR="00DA707C">
        <w:rPr>
          <w:color w:val="000000" w:themeColor="text1"/>
          <w:vertAlign w:val="superscript"/>
        </w:rPr>
        <w:t>–</w:t>
      </w:r>
      <w:r w:rsidR="004B580E">
        <w:rPr>
          <w:color w:val="000000" w:themeColor="text1"/>
          <w:vertAlign w:val="superscript"/>
        </w:rPr>
        <w:t>25</w:t>
      </w:r>
    </w:p>
    <w:p w14:paraId="64447B15" w14:textId="755727B7" w:rsidR="00B1644A" w:rsidRDefault="00B1644A" w:rsidP="0039543A">
      <w:pPr>
        <w:rPr>
          <w:color w:val="000000" w:themeColor="text1"/>
        </w:rPr>
      </w:pPr>
      <w:r w:rsidRPr="00C951F0">
        <w:rPr>
          <w:color w:val="000000" w:themeColor="text1"/>
        </w:rPr>
        <w:t>Evidence suggests that overweight/obesity and type 2 diabetes considerably reduce health-related quality of life.</w:t>
      </w:r>
      <w:r w:rsidR="004B580E">
        <w:rPr>
          <w:color w:val="000000" w:themeColor="text1"/>
          <w:vertAlign w:val="superscript"/>
        </w:rPr>
        <w:t>26</w:t>
      </w:r>
      <w:r w:rsidRPr="00C951F0">
        <w:rPr>
          <w:color w:val="000000" w:themeColor="text1"/>
        </w:rPr>
        <w:t xml:space="preserve"> In this study, semaglutide 2</w:t>
      </w:r>
      <w:r w:rsidR="00C5236B" w:rsidRPr="00C951F0">
        <w:rPr>
          <w:color w:val="000000" w:themeColor="text1"/>
        </w:rPr>
        <w:t>·</w:t>
      </w:r>
      <w:r w:rsidRPr="00C951F0">
        <w:rPr>
          <w:color w:val="000000" w:themeColor="text1"/>
        </w:rPr>
        <w:t xml:space="preserve">4 mg was associated with improvements in physical functioning, which may translate into </w:t>
      </w:r>
      <w:r w:rsidR="000C544C" w:rsidRPr="00C951F0">
        <w:rPr>
          <w:color w:val="000000" w:themeColor="text1"/>
        </w:rPr>
        <w:t xml:space="preserve">benefits </w:t>
      </w:r>
      <w:r w:rsidR="000C544C">
        <w:rPr>
          <w:color w:val="000000" w:themeColor="text1"/>
        </w:rPr>
        <w:t xml:space="preserve">in </w:t>
      </w:r>
      <w:r w:rsidRPr="00C951F0">
        <w:rPr>
          <w:color w:val="000000" w:themeColor="text1"/>
        </w:rPr>
        <w:t>daily living.</w:t>
      </w:r>
      <w:r w:rsidR="00EA46EF">
        <w:rPr>
          <w:color w:val="000000" w:themeColor="text1"/>
        </w:rPr>
        <w:t xml:space="preserve"> Furthermore, there were improvements versus placebo on the SF-36 physical component s</w:t>
      </w:r>
      <w:r w:rsidR="00A03264">
        <w:rPr>
          <w:color w:val="000000" w:themeColor="text1"/>
        </w:rPr>
        <w:t>ummary</w:t>
      </w:r>
      <w:r w:rsidR="00EA46EF">
        <w:rPr>
          <w:color w:val="000000" w:themeColor="text1"/>
        </w:rPr>
        <w:t xml:space="preserve"> as well as the total score on the IWQOL-Lite-CT, an obesity-specific tool for measuring quality of life</w:t>
      </w:r>
      <w:r w:rsidR="000C544C">
        <w:rPr>
          <w:color w:val="000000" w:themeColor="text1"/>
        </w:rPr>
        <w:t xml:space="preserve"> (Supplementary Appendix Figure S4)</w:t>
      </w:r>
      <w:r w:rsidR="00EA46EF">
        <w:rPr>
          <w:color w:val="000000" w:themeColor="text1"/>
        </w:rPr>
        <w:t xml:space="preserve">. Changes </w:t>
      </w:r>
      <w:r w:rsidR="00A00FF0">
        <w:rPr>
          <w:color w:val="000000" w:themeColor="text1"/>
        </w:rPr>
        <w:t>o</w:t>
      </w:r>
      <w:r w:rsidR="00EA46EF">
        <w:rPr>
          <w:color w:val="000000" w:themeColor="text1"/>
        </w:rPr>
        <w:t xml:space="preserve">n the mental component summary of the SF-36 suggested a trend towards </w:t>
      </w:r>
      <w:proofErr w:type="spellStart"/>
      <w:r w:rsidR="00EA46EF">
        <w:rPr>
          <w:color w:val="000000" w:themeColor="text1"/>
        </w:rPr>
        <w:t>favouring</w:t>
      </w:r>
      <w:proofErr w:type="spellEnd"/>
      <w:r w:rsidR="00EA46EF">
        <w:rPr>
          <w:color w:val="000000" w:themeColor="text1"/>
        </w:rPr>
        <w:t xml:space="preserve"> semaglutide 2.4 mg.</w:t>
      </w:r>
    </w:p>
    <w:p w14:paraId="7400BD91" w14:textId="793BFA50" w:rsidR="00052CD0" w:rsidRDefault="00DB0528" w:rsidP="00AE13B1">
      <w:pPr>
        <w:spacing w:after="160"/>
        <w:rPr>
          <w:color w:val="000000" w:themeColor="text1"/>
        </w:rPr>
      </w:pPr>
      <w:r>
        <w:rPr>
          <w:color w:val="000000" w:themeColor="text1"/>
        </w:rPr>
        <w:t xml:space="preserve">The </w:t>
      </w:r>
      <w:r w:rsidRPr="00C951F0">
        <w:rPr>
          <w:color w:val="000000" w:themeColor="text1"/>
        </w:rPr>
        <w:t>semaglutide 2·4 mg dose was selected based on a phase 2 dose-finding trial in which semaglutide 0·4 mg once daily was effective in terms of weight loss, with an acceptable tolerability profile.</w:t>
      </w:r>
      <w:r w:rsidR="004B580E">
        <w:rPr>
          <w:color w:val="000000" w:themeColor="text1"/>
          <w:vertAlign w:val="superscript"/>
        </w:rPr>
        <w:t>27</w:t>
      </w:r>
      <w:r w:rsidRPr="00C951F0">
        <w:rPr>
          <w:color w:val="000000" w:themeColor="text1"/>
        </w:rPr>
        <w:t xml:space="preserve"> The higher dose of semaglutide increased the proportion of patients who lost </w:t>
      </w:r>
      <w:r w:rsidRPr="00C951F0">
        <w:rPr>
          <w:rFonts w:cs="Arial"/>
          <w:color w:val="000000" w:themeColor="text1"/>
        </w:rPr>
        <w:t>≥</w:t>
      </w:r>
      <w:r w:rsidRPr="00C951F0">
        <w:rPr>
          <w:color w:val="000000" w:themeColor="text1"/>
        </w:rPr>
        <w:t xml:space="preserve">10% of baseline weight from 28·7% (with 1·0 mg) to 45·6% (with 2·4 mg) and nearly doubled the proportion who lost </w:t>
      </w:r>
      <w:r w:rsidRPr="00C951F0">
        <w:rPr>
          <w:rFonts w:cs="Arial"/>
          <w:color w:val="000000" w:themeColor="text1"/>
        </w:rPr>
        <w:t>≥</w:t>
      </w:r>
      <w:r w:rsidRPr="00C951F0">
        <w:rPr>
          <w:color w:val="000000" w:themeColor="text1"/>
        </w:rPr>
        <w:t>15% body weight</w:t>
      </w:r>
      <w:r>
        <w:rPr>
          <w:color w:val="000000" w:themeColor="text1"/>
        </w:rPr>
        <w:t xml:space="preserve"> (</w:t>
      </w:r>
      <w:r w:rsidRPr="00C951F0">
        <w:rPr>
          <w:color w:val="000000" w:themeColor="text1"/>
        </w:rPr>
        <w:t xml:space="preserve">from </w:t>
      </w:r>
      <w:r>
        <w:rPr>
          <w:color w:val="000000" w:themeColor="text1"/>
        </w:rPr>
        <w:t>13</w:t>
      </w:r>
      <w:r w:rsidRPr="00C951F0">
        <w:rPr>
          <w:color w:val="000000" w:themeColor="text1"/>
        </w:rPr>
        <w:t xml:space="preserve">·7% with 1·0 mg to </w:t>
      </w:r>
      <w:r>
        <w:rPr>
          <w:color w:val="000000" w:themeColor="text1"/>
        </w:rPr>
        <w:t>2</w:t>
      </w:r>
      <w:r w:rsidRPr="00C951F0">
        <w:rPr>
          <w:color w:val="000000" w:themeColor="text1"/>
        </w:rPr>
        <w:t>5·</w:t>
      </w:r>
      <w:r>
        <w:rPr>
          <w:color w:val="000000" w:themeColor="text1"/>
        </w:rPr>
        <w:t>8</w:t>
      </w:r>
      <w:r w:rsidRPr="00C951F0">
        <w:rPr>
          <w:color w:val="000000" w:themeColor="text1"/>
        </w:rPr>
        <w:t xml:space="preserve">% with 2·4 mg). Semaglutide 1·0 mg once weekly was included in the STEP 2 trial to enable comparison of weight loss and safety with the higher 2·4 mg dose. </w:t>
      </w:r>
      <w:r>
        <w:rPr>
          <w:color w:val="000000" w:themeColor="text1"/>
        </w:rPr>
        <w:t>Semaglutide 1.0 mg is an effective glucose lowering agent with an established safety and tolerability profile that clinicians will be familiar with for the management of patients with type 2 diabetes.</w:t>
      </w:r>
      <w:r w:rsidR="004B580E">
        <w:rPr>
          <w:color w:val="000000" w:themeColor="text1"/>
          <w:vertAlign w:val="superscript"/>
        </w:rPr>
        <w:t>28</w:t>
      </w:r>
      <w:r>
        <w:rPr>
          <w:color w:val="000000" w:themeColor="text1"/>
        </w:rPr>
        <w:t xml:space="preserve"> The effectiveness of semaglutide 1.0 mg on </w:t>
      </w:r>
      <w:proofErr w:type="spellStart"/>
      <w:r>
        <w:rPr>
          <w:color w:val="000000" w:themeColor="text1"/>
        </w:rPr>
        <w:t>glycaemic</w:t>
      </w:r>
      <w:proofErr w:type="spellEnd"/>
      <w:r>
        <w:rPr>
          <w:color w:val="000000" w:themeColor="text1"/>
        </w:rPr>
        <w:t xml:space="preserve"> control was demonstrated in </w:t>
      </w:r>
      <w:r w:rsidR="00A00FF0">
        <w:rPr>
          <w:color w:val="000000" w:themeColor="text1"/>
        </w:rPr>
        <w:t>the present</w:t>
      </w:r>
      <w:r>
        <w:rPr>
          <w:color w:val="000000" w:themeColor="text1"/>
        </w:rPr>
        <w:t xml:space="preserve"> study </w:t>
      </w:r>
      <w:r w:rsidR="00A00FF0">
        <w:rPr>
          <w:color w:val="000000" w:themeColor="text1"/>
        </w:rPr>
        <w:t>in which</w:t>
      </w:r>
      <w:r>
        <w:rPr>
          <w:color w:val="000000" w:themeColor="text1"/>
        </w:rPr>
        <w:t xml:space="preserve"> HbA</w:t>
      </w:r>
      <w:r w:rsidRPr="00167A2D">
        <w:rPr>
          <w:color w:val="000000" w:themeColor="text1"/>
          <w:vertAlign w:val="subscript"/>
        </w:rPr>
        <w:t>1c</w:t>
      </w:r>
      <w:r>
        <w:rPr>
          <w:color w:val="000000" w:themeColor="text1"/>
        </w:rPr>
        <w:t xml:space="preserve"> levels reached 6.6% by week 68. </w:t>
      </w:r>
      <w:r w:rsidRPr="00C951F0">
        <w:rPr>
          <w:color w:val="000000" w:themeColor="text1"/>
        </w:rPr>
        <w:t xml:space="preserve">Semaglutide 2·4 mg was associated with </w:t>
      </w:r>
      <w:r>
        <w:rPr>
          <w:color w:val="000000" w:themeColor="text1"/>
        </w:rPr>
        <w:t xml:space="preserve">only a </w:t>
      </w:r>
      <w:r w:rsidRPr="00C951F0">
        <w:rPr>
          <w:color w:val="000000" w:themeColor="text1"/>
        </w:rPr>
        <w:t>small</w:t>
      </w:r>
      <w:r>
        <w:rPr>
          <w:color w:val="000000" w:themeColor="text1"/>
        </w:rPr>
        <w:t xml:space="preserve"> incremental</w:t>
      </w:r>
      <w:r w:rsidRPr="00C951F0">
        <w:rPr>
          <w:color w:val="000000" w:themeColor="text1"/>
        </w:rPr>
        <w:t xml:space="preserve"> improvement in </w:t>
      </w:r>
      <w:proofErr w:type="spellStart"/>
      <w:r w:rsidRPr="00C951F0">
        <w:rPr>
          <w:color w:val="000000" w:themeColor="text1"/>
        </w:rPr>
        <w:t>glycaemic</w:t>
      </w:r>
      <w:proofErr w:type="spellEnd"/>
      <w:r w:rsidRPr="00C951F0">
        <w:rPr>
          <w:color w:val="000000" w:themeColor="text1"/>
        </w:rPr>
        <w:t xml:space="preserve"> </w:t>
      </w:r>
      <w:r>
        <w:rPr>
          <w:color w:val="000000" w:themeColor="text1"/>
        </w:rPr>
        <w:t>parameters</w:t>
      </w:r>
      <w:r w:rsidRPr="00C951F0">
        <w:rPr>
          <w:color w:val="000000" w:themeColor="text1"/>
        </w:rPr>
        <w:t xml:space="preserve"> versus 1·0 mg</w:t>
      </w:r>
      <w:r>
        <w:rPr>
          <w:color w:val="000000" w:themeColor="text1"/>
        </w:rPr>
        <w:t>.</w:t>
      </w:r>
      <w:r w:rsidRPr="00C951F0">
        <w:rPr>
          <w:color w:val="000000" w:themeColor="text1"/>
        </w:rPr>
        <w:t xml:space="preserve"> </w:t>
      </w:r>
      <w:r w:rsidR="002B637F" w:rsidRPr="002B637F">
        <w:rPr>
          <w:color w:val="000000" w:themeColor="text1"/>
        </w:rPr>
        <w:t>Of note</w:t>
      </w:r>
      <w:r w:rsidR="00690087">
        <w:rPr>
          <w:color w:val="000000" w:themeColor="text1"/>
        </w:rPr>
        <w:t xml:space="preserve">, use of up to three oral anti-diabetic medications was allowed and </w:t>
      </w:r>
      <w:r w:rsidR="002B637F" w:rsidRPr="002B637F">
        <w:rPr>
          <w:color w:val="000000" w:themeColor="text1"/>
        </w:rPr>
        <w:t xml:space="preserve">more </w:t>
      </w:r>
      <w:r w:rsidR="00690087">
        <w:rPr>
          <w:color w:val="000000" w:themeColor="text1"/>
        </w:rPr>
        <w:t>patients</w:t>
      </w:r>
      <w:r w:rsidR="002B637F" w:rsidRPr="002B637F">
        <w:rPr>
          <w:color w:val="000000" w:themeColor="text1"/>
        </w:rPr>
        <w:t xml:space="preserve"> treated with </w:t>
      </w:r>
      <w:r w:rsidR="002B637F" w:rsidRPr="002B637F">
        <w:rPr>
          <w:color w:val="000000" w:themeColor="text1"/>
        </w:rPr>
        <w:lastRenderedPageBreak/>
        <w:t xml:space="preserve">semaglutide 2·4 mg reduced their use of </w:t>
      </w:r>
      <w:r w:rsidR="00690087">
        <w:rPr>
          <w:color w:val="000000" w:themeColor="text1"/>
        </w:rPr>
        <w:t>these concomitant medications</w:t>
      </w:r>
      <w:r w:rsidR="002B637F" w:rsidRPr="002B637F">
        <w:rPr>
          <w:color w:val="000000" w:themeColor="text1"/>
        </w:rPr>
        <w:t xml:space="preserve"> after 68 weeks versus patients receiving the 1·0 mg dose </w:t>
      </w:r>
      <w:r w:rsidR="002B637F" w:rsidRPr="0037035E">
        <w:rPr>
          <w:color w:val="000000" w:themeColor="text1"/>
        </w:rPr>
        <w:t>(2</w:t>
      </w:r>
      <w:r w:rsidR="00174DB6" w:rsidRPr="0037035E">
        <w:rPr>
          <w:color w:val="000000" w:themeColor="text1"/>
        </w:rPr>
        <w:t>9</w:t>
      </w:r>
      <w:r w:rsidR="002B637F" w:rsidRPr="0037035E">
        <w:rPr>
          <w:color w:val="000000" w:themeColor="text1"/>
        </w:rPr>
        <w:t xml:space="preserve"> vs </w:t>
      </w:r>
      <w:r w:rsidR="00174DB6" w:rsidRPr="0037035E">
        <w:rPr>
          <w:color w:val="000000" w:themeColor="text1"/>
        </w:rPr>
        <w:t>25</w:t>
      </w:r>
      <w:r w:rsidR="002B637F" w:rsidRPr="0037035E">
        <w:rPr>
          <w:color w:val="000000" w:themeColor="text1"/>
        </w:rPr>
        <w:t>%).</w:t>
      </w:r>
      <w:r w:rsidR="00B9469E">
        <w:rPr>
          <w:color w:val="000000" w:themeColor="text1"/>
        </w:rPr>
        <w:t xml:space="preserve"> </w:t>
      </w:r>
      <w:proofErr w:type="gramStart"/>
      <w:r w:rsidR="00B1644A" w:rsidRPr="00C951F0">
        <w:rPr>
          <w:color w:val="000000" w:themeColor="text1"/>
        </w:rPr>
        <w:t>The</w:t>
      </w:r>
      <w:proofErr w:type="gramEnd"/>
      <w:r w:rsidR="00B1644A" w:rsidRPr="00C951F0">
        <w:rPr>
          <w:color w:val="000000" w:themeColor="text1"/>
        </w:rPr>
        <w:t xml:space="preserve"> </w:t>
      </w:r>
      <w:r w:rsidR="00167A2D">
        <w:rPr>
          <w:color w:val="000000" w:themeColor="text1"/>
        </w:rPr>
        <w:t xml:space="preserve">benefits of treating with a higher dose of semaglutide can be clearly seen in the context of weight loss. </w:t>
      </w:r>
      <w:r w:rsidR="007368CC" w:rsidRPr="00C951F0">
        <w:rPr>
          <w:color w:val="000000" w:themeColor="text1"/>
        </w:rPr>
        <w:t>In STEP 2, patients treated with semaglutide 2·4 mg achieved improvements in cardiometabolic risk factors including waist circumference, HbA</w:t>
      </w:r>
      <w:r w:rsidR="007368CC" w:rsidRPr="00C951F0">
        <w:rPr>
          <w:color w:val="000000" w:themeColor="text1"/>
          <w:vertAlign w:val="subscript"/>
        </w:rPr>
        <w:t>1c</w:t>
      </w:r>
      <w:r w:rsidR="007368CC" w:rsidRPr="00C951F0">
        <w:rPr>
          <w:color w:val="000000" w:themeColor="text1"/>
        </w:rPr>
        <w:t xml:space="preserve">, systolic blood pressure, lipids, urine albumin-to-creatinine ratio, C-reactive protein, and liver parameters. The semaglutide 1.0 mg dose is indicated </w:t>
      </w:r>
      <w:r w:rsidR="002B637F" w:rsidRPr="002B637F">
        <w:rPr>
          <w:color w:val="000000" w:themeColor="text1"/>
        </w:rPr>
        <w:t xml:space="preserve">in the USA </w:t>
      </w:r>
      <w:r w:rsidR="007368CC" w:rsidRPr="00C951F0">
        <w:rPr>
          <w:color w:val="000000" w:themeColor="text1"/>
        </w:rPr>
        <w:t xml:space="preserve">to reduce the risk of major adverse cardiovascular events in adults with </w:t>
      </w:r>
      <w:r w:rsidR="007368CC" w:rsidRPr="0037035E">
        <w:rPr>
          <w:color w:val="000000" w:themeColor="text1"/>
        </w:rPr>
        <w:t>type 2 diabetes and established cardiovascular disease,</w:t>
      </w:r>
      <w:r w:rsidR="004B580E" w:rsidRPr="0037035E">
        <w:rPr>
          <w:color w:val="000000" w:themeColor="text1"/>
          <w:vertAlign w:val="superscript"/>
        </w:rPr>
        <w:t>28</w:t>
      </w:r>
      <w:r w:rsidR="007368CC" w:rsidRPr="0037035E">
        <w:rPr>
          <w:color w:val="000000" w:themeColor="text1"/>
        </w:rPr>
        <w:t xml:space="preserve"> based on findings from the SUSTAIN 6 trial in patients with type 2 diabetes at high cardiovascular risk.</w:t>
      </w:r>
      <w:r w:rsidR="004B580E" w:rsidRPr="0037035E">
        <w:rPr>
          <w:color w:val="000000" w:themeColor="text1"/>
          <w:vertAlign w:val="superscript"/>
        </w:rPr>
        <w:t>29</w:t>
      </w:r>
      <w:r w:rsidR="007368CC" w:rsidRPr="0037035E">
        <w:rPr>
          <w:color w:val="000000" w:themeColor="text1"/>
        </w:rPr>
        <w:t xml:space="preserve"> </w:t>
      </w:r>
      <w:r w:rsidR="00AE13B1" w:rsidRPr="0037035E">
        <w:rPr>
          <w:color w:val="000000" w:themeColor="text1"/>
        </w:rPr>
        <w:t>Treatments to reduce cardiovascular risk in people</w:t>
      </w:r>
      <w:r w:rsidR="00913251" w:rsidRPr="0037035E">
        <w:rPr>
          <w:color w:val="000000" w:themeColor="text1"/>
        </w:rPr>
        <w:t xml:space="preserve"> with type 2 diabetes</w:t>
      </w:r>
      <w:r w:rsidR="00AE13B1" w:rsidRPr="0037035E">
        <w:rPr>
          <w:color w:val="000000" w:themeColor="text1"/>
        </w:rPr>
        <w:t xml:space="preserve"> and obesity are needed due to their increased risk of morbidity and mortality from cardiovascular disease. For example, an analysis of data from over 820,000 people found that people with type 2 diabetes (versus those without) </w:t>
      </w:r>
      <w:r w:rsidR="00913251" w:rsidRPr="0037035E">
        <w:rPr>
          <w:color w:val="000000" w:themeColor="text1"/>
        </w:rPr>
        <w:t xml:space="preserve">have a 2.3-fold increased risk of mortality from </w:t>
      </w:r>
      <w:r w:rsidR="00AE13B1" w:rsidRPr="0037035E">
        <w:rPr>
          <w:color w:val="000000" w:themeColor="text1"/>
        </w:rPr>
        <w:t>vascular causes</w:t>
      </w:r>
      <w:r w:rsidR="00913251" w:rsidRPr="0037035E">
        <w:rPr>
          <w:color w:val="000000" w:themeColor="text1"/>
        </w:rPr>
        <w:t>,</w:t>
      </w:r>
      <w:r w:rsidR="00937560" w:rsidRPr="0037035E">
        <w:rPr>
          <w:color w:val="000000" w:themeColor="text1"/>
          <w:vertAlign w:val="superscript"/>
        </w:rPr>
        <w:t>30</w:t>
      </w:r>
      <w:r w:rsidR="00913251" w:rsidRPr="0037035E">
        <w:rPr>
          <w:color w:val="000000" w:themeColor="text1"/>
        </w:rPr>
        <w:t xml:space="preserve"> and </w:t>
      </w:r>
      <w:r w:rsidR="00AE13B1" w:rsidRPr="0037035E">
        <w:rPr>
          <w:color w:val="000000" w:themeColor="text1"/>
        </w:rPr>
        <w:t xml:space="preserve">another study of the US NHANES population projected 10-year incidence rates of </w:t>
      </w:r>
      <w:proofErr w:type="spellStart"/>
      <w:r w:rsidR="00AE13B1" w:rsidRPr="0037035E">
        <w:rPr>
          <w:color w:val="000000" w:themeColor="text1"/>
        </w:rPr>
        <w:t>ischaemic</w:t>
      </w:r>
      <w:proofErr w:type="spellEnd"/>
      <w:r w:rsidR="00AE13B1" w:rsidRPr="0037035E">
        <w:rPr>
          <w:color w:val="000000" w:themeColor="text1"/>
        </w:rPr>
        <w:t xml:space="preserve"> heart disease, myocardial infarction, and CHF to be approximately 3-5% higher among people with obesity than without.</w:t>
      </w:r>
      <w:r w:rsidR="004B580E" w:rsidRPr="0037035E">
        <w:rPr>
          <w:color w:val="000000" w:themeColor="text1"/>
          <w:vertAlign w:val="superscript"/>
        </w:rPr>
        <w:t>2</w:t>
      </w:r>
      <w:r w:rsidR="001039D6" w:rsidRPr="0037035E">
        <w:rPr>
          <w:color w:val="000000" w:themeColor="text1"/>
        </w:rPr>
        <w:t xml:space="preserve"> </w:t>
      </w:r>
      <w:r w:rsidR="002B637F" w:rsidRPr="0037035E">
        <w:rPr>
          <w:color w:val="000000" w:themeColor="text1"/>
        </w:rPr>
        <w:t xml:space="preserve">While </w:t>
      </w:r>
      <w:r w:rsidR="00913251" w:rsidRPr="0037035E">
        <w:rPr>
          <w:color w:val="000000" w:themeColor="text1"/>
        </w:rPr>
        <w:t>our</w:t>
      </w:r>
      <w:r w:rsidR="002B637F" w:rsidRPr="0037035E">
        <w:rPr>
          <w:color w:val="000000" w:themeColor="text1"/>
        </w:rPr>
        <w:t xml:space="preserve"> findings</w:t>
      </w:r>
      <w:r w:rsidR="002B637F" w:rsidRPr="002B637F">
        <w:rPr>
          <w:color w:val="000000" w:themeColor="text1"/>
        </w:rPr>
        <w:t xml:space="preserve"> suggest that semaglutide 2·4 mg may be associated with lowering cardiovascular risk in patients with type 2 diabetes, the patient population in </w:t>
      </w:r>
      <w:r w:rsidR="001B2F0D">
        <w:rPr>
          <w:color w:val="000000" w:themeColor="text1"/>
        </w:rPr>
        <w:t>the present</w:t>
      </w:r>
      <w:r w:rsidR="002B637F" w:rsidRPr="002B637F">
        <w:rPr>
          <w:color w:val="000000" w:themeColor="text1"/>
        </w:rPr>
        <w:t xml:space="preserve"> study was at relatively low cardiovascular risk, as they were well controlled for existing comorbidities, and further studies are therefore needed. </w:t>
      </w:r>
      <w:r w:rsidR="007368CC" w:rsidRPr="00C951F0">
        <w:rPr>
          <w:color w:val="000000" w:themeColor="text1"/>
        </w:rPr>
        <w:t>The SELECT trial</w:t>
      </w:r>
      <w:r w:rsidR="007368CC">
        <w:rPr>
          <w:color w:val="000000" w:themeColor="text1"/>
        </w:rPr>
        <w:t xml:space="preserve"> (</w:t>
      </w:r>
      <w:bookmarkStart w:id="21" w:name="_Hlk58499778"/>
      <w:r w:rsidR="007368CC" w:rsidRPr="009F7240">
        <w:rPr>
          <w:color w:val="000000" w:themeColor="text1"/>
        </w:rPr>
        <w:t>NCT03574597</w:t>
      </w:r>
      <w:bookmarkEnd w:id="21"/>
      <w:r w:rsidR="007368CC">
        <w:rPr>
          <w:color w:val="000000" w:themeColor="text1"/>
        </w:rPr>
        <w:t>)</w:t>
      </w:r>
      <w:r w:rsidR="007368CC" w:rsidRPr="00C951F0">
        <w:rPr>
          <w:color w:val="000000" w:themeColor="text1"/>
        </w:rPr>
        <w:t xml:space="preserve">, in </w:t>
      </w:r>
      <w:r w:rsidR="007368CC">
        <w:rPr>
          <w:color w:val="000000" w:themeColor="text1"/>
        </w:rPr>
        <w:t>people</w:t>
      </w:r>
      <w:r w:rsidR="007368CC" w:rsidRPr="00C951F0">
        <w:rPr>
          <w:color w:val="000000" w:themeColor="text1"/>
        </w:rPr>
        <w:t xml:space="preserve"> with obesity</w:t>
      </w:r>
      <w:r w:rsidR="007368CC">
        <w:rPr>
          <w:color w:val="000000" w:themeColor="text1"/>
        </w:rPr>
        <w:t xml:space="preserve"> without diabetes</w:t>
      </w:r>
      <w:r w:rsidR="007368CC" w:rsidRPr="00C951F0">
        <w:rPr>
          <w:color w:val="000000" w:themeColor="text1"/>
        </w:rPr>
        <w:t>, is underway.</w:t>
      </w:r>
      <w:r w:rsidR="00911976" w:rsidRPr="00666D26">
        <w:rPr>
          <w:color w:val="000000" w:themeColor="text1"/>
          <w:vertAlign w:val="superscript"/>
        </w:rPr>
        <w:t>31</w:t>
      </w:r>
      <w:r w:rsidR="007368CC">
        <w:rPr>
          <w:color w:val="000000" w:themeColor="text1"/>
        </w:rPr>
        <w:t xml:space="preserve"> While weight loss is associated with improvements in cardiovascular risk factors, studies have shown that weight loss in patients with type 2 diabetes is also associated with improvements in other factors, such as </w:t>
      </w:r>
      <w:r w:rsidR="007368CC" w:rsidRPr="00410FB3">
        <w:rPr>
          <w:color w:val="000000" w:themeColor="text1"/>
        </w:rPr>
        <w:t>obstructive</w:t>
      </w:r>
      <w:r w:rsidR="007368CC">
        <w:rPr>
          <w:color w:val="000000" w:themeColor="text1"/>
        </w:rPr>
        <w:t xml:space="preserve"> sleep </w:t>
      </w:r>
      <w:proofErr w:type="spellStart"/>
      <w:r w:rsidR="007368CC">
        <w:rPr>
          <w:color w:val="000000" w:themeColor="text1"/>
        </w:rPr>
        <w:t>apnoea</w:t>
      </w:r>
      <w:proofErr w:type="spellEnd"/>
      <w:r w:rsidR="007368CC">
        <w:rPr>
          <w:color w:val="000000" w:themeColor="text1"/>
        </w:rPr>
        <w:t xml:space="preserve"> and </w:t>
      </w:r>
      <w:r w:rsidR="007368CC" w:rsidRPr="00410FB3">
        <w:rPr>
          <w:color w:val="000000" w:themeColor="text1"/>
        </w:rPr>
        <w:t>performance-based physical function</w:t>
      </w:r>
      <w:r w:rsidR="007368CC">
        <w:rPr>
          <w:color w:val="000000" w:themeColor="text1"/>
        </w:rPr>
        <w:t>.</w:t>
      </w:r>
      <w:r w:rsidR="00911976">
        <w:rPr>
          <w:color w:val="000000" w:themeColor="text1"/>
          <w:vertAlign w:val="superscript"/>
        </w:rPr>
        <w:t>32</w:t>
      </w:r>
      <w:r w:rsidR="007368CC" w:rsidRPr="002D4E1F">
        <w:rPr>
          <w:color w:val="000000" w:themeColor="text1"/>
          <w:vertAlign w:val="superscript"/>
        </w:rPr>
        <w:t>,</w:t>
      </w:r>
      <w:r w:rsidR="00911976">
        <w:rPr>
          <w:color w:val="000000" w:themeColor="text1"/>
          <w:vertAlign w:val="superscript"/>
        </w:rPr>
        <w:t>33</w:t>
      </w:r>
      <w:r w:rsidR="007368CC">
        <w:rPr>
          <w:color w:val="000000" w:themeColor="text1"/>
        </w:rPr>
        <w:t xml:space="preserve"> </w:t>
      </w:r>
      <w:bookmarkStart w:id="22" w:name="_Hlk59114870"/>
      <w:bookmarkStart w:id="23" w:name="_Hlk59472259"/>
      <w:r w:rsidR="00812377">
        <w:rPr>
          <w:color w:val="000000" w:themeColor="text1"/>
        </w:rPr>
        <w:t xml:space="preserve">The observation </w:t>
      </w:r>
      <w:r w:rsidR="00812377" w:rsidRPr="00CE467F">
        <w:rPr>
          <w:color w:val="000000" w:themeColor="text1"/>
        </w:rPr>
        <w:t>that</w:t>
      </w:r>
      <w:r w:rsidR="00812377">
        <w:rPr>
          <w:color w:val="000000" w:themeColor="text1"/>
        </w:rPr>
        <w:t xml:space="preserve"> increasing the dose of semaglutide reduced body weight more than it improved </w:t>
      </w:r>
      <w:proofErr w:type="spellStart"/>
      <w:r w:rsidR="00812377" w:rsidRPr="00CE467F">
        <w:rPr>
          <w:color w:val="000000" w:themeColor="text1"/>
        </w:rPr>
        <w:t>glycaemi</w:t>
      </w:r>
      <w:r w:rsidR="00812377">
        <w:rPr>
          <w:color w:val="000000" w:themeColor="text1"/>
        </w:rPr>
        <w:t>c</w:t>
      </w:r>
      <w:proofErr w:type="spellEnd"/>
      <w:r w:rsidR="00812377">
        <w:rPr>
          <w:color w:val="000000" w:themeColor="text1"/>
        </w:rPr>
        <w:t xml:space="preserve"> control in STEP 2 is consistent with </w:t>
      </w:r>
      <w:r w:rsidR="00812377" w:rsidRPr="00CE467F">
        <w:rPr>
          <w:color w:val="000000" w:themeColor="text1"/>
        </w:rPr>
        <w:t xml:space="preserve">findings from the </w:t>
      </w:r>
      <w:r w:rsidR="00812377">
        <w:rPr>
          <w:color w:val="000000" w:themeColor="text1"/>
        </w:rPr>
        <w:t xml:space="preserve">SCALE DIABETES trial of </w:t>
      </w:r>
      <w:r w:rsidR="00812377" w:rsidRPr="00CE467F">
        <w:rPr>
          <w:color w:val="000000" w:themeColor="text1"/>
        </w:rPr>
        <w:t>li</w:t>
      </w:r>
      <w:r w:rsidR="00812377">
        <w:rPr>
          <w:color w:val="000000" w:themeColor="text1"/>
        </w:rPr>
        <w:t>raglutide 1.8 mg and 3.0 mg,</w:t>
      </w:r>
      <w:r w:rsidR="004B580E">
        <w:rPr>
          <w:color w:val="000000" w:themeColor="text1"/>
          <w:vertAlign w:val="superscript"/>
        </w:rPr>
        <w:t>17</w:t>
      </w:r>
      <w:r w:rsidR="00812377" w:rsidRPr="00A94C24">
        <w:rPr>
          <w:color w:val="000000" w:themeColor="text1"/>
        </w:rPr>
        <w:t xml:space="preserve"> </w:t>
      </w:r>
      <w:r w:rsidR="00812377">
        <w:rPr>
          <w:color w:val="000000" w:themeColor="text1"/>
        </w:rPr>
        <w:t xml:space="preserve">as well as those from the </w:t>
      </w:r>
      <w:r w:rsidR="00812377" w:rsidRPr="0036313B">
        <w:rPr>
          <w:color w:val="000000" w:themeColor="text1"/>
        </w:rPr>
        <w:t>Liraglutid</w:t>
      </w:r>
      <w:r w:rsidR="00812377">
        <w:rPr>
          <w:color w:val="000000" w:themeColor="text1"/>
        </w:rPr>
        <w:t>e Effect and Action in Diabetes (</w:t>
      </w:r>
      <w:r w:rsidR="00812377" w:rsidRPr="00CE467F">
        <w:rPr>
          <w:color w:val="000000" w:themeColor="text1"/>
        </w:rPr>
        <w:t>LEAD</w:t>
      </w:r>
      <w:r w:rsidR="00812377">
        <w:rPr>
          <w:color w:val="000000" w:themeColor="text1"/>
        </w:rPr>
        <w:t xml:space="preserve">) </w:t>
      </w:r>
      <w:proofErr w:type="spellStart"/>
      <w:r w:rsidR="00812377">
        <w:rPr>
          <w:color w:val="000000" w:themeColor="text1"/>
        </w:rPr>
        <w:t>programme</w:t>
      </w:r>
      <w:proofErr w:type="spellEnd"/>
      <w:r w:rsidR="00812377">
        <w:rPr>
          <w:color w:val="000000" w:themeColor="text1"/>
        </w:rPr>
        <w:t xml:space="preserve"> that investigated </w:t>
      </w:r>
      <w:r w:rsidR="00812377" w:rsidRPr="00CE467F">
        <w:rPr>
          <w:color w:val="000000" w:themeColor="text1"/>
        </w:rPr>
        <w:t>li</w:t>
      </w:r>
      <w:r w:rsidR="00812377">
        <w:rPr>
          <w:color w:val="000000" w:themeColor="text1"/>
        </w:rPr>
        <w:t xml:space="preserve">raglutide at doses of </w:t>
      </w:r>
      <w:r w:rsidR="00812377">
        <w:rPr>
          <w:color w:val="000000" w:themeColor="text1"/>
        </w:rPr>
        <w:lastRenderedPageBreak/>
        <w:t>0.6</w:t>
      </w:r>
      <w:r w:rsidR="005412F0">
        <w:rPr>
          <w:color w:val="000000" w:themeColor="text1"/>
        </w:rPr>
        <w:t> </w:t>
      </w:r>
      <w:r w:rsidR="00812377">
        <w:rPr>
          <w:color w:val="000000" w:themeColor="text1"/>
        </w:rPr>
        <w:t>mg, 1.2 mg and 1.8 mg</w:t>
      </w:r>
      <w:r w:rsidR="00812377" w:rsidRPr="00160A82">
        <w:rPr>
          <w:color w:val="000000" w:themeColor="text1"/>
        </w:rPr>
        <w:t xml:space="preserve"> </w:t>
      </w:r>
      <w:r w:rsidR="00812377" w:rsidRPr="006C405E">
        <w:rPr>
          <w:color w:val="000000" w:themeColor="text1"/>
        </w:rPr>
        <w:t>alone</w:t>
      </w:r>
      <w:r w:rsidR="00812377">
        <w:rPr>
          <w:color w:val="000000" w:themeColor="text1"/>
        </w:rPr>
        <w:t>,</w:t>
      </w:r>
      <w:r w:rsidR="00812377" w:rsidRPr="006C405E">
        <w:rPr>
          <w:color w:val="000000" w:themeColor="text1"/>
        </w:rPr>
        <w:t xml:space="preserve"> or in combination with </w:t>
      </w:r>
      <w:r w:rsidR="00812377">
        <w:rPr>
          <w:color w:val="000000" w:themeColor="text1"/>
        </w:rPr>
        <w:t xml:space="preserve">other </w:t>
      </w:r>
      <w:r w:rsidR="00812377" w:rsidRPr="006C405E">
        <w:rPr>
          <w:color w:val="000000" w:themeColor="text1"/>
        </w:rPr>
        <w:t xml:space="preserve">oral </w:t>
      </w:r>
      <w:bookmarkStart w:id="24" w:name="_Hlk59027453"/>
      <w:r w:rsidR="004230DA">
        <w:rPr>
          <w:color w:val="000000" w:themeColor="text1"/>
        </w:rPr>
        <w:t>glucose lowering</w:t>
      </w:r>
      <w:r w:rsidR="00812377" w:rsidRPr="006C405E">
        <w:rPr>
          <w:color w:val="000000" w:themeColor="text1"/>
        </w:rPr>
        <w:t xml:space="preserve"> </w:t>
      </w:r>
      <w:bookmarkEnd w:id="24"/>
      <w:r w:rsidR="00812377" w:rsidRPr="006C405E">
        <w:rPr>
          <w:color w:val="000000" w:themeColor="text1"/>
        </w:rPr>
        <w:t>drugs</w:t>
      </w:r>
      <w:r w:rsidR="00812377">
        <w:rPr>
          <w:color w:val="000000" w:themeColor="text1"/>
        </w:rPr>
        <w:t xml:space="preserve">, in patients with type 2 diabetes and BMI </w:t>
      </w:r>
      <w:r w:rsidR="00812377" w:rsidRPr="00160A82">
        <w:rPr>
          <w:color w:val="000000" w:themeColor="text1"/>
        </w:rPr>
        <w:t>&lt;</w:t>
      </w:r>
      <w:r w:rsidR="00812377" w:rsidRPr="006C405E">
        <w:rPr>
          <w:color w:val="000000" w:themeColor="text1"/>
        </w:rPr>
        <w:t>45 kg/m</w:t>
      </w:r>
      <w:r w:rsidR="00812377" w:rsidRPr="00160A82">
        <w:rPr>
          <w:color w:val="000000" w:themeColor="text1"/>
          <w:vertAlign w:val="superscript"/>
        </w:rPr>
        <w:t>2</w:t>
      </w:r>
      <w:r w:rsidR="00812377">
        <w:rPr>
          <w:color w:val="000000" w:themeColor="text1"/>
        </w:rPr>
        <w:t>.</w:t>
      </w:r>
      <w:r w:rsidR="00911976">
        <w:rPr>
          <w:color w:val="000000" w:themeColor="text1"/>
          <w:vertAlign w:val="superscript"/>
        </w:rPr>
        <w:t>34</w:t>
      </w:r>
      <w:r w:rsidR="002D4E1F" w:rsidRPr="00012D40">
        <w:rPr>
          <w:color w:val="000000" w:themeColor="text1"/>
          <w:vertAlign w:val="superscript"/>
        </w:rPr>
        <w:t>,</w:t>
      </w:r>
      <w:bookmarkEnd w:id="22"/>
      <w:r w:rsidR="00911976">
        <w:rPr>
          <w:color w:val="000000" w:themeColor="text1"/>
          <w:vertAlign w:val="superscript"/>
        </w:rPr>
        <w:t>35</w:t>
      </w:r>
      <w:bookmarkEnd w:id="23"/>
    </w:p>
    <w:p w14:paraId="5D5EE323" w14:textId="26D249E6" w:rsidR="00B1644A" w:rsidRPr="00C951F0" w:rsidRDefault="00B1644A" w:rsidP="0039543A">
      <w:pPr>
        <w:rPr>
          <w:color w:val="000000" w:themeColor="text1"/>
        </w:rPr>
      </w:pPr>
      <w:r w:rsidRPr="00C951F0">
        <w:rPr>
          <w:color w:val="000000" w:themeColor="text1"/>
        </w:rPr>
        <w:t xml:space="preserve">The safety </w:t>
      </w:r>
      <w:r w:rsidR="00F72AF8" w:rsidRPr="00C951F0">
        <w:rPr>
          <w:color w:val="000000" w:themeColor="text1"/>
        </w:rPr>
        <w:t xml:space="preserve">profile </w:t>
      </w:r>
      <w:r w:rsidRPr="00C951F0">
        <w:rPr>
          <w:color w:val="000000" w:themeColor="text1"/>
        </w:rPr>
        <w:t>of semaglutide 2</w:t>
      </w:r>
      <w:r w:rsidR="00C5236B" w:rsidRPr="00C951F0">
        <w:rPr>
          <w:color w:val="000000" w:themeColor="text1"/>
        </w:rPr>
        <w:t>·</w:t>
      </w:r>
      <w:r w:rsidRPr="00C951F0">
        <w:rPr>
          <w:color w:val="000000" w:themeColor="text1"/>
        </w:rPr>
        <w:t>4 mg in patients with overweight/obesity and type 2 diabetes was typical of the GLP-1RA class</w:t>
      </w:r>
      <w:r w:rsidR="009B7CB5" w:rsidRPr="00C951F0">
        <w:rPr>
          <w:color w:val="000000" w:themeColor="text1"/>
        </w:rPr>
        <w:t>,</w:t>
      </w:r>
      <w:r w:rsidR="00911976">
        <w:rPr>
          <w:color w:val="000000" w:themeColor="text1"/>
          <w:vertAlign w:val="superscript"/>
        </w:rPr>
        <w:t>36</w:t>
      </w:r>
      <w:r w:rsidRPr="00C951F0">
        <w:rPr>
          <w:color w:val="000000" w:themeColor="text1"/>
          <w:vertAlign w:val="superscript"/>
        </w:rPr>
        <w:t>,</w:t>
      </w:r>
      <w:r w:rsidR="00911976">
        <w:rPr>
          <w:color w:val="000000" w:themeColor="text1"/>
          <w:vertAlign w:val="superscript"/>
        </w:rPr>
        <w:t>37</w:t>
      </w:r>
      <w:r w:rsidRPr="00C951F0">
        <w:rPr>
          <w:color w:val="000000" w:themeColor="text1"/>
        </w:rPr>
        <w:t xml:space="preserve"> and consistent with that reported in the phase 2 study of once-daily dosing in patients with obesity</w:t>
      </w:r>
      <w:r w:rsidR="004B580E">
        <w:rPr>
          <w:color w:val="000000" w:themeColor="text1"/>
          <w:vertAlign w:val="superscript"/>
        </w:rPr>
        <w:t>27</w:t>
      </w:r>
      <w:r w:rsidRPr="00C951F0">
        <w:rPr>
          <w:color w:val="000000" w:themeColor="text1"/>
        </w:rPr>
        <w:t xml:space="preserve"> and in the SUSTAIN trials of once-weekly semaglutide in over 8000 patients with type 2 diabetes.</w:t>
      </w:r>
      <w:r w:rsidR="00911976">
        <w:rPr>
          <w:color w:val="000000" w:themeColor="text1"/>
          <w:vertAlign w:val="superscript"/>
        </w:rPr>
        <w:t>38</w:t>
      </w:r>
      <w:r w:rsidRPr="00C951F0">
        <w:rPr>
          <w:color w:val="000000" w:themeColor="text1"/>
        </w:rPr>
        <w:t xml:space="preserve"> Transient, mild–moderate gastrointestinal disorders were the most frequently reported adverse events, and more patients discontinued treatment with semaglutide </w:t>
      </w:r>
      <w:r w:rsidR="00BF42BE" w:rsidRPr="00C951F0">
        <w:rPr>
          <w:color w:val="000000" w:themeColor="text1"/>
        </w:rPr>
        <w:t>versus</w:t>
      </w:r>
      <w:r w:rsidRPr="00C951F0">
        <w:rPr>
          <w:color w:val="000000" w:themeColor="text1"/>
        </w:rPr>
        <w:t xml:space="preserve"> placebo. The rate of gastrointestinal adverse events was slightly higher with semaglutide 2</w:t>
      </w:r>
      <w:r w:rsidR="00C5236B" w:rsidRPr="00C951F0">
        <w:rPr>
          <w:color w:val="000000" w:themeColor="text1"/>
        </w:rPr>
        <w:t>·</w:t>
      </w:r>
      <w:r w:rsidR="009D074F" w:rsidRPr="00C951F0">
        <w:rPr>
          <w:color w:val="000000" w:themeColor="text1"/>
        </w:rPr>
        <w:t>4 </w:t>
      </w:r>
      <w:r w:rsidRPr="00C951F0">
        <w:rPr>
          <w:color w:val="000000" w:themeColor="text1"/>
        </w:rPr>
        <w:t xml:space="preserve">mg </w:t>
      </w:r>
      <w:r w:rsidR="00BF42BE" w:rsidRPr="00C951F0">
        <w:rPr>
          <w:color w:val="000000" w:themeColor="text1"/>
        </w:rPr>
        <w:t>versus</w:t>
      </w:r>
      <w:r w:rsidRPr="00C951F0">
        <w:rPr>
          <w:color w:val="000000" w:themeColor="text1"/>
        </w:rPr>
        <w:t xml:space="preserve"> 1</w:t>
      </w:r>
      <w:r w:rsidR="00C5236B" w:rsidRPr="00C951F0">
        <w:rPr>
          <w:color w:val="000000" w:themeColor="text1"/>
        </w:rPr>
        <w:t>·</w:t>
      </w:r>
      <w:r w:rsidRPr="00C951F0">
        <w:rPr>
          <w:color w:val="000000" w:themeColor="text1"/>
        </w:rPr>
        <w:t xml:space="preserve">0 mg, but discontinuations due to adverse events were low overall, and were comparable between </w:t>
      </w:r>
      <w:r w:rsidR="00767398" w:rsidRPr="00C951F0">
        <w:rPr>
          <w:color w:val="000000" w:themeColor="text1"/>
        </w:rPr>
        <w:t>semaglutide arms</w:t>
      </w:r>
      <w:r w:rsidRPr="00C951F0">
        <w:rPr>
          <w:color w:val="000000" w:themeColor="text1"/>
        </w:rPr>
        <w:t>).</w:t>
      </w:r>
    </w:p>
    <w:p w14:paraId="1C3C8AFC" w14:textId="4FBC9F2F" w:rsidR="00B1644A" w:rsidRPr="00C951F0" w:rsidRDefault="00B1644A" w:rsidP="0039543A">
      <w:pPr>
        <w:spacing w:after="160"/>
        <w:rPr>
          <w:color w:val="000000" w:themeColor="text1"/>
        </w:rPr>
      </w:pPr>
      <w:r w:rsidRPr="00C951F0">
        <w:rPr>
          <w:color w:val="000000" w:themeColor="text1"/>
        </w:rPr>
        <w:t>Strengths of the study include the large sample size</w:t>
      </w:r>
      <w:r w:rsidR="00714595" w:rsidRPr="00C951F0">
        <w:rPr>
          <w:color w:val="000000" w:themeColor="text1"/>
        </w:rPr>
        <w:t xml:space="preserve"> (with a trial population different from others in the STEP trial </w:t>
      </w:r>
      <w:r w:rsidR="00BF42BE" w:rsidRPr="00C951F0">
        <w:rPr>
          <w:color w:val="000000" w:themeColor="text1"/>
        </w:rPr>
        <w:t>programme</w:t>
      </w:r>
      <w:r w:rsidR="004B580E">
        <w:rPr>
          <w:color w:val="000000" w:themeColor="text1"/>
          <w:vertAlign w:val="superscript"/>
        </w:rPr>
        <w:t>12</w:t>
      </w:r>
      <w:r w:rsidR="00714595" w:rsidRPr="00C951F0">
        <w:rPr>
          <w:color w:val="000000" w:themeColor="text1"/>
        </w:rPr>
        <w:t>)</w:t>
      </w:r>
      <w:r w:rsidRPr="00C951F0">
        <w:rPr>
          <w:color w:val="000000" w:themeColor="text1"/>
        </w:rPr>
        <w:t xml:space="preserve">, double-dummy design, </w:t>
      </w:r>
      <w:r w:rsidR="00716800" w:rsidRPr="00C951F0">
        <w:rPr>
          <w:color w:val="000000" w:themeColor="text1"/>
        </w:rPr>
        <w:t>provision of</w:t>
      </w:r>
      <w:r w:rsidRPr="00C951F0">
        <w:rPr>
          <w:color w:val="000000" w:themeColor="text1"/>
        </w:rPr>
        <w:t xml:space="preserve"> lifestyle counse</w:t>
      </w:r>
      <w:r w:rsidR="00097852" w:rsidRPr="00C951F0">
        <w:rPr>
          <w:color w:val="000000" w:themeColor="text1"/>
        </w:rPr>
        <w:t>l</w:t>
      </w:r>
      <w:r w:rsidRPr="00C951F0">
        <w:rPr>
          <w:color w:val="000000" w:themeColor="text1"/>
        </w:rPr>
        <w:t>ling, the high rate of treatment and trial completion</w:t>
      </w:r>
      <w:r w:rsidR="00D70E96" w:rsidRPr="00C951F0">
        <w:rPr>
          <w:color w:val="000000" w:themeColor="text1"/>
        </w:rPr>
        <w:t>,</w:t>
      </w:r>
      <w:r w:rsidRPr="00C951F0">
        <w:rPr>
          <w:color w:val="000000" w:themeColor="text1"/>
        </w:rPr>
        <w:t xml:space="preserve"> and the option for dose adjustment of glucose</w:t>
      </w:r>
      <w:r w:rsidR="00D70E96" w:rsidRPr="00C951F0">
        <w:rPr>
          <w:color w:val="000000" w:themeColor="text1"/>
        </w:rPr>
        <w:t>-</w:t>
      </w:r>
      <w:r w:rsidRPr="00C951F0">
        <w:rPr>
          <w:color w:val="000000" w:themeColor="text1"/>
        </w:rPr>
        <w:t>lowering drugs. A notable limitation is the exclusion of patients on insulin. In the SUSTAIN 5 trial in patients with type 2 diabetes, semaglutide 0</w:t>
      </w:r>
      <w:r w:rsidR="00C5236B" w:rsidRPr="00C951F0">
        <w:rPr>
          <w:color w:val="000000" w:themeColor="text1"/>
        </w:rPr>
        <w:t>·</w:t>
      </w:r>
      <w:r w:rsidRPr="00C951F0">
        <w:rPr>
          <w:color w:val="000000" w:themeColor="text1"/>
        </w:rPr>
        <w:t>5 and 1</w:t>
      </w:r>
      <w:r w:rsidR="00C5236B" w:rsidRPr="00C951F0">
        <w:rPr>
          <w:color w:val="000000" w:themeColor="text1"/>
        </w:rPr>
        <w:t>·</w:t>
      </w:r>
      <w:r w:rsidRPr="00C951F0">
        <w:rPr>
          <w:color w:val="000000" w:themeColor="text1"/>
        </w:rPr>
        <w:t>0 mg once</w:t>
      </w:r>
      <w:r w:rsidR="00D70E96" w:rsidRPr="00C951F0">
        <w:rPr>
          <w:color w:val="000000" w:themeColor="text1"/>
        </w:rPr>
        <w:t xml:space="preserve"> </w:t>
      </w:r>
      <w:r w:rsidRPr="00C951F0">
        <w:rPr>
          <w:color w:val="000000" w:themeColor="text1"/>
        </w:rPr>
        <w:t>weekly as an add</w:t>
      </w:r>
      <w:r w:rsidR="00D70E96" w:rsidRPr="00C951F0">
        <w:rPr>
          <w:color w:val="000000" w:themeColor="text1"/>
        </w:rPr>
        <w:t>-</w:t>
      </w:r>
      <w:r w:rsidRPr="00C951F0">
        <w:rPr>
          <w:color w:val="000000" w:themeColor="text1"/>
        </w:rPr>
        <w:t>on to basal insulin was associated with weight loss.</w:t>
      </w:r>
      <w:r w:rsidR="00911976">
        <w:rPr>
          <w:color w:val="000000" w:themeColor="text1"/>
          <w:vertAlign w:val="superscript"/>
        </w:rPr>
        <w:t>39</w:t>
      </w:r>
      <w:r w:rsidRPr="00C951F0">
        <w:rPr>
          <w:color w:val="000000" w:themeColor="text1"/>
        </w:rPr>
        <w:t xml:space="preserve"> Similar clinical benefits may be expected with semaglutide 2</w:t>
      </w:r>
      <w:r w:rsidR="00C5236B" w:rsidRPr="00C951F0">
        <w:rPr>
          <w:color w:val="000000" w:themeColor="text1"/>
        </w:rPr>
        <w:t>·</w:t>
      </w:r>
      <w:r w:rsidRPr="00C951F0">
        <w:rPr>
          <w:color w:val="000000" w:themeColor="text1"/>
        </w:rPr>
        <w:t>4 mg in this patient population.</w:t>
      </w:r>
    </w:p>
    <w:p w14:paraId="464D0D5A" w14:textId="616987DA" w:rsidR="00714595" w:rsidRPr="00C951F0" w:rsidRDefault="00B1644A" w:rsidP="00BC4C09">
      <w:pPr>
        <w:spacing w:after="160"/>
        <w:rPr>
          <w:color w:val="000000" w:themeColor="text1"/>
        </w:rPr>
      </w:pPr>
      <w:r w:rsidRPr="00C951F0">
        <w:rPr>
          <w:color w:val="000000" w:themeColor="text1"/>
        </w:rPr>
        <w:t xml:space="preserve">In conclusion, in adults with overweight (BMI </w:t>
      </w:r>
      <w:r w:rsidRPr="00C951F0">
        <w:rPr>
          <w:rFonts w:cs="Arial"/>
          <w:color w:val="000000" w:themeColor="text1"/>
        </w:rPr>
        <w:t>≥</w:t>
      </w:r>
      <w:r w:rsidRPr="00C951F0">
        <w:rPr>
          <w:color w:val="000000" w:themeColor="text1"/>
        </w:rPr>
        <w:t>27 kg/m</w:t>
      </w:r>
      <w:r w:rsidRPr="00C951F0">
        <w:rPr>
          <w:color w:val="000000" w:themeColor="text1"/>
          <w:vertAlign w:val="superscript"/>
        </w:rPr>
        <w:t>2</w:t>
      </w:r>
      <w:r w:rsidRPr="00C951F0">
        <w:rPr>
          <w:color w:val="000000" w:themeColor="text1"/>
        </w:rPr>
        <w:t>)/obesity and type 2 diabetes, once-weekly semaglutide 2</w:t>
      </w:r>
      <w:r w:rsidR="00C5236B" w:rsidRPr="00C951F0">
        <w:rPr>
          <w:color w:val="000000" w:themeColor="text1"/>
        </w:rPr>
        <w:t>·</w:t>
      </w:r>
      <w:r w:rsidRPr="00C951F0">
        <w:rPr>
          <w:color w:val="000000" w:themeColor="text1"/>
        </w:rPr>
        <w:t xml:space="preserve">4 mg </w:t>
      </w:r>
      <w:bookmarkStart w:id="25" w:name="_Hlk58682722"/>
      <w:r w:rsidR="0033699A">
        <w:rPr>
          <w:color w:val="000000" w:themeColor="text1"/>
        </w:rPr>
        <w:t xml:space="preserve">as adjunct to lifestyle intervention </w:t>
      </w:r>
      <w:bookmarkEnd w:id="25"/>
      <w:r w:rsidRPr="00C951F0">
        <w:rPr>
          <w:color w:val="000000" w:themeColor="text1"/>
        </w:rPr>
        <w:t xml:space="preserve">led to a clinically meaningful body weight loss </w:t>
      </w:r>
      <w:r w:rsidR="00CE2648">
        <w:rPr>
          <w:color w:val="000000" w:themeColor="text1"/>
        </w:rPr>
        <w:t>that was 6·2 and 2·7</w:t>
      </w:r>
      <w:r w:rsidR="00953944">
        <w:rPr>
          <w:color w:val="000000" w:themeColor="text1"/>
        </w:rPr>
        <w:t xml:space="preserve"> percentage points</w:t>
      </w:r>
      <w:r w:rsidR="00CE2648">
        <w:rPr>
          <w:color w:val="000000" w:themeColor="text1"/>
        </w:rPr>
        <w:t xml:space="preserve"> greater </w:t>
      </w:r>
      <w:r w:rsidR="00CE2648" w:rsidRPr="00296889">
        <w:rPr>
          <w:color w:val="000000" w:themeColor="text1"/>
        </w:rPr>
        <w:t xml:space="preserve">than </w:t>
      </w:r>
      <w:r w:rsidR="00CE2648">
        <w:rPr>
          <w:color w:val="000000" w:themeColor="text1"/>
        </w:rPr>
        <w:t xml:space="preserve">with </w:t>
      </w:r>
      <w:r w:rsidR="00CE2648" w:rsidRPr="00296889">
        <w:rPr>
          <w:color w:val="000000" w:themeColor="text1"/>
        </w:rPr>
        <w:t>placebo and semaglutide 1·0 mg, respectively</w:t>
      </w:r>
      <w:r w:rsidRPr="00C951F0">
        <w:rPr>
          <w:color w:val="000000" w:themeColor="text1"/>
        </w:rPr>
        <w:t xml:space="preserve">, with weight reductions of </w:t>
      </w:r>
      <w:r w:rsidRPr="00C951F0">
        <w:rPr>
          <w:rFonts w:cs="Arial"/>
          <w:color w:val="000000" w:themeColor="text1"/>
        </w:rPr>
        <w:t>≥5</w:t>
      </w:r>
      <w:r w:rsidRPr="00C951F0">
        <w:rPr>
          <w:color w:val="000000" w:themeColor="text1"/>
        </w:rPr>
        <w:t>%</w:t>
      </w:r>
      <w:r w:rsidR="0033699A">
        <w:rPr>
          <w:color w:val="000000" w:themeColor="text1"/>
        </w:rPr>
        <w:t xml:space="preserve"> </w:t>
      </w:r>
      <w:r w:rsidR="00CE2648">
        <w:rPr>
          <w:color w:val="000000" w:themeColor="text1"/>
        </w:rPr>
        <w:t>achieved by 69%, 57% and 29% of patients on semaglutide 2·4 mg, 1·0 mg or placebo, respectively. This was</w:t>
      </w:r>
      <w:r w:rsidRPr="00C951F0">
        <w:rPr>
          <w:color w:val="000000" w:themeColor="text1"/>
        </w:rPr>
        <w:t xml:space="preserve"> accompanied by a reduction in HbA</w:t>
      </w:r>
      <w:r w:rsidRPr="00C951F0">
        <w:rPr>
          <w:color w:val="000000" w:themeColor="text1"/>
          <w:vertAlign w:val="subscript"/>
        </w:rPr>
        <w:t>1c</w:t>
      </w:r>
      <w:r w:rsidRPr="00C951F0">
        <w:rPr>
          <w:color w:val="000000" w:themeColor="text1"/>
        </w:rPr>
        <w:t xml:space="preserve"> of 1</w:t>
      </w:r>
      <w:r w:rsidR="00C5236B" w:rsidRPr="00C951F0">
        <w:rPr>
          <w:color w:val="000000" w:themeColor="text1"/>
        </w:rPr>
        <w:t>·</w:t>
      </w:r>
      <w:r w:rsidRPr="00C951F0">
        <w:rPr>
          <w:color w:val="000000" w:themeColor="text1"/>
        </w:rPr>
        <w:t>6%</w:t>
      </w:r>
      <w:r w:rsidR="00CE2648">
        <w:rPr>
          <w:color w:val="000000" w:themeColor="text1"/>
        </w:rPr>
        <w:t xml:space="preserve"> (versus 0·4% and 1·5% with </w:t>
      </w:r>
      <w:r w:rsidR="00CE2648" w:rsidRPr="00296889">
        <w:rPr>
          <w:color w:val="000000" w:themeColor="text1"/>
        </w:rPr>
        <w:t>placebo and semaglutide 1·0 mg</w:t>
      </w:r>
      <w:r w:rsidR="00012D40">
        <w:rPr>
          <w:color w:val="000000" w:themeColor="text1"/>
        </w:rPr>
        <w:t>, respectively</w:t>
      </w:r>
      <w:r w:rsidR="00CE2648">
        <w:rPr>
          <w:color w:val="000000" w:themeColor="text1"/>
        </w:rPr>
        <w:t>)</w:t>
      </w:r>
      <w:r w:rsidRPr="00C951F0">
        <w:rPr>
          <w:color w:val="000000" w:themeColor="text1"/>
        </w:rPr>
        <w:t>. Additionally, patients treated with semaglutide 2</w:t>
      </w:r>
      <w:r w:rsidR="00C5236B" w:rsidRPr="00C951F0">
        <w:rPr>
          <w:color w:val="000000" w:themeColor="text1"/>
        </w:rPr>
        <w:t>·</w:t>
      </w:r>
      <w:r w:rsidRPr="00C951F0">
        <w:rPr>
          <w:color w:val="000000" w:themeColor="text1"/>
        </w:rPr>
        <w:t xml:space="preserve">4 mg experienced </w:t>
      </w:r>
      <w:r w:rsidR="007368CC" w:rsidRPr="00C951F0">
        <w:rPr>
          <w:color w:val="000000" w:themeColor="text1"/>
        </w:rPr>
        <w:t>improvement</w:t>
      </w:r>
      <w:r w:rsidR="007368CC">
        <w:rPr>
          <w:color w:val="000000" w:themeColor="text1"/>
        </w:rPr>
        <w:t>s</w:t>
      </w:r>
      <w:r w:rsidR="007368CC" w:rsidRPr="00C951F0">
        <w:rPr>
          <w:color w:val="000000" w:themeColor="text1"/>
        </w:rPr>
        <w:t xml:space="preserve"> in </w:t>
      </w:r>
      <w:r w:rsidRPr="00C951F0">
        <w:rPr>
          <w:color w:val="000000" w:themeColor="text1"/>
        </w:rPr>
        <w:t xml:space="preserve">cardiometabolic </w:t>
      </w:r>
      <w:r w:rsidR="007368CC">
        <w:rPr>
          <w:color w:val="000000" w:themeColor="text1"/>
        </w:rPr>
        <w:t>risk factors as well as</w:t>
      </w:r>
      <w:r w:rsidRPr="00C951F0">
        <w:rPr>
          <w:color w:val="000000" w:themeColor="text1"/>
        </w:rPr>
        <w:t xml:space="preserve"> physical functioning </w:t>
      </w:r>
      <w:r w:rsidR="00BF42BE" w:rsidRPr="00C951F0">
        <w:rPr>
          <w:color w:val="000000" w:themeColor="text1"/>
        </w:rPr>
        <w:t>versus</w:t>
      </w:r>
      <w:r w:rsidRPr="00C951F0">
        <w:rPr>
          <w:color w:val="000000" w:themeColor="text1"/>
        </w:rPr>
        <w:t xml:space="preserve"> those treated with placebo.</w:t>
      </w:r>
    </w:p>
    <w:p w14:paraId="7FF4521D" w14:textId="4562137D" w:rsidR="00B1644A" w:rsidRPr="00C951F0" w:rsidRDefault="00D12997" w:rsidP="0039543A">
      <w:pPr>
        <w:pStyle w:val="Heading1"/>
        <w:rPr>
          <w:color w:val="000000" w:themeColor="text1"/>
        </w:rPr>
      </w:pPr>
      <w:r w:rsidRPr="00C951F0">
        <w:rPr>
          <w:color w:val="000000" w:themeColor="text1"/>
        </w:rPr>
        <w:lastRenderedPageBreak/>
        <w:t>Acknowledgments</w:t>
      </w:r>
    </w:p>
    <w:p w14:paraId="7E72C2CF" w14:textId="288D961B" w:rsidR="006A16DA" w:rsidRPr="00C951F0" w:rsidRDefault="00B1644A" w:rsidP="00934A10">
      <w:pPr>
        <w:spacing w:before="480"/>
        <w:rPr>
          <w:color w:val="000000" w:themeColor="text1"/>
        </w:rPr>
      </w:pPr>
      <w:r w:rsidRPr="00C951F0">
        <w:rPr>
          <w:color w:val="000000" w:themeColor="text1"/>
        </w:rPr>
        <w:t xml:space="preserve">The authors thank the study </w:t>
      </w:r>
      <w:r w:rsidR="00CF7014">
        <w:rPr>
          <w:rFonts w:cstheme="minorHAnsi"/>
          <w:color w:val="000000" w:themeColor="text1"/>
        </w:rPr>
        <w:t>patients</w:t>
      </w:r>
      <w:r w:rsidRPr="00C951F0">
        <w:rPr>
          <w:color w:val="000000" w:themeColor="text1"/>
        </w:rPr>
        <w:t xml:space="preserve">, and the investigators and study site staff who conducted the study. In addition, the authors thank Lisa von Huth Smith of Novo Nordisk A/S, Denmark, for support with patient-reported outcomes data presentation and critical review of the manuscript draft, and Paul Barlass of </w:t>
      </w:r>
      <w:r w:rsidR="00444F43" w:rsidRPr="00C951F0">
        <w:rPr>
          <w:color w:val="000000" w:themeColor="text1"/>
        </w:rPr>
        <w:t>Axis, a division of Spirit Medical Communications Group Ltd.,</w:t>
      </w:r>
      <w:r w:rsidRPr="00C951F0">
        <w:rPr>
          <w:color w:val="000000" w:themeColor="text1"/>
        </w:rPr>
        <w:t xml:space="preserve"> for medical writing and editorial assistance (funded by Novo Nordisk A/S, Denmark).</w:t>
      </w:r>
    </w:p>
    <w:p w14:paraId="366FE83C" w14:textId="2E8B942B" w:rsidR="00444F43" w:rsidRPr="00C951F0" w:rsidRDefault="00D12997" w:rsidP="00934A10">
      <w:pPr>
        <w:pStyle w:val="Heading3"/>
        <w:rPr>
          <w:color w:val="000000" w:themeColor="text1"/>
        </w:rPr>
      </w:pPr>
      <w:r w:rsidRPr="00C951F0">
        <w:rPr>
          <w:b/>
          <w:bCs/>
          <w:color w:val="000000" w:themeColor="text1"/>
        </w:rPr>
        <w:t>Data sharing statement</w:t>
      </w:r>
    </w:p>
    <w:p w14:paraId="607F15FA" w14:textId="5AC45077" w:rsidR="00444F43" w:rsidRPr="00C951F0" w:rsidRDefault="00444F43" w:rsidP="00444F43">
      <w:pPr>
        <w:rPr>
          <w:color w:val="000000" w:themeColor="text1"/>
        </w:rPr>
      </w:pPr>
      <w:r w:rsidRPr="00C951F0">
        <w:rPr>
          <w:color w:val="000000" w:themeColor="text1"/>
        </w:rPr>
        <w:t xml:space="preserve">Data will be shared with bona fide researchers submitting a research proposal approved by the independent review board. Access request proposals can be found at novonordisk-trials.com. Data will be made available after research completion, and approval of the product and product use in the European Union and the USA. Individual </w:t>
      </w:r>
      <w:r w:rsidR="00CF7014">
        <w:rPr>
          <w:color w:val="000000" w:themeColor="text1"/>
        </w:rPr>
        <w:t>patient</w:t>
      </w:r>
      <w:r w:rsidR="00CF7014" w:rsidRPr="00C951F0">
        <w:rPr>
          <w:color w:val="000000" w:themeColor="text1"/>
        </w:rPr>
        <w:t xml:space="preserve"> </w:t>
      </w:r>
      <w:r w:rsidRPr="00C951F0">
        <w:rPr>
          <w:color w:val="000000" w:themeColor="text1"/>
        </w:rPr>
        <w:t>data will be shared in data sets in a de-identified/</w:t>
      </w:r>
      <w:proofErr w:type="spellStart"/>
      <w:r w:rsidR="00091237" w:rsidRPr="00C951F0">
        <w:rPr>
          <w:color w:val="000000" w:themeColor="text1"/>
        </w:rPr>
        <w:t>anonymised</w:t>
      </w:r>
      <w:proofErr w:type="spellEnd"/>
      <w:r w:rsidR="00091237" w:rsidRPr="00C951F0">
        <w:rPr>
          <w:color w:val="000000" w:themeColor="text1"/>
        </w:rPr>
        <w:t xml:space="preserve"> </w:t>
      </w:r>
      <w:r w:rsidRPr="00C951F0">
        <w:rPr>
          <w:color w:val="000000" w:themeColor="text1"/>
        </w:rPr>
        <w:t>format.</w:t>
      </w:r>
    </w:p>
    <w:p w14:paraId="7D7B719D" w14:textId="131CE56D" w:rsidR="00B1644A" w:rsidRPr="00C951F0" w:rsidRDefault="00D12997" w:rsidP="00934A10">
      <w:pPr>
        <w:pStyle w:val="Heading3"/>
        <w:rPr>
          <w:color w:val="000000" w:themeColor="text1"/>
          <w:szCs w:val="32"/>
        </w:rPr>
      </w:pPr>
      <w:r w:rsidRPr="00C951F0">
        <w:rPr>
          <w:b/>
          <w:bCs/>
          <w:color w:val="000000" w:themeColor="text1"/>
          <w:szCs w:val="32"/>
        </w:rPr>
        <w:t>Author contributions</w:t>
      </w:r>
    </w:p>
    <w:p w14:paraId="03C284F5" w14:textId="77777777" w:rsidR="00B1644A" w:rsidRPr="00C951F0" w:rsidRDefault="00B1644A" w:rsidP="0039543A">
      <w:pPr>
        <w:rPr>
          <w:color w:val="000000" w:themeColor="text1"/>
        </w:rPr>
      </w:pPr>
      <w:r w:rsidRPr="00C951F0">
        <w:rPr>
          <w:color w:val="000000" w:themeColor="text1"/>
        </w:rPr>
        <w:t>Melanie Davies: contributed to the data interpretation and manuscript development.</w:t>
      </w:r>
    </w:p>
    <w:p w14:paraId="5873544A" w14:textId="77777777" w:rsidR="00B1644A" w:rsidRPr="00C951F0" w:rsidRDefault="00B1644A" w:rsidP="0039543A">
      <w:pPr>
        <w:rPr>
          <w:color w:val="000000" w:themeColor="text1"/>
        </w:rPr>
      </w:pPr>
      <w:r w:rsidRPr="00C951F0">
        <w:rPr>
          <w:color w:val="000000" w:themeColor="text1"/>
        </w:rPr>
        <w:t>Louise Færch: contributed to the design and conduct of the trial, data collection, analysis and interpretation, and manuscript development.</w:t>
      </w:r>
    </w:p>
    <w:p w14:paraId="5B7577F1" w14:textId="77777777" w:rsidR="00B1644A" w:rsidRPr="00C951F0" w:rsidRDefault="00B1644A" w:rsidP="0039543A">
      <w:pPr>
        <w:rPr>
          <w:color w:val="000000" w:themeColor="text1"/>
        </w:rPr>
      </w:pPr>
      <w:r w:rsidRPr="00C951F0">
        <w:rPr>
          <w:color w:val="000000" w:themeColor="text1"/>
        </w:rPr>
        <w:t>Ole Kleist Jeppesen: contributed to the conduct of the trial, data collection, analysis and interpretation, and manuscript development.</w:t>
      </w:r>
    </w:p>
    <w:p w14:paraId="44874951" w14:textId="2B1EB13C" w:rsidR="00B1644A" w:rsidRPr="00C951F0" w:rsidRDefault="00B1644A" w:rsidP="0039543A">
      <w:pPr>
        <w:rPr>
          <w:color w:val="000000" w:themeColor="text1"/>
        </w:rPr>
      </w:pPr>
      <w:r w:rsidRPr="00C951F0">
        <w:rPr>
          <w:color w:val="000000" w:themeColor="text1"/>
        </w:rPr>
        <w:t>Arash Pakseresht:</w:t>
      </w:r>
      <w:r w:rsidR="00BC4C09" w:rsidRPr="00C951F0">
        <w:rPr>
          <w:color w:val="000000" w:themeColor="text1"/>
        </w:rPr>
        <w:t xml:space="preserve"> contributed to data interpretation and manuscript development.</w:t>
      </w:r>
    </w:p>
    <w:p w14:paraId="1514906E" w14:textId="53821E57" w:rsidR="00B1644A" w:rsidRPr="00C951F0" w:rsidRDefault="00B1644A" w:rsidP="0039543A">
      <w:pPr>
        <w:rPr>
          <w:color w:val="000000" w:themeColor="text1"/>
        </w:rPr>
      </w:pPr>
      <w:r w:rsidRPr="00C951F0">
        <w:rPr>
          <w:color w:val="000000" w:themeColor="text1"/>
        </w:rPr>
        <w:t>Sue D. Pedersen: contributed to the conduct of the trial, data collection, data interpretation, and manuscript development</w:t>
      </w:r>
      <w:r w:rsidR="00BC4C09" w:rsidRPr="00C951F0">
        <w:rPr>
          <w:color w:val="000000" w:themeColor="text1"/>
        </w:rPr>
        <w:t>.</w:t>
      </w:r>
    </w:p>
    <w:p w14:paraId="50F583EF" w14:textId="27CCD180" w:rsidR="00B1644A" w:rsidRPr="00C951F0" w:rsidRDefault="00B1644A" w:rsidP="0039543A">
      <w:pPr>
        <w:rPr>
          <w:color w:val="000000" w:themeColor="text1"/>
        </w:rPr>
      </w:pPr>
      <w:r w:rsidRPr="00C951F0">
        <w:rPr>
          <w:color w:val="000000" w:themeColor="text1"/>
        </w:rPr>
        <w:t>Leigh Perreault:</w:t>
      </w:r>
      <w:r w:rsidR="00BC4C09" w:rsidRPr="00C951F0">
        <w:rPr>
          <w:color w:val="000000" w:themeColor="text1"/>
        </w:rPr>
        <w:t xml:space="preserve"> contributed to the conduct of the trial, data collection, data interpretation, and manuscript development.</w:t>
      </w:r>
    </w:p>
    <w:p w14:paraId="75D33599" w14:textId="1648FC59" w:rsidR="00B1644A" w:rsidRPr="00C951F0" w:rsidRDefault="00B1644A" w:rsidP="0039543A">
      <w:pPr>
        <w:rPr>
          <w:rFonts w:cstheme="minorHAnsi"/>
          <w:color w:val="000000" w:themeColor="text1"/>
        </w:rPr>
      </w:pPr>
      <w:r w:rsidRPr="00C951F0">
        <w:rPr>
          <w:color w:val="000000" w:themeColor="text1"/>
        </w:rPr>
        <w:lastRenderedPageBreak/>
        <w:t xml:space="preserve">Julio Rosenstock: </w:t>
      </w:r>
      <w:r w:rsidRPr="00C951F0">
        <w:rPr>
          <w:rFonts w:cstheme="minorHAnsi"/>
          <w:color w:val="000000" w:themeColor="text1"/>
        </w:rPr>
        <w:t xml:space="preserve">contributed to the conduct of the trial, data collection, </w:t>
      </w:r>
      <w:r w:rsidR="00DE4168" w:rsidRPr="00C951F0">
        <w:rPr>
          <w:rFonts w:cstheme="minorHAnsi"/>
          <w:color w:val="000000" w:themeColor="text1"/>
        </w:rPr>
        <w:t xml:space="preserve">data </w:t>
      </w:r>
      <w:r w:rsidRPr="00C951F0">
        <w:rPr>
          <w:rFonts w:cstheme="minorHAnsi"/>
          <w:color w:val="000000" w:themeColor="text1"/>
        </w:rPr>
        <w:t>interpretation, and manuscript development.</w:t>
      </w:r>
    </w:p>
    <w:p w14:paraId="42BC1D40" w14:textId="77777777" w:rsidR="00B1644A" w:rsidRPr="00C951F0" w:rsidRDefault="00B1644A" w:rsidP="0039543A">
      <w:pPr>
        <w:rPr>
          <w:color w:val="000000" w:themeColor="text1"/>
        </w:rPr>
      </w:pPr>
      <w:r w:rsidRPr="00C951F0">
        <w:rPr>
          <w:color w:val="000000" w:themeColor="text1"/>
        </w:rPr>
        <w:t>Iichiro Shimomura: contributed to data interpretation and manuscript development.</w:t>
      </w:r>
    </w:p>
    <w:p w14:paraId="45BB0507" w14:textId="626D1652" w:rsidR="00B1644A" w:rsidRPr="00C951F0" w:rsidRDefault="00B1644A" w:rsidP="0039543A">
      <w:pPr>
        <w:rPr>
          <w:color w:val="000000" w:themeColor="text1"/>
        </w:rPr>
      </w:pPr>
      <w:r w:rsidRPr="00C951F0">
        <w:rPr>
          <w:color w:val="000000" w:themeColor="text1"/>
        </w:rPr>
        <w:t>Adie Viljoen:</w:t>
      </w:r>
      <w:r w:rsidRPr="00C951F0">
        <w:rPr>
          <w:rFonts w:cstheme="minorHAnsi"/>
          <w:color w:val="000000" w:themeColor="text1"/>
        </w:rPr>
        <w:t xml:space="preserve"> contributed to the conduct of the trial, data interpretation</w:t>
      </w:r>
      <w:r w:rsidR="00DE4168" w:rsidRPr="00C951F0">
        <w:rPr>
          <w:rFonts w:cstheme="minorHAnsi"/>
          <w:color w:val="000000" w:themeColor="text1"/>
        </w:rPr>
        <w:t>,</w:t>
      </w:r>
      <w:r w:rsidRPr="00C951F0">
        <w:rPr>
          <w:rFonts w:cstheme="minorHAnsi"/>
          <w:color w:val="000000" w:themeColor="text1"/>
        </w:rPr>
        <w:t xml:space="preserve"> and manuscript development.</w:t>
      </w:r>
    </w:p>
    <w:p w14:paraId="32BCC326" w14:textId="77777777" w:rsidR="00B1644A" w:rsidRPr="00C951F0" w:rsidRDefault="00B1644A" w:rsidP="0039543A">
      <w:pPr>
        <w:rPr>
          <w:rFonts w:cstheme="minorHAnsi"/>
          <w:color w:val="000000" w:themeColor="text1"/>
        </w:rPr>
      </w:pPr>
      <w:r w:rsidRPr="00C951F0">
        <w:rPr>
          <w:color w:val="000000" w:themeColor="text1"/>
        </w:rPr>
        <w:t xml:space="preserve">Thomas A. Wadden: </w:t>
      </w:r>
      <w:r w:rsidRPr="00C951F0">
        <w:rPr>
          <w:rFonts w:cstheme="minorHAnsi"/>
          <w:color w:val="000000" w:themeColor="text1"/>
        </w:rPr>
        <w:t>contributed to the data interpretation and manuscript development.</w:t>
      </w:r>
    </w:p>
    <w:p w14:paraId="0E9747F9" w14:textId="63FB5388" w:rsidR="00B1644A" w:rsidRPr="00C951F0" w:rsidRDefault="00B1644A" w:rsidP="0039543A">
      <w:pPr>
        <w:rPr>
          <w:rFonts w:cstheme="minorHAnsi"/>
          <w:color w:val="000000" w:themeColor="text1"/>
        </w:rPr>
      </w:pPr>
      <w:r w:rsidRPr="00C951F0">
        <w:rPr>
          <w:color w:val="000000" w:themeColor="text1"/>
        </w:rPr>
        <w:t xml:space="preserve">Ildiko Lingvay: </w:t>
      </w:r>
      <w:r w:rsidRPr="00C951F0">
        <w:rPr>
          <w:rFonts w:cstheme="minorHAnsi"/>
          <w:color w:val="000000" w:themeColor="text1"/>
        </w:rPr>
        <w:t>Contributed to the conduct of the trial, data collection, data interpretation</w:t>
      </w:r>
      <w:r w:rsidR="00DE4168" w:rsidRPr="00C951F0">
        <w:rPr>
          <w:rFonts w:cstheme="minorHAnsi"/>
          <w:color w:val="000000" w:themeColor="text1"/>
        </w:rPr>
        <w:t>,</w:t>
      </w:r>
      <w:r w:rsidRPr="00C951F0">
        <w:rPr>
          <w:rFonts w:cstheme="minorHAnsi"/>
          <w:color w:val="000000" w:themeColor="text1"/>
        </w:rPr>
        <w:t xml:space="preserve"> and manuscript development.</w:t>
      </w:r>
    </w:p>
    <w:p w14:paraId="6BF6B0A2" w14:textId="443DBEF4" w:rsidR="00656521" w:rsidRPr="00C951F0" w:rsidRDefault="00656521" w:rsidP="00656521">
      <w:pPr>
        <w:rPr>
          <w:color w:val="000000" w:themeColor="text1"/>
        </w:rPr>
      </w:pPr>
      <w:r w:rsidRPr="00C951F0">
        <w:rPr>
          <w:color w:val="000000" w:themeColor="text1"/>
        </w:rPr>
        <w:t xml:space="preserve">All authors had access to study </w:t>
      </w:r>
      <w:proofErr w:type="gramStart"/>
      <w:r w:rsidRPr="00C951F0">
        <w:rPr>
          <w:color w:val="000000" w:themeColor="text1"/>
        </w:rPr>
        <w:t>data,  approved</w:t>
      </w:r>
      <w:proofErr w:type="gramEnd"/>
      <w:r w:rsidRPr="00C951F0">
        <w:rPr>
          <w:color w:val="000000" w:themeColor="text1"/>
        </w:rPr>
        <w:t xml:space="preserve"> the final version</w:t>
      </w:r>
      <w:r w:rsidR="00620F94" w:rsidRPr="00C951F0">
        <w:rPr>
          <w:color w:val="000000" w:themeColor="text1"/>
        </w:rPr>
        <w:t xml:space="preserve"> of the manuscript</w:t>
      </w:r>
      <w:r w:rsidRPr="00C951F0">
        <w:rPr>
          <w:color w:val="000000" w:themeColor="text1"/>
        </w:rPr>
        <w:t>, agreed to submission for publication, and vouch for data accuracy and fidelity to the protocol.</w:t>
      </w:r>
    </w:p>
    <w:p w14:paraId="06B4905A" w14:textId="4362C6ED" w:rsidR="00B1644A" w:rsidRPr="00C951F0" w:rsidRDefault="00D12997" w:rsidP="00934A10">
      <w:pPr>
        <w:pStyle w:val="Heading3"/>
        <w:rPr>
          <w:color w:val="000000" w:themeColor="text1"/>
          <w:szCs w:val="32"/>
        </w:rPr>
      </w:pPr>
      <w:r w:rsidRPr="00C951F0">
        <w:rPr>
          <w:b/>
          <w:bCs/>
          <w:color w:val="000000" w:themeColor="text1"/>
          <w:szCs w:val="32"/>
        </w:rPr>
        <w:t>Declaration of interests</w:t>
      </w:r>
    </w:p>
    <w:p w14:paraId="581288A3" w14:textId="5B828655" w:rsidR="00B1644A" w:rsidRPr="00C951F0" w:rsidRDefault="00B1644A" w:rsidP="0039543A">
      <w:pPr>
        <w:rPr>
          <w:color w:val="000000" w:themeColor="text1"/>
        </w:rPr>
      </w:pPr>
      <w:r w:rsidRPr="00C951F0">
        <w:rPr>
          <w:color w:val="000000" w:themeColor="text1"/>
        </w:rPr>
        <w:t>Dr</w:t>
      </w:r>
      <w:r w:rsidR="009B7CB5" w:rsidRPr="00C951F0">
        <w:rPr>
          <w:color w:val="000000" w:themeColor="text1"/>
        </w:rPr>
        <w:t>.</w:t>
      </w:r>
      <w:r w:rsidRPr="00C951F0">
        <w:rPr>
          <w:color w:val="000000" w:themeColor="text1"/>
        </w:rPr>
        <w:t xml:space="preserve"> Davies: Consultant, advisory board member</w:t>
      </w:r>
      <w:r w:rsidR="00DE4168" w:rsidRPr="00C951F0">
        <w:rPr>
          <w:color w:val="000000" w:themeColor="text1"/>
        </w:rPr>
        <w:t>,</w:t>
      </w:r>
      <w:r w:rsidRPr="00C951F0">
        <w:rPr>
          <w:color w:val="000000" w:themeColor="text1"/>
        </w:rPr>
        <w:t xml:space="preserve"> and speaker for Novo Nordisk, Sanofi-Aventis, Lilly, Merck Sharp &amp; Dohme, Boehringer Ingelheim, AstraZeneca, and Janssen; advisory board member for </w:t>
      </w:r>
      <w:proofErr w:type="spellStart"/>
      <w:r w:rsidRPr="00C951F0">
        <w:rPr>
          <w:color w:val="000000" w:themeColor="text1"/>
        </w:rPr>
        <w:t>Servier</w:t>
      </w:r>
      <w:proofErr w:type="spellEnd"/>
      <w:r w:rsidR="00A60EFF">
        <w:rPr>
          <w:color w:val="000000" w:themeColor="text1"/>
        </w:rPr>
        <w:t xml:space="preserve">, </w:t>
      </w:r>
      <w:r w:rsidRPr="00C951F0">
        <w:rPr>
          <w:color w:val="000000" w:themeColor="text1"/>
        </w:rPr>
        <w:t>Gilead Sciences Ltd</w:t>
      </w:r>
      <w:r w:rsidR="00A60EFF">
        <w:rPr>
          <w:color w:val="000000" w:themeColor="text1"/>
        </w:rPr>
        <w:t>, and Lexicon</w:t>
      </w:r>
      <w:r w:rsidRPr="00C951F0">
        <w:rPr>
          <w:color w:val="000000" w:themeColor="text1"/>
        </w:rPr>
        <w:t xml:space="preserve">; speaker for </w:t>
      </w:r>
      <w:proofErr w:type="spellStart"/>
      <w:r w:rsidRPr="00C951F0">
        <w:rPr>
          <w:color w:val="000000" w:themeColor="text1"/>
        </w:rPr>
        <w:t>N</w:t>
      </w:r>
      <w:r w:rsidR="003B7DF6" w:rsidRPr="00C951F0">
        <w:rPr>
          <w:color w:val="000000" w:themeColor="text1"/>
        </w:rPr>
        <w:t>app</w:t>
      </w:r>
      <w:proofErr w:type="spellEnd"/>
      <w:r w:rsidRPr="00C951F0">
        <w:rPr>
          <w:color w:val="000000" w:themeColor="text1"/>
        </w:rPr>
        <w:t>, Mitsubishi Tanabe Pharma Corporation, and Takeda Pharmaceuticals International Inc.; research funding from Novo Nordisk, Sanofi-Aventis, Lilly, Boehringer Ingelheim, AstraZeneca, and Janssen.</w:t>
      </w:r>
    </w:p>
    <w:p w14:paraId="5A10BB0B" w14:textId="082AFE11" w:rsidR="00B1644A" w:rsidRPr="00C951F0" w:rsidRDefault="00B1644A" w:rsidP="0039543A">
      <w:pPr>
        <w:rPr>
          <w:color w:val="000000" w:themeColor="text1"/>
        </w:rPr>
      </w:pPr>
      <w:r w:rsidRPr="00C951F0">
        <w:rPr>
          <w:color w:val="000000" w:themeColor="text1"/>
        </w:rPr>
        <w:t>Dr</w:t>
      </w:r>
      <w:r w:rsidR="009B7CB5" w:rsidRPr="00C951F0">
        <w:rPr>
          <w:color w:val="000000" w:themeColor="text1"/>
        </w:rPr>
        <w:t>.</w:t>
      </w:r>
      <w:r w:rsidRPr="00C951F0">
        <w:rPr>
          <w:color w:val="000000" w:themeColor="text1"/>
        </w:rPr>
        <w:t xml:space="preserve"> F</w:t>
      </w:r>
      <w:r w:rsidRPr="00C951F0">
        <w:rPr>
          <w:rFonts w:cs="Arial"/>
          <w:color w:val="000000" w:themeColor="text1"/>
        </w:rPr>
        <w:t>æ</w:t>
      </w:r>
      <w:r w:rsidRPr="00C951F0">
        <w:rPr>
          <w:color w:val="000000" w:themeColor="text1"/>
        </w:rPr>
        <w:t>rch is an employee of Novo Nordisk and holds shares in the company.</w:t>
      </w:r>
    </w:p>
    <w:p w14:paraId="4EE46911" w14:textId="41F0AD7D" w:rsidR="00B1644A" w:rsidRPr="00C951F0" w:rsidRDefault="00B1644A" w:rsidP="0039543A">
      <w:pPr>
        <w:rPr>
          <w:color w:val="000000" w:themeColor="text1"/>
        </w:rPr>
      </w:pPr>
      <w:r w:rsidRPr="00C951F0">
        <w:rPr>
          <w:color w:val="000000" w:themeColor="text1"/>
        </w:rPr>
        <w:t>Mr</w:t>
      </w:r>
      <w:r w:rsidR="009B7CB5" w:rsidRPr="00C951F0">
        <w:rPr>
          <w:color w:val="000000" w:themeColor="text1"/>
        </w:rPr>
        <w:t>.</w:t>
      </w:r>
      <w:r w:rsidRPr="00C951F0">
        <w:rPr>
          <w:color w:val="000000" w:themeColor="text1"/>
        </w:rPr>
        <w:t xml:space="preserve"> Kleist Jeppesen is an employee of Novo Nordisk and holds shares in the company.</w:t>
      </w:r>
    </w:p>
    <w:p w14:paraId="2B9F8360" w14:textId="1E26B8A3" w:rsidR="00B1644A" w:rsidRPr="00C951F0" w:rsidRDefault="00B1644A" w:rsidP="0039543A">
      <w:pPr>
        <w:rPr>
          <w:color w:val="000000" w:themeColor="text1"/>
        </w:rPr>
      </w:pPr>
      <w:r w:rsidRPr="00C951F0">
        <w:rPr>
          <w:color w:val="000000" w:themeColor="text1"/>
        </w:rPr>
        <w:t>Dr</w:t>
      </w:r>
      <w:r w:rsidR="009B7CB5" w:rsidRPr="00C951F0">
        <w:rPr>
          <w:color w:val="000000" w:themeColor="text1"/>
        </w:rPr>
        <w:t>.</w:t>
      </w:r>
      <w:r w:rsidRPr="00C951F0">
        <w:rPr>
          <w:color w:val="000000" w:themeColor="text1"/>
        </w:rPr>
        <w:t xml:space="preserve"> Pakseresht is an employee of Novo Nordisk A/S.</w:t>
      </w:r>
    </w:p>
    <w:p w14:paraId="3C430258" w14:textId="77777777" w:rsidR="00A60EFF" w:rsidRPr="00C951F0" w:rsidRDefault="00A60EFF" w:rsidP="00A60EFF">
      <w:pPr>
        <w:rPr>
          <w:color w:val="000000" w:themeColor="text1"/>
        </w:rPr>
      </w:pPr>
      <w:r w:rsidRPr="00F8329C">
        <w:rPr>
          <w:color w:val="000000" w:themeColor="text1"/>
        </w:rPr>
        <w:t xml:space="preserve">Dr. Pedersen has received personal fees for advisory boards and speaker’s bureau from Novo Nordisk, Janssen, Eli Lilly, Merck, Bausch/Valeant, AstraZeneca, Abbott, Boehringer Ingelheim, Sanofi, HLS therapeutics, and Dexcom; personal fees for consulting from Novo Nordisk, Janssen, AstraZeneca, Abbott, HLS therapeutics, and Dexcom; personal fees for clinical trials from Novo Nordisk, Eli Lilly, AstraZeneca, Sanofi, </w:t>
      </w:r>
      <w:proofErr w:type="spellStart"/>
      <w:r w:rsidRPr="00F8329C">
        <w:rPr>
          <w:color w:val="000000" w:themeColor="text1"/>
        </w:rPr>
        <w:t>Prometic</w:t>
      </w:r>
      <w:proofErr w:type="spellEnd"/>
      <w:r w:rsidRPr="00F8329C">
        <w:rPr>
          <w:color w:val="000000" w:themeColor="text1"/>
        </w:rPr>
        <w:t xml:space="preserve">, and Pfizer; grants </w:t>
      </w:r>
      <w:r w:rsidRPr="00F8329C">
        <w:rPr>
          <w:color w:val="000000" w:themeColor="text1"/>
        </w:rPr>
        <w:lastRenderedPageBreak/>
        <w:t>from Eli Lilly, AstraZeneca, Abbott, Boehringer Ingelheim, and Sanofi; and non-fin</w:t>
      </w:r>
      <w:r>
        <w:rPr>
          <w:color w:val="000000" w:themeColor="text1"/>
        </w:rPr>
        <w:t>anci</w:t>
      </w:r>
      <w:r w:rsidRPr="00F8329C">
        <w:rPr>
          <w:color w:val="000000" w:themeColor="text1"/>
        </w:rPr>
        <w:t>al support for travel to meetings from Novo Nordisk, Janssen, Eli Lilly, Bausch/Valeant, AstraZeneca, Boehringer Ingelheim, and Sanofi.</w:t>
      </w:r>
    </w:p>
    <w:p w14:paraId="3BA8762B" w14:textId="5EBE37AA" w:rsidR="00B1644A" w:rsidRPr="00C951F0" w:rsidRDefault="00B1644A" w:rsidP="0039543A">
      <w:pPr>
        <w:rPr>
          <w:color w:val="000000" w:themeColor="text1"/>
        </w:rPr>
      </w:pPr>
      <w:r w:rsidRPr="00C951F0">
        <w:rPr>
          <w:color w:val="000000" w:themeColor="text1"/>
        </w:rPr>
        <w:t>Dr</w:t>
      </w:r>
      <w:r w:rsidR="009B7CB5" w:rsidRPr="00C951F0">
        <w:rPr>
          <w:color w:val="000000" w:themeColor="text1"/>
        </w:rPr>
        <w:t>.</w:t>
      </w:r>
      <w:r w:rsidRPr="00C951F0">
        <w:rPr>
          <w:color w:val="000000" w:themeColor="text1"/>
        </w:rPr>
        <w:t xml:space="preserve"> Perreault has received personal fees for consulting and/or speaking from Novo Nordisk, Sanofi, Boehringer</w:t>
      </w:r>
      <w:r w:rsidR="00352258" w:rsidRPr="00C951F0">
        <w:rPr>
          <w:color w:val="000000" w:themeColor="text1"/>
        </w:rPr>
        <w:t xml:space="preserve"> </w:t>
      </w:r>
      <w:r w:rsidRPr="00C951F0">
        <w:rPr>
          <w:color w:val="000000" w:themeColor="text1"/>
        </w:rPr>
        <w:t>Ingelheim, Eli Lilly, AstraZeneca, Janssen, Merck, Medscape</w:t>
      </w:r>
      <w:r w:rsidR="00DE4168" w:rsidRPr="00C951F0">
        <w:rPr>
          <w:color w:val="000000" w:themeColor="text1"/>
        </w:rPr>
        <w:t>,</w:t>
      </w:r>
      <w:r w:rsidRPr="00C951F0">
        <w:rPr>
          <w:color w:val="000000" w:themeColor="text1"/>
        </w:rPr>
        <w:t xml:space="preserve"> and UpToDate.</w:t>
      </w:r>
    </w:p>
    <w:p w14:paraId="48CA1DFF" w14:textId="72AC8EE0" w:rsidR="00B1644A" w:rsidRPr="00C951F0" w:rsidRDefault="00B1644A" w:rsidP="0039543A">
      <w:pPr>
        <w:rPr>
          <w:color w:val="000000" w:themeColor="text1"/>
        </w:rPr>
      </w:pPr>
      <w:r w:rsidRPr="00C951F0">
        <w:rPr>
          <w:color w:val="000000" w:themeColor="text1"/>
        </w:rPr>
        <w:t>Dr</w:t>
      </w:r>
      <w:r w:rsidR="009B7CB5" w:rsidRPr="00C951F0">
        <w:rPr>
          <w:color w:val="000000" w:themeColor="text1"/>
        </w:rPr>
        <w:t>.</w:t>
      </w:r>
      <w:r w:rsidRPr="00C951F0">
        <w:rPr>
          <w:color w:val="000000" w:themeColor="text1"/>
        </w:rPr>
        <w:t xml:space="preserve"> Rosenstock has served on scientific advisory boards and received honoraria or consulting fees from Applied Therapeutics, Eli Lilly, Sanofi, Novo Nordisk, Janssen, </w:t>
      </w:r>
      <w:proofErr w:type="spellStart"/>
      <w:r w:rsidRPr="00C951F0">
        <w:rPr>
          <w:color w:val="000000" w:themeColor="text1"/>
        </w:rPr>
        <w:t>Oramed</w:t>
      </w:r>
      <w:proofErr w:type="spellEnd"/>
      <w:r w:rsidRPr="00C951F0">
        <w:rPr>
          <w:color w:val="000000" w:themeColor="text1"/>
        </w:rPr>
        <w:t>, Boehringer Ingelheim</w:t>
      </w:r>
      <w:r w:rsidR="00DE4168" w:rsidRPr="00C951F0">
        <w:rPr>
          <w:color w:val="000000" w:themeColor="text1"/>
        </w:rPr>
        <w:t>,</w:t>
      </w:r>
      <w:r w:rsidRPr="00C951F0">
        <w:rPr>
          <w:color w:val="000000" w:themeColor="text1"/>
        </w:rPr>
        <w:t xml:space="preserve"> and Intarcia. He has also received grants/research support from </w:t>
      </w:r>
      <w:r w:rsidR="00A60EFF">
        <w:rPr>
          <w:color w:val="000000" w:themeColor="text1"/>
        </w:rPr>
        <w:t xml:space="preserve">Applied Therapeutics, </w:t>
      </w:r>
      <w:r w:rsidRPr="00C951F0">
        <w:rPr>
          <w:color w:val="000000" w:themeColor="text1"/>
        </w:rPr>
        <w:t xml:space="preserve">Merck, Novartis, Pfizer, Sanofi, Novo Nordisk, Eli Lilly, GlaxoSmithKline, Genentech, Janssen, Lexicon, Boehringer Ingelheim, </w:t>
      </w:r>
      <w:proofErr w:type="spellStart"/>
      <w:r w:rsidRPr="00C951F0">
        <w:rPr>
          <w:color w:val="000000" w:themeColor="text1"/>
        </w:rPr>
        <w:t>Oramed</w:t>
      </w:r>
      <w:proofErr w:type="spellEnd"/>
      <w:r w:rsidR="00DE4168" w:rsidRPr="00C951F0">
        <w:rPr>
          <w:color w:val="000000" w:themeColor="text1"/>
        </w:rPr>
        <w:t>,</w:t>
      </w:r>
      <w:r w:rsidRPr="00C951F0">
        <w:rPr>
          <w:color w:val="000000" w:themeColor="text1"/>
        </w:rPr>
        <w:t xml:space="preserve"> and Intarcia.</w:t>
      </w:r>
    </w:p>
    <w:p w14:paraId="0CED9954" w14:textId="5BF0D68A" w:rsidR="00B1644A" w:rsidRPr="00C951F0" w:rsidRDefault="00B1644A" w:rsidP="0039543A">
      <w:pPr>
        <w:rPr>
          <w:color w:val="000000" w:themeColor="text1"/>
        </w:rPr>
      </w:pPr>
      <w:r w:rsidRPr="00C951F0">
        <w:rPr>
          <w:color w:val="000000" w:themeColor="text1"/>
        </w:rPr>
        <w:t>Dr</w:t>
      </w:r>
      <w:r w:rsidR="009B7CB5" w:rsidRPr="00C951F0">
        <w:rPr>
          <w:color w:val="000000" w:themeColor="text1"/>
        </w:rPr>
        <w:t>.</w:t>
      </w:r>
      <w:r w:rsidRPr="00C951F0">
        <w:rPr>
          <w:color w:val="000000" w:themeColor="text1"/>
        </w:rPr>
        <w:t xml:space="preserve"> Shimomura has received consulting fees and/or speakers’ bureau from Astellas Pharma Inc., Eli Lilly Japan K.K., Kowa Company Ltd., Mitsubishi Tanabe Pharma Corp., MSD K.K., Nippon Boehringer Ingelheim Co., Ltd., Novo Nordisk Pharma Ltd., Ono Pharmaceutical Co., Ltd., Sanofi K.K., Sanwa Kagaku </w:t>
      </w:r>
      <w:proofErr w:type="spellStart"/>
      <w:r w:rsidRPr="00C951F0">
        <w:rPr>
          <w:color w:val="000000" w:themeColor="text1"/>
        </w:rPr>
        <w:t>Kenkyusho</w:t>
      </w:r>
      <w:proofErr w:type="spellEnd"/>
      <w:r w:rsidRPr="00C951F0">
        <w:rPr>
          <w:color w:val="000000" w:themeColor="text1"/>
        </w:rPr>
        <w:t xml:space="preserve"> Co., Ltd., and Takeda Pharmaceutical Co., Ltd. He has also received research support from </w:t>
      </w:r>
      <w:r w:rsidR="00A90F00" w:rsidRPr="00C951F0">
        <w:rPr>
          <w:color w:val="000000" w:themeColor="text1"/>
        </w:rPr>
        <w:t xml:space="preserve">the </w:t>
      </w:r>
      <w:r w:rsidRPr="00C951F0">
        <w:rPr>
          <w:color w:val="000000" w:themeColor="text1"/>
        </w:rPr>
        <w:t>Japan Agency for Medical Research and Development, Kowa Company Ltd., and Rohto Pharmaceutical Co., Ltd. He has</w:t>
      </w:r>
      <w:r w:rsidR="00A90F00" w:rsidRPr="00C951F0">
        <w:rPr>
          <w:color w:val="000000" w:themeColor="text1"/>
        </w:rPr>
        <w:t xml:space="preserve"> also</w:t>
      </w:r>
      <w:r w:rsidRPr="00C951F0">
        <w:rPr>
          <w:color w:val="000000" w:themeColor="text1"/>
        </w:rPr>
        <w:t xml:space="preserve"> received scholarship grants from Astellas Pharma Inc., AstraZeneca K.K., Daiichi Sankyo Co., Ltd., Japan Diabetes Foundation, Japan Foundation for Applied Enzymology, Kowa Company Ltd., Kowa Life Science Foundation, Kyowa Kirin Co., Ltd., Novartis Pharma K.K., Novo Nordisk Pharma Ltd., Midori Health Care Foundation, Mitsubishi Tanabe Pharma Corp., MSD K.K., MSD Life Science Foundation, Ono Pharmaceutical Co., Ltd., Osaka </w:t>
      </w:r>
      <w:proofErr w:type="spellStart"/>
      <w:r w:rsidRPr="00C951F0">
        <w:rPr>
          <w:color w:val="000000" w:themeColor="text1"/>
        </w:rPr>
        <w:t>Kaisei</w:t>
      </w:r>
      <w:proofErr w:type="spellEnd"/>
      <w:r w:rsidRPr="00C951F0">
        <w:rPr>
          <w:color w:val="000000" w:themeColor="text1"/>
        </w:rPr>
        <w:t xml:space="preserve"> Hospital, Sanofi K.K., Sumitomo Dainippon Pharma Co., Ltd., </w:t>
      </w:r>
      <w:proofErr w:type="spellStart"/>
      <w:r w:rsidRPr="00C951F0">
        <w:rPr>
          <w:color w:val="000000" w:themeColor="text1"/>
        </w:rPr>
        <w:t>Suzuken</w:t>
      </w:r>
      <w:proofErr w:type="spellEnd"/>
      <w:r w:rsidRPr="00C951F0">
        <w:rPr>
          <w:color w:val="000000" w:themeColor="text1"/>
        </w:rPr>
        <w:t xml:space="preserve"> Memorial Foundation, Takeda Pharmaceutical Co., Ltd., T</w:t>
      </w:r>
      <w:r w:rsidR="00A90F00" w:rsidRPr="00C951F0">
        <w:rPr>
          <w:color w:val="000000" w:themeColor="text1"/>
        </w:rPr>
        <w:t>eijin</w:t>
      </w:r>
      <w:r w:rsidRPr="00C951F0">
        <w:rPr>
          <w:color w:val="000000" w:themeColor="text1"/>
        </w:rPr>
        <w:t xml:space="preserve"> P</w:t>
      </w:r>
      <w:r w:rsidR="00A90F00" w:rsidRPr="00C951F0">
        <w:rPr>
          <w:color w:val="000000" w:themeColor="text1"/>
        </w:rPr>
        <w:t xml:space="preserve">harma </w:t>
      </w:r>
      <w:r w:rsidRPr="00C951F0">
        <w:rPr>
          <w:color w:val="000000" w:themeColor="text1"/>
        </w:rPr>
        <w:t>L</w:t>
      </w:r>
      <w:r w:rsidR="00A90F00" w:rsidRPr="00C951F0">
        <w:rPr>
          <w:color w:val="000000" w:themeColor="text1"/>
        </w:rPr>
        <w:t>imited</w:t>
      </w:r>
      <w:r w:rsidRPr="00C951F0">
        <w:rPr>
          <w:color w:val="000000" w:themeColor="text1"/>
        </w:rPr>
        <w:t>, Terumo Corporation, and The Japan Diabetes Society.</w:t>
      </w:r>
    </w:p>
    <w:p w14:paraId="121FEF41" w14:textId="4DF690AC" w:rsidR="00B1644A" w:rsidRPr="00C951F0" w:rsidRDefault="00B1644A" w:rsidP="0039543A">
      <w:pPr>
        <w:rPr>
          <w:color w:val="000000" w:themeColor="text1"/>
        </w:rPr>
      </w:pPr>
      <w:r w:rsidRPr="00C951F0">
        <w:rPr>
          <w:color w:val="000000" w:themeColor="text1"/>
        </w:rPr>
        <w:lastRenderedPageBreak/>
        <w:t>Dr</w:t>
      </w:r>
      <w:r w:rsidR="009B7CB5" w:rsidRPr="00C951F0">
        <w:rPr>
          <w:color w:val="000000" w:themeColor="text1"/>
        </w:rPr>
        <w:t>.</w:t>
      </w:r>
      <w:r w:rsidRPr="00C951F0">
        <w:rPr>
          <w:color w:val="000000" w:themeColor="text1"/>
        </w:rPr>
        <w:t xml:space="preserve"> Viljoen has conducted research trials, served as an advisor</w:t>
      </w:r>
      <w:r w:rsidR="00DE4168" w:rsidRPr="00C951F0">
        <w:rPr>
          <w:color w:val="000000" w:themeColor="text1"/>
        </w:rPr>
        <w:t>,</w:t>
      </w:r>
      <w:r w:rsidRPr="00C951F0">
        <w:rPr>
          <w:color w:val="000000" w:themeColor="text1"/>
        </w:rPr>
        <w:t xml:space="preserve"> and received speakers</w:t>
      </w:r>
      <w:r w:rsidR="00DE4168" w:rsidRPr="00C951F0">
        <w:rPr>
          <w:color w:val="000000" w:themeColor="text1"/>
        </w:rPr>
        <w:t>’</w:t>
      </w:r>
      <w:r w:rsidRPr="00C951F0">
        <w:rPr>
          <w:color w:val="000000" w:themeColor="text1"/>
        </w:rPr>
        <w:t xml:space="preserve"> bureau fees from Amgen, AstraZeneca, Boehringer</w:t>
      </w:r>
      <w:r w:rsidR="00352258" w:rsidRPr="00C951F0">
        <w:rPr>
          <w:color w:val="000000" w:themeColor="text1"/>
        </w:rPr>
        <w:t xml:space="preserve"> </w:t>
      </w:r>
      <w:r w:rsidRPr="00C951F0">
        <w:rPr>
          <w:color w:val="000000" w:themeColor="text1"/>
        </w:rPr>
        <w:t xml:space="preserve">Ingelheim, Eli Lilly, </w:t>
      </w:r>
      <w:proofErr w:type="spellStart"/>
      <w:r w:rsidRPr="00C951F0">
        <w:rPr>
          <w:color w:val="000000" w:themeColor="text1"/>
        </w:rPr>
        <w:t>MannKind</w:t>
      </w:r>
      <w:proofErr w:type="spellEnd"/>
      <w:r w:rsidRPr="00C951F0">
        <w:rPr>
          <w:color w:val="000000" w:themeColor="text1"/>
        </w:rPr>
        <w:t xml:space="preserve">, </w:t>
      </w:r>
      <w:proofErr w:type="spellStart"/>
      <w:r w:rsidRPr="00C951F0">
        <w:rPr>
          <w:color w:val="000000" w:themeColor="text1"/>
        </w:rPr>
        <w:t>Napp</w:t>
      </w:r>
      <w:proofErr w:type="spellEnd"/>
      <w:r w:rsidRPr="00C951F0">
        <w:rPr>
          <w:color w:val="000000" w:themeColor="text1"/>
        </w:rPr>
        <w:t>, Novartis, Novo Nordisk, Regeneron, Sanofi, Takeda,</w:t>
      </w:r>
      <w:r w:rsidR="009B7CB5" w:rsidRPr="00C951F0">
        <w:rPr>
          <w:color w:val="000000" w:themeColor="text1"/>
        </w:rPr>
        <w:t xml:space="preserve"> and</w:t>
      </w:r>
      <w:r w:rsidR="00A13FCC" w:rsidRPr="00C951F0">
        <w:rPr>
          <w:color w:val="000000" w:themeColor="text1"/>
        </w:rPr>
        <w:t xml:space="preserve"> </w:t>
      </w:r>
      <w:r w:rsidRPr="00C951F0">
        <w:rPr>
          <w:color w:val="000000" w:themeColor="text1"/>
        </w:rPr>
        <w:t>Tosoh.</w:t>
      </w:r>
    </w:p>
    <w:p w14:paraId="6E2A4BE1" w14:textId="5A602F9B" w:rsidR="00B1644A" w:rsidRPr="00C951F0" w:rsidRDefault="00B1644A" w:rsidP="0039543A">
      <w:pPr>
        <w:rPr>
          <w:color w:val="000000" w:themeColor="text1"/>
        </w:rPr>
      </w:pPr>
      <w:r w:rsidRPr="00C951F0">
        <w:rPr>
          <w:color w:val="000000" w:themeColor="text1"/>
        </w:rPr>
        <w:t>Dr</w:t>
      </w:r>
      <w:r w:rsidR="009B7CB5" w:rsidRPr="00C951F0">
        <w:rPr>
          <w:color w:val="000000" w:themeColor="text1"/>
        </w:rPr>
        <w:t>.</w:t>
      </w:r>
      <w:r w:rsidRPr="00C951F0">
        <w:rPr>
          <w:color w:val="000000" w:themeColor="text1"/>
        </w:rPr>
        <w:t xml:space="preserve"> Wadden serves on advisory boards for Novo Nordisk and WW (formerly Weight Watchers) and has received grant support, on behalf of the University of Pennsylvania, from Novo Nordisk. </w:t>
      </w:r>
    </w:p>
    <w:p w14:paraId="67ADEA93" w14:textId="67575337" w:rsidR="00B1644A" w:rsidRPr="00C951F0" w:rsidRDefault="00B1644A" w:rsidP="0039543A">
      <w:pPr>
        <w:rPr>
          <w:color w:val="000000" w:themeColor="text1"/>
        </w:rPr>
      </w:pPr>
      <w:r w:rsidRPr="00C951F0">
        <w:rPr>
          <w:color w:val="000000" w:themeColor="text1"/>
        </w:rPr>
        <w:t>Dr</w:t>
      </w:r>
      <w:r w:rsidR="009B7CB5" w:rsidRPr="00C951F0">
        <w:rPr>
          <w:color w:val="000000" w:themeColor="text1"/>
        </w:rPr>
        <w:t>.</w:t>
      </w:r>
      <w:r w:rsidRPr="00C951F0">
        <w:rPr>
          <w:color w:val="000000" w:themeColor="text1"/>
        </w:rPr>
        <w:t xml:space="preserve"> Lingvay has received research funding, advisory/consulting fees and/or other support from Novo Nordisk, Eli Lilly, Sanofi, AstraZeneca, Boehringer</w:t>
      </w:r>
      <w:r w:rsidR="00352258" w:rsidRPr="00C951F0">
        <w:rPr>
          <w:color w:val="000000" w:themeColor="text1"/>
        </w:rPr>
        <w:t xml:space="preserve"> </w:t>
      </w:r>
      <w:r w:rsidRPr="00C951F0">
        <w:rPr>
          <w:color w:val="000000" w:themeColor="text1"/>
        </w:rPr>
        <w:t xml:space="preserve">Ingelheim, Janssen, Intercept, Intarcia, </w:t>
      </w:r>
      <w:proofErr w:type="spellStart"/>
      <w:r w:rsidRPr="00C951F0">
        <w:rPr>
          <w:color w:val="000000" w:themeColor="text1"/>
        </w:rPr>
        <w:t>TARGETPharma</w:t>
      </w:r>
      <w:proofErr w:type="spellEnd"/>
      <w:r w:rsidRPr="00C951F0">
        <w:rPr>
          <w:color w:val="000000" w:themeColor="text1"/>
        </w:rPr>
        <w:t xml:space="preserve">, Merck, Pfizer, Novartis, GI Dynamics, Mylan, </w:t>
      </w:r>
      <w:proofErr w:type="spellStart"/>
      <w:r w:rsidRPr="00C951F0">
        <w:rPr>
          <w:color w:val="000000" w:themeColor="text1"/>
        </w:rPr>
        <w:t>Mannkind</w:t>
      </w:r>
      <w:proofErr w:type="spellEnd"/>
      <w:r w:rsidRPr="00C951F0">
        <w:rPr>
          <w:color w:val="000000" w:themeColor="text1"/>
        </w:rPr>
        <w:t xml:space="preserve">, </w:t>
      </w:r>
      <w:proofErr w:type="spellStart"/>
      <w:r w:rsidRPr="00C951F0">
        <w:rPr>
          <w:color w:val="000000" w:themeColor="text1"/>
        </w:rPr>
        <w:t>Valeritas</w:t>
      </w:r>
      <w:proofErr w:type="spellEnd"/>
      <w:r w:rsidRPr="00C951F0">
        <w:rPr>
          <w:color w:val="000000" w:themeColor="text1"/>
        </w:rPr>
        <w:t xml:space="preserve">, </w:t>
      </w:r>
      <w:r w:rsidR="006A6CF0" w:rsidRPr="00C951F0">
        <w:rPr>
          <w:color w:val="000000" w:themeColor="text1"/>
        </w:rPr>
        <w:t xml:space="preserve">Bayer, </w:t>
      </w:r>
      <w:r w:rsidR="009B7CB5" w:rsidRPr="00C951F0">
        <w:rPr>
          <w:color w:val="000000" w:themeColor="text1"/>
        </w:rPr>
        <w:t xml:space="preserve">and </w:t>
      </w:r>
      <w:r w:rsidRPr="00C951F0">
        <w:rPr>
          <w:color w:val="000000" w:themeColor="text1"/>
        </w:rPr>
        <w:t>Zealand Pharma.</w:t>
      </w:r>
    </w:p>
    <w:p w14:paraId="5D129C28" w14:textId="5372E84E" w:rsidR="00091237" w:rsidRPr="00C951F0" w:rsidRDefault="00D12997" w:rsidP="00934A10">
      <w:pPr>
        <w:pStyle w:val="Heading3"/>
        <w:rPr>
          <w:b/>
          <w:bCs/>
          <w:color w:val="000000" w:themeColor="text1"/>
        </w:rPr>
      </w:pPr>
      <w:r w:rsidRPr="00C951F0">
        <w:rPr>
          <w:b/>
          <w:bCs/>
          <w:color w:val="000000" w:themeColor="text1"/>
        </w:rPr>
        <w:t>Funding</w:t>
      </w:r>
    </w:p>
    <w:p w14:paraId="63C689AE" w14:textId="77777777" w:rsidR="00656521" w:rsidRPr="00C951F0" w:rsidRDefault="00091237" w:rsidP="00934A10">
      <w:pPr>
        <w:spacing w:after="160"/>
        <w:rPr>
          <w:rFonts w:cs="Arial"/>
          <w:color w:val="000000" w:themeColor="text1"/>
        </w:rPr>
      </w:pPr>
      <w:r w:rsidRPr="00C951F0">
        <w:rPr>
          <w:rFonts w:cstheme="minorHAnsi"/>
          <w:color w:val="000000" w:themeColor="text1"/>
        </w:rPr>
        <w:t xml:space="preserve">Funded by </w:t>
      </w:r>
      <w:r w:rsidRPr="00C951F0">
        <w:rPr>
          <w:color w:val="000000" w:themeColor="text1"/>
        </w:rPr>
        <w:t xml:space="preserve">Novo Nordisk A/S; STEP 2 ClinicalTrials.gov number, </w:t>
      </w:r>
      <w:r w:rsidRPr="00C951F0">
        <w:rPr>
          <w:rFonts w:cs="Arial"/>
          <w:color w:val="000000" w:themeColor="text1"/>
        </w:rPr>
        <w:t>NCT03552757.</w:t>
      </w:r>
    </w:p>
    <w:p w14:paraId="0C5B3501" w14:textId="77777777" w:rsidR="00620F94" w:rsidRPr="00C951F0" w:rsidRDefault="00D12997" w:rsidP="00934A10">
      <w:pPr>
        <w:pStyle w:val="Heading3"/>
        <w:rPr>
          <w:b/>
          <w:bCs/>
          <w:color w:val="000000" w:themeColor="text1"/>
        </w:rPr>
      </w:pPr>
      <w:r w:rsidRPr="00C951F0">
        <w:rPr>
          <w:b/>
          <w:bCs/>
          <w:color w:val="000000" w:themeColor="text1"/>
        </w:rPr>
        <w:t>Disclosure of correspond</w:t>
      </w:r>
      <w:r w:rsidR="00620F94" w:rsidRPr="00C951F0">
        <w:rPr>
          <w:b/>
          <w:bCs/>
          <w:color w:val="000000" w:themeColor="text1"/>
        </w:rPr>
        <w:t>e</w:t>
      </w:r>
      <w:r w:rsidRPr="00C951F0">
        <w:rPr>
          <w:b/>
          <w:bCs/>
          <w:color w:val="000000" w:themeColor="text1"/>
        </w:rPr>
        <w:t>nce</w:t>
      </w:r>
    </w:p>
    <w:p w14:paraId="160D02B7" w14:textId="0C38FCB3" w:rsidR="00B1644A" w:rsidRPr="00C951F0" w:rsidRDefault="00620F94" w:rsidP="00934A10">
      <w:pPr>
        <w:pStyle w:val="Heading3"/>
        <w:rPr>
          <w:b/>
          <w:bCs/>
          <w:color w:val="000000" w:themeColor="text1"/>
        </w:rPr>
      </w:pPr>
      <w:r w:rsidRPr="00C951F0">
        <w:rPr>
          <w:rFonts w:cstheme="minorHAnsi"/>
          <w:color w:val="000000" w:themeColor="text1"/>
        </w:rPr>
        <w:t>This manuscript was previously submitted to the New England Journal of Medicine</w:t>
      </w:r>
      <w:r w:rsidR="001B48EC" w:rsidRPr="00C951F0">
        <w:rPr>
          <w:rFonts w:cstheme="minorHAnsi"/>
          <w:color w:val="000000" w:themeColor="text1"/>
        </w:rPr>
        <w:t>. Please see the cover letter for further details.</w:t>
      </w:r>
    </w:p>
    <w:p w14:paraId="0C07F765" w14:textId="77777777" w:rsidR="00911976" w:rsidRDefault="00911976">
      <w:pPr>
        <w:spacing w:after="160" w:line="259" w:lineRule="auto"/>
        <w:rPr>
          <w:rFonts w:eastAsia="Times New Roman" w:cs="Times New Roman"/>
          <w:b/>
          <w:bCs/>
          <w:color w:val="000000" w:themeColor="text1"/>
          <w:kern w:val="36"/>
          <w:sz w:val="28"/>
          <w:szCs w:val="33"/>
          <w:lang w:eastAsia="en-GB"/>
        </w:rPr>
      </w:pPr>
      <w:r>
        <w:rPr>
          <w:color w:val="000000" w:themeColor="text1"/>
        </w:rPr>
        <w:br w:type="page"/>
      </w:r>
    </w:p>
    <w:p w14:paraId="0C2DDCE2" w14:textId="7F160D44" w:rsidR="00B1644A" w:rsidRPr="00C951F0" w:rsidRDefault="00D12997" w:rsidP="00114ED2">
      <w:pPr>
        <w:pStyle w:val="Heading1"/>
        <w:spacing w:line="480" w:lineRule="auto"/>
        <w:rPr>
          <w:color w:val="000000" w:themeColor="text1"/>
        </w:rPr>
      </w:pPr>
      <w:r w:rsidRPr="00C951F0">
        <w:rPr>
          <w:color w:val="000000" w:themeColor="text1"/>
        </w:rPr>
        <w:lastRenderedPageBreak/>
        <w:t>References</w:t>
      </w:r>
    </w:p>
    <w:p w14:paraId="7343B0F8" w14:textId="55EF1746" w:rsidR="00B1644A" w:rsidRDefault="00114ED2" w:rsidP="00934A10">
      <w:pPr>
        <w:pStyle w:val="EndNoteBibliography"/>
        <w:spacing w:after="0" w:line="480" w:lineRule="auto"/>
        <w:rPr>
          <w:noProof w:val="0"/>
          <w:color w:val="000000" w:themeColor="text1"/>
        </w:rPr>
      </w:pPr>
      <w:r w:rsidRPr="00C951F0">
        <w:rPr>
          <w:noProof w:val="0"/>
          <w:color w:val="000000" w:themeColor="text1"/>
        </w:rPr>
        <w:t>1.</w:t>
      </w:r>
      <w:r w:rsidRPr="00C951F0">
        <w:rPr>
          <w:noProof w:val="0"/>
          <w:color w:val="000000" w:themeColor="text1"/>
        </w:rPr>
        <w:tab/>
      </w:r>
      <w:r w:rsidR="00B1644A" w:rsidRPr="00C951F0">
        <w:rPr>
          <w:noProof w:val="0"/>
          <w:color w:val="000000" w:themeColor="text1"/>
        </w:rPr>
        <w:t xml:space="preserve">Bramante CT, Lee CJ, </w:t>
      </w:r>
      <w:proofErr w:type="spellStart"/>
      <w:r w:rsidR="00B1644A" w:rsidRPr="00C951F0">
        <w:rPr>
          <w:noProof w:val="0"/>
          <w:color w:val="000000" w:themeColor="text1"/>
        </w:rPr>
        <w:t>Gudzune</w:t>
      </w:r>
      <w:proofErr w:type="spellEnd"/>
      <w:r w:rsidR="00B1644A" w:rsidRPr="00C951F0">
        <w:rPr>
          <w:noProof w:val="0"/>
          <w:color w:val="000000" w:themeColor="text1"/>
        </w:rPr>
        <w:t xml:space="preserve"> KA. Treatment of </w:t>
      </w:r>
      <w:r w:rsidR="00A90F00" w:rsidRPr="00C951F0">
        <w:rPr>
          <w:noProof w:val="0"/>
          <w:color w:val="000000" w:themeColor="text1"/>
        </w:rPr>
        <w:t>o</w:t>
      </w:r>
      <w:r w:rsidR="00B1644A" w:rsidRPr="00C951F0">
        <w:rPr>
          <w:noProof w:val="0"/>
          <w:color w:val="000000" w:themeColor="text1"/>
        </w:rPr>
        <w:t xml:space="preserve">besity in </w:t>
      </w:r>
      <w:r w:rsidR="00A90F00" w:rsidRPr="00C951F0">
        <w:rPr>
          <w:noProof w:val="0"/>
          <w:color w:val="000000" w:themeColor="text1"/>
        </w:rPr>
        <w:t>p</w:t>
      </w:r>
      <w:r w:rsidR="00B1644A" w:rsidRPr="00C951F0">
        <w:rPr>
          <w:noProof w:val="0"/>
          <w:color w:val="000000" w:themeColor="text1"/>
        </w:rPr>
        <w:t xml:space="preserve">atients </w:t>
      </w:r>
      <w:r w:rsidR="00A90F00" w:rsidRPr="00C951F0">
        <w:rPr>
          <w:noProof w:val="0"/>
          <w:color w:val="000000" w:themeColor="text1"/>
        </w:rPr>
        <w:t>w</w:t>
      </w:r>
      <w:r w:rsidR="00B1644A" w:rsidRPr="00C951F0">
        <w:rPr>
          <w:noProof w:val="0"/>
          <w:color w:val="000000" w:themeColor="text1"/>
        </w:rPr>
        <w:t xml:space="preserve">ith </w:t>
      </w:r>
      <w:r w:rsidR="00A90F00" w:rsidRPr="00C951F0">
        <w:rPr>
          <w:noProof w:val="0"/>
          <w:color w:val="000000" w:themeColor="text1"/>
        </w:rPr>
        <w:t>d</w:t>
      </w:r>
      <w:r w:rsidR="00B1644A" w:rsidRPr="00C951F0">
        <w:rPr>
          <w:noProof w:val="0"/>
          <w:color w:val="000000" w:themeColor="text1"/>
        </w:rPr>
        <w:t xml:space="preserve">iabetes. </w:t>
      </w:r>
      <w:r w:rsidR="00B1644A" w:rsidRPr="00C951F0">
        <w:rPr>
          <w:i/>
          <w:iCs/>
          <w:noProof w:val="0"/>
          <w:color w:val="000000" w:themeColor="text1"/>
        </w:rPr>
        <w:t xml:space="preserve">Diabetes </w:t>
      </w:r>
      <w:proofErr w:type="spellStart"/>
      <w:r w:rsidR="00B1644A" w:rsidRPr="00C951F0">
        <w:rPr>
          <w:i/>
          <w:iCs/>
          <w:noProof w:val="0"/>
          <w:color w:val="000000" w:themeColor="text1"/>
        </w:rPr>
        <w:t>Spectr</w:t>
      </w:r>
      <w:proofErr w:type="spellEnd"/>
      <w:r w:rsidR="00B1644A" w:rsidRPr="00C951F0">
        <w:rPr>
          <w:noProof w:val="0"/>
          <w:color w:val="000000" w:themeColor="text1"/>
        </w:rPr>
        <w:t xml:space="preserve"> 2017;</w:t>
      </w:r>
      <w:r w:rsidR="008A62E0" w:rsidRPr="00C951F0">
        <w:rPr>
          <w:noProof w:val="0"/>
          <w:color w:val="000000" w:themeColor="text1"/>
        </w:rPr>
        <w:t xml:space="preserve"> </w:t>
      </w:r>
      <w:r w:rsidR="00B1644A" w:rsidRPr="00C951F0">
        <w:rPr>
          <w:b/>
          <w:bCs/>
          <w:noProof w:val="0"/>
          <w:color w:val="000000" w:themeColor="text1"/>
        </w:rPr>
        <w:t>30:</w:t>
      </w:r>
      <w:r w:rsidR="008A62E0" w:rsidRPr="00C951F0">
        <w:rPr>
          <w:noProof w:val="0"/>
          <w:color w:val="000000" w:themeColor="text1"/>
        </w:rPr>
        <w:t xml:space="preserve"> </w:t>
      </w:r>
      <w:r w:rsidR="00B1644A" w:rsidRPr="00C951F0">
        <w:rPr>
          <w:noProof w:val="0"/>
          <w:color w:val="000000" w:themeColor="text1"/>
        </w:rPr>
        <w:t>237</w:t>
      </w:r>
      <w:r w:rsidR="008A62E0" w:rsidRPr="00C951F0">
        <w:rPr>
          <w:noProof w:val="0"/>
          <w:color w:val="000000" w:themeColor="text1"/>
        </w:rPr>
        <w:t>–</w:t>
      </w:r>
      <w:r w:rsidR="00B1644A" w:rsidRPr="00C951F0">
        <w:rPr>
          <w:noProof w:val="0"/>
          <w:color w:val="000000" w:themeColor="text1"/>
        </w:rPr>
        <w:t>43.</w:t>
      </w:r>
    </w:p>
    <w:p w14:paraId="505CB437" w14:textId="36EE6FB9" w:rsidR="004B580E" w:rsidRPr="00C951F0" w:rsidRDefault="004B580E" w:rsidP="00934A10">
      <w:pPr>
        <w:pStyle w:val="EndNoteBibliography"/>
        <w:spacing w:after="0" w:line="480" w:lineRule="auto"/>
        <w:rPr>
          <w:noProof w:val="0"/>
          <w:color w:val="000000" w:themeColor="text1"/>
        </w:rPr>
      </w:pPr>
      <w:r>
        <w:rPr>
          <w:noProof w:val="0"/>
          <w:color w:val="000000" w:themeColor="text1"/>
        </w:rPr>
        <w:t xml:space="preserve">2. </w:t>
      </w:r>
      <w:r w:rsidR="00911976">
        <w:rPr>
          <w:noProof w:val="0"/>
          <w:color w:val="000000" w:themeColor="text1"/>
        </w:rPr>
        <w:tab/>
      </w:r>
      <w:proofErr w:type="spellStart"/>
      <w:r w:rsidR="00911976" w:rsidRPr="00911976">
        <w:rPr>
          <w:noProof w:val="0"/>
          <w:color w:val="000000" w:themeColor="text1"/>
        </w:rPr>
        <w:t>Su</w:t>
      </w:r>
      <w:proofErr w:type="spellEnd"/>
      <w:r w:rsidR="00911976" w:rsidRPr="00911976">
        <w:rPr>
          <w:noProof w:val="0"/>
          <w:color w:val="000000" w:themeColor="text1"/>
        </w:rPr>
        <w:t xml:space="preserve"> W, Huang J, Chen F, </w:t>
      </w:r>
      <w:proofErr w:type="spellStart"/>
      <w:r w:rsidR="00911976" w:rsidRPr="00911976">
        <w:rPr>
          <w:noProof w:val="0"/>
          <w:color w:val="000000" w:themeColor="text1"/>
        </w:rPr>
        <w:t>Iacobucci</w:t>
      </w:r>
      <w:proofErr w:type="spellEnd"/>
      <w:r w:rsidR="00911976" w:rsidRPr="00911976">
        <w:rPr>
          <w:noProof w:val="0"/>
          <w:color w:val="000000" w:themeColor="text1"/>
        </w:rPr>
        <w:t xml:space="preserve"> W, </w:t>
      </w:r>
      <w:proofErr w:type="spellStart"/>
      <w:r w:rsidR="00911976" w:rsidRPr="00911976">
        <w:rPr>
          <w:noProof w:val="0"/>
          <w:color w:val="000000" w:themeColor="text1"/>
        </w:rPr>
        <w:t>Mocarski</w:t>
      </w:r>
      <w:proofErr w:type="spellEnd"/>
      <w:r w:rsidR="00911976" w:rsidRPr="00911976">
        <w:rPr>
          <w:noProof w:val="0"/>
          <w:color w:val="000000" w:themeColor="text1"/>
        </w:rPr>
        <w:t xml:space="preserve"> M, Dall TM, Perreault L. Modeling the clinical and economic implications of obesity using microsimulation. </w:t>
      </w:r>
      <w:r w:rsidR="00911976" w:rsidRPr="0037035E">
        <w:rPr>
          <w:i/>
          <w:iCs/>
          <w:noProof w:val="0"/>
          <w:color w:val="000000" w:themeColor="text1"/>
        </w:rPr>
        <w:t>J Med Econ</w:t>
      </w:r>
      <w:r w:rsidR="00911976" w:rsidRPr="00911976">
        <w:rPr>
          <w:noProof w:val="0"/>
          <w:color w:val="000000" w:themeColor="text1"/>
        </w:rPr>
        <w:t xml:space="preserve"> 2015;</w:t>
      </w:r>
      <w:r w:rsidR="00545DF2">
        <w:rPr>
          <w:noProof w:val="0"/>
          <w:color w:val="000000" w:themeColor="text1"/>
        </w:rPr>
        <w:t xml:space="preserve"> </w:t>
      </w:r>
      <w:r w:rsidR="00911976" w:rsidRPr="0037035E">
        <w:rPr>
          <w:b/>
          <w:bCs/>
          <w:noProof w:val="0"/>
          <w:color w:val="000000" w:themeColor="text1"/>
        </w:rPr>
        <w:t>18:</w:t>
      </w:r>
      <w:r w:rsidR="00545DF2">
        <w:rPr>
          <w:noProof w:val="0"/>
          <w:color w:val="000000" w:themeColor="text1"/>
        </w:rPr>
        <w:t xml:space="preserve"> </w:t>
      </w:r>
      <w:r w:rsidR="00911976" w:rsidRPr="00911976">
        <w:rPr>
          <w:noProof w:val="0"/>
          <w:color w:val="000000" w:themeColor="text1"/>
        </w:rPr>
        <w:t>886</w:t>
      </w:r>
      <w:r w:rsidR="00545DF2">
        <w:rPr>
          <w:noProof w:val="0"/>
          <w:color w:val="000000" w:themeColor="text1"/>
        </w:rPr>
        <w:t>–</w:t>
      </w:r>
      <w:r w:rsidR="00911976" w:rsidRPr="00911976">
        <w:rPr>
          <w:noProof w:val="0"/>
          <w:color w:val="000000" w:themeColor="text1"/>
        </w:rPr>
        <w:t>97.</w:t>
      </w:r>
    </w:p>
    <w:p w14:paraId="06E91D4C" w14:textId="384FCA16" w:rsidR="00B1644A" w:rsidRPr="00C951F0" w:rsidRDefault="004B580E" w:rsidP="00934A10">
      <w:pPr>
        <w:pStyle w:val="EndNoteBibliography"/>
        <w:spacing w:after="0" w:line="480" w:lineRule="auto"/>
        <w:rPr>
          <w:noProof w:val="0"/>
          <w:color w:val="000000" w:themeColor="text1"/>
        </w:rPr>
      </w:pPr>
      <w:r>
        <w:rPr>
          <w:noProof w:val="0"/>
          <w:color w:val="000000" w:themeColor="text1"/>
        </w:rPr>
        <w:t>3</w:t>
      </w:r>
      <w:r w:rsidR="00114ED2" w:rsidRPr="00C951F0">
        <w:rPr>
          <w:noProof w:val="0"/>
          <w:color w:val="000000" w:themeColor="text1"/>
        </w:rPr>
        <w:t>.</w:t>
      </w:r>
      <w:r w:rsidR="00114ED2" w:rsidRPr="00C951F0">
        <w:rPr>
          <w:noProof w:val="0"/>
          <w:color w:val="000000" w:themeColor="text1"/>
        </w:rPr>
        <w:tab/>
      </w:r>
      <w:proofErr w:type="spellStart"/>
      <w:r w:rsidR="00B1644A" w:rsidRPr="00C951F0">
        <w:rPr>
          <w:noProof w:val="0"/>
          <w:color w:val="000000" w:themeColor="text1"/>
        </w:rPr>
        <w:t>Provilus</w:t>
      </w:r>
      <w:proofErr w:type="spellEnd"/>
      <w:r w:rsidR="00B1644A" w:rsidRPr="00C951F0">
        <w:rPr>
          <w:noProof w:val="0"/>
          <w:color w:val="000000" w:themeColor="text1"/>
        </w:rPr>
        <w:t xml:space="preserve"> A</w:t>
      </w:r>
      <w:r w:rsidR="004C4F62" w:rsidRPr="00C951F0">
        <w:rPr>
          <w:noProof w:val="0"/>
          <w:color w:val="000000" w:themeColor="text1"/>
        </w:rPr>
        <w:t>,</w:t>
      </w:r>
      <w:r w:rsidR="00B1644A" w:rsidRPr="00C951F0">
        <w:rPr>
          <w:noProof w:val="0"/>
          <w:color w:val="000000" w:themeColor="text1"/>
        </w:rPr>
        <w:t xml:space="preserve"> </w:t>
      </w:r>
      <w:r w:rsidR="00065E91" w:rsidRPr="00C951F0">
        <w:rPr>
          <w:noProof w:val="0"/>
          <w:color w:val="000000" w:themeColor="text1"/>
        </w:rPr>
        <w:t xml:space="preserve">Abdallah </w:t>
      </w:r>
      <w:r w:rsidR="00B1644A" w:rsidRPr="00C951F0">
        <w:rPr>
          <w:noProof w:val="0"/>
          <w:color w:val="000000" w:themeColor="text1"/>
        </w:rPr>
        <w:t xml:space="preserve">M, McFarlane SI. Weight gain associated with antidiabetic medications. </w:t>
      </w:r>
      <w:r w:rsidR="00B1644A" w:rsidRPr="00C951F0">
        <w:rPr>
          <w:i/>
          <w:iCs/>
          <w:noProof w:val="0"/>
          <w:color w:val="000000" w:themeColor="text1"/>
        </w:rPr>
        <w:t>Therapy</w:t>
      </w:r>
      <w:r w:rsidR="00B1644A" w:rsidRPr="00C951F0">
        <w:rPr>
          <w:noProof w:val="0"/>
          <w:color w:val="000000" w:themeColor="text1"/>
        </w:rPr>
        <w:t xml:space="preserve"> 2011;</w:t>
      </w:r>
      <w:r w:rsidR="008A62E0" w:rsidRPr="00C951F0">
        <w:rPr>
          <w:noProof w:val="0"/>
          <w:color w:val="000000" w:themeColor="text1"/>
        </w:rPr>
        <w:t xml:space="preserve"> </w:t>
      </w:r>
      <w:r w:rsidR="00B1644A" w:rsidRPr="00C951F0">
        <w:rPr>
          <w:b/>
          <w:bCs/>
          <w:noProof w:val="0"/>
          <w:color w:val="000000" w:themeColor="text1"/>
        </w:rPr>
        <w:t>8:</w:t>
      </w:r>
      <w:r w:rsidR="008A62E0" w:rsidRPr="00C951F0">
        <w:rPr>
          <w:noProof w:val="0"/>
          <w:color w:val="000000" w:themeColor="text1"/>
        </w:rPr>
        <w:t xml:space="preserve"> </w:t>
      </w:r>
      <w:r w:rsidR="00B1644A" w:rsidRPr="00C951F0">
        <w:rPr>
          <w:noProof w:val="0"/>
          <w:color w:val="000000" w:themeColor="text1"/>
        </w:rPr>
        <w:t>113–20.</w:t>
      </w:r>
    </w:p>
    <w:p w14:paraId="3815A22F" w14:textId="68087433" w:rsidR="00B1644A" w:rsidRPr="00C951F0" w:rsidRDefault="004B580E" w:rsidP="00934A10">
      <w:pPr>
        <w:pStyle w:val="EndNoteBibliography"/>
        <w:spacing w:after="0" w:line="480" w:lineRule="auto"/>
        <w:rPr>
          <w:noProof w:val="0"/>
          <w:color w:val="000000" w:themeColor="text1"/>
        </w:rPr>
      </w:pPr>
      <w:r>
        <w:rPr>
          <w:noProof w:val="0"/>
          <w:color w:val="000000" w:themeColor="text1"/>
        </w:rPr>
        <w:t>4</w:t>
      </w:r>
      <w:r w:rsidR="00114ED2" w:rsidRPr="00C951F0">
        <w:rPr>
          <w:noProof w:val="0"/>
          <w:color w:val="000000" w:themeColor="text1"/>
        </w:rPr>
        <w:t>.</w:t>
      </w:r>
      <w:r w:rsidR="00114ED2" w:rsidRPr="00C951F0">
        <w:rPr>
          <w:noProof w:val="0"/>
          <w:color w:val="000000" w:themeColor="text1"/>
        </w:rPr>
        <w:tab/>
      </w:r>
      <w:r w:rsidR="00B1644A" w:rsidRPr="00C951F0">
        <w:rPr>
          <w:noProof w:val="0"/>
          <w:color w:val="000000" w:themeColor="text1"/>
        </w:rPr>
        <w:t xml:space="preserve">Wilding JP. The importance of weight management in type 2 diabetes mellitus. </w:t>
      </w:r>
      <w:r w:rsidR="00B1644A" w:rsidRPr="00C951F0">
        <w:rPr>
          <w:i/>
          <w:iCs/>
          <w:noProof w:val="0"/>
          <w:color w:val="000000" w:themeColor="text1"/>
        </w:rPr>
        <w:t xml:space="preserve">Int J Clin </w:t>
      </w:r>
      <w:proofErr w:type="spellStart"/>
      <w:r w:rsidR="00B1644A" w:rsidRPr="00C951F0">
        <w:rPr>
          <w:i/>
          <w:iCs/>
          <w:noProof w:val="0"/>
          <w:color w:val="000000" w:themeColor="text1"/>
        </w:rPr>
        <w:t>Pract</w:t>
      </w:r>
      <w:proofErr w:type="spellEnd"/>
      <w:r w:rsidR="00B1644A" w:rsidRPr="00C951F0">
        <w:rPr>
          <w:i/>
          <w:iCs/>
          <w:noProof w:val="0"/>
          <w:color w:val="000000" w:themeColor="text1"/>
        </w:rPr>
        <w:t xml:space="preserve"> </w:t>
      </w:r>
      <w:r w:rsidR="00B1644A" w:rsidRPr="00C951F0">
        <w:rPr>
          <w:noProof w:val="0"/>
          <w:color w:val="000000" w:themeColor="text1"/>
        </w:rPr>
        <w:t>2014;</w:t>
      </w:r>
      <w:r w:rsidR="008A62E0" w:rsidRPr="00C951F0">
        <w:rPr>
          <w:noProof w:val="0"/>
          <w:color w:val="000000" w:themeColor="text1"/>
        </w:rPr>
        <w:t xml:space="preserve"> </w:t>
      </w:r>
      <w:r w:rsidR="00B1644A" w:rsidRPr="00C951F0">
        <w:rPr>
          <w:b/>
          <w:bCs/>
          <w:noProof w:val="0"/>
          <w:color w:val="000000" w:themeColor="text1"/>
        </w:rPr>
        <w:t>68:</w:t>
      </w:r>
      <w:r w:rsidR="008A62E0" w:rsidRPr="00C951F0">
        <w:rPr>
          <w:noProof w:val="0"/>
          <w:color w:val="000000" w:themeColor="text1"/>
        </w:rPr>
        <w:t xml:space="preserve"> </w:t>
      </w:r>
      <w:r w:rsidR="00B1644A" w:rsidRPr="00C951F0">
        <w:rPr>
          <w:noProof w:val="0"/>
          <w:color w:val="000000" w:themeColor="text1"/>
        </w:rPr>
        <w:t>682</w:t>
      </w:r>
      <w:r w:rsidR="008A62E0" w:rsidRPr="00C951F0">
        <w:rPr>
          <w:noProof w:val="0"/>
          <w:color w:val="000000" w:themeColor="text1"/>
        </w:rPr>
        <w:t>–</w:t>
      </w:r>
      <w:r w:rsidR="00B1644A" w:rsidRPr="00C951F0">
        <w:rPr>
          <w:noProof w:val="0"/>
          <w:color w:val="000000" w:themeColor="text1"/>
        </w:rPr>
        <w:t>91.</w:t>
      </w:r>
    </w:p>
    <w:p w14:paraId="30FBBA0B" w14:textId="275EA9F0" w:rsidR="00B1644A" w:rsidRPr="00C951F0" w:rsidRDefault="004B580E" w:rsidP="00934A10">
      <w:pPr>
        <w:pStyle w:val="EndNoteBibliography"/>
        <w:spacing w:after="0" w:line="480" w:lineRule="auto"/>
        <w:rPr>
          <w:noProof w:val="0"/>
          <w:color w:val="000000" w:themeColor="text1"/>
        </w:rPr>
      </w:pPr>
      <w:r>
        <w:rPr>
          <w:noProof w:val="0"/>
          <w:color w:val="000000" w:themeColor="text1"/>
        </w:rPr>
        <w:t>5</w:t>
      </w:r>
      <w:r w:rsidR="00114ED2" w:rsidRPr="00C951F0">
        <w:rPr>
          <w:noProof w:val="0"/>
          <w:color w:val="000000" w:themeColor="text1"/>
        </w:rPr>
        <w:t>.</w:t>
      </w:r>
      <w:r w:rsidR="00114ED2" w:rsidRPr="00C951F0">
        <w:rPr>
          <w:noProof w:val="0"/>
          <w:color w:val="000000" w:themeColor="text1"/>
        </w:rPr>
        <w:tab/>
      </w:r>
      <w:r w:rsidR="00B1644A" w:rsidRPr="00C951F0">
        <w:rPr>
          <w:noProof w:val="0"/>
          <w:color w:val="000000" w:themeColor="text1"/>
        </w:rPr>
        <w:t xml:space="preserve">American Diabetes Association. 8. Obesity </w:t>
      </w:r>
      <w:r w:rsidR="00A90F00" w:rsidRPr="00C951F0">
        <w:rPr>
          <w:noProof w:val="0"/>
          <w:color w:val="000000" w:themeColor="text1"/>
        </w:rPr>
        <w:t>m</w:t>
      </w:r>
      <w:r w:rsidR="00B1644A" w:rsidRPr="00C951F0">
        <w:rPr>
          <w:noProof w:val="0"/>
          <w:color w:val="000000" w:themeColor="text1"/>
        </w:rPr>
        <w:t xml:space="preserve">anagement for the </w:t>
      </w:r>
      <w:r w:rsidR="00A90F00" w:rsidRPr="00C951F0">
        <w:rPr>
          <w:noProof w:val="0"/>
          <w:color w:val="000000" w:themeColor="text1"/>
        </w:rPr>
        <w:t>t</w:t>
      </w:r>
      <w:r w:rsidR="00B1644A" w:rsidRPr="00C951F0">
        <w:rPr>
          <w:noProof w:val="0"/>
          <w:color w:val="000000" w:themeColor="text1"/>
        </w:rPr>
        <w:t xml:space="preserve">reatment of </w:t>
      </w:r>
      <w:r w:rsidR="00A90F00" w:rsidRPr="00C951F0">
        <w:rPr>
          <w:noProof w:val="0"/>
          <w:color w:val="000000" w:themeColor="text1"/>
        </w:rPr>
        <w:t>t</w:t>
      </w:r>
      <w:r w:rsidR="00B1644A" w:rsidRPr="00C951F0">
        <w:rPr>
          <w:noProof w:val="0"/>
          <w:color w:val="000000" w:themeColor="text1"/>
        </w:rPr>
        <w:t xml:space="preserve">ype 2 </w:t>
      </w:r>
      <w:r w:rsidR="00A90F00" w:rsidRPr="00C951F0">
        <w:rPr>
          <w:noProof w:val="0"/>
          <w:color w:val="000000" w:themeColor="text1"/>
        </w:rPr>
        <w:t>d</w:t>
      </w:r>
      <w:r w:rsidR="00B1644A" w:rsidRPr="00C951F0">
        <w:rPr>
          <w:noProof w:val="0"/>
          <w:color w:val="000000" w:themeColor="text1"/>
        </w:rPr>
        <w:t xml:space="preserve">iabetes: </w:t>
      </w:r>
      <w:r w:rsidR="00A90F00" w:rsidRPr="00C951F0">
        <w:rPr>
          <w:noProof w:val="0"/>
          <w:color w:val="000000" w:themeColor="text1"/>
        </w:rPr>
        <w:t>s</w:t>
      </w:r>
      <w:r w:rsidR="00B1644A" w:rsidRPr="00C951F0">
        <w:rPr>
          <w:noProof w:val="0"/>
          <w:color w:val="000000" w:themeColor="text1"/>
        </w:rPr>
        <w:t xml:space="preserve">tandards of </w:t>
      </w:r>
      <w:r w:rsidR="00227D23" w:rsidRPr="00C951F0">
        <w:rPr>
          <w:noProof w:val="0"/>
          <w:color w:val="000000" w:themeColor="text1"/>
        </w:rPr>
        <w:t>m</w:t>
      </w:r>
      <w:r w:rsidR="00B1644A" w:rsidRPr="00C951F0">
        <w:rPr>
          <w:noProof w:val="0"/>
          <w:color w:val="000000" w:themeColor="text1"/>
        </w:rPr>
        <w:t xml:space="preserve">edical </w:t>
      </w:r>
      <w:r w:rsidR="00227D23" w:rsidRPr="00C951F0">
        <w:rPr>
          <w:noProof w:val="0"/>
          <w:color w:val="000000" w:themeColor="text1"/>
        </w:rPr>
        <w:t>c</w:t>
      </w:r>
      <w:r w:rsidR="00B1644A" w:rsidRPr="00C951F0">
        <w:rPr>
          <w:noProof w:val="0"/>
          <w:color w:val="000000" w:themeColor="text1"/>
        </w:rPr>
        <w:t xml:space="preserve">are in </w:t>
      </w:r>
      <w:r w:rsidR="00227D23" w:rsidRPr="00C951F0">
        <w:rPr>
          <w:noProof w:val="0"/>
          <w:color w:val="000000" w:themeColor="text1"/>
        </w:rPr>
        <w:t>d</w:t>
      </w:r>
      <w:r w:rsidR="00B1644A" w:rsidRPr="00C951F0">
        <w:rPr>
          <w:noProof w:val="0"/>
          <w:color w:val="000000" w:themeColor="text1"/>
        </w:rPr>
        <w:t xml:space="preserve">iabetes-2020. </w:t>
      </w:r>
      <w:r w:rsidR="00B1644A" w:rsidRPr="00C951F0">
        <w:rPr>
          <w:i/>
          <w:iCs/>
          <w:noProof w:val="0"/>
          <w:color w:val="000000" w:themeColor="text1"/>
        </w:rPr>
        <w:t>Diabetes Care</w:t>
      </w:r>
      <w:r w:rsidR="00B1644A" w:rsidRPr="00C951F0">
        <w:rPr>
          <w:noProof w:val="0"/>
          <w:color w:val="000000" w:themeColor="text1"/>
        </w:rPr>
        <w:t xml:space="preserve"> 2020;</w:t>
      </w:r>
      <w:r w:rsidR="008A62E0" w:rsidRPr="00C951F0">
        <w:rPr>
          <w:noProof w:val="0"/>
          <w:color w:val="000000" w:themeColor="text1"/>
        </w:rPr>
        <w:t xml:space="preserve"> </w:t>
      </w:r>
      <w:r w:rsidR="00B1644A" w:rsidRPr="00C951F0">
        <w:rPr>
          <w:b/>
          <w:bCs/>
          <w:noProof w:val="0"/>
          <w:color w:val="000000" w:themeColor="text1"/>
        </w:rPr>
        <w:t>43:</w:t>
      </w:r>
      <w:r w:rsidR="008A62E0" w:rsidRPr="00C951F0">
        <w:rPr>
          <w:noProof w:val="0"/>
          <w:color w:val="000000" w:themeColor="text1"/>
        </w:rPr>
        <w:t xml:space="preserve"> </w:t>
      </w:r>
      <w:r w:rsidR="00B1644A" w:rsidRPr="00C951F0">
        <w:rPr>
          <w:noProof w:val="0"/>
          <w:color w:val="000000" w:themeColor="text1"/>
        </w:rPr>
        <w:t>S89</w:t>
      </w:r>
      <w:r w:rsidR="008A62E0" w:rsidRPr="00C951F0">
        <w:rPr>
          <w:noProof w:val="0"/>
          <w:color w:val="000000" w:themeColor="text1"/>
        </w:rPr>
        <w:t>–</w:t>
      </w:r>
      <w:r w:rsidR="00B1644A" w:rsidRPr="00C951F0">
        <w:rPr>
          <w:noProof w:val="0"/>
          <w:color w:val="000000" w:themeColor="text1"/>
        </w:rPr>
        <w:t>97.</w:t>
      </w:r>
    </w:p>
    <w:p w14:paraId="441D1116" w14:textId="75AA14C1" w:rsidR="00B1644A" w:rsidRPr="00C951F0" w:rsidRDefault="004B580E" w:rsidP="00934A10">
      <w:pPr>
        <w:pStyle w:val="EndNoteBibliography"/>
        <w:spacing w:after="0" w:line="480" w:lineRule="auto"/>
        <w:rPr>
          <w:noProof w:val="0"/>
          <w:color w:val="000000" w:themeColor="text1"/>
        </w:rPr>
      </w:pPr>
      <w:r>
        <w:rPr>
          <w:noProof w:val="0"/>
          <w:color w:val="000000" w:themeColor="text1"/>
        </w:rPr>
        <w:t>6</w:t>
      </w:r>
      <w:r w:rsidR="00114ED2" w:rsidRPr="00C951F0">
        <w:rPr>
          <w:noProof w:val="0"/>
          <w:color w:val="000000" w:themeColor="text1"/>
        </w:rPr>
        <w:t>.</w:t>
      </w:r>
      <w:r w:rsidR="00114ED2" w:rsidRPr="00C951F0">
        <w:rPr>
          <w:noProof w:val="0"/>
          <w:color w:val="000000" w:themeColor="text1"/>
        </w:rPr>
        <w:tab/>
      </w:r>
      <w:r w:rsidR="00B1644A" w:rsidRPr="00C951F0">
        <w:rPr>
          <w:noProof w:val="0"/>
          <w:color w:val="000000" w:themeColor="text1"/>
        </w:rPr>
        <w:t xml:space="preserve">Buse JB, Wexler DJ, </w:t>
      </w:r>
      <w:proofErr w:type="spellStart"/>
      <w:r w:rsidR="00B1644A" w:rsidRPr="00C951F0">
        <w:rPr>
          <w:noProof w:val="0"/>
          <w:color w:val="000000" w:themeColor="text1"/>
        </w:rPr>
        <w:t>Tsapas</w:t>
      </w:r>
      <w:proofErr w:type="spellEnd"/>
      <w:r w:rsidR="00B1644A" w:rsidRPr="00C951F0">
        <w:rPr>
          <w:noProof w:val="0"/>
          <w:color w:val="000000" w:themeColor="text1"/>
        </w:rPr>
        <w:t xml:space="preserve"> A, et al. 2019 Update to: Management of Hyperglycemia in Type 2 Diabetes, 2018. A Consensus Report by the American Diabetes Association (ADA) and the European Association for the Study of Diabetes (EASD). </w:t>
      </w:r>
      <w:r w:rsidR="00B1644A" w:rsidRPr="00C951F0">
        <w:rPr>
          <w:i/>
          <w:iCs/>
          <w:noProof w:val="0"/>
          <w:color w:val="000000" w:themeColor="text1"/>
        </w:rPr>
        <w:t>Diabetes Care</w:t>
      </w:r>
      <w:r w:rsidR="00B1644A" w:rsidRPr="00C951F0">
        <w:rPr>
          <w:noProof w:val="0"/>
          <w:color w:val="000000" w:themeColor="text1"/>
        </w:rPr>
        <w:t xml:space="preserve"> 2020;</w:t>
      </w:r>
      <w:r w:rsidR="008A62E0" w:rsidRPr="00C951F0">
        <w:rPr>
          <w:noProof w:val="0"/>
          <w:color w:val="000000" w:themeColor="text1"/>
        </w:rPr>
        <w:t xml:space="preserve"> </w:t>
      </w:r>
      <w:r w:rsidR="00B1644A" w:rsidRPr="00C951F0">
        <w:rPr>
          <w:b/>
          <w:bCs/>
          <w:noProof w:val="0"/>
          <w:color w:val="000000" w:themeColor="text1"/>
        </w:rPr>
        <w:t>43:</w:t>
      </w:r>
      <w:r w:rsidR="008A62E0" w:rsidRPr="00C951F0">
        <w:rPr>
          <w:b/>
          <w:bCs/>
          <w:noProof w:val="0"/>
          <w:color w:val="000000" w:themeColor="text1"/>
        </w:rPr>
        <w:t xml:space="preserve"> </w:t>
      </w:r>
      <w:r w:rsidR="00B1644A" w:rsidRPr="00C951F0">
        <w:rPr>
          <w:noProof w:val="0"/>
          <w:color w:val="000000" w:themeColor="text1"/>
        </w:rPr>
        <w:t>487</w:t>
      </w:r>
      <w:r w:rsidR="008A62E0" w:rsidRPr="00C951F0">
        <w:rPr>
          <w:noProof w:val="0"/>
          <w:color w:val="000000" w:themeColor="text1"/>
        </w:rPr>
        <w:t>–</w:t>
      </w:r>
      <w:r w:rsidR="00B1644A" w:rsidRPr="00C951F0">
        <w:rPr>
          <w:noProof w:val="0"/>
          <w:color w:val="000000" w:themeColor="text1"/>
        </w:rPr>
        <w:t>93.</w:t>
      </w:r>
    </w:p>
    <w:p w14:paraId="2A2551B5" w14:textId="18EB35A3" w:rsidR="00B1644A" w:rsidRPr="00C951F0" w:rsidRDefault="004B580E" w:rsidP="00934A10">
      <w:pPr>
        <w:pStyle w:val="EndNoteBibliography"/>
        <w:spacing w:after="0" w:line="480" w:lineRule="auto"/>
        <w:rPr>
          <w:noProof w:val="0"/>
          <w:color w:val="000000" w:themeColor="text1"/>
        </w:rPr>
      </w:pPr>
      <w:r>
        <w:rPr>
          <w:noProof w:val="0"/>
          <w:color w:val="000000" w:themeColor="text1"/>
        </w:rPr>
        <w:t>7</w:t>
      </w:r>
      <w:r w:rsidR="00114ED2" w:rsidRPr="00C951F0">
        <w:rPr>
          <w:noProof w:val="0"/>
          <w:color w:val="000000" w:themeColor="text1"/>
        </w:rPr>
        <w:t>.</w:t>
      </w:r>
      <w:r w:rsidR="00114ED2" w:rsidRPr="00C951F0">
        <w:rPr>
          <w:noProof w:val="0"/>
          <w:color w:val="000000" w:themeColor="text1"/>
        </w:rPr>
        <w:tab/>
      </w:r>
      <w:r w:rsidR="00B1644A" w:rsidRPr="00C951F0">
        <w:rPr>
          <w:noProof w:val="0"/>
          <w:color w:val="000000" w:themeColor="text1"/>
        </w:rPr>
        <w:t xml:space="preserve">Davies MJ, </w:t>
      </w:r>
      <w:proofErr w:type="spellStart"/>
      <w:r w:rsidR="00B1644A" w:rsidRPr="00C951F0">
        <w:rPr>
          <w:noProof w:val="0"/>
          <w:color w:val="000000" w:themeColor="text1"/>
        </w:rPr>
        <w:t>D'Alessio</w:t>
      </w:r>
      <w:proofErr w:type="spellEnd"/>
      <w:r w:rsidR="00B1644A" w:rsidRPr="00C951F0">
        <w:rPr>
          <w:noProof w:val="0"/>
          <w:color w:val="000000" w:themeColor="text1"/>
        </w:rPr>
        <w:t xml:space="preserve"> DA, </w:t>
      </w:r>
      <w:proofErr w:type="spellStart"/>
      <w:r w:rsidR="00B1644A" w:rsidRPr="00C951F0">
        <w:rPr>
          <w:noProof w:val="0"/>
          <w:color w:val="000000" w:themeColor="text1"/>
        </w:rPr>
        <w:t>Fradkin</w:t>
      </w:r>
      <w:proofErr w:type="spellEnd"/>
      <w:r w:rsidR="00B1644A" w:rsidRPr="00C951F0">
        <w:rPr>
          <w:noProof w:val="0"/>
          <w:color w:val="000000" w:themeColor="text1"/>
        </w:rPr>
        <w:t xml:space="preserve"> J, et al. Management of </w:t>
      </w:r>
      <w:r w:rsidR="00227D23" w:rsidRPr="00C951F0">
        <w:rPr>
          <w:noProof w:val="0"/>
          <w:color w:val="000000" w:themeColor="text1"/>
        </w:rPr>
        <w:t>h</w:t>
      </w:r>
      <w:r w:rsidR="00B1644A" w:rsidRPr="00C951F0">
        <w:rPr>
          <w:noProof w:val="0"/>
          <w:color w:val="000000" w:themeColor="text1"/>
        </w:rPr>
        <w:t xml:space="preserve">yperglycemia in </w:t>
      </w:r>
      <w:r w:rsidR="00227D23" w:rsidRPr="00C951F0">
        <w:rPr>
          <w:noProof w:val="0"/>
          <w:color w:val="000000" w:themeColor="text1"/>
        </w:rPr>
        <w:t>t</w:t>
      </w:r>
      <w:r w:rsidR="00B1644A" w:rsidRPr="00C951F0">
        <w:rPr>
          <w:noProof w:val="0"/>
          <w:color w:val="000000" w:themeColor="text1"/>
        </w:rPr>
        <w:t xml:space="preserve">ype 2 </w:t>
      </w:r>
      <w:r w:rsidR="00227D23" w:rsidRPr="00C951F0">
        <w:rPr>
          <w:noProof w:val="0"/>
          <w:color w:val="000000" w:themeColor="text1"/>
        </w:rPr>
        <w:t>d</w:t>
      </w:r>
      <w:r w:rsidR="00B1644A" w:rsidRPr="00C951F0">
        <w:rPr>
          <w:noProof w:val="0"/>
          <w:color w:val="000000" w:themeColor="text1"/>
        </w:rPr>
        <w:t xml:space="preserve">iabetes, 2018. A </w:t>
      </w:r>
      <w:r w:rsidR="00227D23" w:rsidRPr="00C951F0">
        <w:rPr>
          <w:noProof w:val="0"/>
          <w:color w:val="000000" w:themeColor="text1"/>
        </w:rPr>
        <w:t>c</w:t>
      </w:r>
      <w:r w:rsidR="00B1644A" w:rsidRPr="00C951F0">
        <w:rPr>
          <w:noProof w:val="0"/>
          <w:color w:val="000000" w:themeColor="text1"/>
        </w:rPr>
        <w:t xml:space="preserve">onsensus </w:t>
      </w:r>
      <w:r w:rsidR="00227D23" w:rsidRPr="00C951F0">
        <w:rPr>
          <w:noProof w:val="0"/>
          <w:color w:val="000000" w:themeColor="text1"/>
        </w:rPr>
        <w:t>r</w:t>
      </w:r>
      <w:r w:rsidR="00B1644A" w:rsidRPr="00C951F0">
        <w:rPr>
          <w:noProof w:val="0"/>
          <w:color w:val="000000" w:themeColor="text1"/>
        </w:rPr>
        <w:t xml:space="preserve">eport by the American Diabetes Association (ADA) and the European Association for the Study of Diabetes (EASD). </w:t>
      </w:r>
      <w:r w:rsidR="00B1644A" w:rsidRPr="00C951F0">
        <w:rPr>
          <w:i/>
          <w:iCs/>
          <w:noProof w:val="0"/>
          <w:color w:val="000000" w:themeColor="text1"/>
        </w:rPr>
        <w:t xml:space="preserve">Diabetes Care </w:t>
      </w:r>
      <w:r w:rsidR="00B1644A" w:rsidRPr="00C951F0">
        <w:rPr>
          <w:noProof w:val="0"/>
          <w:color w:val="000000" w:themeColor="text1"/>
        </w:rPr>
        <w:t>2018;</w:t>
      </w:r>
      <w:r w:rsidR="008A62E0" w:rsidRPr="00C951F0">
        <w:rPr>
          <w:noProof w:val="0"/>
          <w:color w:val="000000" w:themeColor="text1"/>
        </w:rPr>
        <w:t xml:space="preserve"> </w:t>
      </w:r>
      <w:r w:rsidR="00B1644A" w:rsidRPr="00C951F0">
        <w:rPr>
          <w:b/>
          <w:bCs/>
          <w:noProof w:val="0"/>
          <w:color w:val="000000" w:themeColor="text1"/>
        </w:rPr>
        <w:t>41:</w:t>
      </w:r>
      <w:r w:rsidR="008A62E0" w:rsidRPr="00C951F0">
        <w:rPr>
          <w:noProof w:val="0"/>
          <w:color w:val="000000" w:themeColor="text1"/>
        </w:rPr>
        <w:t xml:space="preserve"> </w:t>
      </w:r>
      <w:r w:rsidR="00B1644A" w:rsidRPr="00C951F0">
        <w:rPr>
          <w:noProof w:val="0"/>
          <w:color w:val="000000" w:themeColor="text1"/>
        </w:rPr>
        <w:t>2669</w:t>
      </w:r>
      <w:r w:rsidR="008A62E0" w:rsidRPr="00C951F0">
        <w:rPr>
          <w:noProof w:val="0"/>
          <w:color w:val="000000" w:themeColor="text1"/>
        </w:rPr>
        <w:t>–</w:t>
      </w:r>
      <w:r w:rsidR="00B1644A" w:rsidRPr="00C951F0">
        <w:rPr>
          <w:noProof w:val="0"/>
          <w:color w:val="000000" w:themeColor="text1"/>
        </w:rPr>
        <w:t>701.</w:t>
      </w:r>
    </w:p>
    <w:p w14:paraId="74BC68FD" w14:textId="12757C12" w:rsidR="00B1644A" w:rsidRPr="00C951F0" w:rsidRDefault="004B580E" w:rsidP="00934A10">
      <w:pPr>
        <w:pStyle w:val="EndNoteBibliography"/>
        <w:spacing w:after="0" w:line="480" w:lineRule="auto"/>
        <w:rPr>
          <w:noProof w:val="0"/>
          <w:color w:val="000000" w:themeColor="text1"/>
        </w:rPr>
      </w:pPr>
      <w:r>
        <w:rPr>
          <w:noProof w:val="0"/>
          <w:color w:val="000000" w:themeColor="text1"/>
        </w:rPr>
        <w:t>8</w:t>
      </w:r>
      <w:r w:rsidR="008A62E0" w:rsidRPr="00C951F0">
        <w:rPr>
          <w:noProof w:val="0"/>
          <w:color w:val="000000" w:themeColor="text1"/>
        </w:rPr>
        <w:t>.</w:t>
      </w:r>
      <w:r w:rsidR="008A62E0" w:rsidRPr="00C951F0">
        <w:rPr>
          <w:noProof w:val="0"/>
          <w:color w:val="000000" w:themeColor="text1"/>
        </w:rPr>
        <w:tab/>
      </w:r>
      <w:r w:rsidR="00B1644A" w:rsidRPr="00C951F0">
        <w:rPr>
          <w:noProof w:val="0"/>
          <w:color w:val="000000" w:themeColor="text1"/>
        </w:rPr>
        <w:t xml:space="preserve">Novo Nordisk A/S. </w:t>
      </w:r>
      <w:proofErr w:type="spellStart"/>
      <w:r w:rsidR="00B1644A" w:rsidRPr="00C951F0">
        <w:rPr>
          <w:noProof w:val="0"/>
          <w:color w:val="000000" w:themeColor="text1"/>
        </w:rPr>
        <w:t>Saxenda</w:t>
      </w:r>
      <w:proofErr w:type="spellEnd"/>
      <w:r w:rsidR="00B1644A" w:rsidRPr="00C951F0">
        <w:rPr>
          <w:noProof w:val="0"/>
          <w:color w:val="000000" w:themeColor="text1"/>
          <w:vertAlign w:val="superscript"/>
        </w:rPr>
        <w:t>®</w:t>
      </w:r>
      <w:r w:rsidR="00B1644A" w:rsidRPr="00C951F0">
        <w:rPr>
          <w:noProof w:val="0"/>
          <w:color w:val="000000" w:themeColor="text1"/>
        </w:rPr>
        <w:t xml:space="preserve"> liraglutide injection 3 mg prescribing information. 2020.</w:t>
      </w:r>
      <w:r w:rsidR="008815A7" w:rsidRPr="00C951F0">
        <w:rPr>
          <w:noProof w:val="0"/>
          <w:color w:val="000000" w:themeColor="text1"/>
        </w:rPr>
        <w:t xml:space="preserve"> </w:t>
      </w:r>
      <w:hyperlink r:id="rId8" w:history="1">
        <w:r w:rsidR="008815A7" w:rsidRPr="00C951F0">
          <w:rPr>
            <w:rStyle w:val="Hyperlink"/>
            <w:noProof w:val="0"/>
            <w:color w:val="000000" w:themeColor="text1"/>
          </w:rPr>
          <w:t>https://www.accessdata.fda.gov/drugsatfda_docs/label/2020/206321s011lbl.pdf</w:t>
        </w:r>
      </w:hyperlink>
      <w:r w:rsidR="008815A7" w:rsidRPr="00C951F0">
        <w:rPr>
          <w:noProof w:val="0"/>
          <w:color w:val="000000" w:themeColor="text1"/>
        </w:rPr>
        <w:t xml:space="preserve"> (accessed November 25, 2020).</w:t>
      </w:r>
    </w:p>
    <w:p w14:paraId="7B14A2C0" w14:textId="40256773" w:rsidR="00B1644A" w:rsidRPr="00C951F0" w:rsidRDefault="004B580E" w:rsidP="00934A10">
      <w:pPr>
        <w:pStyle w:val="EndNoteBibliography"/>
        <w:spacing w:after="0" w:line="480" w:lineRule="auto"/>
        <w:rPr>
          <w:noProof w:val="0"/>
          <w:color w:val="000000" w:themeColor="text1"/>
        </w:rPr>
      </w:pPr>
      <w:r>
        <w:rPr>
          <w:noProof w:val="0"/>
          <w:color w:val="000000" w:themeColor="text1"/>
        </w:rPr>
        <w:t>9</w:t>
      </w:r>
      <w:r w:rsidR="00114ED2" w:rsidRPr="00C951F0">
        <w:rPr>
          <w:noProof w:val="0"/>
          <w:color w:val="000000" w:themeColor="text1"/>
        </w:rPr>
        <w:t>.</w:t>
      </w:r>
      <w:r w:rsidR="00114ED2" w:rsidRPr="00C951F0">
        <w:rPr>
          <w:noProof w:val="0"/>
          <w:color w:val="000000" w:themeColor="text1"/>
        </w:rPr>
        <w:tab/>
      </w:r>
      <w:proofErr w:type="spellStart"/>
      <w:r w:rsidR="00B1644A" w:rsidRPr="00C951F0">
        <w:rPr>
          <w:noProof w:val="0"/>
          <w:color w:val="000000" w:themeColor="text1"/>
        </w:rPr>
        <w:t>Ahren</w:t>
      </w:r>
      <w:proofErr w:type="spellEnd"/>
      <w:r w:rsidR="00B1644A" w:rsidRPr="00C951F0">
        <w:rPr>
          <w:noProof w:val="0"/>
          <w:color w:val="000000" w:themeColor="text1"/>
        </w:rPr>
        <w:t xml:space="preserve"> B, </w:t>
      </w:r>
      <w:proofErr w:type="spellStart"/>
      <w:r w:rsidR="00B1644A" w:rsidRPr="00C951F0">
        <w:rPr>
          <w:noProof w:val="0"/>
          <w:color w:val="000000" w:themeColor="text1"/>
        </w:rPr>
        <w:t>Masmiquel</w:t>
      </w:r>
      <w:proofErr w:type="spellEnd"/>
      <w:r w:rsidR="00B1644A" w:rsidRPr="00C951F0">
        <w:rPr>
          <w:noProof w:val="0"/>
          <w:color w:val="000000" w:themeColor="text1"/>
        </w:rPr>
        <w:t xml:space="preserve"> L, Kumar H, et al. Efficacy and safety of once-weekly semaglutide versus once-daily sitagliptin as an add-on to metformin, thiazolidinediones, or both, in patients with type 2 diabetes (SUSTAIN 2): a 56-week, double-blind, phase 3a, </w:t>
      </w:r>
      <w:proofErr w:type="spellStart"/>
      <w:r w:rsidR="00B1644A" w:rsidRPr="00C951F0">
        <w:rPr>
          <w:noProof w:val="0"/>
          <w:color w:val="000000" w:themeColor="text1"/>
        </w:rPr>
        <w:t>randomised</w:t>
      </w:r>
      <w:proofErr w:type="spellEnd"/>
      <w:r w:rsidR="00B1644A" w:rsidRPr="00C951F0">
        <w:rPr>
          <w:noProof w:val="0"/>
          <w:color w:val="000000" w:themeColor="text1"/>
        </w:rPr>
        <w:t xml:space="preserve"> trial. </w:t>
      </w:r>
      <w:r w:rsidR="00B1644A" w:rsidRPr="00C951F0">
        <w:rPr>
          <w:i/>
          <w:iCs/>
          <w:noProof w:val="0"/>
          <w:color w:val="000000" w:themeColor="text1"/>
        </w:rPr>
        <w:t>Lancet Diabetes Endocrinol</w:t>
      </w:r>
      <w:r w:rsidR="00B1644A" w:rsidRPr="00C951F0">
        <w:rPr>
          <w:noProof w:val="0"/>
          <w:color w:val="000000" w:themeColor="text1"/>
        </w:rPr>
        <w:t xml:space="preserve"> 2017;</w:t>
      </w:r>
      <w:r w:rsidR="008A62E0" w:rsidRPr="00C951F0">
        <w:rPr>
          <w:noProof w:val="0"/>
          <w:color w:val="000000" w:themeColor="text1"/>
        </w:rPr>
        <w:t xml:space="preserve"> </w:t>
      </w:r>
      <w:r w:rsidR="00B1644A" w:rsidRPr="00C951F0">
        <w:rPr>
          <w:b/>
          <w:bCs/>
          <w:noProof w:val="0"/>
          <w:color w:val="000000" w:themeColor="text1"/>
        </w:rPr>
        <w:t>5:</w:t>
      </w:r>
      <w:r w:rsidR="008A62E0" w:rsidRPr="00C951F0">
        <w:rPr>
          <w:noProof w:val="0"/>
          <w:color w:val="000000" w:themeColor="text1"/>
        </w:rPr>
        <w:t xml:space="preserve"> </w:t>
      </w:r>
      <w:r w:rsidR="00B1644A" w:rsidRPr="00C951F0">
        <w:rPr>
          <w:noProof w:val="0"/>
          <w:color w:val="000000" w:themeColor="text1"/>
        </w:rPr>
        <w:t>341</w:t>
      </w:r>
      <w:r w:rsidR="008A62E0" w:rsidRPr="00C951F0">
        <w:rPr>
          <w:noProof w:val="0"/>
          <w:color w:val="000000" w:themeColor="text1"/>
        </w:rPr>
        <w:t>–</w:t>
      </w:r>
      <w:r w:rsidR="00B1644A" w:rsidRPr="00C951F0">
        <w:rPr>
          <w:noProof w:val="0"/>
          <w:color w:val="000000" w:themeColor="text1"/>
        </w:rPr>
        <w:t>54.</w:t>
      </w:r>
    </w:p>
    <w:p w14:paraId="61B48EDE" w14:textId="75FE875B" w:rsidR="00B1644A" w:rsidRPr="00C951F0" w:rsidRDefault="004B580E" w:rsidP="00934A10">
      <w:pPr>
        <w:pStyle w:val="EndNoteBibliography"/>
        <w:spacing w:after="0" w:line="480" w:lineRule="auto"/>
        <w:rPr>
          <w:noProof w:val="0"/>
          <w:color w:val="000000" w:themeColor="text1"/>
        </w:rPr>
      </w:pPr>
      <w:r>
        <w:rPr>
          <w:noProof w:val="0"/>
          <w:color w:val="000000" w:themeColor="text1"/>
        </w:rPr>
        <w:lastRenderedPageBreak/>
        <w:t>10</w:t>
      </w:r>
      <w:r w:rsidR="00114ED2" w:rsidRPr="00C951F0">
        <w:rPr>
          <w:noProof w:val="0"/>
          <w:color w:val="000000" w:themeColor="text1"/>
        </w:rPr>
        <w:t>.</w:t>
      </w:r>
      <w:r w:rsidR="00114ED2" w:rsidRPr="00C951F0">
        <w:rPr>
          <w:noProof w:val="0"/>
          <w:color w:val="000000" w:themeColor="text1"/>
        </w:rPr>
        <w:tab/>
      </w:r>
      <w:r w:rsidR="00B1644A" w:rsidRPr="00C951F0">
        <w:rPr>
          <w:noProof w:val="0"/>
          <w:color w:val="000000" w:themeColor="text1"/>
        </w:rPr>
        <w:t xml:space="preserve">Aroda VR, Bain SC, </w:t>
      </w:r>
      <w:proofErr w:type="spellStart"/>
      <w:r w:rsidR="00B1644A" w:rsidRPr="00C951F0">
        <w:rPr>
          <w:noProof w:val="0"/>
          <w:color w:val="000000" w:themeColor="text1"/>
        </w:rPr>
        <w:t>Cariou</w:t>
      </w:r>
      <w:proofErr w:type="spellEnd"/>
      <w:r w:rsidR="00B1644A" w:rsidRPr="00C951F0">
        <w:rPr>
          <w:noProof w:val="0"/>
          <w:color w:val="000000" w:themeColor="text1"/>
        </w:rPr>
        <w:t xml:space="preserve"> B, et al. Efficacy and safety of once-weekly semaglutide versus once-daily insulin glargine as add-on to metformin (with or without sulfonylureas) in insulin-naive patients with type 2 diabetes (SUSTAIN 4): a </w:t>
      </w:r>
      <w:proofErr w:type="spellStart"/>
      <w:r w:rsidR="00B1644A" w:rsidRPr="00C951F0">
        <w:rPr>
          <w:noProof w:val="0"/>
          <w:color w:val="000000" w:themeColor="text1"/>
        </w:rPr>
        <w:t>randomised</w:t>
      </w:r>
      <w:proofErr w:type="spellEnd"/>
      <w:r w:rsidR="00B1644A" w:rsidRPr="00C951F0">
        <w:rPr>
          <w:noProof w:val="0"/>
          <w:color w:val="000000" w:themeColor="text1"/>
        </w:rPr>
        <w:t xml:space="preserve">, open-label, parallel-group, </w:t>
      </w:r>
      <w:proofErr w:type="spellStart"/>
      <w:r w:rsidR="00B1644A" w:rsidRPr="00C951F0">
        <w:rPr>
          <w:noProof w:val="0"/>
          <w:color w:val="000000" w:themeColor="text1"/>
        </w:rPr>
        <w:t>multicentre</w:t>
      </w:r>
      <w:proofErr w:type="spellEnd"/>
      <w:r w:rsidR="00B1644A" w:rsidRPr="00C951F0">
        <w:rPr>
          <w:noProof w:val="0"/>
          <w:color w:val="000000" w:themeColor="text1"/>
        </w:rPr>
        <w:t xml:space="preserve">, multinational, phase 3a trial. </w:t>
      </w:r>
      <w:r w:rsidR="00B1644A" w:rsidRPr="00C951F0">
        <w:rPr>
          <w:i/>
          <w:iCs/>
          <w:noProof w:val="0"/>
          <w:color w:val="000000" w:themeColor="text1"/>
        </w:rPr>
        <w:t>Lancet Diabetes Endocrinol</w:t>
      </w:r>
      <w:r w:rsidR="00B1644A" w:rsidRPr="00C951F0">
        <w:rPr>
          <w:noProof w:val="0"/>
          <w:color w:val="000000" w:themeColor="text1"/>
        </w:rPr>
        <w:t xml:space="preserve"> 2017;</w:t>
      </w:r>
      <w:r w:rsidR="008A62E0" w:rsidRPr="00C951F0">
        <w:rPr>
          <w:noProof w:val="0"/>
          <w:color w:val="000000" w:themeColor="text1"/>
        </w:rPr>
        <w:t xml:space="preserve"> </w:t>
      </w:r>
      <w:r w:rsidR="00B1644A" w:rsidRPr="00C951F0">
        <w:rPr>
          <w:b/>
          <w:bCs/>
          <w:noProof w:val="0"/>
          <w:color w:val="000000" w:themeColor="text1"/>
        </w:rPr>
        <w:t>5:</w:t>
      </w:r>
      <w:r w:rsidR="008A62E0" w:rsidRPr="00C951F0">
        <w:rPr>
          <w:noProof w:val="0"/>
          <w:color w:val="000000" w:themeColor="text1"/>
        </w:rPr>
        <w:t xml:space="preserve"> </w:t>
      </w:r>
      <w:r w:rsidR="00B1644A" w:rsidRPr="00C951F0">
        <w:rPr>
          <w:noProof w:val="0"/>
          <w:color w:val="000000" w:themeColor="text1"/>
        </w:rPr>
        <w:t>355</w:t>
      </w:r>
      <w:r w:rsidR="008A62E0" w:rsidRPr="00C951F0">
        <w:rPr>
          <w:noProof w:val="0"/>
          <w:color w:val="000000" w:themeColor="text1"/>
        </w:rPr>
        <w:t>–</w:t>
      </w:r>
      <w:r w:rsidR="00B1644A" w:rsidRPr="00C951F0">
        <w:rPr>
          <w:noProof w:val="0"/>
          <w:color w:val="000000" w:themeColor="text1"/>
        </w:rPr>
        <w:t>66.</w:t>
      </w:r>
    </w:p>
    <w:p w14:paraId="66D9C2DF" w14:textId="409BB36E" w:rsidR="00B1644A" w:rsidRPr="00C951F0" w:rsidRDefault="004B580E" w:rsidP="00934A10">
      <w:pPr>
        <w:pStyle w:val="EndNoteBibliography"/>
        <w:spacing w:after="0" w:line="480" w:lineRule="auto"/>
        <w:rPr>
          <w:noProof w:val="0"/>
          <w:color w:val="000000" w:themeColor="text1"/>
        </w:rPr>
      </w:pPr>
      <w:r>
        <w:rPr>
          <w:noProof w:val="0"/>
          <w:color w:val="000000" w:themeColor="text1"/>
        </w:rPr>
        <w:t>11</w:t>
      </w:r>
      <w:r w:rsidR="00114ED2" w:rsidRPr="00C951F0">
        <w:rPr>
          <w:noProof w:val="0"/>
          <w:color w:val="000000" w:themeColor="text1"/>
        </w:rPr>
        <w:t>.</w:t>
      </w:r>
      <w:r w:rsidR="00114ED2" w:rsidRPr="00C951F0">
        <w:rPr>
          <w:noProof w:val="0"/>
          <w:color w:val="000000" w:themeColor="text1"/>
        </w:rPr>
        <w:tab/>
      </w:r>
      <w:r w:rsidR="00B1644A" w:rsidRPr="00C951F0">
        <w:rPr>
          <w:noProof w:val="0"/>
          <w:color w:val="000000" w:themeColor="text1"/>
        </w:rPr>
        <w:t xml:space="preserve">Holst JJ, </w:t>
      </w:r>
      <w:proofErr w:type="spellStart"/>
      <w:r w:rsidR="00B1644A" w:rsidRPr="00C951F0">
        <w:rPr>
          <w:noProof w:val="0"/>
          <w:color w:val="000000" w:themeColor="text1"/>
        </w:rPr>
        <w:t>Madsbad</w:t>
      </w:r>
      <w:proofErr w:type="spellEnd"/>
      <w:r w:rsidR="00B1644A" w:rsidRPr="00C951F0">
        <w:rPr>
          <w:noProof w:val="0"/>
          <w:color w:val="000000" w:themeColor="text1"/>
        </w:rPr>
        <w:t xml:space="preserve"> S. Semaglutide seems to be more effective the other GLP-1RAs. </w:t>
      </w:r>
      <w:r w:rsidR="00B1644A" w:rsidRPr="00C951F0">
        <w:rPr>
          <w:i/>
          <w:iCs/>
          <w:noProof w:val="0"/>
          <w:color w:val="000000" w:themeColor="text1"/>
        </w:rPr>
        <w:t xml:space="preserve">Ann </w:t>
      </w:r>
      <w:proofErr w:type="spellStart"/>
      <w:r w:rsidR="00B1644A" w:rsidRPr="00C951F0">
        <w:rPr>
          <w:i/>
          <w:iCs/>
          <w:noProof w:val="0"/>
          <w:color w:val="000000" w:themeColor="text1"/>
        </w:rPr>
        <w:t>Transl</w:t>
      </w:r>
      <w:proofErr w:type="spellEnd"/>
      <w:r w:rsidR="00B1644A" w:rsidRPr="00C951F0">
        <w:rPr>
          <w:i/>
          <w:iCs/>
          <w:noProof w:val="0"/>
          <w:color w:val="000000" w:themeColor="text1"/>
        </w:rPr>
        <w:t xml:space="preserve"> Med</w:t>
      </w:r>
      <w:r w:rsidR="00B1644A" w:rsidRPr="00C951F0">
        <w:rPr>
          <w:noProof w:val="0"/>
          <w:color w:val="000000" w:themeColor="text1"/>
        </w:rPr>
        <w:t xml:space="preserve"> 2017;</w:t>
      </w:r>
      <w:r w:rsidR="008A62E0" w:rsidRPr="00C951F0">
        <w:rPr>
          <w:noProof w:val="0"/>
          <w:color w:val="000000" w:themeColor="text1"/>
        </w:rPr>
        <w:t xml:space="preserve"> </w:t>
      </w:r>
      <w:r w:rsidR="00B1644A" w:rsidRPr="00C951F0">
        <w:rPr>
          <w:b/>
          <w:bCs/>
          <w:noProof w:val="0"/>
          <w:color w:val="000000" w:themeColor="text1"/>
        </w:rPr>
        <w:t>5:</w:t>
      </w:r>
      <w:r w:rsidR="008A62E0" w:rsidRPr="00C951F0">
        <w:rPr>
          <w:noProof w:val="0"/>
          <w:color w:val="000000" w:themeColor="text1"/>
        </w:rPr>
        <w:t xml:space="preserve"> </w:t>
      </w:r>
      <w:r w:rsidR="00B1644A" w:rsidRPr="00C951F0">
        <w:rPr>
          <w:noProof w:val="0"/>
          <w:color w:val="000000" w:themeColor="text1"/>
        </w:rPr>
        <w:t>505.</w:t>
      </w:r>
    </w:p>
    <w:p w14:paraId="4B15D840" w14:textId="0BAF60F0" w:rsidR="00B1644A" w:rsidRPr="00C951F0" w:rsidRDefault="004B580E" w:rsidP="00934A10">
      <w:pPr>
        <w:pStyle w:val="EndNoteBibliography"/>
        <w:spacing w:after="0" w:line="480" w:lineRule="auto"/>
        <w:rPr>
          <w:noProof w:val="0"/>
          <w:color w:val="000000" w:themeColor="text1"/>
        </w:rPr>
      </w:pPr>
      <w:r>
        <w:rPr>
          <w:noProof w:val="0"/>
          <w:color w:val="000000" w:themeColor="text1"/>
        </w:rPr>
        <w:t>12</w:t>
      </w:r>
      <w:r w:rsidR="00114ED2" w:rsidRPr="00C951F0">
        <w:rPr>
          <w:noProof w:val="0"/>
          <w:color w:val="000000" w:themeColor="text1"/>
        </w:rPr>
        <w:t>.</w:t>
      </w:r>
      <w:r w:rsidR="00114ED2" w:rsidRPr="00C951F0">
        <w:rPr>
          <w:noProof w:val="0"/>
          <w:color w:val="000000" w:themeColor="text1"/>
        </w:rPr>
        <w:tab/>
      </w:r>
      <w:r w:rsidR="00B1644A" w:rsidRPr="00C951F0">
        <w:rPr>
          <w:noProof w:val="0"/>
          <w:color w:val="000000" w:themeColor="text1"/>
        </w:rPr>
        <w:t>Kushner RF, Calanna S, Davies M, et al. Semaglutide 2.4 mg for the</w:t>
      </w:r>
      <w:r w:rsidR="00227D23" w:rsidRPr="00C951F0">
        <w:rPr>
          <w:noProof w:val="0"/>
          <w:color w:val="000000" w:themeColor="text1"/>
        </w:rPr>
        <w:t xml:space="preserve"> t</w:t>
      </w:r>
      <w:r w:rsidR="00B1644A" w:rsidRPr="00C951F0">
        <w:rPr>
          <w:noProof w:val="0"/>
          <w:color w:val="000000" w:themeColor="text1"/>
        </w:rPr>
        <w:t xml:space="preserve">reatment of </w:t>
      </w:r>
      <w:r w:rsidR="00227D23" w:rsidRPr="00C951F0">
        <w:rPr>
          <w:noProof w:val="0"/>
          <w:color w:val="000000" w:themeColor="text1"/>
        </w:rPr>
        <w:t>o</w:t>
      </w:r>
      <w:r w:rsidR="00B1644A" w:rsidRPr="00C951F0">
        <w:rPr>
          <w:noProof w:val="0"/>
          <w:color w:val="000000" w:themeColor="text1"/>
        </w:rPr>
        <w:t xml:space="preserve">besity: Key Elements of the STEP </w:t>
      </w:r>
      <w:r w:rsidR="00227D23" w:rsidRPr="00C951F0">
        <w:rPr>
          <w:noProof w:val="0"/>
          <w:color w:val="000000" w:themeColor="text1"/>
        </w:rPr>
        <w:t>t</w:t>
      </w:r>
      <w:r w:rsidR="00B1644A" w:rsidRPr="00C951F0">
        <w:rPr>
          <w:noProof w:val="0"/>
          <w:color w:val="000000" w:themeColor="text1"/>
        </w:rPr>
        <w:t xml:space="preserve">rials 1 to 5. </w:t>
      </w:r>
      <w:r w:rsidR="00B1644A" w:rsidRPr="00C951F0">
        <w:rPr>
          <w:i/>
          <w:iCs/>
          <w:noProof w:val="0"/>
          <w:color w:val="000000" w:themeColor="text1"/>
        </w:rPr>
        <w:t>Obesity (Silver Spring)</w:t>
      </w:r>
      <w:r w:rsidR="00B1644A" w:rsidRPr="00C951F0">
        <w:rPr>
          <w:noProof w:val="0"/>
          <w:color w:val="000000" w:themeColor="text1"/>
        </w:rPr>
        <w:t xml:space="preserve"> 2020;</w:t>
      </w:r>
      <w:r w:rsidR="008A62E0" w:rsidRPr="00C951F0">
        <w:rPr>
          <w:noProof w:val="0"/>
          <w:color w:val="000000" w:themeColor="text1"/>
        </w:rPr>
        <w:t xml:space="preserve"> </w:t>
      </w:r>
      <w:r w:rsidR="00B1644A" w:rsidRPr="00C951F0">
        <w:rPr>
          <w:b/>
          <w:bCs/>
          <w:noProof w:val="0"/>
          <w:color w:val="000000" w:themeColor="text1"/>
        </w:rPr>
        <w:t>28:</w:t>
      </w:r>
      <w:r w:rsidR="008A62E0" w:rsidRPr="00C951F0">
        <w:rPr>
          <w:noProof w:val="0"/>
          <w:color w:val="000000" w:themeColor="text1"/>
        </w:rPr>
        <w:t xml:space="preserve"> </w:t>
      </w:r>
      <w:r w:rsidR="00B1644A" w:rsidRPr="00C951F0">
        <w:rPr>
          <w:noProof w:val="0"/>
          <w:color w:val="000000" w:themeColor="text1"/>
        </w:rPr>
        <w:t>1050</w:t>
      </w:r>
      <w:r w:rsidR="008A62E0" w:rsidRPr="00C951F0">
        <w:rPr>
          <w:noProof w:val="0"/>
          <w:color w:val="000000" w:themeColor="text1"/>
        </w:rPr>
        <w:t>–</w:t>
      </w:r>
      <w:r w:rsidR="00B1644A" w:rsidRPr="00C951F0">
        <w:rPr>
          <w:noProof w:val="0"/>
          <w:color w:val="000000" w:themeColor="text1"/>
        </w:rPr>
        <w:t>61.</w:t>
      </w:r>
    </w:p>
    <w:p w14:paraId="4A4DFA76" w14:textId="622698E6" w:rsidR="00FA54DD" w:rsidRDefault="004B580E" w:rsidP="00934A10">
      <w:pPr>
        <w:pStyle w:val="EndNoteBibliography"/>
        <w:spacing w:after="0" w:line="480" w:lineRule="auto"/>
        <w:rPr>
          <w:noProof w:val="0"/>
          <w:color w:val="000000" w:themeColor="text1"/>
        </w:rPr>
      </w:pPr>
      <w:r>
        <w:rPr>
          <w:noProof w:val="0"/>
          <w:color w:val="000000" w:themeColor="text1"/>
        </w:rPr>
        <w:t>13</w:t>
      </w:r>
      <w:r w:rsidR="008A62E0" w:rsidRPr="00C951F0">
        <w:rPr>
          <w:noProof w:val="0"/>
          <w:color w:val="000000" w:themeColor="text1"/>
        </w:rPr>
        <w:t>.</w:t>
      </w:r>
      <w:r w:rsidR="008A62E0" w:rsidRPr="00C951F0">
        <w:rPr>
          <w:noProof w:val="0"/>
          <w:color w:val="000000" w:themeColor="text1"/>
        </w:rPr>
        <w:tab/>
      </w:r>
      <w:r w:rsidR="00B1644A" w:rsidRPr="00C951F0">
        <w:rPr>
          <w:noProof w:val="0"/>
          <w:color w:val="000000" w:themeColor="text1"/>
        </w:rPr>
        <w:t xml:space="preserve">International Conference on </w:t>
      </w:r>
      <w:proofErr w:type="spellStart"/>
      <w:r w:rsidR="00B1644A" w:rsidRPr="00C951F0">
        <w:rPr>
          <w:noProof w:val="0"/>
          <w:color w:val="000000" w:themeColor="text1"/>
        </w:rPr>
        <w:t>Harmonisation</w:t>
      </w:r>
      <w:proofErr w:type="spellEnd"/>
      <w:r w:rsidR="00B1644A" w:rsidRPr="00C951F0">
        <w:rPr>
          <w:noProof w:val="0"/>
          <w:color w:val="000000" w:themeColor="text1"/>
        </w:rPr>
        <w:t xml:space="preserve"> Guideline for Good Clinical Practice Step 4 version. 2017. </w:t>
      </w:r>
      <w:hyperlink r:id="rId9" w:history="1">
        <w:r w:rsidR="00FA54DD" w:rsidRPr="00C951F0">
          <w:rPr>
            <w:rStyle w:val="Hyperlink"/>
            <w:noProof w:val="0"/>
            <w:color w:val="000000" w:themeColor="text1"/>
          </w:rPr>
          <w:t>http://www.ema.europa.eu/docs/en_GB/document_library/Scientific_guideline/2009/09/WC500002874.pdf</w:t>
        </w:r>
      </w:hyperlink>
      <w:r w:rsidR="00FA54DD" w:rsidRPr="00C951F0">
        <w:rPr>
          <w:noProof w:val="0"/>
          <w:color w:val="000000" w:themeColor="text1"/>
        </w:rPr>
        <w:t xml:space="preserve"> (</w:t>
      </w:r>
      <w:r w:rsidR="00D12997" w:rsidRPr="00C951F0">
        <w:rPr>
          <w:noProof w:val="0"/>
          <w:color w:val="000000" w:themeColor="text1"/>
        </w:rPr>
        <w:t xml:space="preserve">accessed </w:t>
      </w:r>
      <w:r w:rsidR="00FA54DD" w:rsidRPr="00C951F0">
        <w:rPr>
          <w:noProof w:val="0"/>
          <w:color w:val="000000" w:themeColor="text1"/>
        </w:rPr>
        <w:t>Oct</w:t>
      </w:r>
      <w:r w:rsidR="00D12997" w:rsidRPr="00C951F0">
        <w:rPr>
          <w:noProof w:val="0"/>
          <w:color w:val="000000" w:themeColor="text1"/>
        </w:rPr>
        <w:t xml:space="preserve"> 9</w:t>
      </w:r>
      <w:r w:rsidR="00FA54DD" w:rsidRPr="00C951F0">
        <w:rPr>
          <w:noProof w:val="0"/>
          <w:color w:val="000000" w:themeColor="text1"/>
        </w:rPr>
        <w:t>, 2020</w:t>
      </w:r>
      <w:r w:rsidR="00B1644A" w:rsidRPr="00C951F0">
        <w:rPr>
          <w:noProof w:val="0"/>
          <w:color w:val="000000" w:themeColor="text1"/>
        </w:rPr>
        <w:t>)</w:t>
      </w:r>
      <w:r w:rsidR="00FA54DD" w:rsidRPr="00C951F0">
        <w:rPr>
          <w:noProof w:val="0"/>
          <w:color w:val="000000" w:themeColor="text1"/>
        </w:rPr>
        <w:t>.</w:t>
      </w:r>
    </w:p>
    <w:p w14:paraId="1E463562" w14:textId="7DC494DB" w:rsidR="00DA707C" w:rsidRPr="00C951F0" w:rsidRDefault="004B580E" w:rsidP="00934A10">
      <w:pPr>
        <w:pStyle w:val="EndNoteBibliography"/>
        <w:spacing w:after="0" w:line="480" w:lineRule="auto"/>
        <w:rPr>
          <w:noProof w:val="0"/>
          <w:color w:val="000000" w:themeColor="text1"/>
        </w:rPr>
      </w:pPr>
      <w:r>
        <w:rPr>
          <w:noProof w:val="0"/>
          <w:color w:val="000000" w:themeColor="text1"/>
        </w:rPr>
        <w:t>14</w:t>
      </w:r>
      <w:r w:rsidR="00DA707C">
        <w:rPr>
          <w:noProof w:val="0"/>
          <w:color w:val="000000" w:themeColor="text1"/>
        </w:rPr>
        <w:t>.</w:t>
      </w:r>
      <w:r w:rsidR="00DA707C">
        <w:rPr>
          <w:noProof w:val="0"/>
          <w:color w:val="000000" w:themeColor="text1"/>
        </w:rPr>
        <w:tab/>
      </w:r>
      <w:r w:rsidR="00DA707C" w:rsidRPr="00DA707C">
        <w:rPr>
          <w:noProof w:val="0"/>
          <w:color w:val="000000" w:themeColor="text1"/>
        </w:rPr>
        <w:t>FAO/WHO/UNU. Human energy requirements. Report of a joint FAO/WHO/UNU expert consultation. FAO: food and nutrition technical report series 1. Rome: 2004 2004</w:t>
      </w:r>
      <w:r w:rsidR="00DA707C">
        <w:rPr>
          <w:noProof w:val="0"/>
          <w:color w:val="000000" w:themeColor="text1"/>
        </w:rPr>
        <w:t>.</w:t>
      </w:r>
    </w:p>
    <w:p w14:paraId="2C1C06C4" w14:textId="1C9A1E60" w:rsidR="00B1644A" w:rsidRPr="00C951F0" w:rsidRDefault="004B580E" w:rsidP="00934A10">
      <w:pPr>
        <w:pStyle w:val="EndNoteBibliography"/>
        <w:spacing w:after="0" w:line="480" w:lineRule="auto"/>
        <w:rPr>
          <w:noProof w:val="0"/>
          <w:color w:val="000000" w:themeColor="text1"/>
        </w:rPr>
      </w:pPr>
      <w:r>
        <w:rPr>
          <w:noProof w:val="0"/>
          <w:color w:val="000000" w:themeColor="text1"/>
        </w:rPr>
        <w:t>15</w:t>
      </w:r>
      <w:r w:rsidR="00114ED2" w:rsidRPr="00C951F0">
        <w:rPr>
          <w:noProof w:val="0"/>
          <w:color w:val="000000" w:themeColor="text1"/>
        </w:rPr>
        <w:t>.</w:t>
      </w:r>
      <w:r w:rsidR="00114ED2" w:rsidRPr="00C951F0">
        <w:rPr>
          <w:noProof w:val="0"/>
          <w:color w:val="000000" w:themeColor="text1"/>
        </w:rPr>
        <w:tab/>
      </w:r>
      <w:r w:rsidR="00B1644A" w:rsidRPr="00C951F0">
        <w:rPr>
          <w:noProof w:val="0"/>
          <w:color w:val="000000" w:themeColor="text1"/>
        </w:rPr>
        <w:t xml:space="preserve">Wharton S, </w:t>
      </w:r>
      <w:proofErr w:type="spellStart"/>
      <w:r w:rsidR="00B1644A" w:rsidRPr="00C951F0">
        <w:rPr>
          <w:noProof w:val="0"/>
          <w:color w:val="000000" w:themeColor="text1"/>
        </w:rPr>
        <w:t>Astrup</w:t>
      </w:r>
      <w:proofErr w:type="spellEnd"/>
      <w:r w:rsidR="00B1644A" w:rsidRPr="00C951F0">
        <w:rPr>
          <w:noProof w:val="0"/>
          <w:color w:val="000000" w:themeColor="text1"/>
        </w:rPr>
        <w:t xml:space="preserve"> A, </w:t>
      </w:r>
      <w:proofErr w:type="spellStart"/>
      <w:r w:rsidR="00B1644A" w:rsidRPr="00C951F0">
        <w:rPr>
          <w:noProof w:val="0"/>
          <w:color w:val="000000" w:themeColor="text1"/>
        </w:rPr>
        <w:t>Endahl</w:t>
      </w:r>
      <w:proofErr w:type="spellEnd"/>
      <w:r w:rsidR="00B1644A" w:rsidRPr="00C951F0">
        <w:rPr>
          <w:noProof w:val="0"/>
          <w:color w:val="000000" w:themeColor="text1"/>
        </w:rPr>
        <w:t xml:space="preserve"> L, et al. Estimating and interpreting treatment effects in clinical trials for weight management: implications of estimands, intercurrent events and missing data. </w:t>
      </w:r>
      <w:r w:rsidR="008417E2" w:rsidRPr="00C951F0">
        <w:rPr>
          <w:i/>
          <w:iCs/>
          <w:color w:val="000000" w:themeColor="text1"/>
        </w:rPr>
        <w:t>Int J Obes</w:t>
      </w:r>
      <w:r w:rsidR="008417E2" w:rsidRPr="00C951F0">
        <w:rPr>
          <w:color w:val="000000" w:themeColor="text1"/>
        </w:rPr>
        <w:t xml:space="preserve"> 2020; In press</w:t>
      </w:r>
      <w:r w:rsidR="008417E2" w:rsidRPr="00C951F0">
        <w:rPr>
          <w:i/>
          <w:iCs/>
          <w:color w:val="000000" w:themeColor="text1"/>
        </w:rPr>
        <w:t>.</w:t>
      </w:r>
    </w:p>
    <w:p w14:paraId="4A3C561C" w14:textId="5C5B1133" w:rsidR="00B1644A" w:rsidRPr="00C951F0" w:rsidRDefault="004B580E" w:rsidP="00934A10">
      <w:pPr>
        <w:pStyle w:val="EndNoteBibliography"/>
        <w:spacing w:after="0" w:line="480" w:lineRule="auto"/>
        <w:rPr>
          <w:noProof w:val="0"/>
          <w:color w:val="000000" w:themeColor="text1"/>
        </w:rPr>
      </w:pPr>
      <w:r>
        <w:rPr>
          <w:noProof w:val="0"/>
          <w:color w:val="000000" w:themeColor="text1"/>
        </w:rPr>
        <w:t>16</w:t>
      </w:r>
      <w:r w:rsidR="008A62E0" w:rsidRPr="00C951F0">
        <w:rPr>
          <w:noProof w:val="0"/>
          <w:color w:val="000000" w:themeColor="text1"/>
        </w:rPr>
        <w:t>.</w:t>
      </w:r>
      <w:r w:rsidR="008A62E0" w:rsidRPr="00C951F0">
        <w:rPr>
          <w:noProof w:val="0"/>
          <w:color w:val="000000" w:themeColor="text1"/>
        </w:rPr>
        <w:tab/>
      </w:r>
      <w:r w:rsidR="00B1644A" w:rsidRPr="00C951F0">
        <w:rPr>
          <w:noProof w:val="0"/>
          <w:color w:val="000000" w:themeColor="text1"/>
        </w:rPr>
        <w:t xml:space="preserve">Wing RR, Lang W, Wadden TA, et al. Benefits of modest weight loss in improving cardiovascular risk factors in overweight and obese individuals with type 2 diabetes. </w:t>
      </w:r>
      <w:r w:rsidR="00B1644A" w:rsidRPr="00C951F0">
        <w:rPr>
          <w:i/>
          <w:iCs/>
          <w:noProof w:val="0"/>
          <w:color w:val="000000" w:themeColor="text1"/>
        </w:rPr>
        <w:t xml:space="preserve">Diabetes </w:t>
      </w:r>
      <w:r w:rsidR="00FA54DD" w:rsidRPr="00C951F0">
        <w:rPr>
          <w:i/>
          <w:iCs/>
          <w:noProof w:val="0"/>
          <w:color w:val="000000" w:themeColor="text1"/>
        </w:rPr>
        <w:t>C</w:t>
      </w:r>
      <w:r w:rsidR="00B1644A" w:rsidRPr="00C951F0">
        <w:rPr>
          <w:i/>
          <w:iCs/>
          <w:noProof w:val="0"/>
          <w:color w:val="000000" w:themeColor="text1"/>
        </w:rPr>
        <w:t>are</w:t>
      </w:r>
      <w:r w:rsidR="00B1644A" w:rsidRPr="00C951F0">
        <w:rPr>
          <w:noProof w:val="0"/>
          <w:color w:val="000000" w:themeColor="text1"/>
        </w:rPr>
        <w:t xml:space="preserve"> 2011;</w:t>
      </w:r>
      <w:r w:rsidR="008A62E0" w:rsidRPr="00C951F0">
        <w:rPr>
          <w:noProof w:val="0"/>
          <w:color w:val="000000" w:themeColor="text1"/>
        </w:rPr>
        <w:t xml:space="preserve"> </w:t>
      </w:r>
      <w:r w:rsidR="00B1644A" w:rsidRPr="00C951F0">
        <w:rPr>
          <w:b/>
          <w:bCs/>
          <w:noProof w:val="0"/>
          <w:color w:val="000000" w:themeColor="text1"/>
        </w:rPr>
        <w:t>34:</w:t>
      </w:r>
      <w:r w:rsidR="008A62E0" w:rsidRPr="00C951F0">
        <w:rPr>
          <w:noProof w:val="0"/>
          <w:color w:val="000000" w:themeColor="text1"/>
        </w:rPr>
        <w:t xml:space="preserve"> </w:t>
      </w:r>
      <w:r w:rsidR="00B1644A" w:rsidRPr="00C951F0">
        <w:rPr>
          <w:noProof w:val="0"/>
          <w:color w:val="000000" w:themeColor="text1"/>
        </w:rPr>
        <w:t>1481</w:t>
      </w:r>
      <w:r w:rsidR="008A62E0" w:rsidRPr="00C951F0">
        <w:rPr>
          <w:noProof w:val="0"/>
          <w:color w:val="000000" w:themeColor="text1"/>
        </w:rPr>
        <w:t>–</w:t>
      </w:r>
      <w:r w:rsidR="00B1644A" w:rsidRPr="00C951F0">
        <w:rPr>
          <w:noProof w:val="0"/>
          <w:color w:val="000000" w:themeColor="text1"/>
        </w:rPr>
        <w:t>6.</w:t>
      </w:r>
    </w:p>
    <w:p w14:paraId="07C03FE6" w14:textId="18BF48ED" w:rsidR="00B1644A" w:rsidRPr="00C951F0" w:rsidRDefault="004B580E" w:rsidP="00934A10">
      <w:pPr>
        <w:pStyle w:val="EndNoteBibliography"/>
        <w:spacing w:after="0" w:line="480" w:lineRule="auto"/>
        <w:rPr>
          <w:noProof w:val="0"/>
          <w:color w:val="000000" w:themeColor="text1"/>
        </w:rPr>
      </w:pPr>
      <w:r>
        <w:rPr>
          <w:noProof w:val="0"/>
          <w:color w:val="000000" w:themeColor="text1"/>
        </w:rPr>
        <w:t>17</w:t>
      </w:r>
      <w:r w:rsidR="008A62E0" w:rsidRPr="00C951F0">
        <w:rPr>
          <w:noProof w:val="0"/>
          <w:color w:val="000000" w:themeColor="text1"/>
        </w:rPr>
        <w:t>.</w:t>
      </w:r>
      <w:r w:rsidR="008A62E0" w:rsidRPr="00C951F0">
        <w:rPr>
          <w:noProof w:val="0"/>
          <w:color w:val="000000" w:themeColor="text1"/>
        </w:rPr>
        <w:tab/>
      </w:r>
      <w:r w:rsidR="00B1644A" w:rsidRPr="00C951F0">
        <w:rPr>
          <w:noProof w:val="0"/>
          <w:color w:val="000000" w:themeColor="text1"/>
        </w:rPr>
        <w:t xml:space="preserve">Davies MJ, </w:t>
      </w:r>
      <w:proofErr w:type="spellStart"/>
      <w:r w:rsidR="00B1644A" w:rsidRPr="00C951F0">
        <w:rPr>
          <w:noProof w:val="0"/>
          <w:color w:val="000000" w:themeColor="text1"/>
        </w:rPr>
        <w:t>Bergenstal</w:t>
      </w:r>
      <w:proofErr w:type="spellEnd"/>
      <w:r w:rsidR="00B1644A" w:rsidRPr="00C951F0">
        <w:rPr>
          <w:noProof w:val="0"/>
          <w:color w:val="000000" w:themeColor="text1"/>
        </w:rPr>
        <w:t xml:space="preserve"> R, Bode B, et al. Efficacy of </w:t>
      </w:r>
      <w:r w:rsidR="00227D23" w:rsidRPr="00C951F0">
        <w:rPr>
          <w:noProof w:val="0"/>
          <w:color w:val="000000" w:themeColor="text1"/>
        </w:rPr>
        <w:t>l</w:t>
      </w:r>
      <w:r w:rsidR="00B1644A" w:rsidRPr="00C951F0">
        <w:rPr>
          <w:noProof w:val="0"/>
          <w:color w:val="000000" w:themeColor="text1"/>
        </w:rPr>
        <w:t xml:space="preserve">iraglutide for </w:t>
      </w:r>
      <w:r w:rsidR="00227D23" w:rsidRPr="00C951F0">
        <w:rPr>
          <w:noProof w:val="0"/>
          <w:color w:val="000000" w:themeColor="text1"/>
        </w:rPr>
        <w:t>w</w:t>
      </w:r>
      <w:r w:rsidR="00B1644A" w:rsidRPr="00C951F0">
        <w:rPr>
          <w:noProof w:val="0"/>
          <w:color w:val="000000" w:themeColor="text1"/>
        </w:rPr>
        <w:t xml:space="preserve">eight </w:t>
      </w:r>
      <w:r w:rsidR="00227D23" w:rsidRPr="00C951F0">
        <w:rPr>
          <w:noProof w:val="0"/>
          <w:color w:val="000000" w:themeColor="text1"/>
        </w:rPr>
        <w:t>l</w:t>
      </w:r>
      <w:r w:rsidR="00B1644A" w:rsidRPr="00C951F0">
        <w:rPr>
          <w:noProof w:val="0"/>
          <w:color w:val="000000" w:themeColor="text1"/>
        </w:rPr>
        <w:t xml:space="preserve">oss </w:t>
      </w:r>
      <w:r w:rsidR="00227D23" w:rsidRPr="00C951F0">
        <w:rPr>
          <w:noProof w:val="0"/>
          <w:color w:val="000000" w:themeColor="text1"/>
        </w:rPr>
        <w:t>a</w:t>
      </w:r>
      <w:r w:rsidR="00B1644A" w:rsidRPr="00C951F0">
        <w:rPr>
          <w:noProof w:val="0"/>
          <w:color w:val="000000" w:themeColor="text1"/>
        </w:rPr>
        <w:t xml:space="preserve">mong </w:t>
      </w:r>
      <w:r w:rsidR="00227D23" w:rsidRPr="00C951F0">
        <w:rPr>
          <w:noProof w:val="0"/>
          <w:color w:val="000000" w:themeColor="text1"/>
        </w:rPr>
        <w:t>p</w:t>
      </w:r>
      <w:r w:rsidR="00B1644A" w:rsidRPr="00C951F0">
        <w:rPr>
          <w:noProof w:val="0"/>
          <w:color w:val="000000" w:themeColor="text1"/>
        </w:rPr>
        <w:t xml:space="preserve">atients </w:t>
      </w:r>
      <w:r w:rsidR="00227D23" w:rsidRPr="00C951F0">
        <w:rPr>
          <w:noProof w:val="0"/>
          <w:color w:val="000000" w:themeColor="text1"/>
        </w:rPr>
        <w:t>w</w:t>
      </w:r>
      <w:r w:rsidR="00B1644A" w:rsidRPr="00C951F0">
        <w:rPr>
          <w:noProof w:val="0"/>
          <w:color w:val="000000" w:themeColor="text1"/>
        </w:rPr>
        <w:t xml:space="preserve">ith </w:t>
      </w:r>
      <w:r w:rsidR="00227D23" w:rsidRPr="00C951F0">
        <w:rPr>
          <w:noProof w:val="0"/>
          <w:color w:val="000000" w:themeColor="text1"/>
        </w:rPr>
        <w:t>t</w:t>
      </w:r>
      <w:r w:rsidR="00B1644A" w:rsidRPr="00C951F0">
        <w:rPr>
          <w:noProof w:val="0"/>
          <w:color w:val="000000" w:themeColor="text1"/>
        </w:rPr>
        <w:t xml:space="preserve">ype 2 </w:t>
      </w:r>
      <w:r w:rsidR="00227D23" w:rsidRPr="00C951F0">
        <w:rPr>
          <w:noProof w:val="0"/>
          <w:color w:val="000000" w:themeColor="text1"/>
        </w:rPr>
        <w:t>d</w:t>
      </w:r>
      <w:r w:rsidR="00B1644A" w:rsidRPr="00C951F0">
        <w:rPr>
          <w:noProof w:val="0"/>
          <w:color w:val="000000" w:themeColor="text1"/>
        </w:rPr>
        <w:t xml:space="preserve">iabetes: </w:t>
      </w:r>
      <w:r w:rsidR="00065E91" w:rsidRPr="00C951F0">
        <w:rPr>
          <w:noProof w:val="0"/>
          <w:color w:val="000000" w:themeColor="text1"/>
        </w:rPr>
        <w:t xml:space="preserve">the </w:t>
      </w:r>
      <w:r w:rsidR="00B1644A" w:rsidRPr="00C951F0">
        <w:rPr>
          <w:noProof w:val="0"/>
          <w:color w:val="000000" w:themeColor="text1"/>
        </w:rPr>
        <w:t xml:space="preserve">SCALE </w:t>
      </w:r>
      <w:r w:rsidR="00227D23" w:rsidRPr="00C951F0">
        <w:rPr>
          <w:noProof w:val="0"/>
          <w:color w:val="000000" w:themeColor="text1"/>
        </w:rPr>
        <w:t>d</w:t>
      </w:r>
      <w:r w:rsidR="00B1644A" w:rsidRPr="00C951F0">
        <w:rPr>
          <w:noProof w:val="0"/>
          <w:color w:val="000000" w:themeColor="text1"/>
        </w:rPr>
        <w:t xml:space="preserve">iabetes </w:t>
      </w:r>
      <w:r w:rsidR="00227D23" w:rsidRPr="00C951F0">
        <w:rPr>
          <w:noProof w:val="0"/>
          <w:color w:val="000000" w:themeColor="text1"/>
        </w:rPr>
        <w:t>r</w:t>
      </w:r>
      <w:r w:rsidR="00B1644A" w:rsidRPr="00C951F0">
        <w:rPr>
          <w:noProof w:val="0"/>
          <w:color w:val="000000" w:themeColor="text1"/>
        </w:rPr>
        <w:t xml:space="preserve">andomized </w:t>
      </w:r>
      <w:r w:rsidR="00227D23" w:rsidRPr="00C951F0">
        <w:rPr>
          <w:noProof w:val="0"/>
          <w:color w:val="000000" w:themeColor="text1"/>
        </w:rPr>
        <w:t>c</w:t>
      </w:r>
      <w:r w:rsidR="00B1644A" w:rsidRPr="00C951F0">
        <w:rPr>
          <w:noProof w:val="0"/>
          <w:color w:val="000000" w:themeColor="text1"/>
        </w:rPr>
        <w:t xml:space="preserve">linical </w:t>
      </w:r>
      <w:r w:rsidR="00227D23" w:rsidRPr="00C951F0">
        <w:rPr>
          <w:noProof w:val="0"/>
          <w:color w:val="000000" w:themeColor="text1"/>
        </w:rPr>
        <w:t>t</w:t>
      </w:r>
      <w:r w:rsidR="00B1644A" w:rsidRPr="00C951F0">
        <w:rPr>
          <w:noProof w:val="0"/>
          <w:color w:val="000000" w:themeColor="text1"/>
        </w:rPr>
        <w:t xml:space="preserve">rial. </w:t>
      </w:r>
      <w:r w:rsidR="00B1644A" w:rsidRPr="00C951F0">
        <w:rPr>
          <w:i/>
          <w:iCs/>
          <w:noProof w:val="0"/>
          <w:color w:val="000000" w:themeColor="text1"/>
        </w:rPr>
        <w:t>J</w:t>
      </w:r>
      <w:r w:rsidR="00FA54DD" w:rsidRPr="00C951F0">
        <w:rPr>
          <w:i/>
          <w:iCs/>
          <w:noProof w:val="0"/>
          <w:color w:val="000000" w:themeColor="text1"/>
        </w:rPr>
        <w:t>AMA</w:t>
      </w:r>
      <w:r w:rsidR="00B1644A" w:rsidRPr="00C951F0">
        <w:rPr>
          <w:i/>
          <w:iCs/>
          <w:noProof w:val="0"/>
          <w:color w:val="000000" w:themeColor="text1"/>
        </w:rPr>
        <w:t xml:space="preserve"> </w:t>
      </w:r>
      <w:r w:rsidR="00B1644A" w:rsidRPr="00C951F0">
        <w:rPr>
          <w:noProof w:val="0"/>
          <w:color w:val="000000" w:themeColor="text1"/>
        </w:rPr>
        <w:t>2015;</w:t>
      </w:r>
      <w:r w:rsidR="008A62E0" w:rsidRPr="00C951F0">
        <w:rPr>
          <w:noProof w:val="0"/>
          <w:color w:val="000000" w:themeColor="text1"/>
        </w:rPr>
        <w:t xml:space="preserve"> </w:t>
      </w:r>
      <w:r w:rsidR="00B1644A" w:rsidRPr="00C951F0">
        <w:rPr>
          <w:b/>
          <w:bCs/>
          <w:noProof w:val="0"/>
          <w:color w:val="000000" w:themeColor="text1"/>
        </w:rPr>
        <w:t>314:</w:t>
      </w:r>
      <w:r w:rsidR="008A62E0" w:rsidRPr="00C951F0">
        <w:rPr>
          <w:noProof w:val="0"/>
          <w:color w:val="000000" w:themeColor="text1"/>
        </w:rPr>
        <w:t xml:space="preserve"> </w:t>
      </w:r>
      <w:r w:rsidR="00B1644A" w:rsidRPr="00C951F0">
        <w:rPr>
          <w:noProof w:val="0"/>
          <w:color w:val="000000" w:themeColor="text1"/>
        </w:rPr>
        <w:t>687</w:t>
      </w:r>
      <w:r w:rsidR="008A62E0" w:rsidRPr="00C951F0">
        <w:rPr>
          <w:noProof w:val="0"/>
          <w:color w:val="000000" w:themeColor="text1"/>
        </w:rPr>
        <w:t>–</w:t>
      </w:r>
      <w:r w:rsidR="00B1644A" w:rsidRPr="00C951F0">
        <w:rPr>
          <w:noProof w:val="0"/>
          <w:color w:val="000000" w:themeColor="text1"/>
        </w:rPr>
        <w:t>99.</w:t>
      </w:r>
    </w:p>
    <w:p w14:paraId="75601838" w14:textId="76C95F92" w:rsidR="00B1644A" w:rsidRPr="00C951F0" w:rsidRDefault="004B580E" w:rsidP="00934A10">
      <w:pPr>
        <w:pStyle w:val="EndNoteBibliography"/>
        <w:spacing w:after="0" w:line="480" w:lineRule="auto"/>
        <w:rPr>
          <w:noProof w:val="0"/>
          <w:color w:val="000000" w:themeColor="text1"/>
        </w:rPr>
      </w:pPr>
      <w:r>
        <w:rPr>
          <w:noProof w:val="0"/>
          <w:color w:val="000000" w:themeColor="text1"/>
        </w:rPr>
        <w:t>18</w:t>
      </w:r>
      <w:r w:rsidR="008A62E0" w:rsidRPr="00C951F0">
        <w:rPr>
          <w:noProof w:val="0"/>
          <w:color w:val="000000" w:themeColor="text1"/>
        </w:rPr>
        <w:t>.</w:t>
      </w:r>
      <w:r w:rsidR="008A62E0" w:rsidRPr="00C951F0">
        <w:rPr>
          <w:noProof w:val="0"/>
          <w:color w:val="000000" w:themeColor="text1"/>
        </w:rPr>
        <w:tab/>
      </w:r>
      <w:r w:rsidR="00B1644A" w:rsidRPr="00C951F0">
        <w:rPr>
          <w:noProof w:val="0"/>
          <w:color w:val="000000" w:themeColor="text1"/>
        </w:rPr>
        <w:t xml:space="preserve">Hollander P, Gupta AK, </w:t>
      </w:r>
      <w:proofErr w:type="spellStart"/>
      <w:r w:rsidR="00B1644A" w:rsidRPr="00C951F0">
        <w:rPr>
          <w:noProof w:val="0"/>
          <w:color w:val="000000" w:themeColor="text1"/>
        </w:rPr>
        <w:t>Plodkowski</w:t>
      </w:r>
      <w:proofErr w:type="spellEnd"/>
      <w:r w:rsidR="00B1644A" w:rsidRPr="00C951F0">
        <w:rPr>
          <w:noProof w:val="0"/>
          <w:color w:val="000000" w:themeColor="text1"/>
        </w:rPr>
        <w:t xml:space="preserve"> R, et al. Effects of naltrexone sustained-release/bupropion sustained-release combination therapy on body weight and glycemic parameters in overweight and obese patients with type 2 diabetes. </w:t>
      </w:r>
      <w:r w:rsidR="00B1644A" w:rsidRPr="00C951F0">
        <w:rPr>
          <w:i/>
          <w:iCs/>
          <w:noProof w:val="0"/>
          <w:color w:val="000000" w:themeColor="text1"/>
        </w:rPr>
        <w:t xml:space="preserve">Diabetes </w:t>
      </w:r>
      <w:r w:rsidR="00FA54DD" w:rsidRPr="00C951F0">
        <w:rPr>
          <w:i/>
          <w:iCs/>
          <w:noProof w:val="0"/>
          <w:color w:val="000000" w:themeColor="text1"/>
        </w:rPr>
        <w:t>C</w:t>
      </w:r>
      <w:r w:rsidR="00B1644A" w:rsidRPr="00C951F0">
        <w:rPr>
          <w:i/>
          <w:iCs/>
          <w:noProof w:val="0"/>
          <w:color w:val="000000" w:themeColor="text1"/>
        </w:rPr>
        <w:t>are</w:t>
      </w:r>
      <w:r w:rsidR="00B1644A" w:rsidRPr="00C951F0">
        <w:rPr>
          <w:noProof w:val="0"/>
          <w:color w:val="000000" w:themeColor="text1"/>
        </w:rPr>
        <w:t xml:space="preserve"> 2013;</w:t>
      </w:r>
      <w:r w:rsidR="008A62E0" w:rsidRPr="00C951F0">
        <w:rPr>
          <w:noProof w:val="0"/>
          <w:color w:val="000000" w:themeColor="text1"/>
        </w:rPr>
        <w:t xml:space="preserve"> </w:t>
      </w:r>
      <w:r w:rsidR="00B1644A" w:rsidRPr="00C951F0">
        <w:rPr>
          <w:b/>
          <w:bCs/>
          <w:noProof w:val="0"/>
          <w:color w:val="000000" w:themeColor="text1"/>
        </w:rPr>
        <w:t>36:</w:t>
      </w:r>
      <w:r w:rsidR="008A62E0" w:rsidRPr="00C951F0">
        <w:rPr>
          <w:b/>
          <w:bCs/>
          <w:noProof w:val="0"/>
          <w:color w:val="000000" w:themeColor="text1"/>
        </w:rPr>
        <w:t xml:space="preserve"> </w:t>
      </w:r>
      <w:r w:rsidR="00B1644A" w:rsidRPr="00C951F0">
        <w:rPr>
          <w:noProof w:val="0"/>
          <w:color w:val="000000" w:themeColor="text1"/>
        </w:rPr>
        <w:t>4022</w:t>
      </w:r>
      <w:r w:rsidR="008A62E0" w:rsidRPr="00C951F0">
        <w:rPr>
          <w:noProof w:val="0"/>
          <w:color w:val="000000" w:themeColor="text1"/>
        </w:rPr>
        <w:t>–</w:t>
      </w:r>
      <w:r w:rsidR="00B1644A" w:rsidRPr="00C951F0">
        <w:rPr>
          <w:noProof w:val="0"/>
          <w:color w:val="000000" w:themeColor="text1"/>
        </w:rPr>
        <w:t>9.</w:t>
      </w:r>
    </w:p>
    <w:p w14:paraId="028E08FE" w14:textId="44D94F84" w:rsidR="00B1644A" w:rsidRPr="00C951F0" w:rsidRDefault="004B580E" w:rsidP="00934A10">
      <w:pPr>
        <w:pStyle w:val="EndNoteBibliography"/>
        <w:spacing w:after="0" w:line="480" w:lineRule="auto"/>
        <w:rPr>
          <w:noProof w:val="0"/>
          <w:color w:val="000000" w:themeColor="text1"/>
        </w:rPr>
      </w:pPr>
      <w:r>
        <w:rPr>
          <w:noProof w:val="0"/>
          <w:color w:val="000000" w:themeColor="text1"/>
        </w:rPr>
        <w:lastRenderedPageBreak/>
        <w:t>19</w:t>
      </w:r>
      <w:r w:rsidR="008A62E0" w:rsidRPr="00C951F0">
        <w:rPr>
          <w:noProof w:val="0"/>
          <w:color w:val="000000" w:themeColor="text1"/>
        </w:rPr>
        <w:t>.</w:t>
      </w:r>
      <w:r w:rsidR="008A62E0" w:rsidRPr="00C951F0">
        <w:rPr>
          <w:noProof w:val="0"/>
          <w:color w:val="000000" w:themeColor="text1"/>
        </w:rPr>
        <w:tab/>
      </w:r>
      <w:r w:rsidR="00B1644A" w:rsidRPr="00C951F0">
        <w:rPr>
          <w:noProof w:val="0"/>
          <w:color w:val="000000" w:themeColor="text1"/>
        </w:rPr>
        <w:t xml:space="preserve">Berne C, Orlistat Swedish Type 2 diabetes Study G. A randomized study of orlistat in combination with a weight management </w:t>
      </w:r>
      <w:proofErr w:type="spellStart"/>
      <w:r w:rsidR="00B1644A" w:rsidRPr="00C951F0">
        <w:rPr>
          <w:noProof w:val="0"/>
          <w:color w:val="000000" w:themeColor="text1"/>
        </w:rPr>
        <w:t>programme</w:t>
      </w:r>
      <w:proofErr w:type="spellEnd"/>
      <w:r w:rsidR="00B1644A" w:rsidRPr="00C951F0">
        <w:rPr>
          <w:noProof w:val="0"/>
          <w:color w:val="000000" w:themeColor="text1"/>
        </w:rPr>
        <w:t xml:space="preserve"> in obese patients with </w:t>
      </w:r>
      <w:r w:rsidR="00065E91" w:rsidRPr="00C951F0">
        <w:rPr>
          <w:noProof w:val="0"/>
          <w:color w:val="000000" w:themeColor="text1"/>
        </w:rPr>
        <w:t xml:space="preserve">type </w:t>
      </w:r>
      <w:r w:rsidR="00B1644A" w:rsidRPr="00C951F0">
        <w:rPr>
          <w:noProof w:val="0"/>
          <w:color w:val="000000" w:themeColor="text1"/>
        </w:rPr>
        <w:t xml:space="preserve">2 diabetes treated with metformin. </w:t>
      </w:r>
      <w:proofErr w:type="spellStart"/>
      <w:r w:rsidR="00B1644A" w:rsidRPr="00C951F0">
        <w:rPr>
          <w:i/>
          <w:iCs/>
          <w:noProof w:val="0"/>
          <w:color w:val="000000" w:themeColor="text1"/>
        </w:rPr>
        <w:t>Diabet</w:t>
      </w:r>
      <w:proofErr w:type="spellEnd"/>
      <w:r w:rsidR="00B1644A" w:rsidRPr="00C951F0">
        <w:rPr>
          <w:i/>
          <w:iCs/>
          <w:noProof w:val="0"/>
          <w:color w:val="000000" w:themeColor="text1"/>
        </w:rPr>
        <w:t xml:space="preserve"> Med</w:t>
      </w:r>
      <w:r w:rsidR="00B1644A" w:rsidRPr="00C951F0">
        <w:rPr>
          <w:noProof w:val="0"/>
          <w:color w:val="000000" w:themeColor="text1"/>
        </w:rPr>
        <w:t xml:space="preserve"> 2005;</w:t>
      </w:r>
      <w:r w:rsidR="008A62E0" w:rsidRPr="00C951F0">
        <w:rPr>
          <w:noProof w:val="0"/>
          <w:color w:val="000000" w:themeColor="text1"/>
        </w:rPr>
        <w:t xml:space="preserve"> </w:t>
      </w:r>
      <w:r w:rsidR="00B1644A" w:rsidRPr="00C951F0">
        <w:rPr>
          <w:b/>
          <w:bCs/>
          <w:noProof w:val="0"/>
          <w:color w:val="000000" w:themeColor="text1"/>
        </w:rPr>
        <w:t>22:</w:t>
      </w:r>
      <w:r w:rsidR="008A62E0" w:rsidRPr="00C951F0">
        <w:rPr>
          <w:noProof w:val="0"/>
          <w:color w:val="000000" w:themeColor="text1"/>
        </w:rPr>
        <w:t xml:space="preserve"> </w:t>
      </w:r>
      <w:r w:rsidR="00B1644A" w:rsidRPr="00C951F0">
        <w:rPr>
          <w:noProof w:val="0"/>
          <w:color w:val="000000" w:themeColor="text1"/>
        </w:rPr>
        <w:t>612</w:t>
      </w:r>
      <w:r w:rsidR="008A62E0" w:rsidRPr="00C951F0">
        <w:rPr>
          <w:noProof w:val="0"/>
          <w:color w:val="000000" w:themeColor="text1"/>
        </w:rPr>
        <w:t>–</w:t>
      </w:r>
      <w:r w:rsidR="00B1644A" w:rsidRPr="00C951F0">
        <w:rPr>
          <w:noProof w:val="0"/>
          <w:color w:val="000000" w:themeColor="text1"/>
        </w:rPr>
        <w:t>8.</w:t>
      </w:r>
    </w:p>
    <w:p w14:paraId="1DFBBA70" w14:textId="66D4FF34" w:rsidR="00B1644A" w:rsidRPr="00C951F0" w:rsidRDefault="004B580E" w:rsidP="00934A10">
      <w:pPr>
        <w:pStyle w:val="EndNoteBibliography"/>
        <w:spacing w:after="0" w:line="480" w:lineRule="auto"/>
        <w:rPr>
          <w:noProof w:val="0"/>
          <w:color w:val="000000" w:themeColor="text1"/>
        </w:rPr>
      </w:pPr>
      <w:r>
        <w:rPr>
          <w:noProof w:val="0"/>
          <w:color w:val="000000" w:themeColor="text1"/>
        </w:rPr>
        <w:t>20</w:t>
      </w:r>
      <w:r w:rsidR="008A62E0" w:rsidRPr="00C951F0">
        <w:rPr>
          <w:noProof w:val="0"/>
          <w:color w:val="000000" w:themeColor="text1"/>
        </w:rPr>
        <w:t>.</w:t>
      </w:r>
      <w:r w:rsidR="008A62E0" w:rsidRPr="00C951F0">
        <w:rPr>
          <w:noProof w:val="0"/>
          <w:color w:val="000000" w:themeColor="text1"/>
        </w:rPr>
        <w:tab/>
      </w:r>
      <w:r w:rsidR="00475CF2" w:rsidRPr="00C951F0">
        <w:rPr>
          <w:noProof w:val="0"/>
          <w:color w:val="000000" w:themeColor="text1"/>
        </w:rPr>
        <w:t>Pi-</w:t>
      </w:r>
      <w:proofErr w:type="spellStart"/>
      <w:r w:rsidR="00475CF2" w:rsidRPr="00C951F0">
        <w:rPr>
          <w:noProof w:val="0"/>
          <w:color w:val="000000" w:themeColor="text1"/>
        </w:rPr>
        <w:t>Sunyer</w:t>
      </w:r>
      <w:proofErr w:type="spellEnd"/>
      <w:r w:rsidR="00475CF2" w:rsidRPr="00C951F0">
        <w:rPr>
          <w:noProof w:val="0"/>
          <w:color w:val="000000" w:themeColor="text1"/>
        </w:rPr>
        <w:t xml:space="preserve"> X, </w:t>
      </w:r>
      <w:proofErr w:type="spellStart"/>
      <w:r w:rsidR="00475CF2" w:rsidRPr="00C951F0">
        <w:rPr>
          <w:noProof w:val="0"/>
          <w:color w:val="000000" w:themeColor="text1"/>
        </w:rPr>
        <w:t>Astrup</w:t>
      </w:r>
      <w:proofErr w:type="spellEnd"/>
      <w:r w:rsidR="00475CF2" w:rsidRPr="00C951F0">
        <w:rPr>
          <w:noProof w:val="0"/>
          <w:color w:val="000000" w:themeColor="text1"/>
        </w:rPr>
        <w:t xml:space="preserve"> A, Fujioka K</w:t>
      </w:r>
      <w:r w:rsidR="00B1644A" w:rsidRPr="00C951F0">
        <w:rPr>
          <w:noProof w:val="0"/>
          <w:color w:val="000000" w:themeColor="text1"/>
        </w:rPr>
        <w:t xml:space="preserve">, et al. </w:t>
      </w:r>
      <w:r w:rsidR="00475CF2" w:rsidRPr="00C951F0">
        <w:rPr>
          <w:noProof w:val="0"/>
          <w:color w:val="000000" w:themeColor="text1"/>
        </w:rPr>
        <w:t xml:space="preserve">A </w:t>
      </w:r>
      <w:r w:rsidR="00227D23" w:rsidRPr="00C951F0">
        <w:rPr>
          <w:noProof w:val="0"/>
          <w:color w:val="000000" w:themeColor="text1"/>
        </w:rPr>
        <w:t>r</w:t>
      </w:r>
      <w:r w:rsidR="00475CF2" w:rsidRPr="00C951F0">
        <w:rPr>
          <w:noProof w:val="0"/>
          <w:color w:val="000000" w:themeColor="text1"/>
        </w:rPr>
        <w:t xml:space="preserve">andomized, </w:t>
      </w:r>
      <w:r w:rsidR="00227D23" w:rsidRPr="00C951F0">
        <w:rPr>
          <w:noProof w:val="0"/>
          <w:color w:val="000000" w:themeColor="text1"/>
        </w:rPr>
        <w:t>c</w:t>
      </w:r>
      <w:r w:rsidR="00475CF2" w:rsidRPr="00C951F0">
        <w:rPr>
          <w:noProof w:val="0"/>
          <w:color w:val="000000" w:themeColor="text1"/>
        </w:rPr>
        <w:t xml:space="preserve">ontrolled </w:t>
      </w:r>
      <w:r w:rsidR="00227D23" w:rsidRPr="00C951F0">
        <w:rPr>
          <w:noProof w:val="0"/>
          <w:color w:val="000000" w:themeColor="text1"/>
        </w:rPr>
        <w:t>t</w:t>
      </w:r>
      <w:r w:rsidR="00475CF2" w:rsidRPr="00C951F0">
        <w:rPr>
          <w:noProof w:val="0"/>
          <w:color w:val="000000" w:themeColor="text1"/>
        </w:rPr>
        <w:t xml:space="preserve">rial of 3.0 mg of </w:t>
      </w:r>
      <w:r w:rsidR="00227D23" w:rsidRPr="00C951F0">
        <w:rPr>
          <w:noProof w:val="0"/>
          <w:color w:val="000000" w:themeColor="text1"/>
        </w:rPr>
        <w:t>l</w:t>
      </w:r>
      <w:r w:rsidR="00475CF2" w:rsidRPr="00C951F0">
        <w:rPr>
          <w:noProof w:val="0"/>
          <w:color w:val="000000" w:themeColor="text1"/>
        </w:rPr>
        <w:t xml:space="preserve">iraglutide in </w:t>
      </w:r>
      <w:r w:rsidR="00227D23" w:rsidRPr="00C951F0">
        <w:rPr>
          <w:noProof w:val="0"/>
          <w:color w:val="000000" w:themeColor="text1"/>
        </w:rPr>
        <w:t>w</w:t>
      </w:r>
      <w:r w:rsidR="00475CF2" w:rsidRPr="00C951F0">
        <w:rPr>
          <w:noProof w:val="0"/>
          <w:color w:val="000000" w:themeColor="text1"/>
        </w:rPr>
        <w:t xml:space="preserve">eight </w:t>
      </w:r>
      <w:r w:rsidR="00227D23" w:rsidRPr="00C951F0">
        <w:rPr>
          <w:noProof w:val="0"/>
          <w:color w:val="000000" w:themeColor="text1"/>
        </w:rPr>
        <w:t>m</w:t>
      </w:r>
      <w:r w:rsidR="00475CF2" w:rsidRPr="00C951F0">
        <w:rPr>
          <w:noProof w:val="0"/>
          <w:color w:val="000000" w:themeColor="text1"/>
        </w:rPr>
        <w:t>anagement</w:t>
      </w:r>
      <w:r w:rsidR="00B1644A" w:rsidRPr="00C951F0">
        <w:rPr>
          <w:noProof w:val="0"/>
          <w:color w:val="000000" w:themeColor="text1"/>
        </w:rPr>
        <w:t>.</w:t>
      </w:r>
      <w:r w:rsidR="00475CF2" w:rsidRPr="00C951F0">
        <w:rPr>
          <w:noProof w:val="0"/>
          <w:color w:val="000000" w:themeColor="text1"/>
        </w:rPr>
        <w:t xml:space="preserve"> </w:t>
      </w:r>
      <w:r w:rsidR="00475CF2" w:rsidRPr="00C951F0">
        <w:rPr>
          <w:i/>
          <w:iCs/>
          <w:noProof w:val="0"/>
          <w:color w:val="000000" w:themeColor="text1"/>
        </w:rPr>
        <w:t xml:space="preserve">N </w:t>
      </w:r>
      <w:proofErr w:type="spellStart"/>
      <w:r w:rsidR="00475CF2" w:rsidRPr="00C951F0">
        <w:rPr>
          <w:i/>
          <w:iCs/>
          <w:noProof w:val="0"/>
          <w:color w:val="000000" w:themeColor="text1"/>
        </w:rPr>
        <w:t>Engl</w:t>
      </w:r>
      <w:proofErr w:type="spellEnd"/>
      <w:r w:rsidR="00475CF2" w:rsidRPr="00C951F0">
        <w:rPr>
          <w:i/>
          <w:iCs/>
          <w:noProof w:val="0"/>
          <w:color w:val="000000" w:themeColor="text1"/>
        </w:rPr>
        <w:t xml:space="preserve"> J Med</w:t>
      </w:r>
      <w:r w:rsidR="00B1644A" w:rsidRPr="00C951F0">
        <w:rPr>
          <w:noProof w:val="0"/>
          <w:color w:val="000000" w:themeColor="text1"/>
        </w:rPr>
        <w:t xml:space="preserve"> 201</w:t>
      </w:r>
      <w:r w:rsidR="00475CF2" w:rsidRPr="00C951F0">
        <w:rPr>
          <w:noProof w:val="0"/>
          <w:color w:val="000000" w:themeColor="text1"/>
        </w:rPr>
        <w:t>5</w:t>
      </w:r>
      <w:r w:rsidR="00B1644A" w:rsidRPr="00C951F0">
        <w:rPr>
          <w:noProof w:val="0"/>
          <w:color w:val="000000" w:themeColor="text1"/>
        </w:rPr>
        <w:t>;</w:t>
      </w:r>
      <w:r w:rsidR="008A62E0" w:rsidRPr="00C951F0">
        <w:rPr>
          <w:noProof w:val="0"/>
          <w:color w:val="000000" w:themeColor="text1"/>
        </w:rPr>
        <w:t xml:space="preserve"> </w:t>
      </w:r>
      <w:r w:rsidR="00475CF2" w:rsidRPr="00C951F0">
        <w:rPr>
          <w:b/>
          <w:bCs/>
          <w:noProof w:val="0"/>
          <w:color w:val="000000" w:themeColor="text1"/>
        </w:rPr>
        <w:t>373</w:t>
      </w:r>
      <w:r w:rsidR="00B1644A" w:rsidRPr="00C951F0">
        <w:rPr>
          <w:b/>
          <w:bCs/>
          <w:noProof w:val="0"/>
          <w:color w:val="000000" w:themeColor="text1"/>
        </w:rPr>
        <w:t>:</w:t>
      </w:r>
      <w:r w:rsidR="008A62E0" w:rsidRPr="00C951F0">
        <w:rPr>
          <w:noProof w:val="0"/>
          <w:color w:val="000000" w:themeColor="text1"/>
        </w:rPr>
        <w:t xml:space="preserve"> </w:t>
      </w:r>
      <w:r w:rsidR="00475CF2" w:rsidRPr="00C951F0">
        <w:rPr>
          <w:noProof w:val="0"/>
          <w:color w:val="000000" w:themeColor="text1"/>
        </w:rPr>
        <w:t>11</w:t>
      </w:r>
      <w:r w:rsidR="008A62E0" w:rsidRPr="00C951F0">
        <w:rPr>
          <w:noProof w:val="0"/>
          <w:color w:val="000000" w:themeColor="text1"/>
        </w:rPr>
        <w:t>–</w:t>
      </w:r>
      <w:r w:rsidR="00475CF2" w:rsidRPr="00C951F0">
        <w:rPr>
          <w:noProof w:val="0"/>
          <w:color w:val="000000" w:themeColor="text1"/>
        </w:rPr>
        <w:t>22</w:t>
      </w:r>
      <w:r w:rsidR="00B1644A" w:rsidRPr="00C951F0">
        <w:rPr>
          <w:noProof w:val="0"/>
          <w:color w:val="000000" w:themeColor="text1"/>
        </w:rPr>
        <w:t>.</w:t>
      </w:r>
    </w:p>
    <w:p w14:paraId="5D2C1D13" w14:textId="455C4A9B" w:rsidR="00B1644A" w:rsidRPr="00C951F0" w:rsidRDefault="004B580E" w:rsidP="00934A10">
      <w:pPr>
        <w:pStyle w:val="EndNoteBibliography"/>
        <w:spacing w:after="0" w:line="480" w:lineRule="auto"/>
        <w:rPr>
          <w:noProof w:val="0"/>
          <w:color w:val="000000" w:themeColor="text1"/>
        </w:rPr>
      </w:pPr>
      <w:r>
        <w:rPr>
          <w:noProof w:val="0"/>
          <w:color w:val="000000" w:themeColor="text1"/>
        </w:rPr>
        <w:t>21</w:t>
      </w:r>
      <w:r w:rsidR="008A62E0" w:rsidRPr="00C951F0">
        <w:rPr>
          <w:noProof w:val="0"/>
          <w:color w:val="000000" w:themeColor="text1"/>
        </w:rPr>
        <w:t>.</w:t>
      </w:r>
      <w:r w:rsidR="008A62E0" w:rsidRPr="00C951F0">
        <w:rPr>
          <w:noProof w:val="0"/>
          <w:color w:val="000000" w:themeColor="text1"/>
        </w:rPr>
        <w:tab/>
      </w:r>
      <w:r w:rsidR="00B1644A" w:rsidRPr="00C951F0">
        <w:rPr>
          <w:noProof w:val="0"/>
          <w:color w:val="000000" w:themeColor="text1"/>
        </w:rPr>
        <w:t xml:space="preserve">Wilding JPH, Batterham RL, </w:t>
      </w:r>
      <w:proofErr w:type="spellStart"/>
      <w:r w:rsidR="00B1644A" w:rsidRPr="00C951F0">
        <w:rPr>
          <w:noProof w:val="0"/>
          <w:color w:val="000000" w:themeColor="text1"/>
        </w:rPr>
        <w:t>Callanna</w:t>
      </w:r>
      <w:proofErr w:type="spellEnd"/>
      <w:r w:rsidR="00B1644A" w:rsidRPr="00C951F0">
        <w:rPr>
          <w:noProof w:val="0"/>
          <w:color w:val="000000" w:themeColor="text1"/>
        </w:rPr>
        <w:t xml:space="preserve"> S, et al. Efficacy and </w:t>
      </w:r>
      <w:r w:rsidR="00A90F00" w:rsidRPr="00C951F0">
        <w:rPr>
          <w:noProof w:val="0"/>
          <w:color w:val="000000" w:themeColor="text1"/>
        </w:rPr>
        <w:t>s</w:t>
      </w:r>
      <w:r w:rsidR="00B1644A" w:rsidRPr="00C951F0">
        <w:rPr>
          <w:noProof w:val="0"/>
          <w:color w:val="000000" w:themeColor="text1"/>
        </w:rPr>
        <w:t xml:space="preserve">afety of </w:t>
      </w:r>
      <w:r w:rsidR="00A90F00" w:rsidRPr="00C951F0">
        <w:rPr>
          <w:noProof w:val="0"/>
          <w:color w:val="000000" w:themeColor="text1"/>
        </w:rPr>
        <w:t>o</w:t>
      </w:r>
      <w:r w:rsidR="00B1644A" w:rsidRPr="00C951F0">
        <w:rPr>
          <w:noProof w:val="0"/>
          <w:color w:val="000000" w:themeColor="text1"/>
        </w:rPr>
        <w:t xml:space="preserve">nce-weekly </w:t>
      </w:r>
      <w:r w:rsidR="00A90F00" w:rsidRPr="00C951F0">
        <w:rPr>
          <w:noProof w:val="0"/>
          <w:color w:val="000000" w:themeColor="text1"/>
        </w:rPr>
        <w:t>s</w:t>
      </w:r>
      <w:r w:rsidR="00B1644A" w:rsidRPr="00C951F0">
        <w:rPr>
          <w:noProof w:val="0"/>
          <w:color w:val="000000" w:themeColor="text1"/>
        </w:rPr>
        <w:t xml:space="preserve">emaglutide 2.4 mg in </w:t>
      </w:r>
      <w:r w:rsidR="00A90F00" w:rsidRPr="00C951F0">
        <w:rPr>
          <w:noProof w:val="0"/>
          <w:color w:val="000000" w:themeColor="text1"/>
        </w:rPr>
        <w:t>a</w:t>
      </w:r>
      <w:r w:rsidR="00B1644A" w:rsidRPr="00C951F0">
        <w:rPr>
          <w:noProof w:val="0"/>
          <w:color w:val="000000" w:themeColor="text1"/>
        </w:rPr>
        <w:t xml:space="preserve">dults with </w:t>
      </w:r>
      <w:r w:rsidR="00A90F00" w:rsidRPr="00C951F0">
        <w:rPr>
          <w:noProof w:val="0"/>
          <w:color w:val="000000" w:themeColor="text1"/>
        </w:rPr>
        <w:t>o</w:t>
      </w:r>
      <w:r w:rsidR="00B1644A" w:rsidRPr="00C951F0">
        <w:rPr>
          <w:noProof w:val="0"/>
          <w:color w:val="000000" w:themeColor="text1"/>
        </w:rPr>
        <w:t xml:space="preserve">verweight or </w:t>
      </w:r>
      <w:r w:rsidR="00A90F00" w:rsidRPr="0037035E">
        <w:rPr>
          <w:noProof w:val="0"/>
          <w:color w:val="000000" w:themeColor="text1"/>
        </w:rPr>
        <w:t>o</w:t>
      </w:r>
      <w:r w:rsidR="00B1644A" w:rsidRPr="0037035E">
        <w:rPr>
          <w:noProof w:val="0"/>
          <w:color w:val="000000" w:themeColor="text1"/>
        </w:rPr>
        <w:t>besity</w:t>
      </w:r>
      <w:r w:rsidR="00FA54DD" w:rsidRPr="0037035E">
        <w:rPr>
          <w:noProof w:val="0"/>
          <w:color w:val="000000" w:themeColor="text1"/>
        </w:rPr>
        <w:t>.</w:t>
      </w:r>
      <w:r w:rsidR="00B1644A" w:rsidRPr="0037035E">
        <w:rPr>
          <w:noProof w:val="0"/>
          <w:color w:val="000000" w:themeColor="text1"/>
        </w:rPr>
        <w:t xml:space="preserve"> </w:t>
      </w:r>
      <w:r w:rsidR="00FA54DD" w:rsidRPr="0037035E">
        <w:rPr>
          <w:i/>
          <w:iCs/>
          <w:noProof w:val="0"/>
          <w:color w:val="000000" w:themeColor="text1"/>
        </w:rPr>
        <w:t>[</w:t>
      </w:r>
      <w:r w:rsidR="00BC4C09" w:rsidRPr="0037035E">
        <w:rPr>
          <w:i/>
          <w:iCs/>
          <w:noProof w:val="0"/>
          <w:color w:val="000000" w:themeColor="text1"/>
        </w:rPr>
        <w:t xml:space="preserve">STEP 1 </w:t>
      </w:r>
      <w:r w:rsidR="00720079" w:rsidRPr="0037035E">
        <w:rPr>
          <w:i/>
          <w:iCs/>
          <w:noProof w:val="0"/>
          <w:color w:val="000000" w:themeColor="text1"/>
        </w:rPr>
        <w:t>manuscript;</w:t>
      </w:r>
      <w:r w:rsidR="00BC4C09" w:rsidRPr="0037035E">
        <w:rPr>
          <w:i/>
          <w:iCs/>
          <w:noProof w:val="0"/>
          <w:color w:val="000000" w:themeColor="text1"/>
        </w:rPr>
        <w:t xml:space="preserve"> </w:t>
      </w:r>
      <w:r w:rsidR="00934A10" w:rsidRPr="0037035E">
        <w:rPr>
          <w:i/>
          <w:iCs/>
          <w:noProof w:val="0"/>
          <w:color w:val="000000" w:themeColor="text1"/>
        </w:rPr>
        <w:t>currently under peer review</w:t>
      </w:r>
      <w:r w:rsidR="00720079" w:rsidRPr="0037035E">
        <w:rPr>
          <w:i/>
          <w:iCs/>
          <w:noProof w:val="0"/>
          <w:color w:val="000000" w:themeColor="text1"/>
        </w:rPr>
        <w:t xml:space="preserve"> at New England Journal of Medicine</w:t>
      </w:r>
      <w:r w:rsidR="00FA54DD" w:rsidRPr="0037035E">
        <w:rPr>
          <w:i/>
          <w:iCs/>
          <w:noProof w:val="0"/>
          <w:color w:val="000000" w:themeColor="text1"/>
        </w:rPr>
        <w:t>]</w:t>
      </w:r>
      <w:r w:rsidR="00B1644A" w:rsidRPr="0037035E">
        <w:rPr>
          <w:noProof w:val="0"/>
          <w:color w:val="000000" w:themeColor="text1"/>
        </w:rPr>
        <w:t>.</w:t>
      </w:r>
    </w:p>
    <w:p w14:paraId="015B43CE" w14:textId="22F8620D" w:rsidR="00DA707C" w:rsidRPr="00DA707C" w:rsidRDefault="004B580E" w:rsidP="00DA707C">
      <w:pPr>
        <w:pStyle w:val="EndNoteBibliography"/>
        <w:spacing w:after="0" w:line="480" w:lineRule="auto"/>
        <w:rPr>
          <w:noProof w:val="0"/>
          <w:color w:val="000000" w:themeColor="text1"/>
        </w:rPr>
      </w:pPr>
      <w:r>
        <w:rPr>
          <w:noProof w:val="0"/>
          <w:color w:val="000000" w:themeColor="text1"/>
        </w:rPr>
        <w:t>22</w:t>
      </w:r>
      <w:r w:rsidR="00DA707C">
        <w:rPr>
          <w:noProof w:val="0"/>
          <w:color w:val="000000" w:themeColor="text1"/>
        </w:rPr>
        <w:t>.</w:t>
      </w:r>
      <w:r w:rsidR="00DA707C">
        <w:rPr>
          <w:noProof w:val="0"/>
          <w:color w:val="000000" w:themeColor="text1"/>
        </w:rPr>
        <w:tab/>
      </w:r>
      <w:r w:rsidR="00DA707C" w:rsidRPr="00DA707C">
        <w:rPr>
          <w:noProof w:val="0"/>
          <w:color w:val="000000" w:themeColor="text1"/>
        </w:rPr>
        <w:t xml:space="preserve">Hall KD, Kahan S. Maintenance of lost weight and long-term management of obesity. </w:t>
      </w:r>
      <w:r w:rsidR="00DA707C" w:rsidRPr="002D4E1F">
        <w:rPr>
          <w:i/>
          <w:iCs/>
          <w:noProof w:val="0"/>
          <w:color w:val="000000" w:themeColor="text1"/>
        </w:rPr>
        <w:t>Med Clin North Am</w:t>
      </w:r>
      <w:r w:rsidR="00DA707C" w:rsidRPr="00DA707C">
        <w:rPr>
          <w:noProof w:val="0"/>
          <w:color w:val="000000" w:themeColor="text1"/>
        </w:rPr>
        <w:t xml:space="preserve"> 2018;</w:t>
      </w:r>
      <w:r w:rsidR="00DA707C">
        <w:rPr>
          <w:noProof w:val="0"/>
          <w:color w:val="000000" w:themeColor="text1"/>
        </w:rPr>
        <w:t xml:space="preserve"> </w:t>
      </w:r>
      <w:r w:rsidR="00DA707C" w:rsidRPr="002D4E1F">
        <w:rPr>
          <w:b/>
          <w:bCs/>
          <w:noProof w:val="0"/>
          <w:color w:val="000000" w:themeColor="text1"/>
        </w:rPr>
        <w:t>102:</w:t>
      </w:r>
      <w:r w:rsidR="00DA707C">
        <w:rPr>
          <w:b/>
          <w:bCs/>
          <w:noProof w:val="0"/>
          <w:color w:val="000000" w:themeColor="text1"/>
        </w:rPr>
        <w:t xml:space="preserve"> </w:t>
      </w:r>
      <w:r w:rsidR="00DA707C" w:rsidRPr="00DA707C">
        <w:rPr>
          <w:noProof w:val="0"/>
          <w:color w:val="000000" w:themeColor="text1"/>
        </w:rPr>
        <w:t>183</w:t>
      </w:r>
      <w:r w:rsidR="002D4E1F">
        <w:rPr>
          <w:noProof w:val="0"/>
          <w:color w:val="000000" w:themeColor="text1"/>
        </w:rPr>
        <w:t>–</w:t>
      </w:r>
      <w:r w:rsidR="00DA707C" w:rsidRPr="00DA707C">
        <w:rPr>
          <w:noProof w:val="0"/>
          <w:color w:val="000000" w:themeColor="text1"/>
        </w:rPr>
        <w:t>197.</w:t>
      </w:r>
    </w:p>
    <w:p w14:paraId="5E27E5B6" w14:textId="147FE71E" w:rsidR="00DA707C" w:rsidRPr="00DA707C" w:rsidRDefault="004B580E" w:rsidP="00DA707C">
      <w:pPr>
        <w:pStyle w:val="EndNoteBibliography"/>
        <w:spacing w:after="0" w:line="480" w:lineRule="auto"/>
        <w:rPr>
          <w:noProof w:val="0"/>
          <w:color w:val="000000" w:themeColor="text1"/>
        </w:rPr>
      </w:pPr>
      <w:r>
        <w:rPr>
          <w:noProof w:val="0"/>
          <w:color w:val="000000" w:themeColor="text1"/>
        </w:rPr>
        <w:t>23</w:t>
      </w:r>
      <w:r w:rsidR="00DA707C">
        <w:rPr>
          <w:noProof w:val="0"/>
          <w:color w:val="000000" w:themeColor="text1"/>
        </w:rPr>
        <w:t>.</w:t>
      </w:r>
      <w:r w:rsidR="00DA707C">
        <w:rPr>
          <w:noProof w:val="0"/>
          <w:color w:val="000000" w:themeColor="text1"/>
        </w:rPr>
        <w:tab/>
      </w:r>
      <w:r w:rsidR="00DA707C" w:rsidRPr="00DA707C">
        <w:rPr>
          <w:noProof w:val="0"/>
          <w:color w:val="000000" w:themeColor="text1"/>
        </w:rPr>
        <w:t xml:space="preserve">Heckman BW, Mathew AR, Carpenter MJ. Treatment burden and treatment fatigue as barriers to health. </w:t>
      </w:r>
      <w:proofErr w:type="spellStart"/>
      <w:r w:rsidR="00DA707C" w:rsidRPr="002D4E1F">
        <w:rPr>
          <w:i/>
          <w:iCs/>
          <w:noProof w:val="0"/>
          <w:color w:val="000000" w:themeColor="text1"/>
        </w:rPr>
        <w:t>Curr</w:t>
      </w:r>
      <w:proofErr w:type="spellEnd"/>
      <w:r w:rsidR="00DA707C" w:rsidRPr="002D4E1F">
        <w:rPr>
          <w:i/>
          <w:iCs/>
          <w:noProof w:val="0"/>
          <w:color w:val="000000" w:themeColor="text1"/>
        </w:rPr>
        <w:t xml:space="preserve"> </w:t>
      </w:r>
      <w:proofErr w:type="spellStart"/>
      <w:r w:rsidR="00DA707C" w:rsidRPr="002D4E1F">
        <w:rPr>
          <w:i/>
          <w:iCs/>
          <w:noProof w:val="0"/>
          <w:color w:val="000000" w:themeColor="text1"/>
        </w:rPr>
        <w:t>Opin</w:t>
      </w:r>
      <w:proofErr w:type="spellEnd"/>
      <w:r w:rsidR="00DA707C" w:rsidRPr="002D4E1F">
        <w:rPr>
          <w:i/>
          <w:iCs/>
          <w:noProof w:val="0"/>
          <w:color w:val="000000" w:themeColor="text1"/>
        </w:rPr>
        <w:t xml:space="preserve"> Psychol</w:t>
      </w:r>
      <w:r w:rsidR="00DA707C" w:rsidRPr="00DA707C">
        <w:rPr>
          <w:noProof w:val="0"/>
          <w:color w:val="000000" w:themeColor="text1"/>
        </w:rPr>
        <w:t xml:space="preserve"> 2015;</w:t>
      </w:r>
      <w:r w:rsidR="00DA707C">
        <w:rPr>
          <w:noProof w:val="0"/>
          <w:color w:val="000000" w:themeColor="text1"/>
        </w:rPr>
        <w:t xml:space="preserve"> </w:t>
      </w:r>
      <w:r w:rsidR="00DA707C" w:rsidRPr="002D4E1F">
        <w:rPr>
          <w:b/>
          <w:bCs/>
          <w:noProof w:val="0"/>
          <w:color w:val="000000" w:themeColor="text1"/>
        </w:rPr>
        <w:t>5:</w:t>
      </w:r>
      <w:r w:rsidR="00DA707C">
        <w:rPr>
          <w:noProof w:val="0"/>
          <w:color w:val="000000" w:themeColor="text1"/>
        </w:rPr>
        <w:t xml:space="preserve"> </w:t>
      </w:r>
      <w:r w:rsidR="00DA707C" w:rsidRPr="00DA707C">
        <w:rPr>
          <w:noProof w:val="0"/>
          <w:color w:val="000000" w:themeColor="text1"/>
        </w:rPr>
        <w:t>31</w:t>
      </w:r>
      <w:r w:rsidR="002D4E1F">
        <w:rPr>
          <w:noProof w:val="0"/>
          <w:color w:val="000000" w:themeColor="text1"/>
        </w:rPr>
        <w:t>–</w:t>
      </w:r>
      <w:r w:rsidR="00DA707C" w:rsidRPr="00DA707C">
        <w:rPr>
          <w:noProof w:val="0"/>
          <w:color w:val="000000" w:themeColor="text1"/>
        </w:rPr>
        <w:t>36.</w:t>
      </w:r>
    </w:p>
    <w:p w14:paraId="491D5C20" w14:textId="09D2388A" w:rsidR="00DA707C" w:rsidRDefault="004B580E" w:rsidP="00DA707C">
      <w:pPr>
        <w:pStyle w:val="EndNoteBibliography"/>
        <w:spacing w:after="0" w:line="480" w:lineRule="auto"/>
        <w:rPr>
          <w:noProof w:val="0"/>
          <w:color w:val="000000" w:themeColor="text1"/>
        </w:rPr>
      </w:pPr>
      <w:r>
        <w:rPr>
          <w:noProof w:val="0"/>
          <w:color w:val="000000" w:themeColor="text1"/>
        </w:rPr>
        <w:t>24</w:t>
      </w:r>
      <w:r w:rsidR="00DA707C">
        <w:rPr>
          <w:noProof w:val="0"/>
          <w:color w:val="000000" w:themeColor="text1"/>
        </w:rPr>
        <w:t>.</w:t>
      </w:r>
      <w:r w:rsidR="00DA707C">
        <w:rPr>
          <w:noProof w:val="0"/>
          <w:color w:val="000000" w:themeColor="text1"/>
        </w:rPr>
        <w:tab/>
      </w:r>
      <w:proofErr w:type="spellStart"/>
      <w:r w:rsidR="00DA707C" w:rsidRPr="00DA707C">
        <w:rPr>
          <w:noProof w:val="0"/>
          <w:color w:val="000000" w:themeColor="text1"/>
        </w:rPr>
        <w:t>Sumithran</w:t>
      </w:r>
      <w:proofErr w:type="spellEnd"/>
      <w:r w:rsidR="00DA707C" w:rsidRPr="00DA707C">
        <w:rPr>
          <w:noProof w:val="0"/>
          <w:color w:val="000000" w:themeColor="text1"/>
        </w:rPr>
        <w:t xml:space="preserve"> P, Prendergast LA, </w:t>
      </w:r>
      <w:proofErr w:type="spellStart"/>
      <w:r w:rsidR="00DA707C" w:rsidRPr="00DA707C">
        <w:rPr>
          <w:noProof w:val="0"/>
          <w:color w:val="000000" w:themeColor="text1"/>
        </w:rPr>
        <w:t>Delbridge</w:t>
      </w:r>
      <w:proofErr w:type="spellEnd"/>
      <w:r w:rsidR="00DA707C" w:rsidRPr="00DA707C">
        <w:rPr>
          <w:noProof w:val="0"/>
          <w:color w:val="000000" w:themeColor="text1"/>
        </w:rPr>
        <w:t xml:space="preserve"> E, et al. Long-term persistence of hormonal adaptations to weight loss. </w:t>
      </w:r>
      <w:r w:rsidR="00DA707C" w:rsidRPr="002D4E1F">
        <w:rPr>
          <w:i/>
          <w:iCs/>
          <w:noProof w:val="0"/>
          <w:color w:val="000000" w:themeColor="text1"/>
        </w:rPr>
        <w:t xml:space="preserve">N </w:t>
      </w:r>
      <w:proofErr w:type="spellStart"/>
      <w:r w:rsidR="00DA707C" w:rsidRPr="002D4E1F">
        <w:rPr>
          <w:i/>
          <w:iCs/>
          <w:noProof w:val="0"/>
          <w:color w:val="000000" w:themeColor="text1"/>
        </w:rPr>
        <w:t>Engl</w:t>
      </w:r>
      <w:proofErr w:type="spellEnd"/>
      <w:r w:rsidR="00DA707C" w:rsidRPr="002D4E1F">
        <w:rPr>
          <w:i/>
          <w:iCs/>
          <w:noProof w:val="0"/>
          <w:color w:val="000000" w:themeColor="text1"/>
        </w:rPr>
        <w:t xml:space="preserve"> J Med</w:t>
      </w:r>
      <w:r w:rsidR="00DA707C" w:rsidRPr="00DA707C">
        <w:rPr>
          <w:noProof w:val="0"/>
          <w:color w:val="000000" w:themeColor="text1"/>
        </w:rPr>
        <w:t xml:space="preserve"> 2011;</w:t>
      </w:r>
      <w:r w:rsidR="00DA707C">
        <w:rPr>
          <w:noProof w:val="0"/>
          <w:color w:val="000000" w:themeColor="text1"/>
        </w:rPr>
        <w:t xml:space="preserve"> </w:t>
      </w:r>
      <w:r w:rsidR="00DA707C" w:rsidRPr="002D4E1F">
        <w:rPr>
          <w:b/>
          <w:bCs/>
          <w:noProof w:val="0"/>
          <w:color w:val="000000" w:themeColor="text1"/>
        </w:rPr>
        <w:t>365:</w:t>
      </w:r>
      <w:r w:rsidR="00DA707C">
        <w:rPr>
          <w:noProof w:val="0"/>
          <w:color w:val="000000" w:themeColor="text1"/>
        </w:rPr>
        <w:t xml:space="preserve"> </w:t>
      </w:r>
      <w:r w:rsidR="00DA707C" w:rsidRPr="00DA707C">
        <w:rPr>
          <w:noProof w:val="0"/>
          <w:color w:val="000000" w:themeColor="text1"/>
        </w:rPr>
        <w:t>1597</w:t>
      </w:r>
      <w:r w:rsidR="002D4E1F">
        <w:rPr>
          <w:noProof w:val="0"/>
          <w:color w:val="000000" w:themeColor="text1"/>
        </w:rPr>
        <w:t>–</w:t>
      </w:r>
      <w:r w:rsidR="00DA707C" w:rsidRPr="00DA707C">
        <w:rPr>
          <w:noProof w:val="0"/>
          <w:color w:val="000000" w:themeColor="text1"/>
        </w:rPr>
        <w:t>1604.</w:t>
      </w:r>
    </w:p>
    <w:p w14:paraId="400E5BED" w14:textId="60CFBEAA" w:rsidR="001A18F0" w:rsidRDefault="004B580E" w:rsidP="001A18F0">
      <w:pPr>
        <w:pStyle w:val="EndNoteBibliography"/>
        <w:spacing w:after="0" w:line="480" w:lineRule="auto"/>
        <w:rPr>
          <w:noProof w:val="0"/>
          <w:color w:val="000000" w:themeColor="text1"/>
        </w:rPr>
      </w:pPr>
      <w:r>
        <w:rPr>
          <w:noProof w:val="0"/>
          <w:color w:val="000000" w:themeColor="text1"/>
        </w:rPr>
        <w:t>25</w:t>
      </w:r>
      <w:r w:rsidR="001A18F0">
        <w:rPr>
          <w:noProof w:val="0"/>
          <w:color w:val="000000" w:themeColor="text1"/>
        </w:rPr>
        <w:t>.</w:t>
      </w:r>
      <w:r w:rsidR="001A18F0">
        <w:rPr>
          <w:noProof w:val="0"/>
          <w:color w:val="000000" w:themeColor="text1"/>
        </w:rPr>
        <w:tab/>
      </w:r>
      <w:proofErr w:type="spellStart"/>
      <w:r w:rsidR="001A18F0" w:rsidRPr="001A18F0">
        <w:rPr>
          <w:noProof w:val="0"/>
          <w:color w:val="000000" w:themeColor="text1"/>
        </w:rPr>
        <w:t>Fothergill</w:t>
      </w:r>
      <w:proofErr w:type="spellEnd"/>
      <w:r w:rsidR="001A18F0" w:rsidRPr="001A18F0">
        <w:rPr>
          <w:noProof w:val="0"/>
          <w:color w:val="000000" w:themeColor="text1"/>
        </w:rPr>
        <w:t xml:space="preserve"> </w:t>
      </w:r>
      <w:r w:rsidR="001A18F0">
        <w:rPr>
          <w:noProof w:val="0"/>
          <w:color w:val="000000" w:themeColor="text1"/>
        </w:rPr>
        <w:t>E</w:t>
      </w:r>
      <w:r w:rsidR="001A18F0" w:rsidRPr="001A18F0">
        <w:rPr>
          <w:noProof w:val="0"/>
          <w:color w:val="000000" w:themeColor="text1"/>
        </w:rPr>
        <w:t xml:space="preserve">, Guo </w:t>
      </w:r>
      <w:r w:rsidR="001A18F0">
        <w:rPr>
          <w:noProof w:val="0"/>
          <w:color w:val="000000" w:themeColor="text1"/>
        </w:rPr>
        <w:t>J</w:t>
      </w:r>
      <w:r w:rsidR="001A18F0" w:rsidRPr="001A18F0">
        <w:rPr>
          <w:noProof w:val="0"/>
          <w:color w:val="000000" w:themeColor="text1"/>
        </w:rPr>
        <w:t>, Howard</w:t>
      </w:r>
      <w:r w:rsidR="001A18F0">
        <w:rPr>
          <w:noProof w:val="0"/>
          <w:color w:val="000000" w:themeColor="text1"/>
        </w:rPr>
        <w:t xml:space="preserve"> L, et al. </w:t>
      </w:r>
      <w:r w:rsidR="001A18F0" w:rsidRPr="001A18F0">
        <w:rPr>
          <w:noProof w:val="0"/>
          <w:color w:val="000000" w:themeColor="text1"/>
        </w:rPr>
        <w:t>Persistent metabolic adaptation 6 years after "The Biggest Loser" competition</w:t>
      </w:r>
      <w:r w:rsidR="001A18F0">
        <w:rPr>
          <w:noProof w:val="0"/>
          <w:color w:val="000000" w:themeColor="text1"/>
        </w:rPr>
        <w:t xml:space="preserve">. </w:t>
      </w:r>
      <w:r w:rsidR="001A18F0" w:rsidRPr="001A18F0">
        <w:rPr>
          <w:i/>
          <w:iCs/>
          <w:noProof w:val="0"/>
          <w:color w:val="000000" w:themeColor="text1"/>
        </w:rPr>
        <w:t>Obesity (Silver Spring)</w:t>
      </w:r>
      <w:r w:rsidR="001A18F0">
        <w:rPr>
          <w:noProof w:val="0"/>
          <w:color w:val="000000" w:themeColor="text1"/>
        </w:rPr>
        <w:t xml:space="preserve"> </w:t>
      </w:r>
      <w:r w:rsidR="001A18F0" w:rsidRPr="001A18F0">
        <w:rPr>
          <w:noProof w:val="0"/>
          <w:color w:val="000000" w:themeColor="text1"/>
        </w:rPr>
        <w:t>2016;</w:t>
      </w:r>
      <w:r w:rsidR="001A18F0">
        <w:rPr>
          <w:noProof w:val="0"/>
          <w:color w:val="000000" w:themeColor="text1"/>
        </w:rPr>
        <w:t xml:space="preserve"> </w:t>
      </w:r>
      <w:r w:rsidR="001A18F0" w:rsidRPr="001A18F0">
        <w:rPr>
          <w:b/>
          <w:bCs/>
          <w:noProof w:val="0"/>
          <w:color w:val="000000" w:themeColor="text1"/>
        </w:rPr>
        <w:t>24:</w:t>
      </w:r>
      <w:r w:rsidR="001A18F0">
        <w:rPr>
          <w:noProof w:val="0"/>
          <w:color w:val="000000" w:themeColor="text1"/>
        </w:rPr>
        <w:t xml:space="preserve"> </w:t>
      </w:r>
      <w:r w:rsidR="001A18F0" w:rsidRPr="001A18F0">
        <w:rPr>
          <w:noProof w:val="0"/>
          <w:color w:val="000000" w:themeColor="text1"/>
        </w:rPr>
        <w:t>1612-9</w:t>
      </w:r>
      <w:r w:rsidR="001A18F0">
        <w:rPr>
          <w:noProof w:val="0"/>
          <w:color w:val="000000" w:themeColor="text1"/>
        </w:rPr>
        <w:t>.</w:t>
      </w:r>
    </w:p>
    <w:p w14:paraId="76EE1C6B" w14:textId="4FEA5FF1" w:rsidR="00865E38" w:rsidRPr="00C951F0" w:rsidRDefault="004B580E" w:rsidP="00865E38">
      <w:pPr>
        <w:pStyle w:val="EndNoteBibliography"/>
        <w:spacing w:after="0" w:line="480" w:lineRule="auto"/>
        <w:rPr>
          <w:noProof w:val="0"/>
          <w:color w:val="000000" w:themeColor="text1"/>
        </w:rPr>
      </w:pPr>
      <w:r>
        <w:rPr>
          <w:noProof w:val="0"/>
          <w:color w:val="000000" w:themeColor="text1"/>
        </w:rPr>
        <w:t>26</w:t>
      </w:r>
      <w:r w:rsidR="00865E38" w:rsidRPr="00C951F0">
        <w:rPr>
          <w:noProof w:val="0"/>
          <w:color w:val="000000" w:themeColor="text1"/>
        </w:rPr>
        <w:t>.</w:t>
      </w:r>
      <w:r w:rsidR="00865E38" w:rsidRPr="00C951F0">
        <w:rPr>
          <w:noProof w:val="0"/>
          <w:color w:val="000000" w:themeColor="text1"/>
        </w:rPr>
        <w:tab/>
        <w:t xml:space="preserve">Gough SC, </w:t>
      </w:r>
      <w:proofErr w:type="spellStart"/>
      <w:r w:rsidR="00865E38" w:rsidRPr="00C951F0">
        <w:rPr>
          <w:noProof w:val="0"/>
          <w:color w:val="000000" w:themeColor="text1"/>
        </w:rPr>
        <w:t>Kragh</w:t>
      </w:r>
      <w:proofErr w:type="spellEnd"/>
      <w:r w:rsidR="00865E38" w:rsidRPr="00C951F0">
        <w:rPr>
          <w:noProof w:val="0"/>
          <w:color w:val="000000" w:themeColor="text1"/>
        </w:rPr>
        <w:t xml:space="preserve"> N, </w:t>
      </w:r>
      <w:proofErr w:type="spellStart"/>
      <w:r w:rsidR="00865E38" w:rsidRPr="00C951F0">
        <w:rPr>
          <w:noProof w:val="0"/>
          <w:color w:val="000000" w:themeColor="text1"/>
        </w:rPr>
        <w:t>Ploug</w:t>
      </w:r>
      <w:proofErr w:type="spellEnd"/>
      <w:r w:rsidR="00865E38" w:rsidRPr="00C951F0">
        <w:rPr>
          <w:noProof w:val="0"/>
          <w:color w:val="000000" w:themeColor="text1"/>
        </w:rPr>
        <w:t xml:space="preserve"> UJ, Hammer M. Impact of obesity and type 2 diabetes on health-related quality of life in the general population in England. </w:t>
      </w:r>
      <w:r w:rsidR="00865E38" w:rsidRPr="00C951F0">
        <w:rPr>
          <w:i/>
          <w:iCs/>
          <w:noProof w:val="0"/>
          <w:color w:val="000000" w:themeColor="text1"/>
        </w:rPr>
        <w:t xml:space="preserve">Diabetes </w:t>
      </w:r>
      <w:proofErr w:type="spellStart"/>
      <w:r w:rsidR="00865E38" w:rsidRPr="00C951F0">
        <w:rPr>
          <w:i/>
          <w:iCs/>
          <w:noProof w:val="0"/>
          <w:color w:val="000000" w:themeColor="text1"/>
        </w:rPr>
        <w:t>Metab</w:t>
      </w:r>
      <w:proofErr w:type="spellEnd"/>
      <w:r w:rsidR="00865E38" w:rsidRPr="00C951F0">
        <w:rPr>
          <w:i/>
          <w:iCs/>
          <w:noProof w:val="0"/>
          <w:color w:val="000000" w:themeColor="text1"/>
        </w:rPr>
        <w:t xml:space="preserve"> </w:t>
      </w:r>
      <w:proofErr w:type="spellStart"/>
      <w:r w:rsidR="00865E38" w:rsidRPr="00C951F0">
        <w:rPr>
          <w:i/>
          <w:iCs/>
          <w:noProof w:val="0"/>
          <w:color w:val="000000" w:themeColor="text1"/>
        </w:rPr>
        <w:t>Syndr</w:t>
      </w:r>
      <w:proofErr w:type="spellEnd"/>
      <w:r w:rsidR="00865E38" w:rsidRPr="00C951F0">
        <w:rPr>
          <w:i/>
          <w:iCs/>
          <w:noProof w:val="0"/>
          <w:color w:val="000000" w:themeColor="text1"/>
        </w:rPr>
        <w:t xml:space="preserve"> </w:t>
      </w:r>
      <w:proofErr w:type="spellStart"/>
      <w:r w:rsidR="00865E38" w:rsidRPr="00C951F0">
        <w:rPr>
          <w:i/>
          <w:iCs/>
          <w:noProof w:val="0"/>
          <w:color w:val="000000" w:themeColor="text1"/>
        </w:rPr>
        <w:t>Obes</w:t>
      </w:r>
      <w:proofErr w:type="spellEnd"/>
      <w:r w:rsidR="00865E38" w:rsidRPr="00C951F0">
        <w:rPr>
          <w:noProof w:val="0"/>
          <w:color w:val="000000" w:themeColor="text1"/>
        </w:rPr>
        <w:t xml:space="preserve"> 2009; </w:t>
      </w:r>
      <w:r w:rsidR="00865E38" w:rsidRPr="00C951F0">
        <w:rPr>
          <w:b/>
          <w:bCs/>
          <w:noProof w:val="0"/>
          <w:color w:val="000000" w:themeColor="text1"/>
        </w:rPr>
        <w:t>2:</w:t>
      </w:r>
      <w:r w:rsidR="00865E38" w:rsidRPr="00C951F0">
        <w:rPr>
          <w:noProof w:val="0"/>
          <w:color w:val="000000" w:themeColor="text1"/>
        </w:rPr>
        <w:t xml:space="preserve"> 179–84.</w:t>
      </w:r>
    </w:p>
    <w:p w14:paraId="27C52C4F" w14:textId="6D6F7165" w:rsidR="00865E38" w:rsidRDefault="004B580E" w:rsidP="00865E38">
      <w:pPr>
        <w:pStyle w:val="EndNoteBibliography"/>
        <w:spacing w:after="0" w:line="480" w:lineRule="auto"/>
        <w:rPr>
          <w:noProof w:val="0"/>
          <w:color w:val="000000" w:themeColor="text1"/>
        </w:rPr>
      </w:pPr>
      <w:r>
        <w:rPr>
          <w:noProof w:val="0"/>
          <w:color w:val="000000" w:themeColor="text1"/>
        </w:rPr>
        <w:t>27</w:t>
      </w:r>
      <w:r w:rsidR="00865E38" w:rsidRPr="00C951F0">
        <w:rPr>
          <w:noProof w:val="0"/>
          <w:color w:val="000000" w:themeColor="text1"/>
        </w:rPr>
        <w:t>.</w:t>
      </w:r>
      <w:r w:rsidR="00865E38" w:rsidRPr="00C951F0">
        <w:rPr>
          <w:noProof w:val="0"/>
          <w:color w:val="000000" w:themeColor="text1"/>
        </w:rPr>
        <w:tab/>
        <w:t xml:space="preserve">O'Neil PM, </w:t>
      </w:r>
      <w:proofErr w:type="spellStart"/>
      <w:r w:rsidR="00865E38" w:rsidRPr="00C951F0">
        <w:rPr>
          <w:noProof w:val="0"/>
          <w:color w:val="000000" w:themeColor="text1"/>
        </w:rPr>
        <w:t>Birkenfeld</w:t>
      </w:r>
      <w:proofErr w:type="spellEnd"/>
      <w:r w:rsidR="00865E38" w:rsidRPr="00C951F0">
        <w:rPr>
          <w:noProof w:val="0"/>
          <w:color w:val="000000" w:themeColor="text1"/>
        </w:rPr>
        <w:t xml:space="preserve"> AL, McGowan B, et al. Efficacy and safety of semaglutide compared with liraglutide and placebo for weight loss in patients with obesity: a </w:t>
      </w:r>
      <w:proofErr w:type="spellStart"/>
      <w:r w:rsidR="00865E38" w:rsidRPr="00C951F0">
        <w:rPr>
          <w:noProof w:val="0"/>
          <w:color w:val="000000" w:themeColor="text1"/>
        </w:rPr>
        <w:t>randomised</w:t>
      </w:r>
      <w:proofErr w:type="spellEnd"/>
      <w:r w:rsidR="00865E38" w:rsidRPr="00C951F0">
        <w:rPr>
          <w:noProof w:val="0"/>
          <w:color w:val="000000" w:themeColor="text1"/>
        </w:rPr>
        <w:t xml:space="preserve">, double-blind, placebo and active controlled, dose-ranging, phase 2 trial. </w:t>
      </w:r>
      <w:r w:rsidR="00865E38" w:rsidRPr="00C951F0">
        <w:rPr>
          <w:i/>
          <w:iCs/>
          <w:noProof w:val="0"/>
          <w:color w:val="000000" w:themeColor="text1"/>
        </w:rPr>
        <w:t>Lancet</w:t>
      </w:r>
      <w:r w:rsidR="00865E38" w:rsidRPr="00C951F0">
        <w:rPr>
          <w:noProof w:val="0"/>
          <w:color w:val="000000" w:themeColor="text1"/>
        </w:rPr>
        <w:t xml:space="preserve"> 2018; </w:t>
      </w:r>
      <w:r w:rsidR="00865E38" w:rsidRPr="00C951F0">
        <w:rPr>
          <w:b/>
          <w:bCs/>
          <w:noProof w:val="0"/>
          <w:color w:val="000000" w:themeColor="text1"/>
        </w:rPr>
        <w:t>392:</w:t>
      </w:r>
      <w:r w:rsidR="00865E38" w:rsidRPr="00C951F0">
        <w:rPr>
          <w:noProof w:val="0"/>
          <w:color w:val="000000" w:themeColor="text1"/>
        </w:rPr>
        <w:t xml:space="preserve"> 637–49.</w:t>
      </w:r>
    </w:p>
    <w:p w14:paraId="00645033" w14:textId="15A4E6F7" w:rsidR="00B1644A" w:rsidRPr="00C951F0" w:rsidRDefault="004B580E" w:rsidP="00934A10">
      <w:pPr>
        <w:pStyle w:val="EndNoteBibliography"/>
        <w:spacing w:after="0" w:line="480" w:lineRule="auto"/>
        <w:rPr>
          <w:noProof w:val="0"/>
          <w:color w:val="000000" w:themeColor="text1"/>
        </w:rPr>
      </w:pPr>
      <w:r>
        <w:rPr>
          <w:noProof w:val="0"/>
          <w:color w:val="000000" w:themeColor="text1"/>
        </w:rPr>
        <w:t>28</w:t>
      </w:r>
      <w:r w:rsidR="008A62E0" w:rsidRPr="00C951F0">
        <w:rPr>
          <w:noProof w:val="0"/>
          <w:color w:val="000000" w:themeColor="text1"/>
        </w:rPr>
        <w:t>.</w:t>
      </w:r>
      <w:r w:rsidR="008A62E0" w:rsidRPr="00C951F0">
        <w:rPr>
          <w:noProof w:val="0"/>
          <w:color w:val="000000" w:themeColor="text1"/>
        </w:rPr>
        <w:tab/>
      </w:r>
      <w:r w:rsidR="00B1644A" w:rsidRPr="00C951F0">
        <w:rPr>
          <w:noProof w:val="0"/>
          <w:color w:val="000000" w:themeColor="text1"/>
        </w:rPr>
        <w:t>Ozempic (semaglutide). Prescribing Information. 20</w:t>
      </w:r>
      <w:r w:rsidR="00FA54DD" w:rsidRPr="00C951F0">
        <w:rPr>
          <w:noProof w:val="0"/>
          <w:color w:val="000000" w:themeColor="text1"/>
        </w:rPr>
        <w:t>20</w:t>
      </w:r>
      <w:r w:rsidR="00B1644A" w:rsidRPr="00C951F0">
        <w:rPr>
          <w:noProof w:val="0"/>
          <w:color w:val="000000" w:themeColor="text1"/>
        </w:rPr>
        <w:t xml:space="preserve">. </w:t>
      </w:r>
      <w:hyperlink r:id="rId10" w:history="1">
        <w:r w:rsidR="00D12997" w:rsidRPr="00C951F0">
          <w:rPr>
            <w:rStyle w:val="Hyperlink"/>
            <w:noProof w:val="0"/>
            <w:color w:val="000000" w:themeColor="text1"/>
          </w:rPr>
          <w:t>https://www.accessdata.fda.gov/drugsatfda_docs/label/2020/209637s003lbl.pdf</w:t>
        </w:r>
      </w:hyperlink>
      <w:r w:rsidR="00D12997" w:rsidRPr="00C951F0">
        <w:rPr>
          <w:noProof w:val="0"/>
          <w:color w:val="000000" w:themeColor="text1"/>
        </w:rPr>
        <w:t xml:space="preserve"> (accessed </w:t>
      </w:r>
      <w:r w:rsidR="008815A7" w:rsidRPr="00C951F0">
        <w:rPr>
          <w:noProof w:val="0"/>
          <w:color w:val="000000" w:themeColor="text1"/>
        </w:rPr>
        <w:t>November 25</w:t>
      </w:r>
      <w:r w:rsidR="00D12997" w:rsidRPr="00C951F0">
        <w:rPr>
          <w:noProof w:val="0"/>
          <w:color w:val="000000" w:themeColor="text1"/>
        </w:rPr>
        <w:t>, 2020).</w:t>
      </w:r>
    </w:p>
    <w:p w14:paraId="23657664" w14:textId="10A2D838" w:rsidR="00B1644A" w:rsidRDefault="004B580E" w:rsidP="00934A10">
      <w:pPr>
        <w:pStyle w:val="EndNoteBibliography"/>
        <w:spacing w:after="0" w:line="480" w:lineRule="auto"/>
        <w:rPr>
          <w:noProof w:val="0"/>
          <w:color w:val="000000" w:themeColor="text1"/>
        </w:rPr>
      </w:pPr>
      <w:r>
        <w:rPr>
          <w:noProof w:val="0"/>
          <w:color w:val="000000" w:themeColor="text1"/>
        </w:rPr>
        <w:t>29</w:t>
      </w:r>
      <w:r w:rsidR="008A62E0" w:rsidRPr="00C951F0">
        <w:rPr>
          <w:noProof w:val="0"/>
          <w:color w:val="000000" w:themeColor="text1"/>
        </w:rPr>
        <w:t>.</w:t>
      </w:r>
      <w:r w:rsidR="008A62E0" w:rsidRPr="00C951F0">
        <w:rPr>
          <w:noProof w:val="0"/>
          <w:color w:val="000000" w:themeColor="text1"/>
        </w:rPr>
        <w:tab/>
      </w:r>
      <w:proofErr w:type="spellStart"/>
      <w:r w:rsidR="00B1644A" w:rsidRPr="00C951F0">
        <w:rPr>
          <w:noProof w:val="0"/>
          <w:color w:val="000000" w:themeColor="text1"/>
        </w:rPr>
        <w:t>Marso</w:t>
      </w:r>
      <w:proofErr w:type="spellEnd"/>
      <w:r w:rsidR="00B1644A" w:rsidRPr="00C951F0">
        <w:rPr>
          <w:noProof w:val="0"/>
          <w:color w:val="000000" w:themeColor="text1"/>
        </w:rPr>
        <w:t xml:space="preserve"> SP, Bain SC, </w:t>
      </w:r>
      <w:proofErr w:type="spellStart"/>
      <w:r w:rsidR="00B1644A" w:rsidRPr="00C951F0">
        <w:rPr>
          <w:noProof w:val="0"/>
          <w:color w:val="000000" w:themeColor="text1"/>
        </w:rPr>
        <w:t>Consoli</w:t>
      </w:r>
      <w:proofErr w:type="spellEnd"/>
      <w:r w:rsidR="00B1644A" w:rsidRPr="00C951F0">
        <w:rPr>
          <w:noProof w:val="0"/>
          <w:color w:val="000000" w:themeColor="text1"/>
        </w:rPr>
        <w:t xml:space="preserve"> A, et al. Semaglutide and </w:t>
      </w:r>
      <w:r w:rsidR="00A90F00" w:rsidRPr="00C951F0">
        <w:rPr>
          <w:noProof w:val="0"/>
          <w:color w:val="000000" w:themeColor="text1"/>
        </w:rPr>
        <w:t>c</w:t>
      </w:r>
      <w:r w:rsidR="00B1644A" w:rsidRPr="00C951F0">
        <w:rPr>
          <w:noProof w:val="0"/>
          <w:color w:val="000000" w:themeColor="text1"/>
        </w:rPr>
        <w:t xml:space="preserve">ardiovascular </w:t>
      </w:r>
      <w:r w:rsidR="00A90F00" w:rsidRPr="00C951F0">
        <w:rPr>
          <w:noProof w:val="0"/>
          <w:color w:val="000000" w:themeColor="text1"/>
        </w:rPr>
        <w:t>o</w:t>
      </w:r>
      <w:r w:rsidR="00B1644A" w:rsidRPr="00C951F0">
        <w:rPr>
          <w:noProof w:val="0"/>
          <w:color w:val="000000" w:themeColor="text1"/>
        </w:rPr>
        <w:t xml:space="preserve">utcomes in </w:t>
      </w:r>
      <w:r w:rsidR="00A90F00" w:rsidRPr="00C951F0">
        <w:rPr>
          <w:noProof w:val="0"/>
          <w:color w:val="000000" w:themeColor="text1"/>
        </w:rPr>
        <w:t>p</w:t>
      </w:r>
      <w:r w:rsidR="00B1644A" w:rsidRPr="00C951F0">
        <w:rPr>
          <w:noProof w:val="0"/>
          <w:color w:val="000000" w:themeColor="text1"/>
        </w:rPr>
        <w:t xml:space="preserve">atients with </w:t>
      </w:r>
      <w:r w:rsidR="00A90F00" w:rsidRPr="00C951F0">
        <w:rPr>
          <w:noProof w:val="0"/>
          <w:color w:val="000000" w:themeColor="text1"/>
        </w:rPr>
        <w:t>t</w:t>
      </w:r>
      <w:r w:rsidR="00B1644A" w:rsidRPr="00C951F0">
        <w:rPr>
          <w:noProof w:val="0"/>
          <w:color w:val="000000" w:themeColor="text1"/>
        </w:rPr>
        <w:t xml:space="preserve">ype 2 </w:t>
      </w:r>
      <w:r w:rsidR="00A90F00" w:rsidRPr="00C951F0">
        <w:rPr>
          <w:noProof w:val="0"/>
          <w:color w:val="000000" w:themeColor="text1"/>
        </w:rPr>
        <w:t>d</w:t>
      </w:r>
      <w:r w:rsidR="00B1644A" w:rsidRPr="00C951F0">
        <w:rPr>
          <w:noProof w:val="0"/>
          <w:color w:val="000000" w:themeColor="text1"/>
        </w:rPr>
        <w:t xml:space="preserve">iabetes. </w:t>
      </w:r>
      <w:r w:rsidR="00B1644A" w:rsidRPr="00C951F0">
        <w:rPr>
          <w:i/>
          <w:iCs/>
          <w:noProof w:val="0"/>
          <w:color w:val="000000" w:themeColor="text1"/>
        </w:rPr>
        <w:t xml:space="preserve">New </w:t>
      </w:r>
      <w:proofErr w:type="spellStart"/>
      <w:r w:rsidR="00B1644A" w:rsidRPr="00C951F0">
        <w:rPr>
          <w:i/>
          <w:iCs/>
          <w:noProof w:val="0"/>
          <w:color w:val="000000" w:themeColor="text1"/>
        </w:rPr>
        <w:t>Engl</w:t>
      </w:r>
      <w:proofErr w:type="spellEnd"/>
      <w:r w:rsidR="00FA54DD" w:rsidRPr="00C951F0">
        <w:rPr>
          <w:i/>
          <w:iCs/>
          <w:noProof w:val="0"/>
          <w:color w:val="000000" w:themeColor="text1"/>
        </w:rPr>
        <w:t xml:space="preserve"> J Med</w:t>
      </w:r>
      <w:r w:rsidR="00B1644A" w:rsidRPr="00C951F0">
        <w:rPr>
          <w:noProof w:val="0"/>
          <w:color w:val="000000" w:themeColor="text1"/>
        </w:rPr>
        <w:t xml:space="preserve"> 2016;</w:t>
      </w:r>
      <w:r w:rsidR="008A62E0" w:rsidRPr="00C951F0">
        <w:rPr>
          <w:noProof w:val="0"/>
          <w:color w:val="000000" w:themeColor="text1"/>
        </w:rPr>
        <w:t xml:space="preserve"> </w:t>
      </w:r>
      <w:r w:rsidR="00B1644A" w:rsidRPr="00C951F0">
        <w:rPr>
          <w:b/>
          <w:bCs/>
          <w:noProof w:val="0"/>
          <w:color w:val="000000" w:themeColor="text1"/>
        </w:rPr>
        <w:t>375:</w:t>
      </w:r>
      <w:r w:rsidR="008A62E0" w:rsidRPr="00C951F0">
        <w:rPr>
          <w:noProof w:val="0"/>
          <w:color w:val="000000" w:themeColor="text1"/>
        </w:rPr>
        <w:t xml:space="preserve"> </w:t>
      </w:r>
      <w:r w:rsidR="00B1644A" w:rsidRPr="00C951F0">
        <w:rPr>
          <w:noProof w:val="0"/>
          <w:color w:val="000000" w:themeColor="text1"/>
        </w:rPr>
        <w:t>1834</w:t>
      </w:r>
      <w:r w:rsidR="008A62E0" w:rsidRPr="00C951F0">
        <w:rPr>
          <w:noProof w:val="0"/>
          <w:color w:val="000000" w:themeColor="text1"/>
        </w:rPr>
        <w:t>–</w:t>
      </w:r>
      <w:r w:rsidR="00B1644A" w:rsidRPr="00C951F0">
        <w:rPr>
          <w:noProof w:val="0"/>
          <w:color w:val="000000" w:themeColor="text1"/>
        </w:rPr>
        <w:t>44.</w:t>
      </w:r>
    </w:p>
    <w:p w14:paraId="3FEEF326" w14:textId="7B50B3AF" w:rsidR="00911976" w:rsidRDefault="00911976" w:rsidP="00934A10">
      <w:pPr>
        <w:pStyle w:val="EndNoteBibliography"/>
        <w:spacing w:after="0" w:line="480" w:lineRule="auto"/>
        <w:rPr>
          <w:noProof w:val="0"/>
          <w:color w:val="000000" w:themeColor="text1"/>
        </w:rPr>
      </w:pPr>
      <w:r>
        <w:rPr>
          <w:noProof w:val="0"/>
          <w:color w:val="000000" w:themeColor="text1"/>
        </w:rPr>
        <w:lastRenderedPageBreak/>
        <w:t>30.</w:t>
      </w:r>
      <w:r>
        <w:rPr>
          <w:noProof w:val="0"/>
          <w:color w:val="000000" w:themeColor="text1"/>
        </w:rPr>
        <w:tab/>
      </w:r>
      <w:r w:rsidRPr="00911976">
        <w:rPr>
          <w:noProof w:val="0"/>
          <w:color w:val="000000" w:themeColor="text1"/>
        </w:rPr>
        <w:t xml:space="preserve">Rao </w:t>
      </w:r>
      <w:proofErr w:type="spellStart"/>
      <w:r w:rsidRPr="00911976">
        <w:rPr>
          <w:noProof w:val="0"/>
          <w:color w:val="000000" w:themeColor="text1"/>
        </w:rPr>
        <w:t>Kondapally</w:t>
      </w:r>
      <w:proofErr w:type="spellEnd"/>
      <w:r w:rsidRPr="00911976">
        <w:rPr>
          <w:noProof w:val="0"/>
          <w:color w:val="000000" w:themeColor="text1"/>
        </w:rPr>
        <w:t xml:space="preserve"> </w:t>
      </w:r>
      <w:proofErr w:type="spellStart"/>
      <w:r w:rsidRPr="00911976">
        <w:rPr>
          <w:noProof w:val="0"/>
          <w:color w:val="000000" w:themeColor="text1"/>
        </w:rPr>
        <w:t>Seshasai</w:t>
      </w:r>
      <w:proofErr w:type="spellEnd"/>
      <w:r w:rsidRPr="00911976">
        <w:rPr>
          <w:noProof w:val="0"/>
          <w:color w:val="000000" w:themeColor="text1"/>
        </w:rPr>
        <w:t xml:space="preserve"> S, </w:t>
      </w:r>
      <w:proofErr w:type="spellStart"/>
      <w:r w:rsidRPr="00911976">
        <w:rPr>
          <w:noProof w:val="0"/>
          <w:color w:val="000000" w:themeColor="text1"/>
        </w:rPr>
        <w:t>Kaptoge</w:t>
      </w:r>
      <w:proofErr w:type="spellEnd"/>
      <w:r w:rsidRPr="00911976">
        <w:rPr>
          <w:noProof w:val="0"/>
          <w:color w:val="000000" w:themeColor="text1"/>
        </w:rPr>
        <w:t xml:space="preserve"> S, Thompson A, </w:t>
      </w:r>
      <w:r>
        <w:rPr>
          <w:noProof w:val="0"/>
          <w:color w:val="000000" w:themeColor="text1"/>
        </w:rPr>
        <w:t>et al</w:t>
      </w:r>
      <w:r w:rsidRPr="00911976">
        <w:rPr>
          <w:noProof w:val="0"/>
          <w:color w:val="000000" w:themeColor="text1"/>
        </w:rPr>
        <w:t xml:space="preserve">; Emerging Risk Factors Collaboration. Diabetes mellitus, fasting glucose, and risk of cause-specific death. </w:t>
      </w:r>
      <w:r w:rsidRPr="00666D26">
        <w:rPr>
          <w:i/>
          <w:iCs/>
          <w:noProof w:val="0"/>
          <w:color w:val="000000" w:themeColor="text1"/>
        </w:rPr>
        <w:t xml:space="preserve">N </w:t>
      </w:r>
      <w:proofErr w:type="spellStart"/>
      <w:r w:rsidRPr="00666D26">
        <w:rPr>
          <w:i/>
          <w:iCs/>
          <w:noProof w:val="0"/>
          <w:color w:val="000000" w:themeColor="text1"/>
        </w:rPr>
        <w:t>Engl</w:t>
      </w:r>
      <w:proofErr w:type="spellEnd"/>
      <w:r w:rsidRPr="00666D26">
        <w:rPr>
          <w:i/>
          <w:iCs/>
          <w:noProof w:val="0"/>
          <w:color w:val="000000" w:themeColor="text1"/>
        </w:rPr>
        <w:t xml:space="preserve"> J Med </w:t>
      </w:r>
      <w:r w:rsidRPr="00911976">
        <w:rPr>
          <w:noProof w:val="0"/>
          <w:color w:val="000000" w:themeColor="text1"/>
        </w:rPr>
        <w:t>2011;</w:t>
      </w:r>
      <w:r>
        <w:rPr>
          <w:noProof w:val="0"/>
          <w:color w:val="000000" w:themeColor="text1"/>
        </w:rPr>
        <w:t xml:space="preserve"> </w:t>
      </w:r>
      <w:r w:rsidRPr="00666D26">
        <w:rPr>
          <w:b/>
          <w:bCs/>
          <w:noProof w:val="0"/>
          <w:color w:val="000000" w:themeColor="text1"/>
        </w:rPr>
        <w:t>364</w:t>
      </w:r>
      <w:r w:rsidRPr="00911976">
        <w:rPr>
          <w:noProof w:val="0"/>
          <w:color w:val="000000" w:themeColor="text1"/>
        </w:rPr>
        <w:t>:</w:t>
      </w:r>
      <w:r>
        <w:rPr>
          <w:noProof w:val="0"/>
          <w:color w:val="000000" w:themeColor="text1"/>
        </w:rPr>
        <w:t xml:space="preserve"> </w:t>
      </w:r>
      <w:r w:rsidRPr="00911976">
        <w:rPr>
          <w:noProof w:val="0"/>
          <w:color w:val="000000" w:themeColor="text1"/>
        </w:rPr>
        <w:t>829</w:t>
      </w:r>
      <w:r>
        <w:rPr>
          <w:noProof w:val="0"/>
          <w:color w:val="000000" w:themeColor="text1"/>
        </w:rPr>
        <w:t>–</w:t>
      </w:r>
      <w:r w:rsidRPr="00911976">
        <w:rPr>
          <w:noProof w:val="0"/>
          <w:color w:val="000000" w:themeColor="text1"/>
        </w:rPr>
        <w:t>41.</w:t>
      </w:r>
    </w:p>
    <w:p w14:paraId="08A58402" w14:textId="1D254FB6" w:rsidR="00911976" w:rsidRPr="00C951F0" w:rsidRDefault="00911976" w:rsidP="00934A10">
      <w:pPr>
        <w:pStyle w:val="EndNoteBibliography"/>
        <w:spacing w:after="0" w:line="480" w:lineRule="auto"/>
        <w:rPr>
          <w:noProof w:val="0"/>
          <w:color w:val="000000" w:themeColor="text1"/>
        </w:rPr>
      </w:pPr>
      <w:r>
        <w:rPr>
          <w:noProof w:val="0"/>
          <w:color w:val="000000" w:themeColor="text1"/>
        </w:rPr>
        <w:t xml:space="preserve">31. </w:t>
      </w:r>
      <w:r>
        <w:rPr>
          <w:noProof w:val="0"/>
          <w:color w:val="000000" w:themeColor="text1"/>
        </w:rPr>
        <w:tab/>
      </w:r>
      <w:r w:rsidRPr="00BE5A8C">
        <w:t xml:space="preserve">Ryan DH, Lingvay I, Colhoun HM, </w:t>
      </w:r>
      <w:r>
        <w:t>et al</w:t>
      </w:r>
      <w:r w:rsidRPr="00BE5A8C">
        <w:t xml:space="preserve">. Semaglutide effects on cardiovascular outcomes in people with overweight or obesity (SELECT) rationale and design. </w:t>
      </w:r>
      <w:r w:rsidRPr="00666D26">
        <w:rPr>
          <w:i/>
          <w:iCs/>
        </w:rPr>
        <w:t>Am Heart J</w:t>
      </w:r>
      <w:r w:rsidRPr="00BE5A8C">
        <w:t xml:space="preserve"> 2020;</w:t>
      </w:r>
      <w:r>
        <w:t xml:space="preserve"> </w:t>
      </w:r>
      <w:r w:rsidRPr="00666D26">
        <w:rPr>
          <w:b/>
          <w:bCs/>
        </w:rPr>
        <w:t>229:</w:t>
      </w:r>
      <w:r>
        <w:t xml:space="preserve"> </w:t>
      </w:r>
      <w:r w:rsidRPr="00BE5A8C">
        <w:t>61</w:t>
      </w:r>
      <w:r>
        <w:t>–</w:t>
      </w:r>
      <w:r w:rsidRPr="00BE5A8C">
        <w:t>9.</w:t>
      </w:r>
    </w:p>
    <w:p w14:paraId="467E293E" w14:textId="03CCE5E3" w:rsidR="002D4E1F" w:rsidRPr="002D4E1F" w:rsidRDefault="00911976" w:rsidP="002D4E1F">
      <w:pPr>
        <w:pStyle w:val="EndNoteBibliography"/>
        <w:spacing w:after="0" w:line="480" w:lineRule="auto"/>
        <w:rPr>
          <w:noProof w:val="0"/>
          <w:color w:val="000000" w:themeColor="text1"/>
        </w:rPr>
      </w:pPr>
      <w:r>
        <w:rPr>
          <w:noProof w:val="0"/>
          <w:color w:val="000000" w:themeColor="text1"/>
        </w:rPr>
        <w:t>32</w:t>
      </w:r>
      <w:r w:rsidR="002D4E1F">
        <w:rPr>
          <w:noProof w:val="0"/>
          <w:color w:val="000000" w:themeColor="text1"/>
        </w:rPr>
        <w:t>.</w:t>
      </w:r>
      <w:r w:rsidR="002D4E1F">
        <w:rPr>
          <w:noProof w:val="0"/>
          <w:color w:val="000000" w:themeColor="text1"/>
        </w:rPr>
        <w:tab/>
      </w:r>
      <w:r w:rsidR="002D4E1F" w:rsidRPr="002D4E1F">
        <w:rPr>
          <w:noProof w:val="0"/>
          <w:color w:val="000000" w:themeColor="text1"/>
        </w:rPr>
        <w:t xml:space="preserve">Foster GD, </w:t>
      </w:r>
      <w:proofErr w:type="spellStart"/>
      <w:r w:rsidR="002D4E1F" w:rsidRPr="002D4E1F">
        <w:rPr>
          <w:noProof w:val="0"/>
          <w:color w:val="000000" w:themeColor="text1"/>
        </w:rPr>
        <w:t>Borradaile</w:t>
      </w:r>
      <w:proofErr w:type="spellEnd"/>
      <w:r w:rsidR="002D4E1F" w:rsidRPr="002D4E1F">
        <w:rPr>
          <w:noProof w:val="0"/>
          <w:color w:val="000000" w:themeColor="text1"/>
        </w:rPr>
        <w:t xml:space="preserve"> KE, Sanders MH, et al. A randomized study on the effect of weight loss on obstructive sleep apnea among obese patients with type 2 diabetes: The Sleep AHEAD study. </w:t>
      </w:r>
      <w:r w:rsidR="002D4E1F" w:rsidRPr="002D4E1F">
        <w:rPr>
          <w:i/>
          <w:iCs/>
          <w:noProof w:val="0"/>
          <w:color w:val="000000" w:themeColor="text1"/>
        </w:rPr>
        <w:t>Arch Intern Med</w:t>
      </w:r>
      <w:r w:rsidR="002D4E1F" w:rsidRPr="002D4E1F">
        <w:rPr>
          <w:noProof w:val="0"/>
          <w:color w:val="000000" w:themeColor="text1"/>
        </w:rPr>
        <w:t xml:space="preserve"> 2009;</w:t>
      </w:r>
      <w:r w:rsidR="002D4E1F">
        <w:rPr>
          <w:noProof w:val="0"/>
          <w:color w:val="000000" w:themeColor="text1"/>
        </w:rPr>
        <w:t xml:space="preserve"> </w:t>
      </w:r>
      <w:r w:rsidR="002D4E1F" w:rsidRPr="002D4E1F">
        <w:rPr>
          <w:b/>
          <w:bCs/>
          <w:noProof w:val="0"/>
          <w:color w:val="000000" w:themeColor="text1"/>
        </w:rPr>
        <w:t>169:</w:t>
      </w:r>
      <w:r w:rsidR="002D4E1F">
        <w:rPr>
          <w:noProof w:val="0"/>
          <w:color w:val="000000" w:themeColor="text1"/>
        </w:rPr>
        <w:t xml:space="preserve"> </w:t>
      </w:r>
      <w:r w:rsidR="002D4E1F" w:rsidRPr="002D4E1F">
        <w:rPr>
          <w:noProof w:val="0"/>
          <w:color w:val="000000" w:themeColor="text1"/>
        </w:rPr>
        <w:t>1619</w:t>
      </w:r>
      <w:r w:rsidR="002D4E1F">
        <w:rPr>
          <w:noProof w:val="0"/>
          <w:color w:val="000000" w:themeColor="text1"/>
        </w:rPr>
        <w:t>–</w:t>
      </w:r>
      <w:r w:rsidR="002D4E1F" w:rsidRPr="002D4E1F">
        <w:rPr>
          <w:noProof w:val="0"/>
          <w:color w:val="000000" w:themeColor="text1"/>
        </w:rPr>
        <w:t>26.</w:t>
      </w:r>
    </w:p>
    <w:p w14:paraId="4918027A" w14:textId="669BF84D" w:rsidR="002D4E1F" w:rsidRDefault="00911976" w:rsidP="002D4E1F">
      <w:pPr>
        <w:pStyle w:val="EndNoteBibliography"/>
        <w:spacing w:after="0" w:line="480" w:lineRule="auto"/>
        <w:rPr>
          <w:noProof w:val="0"/>
          <w:color w:val="000000" w:themeColor="text1"/>
        </w:rPr>
      </w:pPr>
      <w:r>
        <w:rPr>
          <w:noProof w:val="0"/>
          <w:color w:val="000000" w:themeColor="text1"/>
        </w:rPr>
        <w:t>33</w:t>
      </w:r>
      <w:r w:rsidR="001A18F0">
        <w:rPr>
          <w:noProof w:val="0"/>
          <w:color w:val="000000" w:themeColor="text1"/>
        </w:rPr>
        <w:t>.</w:t>
      </w:r>
      <w:r w:rsidR="001A18F0">
        <w:rPr>
          <w:noProof w:val="0"/>
          <w:color w:val="000000" w:themeColor="text1"/>
        </w:rPr>
        <w:tab/>
      </w:r>
      <w:r w:rsidR="002D4E1F" w:rsidRPr="002D4E1F">
        <w:rPr>
          <w:noProof w:val="0"/>
          <w:color w:val="000000" w:themeColor="text1"/>
        </w:rPr>
        <w:t xml:space="preserve">Houston DK, </w:t>
      </w:r>
      <w:proofErr w:type="spellStart"/>
      <w:r w:rsidR="002D4E1F" w:rsidRPr="002D4E1F">
        <w:rPr>
          <w:noProof w:val="0"/>
          <w:color w:val="000000" w:themeColor="text1"/>
        </w:rPr>
        <w:t>Neiberg</w:t>
      </w:r>
      <w:proofErr w:type="spellEnd"/>
      <w:r w:rsidR="002D4E1F" w:rsidRPr="002D4E1F">
        <w:rPr>
          <w:noProof w:val="0"/>
          <w:color w:val="000000" w:themeColor="text1"/>
        </w:rPr>
        <w:t xml:space="preserve"> RH, Miller ME, et al. Physical function following a long-term lifestyle intervention among middle aged and older adults with type 2 diabetes: The Look AHEAD Study. </w:t>
      </w:r>
      <w:r w:rsidR="002D4E1F" w:rsidRPr="002D4E1F">
        <w:rPr>
          <w:i/>
          <w:iCs/>
          <w:noProof w:val="0"/>
          <w:color w:val="000000" w:themeColor="text1"/>
        </w:rPr>
        <w:t xml:space="preserve">J </w:t>
      </w:r>
      <w:proofErr w:type="spellStart"/>
      <w:r w:rsidR="002D4E1F" w:rsidRPr="002D4E1F">
        <w:rPr>
          <w:i/>
          <w:iCs/>
          <w:noProof w:val="0"/>
          <w:color w:val="000000" w:themeColor="text1"/>
        </w:rPr>
        <w:t>Gerontol</w:t>
      </w:r>
      <w:proofErr w:type="spellEnd"/>
      <w:r w:rsidR="002D4E1F" w:rsidRPr="002D4E1F">
        <w:rPr>
          <w:i/>
          <w:iCs/>
          <w:noProof w:val="0"/>
          <w:color w:val="000000" w:themeColor="text1"/>
        </w:rPr>
        <w:t xml:space="preserve"> </w:t>
      </w:r>
      <w:proofErr w:type="gramStart"/>
      <w:r w:rsidR="002D4E1F" w:rsidRPr="002D4E1F">
        <w:rPr>
          <w:i/>
          <w:iCs/>
          <w:noProof w:val="0"/>
          <w:color w:val="000000" w:themeColor="text1"/>
        </w:rPr>
        <w:t>A</w:t>
      </w:r>
      <w:proofErr w:type="gramEnd"/>
      <w:r w:rsidR="002D4E1F" w:rsidRPr="002D4E1F">
        <w:rPr>
          <w:i/>
          <w:iCs/>
          <w:noProof w:val="0"/>
          <w:color w:val="000000" w:themeColor="text1"/>
        </w:rPr>
        <w:t xml:space="preserve"> Biol Sci Med Sci</w:t>
      </w:r>
      <w:r w:rsidR="002D4E1F" w:rsidRPr="002D4E1F">
        <w:rPr>
          <w:noProof w:val="0"/>
          <w:color w:val="000000" w:themeColor="text1"/>
        </w:rPr>
        <w:t xml:space="preserve"> 2018;</w:t>
      </w:r>
      <w:r w:rsidR="002D4E1F">
        <w:rPr>
          <w:noProof w:val="0"/>
          <w:color w:val="000000" w:themeColor="text1"/>
        </w:rPr>
        <w:t xml:space="preserve"> </w:t>
      </w:r>
      <w:r w:rsidR="002D4E1F" w:rsidRPr="002D4E1F">
        <w:rPr>
          <w:b/>
          <w:bCs/>
          <w:noProof w:val="0"/>
          <w:color w:val="000000" w:themeColor="text1"/>
        </w:rPr>
        <w:t>73:</w:t>
      </w:r>
      <w:r w:rsidR="002D4E1F">
        <w:rPr>
          <w:noProof w:val="0"/>
          <w:color w:val="000000" w:themeColor="text1"/>
        </w:rPr>
        <w:t xml:space="preserve"> </w:t>
      </w:r>
      <w:r w:rsidR="002D4E1F" w:rsidRPr="002D4E1F">
        <w:rPr>
          <w:noProof w:val="0"/>
          <w:color w:val="000000" w:themeColor="text1"/>
        </w:rPr>
        <w:t>1552</w:t>
      </w:r>
      <w:r w:rsidR="002D4E1F">
        <w:rPr>
          <w:noProof w:val="0"/>
          <w:color w:val="000000" w:themeColor="text1"/>
        </w:rPr>
        <w:t>–</w:t>
      </w:r>
      <w:r w:rsidR="002D4E1F" w:rsidRPr="002D4E1F">
        <w:rPr>
          <w:noProof w:val="0"/>
          <w:color w:val="000000" w:themeColor="text1"/>
        </w:rPr>
        <w:t>1559.</w:t>
      </w:r>
    </w:p>
    <w:p w14:paraId="54D4B0BC" w14:textId="450737D4" w:rsidR="002D4E1F" w:rsidRPr="002D4E1F" w:rsidRDefault="00911976" w:rsidP="002D4E1F">
      <w:pPr>
        <w:pStyle w:val="EndNoteBibliography"/>
        <w:spacing w:after="0" w:line="480" w:lineRule="auto"/>
        <w:rPr>
          <w:noProof w:val="0"/>
          <w:color w:val="000000" w:themeColor="text1"/>
        </w:rPr>
      </w:pPr>
      <w:r>
        <w:rPr>
          <w:noProof w:val="0"/>
          <w:color w:val="000000" w:themeColor="text1"/>
        </w:rPr>
        <w:t>34</w:t>
      </w:r>
      <w:r w:rsidR="002D4E1F">
        <w:rPr>
          <w:noProof w:val="0"/>
          <w:color w:val="000000" w:themeColor="text1"/>
        </w:rPr>
        <w:t>.</w:t>
      </w:r>
      <w:r w:rsidR="002D4E1F">
        <w:rPr>
          <w:noProof w:val="0"/>
          <w:color w:val="000000" w:themeColor="text1"/>
        </w:rPr>
        <w:tab/>
      </w:r>
      <w:r w:rsidR="002D4E1F" w:rsidRPr="002D4E1F">
        <w:rPr>
          <w:noProof w:val="0"/>
          <w:color w:val="000000" w:themeColor="text1"/>
        </w:rPr>
        <w:t xml:space="preserve">Rigato M, </w:t>
      </w:r>
      <w:proofErr w:type="spellStart"/>
      <w:r w:rsidR="002D4E1F" w:rsidRPr="002D4E1F">
        <w:rPr>
          <w:noProof w:val="0"/>
          <w:color w:val="000000" w:themeColor="text1"/>
        </w:rPr>
        <w:t>Fadini</w:t>
      </w:r>
      <w:proofErr w:type="spellEnd"/>
      <w:r w:rsidR="002D4E1F" w:rsidRPr="002D4E1F">
        <w:rPr>
          <w:noProof w:val="0"/>
          <w:color w:val="000000" w:themeColor="text1"/>
        </w:rPr>
        <w:t xml:space="preserve"> G P. Comparative effectiveness of liraglutide in the treatment of type 2 diabetes. </w:t>
      </w:r>
      <w:r w:rsidR="002D4E1F" w:rsidRPr="002D4E1F">
        <w:rPr>
          <w:i/>
          <w:iCs/>
          <w:noProof w:val="0"/>
          <w:color w:val="000000" w:themeColor="text1"/>
        </w:rPr>
        <w:t xml:space="preserve">Diabetes </w:t>
      </w:r>
      <w:proofErr w:type="spellStart"/>
      <w:r w:rsidR="002D4E1F" w:rsidRPr="002D4E1F">
        <w:rPr>
          <w:i/>
          <w:iCs/>
          <w:noProof w:val="0"/>
          <w:color w:val="000000" w:themeColor="text1"/>
        </w:rPr>
        <w:t>Metab</w:t>
      </w:r>
      <w:proofErr w:type="spellEnd"/>
      <w:r w:rsidR="002D4E1F" w:rsidRPr="002D4E1F">
        <w:rPr>
          <w:i/>
          <w:iCs/>
          <w:noProof w:val="0"/>
          <w:color w:val="000000" w:themeColor="text1"/>
        </w:rPr>
        <w:t xml:space="preserve"> </w:t>
      </w:r>
      <w:proofErr w:type="spellStart"/>
      <w:r w:rsidR="002D4E1F" w:rsidRPr="002D4E1F">
        <w:rPr>
          <w:i/>
          <w:iCs/>
          <w:noProof w:val="0"/>
          <w:color w:val="000000" w:themeColor="text1"/>
        </w:rPr>
        <w:t>Syndr</w:t>
      </w:r>
      <w:proofErr w:type="spellEnd"/>
      <w:r w:rsidR="002D4E1F" w:rsidRPr="002D4E1F">
        <w:rPr>
          <w:i/>
          <w:iCs/>
          <w:noProof w:val="0"/>
          <w:color w:val="000000" w:themeColor="text1"/>
        </w:rPr>
        <w:t xml:space="preserve"> </w:t>
      </w:r>
      <w:proofErr w:type="spellStart"/>
      <w:r w:rsidR="002D4E1F" w:rsidRPr="002D4E1F">
        <w:rPr>
          <w:i/>
          <w:iCs/>
          <w:noProof w:val="0"/>
          <w:color w:val="000000" w:themeColor="text1"/>
        </w:rPr>
        <w:t>Obes</w:t>
      </w:r>
      <w:proofErr w:type="spellEnd"/>
      <w:r w:rsidR="002D4E1F" w:rsidRPr="002D4E1F">
        <w:rPr>
          <w:noProof w:val="0"/>
          <w:color w:val="000000" w:themeColor="text1"/>
        </w:rPr>
        <w:t xml:space="preserve"> 2014; </w:t>
      </w:r>
      <w:r w:rsidR="002D4E1F" w:rsidRPr="002D4E1F">
        <w:rPr>
          <w:b/>
          <w:bCs/>
          <w:noProof w:val="0"/>
          <w:color w:val="000000" w:themeColor="text1"/>
        </w:rPr>
        <w:t>7:</w:t>
      </w:r>
      <w:r w:rsidR="002D4E1F" w:rsidRPr="002D4E1F">
        <w:rPr>
          <w:noProof w:val="0"/>
          <w:color w:val="000000" w:themeColor="text1"/>
        </w:rPr>
        <w:t xml:space="preserve"> 107–20.</w:t>
      </w:r>
    </w:p>
    <w:p w14:paraId="2A3824DA" w14:textId="2B949BC8" w:rsidR="002D4E1F" w:rsidRPr="00C951F0" w:rsidRDefault="00911976" w:rsidP="002D4E1F">
      <w:pPr>
        <w:pStyle w:val="EndNoteBibliography"/>
        <w:spacing w:after="0" w:line="480" w:lineRule="auto"/>
        <w:rPr>
          <w:noProof w:val="0"/>
          <w:color w:val="000000" w:themeColor="text1"/>
        </w:rPr>
      </w:pPr>
      <w:r>
        <w:rPr>
          <w:noProof w:val="0"/>
          <w:color w:val="000000" w:themeColor="text1"/>
        </w:rPr>
        <w:t>35</w:t>
      </w:r>
      <w:r w:rsidR="002D4E1F">
        <w:rPr>
          <w:noProof w:val="0"/>
          <w:color w:val="000000" w:themeColor="text1"/>
        </w:rPr>
        <w:t>.</w:t>
      </w:r>
      <w:r w:rsidR="002D4E1F">
        <w:rPr>
          <w:noProof w:val="0"/>
          <w:color w:val="000000" w:themeColor="text1"/>
        </w:rPr>
        <w:tab/>
      </w:r>
      <w:proofErr w:type="spellStart"/>
      <w:r w:rsidR="002D4E1F" w:rsidRPr="002D4E1F">
        <w:rPr>
          <w:noProof w:val="0"/>
          <w:color w:val="000000" w:themeColor="text1"/>
        </w:rPr>
        <w:t>Nauck</w:t>
      </w:r>
      <w:proofErr w:type="spellEnd"/>
      <w:r w:rsidR="002D4E1F" w:rsidRPr="002D4E1F">
        <w:rPr>
          <w:noProof w:val="0"/>
          <w:color w:val="000000" w:themeColor="text1"/>
        </w:rPr>
        <w:t xml:space="preserve"> M, </w:t>
      </w:r>
      <w:proofErr w:type="spellStart"/>
      <w:r w:rsidR="002D4E1F" w:rsidRPr="002D4E1F">
        <w:rPr>
          <w:noProof w:val="0"/>
          <w:color w:val="000000" w:themeColor="text1"/>
        </w:rPr>
        <w:t>Frid</w:t>
      </w:r>
      <w:proofErr w:type="spellEnd"/>
      <w:r w:rsidR="002D4E1F" w:rsidRPr="002D4E1F">
        <w:rPr>
          <w:noProof w:val="0"/>
          <w:color w:val="000000" w:themeColor="text1"/>
        </w:rPr>
        <w:t xml:space="preserve"> A, Hermansen K, et al. Long-term efficacy and safety comparison of liraglutide, glimepiride and placebo, all in combination with metformin in type 2 diabetes: 2-year results from the LEAD-2 study. </w:t>
      </w:r>
      <w:r w:rsidR="002D4E1F" w:rsidRPr="002D4E1F">
        <w:rPr>
          <w:i/>
          <w:iCs/>
          <w:noProof w:val="0"/>
          <w:color w:val="000000" w:themeColor="text1"/>
        </w:rPr>
        <w:t xml:space="preserve">Diabetes </w:t>
      </w:r>
      <w:proofErr w:type="spellStart"/>
      <w:r w:rsidR="002D4E1F" w:rsidRPr="002D4E1F">
        <w:rPr>
          <w:i/>
          <w:iCs/>
          <w:noProof w:val="0"/>
          <w:color w:val="000000" w:themeColor="text1"/>
        </w:rPr>
        <w:t>Obes</w:t>
      </w:r>
      <w:proofErr w:type="spellEnd"/>
      <w:r w:rsidR="002D4E1F" w:rsidRPr="002D4E1F">
        <w:rPr>
          <w:i/>
          <w:iCs/>
          <w:noProof w:val="0"/>
          <w:color w:val="000000" w:themeColor="text1"/>
        </w:rPr>
        <w:t xml:space="preserve"> </w:t>
      </w:r>
      <w:proofErr w:type="spellStart"/>
      <w:r w:rsidR="002D4E1F" w:rsidRPr="002D4E1F">
        <w:rPr>
          <w:i/>
          <w:iCs/>
          <w:noProof w:val="0"/>
          <w:color w:val="000000" w:themeColor="text1"/>
        </w:rPr>
        <w:t>Metab</w:t>
      </w:r>
      <w:proofErr w:type="spellEnd"/>
      <w:r w:rsidR="002D4E1F" w:rsidRPr="002D4E1F">
        <w:rPr>
          <w:noProof w:val="0"/>
          <w:color w:val="000000" w:themeColor="text1"/>
        </w:rPr>
        <w:t xml:space="preserve"> 2013; </w:t>
      </w:r>
      <w:r w:rsidR="002D4E1F" w:rsidRPr="002D4E1F">
        <w:rPr>
          <w:b/>
          <w:bCs/>
          <w:noProof w:val="0"/>
          <w:color w:val="000000" w:themeColor="text1"/>
        </w:rPr>
        <w:t>15:</w:t>
      </w:r>
      <w:r w:rsidR="002D4E1F" w:rsidRPr="002D4E1F">
        <w:rPr>
          <w:noProof w:val="0"/>
          <w:color w:val="000000" w:themeColor="text1"/>
        </w:rPr>
        <w:t xml:space="preserve"> 204–12.</w:t>
      </w:r>
    </w:p>
    <w:p w14:paraId="00A019B9" w14:textId="4373B82B" w:rsidR="00B1644A" w:rsidRPr="00C951F0" w:rsidRDefault="00911976" w:rsidP="00934A10">
      <w:pPr>
        <w:pStyle w:val="EndNoteBibliography"/>
        <w:spacing w:after="0" w:line="480" w:lineRule="auto"/>
        <w:rPr>
          <w:noProof w:val="0"/>
          <w:color w:val="000000" w:themeColor="text1"/>
        </w:rPr>
      </w:pPr>
      <w:r>
        <w:rPr>
          <w:noProof w:val="0"/>
          <w:color w:val="000000" w:themeColor="text1"/>
        </w:rPr>
        <w:t>36</w:t>
      </w:r>
      <w:r w:rsidR="008A62E0" w:rsidRPr="00C951F0">
        <w:rPr>
          <w:noProof w:val="0"/>
          <w:color w:val="000000" w:themeColor="text1"/>
        </w:rPr>
        <w:t>.</w:t>
      </w:r>
      <w:r w:rsidR="008A62E0" w:rsidRPr="00C951F0">
        <w:rPr>
          <w:noProof w:val="0"/>
          <w:color w:val="000000" w:themeColor="text1"/>
        </w:rPr>
        <w:tab/>
      </w:r>
      <w:proofErr w:type="spellStart"/>
      <w:r w:rsidR="00B1644A" w:rsidRPr="00C951F0">
        <w:rPr>
          <w:noProof w:val="0"/>
          <w:color w:val="000000" w:themeColor="text1"/>
        </w:rPr>
        <w:t>Bettge</w:t>
      </w:r>
      <w:proofErr w:type="spellEnd"/>
      <w:r w:rsidR="00B1644A" w:rsidRPr="00C951F0">
        <w:rPr>
          <w:noProof w:val="0"/>
          <w:color w:val="000000" w:themeColor="text1"/>
        </w:rPr>
        <w:t xml:space="preserve"> K, Kahle M, Abd El Aziz MS, Meier JJ, </w:t>
      </w:r>
      <w:proofErr w:type="spellStart"/>
      <w:r w:rsidR="00B1644A" w:rsidRPr="00C951F0">
        <w:rPr>
          <w:noProof w:val="0"/>
          <w:color w:val="000000" w:themeColor="text1"/>
        </w:rPr>
        <w:t>Nauck</w:t>
      </w:r>
      <w:proofErr w:type="spellEnd"/>
      <w:r w:rsidR="00B1644A" w:rsidRPr="00C951F0">
        <w:rPr>
          <w:noProof w:val="0"/>
          <w:color w:val="000000" w:themeColor="text1"/>
        </w:rPr>
        <w:t xml:space="preserve"> MA. Occurrence of nausea, vomiting and </w:t>
      </w:r>
      <w:proofErr w:type="spellStart"/>
      <w:r w:rsidR="00B1644A" w:rsidRPr="00C951F0">
        <w:rPr>
          <w:noProof w:val="0"/>
          <w:color w:val="000000" w:themeColor="text1"/>
        </w:rPr>
        <w:t>diarrhoea</w:t>
      </w:r>
      <w:proofErr w:type="spellEnd"/>
      <w:r w:rsidR="00B1644A" w:rsidRPr="00C951F0">
        <w:rPr>
          <w:noProof w:val="0"/>
          <w:color w:val="000000" w:themeColor="text1"/>
        </w:rPr>
        <w:t xml:space="preserve"> reported as adverse events in clinical trials studying glucagon-like peptide-1 receptor agonists: </w:t>
      </w:r>
      <w:r w:rsidR="00065E91" w:rsidRPr="00C951F0">
        <w:rPr>
          <w:noProof w:val="0"/>
          <w:color w:val="000000" w:themeColor="text1"/>
        </w:rPr>
        <w:t xml:space="preserve">a </w:t>
      </w:r>
      <w:r w:rsidR="00B1644A" w:rsidRPr="00C951F0">
        <w:rPr>
          <w:noProof w:val="0"/>
          <w:color w:val="000000" w:themeColor="text1"/>
        </w:rPr>
        <w:t xml:space="preserve">systematic analysis of published clinical trials. </w:t>
      </w:r>
      <w:r w:rsidR="00B1644A" w:rsidRPr="00C951F0">
        <w:rPr>
          <w:i/>
          <w:iCs/>
          <w:noProof w:val="0"/>
          <w:color w:val="000000" w:themeColor="text1"/>
        </w:rPr>
        <w:t>Diabetes</w:t>
      </w:r>
      <w:r w:rsidR="00FA54DD" w:rsidRPr="00C951F0">
        <w:rPr>
          <w:i/>
          <w:iCs/>
          <w:noProof w:val="0"/>
          <w:color w:val="000000" w:themeColor="text1"/>
        </w:rPr>
        <w:t xml:space="preserve"> </w:t>
      </w:r>
      <w:proofErr w:type="spellStart"/>
      <w:r w:rsidR="00FA54DD" w:rsidRPr="00C951F0">
        <w:rPr>
          <w:i/>
          <w:iCs/>
          <w:noProof w:val="0"/>
          <w:color w:val="000000" w:themeColor="text1"/>
        </w:rPr>
        <w:t>O</w:t>
      </w:r>
      <w:r w:rsidR="00B1644A" w:rsidRPr="00C951F0">
        <w:rPr>
          <w:i/>
          <w:iCs/>
          <w:noProof w:val="0"/>
          <w:color w:val="000000" w:themeColor="text1"/>
        </w:rPr>
        <w:t>bes</w:t>
      </w:r>
      <w:proofErr w:type="spellEnd"/>
      <w:r w:rsidR="00B1644A" w:rsidRPr="00C951F0">
        <w:rPr>
          <w:i/>
          <w:iCs/>
          <w:noProof w:val="0"/>
          <w:color w:val="000000" w:themeColor="text1"/>
        </w:rPr>
        <w:t xml:space="preserve"> </w:t>
      </w:r>
      <w:proofErr w:type="spellStart"/>
      <w:r w:rsidR="00FA54DD" w:rsidRPr="00C951F0">
        <w:rPr>
          <w:i/>
          <w:iCs/>
          <w:noProof w:val="0"/>
          <w:color w:val="000000" w:themeColor="text1"/>
        </w:rPr>
        <w:t>M</w:t>
      </w:r>
      <w:r w:rsidR="00B1644A" w:rsidRPr="00C951F0">
        <w:rPr>
          <w:i/>
          <w:iCs/>
          <w:noProof w:val="0"/>
          <w:color w:val="000000" w:themeColor="text1"/>
        </w:rPr>
        <w:t>etab</w:t>
      </w:r>
      <w:proofErr w:type="spellEnd"/>
      <w:r w:rsidR="00B1644A" w:rsidRPr="00C951F0">
        <w:rPr>
          <w:i/>
          <w:iCs/>
          <w:noProof w:val="0"/>
          <w:color w:val="000000" w:themeColor="text1"/>
        </w:rPr>
        <w:t xml:space="preserve"> </w:t>
      </w:r>
      <w:r w:rsidR="00B1644A" w:rsidRPr="00C951F0">
        <w:rPr>
          <w:noProof w:val="0"/>
          <w:color w:val="000000" w:themeColor="text1"/>
        </w:rPr>
        <w:t>2017;</w:t>
      </w:r>
      <w:r w:rsidR="008A62E0" w:rsidRPr="00C951F0">
        <w:rPr>
          <w:noProof w:val="0"/>
          <w:color w:val="000000" w:themeColor="text1"/>
        </w:rPr>
        <w:t xml:space="preserve"> </w:t>
      </w:r>
      <w:r w:rsidR="00B1644A" w:rsidRPr="00C951F0">
        <w:rPr>
          <w:b/>
          <w:bCs/>
          <w:noProof w:val="0"/>
          <w:color w:val="000000" w:themeColor="text1"/>
        </w:rPr>
        <w:t>19:</w:t>
      </w:r>
      <w:r w:rsidR="008A62E0" w:rsidRPr="00C951F0">
        <w:rPr>
          <w:noProof w:val="0"/>
          <w:color w:val="000000" w:themeColor="text1"/>
        </w:rPr>
        <w:t xml:space="preserve"> </w:t>
      </w:r>
      <w:r w:rsidR="00B1644A" w:rsidRPr="00C951F0">
        <w:rPr>
          <w:noProof w:val="0"/>
          <w:color w:val="000000" w:themeColor="text1"/>
        </w:rPr>
        <w:t>336</w:t>
      </w:r>
      <w:r w:rsidR="008A62E0" w:rsidRPr="00C951F0">
        <w:rPr>
          <w:noProof w:val="0"/>
          <w:color w:val="000000" w:themeColor="text1"/>
        </w:rPr>
        <w:t>–</w:t>
      </w:r>
      <w:r w:rsidR="00B1644A" w:rsidRPr="00C951F0">
        <w:rPr>
          <w:noProof w:val="0"/>
          <w:color w:val="000000" w:themeColor="text1"/>
        </w:rPr>
        <w:t>47.</w:t>
      </w:r>
    </w:p>
    <w:p w14:paraId="1907905F" w14:textId="7449CAAD" w:rsidR="00B1644A" w:rsidRPr="00C951F0" w:rsidRDefault="00911976" w:rsidP="00934A10">
      <w:pPr>
        <w:pStyle w:val="EndNoteBibliography"/>
        <w:spacing w:after="0" w:line="480" w:lineRule="auto"/>
        <w:rPr>
          <w:noProof w:val="0"/>
          <w:color w:val="000000" w:themeColor="text1"/>
        </w:rPr>
      </w:pPr>
      <w:r>
        <w:rPr>
          <w:noProof w:val="0"/>
          <w:color w:val="000000" w:themeColor="text1"/>
        </w:rPr>
        <w:t>37</w:t>
      </w:r>
      <w:r w:rsidR="008A62E0" w:rsidRPr="00C951F0">
        <w:rPr>
          <w:noProof w:val="0"/>
          <w:color w:val="000000" w:themeColor="text1"/>
        </w:rPr>
        <w:t>.</w:t>
      </w:r>
      <w:r w:rsidR="008A62E0" w:rsidRPr="00C951F0">
        <w:rPr>
          <w:noProof w:val="0"/>
          <w:color w:val="000000" w:themeColor="text1"/>
        </w:rPr>
        <w:tab/>
      </w:r>
      <w:proofErr w:type="spellStart"/>
      <w:r w:rsidR="00B1644A" w:rsidRPr="00C951F0">
        <w:rPr>
          <w:noProof w:val="0"/>
          <w:color w:val="000000" w:themeColor="text1"/>
        </w:rPr>
        <w:t>Nauck</w:t>
      </w:r>
      <w:proofErr w:type="spellEnd"/>
      <w:r w:rsidR="00B1644A" w:rsidRPr="00C951F0">
        <w:rPr>
          <w:noProof w:val="0"/>
          <w:color w:val="000000" w:themeColor="text1"/>
        </w:rPr>
        <w:t xml:space="preserve"> MA, Meier JJ. M</w:t>
      </w:r>
      <w:r w:rsidR="00FA54DD" w:rsidRPr="00C951F0">
        <w:rPr>
          <w:noProof w:val="0"/>
          <w:color w:val="000000" w:themeColor="text1"/>
        </w:rPr>
        <w:t>anageme</w:t>
      </w:r>
      <w:r w:rsidR="00227D23" w:rsidRPr="00C951F0">
        <w:rPr>
          <w:noProof w:val="0"/>
          <w:color w:val="000000" w:themeColor="text1"/>
        </w:rPr>
        <w:t>nt</w:t>
      </w:r>
      <w:r w:rsidR="00FA54DD" w:rsidRPr="00C951F0">
        <w:rPr>
          <w:noProof w:val="0"/>
          <w:color w:val="000000" w:themeColor="text1"/>
        </w:rPr>
        <w:t xml:space="preserve"> of endocrine disease</w:t>
      </w:r>
      <w:r w:rsidR="00B1644A" w:rsidRPr="00C951F0">
        <w:rPr>
          <w:noProof w:val="0"/>
          <w:color w:val="000000" w:themeColor="text1"/>
        </w:rPr>
        <w:t xml:space="preserve">: </w:t>
      </w:r>
      <w:r w:rsidR="00065E91" w:rsidRPr="00C951F0">
        <w:rPr>
          <w:noProof w:val="0"/>
          <w:color w:val="000000" w:themeColor="text1"/>
        </w:rPr>
        <w:t xml:space="preserve">are </w:t>
      </w:r>
      <w:r w:rsidR="00B1644A" w:rsidRPr="00C951F0">
        <w:rPr>
          <w:noProof w:val="0"/>
          <w:color w:val="000000" w:themeColor="text1"/>
        </w:rPr>
        <w:t xml:space="preserve">all GLP-1 agonists equal in the treatment of type 2 diabetes? </w:t>
      </w:r>
      <w:r w:rsidR="00B1644A" w:rsidRPr="00C951F0">
        <w:rPr>
          <w:i/>
          <w:iCs/>
          <w:noProof w:val="0"/>
          <w:color w:val="000000" w:themeColor="text1"/>
        </w:rPr>
        <w:t>Eur J Endocrinol</w:t>
      </w:r>
      <w:r w:rsidR="00B1644A" w:rsidRPr="00C951F0">
        <w:rPr>
          <w:noProof w:val="0"/>
          <w:color w:val="000000" w:themeColor="text1"/>
        </w:rPr>
        <w:t xml:space="preserve"> 2019;</w:t>
      </w:r>
      <w:r w:rsidR="008A62E0" w:rsidRPr="00C951F0">
        <w:rPr>
          <w:noProof w:val="0"/>
          <w:color w:val="000000" w:themeColor="text1"/>
        </w:rPr>
        <w:t xml:space="preserve"> </w:t>
      </w:r>
      <w:r w:rsidR="00B1644A" w:rsidRPr="00C951F0">
        <w:rPr>
          <w:b/>
          <w:bCs/>
          <w:noProof w:val="0"/>
          <w:color w:val="000000" w:themeColor="text1"/>
        </w:rPr>
        <w:t>181:</w:t>
      </w:r>
      <w:r w:rsidR="008A62E0" w:rsidRPr="00C951F0">
        <w:rPr>
          <w:noProof w:val="0"/>
          <w:color w:val="000000" w:themeColor="text1"/>
        </w:rPr>
        <w:t xml:space="preserve"> </w:t>
      </w:r>
      <w:r w:rsidR="00B1644A" w:rsidRPr="00C951F0">
        <w:rPr>
          <w:noProof w:val="0"/>
          <w:color w:val="000000" w:themeColor="text1"/>
        </w:rPr>
        <w:t>R211</w:t>
      </w:r>
      <w:r w:rsidR="008A62E0" w:rsidRPr="00C951F0">
        <w:rPr>
          <w:noProof w:val="0"/>
          <w:color w:val="000000" w:themeColor="text1"/>
        </w:rPr>
        <w:t>–</w:t>
      </w:r>
      <w:r w:rsidR="00B1644A" w:rsidRPr="00C951F0">
        <w:rPr>
          <w:noProof w:val="0"/>
          <w:color w:val="000000" w:themeColor="text1"/>
        </w:rPr>
        <w:t>34.</w:t>
      </w:r>
    </w:p>
    <w:p w14:paraId="523A4EE6" w14:textId="3CBFCC90" w:rsidR="00B1644A" w:rsidRPr="00C951F0" w:rsidRDefault="00911976" w:rsidP="00934A10">
      <w:pPr>
        <w:pStyle w:val="EndNoteBibliography"/>
        <w:spacing w:after="0" w:line="480" w:lineRule="auto"/>
        <w:rPr>
          <w:noProof w:val="0"/>
          <w:color w:val="000000" w:themeColor="text1"/>
        </w:rPr>
      </w:pPr>
      <w:r>
        <w:rPr>
          <w:noProof w:val="0"/>
          <w:color w:val="000000" w:themeColor="text1"/>
        </w:rPr>
        <w:t>38</w:t>
      </w:r>
      <w:r w:rsidR="008A62E0" w:rsidRPr="00C951F0">
        <w:rPr>
          <w:noProof w:val="0"/>
          <w:color w:val="000000" w:themeColor="text1"/>
        </w:rPr>
        <w:t>.</w:t>
      </w:r>
      <w:r w:rsidR="008A62E0" w:rsidRPr="00C951F0">
        <w:rPr>
          <w:noProof w:val="0"/>
          <w:color w:val="000000" w:themeColor="text1"/>
        </w:rPr>
        <w:tab/>
      </w:r>
      <w:r w:rsidR="00B1644A" w:rsidRPr="00C951F0">
        <w:rPr>
          <w:noProof w:val="0"/>
          <w:color w:val="000000" w:themeColor="text1"/>
        </w:rPr>
        <w:t xml:space="preserve">Aroda VR, </w:t>
      </w:r>
      <w:proofErr w:type="spellStart"/>
      <w:r w:rsidR="00B1644A" w:rsidRPr="00C951F0">
        <w:rPr>
          <w:noProof w:val="0"/>
          <w:color w:val="000000" w:themeColor="text1"/>
        </w:rPr>
        <w:t>Ahmann</w:t>
      </w:r>
      <w:proofErr w:type="spellEnd"/>
      <w:r w:rsidR="00B1644A" w:rsidRPr="00C951F0">
        <w:rPr>
          <w:noProof w:val="0"/>
          <w:color w:val="000000" w:themeColor="text1"/>
        </w:rPr>
        <w:t xml:space="preserve"> A, </w:t>
      </w:r>
      <w:proofErr w:type="spellStart"/>
      <w:r w:rsidR="00B1644A" w:rsidRPr="00C951F0">
        <w:rPr>
          <w:noProof w:val="0"/>
          <w:color w:val="000000" w:themeColor="text1"/>
        </w:rPr>
        <w:t>Cariou</w:t>
      </w:r>
      <w:proofErr w:type="spellEnd"/>
      <w:r w:rsidR="00B1644A" w:rsidRPr="00C951F0">
        <w:rPr>
          <w:noProof w:val="0"/>
          <w:color w:val="000000" w:themeColor="text1"/>
        </w:rPr>
        <w:t xml:space="preserve"> B, et al. Comparative efficacy, safety, and cardiovascular outcomes with once-weekly subcutaneous semaglutide in the treatment of type 2 diabetes: </w:t>
      </w:r>
      <w:r w:rsidR="00D12997" w:rsidRPr="00C951F0">
        <w:rPr>
          <w:noProof w:val="0"/>
          <w:color w:val="000000" w:themeColor="text1"/>
        </w:rPr>
        <w:t xml:space="preserve">insights </w:t>
      </w:r>
      <w:r w:rsidR="00B1644A" w:rsidRPr="00C951F0">
        <w:rPr>
          <w:noProof w:val="0"/>
          <w:color w:val="000000" w:themeColor="text1"/>
        </w:rPr>
        <w:t xml:space="preserve">from the SUSTAIN 1-7 trials. </w:t>
      </w:r>
      <w:r w:rsidR="00B1644A" w:rsidRPr="00C951F0">
        <w:rPr>
          <w:i/>
          <w:iCs/>
          <w:noProof w:val="0"/>
          <w:color w:val="000000" w:themeColor="text1"/>
        </w:rPr>
        <w:t xml:space="preserve">Diabetes </w:t>
      </w:r>
      <w:proofErr w:type="spellStart"/>
      <w:r w:rsidR="00B1644A" w:rsidRPr="00C951F0">
        <w:rPr>
          <w:i/>
          <w:iCs/>
          <w:noProof w:val="0"/>
          <w:color w:val="000000" w:themeColor="text1"/>
        </w:rPr>
        <w:t>Metab</w:t>
      </w:r>
      <w:proofErr w:type="spellEnd"/>
      <w:r w:rsidR="00B1644A" w:rsidRPr="00C951F0">
        <w:rPr>
          <w:noProof w:val="0"/>
          <w:color w:val="000000" w:themeColor="text1"/>
        </w:rPr>
        <w:t xml:space="preserve"> 2019;</w:t>
      </w:r>
      <w:r w:rsidR="008A62E0" w:rsidRPr="00C951F0">
        <w:rPr>
          <w:noProof w:val="0"/>
          <w:color w:val="000000" w:themeColor="text1"/>
        </w:rPr>
        <w:t xml:space="preserve"> </w:t>
      </w:r>
      <w:r w:rsidR="00B1644A" w:rsidRPr="00C951F0">
        <w:rPr>
          <w:b/>
          <w:bCs/>
          <w:noProof w:val="0"/>
          <w:color w:val="000000" w:themeColor="text1"/>
        </w:rPr>
        <w:t>45:</w:t>
      </w:r>
      <w:r w:rsidR="008A62E0" w:rsidRPr="00C951F0">
        <w:rPr>
          <w:noProof w:val="0"/>
          <w:color w:val="000000" w:themeColor="text1"/>
        </w:rPr>
        <w:t xml:space="preserve"> </w:t>
      </w:r>
      <w:r w:rsidR="00B1644A" w:rsidRPr="00C951F0">
        <w:rPr>
          <w:noProof w:val="0"/>
          <w:color w:val="000000" w:themeColor="text1"/>
        </w:rPr>
        <w:t>409</w:t>
      </w:r>
      <w:r w:rsidR="008A62E0" w:rsidRPr="00C951F0">
        <w:rPr>
          <w:noProof w:val="0"/>
          <w:color w:val="000000" w:themeColor="text1"/>
        </w:rPr>
        <w:t>–</w:t>
      </w:r>
      <w:r w:rsidR="00B1644A" w:rsidRPr="00C951F0">
        <w:rPr>
          <w:noProof w:val="0"/>
          <w:color w:val="000000" w:themeColor="text1"/>
        </w:rPr>
        <w:t>18.</w:t>
      </w:r>
    </w:p>
    <w:p w14:paraId="50071FF2" w14:textId="00DC9F99" w:rsidR="00B1644A" w:rsidRPr="00C951F0" w:rsidRDefault="00911976" w:rsidP="008815A7">
      <w:pPr>
        <w:pStyle w:val="EndNoteBibliography"/>
        <w:spacing w:line="480" w:lineRule="auto"/>
        <w:rPr>
          <w:rFonts w:eastAsia="Times New Roman" w:cs="Times New Roman"/>
          <w:bCs/>
          <w:color w:val="000000" w:themeColor="text1"/>
          <w:kern w:val="36"/>
          <w:sz w:val="28"/>
          <w:szCs w:val="33"/>
          <w:lang w:eastAsia="en-GB"/>
        </w:rPr>
      </w:pPr>
      <w:r>
        <w:rPr>
          <w:noProof w:val="0"/>
          <w:color w:val="000000" w:themeColor="text1"/>
        </w:rPr>
        <w:lastRenderedPageBreak/>
        <w:t>39</w:t>
      </w:r>
      <w:r w:rsidR="008A62E0" w:rsidRPr="00C951F0">
        <w:rPr>
          <w:noProof w:val="0"/>
          <w:color w:val="000000" w:themeColor="text1"/>
        </w:rPr>
        <w:t>.</w:t>
      </w:r>
      <w:r w:rsidR="008A62E0" w:rsidRPr="00C951F0">
        <w:rPr>
          <w:noProof w:val="0"/>
          <w:color w:val="000000" w:themeColor="text1"/>
        </w:rPr>
        <w:tab/>
      </w:r>
      <w:proofErr w:type="spellStart"/>
      <w:r w:rsidR="00B1644A" w:rsidRPr="00C951F0">
        <w:rPr>
          <w:noProof w:val="0"/>
          <w:color w:val="000000" w:themeColor="text1"/>
        </w:rPr>
        <w:t>Rodbard</w:t>
      </w:r>
      <w:proofErr w:type="spellEnd"/>
      <w:r w:rsidR="00B1644A" w:rsidRPr="00C951F0">
        <w:rPr>
          <w:noProof w:val="0"/>
          <w:color w:val="000000" w:themeColor="text1"/>
        </w:rPr>
        <w:t xml:space="preserve"> HW, Lingvay I, Reed J, et al. Semaglutide </w:t>
      </w:r>
      <w:r w:rsidR="00A90F00" w:rsidRPr="00C951F0">
        <w:rPr>
          <w:noProof w:val="0"/>
          <w:color w:val="000000" w:themeColor="text1"/>
        </w:rPr>
        <w:t>a</w:t>
      </w:r>
      <w:r w:rsidR="00B1644A" w:rsidRPr="00C951F0">
        <w:rPr>
          <w:noProof w:val="0"/>
          <w:color w:val="000000" w:themeColor="text1"/>
        </w:rPr>
        <w:t xml:space="preserve">dded to </w:t>
      </w:r>
      <w:r w:rsidR="00A90F00" w:rsidRPr="00C951F0">
        <w:rPr>
          <w:noProof w:val="0"/>
          <w:color w:val="000000" w:themeColor="text1"/>
        </w:rPr>
        <w:t>b</w:t>
      </w:r>
      <w:r w:rsidR="00B1644A" w:rsidRPr="00C951F0">
        <w:rPr>
          <w:noProof w:val="0"/>
          <w:color w:val="000000" w:themeColor="text1"/>
        </w:rPr>
        <w:t xml:space="preserve">asal </w:t>
      </w:r>
      <w:r w:rsidR="00A90F00" w:rsidRPr="00C951F0">
        <w:rPr>
          <w:noProof w:val="0"/>
          <w:color w:val="000000" w:themeColor="text1"/>
        </w:rPr>
        <w:t>i</w:t>
      </w:r>
      <w:r w:rsidR="00B1644A" w:rsidRPr="00C951F0">
        <w:rPr>
          <w:noProof w:val="0"/>
          <w:color w:val="000000" w:themeColor="text1"/>
        </w:rPr>
        <w:t xml:space="preserve">nsulin in </w:t>
      </w:r>
      <w:r w:rsidR="00A90F00" w:rsidRPr="00C951F0">
        <w:rPr>
          <w:noProof w:val="0"/>
          <w:color w:val="000000" w:themeColor="text1"/>
        </w:rPr>
        <w:t>t</w:t>
      </w:r>
      <w:r w:rsidR="00B1644A" w:rsidRPr="00C951F0">
        <w:rPr>
          <w:noProof w:val="0"/>
          <w:color w:val="000000" w:themeColor="text1"/>
        </w:rPr>
        <w:t xml:space="preserve">ype 2 </w:t>
      </w:r>
      <w:r w:rsidR="00A90F00" w:rsidRPr="00C951F0">
        <w:rPr>
          <w:noProof w:val="0"/>
          <w:color w:val="000000" w:themeColor="text1"/>
        </w:rPr>
        <w:t>d</w:t>
      </w:r>
      <w:r w:rsidR="00B1644A" w:rsidRPr="00C951F0">
        <w:rPr>
          <w:noProof w:val="0"/>
          <w:color w:val="000000" w:themeColor="text1"/>
        </w:rPr>
        <w:t xml:space="preserve">iabetes (SUSTAIN 5): </w:t>
      </w:r>
      <w:r w:rsidR="00D12997" w:rsidRPr="00C951F0">
        <w:rPr>
          <w:noProof w:val="0"/>
          <w:color w:val="000000" w:themeColor="text1"/>
        </w:rPr>
        <w:t xml:space="preserve">a </w:t>
      </w:r>
      <w:r w:rsidR="00A90F00" w:rsidRPr="00C951F0">
        <w:rPr>
          <w:noProof w:val="0"/>
          <w:color w:val="000000" w:themeColor="text1"/>
        </w:rPr>
        <w:t>r</w:t>
      </w:r>
      <w:r w:rsidR="00B1644A" w:rsidRPr="00C951F0">
        <w:rPr>
          <w:noProof w:val="0"/>
          <w:color w:val="000000" w:themeColor="text1"/>
        </w:rPr>
        <w:t xml:space="preserve">andomized, </w:t>
      </w:r>
      <w:r w:rsidR="00A90F00" w:rsidRPr="00C951F0">
        <w:rPr>
          <w:noProof w:val="0"/>
          <w:color w:val="000000" w:themeColor="text1"/>
        </w:rPr>
        <w:t>c</w:t>
      </w:r>
      <w:r w:rsidR="00B1644A" w:rsidRPr="00C951F0">
        <w:rPr>
          <w:noProof w:val="0"/>
          <w:color w:val="000000" w:themeColor="text1"/>
        </w:rPr>
        <w:t xml:space="preserve">ontrolled </w:t>
      </w:r>
      <w:r w:rsidR="00A90F00" w:rsidRPr="00C951F0">
        <w:rPr>
          <w:noProof w:val="0"/>
          <w:color w:val="000000" w:themeColor="text1"/>
        </w:rPr>
        <w:t>t</w:t>
      </w:r>
      <w:r w:rsidR="00B1644A" w:rsidRPr="00C951F0">
        <w:rPr>
          <w:noProof w:val="0"/>
          <w:color w:val="000000" w:themeColor="text1"/>
        </w:rPr>
        <w:t xml:space="preserve">rial. </w:t>
      </w:r>
      <w:r w:rsidR="00B1644A" w:rsidRPr="00C951F0">
        <w:rPr>
          <w:i/>
          <w:iCs/>
          <w:color w:val="000000" w:themeColor="text1"/>
        </w:rPr>
        <w:t>J Clin Endocrinol Metab</w:t>
      </w:r>
      <w:r w:rsidR="00B1644A" w:rsidRPr="00C951F0">
        <w:rPr>
          <w:noProof w:val="0"/>
          <w:color w:val="000000" w:themeColor="text1"/>
        </w:rPr>
        <w:t xml:space="preserve"> 2018;</w:t>
      </w:r>
      <w:r w:rsidR="008A62E0" w:rsidRPr="00C951F0">
        <w:rPr>
          <w:noProof w:val="0"/>
          <w:color w:val="000000" w:themeColor="text1"/>
        </w:rPr>
        <w:t xml:space="preserve"> </w:t>
      </w:r>
      <w:r w:rsidR="00B1644A" w:rsidRPr="00C951F0">
        <w:rPr>
          <w:b/>
          <w:bCs/>
          <w:color w:val="000000" w:themeColor="text1"/>
        </w:rPr>
        <w:t>103:</w:t>
      </w:r>
      <w:r w:rsidR="008A62E0" w:rsidRPr="00C951F0">
        <w:rPr>
          <w:noProof w:val="0"/>
          <w:color w:val="000000" w:themeColor="text1"/>
        </w:rPr>
        <w:t xml:space="preserve"> </w:t>
      </w:r>
      <w:r w:rsidR="00B1644A" w:rsidRPr="00C951F0">
        <w:rPr>
          <w:noProof w:val="0"/>
          <w:color w:val="000000" w:themeColor="text1"/>
        </w:rPr>
        <w:t>2291</w:t>
      </w:r>
      <w:r w:rsidR="008A62E0" w:rsidRPr="00C951F0">
        <w:rPr>
          <w:noProof w:val="0"/>
          <w:color w:val="000000" w:themeColor="text1"/>
        </w:rPr>
        <w:t>–</w:t>
      </w:r>
      <w:r w:rsidR="00B1644A" w:rsidRPr="00C951F0">
        <w:rPr>
          <w:noProof w:val="0"/>
          <w:color w:val="000000" w:themeColor="text1"/>
        </w:rPr>
        <w:t>301.</w:t>
      </w:r>
    </w:p>
    <w:p w14:paraId="3C616A0B" w14:textId="77777777" w:rsidR="00B1644A" w:rsidRPr="00C951F0" w:rsidRDefault="00B1644A" w:rsidP="0039543A">
      <w:pPr>
        <w:rPr>
          <w:rFonts w:eastAsia="Times New Roman" w:cs="Times New Roman"/>
          <w:bCs/>
          <w:color w:val="000000" w:themeColor="text1"/>
          <w:kern w:val="36"/>
          <w:sz w:val="28"/>
          <w:szCs w:val="33"/>
          <w:lang w:eastAsia="en-GB"/>
        </w:rPr>
        <w:sectPr w:rsidR="00B1644A" w:rsidRPr="00C951F0" w:rsidSect="0060453C">
          <w:headerReference w:type="default" r:id="rId11"/>
          <w:footerReference w:type="default" r:id="rId12"/>
          <w:pgSz w:w="11906" w:h="16838"/>
          <w:pgMar w:top="1440" w:right="1440" w:bottom="1440" w:left="1440" w:header="708" w:footer="708" w:gutter="0"/>
          <w:lnNumType w:countBy="1" w:restart="continuous"/>
          <w:cols w:space="708"/>
          <w:docGrid w:linePitch="360"/>
        </w:sectPr>
      </w:pPr>
    </w:p>
    <w:p w14:paraId="002E0DC1" w14:textId="032992A1" w:rsidR="00B1644A" w:rsidRPr="00C951F0" w:rsidRDefault="00D12997" w:rsidP="0039543A">
      <w:pPr>
        <w:pStyle w:val="Heading1"/>
        <w:rPr>
          <w:color w:val="000000" w:themeColor="text1"/>
        </w:rPr>
      </w:pPr>
      <w:r w:rsidRPr="00C951F0">
        <w:rPr>
          <w:color w:val="000000" w:themeColor="text1"/>
        </w:rPr>
        <w:lastRenderedPageBreak/>
        <w:t>Tables and figures</w:t>
      </w:r>
    </w:p>
    <w:p w14:paraId="01D24BDB" w14:textId="47884609" w:rsidR="00B1644A" w:rsidRPr="00C951F0" w:rsidRDefault="00B1644A" w:rsidP="0039543A">
      <w:pPr>
        <w:pStyle w:val="Heading3"/>
        <w:rPr>
          <w:color w:val="000000" w:themeColor="text1"/>
        </w:rPr>
      </w:pPr>
      <w:r w:rsidRPr="00C951F0">
        <w:rPr>
          <w:b/>
          <w:bCs/>
          <w:i/>
          <w:iCs/>
          <w:color w:val="000000" w:themeColor="text1"/>
        </w:rPr>
        <w:t>Table 1</w:t>
      </w:r>
      <w:r w:rsidR="00D12997" w:rsidRPr="00C951F0">
        <w:rPr>
          <w:b/>
          <w:bCs/>
          <w:i/>
          <w:iCs/>
          <w:color w:val="000000" w:themeColor="text1"/>
        </w:rPr>
        <w:t>:</w:t>
      </w:r>
      <w:r w:rsidR="00D12997" w:rsidRPr="00C951F0">
        <w:rPr>
          <w:color w:val="000000" w:themeColor="text1"/>
        </w:rPr>
        <w:t xml:space="preserve"> </w:t>
      </w:r>
      <w:r w:rsidRPr="00C951F0">
        <w:rPr>
          <w:color w:val="000000" w:themeColor="text1"/>
        </w:rPr>
        <w:t>Selected Baseline Demographic and Clinical Characteristics</w:t>
      </w:r>
    </w:p>
    <w:tbl>
      <w:tblPr>
        <w:tblStyle w:val="TableGrid"/>
        <w:tblW w:w="4316" w:type="pct"/>
        <w:tblCellMar>
          <w:top w:w="28" w:type="dxa"/>
          <w:bottom w:w="28" w:type="dxa"/>
        </w:tblCellMar>
        <w:tblLook w:val="04A0" w:firstRow="1" w:lastRow="0" w:firstColumn="1" w:lastColumn="0" w:noHBand="0" w:noVBand="1"/>
      </w:tblPr>
      <w:tblGrid>
        <w:gridCol w:w="5759"/>
        <w:gridCol w:w="1612"/>
        <w:gridCol w:w="1559"/>
        <w:gridCol w:w="1562"/>
        <w:gridCol w:w="1557"/>
      </w:tblGrid>
      <w:tr w:rsidR="00C951F0" w:rsidRPr="00C951F0" w14:paraId="05E1DF0B" w14:textId="77777777" w:rsidTr="00934A10">
        <w:trPr>
          <w:tblHeader/>
        </w:trPr>
        <w:tc>
          <w:tcPr>
            <w:tcW w:w="2390" w:type="pct"/>
            <w:tcBorders>
              <w:left w:val="nil"/>
              <w:right w:val="nil"/>
            </w:tcBorders>
            <w:vAlign w:val="bottom"/>
          </w:tcPr>
          <w:p w14:paraId="7BB4C083" w14:textId="77777777" w:rsidR="00B1644A" w:rsidRPr="00C951F0" w:rsidRDefault="00B1644A" w:rsidP="0039543A">
            <w:pPr>
              <w:spacing w:line="240" w:lineRule="auto"/>
              <w:rPr>
                <w:rFonts w:cs="Arial"/>
                <w:b/>
                <w:bCs/>
                <w:color w:val="000000" w:themeColor="text1"/>
                <w:sz w:val="20"/>
                <w:szCs w:val="20"/>
              </w:rPr>
            </w:pPr>
            <w:r w:rsidRPr="00C951F0">
              <w:rPr>
                <w:rFonts w:cs="Arial"/>
                <w:b/>
                <w:bCs/>
                <w:color w:val="000000" w:themeColor="text1"/>
                <w:sz w:val="20"/>
                <w:szCs w:val="20"/>
              </w:rPr>
              <w:t>Characteristic</w:t>
            </w:r>
          </w:p>
        </w:tc>
        <w:tc>
          <w:tcPr>
            <w:tcW w:w="669" w:type="pct"/>
            <w:tcBorders>
              <w:left w:val="nil"/>
              <w:right w:val="nil"/>
            </w:tcBorders>
            <w:vAlign w:val="bottom"/>
          </w:tcPr>
          <w:p w14:paraId="1E6E2063" w14:textId="6BB8390E" w:rsidR="00B1644A" w:rsidRPr="00C951F0" w:rsidRDefault="00B1644A">
            <w:pPr>
              <w:spacing w:line="240" w:lineRule="auto"/>
              <w:jc w:val="center"/>
              <w:rPr>
                <w:rFonts w:cs="Arial"/>
                <w:b/>
                <w:bCs/>
                <w:color w:val="000000" w:themeColor="text1"/>
                <w:sz w:val="20"/>
                <w:szCs w:val="20"/>
              </w:rPr>
            </w:pPr>
            <w:r w:rsidRPr="00C951F0">
              <w:rPr>
                <w:rFonts w:cs="Arial"/>
                <w:b/>
                <w:bCs/>
                <w:color w:val="000000" w:themeColor="text1"/>
                <w:sz w:val="20"/>
                <w:szCs w:val="20"/>
              </w:rPr>
              <w:t>Semaglutide</w:t>
            </w:r>
            <w:r w:rsidR="003063B5" w:rsidRPr="00C951F0">
              <w:rPr>
                <w:rFonts w:cs="Arial"/>
                <w:b/>
                <w:bCs/>
                <w:color w:val="000000" w:themeColor="text1"/>
                <w:sz w:val="20"/>
                <w:szCs w:val="20"/>
              </w:rPr>
              <w:t xml:space="preserve"> </w:t>
            </w:r>
            <w:r w:rsidRPr="00C951F0">
              <w:rPr>
                <w:rFonts w:cs="Arial"/>
                <w:b/>
                <w:bCs/>
                <w:color w:val="000000" w:themeColor="text1"/>
                <w:sz w:val="20"/>
                <w:szCs w:val="20"/>
              </w:rPr>
              <w:t>2</w:t>
            </w:r>
            <w:r w:rsidR="00C5236B" w:rsidRPr="00C951F0">
              <w:rPr>
                <w:rFonts w:cs="Arial"/>
                <w:b/>
                <w:bCs/>
                <w:color w:val="000000" w:themeColor="text1"/>
                <w:sz w:val="20"/>
                <w:szCs w:val="20"/>
              </w:rPr>
              <w:t>·</w:t>
            </w:r>
            <w:r w:rsidRPr="00C951F0">
              <w:rPr>
                <w:rFonts w:cs="Arial"/>
                <w:b/>
                <w:bCs/>
                <w:color w:val="000000" w:themeColor="text1"/>
                <w:sz w:val="20"/>
                <w:szCs w:val="20"/>
              </w:rPr>
              <w:t>4 mg</w:t>
            </w:r>
            <w:r w:rsidR="003063B5" w:rsidRPr="00C951F0">
              <w:rPr>
                <w:rFonts w:cs="Arial"/>
                <w:b/>
                <w:bCs/>
                <w:color w:val="000000" w:themeColor="text1"/>
                <w:sz w:val="20"/>
                <w:szCs w:val="20"/>
              </w:rPr>
              <w:t xml:space="preserve"> </w:t>
            </w:r>
            <w:r w:rsidRPr="00C951F0">
              <w:rPr>
                <w:rFonts w:cs="Arial"/>
                <w:b/>
                <w:bCs/>
                <w:color w:val="000000" w:themeColor="text1"/>
                <w:sz w:val="20"/>
                <w:szCs w:val="20"/>
              </w:rPr>
              <w:t>(N=404)</w:t>
            </w:r>
          </w:p>
        </w:tc>
        <w:tc>
          <w:tcPr>
            <w:tcW w:w="647" w:type="pct"/>
            <w:tcBorders>
              <w:left w:val="nil"/>
              <w:right w:val="nil"/>
            </w:tcBorders>
            <w:vAlign w:val="bottom"/>
          </w:tcPr>
          <w:p w14:paraId="1D747B40" w14:textId="73BD37CD" w:rsidR="00B1644A" w:rsidRPr="00C951F0" w:rsidRDefault="00B1644A">
            <w:pPr>
              <w:spacing w:line="240" w:lineRule="auto"/>
              <w:jc w:val="center"/>
              <w:rPr>
                <w:rFonts w:cs="Arial"/>
                <w:b/>
                <w:bCs/>
                <w:color w:val="000000" w:themeColor="text1"/>
                <w:sz w:val="20"/>
                <w:szCs w:val="20"/>
              </w:rPr>
            </w:pPr>
            <w:r w:rsidRPr="00C951F0">
              <w:rPr>
                <w:rFonts w:cs="Arial"/>
                <w:b/>
                <w:bCs/>
                <w:color w:val="000000" w:themeColor="text1"/>
                <w:sz w:val="20"/>
                <w:szCs w:val="20"/>
              </w:rPr>
              <w:t>Semaglutide 1</w:t>
            </w:r>
            <w:r w:rsidR="00C5236B" w:rsidRPr="00C951F0">
              <w:rPr>
                <w:rFonts w:cs="Arial"/>
                <w:b/>
                <w:bCs/>
                <w:color w:val="000000" w:themeColor="text1"/>
                <w:sz w:val="20"/>
                <w:szCs w:val="20"/>
              </w:rPr>
              <w:t>·</w:t>
            </w:r>
            <w:r w:rsidRPr="00C951F0">
              <w:rPr>
                <w:rFonts w:cs="Arial"/>
                <w:b/>
                <w:bCs/>
                <w:color w:val="000000" w:themeColor="text1"/>
                <w:sz w:val="20"/>
                <w:szCs w:val="20"/>
              </w:rPr>
              <w:t>0 mg</w:t>
            </w:r>
            <w:r w:rsidR="003063B5" w:rsidRPr="00C951F0">
              <w:rPr>
                <w:rFonts w:cs="Arial"/>
                <w:b/>
                <w:bCs/>
                <w:color w:val="000000" w:themeColor="text1"/>
                <w:sz w:val="20"/>
                <w:szCs w:val="20"/>
              </w:rPr>
              <w:t xml:space="preserve"> </w:t>
            </w:r>
            <w:r w:rsidRPr="00C951F0">
              <w:rPr>
                <w:rFonts w:cs="Arial"/>
                <w:b/>
                <w:bCs/>
                <w:color w:val="000000" w:themeColor="text1"/>
                <w:sz w:val="20"/>
                <w:szCs w:val="20"/>
              </w:rPr>
              <w:t>(N=403)</w:t>
            </w:r>
          </w:p>
        </w:tc>
        <w:tc>
          <w:tcPr>
            <w:tcW w:w="648" w:type="pct"/>
            <w:tcBorders>
              <w:left w:val="nil"/>
              <w:right w:val="nil"/>
            </w:tcBorders>
            <w:vAlign w:val="bottom"/>
          </w:tcPr>
          <w:p w14:paraId="2727CA3C" w14:textId="3D129867" w:rsidR="00B1644A" w:rsidRPr="00C951F0" w:rsidRDefault="00B1644A">
            <w:pPr>
              <w:spacing w:line="240" w:lineRule="auto"/>
              <w:jc w:val="center"/>
              <w:rPr>
                <w:rFonts w:cs="Arial"/>
                <w:b/>
                <w:bCs/>
                <w:color w:val="000000" w:themeColor="text1"/>
                <w:sz w:val="20"/>
                <w:szCs w:val="20"/>
              </w:rPr>
            </w:pPr>
            <w:r w:rsidRPr="00C951F0">
              <w:rPr>
                <w:rFonts w:cs="Arial"/>
                <w:b/>
                <w:bCs/>
                <w:color w:val="000000" w:themeColor="text1"/>
                <w:sz w:val="20"/>
                <w:szCs w:val="20"/>
              </w:rPr>
              <w:t>Placebo</w:t>
            </w:r>
            <w:r w:rsidR="003063B5" w:rsidRPr="00C951F0">
              <w:rPr>
                <w:rFonts w:cs="Arial"/>
                <w:b/>
                <w:bCs/>
                <w:color w:val="000000" w:themeColor="text1"/>
                <w:sz w:val="20"/>
                <w:szCs w:val="20"/>
              </w:rPr>
              <w:t xml:space="preserve"> </w:t>
            </w:r>
            <w:r w:rsidRPr="00C951F0">
              <w:rPr>
                <w:rFonts w:cs="Arial"/>
                <w:b/>
                <w:bCs/>
                <w:color w:val="000000" w:themeColor="text1"/>
                <w:sz w:val="20"/>
                <w:szCs w:val="20"/>
              </w:rPr>
              <w:t>(N=403)</w:t>
            </w:r>
          </w:p>
        </w:tc>
        <w:tc>
          <w:tcPr>
            <w:tcW w:w="646" w:type="pct"/>
            <w:tcBorders>
              <w:left w:val="nil"/>
              <w:right w:val="nil"/>
            </w:tcBorders>
            <w:vAlign w:val="bottom"/>
          </w:tcPr>
          <w:p w14:paraId="0424767A" w14:textId="0D6D74AC" w:rsidR="00B1644A" w:rsidRPr="00C951F0" w:rsidRDefault="00B1644A">
            <w:pPr>
              <w:spacing w:line="240" w:lineRule="auto"/>
              <w:jc w:val="center"/>
              <w:rPr>
                <w:rFonts w:cs="Arial"/>
                <w:b/>
                <w:bCs/>
                <w:color w:val="000000" w:themeColor="text1"/>
                <w:sz w:val="20"/>
                <w:szCs w:val="20"/>
              </w:rPr>
            </w:pPr>
            <w:r w:rsidRPr="00C951F0">
              <w:rPr>
                <w:rFonts w:cs="Arial"/>
                <w:b/>
                <w:bCs/>
                <w:color w:val="000000" w:themeColor="text1"/>
                <w:sz w:val="20"/>
                <w:szCs w:val="20"/>
              </w:rPr>
              <w:t>Total</w:t>
            </w:r>
            <w:r w:rsidR="003063B5" w:rsidRPr="00C951F0">
              <w:rPr>
                <w:rFonts w:cs="Arial"/>
                <w:b/>
                <w:bCs/>
                <w:color w:val="000000" w:themeColor="text1"/>
                <w:sz w:val="20"/>
                <w:szCs w:val="20"/>
              </w:rPr>
              <w:t xml:space="preserve"> </w:t>
            </w:r>
            <w:r w:rsidRPr="00C951F0">
              <w:rPr>
                <w:rFonts w:cs="Arial"/>
                <w:b/>
                <w:bCs/>
                <w:color w:val="000000" w:themeColor="text1"/>
                <w:sz w:val="20"/>
                <w:szCs w:val="20"/>
              </w:rPr>
              <w:t>(N=1210)</w:t>
            </w:r>
          </w:p>
        </w:tc>
      </w:tr>
      <w:tr w:rsidR="00C951F0" w:rsidRPr="00C951F0" w14:paraId="1E7F97FB" w14:textId="77777777" w:rsidTr="00934A10">
        <w:tc>
          <w:tcPr>
            <w:tcW w:w="2390" w:type="pct"/>
            <w:tcBorders>
              <w:left w:val="nil"/>
              <w:right w:val="nil"/>
            </w:tcBorders>
          </w:tcPr>
          <w:p w14:paraId="45366FBA" w14:textId="31C68C66" w:rsidR="00B1644A" w:rsidRPr="00C951F0" w:rsidRDefault="00B1644A" w:rsidP="00D2651E">
            <w:pPr>
              <w:spacing w:line="240" w:lineRule="auto"/>
              <w:rPr>
                <w:rFonts w:cs="Arial"/>
                <w:color w:val="000000" w:themeColor="text1"/>
                <w:sz w:val="20"/>
                <w:szCs w:val="20"/>
              </w:rPr>
            </w:pPr>
            <w:r w:rsidRPr="00C951F0">
              <w:rPr>
                <w:rFonts w:cs="Arial"/>
                <w:color w:val="000000" w:themeColor="text1"/>
                <w:sz w:val="20"/>
                <w:szCs w:val="20"/>
              </w:rPr>
              <w:t xml:space="preserve">Age </w:t>
            </w:r>
            <w:r w:rsidR="00D2651E" w:rsidRPr="00C951F0">
              <w:rPr>
                <w:rFonts w:cs="Arial"/>
                <w:color w:val="000000" w:themeColor="text1"/>
                <w:sz w:val="20"/>
                <w:szCs w:val="20"/>
              </w:rPr>
              <w:t>—</w:t>
            </w:r>
            <w:r w:rsidRPr="00C951F0">
              <w:rPr>
                <w:rFonts w:cs="Arial"/>
                <w:color w:val="000000" w:themeColor="text1"/>
                <w:sz w:val="20"/>
                <w:szCs w:val="20"/>
              </w:rPr>
              <w:t xml:space="preserve"> years</w:t>
            </w:r>
          </w:p>
        </w:tc>
        <w:tc>
          <w:tcPr>
            <w:tcW w:w="669" w:type="pct"/>
            <w:tcBorders>
              <w:left w:val="nil"/>
              <w:right w:val="nil"/>
            </w:tcBorders>
          </w:tcPr>
          <w:p w14:paraId="54691E64"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55 ± 11</w:t>
            </w:r>
          </w:p>
        </w:tc>
        <w:tc>
          <w:tcPr>
            <w:tcW w:w="647" w:type="pct"/>
            <w:tcBorders>
              <w:left w:val="nil"/>
              <w:right w:val="nil"/>
            </w:tcBorders>
          </w:tcPr>
          <w:p w14:paraId="5FBFCAC7"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56 ± 10</w:t>
            </w:r>
          </w:p>
        </w:tc>
        <w:tc>
          <w:tcPr>
            <w:tcW w:w="648" w:type="pct"/>
            <w:tcBorders>
              <w:left w:val="nil"/>
              <w:right w:val="nil"/>
            </w:tcBorders>
          </w:tcPr>
          <w:p w14:paraId="5BD31613"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55 ± 11</w:t>
            </w:r>
          </w:p>
        </w:tc>
        <w:tc>
          <w:tcPr>
            <w:tcW w:w="646" w:type="pct"/>
            <w:tcBorders>
              <w:left w:val="nil"/>
              <w:right w:val="nil"/>
            </w:tcBorders>
          </w:tcPr>
          <w:p w14:paraId="4C02B250"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55 ± 11</w:t>
            </w:r>
          </w:p>
        </w:tc>
      </w:tr>
      <w:tr w:rsidR="00C951F0" w:rsidRPr="00C951F0" w14:paraId="5FFC7E60" w14:textId="77777777" w:rsidTr="00934A10">
        <w:tc>
          <w:tcPr>
            <w:tcW w:w="2390" w:type="pct"/>
            <w:tcBorders>
              <w:left w:val="nil"/>
              <w:bottom w:val="single" w:sz="4" w:space="0" w:color="auto"/>
              <w:right w:val="nil"/>
            </w:tcBorders>
          </w:tcPr>
          <w:p w14:paraId="1FF647C2" w14:textId="290502F1"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 xml:space="preserve">Female sex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left w:val="nil"/>
              <w:bottom w:val="single" w:sz="4" w:space="0" w:color="auto"/>
              <w:right w:val="nil"/>
            </w:tcBorders>
          </w:tcPr>
          <w:p w14:paraId="462BB392" w14:textId="3B21A86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223 (55</w:t>
            </w:r>
            <w:r w:rsidR="00C5236B" w:rsidRPr="00C951F0">
              <w:rPr>
                <w:rFonts w:cs="Arial"/>
                <w:color w:val="000000" w:themeColor="text1"/>
                <w:sz w:val="20"/>
                <w:szCs w:val="20"/>
              </w:rPr>
              <w:t>·</w:t>
            </w:r>
            <w:r w:rsidRPr="00C951F0">
              <w:rPr>
                <w:rFonts w:cs="Arial"/>
                <w:color w:val="000000" w:themeColor="text1"/>
                <w:sz w:val="20"/>
                <w:szCs w:val="20"/>
              </w:rPr>
              <w:t>2)</w:t>
            </w:r>
          </w:p>
        </w:tc>
        <w:tc>
          <w:tcPr>
            <w:tcW w:w="647" w:type="pct"/>
            <w:tcBorders>
              <w:left w:val="nil"/>
              <w:bottom w:val="single" w:sz="4" w:space="0" w:color="auto"/>
              <w:right w:val="nil"/>
            </w:tcBorders>
          </w:tcPr>
          <w:p w14:paraId="1594B691" w14:textId="1545461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203 (50</w:t>
            </w:r>
            <w:r w:rsidR="00C5236B" w:rsidRPr="00C951F0">
              <w:rPr>
                <w:rFonts w:cs="Arial"/>
                <w:color w:val="000000" w:themeColor="text1"/>
                <w:sz w:val="20"/>
                <w:szCs w:val="20"/>
              </w:rPr>
              <w:t>·</w:t>
            </w:r>
            <w:r w:rsidRPr="00C951F0">
              <w:rPr>
                <w:rFonts w:cs="Arial"/>
                <w:color w:val="000000" w:themeColor="text1"/>
                <w:sz w:val="20"/>
                <w:szCs w:val="20"/>
              </w:rPr>
              <w:t>4)</w:t>
            </w:r>
          </w:p>
        </w:tc>
        <w:tc>
          <w:tcPr>
            <w:tcW w:w="648" w:type="pct"/>
            <w:tcBorders>
              <w:left w:val="nil"/>
              <w:bottom w:val="single" w:sz="4" w:space="0" w:color="auto"/>
              <w:right w:val="nil"/>
            </w:tcBorders>
          </w:tcPr>
          <w:p w14:paraId="052C99F1" w14:textId="1D9DAFD4"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190 (47</w:t>
            </w:r>
            <w:r w:rsidR="00C5236B" w:rsidRPr="00C951F0">
              <w:rPr>
                <w:rFonts w:cs="Arial"/>
                <w:color w:val="000000" w:themeColor="text1"/>
                <w:sz w:val="20"/>
                <w:szCs w:val="20"/>
              </w:rPr>
              <w:t>·</w:t>
            </w:r>
            <w:r w:rsidRPr="00C951F0">
              <w:rPr>
                <w:rFonts w:cs="Arial"/>
                <w:color w:val="000000" w:themeColor="text1"/>
                <w:sz w:val="20"/>
                <w:szCs w:val="20"/>
              </w:rPr>
              <w:t>1)</w:t>
            </w:r>
          </w:p>
        </w:tc>
        <w:tc>
          <w:tcPr>
            <w:tcW w:w="646" w:type="pct"/>
            <w:tcBorders>
              <w:left w:val="nil"/>
              <w:bottom w:val="single" w:sz="4" w:space="0" w:color="auto"/>
              <w:right w:val="nil"/>
            </w:tcBorders>
          </w:tcPr>
          <w:p w14:paraId="1B1A6E0C" w14:textId="456F0D9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616 (50</w:t>
            </w:r>
            <w:r w:rsidR="00C5236B" w:rsidRPr="00C951F0">
              <w:rPr>
                <w:rFonts w:cs="Arial"/>
                <w:color w:val="000000" w:themeColor="text1"/>
                <w:sz w:val="20"/>
                <w:szCs w:val="20"/>
              </w:rPr>
              <w:t>·</w:t>
            </w:r>
            <w:r w:rsidRPr="00C951F0">
              <w:rPr>
                <w:rFonts w:cs="Arial"/>
                <w:color w:val="000000" w:themeColor="text1"/>
                <w:sz w:val="20"/>
                <w:szCs w:val="20"/>
              </w:rPr>
              <w:t>9)</w:t>
            </w:r>
          </w:p>
        </w:tc>
      </w:tr>
      <w:tr w:rsidR="00C951F0" w:rsidRPr="00C951F0" w14:paraId="3DF04BF5" w14:textId="77777777" w:rsidTr="00934A10">
        <w:tc>
          <w:tcPr>
            <w:tcW w:w="2390" w:type="pct"/>
            <w:tcBorders>
              <w:left w:val="nil"/>
              <w:bottom w:val="nil"/>
              <w:right w:val="nil"/>
            </w:tcBorders>
          </w:tcPr>
          <w:p w14:paraId="748915AB" w14:textId="404EA1E1"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 xml:space="preserve">Race or ethnic group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left w:val="nil"/>
              <w:bottom w:val="nil"/>
              <w:right w:val="nil"/>
            </w:tcBorders>
          </w:tcPr>
          <w:p w14:paraId="4A11376F" w14:textId="77777777" w:rsidR="00B1644A" w:rsidRPr="00C951F0" w:rsidRDefault="00B1644A" w:rsidP="0039543A">
            <w:pPr>
              <w:spacing w:line="240" w:lineRule="auto"/>
              <w:jc w:val="center"/>
              <w:rPr>
                <w:rFonts w:cs="Arial"/>
                <w:color w:val="000000" w:themeColor="text1"/>
                <w:sz w:val="20"/>
                <w:szCs w:val="20"/>
              </w:rPr>
            </w:pPr>
          </w:p>
        </w:tc>
        <w:tc>
          <w:tcPr>
            <w:tcW w:w="647" w:type="pct"/>
            <w:tcBorders>
              <w:left w:val="nil"/>
              <w:bottom w:val="nil"/>
              <w:right w:val="nil"/>
            </w:tcBorders>
          </w:tcPr>
          <w:p w14:paraId="11886FF9" w14:textId="77777777" w:rsidR="00B1644A" w:rsidRPr="00C951F0" w:rsidRDefault="00B1644A" w:rsidP="0039543A">
            <w:pPr>
              <w:spacing w:line="240" w:lineRule="auto"/>
              <w:jc w:val="center"/>
              <w:rPr>
                <w:rFonts w:cs="Arial"/>
                <w:color w:val="000000" w:themeColor="text1"/>
                <w:sz w:val="20"/>
                <w:szCs w:val="20"/>
              </w:rPr>
            </w:pPr>
          </w:p>
        </w:tc>
        <w:tc>
          <w:tcPr>
            <w:tcW w:w="648" w:type="pct"/>
            <w:tcBorders>
              <w:left w:val="nil"/>
              <w:bottom w:val="nil"/>
              <w:right w:val="nil"/>
            </w:tcBorders>
          </w:tcPr>
          <w:p w14:paraId="3A3C6458" w14:textId="77777777" w:rsidR="00B1644A" w:rsidRPr="00C951F0" w:rsidRDefault="00B1644A" w:rsidP="0039543A">
            <w:pPr>
              <w:spacing w:line="240" w:lineRule="auto"/>
              <w:jc w:val="center"/>
              <w:rPr>
                <w:rFonts w:cs="Arial"/>
                <w:color w:val="000000" w:themeColor="text1"/>
                <w:sz w:val="20"/>
                <w:szCs w:val="20"/>
              </w:rPr>
            </w:pPr>
          </w:p>
        </w:tc>
        <w:tc>
          <w:tcPr>
            <w:tcW w:w="646" w:type="pct"/>
            <w:tcBorders>
              <w:left w:val="nil"/>
              <w:bottom w:val="nil"/>
              <w:right w:val="nil"/>
            </w:tcBorders>
          </w:tcPr>
          <w:p w14:paraId="39E26959" w14:textId="77777777" w:rsidR="00B1644A" w:rsidRPr="00C951F0" w:rsidRDefault="00B1644A" w:rsidP="0039543A">
            <w:pPr>
              <w:spacing w:line="240" w:lineRule="auto"/>
              <w:jc w:val="center"/>
              <w:rPr>
                <w:rFonts w:cs="Arial"/>
                <w:color w:val="000000" w:themeColor="text1"/>
                <w:sz w:val="20"/>
                <w:szCs w:val="20"/>
              </w:rPr>
            </w:pPr>
          </w:p>
        </w:tc>
      </w:tr>
      <w:tr w:rsidR="00C951F0" w:rsidRPr="00C951F0" w14:paraId="2A62C68C" w14:textId="77777777" w:rsidTr="00934A10">
        <w:tc>
          <w:tcPr>
            <w:tcW w:w="2390" w:type="pct"/>
            <w:tcBorders>
              <w:top w:val="nil"/>
              <w:left w:val="nil"/>
              <w:bottom w:val="nil"/>
              <w:right w:val="nil"/>
            </w:tcBorders>
          </w:tcPr>
          <w:p w14:paraId="469EBA90"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Asian</w:t>
            </w:r>
          </w:p>
        </w:tc>
        <w:tc>
          <w:tcPr>
            <w:tcW w:w="669" w:type="pct"/>
            <w:tcBorders>
              <w:top w:val="nil"/>
              <w:left w:val="nil"/>
              <w:bottom w:val="nil"/>
              <w:right w:val="nil"/>
            </w:tcBorders>
          </w:tcPr>
          <w:p w14:paraId="526807DE" w14:textId="50692ED3"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112 (27</w:t>
            </w:r>
            <w:r w:rsidR="00C5236B" w:rsidRPr="00C951F0">
              <w:rPr>
                <w:rFonts w:cs="Arial"/>
                <w:color w:val="000000" w:themeColor="text1"/>
                <w:sz w:val="20"/>
                <w:szCs w:val="20"/>
              </w:rPr>
              <w:t>·</w:t>
            </w:r>
            <w:r w:rsidRPr="00C951F0">
              <w:rPr>
                <w:rFonts w:cs="Arial"/>
                <w:color w:val="000000" w:themeColor="text1"/>
                <w:sz w:val="20"/>
                <w:szCs w:val="20"/>
              </w:rPr>
              <w:t>7)</w:t>
            </w:r>
          </w:p>
        </w:tc>
        <w:tc>
          <w:tcPr>
            <w:tcW w:w="647" w:type="pct"/>
            <w:tcBorders>
              <w:top w:val="nil"/>
              <w:left w:val="nil"/>
              <w:bottom w:val="nil"/>
              <w:right w:val="nil"/>
            </w:tcBorders>
          </w:tcPr>
          <w:p w14:paraId="7C02BC84" w14:textId="6E362DBD"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97 (24</w:t>
            </w:r>
            <w:r w:rsidR="00C5236B" w:rsidRPr="00C951F0">
              <w:rPr>
                <w:rFonts w:cs="Arial"/>
                <w:color w:val="000000" w:themeColor="text1"/>
                <w:sz w:val="20"/>
                <w:szCs w:val="20"/>
              </w:rPr>
              <w:t>·</w:t>
            </w:r>
            <w:r w:rsidRPr="00C951F0">
              <w:rPr>
                <w:rFonts w:cs="Arial"/>
                <w:color w:val="000000" w:themeColor="text1"/>
                <w:sz w:val="20"/>
                <w:szCs w:val="20"/>
              </w:rPr>
              <w:t>1)</w:t>
            </w:r>
          </w:p>
        </w:tc>
        <w:tc>
          <w:tcPr>
            <w:tcW w:w="648" w:type="pct"/>
            <w:tcBorders>
              <w:top w:val="nil"/>
              <w:left w:val="nil"/>
              <w:bottom w:val="nil"/>
              <w:right w:val="nil"/>
            </w:tcBorders>
          </w:tcPr>
          <w:p w14:paraId="1007113D" w14:textId="2F85AABD"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108 (26</w:t>
            </w:r>
            <w:r w:rsidR="00C5236B" w:rsidRPr="00C951F0">
              <w:rPr>
                <w:rFonts w:cs="Arial"/>
                <w:color w:val="000000" w:themeColor="text1"/>
                <w:sz w:val="20"/>
                <w:szCs w:val="20"/>
              </w:rPr>
              <w:t>·</w:t>
            </w:r>
            <w:r w:rsidRPr="00C951F0">
              <w:rPr>
                <w:rFonts w:cs="Arial"/>
                <w:color w:val="000000" w:themeColor="text1"/>
                <w:sz w:val="20"/>
                <w:szCs w:val="20"/>
              </w:rPr>
              <w:t>8)</w:t>
            </w:r>
          </w:p>
        </w:tc>
        <w:tc>
          <w:tcPr>
            <w:tcW w:w="646" w:type="pct"/>
            <w:tcBorders>
              <w:top w:val="nil"/>
              <w:left w:val="nil"/>
              <w:bottom w:val="nil"/>
              <w:right w:val="nil"/>
            </w:tcBorders>
          </w:tcPr>
          <w:p w14:paraId="7A2CF93E" w14:textId="35F3F0E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317 (26</w:t>
            </w:r>
            <w:r w:rsidR="00C5236B" w:rsidRPr="00C951F0">
              <w:rPr>
                <w:rFonts w:cs="Arial"/>
                <w:color w:val="000000" w:themeColor="text1"/>
                <w:sz w:val="20"/>
                <w:szCs w:val="20"/>
              </w:rPr>
              <w:t>·</w:t>
            </w:r>
            <w:r w:rsidRPr="00C951F0">
              <w:rPr>
                <w:rFonts w:cs="Arial"/>
                <w:color w:val="000000" w:themeColor="text1"/>
                <w:sz w:val="20"/>
                <w:szCs w:val="20"/>
              </w:rPr>
              <w:t>2)</w:t>
            </w:r>
          </w:p>
        </w:tc>
      </w:tr>
      <w:tr w:rsidR="00C951F0" w:rsidRPr="00C951F0" w14:paraId="300DB548" w14:textId="77777777" w:rsidTr="00934A10">
        <w:tc>
          <w:tcPr>
            <w:tcW w:w="2390" w:type="pct"/>
            <w:tcBorders>
              <w:top w:val="nil"/>
              <w:left w:val="nil"/>
              <w:bottom w:val="nil"/>
              <w:right w:val="nil"/>
            </w:tcBorders>
          </w:tcPr>
          <w:p w14:paraId="2A67A8A0"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Black or African American</w:t>
            </w:r>
          </w:p>
        </w:tc>
        <w:tc>
          <w:tcPr>
            <w:tcW w:w="669" w:type="pct"/>
            <w:tcBorders>
              <w:top w:val="nil"/>
              <w:left w:val="nil"/>
              <w:bottom w:val="nil"/>
              <w:right w:val="nil"/>
            </w:tcBorders>
          </w:tcPr>
          <w:p w14:paraId="65BCCBB4" w14:textId="6A6D7208"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35 (8</w:t>
            </w:r>
            <w:r w:rsidR="00C5236B" w:rsidRPr="00C951F0">
              <w:rPr>
                <w:rFonts w:cs="Arial"/>
                <w:color w:val="000000" w:themeColor="text1"/>
                <w:sz w:val="20"/>
                <w:szCs w:val="20"/>
              </w:rPr>
              <w:t>·</w:t>
            </w:r>
            <w:r w:rsidRPr="00C951F0">
              <w:rPr>
                <w:rFonts w:cs="Arial"/>
                <w:color w:val="000000" w:themeColor="text1"/>
                <w:sz w:val="20"/>
                <w:szCs w:val="20"/>
              </w:rPr>
              <w:t>7)</w:t>
            </w:r>
          </w:p>
        </w:tc>
        <w:tc>
          <w:tcPr>
            <w:tcW w:w="647" w:type="pct"/>
            <w:tcBorders>
              <w:top w:val="nil"/>
              <w:left w:val="nil"/>
              <w:bottom w:val="nil"/>
              <w:right w:val="nil"/>
            </w:tcBorders>
          </w:tcPr>
          <w:p w14:paraId="16DFA078" w14:textId="03BC8BE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28 (6</w:t>
            </w:r>
            <w:r w:rsidR="00C5236B" w:rsidRPr="00C951F0">
              <w:rPr>
                <w:rFonts w:cs="Arial"/>
                <w:color w:val="000000" w:themeColor="text1"/>
                <w:sz w:val="20"/>
                <w:szCs w:val="20"/>
              </w:rPr>
              <w:t>·</w:t>
            </w:r>
            <w:r w:rsidRPr="00C951F0">
              <w:rPr>
                <w:rFonts w:cs="Arial"/>
                <w:color w:val="000000" w:themeColor="text1"/>
                <w:sz w:val="20"/>
                <w:szCs w:val="20"/>
              </w:rPr>
              <w:t>9)</w:t>
            </w:r>
          </w:p>
        </w:tc>
        <w:tc>
          <w:tcPr>
            <w:tcW w:w="648" w:type="pct"/>
            <w:tcBorders>
              <w:top w:val="nil"/>
              <w:left w:val="nil"/>
              <w:bottom w:val="nil"/>
              <w:right w:val="nil"/>
            </w:tcBorders>
          </w:tcPr>
          <w:p w14:paraId="1C1BDA89" w14:textId="734EEA9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37 (9</w:t>
            </w:r>
            <w:r w:rsidR="00C5236B" w:rsidRPr="00C951F0">
              <w:rPr>
                <w:rFonts w:cs="Arial"/>
                <w:color w:val="000000" w:themeColor="text1"/>
                <w:sz w:val="20"/>
                <w:szCs w:val="20"/>
              </w:rPr>
              <w:t>·</w:t>
            </w:r>
            <w:r w:rsidRPr="00C951F0">
              <w:rPr>
                <w:rFonts w:cs="Arial"/>
                <w:color w:val="000000" w:themeColor="text1"/>
                <w:sz w:val="20"/>
                <w:szCs w:val="20"/>
              </w:rPr>
              <w:t>2)</w:t>
            </w:r>
          </w:p>
        </w:tc>
        <w:tc>
          <w:tcPr>
            <w:tcW w:w="646" w:type="pct"/>
            <w:tcBorders>
              <w:top w:val="nil"/>
              <w:left w:val="nil"/>
              <w:bottom w:val="nil"/>
              <w:right w:val="nil"/>
            </w:tcBorders>
          </w:tcPr>
          <w:p w14:paraId="739B836C" w14:textId="358A7102"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100 (8</w:t>
            </w:r>
            <w:r w:rsidR="00C5236B" w:rsidRPr="00C951F0">
              <w:rPr>
                <w:rFonts w:cs="Arial"/>
                <w:color w:val="000000" w:themeColor="text1"/>
                <w:sz w:val="20"/>
                <w:szCs w:val="20"/>
              </w:rPr>
              <w:t>·</w:t>
            </w:r>
            <w:r w:rsidRPr="00C951F0">
              <w:rPr>
                <w:rFonts w:cs="Arial"/>
                <w:color w:val="000000" w:themeColor="text1"/>
                <w:sz w:val="20"/>
                <w:szCs w:val="20"/>
              </w:rPr>
              <w:t>3)</w:t>
            </w:r>
          </w:p>
        </w:tc>
      </w:tr>
      <w:tr w:rsidR="00C951F0" w:rsidRPr="00C951F0" w14:paraId="5DD30BA0" w14:textId="77777777" w:rsidTr="00934A10">
        <w:tc>
          <w:tcPr>
            <w:tcW w:w="2390" w:type="pct"/>
            <w:tcBorders>
              <w:top w:val="nil"/>
              <w:left w:val="nil"/>
              <w:bottom w:val="nil"/>
              <w:right w:val="nil"/>
            </w:tcBorders>
          </w:tcPr>
          <w:p w14:paraId="18F04621"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White</w:t>
            </w:r>
          </w:p>
        </w:tc>
        <w:tc>
          <w:tcPr>
            <w:tcW w:w="669" w:type="pct"/>
            <w:tcBorders>
              <w:top w:val="nil"/>
              <w:left w:val="nil"/>
              <w:bottom w:val="nil"/>
              <w:right w:val="nil"/>
            </w:tcBorders>
          </w:tcPr>
          <w:p w14:paraId="54BF1197" w14:textId="1B1E1E9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237 (58</w:t>
            </w:r>
            <w:r w:rsidR="00C5236B" w:rsidRPr="00C951F0">
              <w:rPr>
                <w:rFonts w:cs="Arial"/>
                <w:color w:val="000000" w:themeColor="text1"/>
                <w:sz w:val="20"/>
                <w:szCs w:val="20"/>
              </w:rPr>
              <w:t>·</w:t>
            </w:r>
            <w:r w:rsidRPr="00C951F0">
              <w:rPr>
                <w:rFonts w:cs="Arial"/>
                <w:color w:val="000000" w:themeColor="text1"/>
                <w:sz w:val="20"/>
                <w:szCs w:val="20"/>
              </w:rPr>
              <w:t>7)</w:t>
            </w:r>
          </w:p>
        </w:tc>
        <w:tc>
          <w:tcPr>
            <w:tcW w:w="647" w:type="pct"/>
            <w:tcBorders>
              <w:top w:val="nil"/>
              <w:left w:val="nil"/>
              <w:bottom w:val="nil"/>
              <w:right w:val="nil"/>
            </w:tcBorders>
          </w:tcPr>
          <w:p w14:paraId="4112B123" w14:textId="6D88378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272 (67</w:t>
            </w:r>
            <w:r w:rsidR="00C5236B" w:rsidRPr="00C951F0">
              <w:rPr>
                <w:rFonts w:cs="Arial"/>
                <w:color w:val="000000" w:themeColor="text1"/>
                <w:sz w:val="20"/>
                <w:szCs w:val="20"/>
              </w:rPr>
              <w:t>·</w:t>
            </w:r>
            <w:r w:rsidRPr="00C951F0">
              <w:rPr>
                <w:rFonts w:cs="Arial"/>
                <w:color w:val="000000" w:themeColor="text1"/>
                <w:sz w:val="20"/>
                <w:szCs w:val="20"/>
              </w:rPr>
              <w:t>5)</w:t>
            </w:r>
          </w:p>
        </w:tc>
        <w:tc>
          <w:tcPr>
            <w:tcW w:w="648" w:type="pct"/>
            <w:tcBorders>
              <w:top w:val="nil"/>
              <w:left w:val="nil"/>
              <w:bottom w:val="nil"/>
              <w:right w:val="nil"/>
            </w:tcBorders>
          </w:tcPr>
          <w:p w14:paraId="0522590B" w14:textId="1DC8455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242 (60</w:t>
            </w:r>
            <w:r w:rsidR="00C5236B" w:rsidRPr="00C951F0">
              <w:rPr>
                <w:rFonts w:cs="Arial"/>
                <w:color w:val="000000" w:themeColor="text1"/>
                <w:sz w:val="20"/>
                <w:szCs w:val="20"/>
              </w:rPr>
              <w:t>·</w:t>
            </w:r>
            <w:r w:rsidRPr="00C951F0">
              <w:rPr>
                <w:rFonts w:cs="Arial"/>
                <w:color w:val="000000" w:themeColor="text1"/>
                <w:sz w:val="20"/>
                <w:szCs w:val="20"/>
              </w:rPr>
              <w:t>0)</w:t>
            </w:r>
          </w:p>
        </w:tc>
        <w:tc>
          <w:tcPr>
            <w:tcW w:w="646" w:type="pct"/>
            <w:tcBorders>
              <w:top w:val="nil"/>
              <w:left w:val="nil"/>
              <w:bottom w:val="nil"/>
              <w:right w:val="nil"/>
            </w:tcBorders>
          </w:tcPr>
          <w:p w14:paraId="11BEBFDC" w14:textId="2718CCBC"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751 (62</w:t>
            </w:r>
            <w:r w:rsidR="00C5236B" w:rsidRPr="00C951F0">
              <w:rPr>
                <w:rFonts w:cs="Arial"/>
                <w:color w:val="000000" w:themeColor="text1"/>
                <w:sz w:val="20"/>
                <w:szCs w:val="20"/>
              </w:rPr>
              <w:t>·</w:t>
            </w:r>
            <w:r w:rsidRPr="00C951F0">
              <w:rPr>
                <w:rFonts w:cs="Arial"/>
                <w:color w:val="000000" w:themeColor="text1"/>
                <w:sz w:val="20"/>
                <w:szCs w:val="20"/>
              </w:rPr>
              <w:t>1)</w:t>
            </w:r>
          </w:p>
        </w:tc>
      </w:tr>
      <w:tr w:rsidR="00C951F0" w:rsidRPr="00C951F0" w14:paraId="4A208A7E" w14:textId="77777777" w:rsidTr="00934A10">
        <w:tc>
          <w:tcPr>
            <w:tcW w:w="2390" w:type="pct"/>
            <w:tcBorders>
              <w:top w:val="nil"/>
              <w:left w:val="nil"/>
              <w:right w:val="nil"/>
            </w:tcBorders>
          </w:tcPr>
          <w:p w14:paraId="0471D584"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Other*</w:t>
            </w:r>
          </w:p>
        </w:tc>
        <w:tc>
          <w:tcPr>
            <w:tcW w:w="669" w:type="pct"/>
            <w:tcBorders>
              <w:top w:val="nil"/>
              <w:left w:val="nil"/>
              <w:right w:val="nil"/>
            </w:tcBorders>
          </w:tcPr>
          <w:p w14:paraId="1E18DB02" w14:textId="7D730FA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20 (5</w:t>
            </w:r>
            <w:r w:rsidR="00C5236B" w:rsidRPr="00C951F0">
              <w:rPr>
                <w:rFonts w:cs="Arial"/>
                <w:color w:val="000000" w:themeColor="text1"/>
                <w:sz w:val="20"/>
                <w:szCs w:val="20"/>
              </w:rPr>
              <w:t>·</w:t>
            </w:r>
            <w:r w:rsidRPr="00C951F0">
              <w:rPr>
                <w:rFonts w:cs="Arial"/>
                <w:color w:val="000000" w:themeColor="text1"/>
                <w:sz w:val="20"/>
                <w:szCs w:val="20"/>
              </w:rPr>
              <w:t>0)</w:t>
            </w:r>
          </w:p>
        </w:tc>
        <w:tc>
          <w:tcPr>
            <w:tcW w:w="647" w:type="pct"/>
            <w:tcBorders>
              <w:top w:val="nil"/>
              <w:left w:val="nil"/>
              <w:right w:val="nil"/>
            </w:tcBorders>
          </w:tcPr>
          <w:p w14:paraId="3A969C17" w14:textId="422B6A55"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6 (1</w:t>
            </w:r>
            <w:r w:rsidR="00C5236B" w:rsidRPr="00C951F0">
              <w:rPr>
                <w:rFonts w:cs="Arial"/>
                <w:color w:val="000000" w:themeColor="text1"/>
                <w:sz w:val="20"/>
                <w:szCs w:val="20"/>
              </w:rPr>
              <w:t>·</w:t>
            </w:r>
            <w:r w:rsidRPr="00C951F0">
              <w:rPr>
                <w:rFonts w:cs="Arial"/>
                <w:color w:val="000000" w:themeColor="text1"/>
                <w:sz w:val="20"/>
                <w:szCs w:val="20"/>
              </w:rPr>
              <w:t>5)</w:t>
            </w:r>
          </w:p>
        </w:tc>
        <w:tc>
          <w:tcPr>
            <w:tcW w:w="648" w:type="pct"/>
            <w:tcBorders>
              <w:top w:val="nil"/>
              <w:left w:val="nil"/>
              <w:right w:val="nil"/>
            </w:tcBorders>
          </w:tcPr>
          <w:p w14:paraId="3EEEF952" w14:textId="169B067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16 (4</w:t>
            </w:r>
            <w:r w:rsidR="00C5236B" w:rsidRPr="00C951F0">
              <w:rPr>
                <w:rFonts w:cs="Arial"/>
                <w:color w:val="000000" w:themeColor="text1"/>
                <w:sz w:val="20"/>
                <w:szCs w:val="20"/>
              </w:rPr>
              <w:t>·</w:t>
            </w:r>
            <w:r w:rsidRPr="00C951F0">
              <w:rPr>
                <w:rFonts w:cs="Arial"/>
                <w:color w:val="000000" w:themeColor="text1"/>
                <w:sz w:val="20"/>
                <w:szCs w:val="20"/>
              </w:rPr>
              <w:t>0)</w:t>
            </w:r>
          </w:p>
        </w:tc>
        <w:tc>
          <w:tcPr>
            <w:tcW w:w="646" w:type="pct"/>
            <w:tcBorders>
              <w:top w:val="nil"/>
              <w:left w:val="nil"/>
              <w:right w:val="nil"/>
            </w:tcBorders>
          </w:tcPr>
          <w:p w14:paraId="70DF85E5" w14:textId="5452BC12"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42 (3</w:t>
            </w:r>
            <w:r w:rsidR="00C5236B" w:rsidRPr="00C951F0">
              <w:rPr>
                <w:rFonts w:cs="Arial"/>
                <w:color w:val="000000" w:themeColor="text1"/>
                <w:sz w:val="20"/>
                <w:szCs w:val="20"/>
              </w:rPr>
              <w:t>·</w:t>
            </w:r>
            <w:r w:rsidRPr="00C951F0">
              <w:rPr>
                <w:rFonts w:cs="Arial"/>
                <w:color w:val="000000" w:themeColor="text1"/>
                <w:sz w:val="20"/>
                <w:szCs w:val="20"/>
              </w:rPr>
              <w:t>5)</w:t>
            </w:r>
          </w:p>
        </w:tc>
      </w:tr>
      <w:tr w:rsidR="00C951F0" w:rsidRPr="00C951F0" w14:paraId="689282E9" w14:textId="77777777" w:rsidTr="00934A10">
        <w:tc>
          <w:tcPr>
            <w:tcW w:w="2390" w:type="pct"/>
            <w:tcBorders>
              <w:left w:val="nil"/>
              <w:right w:val="nil"/>
            </w:tcBorders>
          </w:tcPr>
          <w:p w14:paraId="5D6DD79E" w14:textId="23A515C6"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 xml:space="preserve">Hispanic or Latino ethnic group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left w:val="nil"/>
              <w:right w:val="nil"/>
            </w:tcBorders>
          </w:tcPr>
          <w:p w14:paraId="59F5AC0D" w14:textId="0505E00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47 (11</w:t>
            </w:r>
            <w:r w:rsidR="00C5236B" w:rsidRPr="00C951F0">
              <w:rPr>
                <w:rFonts w:cs="Arial"/>
                <w:color w:val="000000" w:themeColor="text1"/>
                <w:sz w:val="20"/>
                <w:szCs w:val="20"/>
              </w:rPr>
              <w:t>·</w:t>
            </w:r>
            <w:r w:rsidRPr="00C951F0">
              <w:rPr>
                <w:rFonts w:cs="Arial"/>
                <w:color w:val="000000" w:themeColor="text1"/>
                <w:sz w:val="20"/>
                <w:szCs w:val="20"/>
              </w:rPr>
              <w:t>6)</w:t>
            </w:r>
          </w:p>
        </w:tc>
        <w:tc>
          <w:tcPr>
            <w:tcW w:w="647" w:type="pct"/>
            <w:tcBorders>
              <w:left w:val="nil"/>
              <w:right w:val="nil"/>
            </w:tcBorders>
          </w:tcPr>
          <w:p w14:paraId="40D65EE4" w14:textId="4D7005B8"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59 (14</w:t>
            </w:r>
            <w:r w:rsidR="00C5236B" w:rsidRPr="00C951F0">
              <w:rPr>
                <w:rFonts w:cs="Arial"/>
                <w:color w:val="000000" w:themeColor="text1"/>
                <w:sz w:val="20"/>
                <w:szCs w:val="20"/>
              </w:rPr>
              <w:t>·</w:t>
            </w:r>
            <w:r w:rsidRPr="00C951F0">
              <w:rPr>
                <w:rFonts w:cs="Arial"/>
                <w:color w:val="000000" w:themeColor="text1"/>
                <w:sz w:val="20"/>
                <w:szCs w:val="20"/>
              </w:rPr>
              <w:t>6)</w:t>
            </w:r>
          </w:p>
        </w:tc>
        <w:tc>
          <w:tcPr>
            <w:tcW w:w="648" w:type="pct"/>
            <w:tcBorders>
              <w:left w:val="nil"/>
              <w:right w:val="nil"/>
            </w:tcBorders>
          </w:tcPr>
          <w:p w14:paraId="7B032771" w14:textId="5D983EE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49 (12</w:t>
            </w:r>
            <w:r w:rsidR="00C5236B" w:rsidRPr="00C951F0">
              <w:rPr>
                <w:rFonts w:cs="Arial"/>
                <w:color w:val="000000" w:themeColor="text1"/>
                <w:sz w:val="20"/>
                <w:szCs w:val="20"/>
              </w:rPr>
              <w:t>·</w:t>
            </w:r>
            <w:r w:rsidRPr="00C951F0">
              <w:rPr>
                <w:rFonts w:cs="Arial"/>
                <w:color w:val="000000" w:themeColor="text1"/>
                <w:sz w:val="20"/>
                <w:szCs w:val="20"/>
              </w:rPr>
              <w:t>2)</w:t>
            </w:r>
          </w:p>
        </w:tc>
        <w:tc>
          <w:tcPr>
            <w:tcW w:w="646" w:type="pct"/>
            <w:tcBorders>
              <w:left w:val="nil"/>
              <w:right w:val="nil"/>
            </w:tcBorders>
          </w:tcPr>
          <w:p w14:paraId="430D195B" w14:textId="34B1322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155 (12</w:t>
            </w:r>
            <w:r w:rsidR="00C5236B" w:rsidRPr="00C951F0">
              <w:rPr>
                <w:rFonts w:cs="Arial"/>
                <w:color w:val="000000" w:themeColor="text1"/>
                <w:sz w:val="20"/>
                <w:szCs w:val="20"/>
              </w:rPr>
              <w:t>·</w:t>
            </w:r>
            <w:r w:rsidRPr="00C951F0">
              <w:rPr>
                <w:rFonts w:cs="Arial"/>
                <w:color w:val="000000" w:themeColor="text1"/>
                <w:sz w:val="20"/>
                <w:szCs w:val="20"/>
              </w:rPr>
              <w:t>8)</w:t>
            </w:r>
          </w:p>
        </w:tc>
      </w:tr>
      <w:tr w:rsidR="00C951F0" w:rsidRPr="00C951F0" w14:paraId="64F608D0" w14:textId="77777777" w:rsidTr="00934A10">
        <w:tc>
          <w:tcPr>
            <w:tcW w:w="2390" w:type="pct"/>
            <w:tcBorders>
              <w:left w:val="nil"/>
              <w:bottom w:val="single" w:sz="4" w:space="0" w:color="auto"/>
              <w:right w:val="nil"/>
            </w:tcBorders>
          </w:tcPr>
          <w:p w14:paraId="57B51017" w14:textId="0F410907"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 xml:space="preserve">Body weight </w:t>
            </w:r>
            <w:r w:rsidR="00D2651E" w:rsidRPr="00C951F0">
              <w:rPr>
                <w:rFonts w:cs="Arial"/>
                <w:color w:val="000000" w:themeColor="text1"/>
                <w:sz w:val="20"/>
                <w:szCs w:val="20"/>
              </w:rPr>
              <w:t>—</w:t>
            </w:r>
            <w:r w:rsidRPr="00C951F0">
              <w:rPr>
                <w:rFonts w:cs="Arial"/>
                <w:color w:val="000000" w:themeColor="text1"/>
                <w:sz w:val="20"/>
                <w:szCs w:val="20"/>
              </w:rPr>
              <w:t xml:space="preserve"> kg</w:t>
            </w:r>
          </w:p>
        </w:tc>
        <w:tc>
          <w:tcPr>
            <w:tcW w:w="669" w:type="pct"/>
            <w:tcBorders>
              <w:left w:val="nil"/>
              <w:bottom w:val="single" w:sz="4" w:space="0" w:color="auto"/>
              <w:right w:val="nil"/>
            </w:tcBorders>
          </w:tcPr>
          <w:p w14:paraId="58372E53" w14:textId="5A592B43"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99</w:t>
            </w:r>
            <w:r w:rsidR="00C5236B" w:rsidRPr="00C951F0">
              <w:rPr>
                <w:rFonts w:cs="Arial"/>
                <w:color w:val="000000" w:themeColor="text1"/>
                <w:sz w:val="20"/>
                <w:szCs w:val="20"/>
              </w:rPr>
              <w:t>·</w:t>
            </w:r>
            <w:r w:rsidRPr="00C951F0">
              <w:rPr>
                <w:rFonts w:cs="Arial"/>
                <w:color w:val="000000" w:themeColor="text1"/>
                <w:sz w:val="20"/>
                <w:szCs w:val="20"/>
              </w:rPr>
              <w:t>9 ± 22</w:t>
            </w:r>
            <w:r w:rsidR="00C5236B" w:rsidRPr="00C951F0">
              <w:rPr>
                <w:rFonts w:cs="Arial"/>
                <w:color w:val="000000" w:themeColor="text1"/>
                <w:sz w:val="20"/>
                <w:szCs w:val="20"/>
              </w:rPr>
              <w:t>·</w:t>
            </w:r>
            <w:r w:rsidRPr="00C951F0">
              <w:rPr>
                <w:rFonts w:cs="Arial"/>
                <w:color w:val="000000" w:themeColor="text1"/>
                <w:sz w:val="20"/>
                <w:szCs w:val="20"/>
              </w:rPr>
              <w:t>5</w:t>
            </w:r>
          </w:p>
        </w:tc>
        <w:tc>
          <w:tcPr>
            <w:tcW w:w="647" w:type="pct"/>
            <w:tcBorders>
              <w:left w:val="nil"/>
              <w:bottom w:val="single" w:sz="4" w:space="0" w:color="auto"/>
              <w:right w:val="nil"/>
            </w:tcBorders>
          </w:tcPr>
          <w:p w14:paraId="57F91C8A" w14:textId="32EFC285"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99</w:t>
            </w:r>
            <w:r w:rsidR="00C5236B" w:rsidRPr="00C951F0">
              <w:rPr>
                <w:rFonts w:cs="Arial"/>
                <w:color w:val="000000" w:themeColor="text1"/>
                <w:sz w:val="20"/>
                <w:szCs w:val="20"/>
              </w:rPr>
              <w:t>·</w:t>
            </w:r>
            <w:r w:rsidRPr="00C951F0">
              <w:rPr>
                <w:rFonts w:cs="Arial"/>
                <w:color w:val="000000" w:themeColor="text1"/>
                <w:sz w:val="20"/>
                <w:szCs w:val="20"/>
              </w:rPr>
              <w:t>0 ± 21</w:t>
            </w:r>
            <w:r w:rsidR="00C5236B" w:rsidRPr="00C951F0">
              <w:rPr>
                <w:rFonts w:cs="Arial"/>
                <w:color w:val="000000" w:themeColor="text1"/>
                <w:sz w:val="20"/>
                <w:szCs w:val="20"/>
              </w:rPr>
              <w:t>·</w:t>
            </w:r>
            <w:r w:rsidRPr="00C951F0">
              <w:rPr>
                <w:rFonts w:cs="Arial"/>
                <w:color w:val="000000" w:themeColor="text1"/>
                <w:sz w:val="20"/>
                <w:szCs w:val="20"/>
              </w:rPr>
              <w:t>1</w:t>
            </w:r>
          </w:p>
        </w:tc>
        <w:tc>
          <w:tcPr>
            <w:tcW w:w="648" w:type="pct"/>
            <w:tcBorders>
              <w:left w:val="nil"/>
              <w:bottom w:val="single" w:sz="4" w:space="0" w:color="auto"/>
              <w:right w:val="nil"/>
            </w:tcBorders>
          </w:tcPr>
          <w:p w14:paraId="0AC8B3AD" w14:textId="11F10C8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100</w:t>
            </w:r>
            <w:r w:rsidR="00C5236B" w:rsidRPr="00C951F0">
              <w:rPr>
                <w:rFonts w:cs="Arial"/>
                <w:color w:val="000000" w:themeColor="text1"/>
                <w:sz w:val="20"/>
                <w:szCs w:val="20"/>
              </w:rPr>
              <w:t>·</w:t>
            </w:r>
            <w:r w:rsidRPr="00C951F0">
              <w:rPr>
                <w:rFonts w:cs="Arial"/>
                <w:color w:val="000000" w:themeColor="text1"/>
                <w:sz w:val="20"/>
                <w:szCs w:val="20"/>
              </w:rPr>
              <w:t>5 ± 20</w:t>
            </w:r>
            <w:r w:rsidR="00C5236B" w:rsidRPr="00C951F0">
              <w:rPr>
                <w:rFonts w:cs="Arial"/>
                <w:color w:val="000000" w:themeColor="text1"/>
                <w:sz w:val="20"/>
                <w:szCs w:val="20"/>
              </w:rPr>
              <w:t>·</w:t>
            </w:r>
            <w:r w:rsidRPr="00C951F0">
              <w:rPr>
                <w:rFonts w:cs="Arial"/>
                <w:color w:val="000000" w:themeColor="text1"/>
                <w:sz w:val="20"/>
                <w:szCs w:val="20"/>
              </w:rPr>
              <w:t>9</w:t>
            </w:r>
          </w:p>
        </w:tc>
        <w:tc>
          <w:tcPr>
            <w:tcW w:w="646" w:type="pct"/>
            <w:tcBorders>
              <w:left w:val="nil"/>
              <w:bottom w:val="single" w:sz="4" w:space="0" w:color="auto"/>
              <w:right w:val="nil"/>
            </w:tcBorders>
          </w:tcPr>
          <w:p w14:paraId="50A1A9A5" w14:textId="649622BB"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99</w:t>
            </w:r>
            <w:r w:rsidR="00C5236B" w:rsidRPr="00C951F0">
              <w:rPr>
                <w:rFonts w:cs="Arial"/>
                <w:color w:val="000000" w:themeColor="text1"/>
                <w:sz w:val="20"/>
                <w:szCs w:val="20"/>
              </w:rPr>
              <w:t>·</w:t>
            </w:r>
            <w:r w:rsidRPr="00C951F0">
              <w:rPr>
                <w:rFonts w:cs="Arial"/>
                <w:color w:val="000000" w:themeColor="text1"/>
                <w:sz w:val="20"/>
                <w:szCs w:val="20"/>
              </w:rPr>
              <w:t>8 ± 21</w:t>
            </w:r>
            <w:r w:rsidR="00C5236B" w:rsidRPr="00C951F0">
              <w:rPr>
                <w:rFonts w:cs="Arial"/>
                <w:color w:val="000000" w:themeColor="text1"/>
                <w:sz w:val="20"/>
                <w:szCs w:val="20"/>
              </w:rPr>
              <w:t>·</w:t>
            </w:r>
            <w:r w:rsidRPr="00C951F0">
              <w:rPr>
                <w:rFonts w:cs="Arial"/>
                <w:color w:val="000000" w:themeColor="text1"/>
                <w:sz w:val="20"/>
                <w:szCs w:val="20"/>
              </w:rPr>
              <w:t>5</w:t>
            </w:r>
          </w:p>
        </w:tc>
      </w:tr>
      <w:tr w:rsidR="00C951F0" w:rsidRPr="00C951F0" w14:paraId="6C3D39B4" w14:textId="77777777" w:rsidTr="00934A10">
        <w:tc>
          <w:tcPr>
            <w:tcW w:w="2390" w:type="pct"/>
            <w:tcBorders>
              <w:left w:val="nil"/>
              <w:bottom w:val="nil"/>
              <w:right w:val="nil"/>
            </w:tcBorders>
          </w:tcPr>
          <w:p w14:paraId="17C6026C" w14:textId="3326ACAD" w:rsidR="003063B5" w:rsidRPr="00C951F0" w:rsidRDefault="003063B5" w:rsidP="0039543A">
            <w:pPr>
              <w:spacing w:line="240" w:lineRule="auto"/>
              <w:rPr>
                <w:rFonts w:cs="Arial"/>
                <w:color w:val="000000" w:themeColor="text1"/>
                <w:sz w:val="20"/>
                <w:szCs w:val="20"/>
              </w:rPr>
            </w:pPr>
            <w:r w:rsidRPr="00C951F0">
              <w:rPr>
                <w:rFonts w:cs="Arial"/>
                <w:color w:val="000000" w:themeColor="text1"/>
                <w:sz w:val="20"/>
                <w:szCs w:val="20"/>
              </w:rPr>
              <w:t>BMI</w:t>
            </w:r>
          </w:p>
        </w:tc>
        <w:tc>
          <w:tcPr>
            <w:tcW w:w="669" w:type="pct"/>
            <w:tcBorders>
              <w:left w:val="nil"/>
              <w:bottom w:val="nil"/>
              <w:right w:val="nil"/>
            </w:tcBorders>
          </w:tcPr>
          <w:p w14:paraId="2257B836" w14:textId="77777777" w:rsidR="003063B5" w:rsidRPr="00C951F0" w:rsidRDefault="003063B5" w:rsidP="0039543A">
            <w:pPr>
              <w:spacing w:line="240" w:lineRule="auto"/>
              <w:jc w:val="center"/>
              <w:rPr>
                <w:rFonts w:cs="Arial"/>
                <w:color w:val="000000" w:themeColor="text1"/>
                <w:sz w:val="20"/>
                <w:szCs w:val="20"/>
              </w:rPr>
            </w:pPr>
          </w:p>
        </w:tc>
        <w:tc>
          <w:tcPr>
            <w:tcW w:w="647" w:type="pct"/>
            <w:tcBorders>
              <w:left w:val="nil"/>
              <w:bottom w:val="nil"/>
              <w:right w:val="nil"/>
            </w:tcBorders>
          </w:tcPr>
          <w:p w14:paraId="1A42B454" w14:textId="77777777" w:rsidR="003063B5" w:rsidRPr="00C951F0" w:rsidRDefault="003063B5" w:rsidP="0039543A">
            <w:pPr>
              <w:spacing w:line="240" w:lineRule="auto"/>
              <w:jc w:val="center"/>
              <w:rPr>
                <w:rFonts w:cs="Arial"/>
                <w:color w:val="000000" w:themeColor="text1"/>
                <w:sz w:val="20"/>
                <w:szCs w:val="20"/>
              </w:rPr>
            </w:pPr>
          </w:p>
        </w:tc>
        <w:tc>
          <w:tcPr>
            <w:tcW w:w="648" w:type="pct"/>
            <w:tcBorders>
              <w:left w:val="nil"/>
              <w:bottom w:val="nil"/>
              <w:right w:val="nil"/>
            </w:tcBorders>
          </w:tcPr>
          <w:p w14:paraId="0C0CC3A6" w14:textId="77777777" w:rsidR="003063B5" w:rsidRPr="00C951F0" w:rsidRDefault="003063B5" w:rsidP="0039543A">
            <w:pPr>
              <w:spacing w:line="240" w:lineRule="auto"/>
              <w:jc w:val="center"/>
              <w:rPr>
                <w:rFonts w:cs="Arial"/>
                <w:color w:val="000000" w:themeColor="text1"/>
                <w:sz w:val="20"/>
                <w:szCs w:val="20"/>
              </w:rPr>
            </w:pPr>
          </w:p>
        </w:tc>
        <w:tc>
          <w:tcPr>
            <w:tcW w:w="646" w:type="pct"/>
            <w:tcBorders>
              <w:left w:val="nil"/>
              <w:bottom w:val="nil"/>
              <w:right w:val="nil"/>
            </w:tcBorders>
          </w:tcPr>
          <w:p w14:paraId="60BA7592" w14:textId="77777777" w:rsidR="003063B5" w:rsidRPr="00C951F0" w:rsidRDefault="003063B5" w:rsidP="0039543A">
            <w:pPr>
              <w:spacing w:line="240" w:lineRule="auto"/>
              <w:jc w:val="center"/>
              <w:rPr>
                <w:rFonts w:cs="Arial"/>
                <w:color w:val="000000" w:themeColor="text1"/>
                <w:sz w:val="20"/>
                <w:szCs w:val="20"/>
              </w:rPr>
            </w:pPr>
          </w:p>
        </w:tc>
      </w:tr>
      <w:tr w:rsidR="00C951F0" w:rsidRPr="00C951F0" w14:paraId="45399A27" w14:textId="77777777" w:rsidTr="00934A10">
        <w:tc>
          <w:tcPr>
            <w:tcW w:w="2390" w:type="pct"/>
            <w:tcBorders>
              <w:top w:val="nil"/>
              <w:left w:val="nil"/>
              <w:bottom w:val="nil"/>
              <w:right w:val="nil"/>
            </w:tcBorders>
          </w:tcPr>
          <w:p w14:paraId="67B50E81" w14:textId="3ABBDFB8"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 xml:space="preserve">Mean </w:t>
            </w:r>
            <w:r w:rsidR="00D2651E" w:rsidRPr="00C951F0">
              <w:rPr>
                <w:rFonts w:cs="Arial"/>
                <w:color w:val="000000" w:themeColor="text1"/>
                <w:sz w:val="20"/>
                <w:szCs w:val="20"/>
              </w:rPr>
              <w:t>—</w:t>
            </w:r>
            <w:r w:rsidRPr="00C951F0">
              <w:rPr>
                <w:rFonts w:cs="Arial"/>
                <w:color w:val="000000" w:themeColor="text1"/>
                <w:sz w:val="20"/>
                <w:szCs w:val="20"/>
              </w:rPr>
              <w:t xml:space="preserve"> kg/m</w:t>
            </w:r>
            <w:r w:rsidRPr="00C951F0">
              <w:rPr>
                <w:rFonts w:cs="Arial"/>
                <w:color w:val="000000" w:themeColor="text1"/>
                <w:sz w:val="20"/>
                <w:szCs w:val="20"/>
                <w:vertAlign w:val="superscript"/>
              </w:rPr>
              <w:t>2</w:t>
            </w:r>
          </w:p>
        </w:tc>
        <w:tc>
          <w:tcPr>
            <w:tcW w:w="669" w:type="pct"/>
            <w:tcBorders>
              <w:top w:val="nil"/>
              <w:left w:val="nil"/>
              <w:bottom w:val="nil"/>
              <w:right w:val="nil"/>
            </w:tcBorders>
          </w:tcPr>
          <w:p w14:paraId="4BB0EAF2" w14:textId="2CC3CA13"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35</w:t>
            </w:r>
            <w:r w:rsidR="00C5236B" w:rsidRPr="00C951F0">
              <w:rPr>
                <w:rFonts w:cs="Arial"/>
                <w:color w:val="000000" w:themeColor="text1"/>
                <w:sz w:val="20"/>
                <w:szCs w:val="20"/>
              </w:rPr>
              <w:t>·</w:t>
            </w:r>
            <w:r w:rsidRPr="00C951F0">
              <w:rPr>
                <w:rFonts w:cs="Arial"/>
                <w:color w:val="000000" w:themeColor="text1"/>
                <w:sz w:val="20"/>
                <w:szCs w:val="20"/>
              </w:rPr>
              <w:t>9 ± 6</w:t>
            </w:r>
            <w:r w:rsidR="00C5236B" w:rsidRPr="00C951F0">
              <w:rPr>
                <w:rFonts w:cs="Arial"/>
                <w:color w:val="000000" w:themeColor="text1"/>
                <w:sz w:val="20"/>
                <w:szCs w:val="20"/>
              </w:rPr>
              <w:t>·</w:t>
            </w:r>
            <w:r w:rsidRPr="00C951F0">
              <w:rPr>
                <w:rFonts w:cs="Arial"/>
                <w:color w:val="000000" w:themeColor="text1"/>
                <w:sz w:val="20"/>
                <w:szCs w:val="20"/>
              </w:rPr>
              <w:t>4</w:t>
            </w:r>
          </w:p>
        </w:tc>
        <w:tc>
          <w:tcPr>
            <w:tcW w:w="647" w:type="pct"/>
            <w:tcBorders>
              <w:top w:val="nil"/>
              <w:left w:val="nil"/>
              <w:bottom w:val="nil"/>
              <w:right w:val="nil"/>
            </w:tcBorders>
          </w:tcPr>
          <w:p w14:paraId="653B74D4" w14:textId="27B801A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35</w:t>
            </w:r>
            <w:r w:rsidR="00C5236B" w:rsidRPr="00C951F0">
              <w:rPr>
                <w:rFonts w:cs="Arial"/>
                <w:color w:val="000000" w:themeColor="text1"/>
                <w:sz w:val="20"/>
                <w:szCs w:val="20"/>
              </w:rPr>
              <w:t>·</w:t>
            </w:r>
            <w:r w:rsidRPr="00C951F0">
              <w:rPr>
                <w:rFonts w:cs="Arial"/>
                <w:color w:val="000000" w:themeColor="text1"/>
                <w:sz w:val="20"/>
                <w:szCs w:val="20"/>
              </w:rPr>
              <w:t>3 ± 5</w:t>
            </w:r>
            <w:r w:rsidR="00C5236B" w:rsidRPr="00C951F0">
              <w:rPr>
                <w:rFonts w:cs="Arial"/>
                <w:color w:val="000000" w:themeColor="text1"/>
                <w:sz w:val="20"/>
                <w:szCs w:val="20"/>
              </w:rPr>
              <w:t>·</w:t>
            </w:r>
            <w:r w:rsidRPr="00C951F0">
              <w:rPr>
                <w:rFonts w:cs="Arial"/>
                <w:color w:val="000000" w:themeColor="text1"/>
                <w:sz w:val="20"/>
                <w:szCs w:val="20"/>
              </w:rPr>
              <w:t>9</w:t>
            </w:r>
          </w:p>
        </w:tc>
        <w:tc>
          <w:tcPr>
            <w:tcW w:w="648" w:type="pct"/>
            <w:tcBorders>
              <w:top w:val="nil"/>
              <w:left w:val="nil"/>
              <w:bottom w:val="nil"/>
              <w:right w:val="nil"/>
            </w:tcBorders>
          </w:tcPr>
          <w:p w14:paraId="09D512F2" w14:textId="5A64A36B"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35</w:t>
            </w:r>
            <w:r w:rsidR="00C5236B" w:rsidRPr="00C951F0">
              <w:rPr>
                <w:rFonts w:cs="Arial"/>
                <w:color w:val="000000" w:themeColor="text1"/>
                <w:sz w:val="20"/>
                <w:szCs w:val="20"/>
              </w:rPr>
              <w:t>·</w:t>
            </w:r>
            <w:r w:rsidRPr="00C951F0">
              <w:rPr>
                <w:rFonts w:cs="Arial"/>
                <w:color w:val="000000" w:themeColor="text1"/>
                <w:sz w:val="20"/>
                <w:szCs w:val="20"/>
              </w:rPr>
              <w:t>9 ± 6</w:t>
            </w:r>
            <w:r w:rsidR="00C5236B" w:rsidRPr="00C951F0">
              <w:rPr>
                <w:rFonts w:cs="Arial"/>
                <w:color w:val="000000" w:themeColor="text1"/>
                <w:sz w:val="20"/>
                <w:szCs w:val="20"/>
              </w:rPr>
              <w:t>·</w:t>
            </w:r>
            <w:r w:rsidRPr="00C951F0">
              <w:rPr>
                <w:rFonts w:cs="Arial"/>
                <w:color w:val="000000" w:themeColor="text1"/>
                <w:sz w:val="20"/>
                <w:szCs w:val="20"/>
              </w:rPr>
              <w:t>5</w:t>
            </w:r>
          </w:p>
        </w:tc>
        <w:tc>
          <w:tcPr>
            <w:tcW w:w="646" w:type="pct"/>
            <w:tcBorders>
              <w:top w:val="nil"/>
              <w:left w:val="nil"/>
              <w:bottom w:val="nil"/>
              <w:right w:val="nil"/>
            </w:tcBorders>
          </w:tcPr>
          <w:p w14:paraId="3458942F" w14:textId="2527B7C4"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35</w:t>
            </w:r>
            <w:r w:rsidR="00C5236B" w:rsidRPr="00C951F0">
              <w:rPr>
                <w:rFonts w:cs="Arial"/>
                <w:color w:val="000000" w:themeColor="text1"/>
                <w:sz w:val="20"/>
                <w:szCs w:val="20"/>
              </w:rPr>
              <w:t>·</w:t>
            </w:r>
            <w:r w:rsidRPr="00C951F0">
              <w:rPr>
                <w:rFonts w:cs="Arial"/>
                <w:color w:val="000000" w:themeColor="text1"/>
                <w:sz w:val="20"/>
                <w:szCs w:val="20"/>
              </w:rPr>
              <w:t>7 ± 6</w:t>
            </w:r>
            <w:r w:rsidR="00C5236B" w:rsidRPr="00C951F0">
              <w:rPr>
                <w:rFonts w:cs="Arial"/>
                <w:color w:val="000000" w:themeColor="text1"/>
                <w:sz w:val="20"/>
                <w:szCs w:val="20"/>
              </w:rPr>
              <w:t>·</w:t>
            </w:r>
            <w:r w:rsidRPr="00C951F0">
              <w:rPr>
                <w:rFonts w:cs="Arial"/>
                <w:color w:val="000000" w:themeColor="text1"/>
                <w:sz w:val="20"/>
                <w:szCs w:val="20"/>
              </w:rPr>
              <w:t>3</w:t>
            </w:r>
          </w:p>
        </w:tc>
      </w:tr>
      <w:tr w:rsidR="00C951F0" w:rsidRPr="00C951F0" w14:paraId="3893328F" w14:textId="77777777" w:rsidTr="00934A10">
        <w:tc>
          <w:tcPr>
            <w:tcW w:w="2390" w:type="pct"/>
            <w:tcBorders>
              <w:top w:val="nil"/>
              <w:left w:val="nil"/>
              <w:bottom w:val="nil"/>
              <w:right w:val="nil"/>
            </w:tcBorders>
          </w:tcPr>
          <w:p w14:paraId="4DDBA428" w14:textId="2C6437F5" w:rsidR="00B1644A" w:rsidRPr="00C951F0" w:rsidRDefault="00B1644A" w:rsidP="0039543A">
            <w:pPr>
              <w:spacing w:line="240" w:lineRule="auto"/>
              <w:ind w:left="309"/>
              <w:rPr>
                <w:rFonts w:cs="Arial"/>
                <w:color w:val="000000" w:themeColor="text1"/>
                <w:sz w:val="20"/>
                <w:szCs w:val="20"/>
              </w:rPr>
            </w:pPr>
            <w:r w:rsidRPr="00C951F0">
              <w:rPr>
                <w:rFonts w:cs="Arial"/>
                <w:color w:val="000000" w:themeColor="text1"/>
                <w:sz w:val="20"/>
                <w:szCs w:val="20"/>
              </w:rPr>
              <w:t>&lt;30 kg/m</w:t>
            </w:r>
            <w:r w:rsidRPr="00C951F0">
              <w:rPr>
                <w:rFonts w:cs="Arial"/>
                <w:color w:val="000000" w:themeColor="text1"/>
                <w:sz w:val="20"/>
                <w:szCs w:val="20"/>
                <w:vertAlign w:val="superscript"/>
              </w:rPr>
              <w:t>2</w:t>
            </w:r>
            <w:r w:rsidRPr="00C951F0">
              <w:rPr>
                <w:rFonts w:cs="Arial"/>
                <w:color w:val="000000" w:themeColor="text1"/>
                <w:sz w:val="20"/>
                <w:szCs w:val="20"/>
              </w:rPr>
              <w:t xml:space="preserve">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top w:val="nil"/>
              <w:left w:val="nil"/>
              <w:bottom w:val="nil"/>
              <w:right w:val="nil"/>
            </w:tcBorders>
          </w:tcPr>
          <w:p w14:paraId="7E357223" w14:textId="7FC1B1F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68 (16</w:t>
            </w:r>
            <w:r w:rsidR="00C5236B" w:rsidRPr="00C951F0">
              <w:rPr>
                <w:rFonts w:cs="Arial"/>
                <w:color w:val="000000" w:themeColor="text1"/>
                <w:sz w:val="20"/>
                <w:szCs w:val="20"/>
              </w:rPr>
              <w:t>·</w:t>
            </w:r>
            <w:r w:rsidRPr="00C951F0">
              <w:rPr>
                <w:rFonts w:cs="Arial"/>
                <w:color w:val="000000" w:themeColor="text1"/>
                <w:sz w:val="20"/>
                <w:szCs w:val="20"/>
              </w:rPr>
              <w:t>8)</w:t>
            </w:r>
          </w:p>
        </w:tc>
        <w:tc>
          <w:tcPr>
            <w:tcW w:w="647" w:type="pct"/>
            <w:tcBorders>
              <w:top w:val="nil"/>
              <w:left w:val="nil"/>
              <w:bottom w:val="nil"/>
              <w:right w:val="nil"/>
            </w:tcBorders>
          </w:tcPr>
          <w:p w14:paraId="6368A039" w14:textId="44D45F4A"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66 (16</w:t>
            </w:r>
            <w:r w:rsidR="00C5236B" w:rsidRPr="00C951F0">
              <w:rPr>
                <w:rFonts w:cs="Arial"/>
                <w:color w:val="000000" w:themeColor="text1"/>
                <w:sz w:val="20"/>
                <w:szCs w:val="20"/>
              </w:rPr>
              <w:t>·</w:t>
            </w:r>
            <w:r w:rsidRPr="00C951F0">
              <w:rPr>
                <w:rFonts w:cs="Arial"/>
                <w:color w:val="000000" w:themeColor="text1"/>
                <w:sz w:val="20"/>
                <w:szCs w:val="20"/>
              </w:rPr>
              <w:t>4)</w:t>
            </w:r>
          </w:p>
        </w:tc>
        <w:tc>
          <w:tcPr>
            <w:tcW w:w="648" w:type="pct"/>
            <w:tcBorders>
              <w:top w:val="nil"/>
              <w:left w:val="nil"/>
              <w:bottom w:val="nil"/>
              <w:right w:val="nil"/>
            </w:tcBorders>
          </w:tcPr>
          <w:p w14:paraId="3FD7A01F" w14:textId="225873B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77 (19</w:t>
            </w:r>
            <w:r w:rsidR="00C5236B" w:rsidRPr="00C951F0">
              <w:rPr>
                <w:rFonts w:cs="Arial"/>
                <w:color w:val="000000" w:themeColor="text1"/>
                <w:sz w:val="20"/>
                <w:szCs w:val="20"/>
              </w:rPr>
              <w:t>·</w:t>
            </w:r>
            <w:r w:rsidRPr="00C951F0">
              <w:rPr>
                <w:rFonts w:cs="Arial"/>
                <w:color w:val="000000" w:themeColor="text1"/>
                <w:sz w:val="20"/>
                <w:szCs w:val="20"/>
              </w:rPr>
              <w:t>1)</w:t>
            </w:r>
          </w:p>
        </w:tc>
        <w:tc>
          <w:tcPr>
            <w:tcW w:w="646" w:type="pct"/>
            <w:tcBorders>
              <w:top w:val="nil"/>
              <w:left w:val="nil"/>
              <w:bottom w:val="nil"/>
              <w:right w:val="nil"/>
            </w:tcBorders>
          </w:tcPr>
          <w:p w14:paraId="4E2690F0" w14:textId="365C51E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211 (17</w:t>
            </w:r>
            <w:r w:rsidR="00C5236B" w:rsidRPr="00C951F0">
              <w:rPr>
                <w:rFonts w:cs="Arial"/>
                <w:color w:val="000000" w:themeColor="text1"/>
                <w:sz w:val="20"/>
                <w:szCs w:val="20"/>
              </w:rPr>
              <w:t>·</w:t>
            </w:r>
            <w:r w:rsidRPr="00C951F0">
              <w:rPr>
                <w:rFonts w:cs="Arial"/>
                <w:color w:val="000000" w:themeColor="text1"/>
                <w:sz w:val="20"/>
                <w:szCs w:val="20"/>
              </w:rPr>
              <w:t>4)</w:t>
            </w:r>
          </w:p>
        </w:tc>
      </w:tr>
      <w:tr w:rsidR="00C951F0" w:rsidRPr="00C951F0" w14:paraId="275BDC45" w14:textId="77777777" w:rsidTr="00934A10">
        <w:tc>
          <w:tcPr>
            <w:tcW w:w="2390" w:type="pct"/>
            <w:tcBorders>
              <w:top w:val="nil"/>
              <w:left w:val="nil"/>
              <w:bottom w:val="nil"/>
              <w:right w:val="nil"/>
            </w:tcBorders>
          </w:tcPr>
          <w:p w14:paraId="02077CF5" w14:textId="1BC384F4" w:rsidR="00B1644A" w:rsidRPr="00C951F0" w:rsidRDefault="00B1644A" w:rsidP="0039543A">
            <w:pPr>
              <w:spacing w:line="240" w:lineRule="auto"/>
              <w:ind w:left="309"/>
              <w:rPr>
                <w:rFonts w:cs="Arial"/>
                <w:color w:val="000000" w:themeColor="text1"/>
                <w:sz w:val="20"/>
                <w:szCs w:val="20"/>
              </w:rPr>
            </w:pPr>
            <w:r w:rsidRPr="00C951F0">
              <w:rPr>
                <w:rFonts w:cs="Arial"/>
                <w:color w:val="000000" w:themeColor="text1"/>
                <w:sz w:val="20"/>
                <w:szCs w:val="20"/>
              </w:rPr>
              <w:t>30 – &lt;35 kg/m</w:t>
            </w:r>
            <w:r w:rsidRPr="00C951F0">
              <w:rPr>
                <w:rFonts w:cs="Arial"/>
                <w:color w:val="000000" w:themeColor="text1"/>
                <w:sz w:val="20"/>
                <w:szCs w:val="20"/>
                <w:vertAlign w:val="superscript"/>
              </w:rPr>
              <w:t>2</w:t>
            </w:r>
            <w:r w:rsidRPr="00C951F0">
              <w:rPr>
                <w:rFonts w:cs="Arial"/>
                <w:color w:val="000000" w:themeColor="text1"/>
                <w:sz w:val="20"/>
                <w:szCs w:val="20"/>
              </w:rPr>
              <w:t xml:space="preserve">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top w:val="nil"/>
              <w:left w:val="nil"/>
              <w:bottom w:val="nil"/>
              <w:right w:val="nil"/>
            </w:tcBorders>
          </w:tcPr>
          <w:p w14:paraId="745170C8" w14:textId="0EBDFE22"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140 (34</w:t>
            </w:r>
            <w:r w:rsidR="00C5236B" w:rsidRPr="00C951F0">
              <w:rPr>
                <w:rFonts w:cs="Arial"/>
                <w:color w:val="000000" w:themeColor="text1"/>
                <w:sz w:val="20"/>
                <w:szCs w:val="20"/>
              </w:rPr>
              <w:t>·</w:t>
            </w:r>
            <w:r w:rsidRPr="00C951F0">
              <w:rPr>
                <w:rFonts w:cs="Arial"/>
                <w:color w:val="000000" w:themeColor="text1"/>
                <w:sz w:val="20"/>
                <w:szCs w:val="20"/>
              </w:rPr>
              <w:t>7)</w:t>
            </w:r>
          </w:p>
        </w:tc>
        <w:tc>
          <w:tcPr>
            <w:tcW w:w="647" w:type="pct"/>
            <w:tcBorders>
              <w:top w:val="nil"/>
              <w:left w:val="nil"/>
              <w:bottom w:val="nil"/>
              <w:right w:val="nil"/>
            </w:tcBorders>
          </w:tcPr>
          <w:p w14:paraId="7360A82F" w14:textId="29CB063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163 (40</w:t>
            </w:r>
            <w:r w:rsidR="00C5236B" w:rsidRPr="00C951F0">
              <w:rPr>
                <w:rFonts w:cs="Arial"/>
                <w:color w:val="000000" w:themeColor="text1"/>
                <w:sz w:val="20"/>
                <w:szCs w:val="20"/>
              </w:rPr>
              <w:t>·</w:t>
            </w:r>
            <w:r w:rsidRPr="00C951F0">
              <w:rPr>
                <w:rFonts w:cs="Arial"/>
                <w:color w:val="000000" w:themeColor="text1"/>
                <w:sz w:val="20"/>
                <w:szCs w:val="20"/>
              </w:rPr>
              <w:t>4)</w:t>
            </w:r>
          </w:p>
        </w:tc>
        <w:tc>
          <w:tcPr>
            <w:tcW w:w="648" w:type="pct"/>
            <w:tcBorders>
              <w:top w:val="nil"/>
              <w:left w:val="nil"/>
              <w:bottom w:val="nil"/>
              <w:right w:val="nil"/>
            </w:tcBorders>
          </w:tcPr>
          <w:p w14:paraId="5E2109D6" w14:textId="6CBA37BB"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135 (33</w:t>
            </w:r>
            <w:r w:rsidR="00C5236B" w:rsidRPr="00C951F0">
              <w:rPr>
                <w:rFonts w:cs="Arial"/>
                <w:color w:val="000000" w:themeColor="text1"/>
                <w:sz w:val="20"/>
                <w:szCs w:val="20"/>
              </w:rPr>
              <w:t>·</w:t>
            </w:r>
            <w:r w:rsidRPr="00C951F0">
              <w:rPr>
                <w:rFonts w:cs="Arial"/>
                <w:color w:val="000000" w:themeColor="text1"/>
                <w:sz w:val="20"/>
                <w:szCs w:val="20"/>
              </w:rPr>
              <w:t>5)</w:t>
            </w:r>
          </w:p>
        </w:tc>
        <w:tc>
          <w:tcPr>
            <w:tcW w:w="646" w:type="pct"/>
            <w:tcBorders>
              <w:top w:val="nil"/>
              <w:left w:val="nil"/>
              <w:bottom w:val="nil"/>
              <w:right w:val="nil"/>
            </w:tcBorders>
          </w:tcPr>
          <w:p w14:paraId="34832CD6" w14:textId="3EF8F34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438 (36</w:t>
            </w:r>
            <w:r w:rsidR="00C5236B" w:rsidRPr="00C951F0">
              <w:rPr>
                <w:rFonts w:cs="Arial"/>
                <w:color w:val="000000" w:themeColor="text1"/>
                <w:sz w:val="20"/>
                <w:szCs w:val="20"/>
              </w:rPr>
              <w:t>·</w:t>
            </w:r>
            <w:r w:rsidRPr="00C951F0">
              <w:rPr>
                <w:rFonts w:cs="Arial"/>
                <w:color w:val="000000" w:themeColor="text1"/>
                <w:sz w:val="20"/>
                <w:szCs w:val="20"/>
              </w:rPr>
              <w:t>2)</w:t>
            </w:r>
          </w:p>
        </w:tc>
      </w:tr>
      <w:tr w:rsidR="00C951F0" w:rsidRPr="00C951F0" w14:paraId="23215E7A" w14:textId="77777777" w:rsidTr="00934A10">
        <w:tc>
          <w:tcPr>
            <w:tcW w:w="2390" w:type="pct"/>
            <w:tcBorders>
              <w:top w:val="nil"/>
              <w:left w:val="nil"/>
              <w:bottom w:val="nil"/>
              <w:right w:val="nil"/>
            </w:tcBorders>
          </w:tcPr>
          <w:p w14:paraId="0A1E0455" w14:textId="36D03B0A" w:rsidR="00B1644A" w:rsidRPr="00C951F0" w:rsidRDefault="00B1644A" w:rsidP="0039543A">
            <w:pPr>
              <w:spacing w:line="240" w:lineRule="auto"/>
              <w:ind w:left="309"/>
              <w:rPr>
                <w:rFonts w:cs="Arial"/>
                <w:color w:val="000000" w:themeColor="text1"/>
                <w:sz w:val="20"/>
                <w:szCs w:val="20"/>
              </w:rPr>
            </w:pPr>
            <w:r w:rsidRPr="00C951F0">
              <w:rPr>
                <w:rFonts w:cs="Arial"/>
                <w:color w:val="000000" w:themeColor="text1"/>
                <w:sz w:val="20"/>
                <w:szCs w:val="20"/>
              </w:rPr>
              <w:t>35 – &lt;40 kg/m</w:t>
            </w:r>
            <w:r w:rsidRPr="00C951F0">
              <w:rPr>
                <w:rFonts w:cs="Arial"/>
                <w:color w:val="000000" w:themeColor="text1"/>
                <w:sz w:val="20"/>
                <w:szCs w:val="20"/>
                <w:vertAlign w:val="superscript"/>
              </w:rPr>
              <w:t>2</w:t>
            </w:r>
            <w:r w:rsidRPr="00C951F0">
              <w:rPr>
                <w:rFonts w:cs="Arial"/>
                <w:color w:val="000000" w:themeColor="text1"/>
                <w:sz w:val="20"/>
                <w:szCs w:val="20"/>
              </w:rPr>
              <w:t xml:space="preserve">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top w:val="nil"/>
              <w:left w:val="nil"/>
              <w:bottom w:val="nil"/>
              <w:right w:val="nil"/>
            </w:tcBorders>
          </w:tcPr>
          <w:p w14:paraId="3C98EC5F" w14:textId="6F99A57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103 (25</w:t>
            </w:r>
            <w:r w:rsidR="00C5236B" w:rsidRPr="00C951F0">
              <w:rPr>
                <w:rFonts w:cs="Arial"/>
                <w:color w:val="000000" w:themeColor="text1"/>
                <w:sz w:val="20"/>
                <w:szCs w:val="20"/>
              </w:rPr>
              <w:t>·</w:t>
            </w:r>
            <w:r w:rsidRPr="00C951F0">
              <w:rPr>
                <w:rFonts w:cs="Arial"/>
                <w:color w:val="000000" w:themeColor="text1"/>
                <w:sz w:val="20"/>
                <w:szCs w:val="20"/>
              </w:rPr>
              <w:t>5)</w:t>
            </w:r>
          </w:p>
        </w:tc>
        <w:tc>
          <w:tcPr>
            <w:tcW w:w="647" w:type="pct"/>
            <w:tcBorders>
              <w:top w:val="nil"/>
              <w:left w:val="nil"/>
              <w:bottom w:val="nil"/>
              <w:right w:val="nil"/>
            </w:tcBorders>
          </w:tcPr>
          <w:p w14:paraId="51B0DAE4" w14:textId="746D8252"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100 (24</w:t>
            </w:r>
            <w:r w:rsidR="00C5236B" w:rsidRPr="00C951F0">
              <w:rPr>
                <w:rFonts w:cs="Arial"/>
                <w:color w:val="000000" w:themeColor="text1"/>
                <w:sz w:val="20"/>
                <w:szCs w:val="20"/>
              </w:rPr>
              <w:t>·</w:t>
            </w:r>
            <w:r w:rsidRPr="00C951F0">
              <w:rPr>
                <w:rFonts w:cs="Arial"/>
                <w:color w:val="000000" w:themeColor="text1"/>
                <w:sz w:val="20"/>
                <w:szCs w:val="20"/>
              </w:rPr>
              <w:t>8)</w:t>
            </w:r>
          </w:p>
        </w:tc>
        <w:tc>
          <w:tcPr>
            <w:tcW w:w="648" w:type="pct"/>
            <w:tcBorders>
              <w:top w:val="nil"/>
              <w:left w:val="nil"/>
              <w:bottom w:val="nil"/>
              <w:right w:val="nil"/>
            </w:tcBorders>
          </w:tcPr>
          <w:p w14:paraId="08CA49A1" w14:textId="282D77B4"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97 (24</w:t>
            </w:r>
            <w:r w:rsidR="00C5236B" w:rsidRPr="00C951F0">
              <w:rPr>
                <w:rFonts w:cs="Arial"/>
                <w:color w:val="000000" w:themeColor="text1"/>
                <w:sz w:val="20"/>
                <w:szCs w:val="20"/>
              </w:rPr>
              <w:t>·</w:t>
            </w:r>
            <w:r w:rsidRPr="00C951F0">
              <w:rPr>
                <w:rFonts w:cs="Arial"/>
                <w:color w:val="000000" w:themeColor="text1"/>
                <w:sz w:val="20"/>
                <w:szCs w:val="20"/>
              </w:rPr>
              <w:t>1)</w:t>
            </w:r>
          </w:p>
        </w:tc>
        <w:tc>
          <w:tcPr>
            <w:tcW w:w="646" w:type="pct"/>
            <w:tcBorders>
              <w:top w:val="nil"/>
              <w:left w:val="nil"/>
              <w:bottom w:val="nil"/>
              <w:right w:val="nil"/>
            </w:tcBorders>
          </w:tcPr>
          <w:p w14:paraId="53774F13" w14:textId="73560E3A"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300 (24</w:t>
            </w:r>
            <w:r w:rsidR="00C5236B" w:rsidRPr="00C951F0">
              <w:rPr>
                <w:rFonts w:cs="Arial"/>
                <w:color w:val="000000" w:themeColor="text1"/>
                <w:sz w:val="20"/>
                <w:szCs w:val="20"/>
              </w:rPr>
              <w:t>·</w:t>
            </w:r>
            <w:r w:rsidRPr="00C951F0">
              <w:rPr>
                <w:rFonts w:cs="Arial"/>
                <w:color w:val="000000" w:themeColor="text1"/>
                <w:sz w:val="20"/>
                <w:szCs w:val="20"/>
              </w:rPr>
              <w:t>8)</w:t>
            </w:r>
          </w:p>
        </w:tc>
      </w:tr>
      <w:tr w:rsidR="00C951F0" w:rsidRPr="00C951F0" w14:paraId="5D9988D1" w14:textId="77777777" w:rsidTr="00934A10">
        <w:tc>
          <w:tcPr>
            <w:tcW w:w="2390" w:type="pct"/>
            <w:tcBorders>
              <w:top w:val="nil"/>
              <w:left w:val="nil"/>
              <w:right w:val="nil"/>
            </w:tcBorders>
          </w:tcPr>
          <w:p w14:paraId="5232283D" w14:textId="6D75C386" w:rsidR="00B1644A" w:rsidRPr="00C951F0" w:rsidRDefault="00B1644A" w:rsidP="0039543A">
            <w:pPr>
              <w:spacing w:line="240" w:lineRule="auto"/>
              <w:ind w:left="309"/>
              <w:rPr>
                <w:rFonts w:cs="Arial"/>
                <w:color w:val="000000" w:themeColor="text1"/>
                <w:sz w:val="20"/>
                <w:szCs w:val="20"/>
              </w:rPr>
            </w:pPr>
            <w:r w:rsidRPr="00C951F0">
              <w:rPr>
                <w:rFonts w:cs="Arial"/>
                <w:color w:val="000000" w:themeColor="text1"/>
                <w:sz w:val="20"/>
                <w:szCs w:val="20"/>
              </w:rPr>
              <w:t>≥40 kg/m</w:t>
            </w:r>
            <w:r w:rsidRPr="00C951F0">
              <w:rPr>
                <w:rFonts w:cs="Arial"/>
                <w:color w:val="000000" w:themeColor="text1"/>
                <w:sz w:val="20"/>
                <w:szCs w:val="20"/>
                <w:vertAlign w:val="superscript"/>
              </w:rPr>
              <w:t>2</w:t>
            </w:r>
            <w:r w:rsidRPr="00C951F0">
              <w:rPr>
                <w:rFonts w:cs="Arial"/>
                <w:color w:val="000000" w:themeColor="text1"/>
                <w:sz w:val="20"/>
                <w:szCs w:val="20"/>
              </w:rPr>
              <w:t xml:space="preserve">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top w:val="nil"/>
              <w:left w:val="nil"/>
              <w:right w:val="nil"/>
            </w:tcBorders>
          </w:tcPr>
          <w:p w14:paraId="693E95A8" w14:textId="476CBF1B"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93 (23</w:t>
            </w:r>
            <w:r w:rsidR="00C5236B" w:rsidRPr="00C951F0">
              <w:rPr>
                <w:rFonts w:cs="Arial"/>
                <w:color w:val="000000" w:themeColor="text1"/>
                <w:sz w:val="20"/>
                <w:szCs w:val="20"/>
              </w:rPr>
              <w:t>·</w:t>
            </w:r>
            <w:r w:rsidRPr="00C951F0">
              <w:rPr>
                <w:rFonts w:cs="Arial"/>
                <w:color w:val="000000" w:themeColor="text1"/>
                <w:sz w:val="20"/>
                <w:szCs w:val="20"/>
              </w:rPr>
              <w:t>0)</w:t>
            </w:r>
          </w:p>
        </w:tc>
        <w:tc>
          <w:tcPr>
            <w:tcW w:w="647" w:type="pct"/>
            <w:tcBorders>
              <w:top w:val="nil"/>
              <w:left w:val="nil"/>
              <w:right w:val="nil"/>
            </w:tcBorders>
          </w:tcPr>
          <w:p w14:paraId="210044A5" w14:textId="31EC485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74 (18</w:t>
            </w:r>
            <w:r w:rsidR="00C5236B" w:rsidRPr="00C951F0">
              <w:rPr>
                <w:rFonts w:cs="Arial"/>
                <w:color w:val="000000" w:themeColor="text1"/>
                <w:sz w:val="20"/>
                <w:szCs w:val="20"/>
              </w:rPr>
              <w:t>·</w:t>
            </w:r>
            <w:r w:rsidRPr="00C951F0">
              <w:rPr>
                <w:rFonts w:cs="Arial"/>
                <w:color w:val="000000" w:themeColor="text1"/>
                <w:sz w:val="20"/>
                <w:szCs w:val="20"/>
              </w:rPr>
              <w:t>4)</w:t>
            </w:r>
          </w:p>
        </w:tc>
        <w:tc>
          <w:tcPr>
            <w:tcW w:w="648" w:type="pct"/>
            <w:tcBorders>
              <w:top w:val="nil"/>
              <w:left w:val="nil"/>
              <w:right w:val="nil"/>
            </w:tcBorders>
          </w:tcPr>
          <w:p w14:paraId="22563606" w14:textId="50A05A7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94 (23</w:t>
            </w:r>
            <w:r w:rsidR="00C5236B" w:rsidRPr="00C951F0">
              <w:rPr>
                <w:rFonts w:cs="Arial"/>
                <w:color w:val="000000" w:themeColor="text1"/>
                <w:sz w:val="20"/>
                <w:szCs w:val="20"/>
              </w:rPr>
              <w:t>·</w:t>
            </w:r>
            <w:r w:rsidRPr="00C951F0">
              <w:rPr>
                <w:rFonts w:cs="Arial"/>
                <w:color w:val="000000" w:themeColor="text1"/>
                <w:sz w:val="20"/>
                <w:szCs w:val="20"/>
              </w:rPr>
              <w:t>3)</w:t>
            </w:r>
          </w:p>
        </w:tc>
        <w:tc>
          <w:tcPr>
            <w:tcW w:w="646" w:type="pct"/>
            <w:tcBorders>
              <w:top w:val="nil"/>
              <w:left w:val="nil"/>
              <w:right w:val="nil"/>
            </w:tcBorders>
          </w:tcPr>
          <w:p w14:paraId="606353FA" w14:textId="32BC7DA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261 (21</w:t>
            </w:r>
            <w:r w:rsidR="00C5236B" w:rsidRPr="00C951F0">
              <w:rPr>
                <w:rFonts w:cs="Arial"/>
                <w:color w:val="000000" w:themeColor="text1"/>
                <w:sz w:val="20"/>
                <w:szCs w:val="20"/>
              </w:rPr>
              <w:t>·</w:t>
            </w:r>
            <w:r w:rsidRPr="00C951F0">
              <w:rPr>
                <w:rFonts w:cs="Arial"/>
                <w:color w:val="000000" w:themeColor="text1"/>
                <w:sz w:val="20"/>
                <w:szCs w:val="20"/>
              </w:rPr>
              <w:t>6)</w:t>
            </w:r>
          </w:p>
        </w:tc>
      </w:tr>
      <w:tr w:rsidR="00C951F0" w:rsidRPr="00C951F0" w14:paraId="7165EB1E" w14:textId="77777777" w:rsidTr="00934A10">
        <w:tc>
          <w:tcPr>
            <w:tcW w:w="2390" w:type="pct"/>
            <w:tcBorders>
              <w:left w:val="nil"/>
              <w:right w:val="nil"/>
            </w:tcBorders>
          </w:tcPr>
          <w:p w14:paraId="6622A273" w14:textId="59DAE42A"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 xml:space="preserve">Waist circumference </w:t>
            </w:r>
            <w:r w:rsidR="00D2651E" w:rsidRPr="00C951F0">
              <w:rPr>
                <w:rFonts w:cs="Arial"/>
                <w:color w:val="000000" w:themeColor="text1"/>
                <w:sz w:val="20"/>
                <w:szCs w:val="20"/>
              </w:rPr>
              <w:t>—</w:t>
            </w:r>
            <w:r w:rsidRPr="00C951F0">
              <w:rPr>
                <w:rFonts w:cs="Arial"/>
                <w:color w:val="000000" w:themeColor="text1"/>
                <w:sz w:val="20"/>
                <w:szCs w:val="20"/>
              </w:rPr>
              <w:t xml:space="preserve"> cm</w:t>
            </w:r>
          </w:p>
        </w:tc>
        <w:tc>
          <w:tcPr>
            <w:tcW w:w="669" w:type="pct"/>
            <w:tcBorders>
              <w:left w:val="nil"/>
              <w:right w:val="nil"/>
            </w:tcBorders>
          </w:tcPr>
          <w:p w14:paraId="59BEFE87" w14:textId="50B30ABF"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114</w:t>
            </w:r>
            <w:r w:rsidR="00C5236B" w:rsidRPr="00C951F0">
              <w:rPr>
                <w:rFonts w:cs="Arial"/>
                <w:color w:val="000000" w:themeColor="text1"/>
                <w:sz w:val="20"/>
                <w:szCs w:val="20"/>
              </w:rPr>
              <w:t>·</w:t>
            </w:r>
            <w:r w:rsidRPr="00C951F0">
              <w:rPr>
                <w:rFonts w:cs="Arial"/>
                <w:color w:val="000000" w:themeColor="text1"/>
                <w:sz w:val="20"/>
                <w:szCs w:val="20"/>
              </w:rPr>
              <w:t>5 ± 14</w:t>
            </w:r>
            <w:r w:rsidR="00C5236B" w:rsidRPr="00C951F0">
              <w:rPr>
                <w:rFonts w:cs="Arial"/>
                <w:color w:val="000000" w:themeColor="text1"/>
                <w:sz w:val="20"/>
                <w:szCs w:val="20"/>
              </w:rPr>
              <w:t>·</w:t>
            </w:r>
            <w:r w:rsidRPr="00C951F0">
              <w:rPr>
                <w:rFonts w:cs="Arial"/>
                <w:color w:val="000000" w:themeColor="text1"/>
                <w:sz w:val="20"/>
                <w:szCs w:val="20"/>
              </w:rPr>
              <w:t>3</w:t>
            </w:r>
          </w:p>
        </w:tc>
        <w:tc>
          <w:tcPr>
            <w:tcW w:w="647" w:type="pct"/>
            <w:tcBorders>
              <w:left w:val="nil"/>
              <w:right w:val="nil"/>
            </w:tcBorders>
          </w:tcPr>
          <w:p w14:paraId="0F375856" w14:textId="20D7FFD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113</w:t>
            </w:r>
            <w:r w:rsidR="00C5236B" w:rsidRPr="00C951F0">
              <w:rPr>
                <w:rFonts w:cs="Arial"/>
                <w:color w:val="000000" w:themeColor="text1"/>
                <w:sz w:val="20"/>
                <w:szCs w:val="20"/>
              </w:rPr>
              <w:t>·</w:t>
            </w:r>
            <w:r w:rsidRPr="00C951F0">
              <w:rPr>
                <w:rFonts w:cs="Arial"/>
                <w:color w:val="000000" w:themeColor="text1"/>
                <w:sz w:val="20"/>
                <w:szCs w:val="20"/>
              </w:rPr>
              <w:t>9 ± 14</w:t>
            </w:r>
            <w:r w:rsidR="00C5236B" w:rsidRPr="00C951F0">
              <w:rPr>
                <w:rFonts w:cs="Arial"/>
                <w:color w:val="000000" w:themeColor="text1"/>
                <w:sz w:val="20"/>
                <w:szCs w:val="20"/>
              </w:rPr>
              <w:t>·</w:t>
            </w:r>
            <w:r w:rsidRPr="00C951F0">
              <w:rPr>
                <w:rFonts w:cs="Arial"/>
                <w:color w:val="000000" w:themeColor="text1"/>
                <w:sz w:val="20"/>
                <w:szCs w:val="20"/>
              </w:rPr>
              <w:t>0</w:t>
            </w:r>
          </w:p>
        </w:tc>
        <w:tc>
          <w:tcPr>
            <w:tcW w:w="648" w:type="pct"/>
            <w:tcBorders>
              <w:left w:val="nil"/>
              <w:right w:val="nil"/>
            </w:tcBorders>
          </w:tcPr>
          <w:p w14:paraId="5944A62B" w14:textId="2B35CD8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115</w:t>
            </w:r>
            <w:r w:rsidR="00C5236B" w:rsidRPr="00C951F0">
              <w:rPr>
                <w:rFonts w:cs="Arial"/>
                <w:color w:val="000000" w:themeColor="text1"/>
                <w:sz w:val="20"/>
                <w:szCs w:val="20"/>
              </w:rPr>
              <w:t>·</w:t>
            </w:r>
            <w:r w:rsidRPr="00C951F0">
              <w:rPr>
                <w:rFonts w:cs="Arial"/>
                <w:color w:val="000000" w:themeColor="text1"/>
                <w:sz w:val="20"/>
                <w:szCs w:val="20"/>
              </w:rPr>
              <w:t>5 ± 13</w:t>
            </w:r>
            <w:r w:rsidR="00C5236B" w:rsidRPr="00C951F0">
              <w:rPr>
                <w:rFonts w:cs="Arial"/>
                <w:color w:val="000000" w:themeColor="text1"/>
                <w:sz w:val="20"/>
                <w:szCs w:val="20"/>
              </w:rPr>
              <w:t>·</w:t>
            </w:r>
            <w:r w:rsidRPr="00C951F0">
              <w:rPr>
                <w:rFonts w:cs="Arial"/>
                <w:color w:val="000000" w:themeColor="text1"/>
                <w:sz w:val="20"/>
                <w:szCs w:val="20"/>
              </w:rPr>
              <w:t>9</w:t>
            </w:r>
          </w:p>
        </w:tc>
        <w:tc>
          <w:tcPr>
            <w:tcW w:w="646" w:type="pct"/>
            <w:tcBorders>
              <w:left w:val="nil"/>
              <w:right w:val="nil"/>
            </w:tcBorders>
          </w:tcPr>
          <w:p w14:paraId="39A7B20A" w14:textId="5291951A"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114</w:t>
            </w:r>
            <w:r w:rsidR="00C5236B" w:rsidRPr="00C951F0">
              <w:rPr>
                <w:rFonts w:cs="Arial"/>
                <w:color w:val="000000" w:themeColor="text1"/>
                <w:sz w:val="20"/>
                <w:szCs w:val="20"/>
              </w:rPr>
              <w:t>·</w:t>
            </w:r>
            <w:r w:rsidRPr="00C951F0">
              <w:rPr>
                <w:rFonts w:cs="Arial"/>
                <w:color w:val="000000" w:themeColor="text1"/>
                <w:sz w:val="20"/>
                <w:szCs w:val="20"/>
              </w:rPr>
              <w:t>6 ± 14</w:t>
            </w:r>
            <w:r w:rsidR="00C5236B" w:rsidRPr="00C951F0">
              <w:rPr>
                <w:rFonts w:cs="Arial"/>
                <w:color w:val="000000" w:themeColor="text1"/>
                <w:sz w:val="20"/>
                <w:szCs w:val="20"/>
              </w:rPr>
              <w:t>·</w:t>
            </w:r>
            <w:r w:rsidRPr="00C951F0">
              <w:rPr>
                <w:rFonts w:cs="Arial"/>
                <w:color w:val="000000" w:themeColor="text1"/>
                <w:sz w:val="20"/>
                <w:szCs w:val="20"/>
              </w:rPr>
              <w:t>1</w:t>
            </w:r>
          </w:p>
        </w:tc>
      </w:tr>
      <w:tr w:rsidR="00C951F0" w:rsidRPr="00C951F0" w14:paraId="240DE470" w14:textId="77777777" w:rsidTr="00934A10">
        <w:tc>
          <w:tcPr>
            <w:tcW w:w="2390" w:type="pct"/>
            <w:tcBorders>
              <w:left w:val="nil"/>
              <w:right w:val="nil"/>
            </w:tcBorders>
          </w:tcPr>
          <w:p w14:paraId="6DF9D4A8" w14:textId="3D6FFC18"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lastRenderedPageBreak/>
              <w:t>HbA</w:t>
            </w:r>
            <w:r w:rsidRPr="00C951F0">
              <w:rPr>
                <w:rFonts w:cs="Arial"/>
                <w:color w:val="000000" w:themeColor="text1"/>
                <w:sz w:val="20"/>
                <w:szCs w:val="20"/>
                <w:vertAlign w:val="subscript"/>
              </w:rPr>
              <w:t>1c</w:t>
            </w:r>
            <w:r w:rsidRPr="00C951F0">
              <w:rPr>
                <w:rFonts w:cs="Arial"/>
                <w:color w:val="000000" w:themeColor="text1"/>
                <w:sz w:val="20"/>
                <w:szCs w:val="20"/>
              </w:rPr>
              <w:t xml:space="preserve"> </w:t>
            </w:r>
            <w:r w:rsidR="00D2651E" w:rsidRPr="00C951F0">
              <w:rPr>
                <w:rFonts w:cs="Arial"/>
                <w:color w:val="000000" w:themeColor="text1"/>
                <w:sz w:val="20"/>
                <w:szCs w:val="20"/>
              </w:rPr>
              <w:t>—</w:t>
            </w:r>
            <w:r w:rsidRPr="00C951F0">
              <w:rPr>
                <w:rFonts w:cs="Arial"/>
                <w:color w:val="000000" w:themeColor="text1"/>
                <w:sz w:val="20"/>
                <w:szCs w:val="20"/>
              </w:rPr>
              <w:t xml:space="preserve"> %</w:t>
            </w:r>
          </w:p>
        </w:tc>
        <w:tc>
          <w:tcPr>
            <w:tcW w:w="669" w:type="pct"/>
            <w:tcBorders>
              <w:left w:val="nil"/>
              <w:right w:val="nil"/>
            </w:tcBorders>
          </w:tcPr>
          <w:p w14:paraId="24602D7D" w14:textId="6582F173"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w:t>
            </w:r>
            <w:r w:rsidR="00C5236B" w:rsidRPr="00C951F0">
              <w:rPr>
                <w:rFonts w:cs="Arial"/>
                <w:color w:val="000000" w:themeColor="text1"/>
                <w:sz w:val="20"/>
                <w:szCs w:val="20"/>
              </w:rPr>
              <w:t>·</w:t>
            </w:r>
            <w:r w:rsidRPr="00C951F0">
              <w:rPr>
                <w:rFonts w:cs="Arial"/>
                <w:color w:val="000000" w:themeColor="text1"/>
                <w:sz w:val="20"/>
                <w:szCs w:val="20"/>
              </w:rPr>
              <w:t>1 ± 0</w:t>
            </w:r>
            <w:r w:rsidR="00C5236B" w:rsidRPr="00C951F0">
              <w:rPr>
                <w:rFonts w:cs="Arial"/>
                <w:color w:val="000000" w:themeColor="text1"/>
                <w:sz w:val="20"/>
                <w:szCs w:val="20"/>
              </w:rPr>
              <w:t>·</w:t>
            </w:r>
            <w:r w:rsidRPr="00C951F0">
              <w:rPr>
                <w:rFonts w:cs="Arial"/>
                <w:color w:val="000000" w:themeColor="text1"/>
                <w:sz w:val="20"/>
                <w:szCs w:val="20"/>
              </w:rPr>
              <w:t>8</w:t>
            </w:r>
          </w:p>
        </w:tc>
        <w:tc>
          <w:tcPr>
            <w:tcW w:w="647" w:type="pct"/>
            <w:tcBorders>
              <w:left w:val="nil"/>
              <w:right w:val="nil"/>
            </w:tcBorders>
          </w:tcPr>
          <w:p w14:paraId="18BDE303" w14:textId="1EBDAD1A"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w:t>
            </w:r>
            <w:r w:rsidR="00C5236B" w:rsidRPr="00C951F0">
              <w:rPr>
                <w:rFonts w:cs="Arial"/>
                <w:color w:val="000000" w:themeColor="text1"/>
                <w:sz w:val="20"/>
                <w:szCs w:val="20"/>
              </w:rPr>
              <w:t>·</w:t>
            </w:r>
            <w:r w:rsidRPr="00C951F0">
              <w:rPr>
                <w:rFonts w:cs="Arial"/>
                <w:color w:val="000000" w:themeColor="text1"/>
                <w:sz w:val="20"/>
                <w:szCs w:val="20"/>
              </w:rPr>
              <w:t>1 ± 0</w:t>
            </w:r>
            <w:r w:rsidR="00C5236B" w:rsidRPr="00C951F0">
              <w:rPr>
                <w:rFonts w:cs="Arial"/>
                <w:color w:val="000000" w:themeColor="text1"/>
                <w:sz w:val="20"/>
                <w:szCs w:val="20"/>
              </w:rPr>
              <w:t>·</w:t>
            </w:r>
            <w:r w:rsidRPr="00C951F0">
              <w:rPr>
                <w:rFonts w:cs="Arial"/>
                <w:color w:val="000000" w:themeColor="text1"/>
                <w:sz w:val="20"/>
                <w:szCs w:val="20"/>
              </w:rPr>
              <w:t>8</w:t>
            </w:r>
          </w:p>
        </w:tc>
        <w:tc>
          <w:tcPr>
            <w:tcW w:w="648" w:type="pct"/>
            <w:tcBorders>
              <w:left w:val="nil"/>
              <w:right w:val="nil"/>
            </w:tcBorders>
          </w:tcPr>
          <w:p w14:paraId="47BAB252" w14:textId="281F1D5F"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w:t>
            </w:r>
            <w:r w:rsidR="00C5236B" w:rsidRPr="00C951F0">
              <w:rPr>
                <w:rFonts w:cs="Arial"/>
                <w:color w:val="000000" w:themeColor="text1"/>
                <w:sz w:val="20"/>
                <w:szCs w:val="20"/>
              </w:rPr>
              <w:t>·</w:t>
            </w:r>
            <w:r w:rsidRPr="00C951F0">
              <w:rPr>
                <w:rFonts w:cs="Arial"/>
                <w:color w:val="000000" w:themeColor="text1"/>
                <w:sz w:val="20"/>
                <w:szCs w:val="20"/>
              </w:rPr>
              <w:t>1 ± 0</w:t>
            </w:r>
            <w:r w:rsidR="00C5236B" w:rsidRPr="00C951F0">
              <w:rPr>
                <w:rFonts w:cs="Arial"/>
                <w:color w:val="000000" w:themeColor="text1"/>
                <w:sz w:val="20"/>
                <w:szCs w:val="20"/>
              </w:rPr>
              <w:t>·</w:t>
            </w:r>
            <w:r w:rsidRPr="00C951F0">
              <w:rPr>
                <w:rFonts w:cs="Arial"/>
                <w:color w:val="000000" w:themeColor="text1"/>
                <w:sz w:val="20"/>
                <w:szCs w:val="20"/>
              </w:rPr>
              <w:t>8</w:t>
            </w:r>
          </w:p>
        </w:tc>
        <w:tc>
          <w:tcPr>
            <w:tcW w:w="646" w:type="pct"/>
            <w:tcBorders>
              <w:left w:val="nil"/>
              <w:right w:val="nil"/>
            </w:tcBorders>
          </w:tcPr>
          <w:p w14:paraId="6057D186" w14:textId="1082C59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w:t>
            </w:r>
            <w:r w:rsidR="00C5236B" w:rsidRPr="00C951F0">
              <w:rPr>
                <w:rFonts w:cs="Arial"/>
                <w:color w:val="000000" w:themeColor="text1"/>
                <w:sz w:val="20"/>
                <w:szCs w:val="20"/>
              </w:rPr>
              <w:t>·</w:t>
            </w:r>
            <w:r w:rsidRPr="00C951F0">
              <w:rPr>
                <w:rFonts w:cs="Arial"/>
                <w:color w:val="000000" w:themeColor="text1"/>
                <w:sz w:val="20"/>
                <w:szCs w:val="20"/>
              </w:rPr>
              <w:t>1 ± 0</w:t>
            </w:r>
            <w:r w:rsidR="00C5236B" w:rsidRPr="00C951F0">
              <w:rPr>
                <w:rFonts w:cs="Arial"/>
                <w:color w:val="000000" w:themeColor="text1"/>
                <w:sz w:val="20"/>
                <w:szCs w:val="20"/>
              </w:rPr>
              <w:t>·</w:t>
            </w:r>
            <w:r w:rsidRPr="00C951F0">
              <w:rPr>
                <w:rFonts w:cs="Arial"/>
                <w:color w:val="000000" w:themeColor="text1"/>
                <w:sz w:val="20"/>
                <w:szCs w:val="20"/>
              </w:rPr>
              <w:t>8</w:t>
            </w:r>
          </w:p>
        </w:tc>
      </w:tr>
      <w:tr w:rsidR="00C951F0" w:rsidRPr="00C951F0" w14:paraId="3247DA9E" w14:textId="77777777" w:rsidTr="00934A10">
        <w:tc>
          <w:tcPr>
            <w:tcW w:w="2390" w:type="pct"/>
            <w:tcBorders>
              <w:left w:val="nil"/>
              <w:right w:val="nil"/>
            </w:tcBorders>
          </w:tcPr>
          <w:p w14:paraId="44015F99" w14:textId="6FA50F14"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 xml:space="preserve">Fasting plasma glucose </w:t>
            </w:r>
            <w:r w:rsidR="00D2651E" w:rsidRPr="00C951F0">
              <w:rPr>
                <w:rFonts w:cs="Arial"/>
                <w:color w:val="000000" w:themeColor="text1"/>
                <w:sz w:val="20"/>
                <w:szCs w:val="20"/>
              </w:rPr>
              <w:t>—</w:t>
            </w:r>
            <w:r w:rsidRPr="00C951F0">
              <w:rPr>
                <w:rFonts w:cs="Arial"/>
                <w:color w:val="000000" w:themeColor="text1"/>
                <w:sz w:val="20"/>
                <w:szCs w:val="20"/>
              </w:rPr>
              <w:t xml:space="preserve"> </w:t>
            </w:r>
            <w:r w:rsidR="00CE2648">
              <w:rPr>
                <w:rFonts w:cs="Arial"/>
                <w:color w:val="000000" w:themeColor="text1"/>
                <w:sz w:val="20"/>
                <w:szCs w:val="20"/>
              </w:rPr>
              <w:t>mmol/L</w:t>
            </w:r>
          </w:p>
        </w:tc>
        <w:tc>
          <w:tcPr>
            <w:tcW w:w="669" w:type="pct"/>
            <w:tcBorders>
              <w:left w:val="nil"/>
              <w:right w:val="nil"/>
            </w:tcBorders>
          </w:tcPr>
          <w:p w14:paraId="321F9E07" w14:textId="424EE313" w:rsidR="00174DB6" w:rsidRDefault="00174DB6" w:rsidP="0039543A">
            <w:pPr>
              <w:spacing w:line="240" w:lineRule="auto"/>
              <w:jc w:val="center"/>
              <w:rPr>
                <w:rFonts w:cs="Arial"/>
                <w:color w:val="000000" w:themeColor="text1"/>
                <w:sz w:val="20"/>
                <w:szCs w:val="20"/>
              </w:rPr>
            </w:pPr>
            <w:r w:rsidRPr="0037035E">
              <w:rPr>
                <w:rFonts w:cs="Arial"/>
                <w:color w:val="000000" w:themeColor="text1"/>
                <w:sz w:val="20"/>
                <w:szCs w:val="20"/>
              </w:rPr>
              <w:t>n=396</w:t>
            </w:r>
          </w:p>
          <w:p w14:paraId="03BD524B" w14:textId="2A406193" w:rsidR="00B1644A" w:rsidRPr="00C951F0" w:rsidRDefault="00174DB6" w:rsidP="0039543A">
            <w:pPr>
              <w:spacing w:line="240" w:lineRule="auto"/>
              <w:jc w:val="center"/>
              <w:rPr>
                <w:rFonts w:cs="Arial"/>
                <w:color w:val="000000" w:themeColor="text1"/>
                <w:sz w:val="20"/>
                <w:szCs w:val="20"/>
              </w:rPr>
            </w:pPr>
            <w:r>
              <w:rPr>
                <w:rFonts w:cs="Arial"/>
                <w:color w:val="000000" w:themeColor="text1"/>
                <w:sz w:val="20"/>
                <w:szCs w:val="20"/>
              </w:rPr>
              <w:t>8</w:t>
            </w:r>
            <w:r w:rsidRPr="00C951F0">
              <w:rPr>
                <w:rFonts w:cs="Arial"/>
                <w:color w:val="000000" w:themeColor="text1"/>
                <w:sz w:val="20"/>
                <w:szCs w:val="20"/>
              </w:rPr>
              <w:t>·</w:t>
            </w:r>
            <w:r>
              <w:rPr>
                <w:rFonts w:cs="Arial"/>
                <w:color w:val="000000" w:themeColor="text1"/>
                <w:sz w:val="20"/>
                <w:szCs w:val="20"/>
              </w:rPr>
              <w:t>5</w:t>
            </w:r>
            <w:r w:rsidRPr="00C951F0">
              <w:rPr>
                <w:rFonts w:cs="Arial"/>
                <w:color w:val="000000" w:themeColor="text1"/>
                <w:sz w:val="20"/>
                <w:szCs w:val="20"/>
              </w:rPr>
              <w:t xml:space="preserve"> ± </w:t>
            </w:r>
            <w:r>
              <w:rPr>
                <w:rFonts w:cs="Arial"/>
                <w:color w:val="000000" w:themeColor="text1"/>
                <w:sz w:val="20"/>
                <w:szCs w:val="20"/>
              </w:rPr>
              <w:t>2</w:t>
            </w:r>
            <w:r w:rsidRPr="00C951F0">
              <w:rPr>
                <w:rFonts w:cs="Arial"/>
                <w:color w:val="000000" w:themeColor="text1"/>
                <w:sz w:val="20"/>
                <w:szCs w:val="20"/>
              </w:rPr>
              <w:t>·</w:t>
            </w:r>
            <w:r>
              <w:rPr>
                <w:rFonts w:cs="Arial"/>
                <w:color w:val="000000" w:themeColor="text1"/>
                <w:sz w:val="20"/>
                <w:szCs w:val="20"/>
              </w:rPr>
              <w:t>3</w:t>
            </w:r>
          </w:p>
        </w:tc>
        <w:tc>
          <w:tcPr>
            <w:tcW w:w="647" w:type="pct"/>
            <w:tcBorders>
              <w:left w:val="nil"/>
              <w:right w:val="nil"/>
            </w:tcBorders>
          </w:tcPr>
          <w:p w14:paraId="467A516C" w14:textId="1CE72115" w:rsidR="00174DB6" w:rsidRDefault="00174DB6" w:rsidP="0039543A">
            <w:pPr>
              <w:spacing w:line="240" w:lineRule="auto"/>
              <w:jc w:val="center"/>
              <w:rPr>
                <w:rFonts w:cs="Arial"/>
                <w:color w:val="000000" w:themeColor="text1"/>
                <w:sz w:val="20"/>
                <w:szCs w:val="20"/>
              </w:rPr>
            </w:pPr>
            <w:r w:rsidRPr="0037035E">
              <w:rPr>
                <w:rFonts w:cs="Arial"/>
                <w:color w:val="000000" w:themeColor="text1"/>
                <w:sz w:val="20"/>
                <w:szCs w:val="20"/>
              </w:rPr>
              <w:t>n=395</w:t>
            </w:r>
          </w:p>
          <w:p w14:paraId="110AB555" w14:textId="02EC0478" w:rsidR="00B1644A" w:rsidRPr="00C951F0" w:rsidRDefault="00174DB6" w:rsidP="0039543A">
            <w:pPr>
              <w:spacing w:line="240" w:lineRule="auto"/>
              <w:jc w:val="center"/>
              <w:rPr>
                <w:rFonts w:cs="Arial"/>
                <w:color w:val="000000" w:themeColor="text1"/>
                <w:sz w:val="20"/>
                <w:szCs w:val="20"/>
              </w:rPr>
            </w:pPr>
            <w:r>
              <w:rPr>
                <w:rFonts w:cs="Arial"/>
                <w:color w:val="000000" w:themeColor="text1"/>
                <w:sz w:val="20"/>
                <w:szCs w:val="20"/>
              </w:rPr>
              <w:t>8</w:t>
            </w:r>
            <w:r w:rsidRPr="00C951F0">
              <w:rPr>
                <w:rFonts w:cs="Arial"/>
                <w:color w:val="000000" w:themeColor="text1"/>
                <w:sz w:val="20"/>
                <w:szCs w:val="20"/>
              </w:rPr>
              <w:t>·</w:t>
            </w:r>
            <w:r>
              <w:rPr>
                <w:rFonts w:cs="Arial"/>
                <w:color w:val="000000" w:themeColor="text1"/>
                <w:sz w:val="20"/>
                <w:szCs w:val="20"/>
              </w:rPr>
              <w:t>6</w:t>
            </w:r>
            <w:r w:rsidRPr="00C951F0">
              <w:rPr>
                <w:rFonts w:cs="Arial"/>
                <w:color w:val="000000" w:themeColor="text1"/>
                <w:sz w:val="20"/>
                <w:szCs w:val="20"/>
              </w:rPr>
              <w:t xml:space="preserve"> ± </w:t>
            </w:r>
            <w:r>
              <w:rPr>
                <w:rFonts w:cs="Arial"/>
                <w:color w:val="000000" w:themeColor="text1"/>
                <w:sz w:val="20"/>
                <w:szCs w:val="20"/>
              </w:rPr>
              <w:t>2</w:t>
            </w:r>
            <w:r w:rsidRPr="00C951F0">
              <w:rPr>
                <w:rFonts w:cs="Arial"/>
                <w:color w:val="000000" w:themeColor="text1"/>
                <w:sz w:val="20"/>
                <w:szCs w:val="20"/>
              </w:rPr>
              <w:t>·</w:t>
            </w:r>
            <w:r>
              <w:rPr>
                <w:rFonts w:cs="Arial"/>
                <w:color w:val="000000" w:themeColor="text1"/>
                <w:sz w:val="20"/>
                <w:szCs w:val="20"/>
              </w:rPr>
              <w:t>3</w:t>
            </w:r>
          </w:p>
        </w:tc>
        <w:tc>
          <w:tcPr>
            <w:tcW w:w="648" w:type="pct"/>
            <w:tcBorders>
              <w:left w:val="nil"/>
              <w:right w:val="nil"/>
            </w:tcBorders>
          </w:tcPr>
          <w:p w14:paraId="58F34F9D" w14:textId="39B55B92" w:rsidR="00174DB6" w:rsidRDefault="00174DB6" w:rsidP="0039543A">
            <w:pPr>
              <w:spacing w:line="240" w:lineRule="auto"/>
              <w:jc w:val="center"/>
              <w:rPr>
                <w:rFonts w:cs="Arial"/>
                <w:color w:val="000000" w:themeColor="text1"/>
                <w:sz w:val="20"/>
                <w:szCs w:val="20"/>
              </w:rPr>
            </w:pPr>
            <w:r w:rsidRPr="0037035E">
              <w:rPr>
                <w:rFonts w:cs="Arial"/>
                <w:color w:val="000000" w:themeColor="text1"/>
                <w:sz w:val="20"/>
                <w:szCs w:val="20"/>
              </w:rPr>
              <w:t>n=400</w:t>
            </w:r>
          </w:p>
          <w:p w14:paraId="62DB2630" w14:textId="33742EAF" w:rsidR="00B1644A" w:rsidRPr="00C951F0" w:rsidRDefault="00174DB6" w:rsidP="0039543A">
            <w:pPr>
              <w:spacing w:line="240" w:lineRule="auto"/>
              <w:jc w:val="center"/>
              <w:rPr>
                <w:rFonts w:cs="Arial"/>
                <w:color w:val="000000" w:themeColor="text1"/>
                <w:sz w:val="20"/>
                <w:szCs w:val="20"/>
              </w:rPr>
            </w:pPr>
            <w:r>
              <w:rPr>
                <w:rFonts w:cs="Arial"/>
                <w:color w:val="000000" w:themeColor="text1"/>
                <w:sz w:val="20"/>
                <w:szCs w:val="20"/>
              </w:rPr>
              <w:t>8</w:t>
            </w:r>
            <w:r w:rsidRPr="00C951F0">
              <w:rPr>
                <w:rFonts w:cs="Arial"/>
                <w:color w:val="000000" w:themeColor="text1"/>
                <w:sz w:val="20"/>
                <w:szCs w:val="20"/>
              </w:rPr>
              <w:t>·</w:t>
            </w:r>
            <w:r>
              <w:rPr>
                <w:rFonts w:cs="Arial"/>
                <w:color w:val="000000" w:themeColor="text1"/>
                <w:sz w:val="20"/>
                <w:szCs w:val="20"/>
              </w:rPr>
              <w:t>8</w:t>
            </w:r>
            <w:r w:rsidRPr="00C951F0">
              <w:rPr>
                <w:rFonts w:cs="Arial"/>
                <w:color w:val="000000" w:themeColor="text1"/>
                <w:sz w:val="20"/>
                <w:szCs w:val="20"/>
              </w:rPr>
              <w:t xml:space="preserve"> ± </w:t>
            </w:r>
            <w:r>
              <w:rPr>
                <w:rFonts w:cs="Arial"/>
                <w:color w:val="000000" w:themeColor="text1"/>
                <w:sz w:val="20"/>
                <w:szCs w:val="20"/>
              </w:rPr>
              <w:t>2</w:t>
            </w:r>
            <w:r w:rsidRPr="00C951F0">
              <w:rPr>
                <w:rFonts w:cs="Arial"/>
                <w:color w:val="000000" w:themeColor="text1"/>
                <w:sz w:val="20"/>
                <w:szCs w:val="20"/>
              </w:rPr>
              <w:t>·</w:t>
            </w:r>
            <w:r>
              <w:rPr>
                <w:rFonts w:cs="Arial"/>
                <w:color w:val="000000" w:themeColor="text1"/>
                <w:sz w:val="20"/>
                <w:szCs w:val="20"/>
              </w:rPr>
              <w:t>3</w:t>
            </w:r>
          </w:p>
        </w:tc>
        <w:tc>
          <w:tcPr>
            <w:tcW w:w="646" w:type="pct"/>
            <w:tcBorders>
              <w:left w:val="nil"/>
              <w:right w:val="nil"/>
            </w:tcBorders>
          </w:tcPr>
          <w:p w14:paraId="4879D91B" w14:textId="49C34C1C" w:rsidR="00174DB6" w:rsidRDefault="00174DB6" w:rsidP="0039543A">
            <w:pPr>
              <w:spacing w:line="240" w:lineRule="auto"/>
              <w:jc w:val="center"/>
              <w:rPr>
                <w:rFonts w:cs="Arial"/>
                <w:color w:val="000000" w:themeColor="text1"/>
                <w:sz w:val="20"/>
                <w:szCs w:val="20"/>
              </w:rPr>
            </w:pPr>
            <w:r w:rsidRPr="0037035E">
              <w:rPr>
                <w:rFonts w:cs="Arial"/>
                <w:color w:val="000000" w:themeColor="text1"/>
                <w:sz w:val="20"/>
                <w:szCs w:val="20"/>
              </w:rPr>
              <w:t>n=1191</w:t>
            </w:r>
          </w:p>
          <w:p w14:paraId="0C54F501" w14:textId="0B2FC72C" w:rsidR="00B1644A" w:rsidRPr="00C951F0" w:rsidRDefault="00174DB6" w:rsidP="0039543A">
            <w:pPr>
              <w:spacing w:line="240" w:lineRule="auto"/>
              <w:jc w:val="center"/>
              <w:rPr>
                <w:rFonts w:cs="Arial"/>
                <w:color w:val="000000" w:themeColor="text1"/>
                <w:sz w:val="20"/>
                <w:szCs w:val="20"/>
              </w:rPr>
            </w:pPr>
            <w:r>
              <w:rPr>
                <w:rFonts w:cs="Arial"/>
                <w:color w:val="000000" w:themeColor="text1"/>
                <w:sz w:val="20"/>
                <w:szCs w:val="20"/>
              </w:rPr>
              <w:t>8</w:t>
            </w:r>
            <w:r w:rsidRPr="00C951F0">
              <w:rPr>
                <w:rFonts w:cs="Arial"/>
                <w:color w:val="000000" w:themeColor="text1"/>
                <w:sz w:val="20"/>
                <w:szCs w:val="20"/>
              </w:rPr>
              <w:t>·</w:t>
            </w:r>
            <w:r>
              <w:rPr>
                <w:rFonts w:cs="Arial"/>
                <w:color w:val="000000" w:themeColor="text1"/>
                <w:sz w:val="20"/>
                <w:szCs w:val="20"/>
              </w:rPr>
              <w:t>6</w:t>
            </w:r>
            <w:r w:rsidRPr="00C951F0">
              <w:rPr>
                <w:rFonts w:cs="Arial"/>
                <w:color w:val="000000" w:themeColor="text1"/>
                <w:sz w:val="20"/>
                <w:szCs w:val="20"/>
              </w:rPr>
              <w:t xml:space="preserve"> ± </w:t>
            </w:r>
            <w:r>
              <w:rPr>
                <w:rFonts w:cs="Arial"/>
                <w:color w:val="000000" w:themeColor="text1"/>
                <w:sz w:val="20"/>
                <w:szCs w:val="20"/>
              </w:rPr>
              <w:t>2</w:t>
            </w:r>
            <w:r w:rsidRPr="00C951F0">
              <w:rPr>
                <w:rFonts w:cs="Arial"/>
                <w:color w:val="000000" w:themeColor="text1"/>
                <w:sz w:val="20"/>
                <w:szCs w:val="20"/>
              </w:rPr>
              <w:t>·</w:t>
            </w:r>
            <w:r>
              <w:rPr>
                <w:rFonts w:cs="Arial"/>
                <w:color w:val="000000" w:themeColor="text1"/>
                <w:sz w:val="20"/>
                <w:szCs w:val="20"/>
              </w:rPr>
              <w:t>3</w:t>
            </w:r>
          </w:p>
        </w:tc>
      </w:tr>
      <w:tr w:rsidR="00C951F0" w:rsidRPr="00C951F0" w14:paraId="0B1AD6DB" w14:textId="77777777" w:rsidTr="00934A10">
        <w:tc>
          <w:tcPr>
            <w:tcW w:w="2390" w:type="pct"/>
            <w:tcBorders>
              <w:left w:val="nil"/>
              <w:bottom w:val="single" w:sz="4" w:space="0" w:color="auto"/>
              <w:right w:val="nil"/>
            </w:tcBorders>
          </w:tcPr>
          <w:p w14:paraId="099A9C2B" w14:textId="4F4E2221"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 xml:space="preserve">Duration of diabetes </w:t>
            </w:r>
            <w:r w:rsidR="00D2651E" w:rsidRPr="00C951F0">
              <w:rPr>
                <w:rFonts w:cs="Arial"/>
                <w:color w:val="000000" w:themeColor="text1"/>
                <w:sz w:val="20"/>
                <w:szCs w:val="20"/>
              </w:rPr>
              <w:t>—</w:t>
            </w:r>
            <w:r w:rsidRPr="00C951F0">
              <w:rPr>
                <w:rFonts w:cs="Arial"/>
                <w:color w:val="000000" w:themeColor="text1"/>
                <w:sz w:val="20"/>
                <w:szCs w:val="20"/>
              </w:rPr>
              <w:t>years</w:t>
            </w:r>
          </w:p>
        </w:tc>
        <w:tc>
          <w:tcPr>
            <w:tcW w:w="669" w:type="pct"/>
            <w:tcBorders>
              <w:left w:val="nil"/>
              <w:bottom w:val="single" w:sz="4" w:space="0" w:color="auto"/>
              <w:right w:val="nil"/>
            </w:tcBorders>
          </w:tcPr>
          <w:p w14:paraId="2E989547" w14:textId="117F7ABA" w:rsidR="00174DB6" w:rsidRDefault="00174DB6" w:rsidP="0039543A">
            <w:pPr>
              <w:spacing w:line="240" w:lineRule="auto"/>
              <w:jc w:val="center"/>
              <w:rPr>
                <w:rFonts w:cs="Arial"/>
                <w:color w:val="000000" w:themeColor="text1"/>
                <w:sz w:val="20"/>
                <w:szCs w:val="20"/>
              </w:rPr>
            </w:pPr>
            <w:r w:rsidRPr="0037035E">
              <w:rPr>
                <w:rFonts w:cs="Arial"/>
                <w:color w:val="000000" w:themeColor="text1"/>
                <w:sz w:val="20"/>
                <w:szCs w:val="20"/>
              </w:rPr>
              <w:t>n=404</w:t>
            </w:r>
          </w:p>
          <w:p w14:paraId="0B65DD04" w14:textId="0BB6AF58" w:rsidR="00B1644A" w:rsidRPr="00C951F0" w:rsidRDefault="00174DB6" w:rsidP="0039543A">
            <w:pPr>
              <w:spacing w:line="240" w:lineRule="auto"/>
              <w:jc w:val="center"/>
              <w:rPr>
                <w:rFonts w:cs="Arial"/>
                <w:color w:val="000000" w:themeColor="text1"/>
                <w:sz w:val="20"/>
                <w:szCs w:val="20"/>
              </w:rPr>
            </w:pPr>
            <w:r w:rsidRPr="00C951F0">
              <w:rPr>
                <w:rFonts w:cs="Arial"/>
                <w:color w:val="000000" w:themeColor="text1"/>
                <w:sz w:val="20"/>
                <w:szCs w:val="20"/>
              </w:rPr>
              <w:t>8·2 ± 6·2</w:t>
            </w:r>
          </w:p>
        </w:tc>
        <w:tc>
          <w:tcPr>
            <w:tcW w:w="647" w:type="pct"/>
            <w:tcBorders>
              <w:left w:val="nil"/>
              <w:bottom w:val="single" w:sz="4" w:space="0" w:color="auto"/>
              <w:right w:val="nil"/>
            </w:tcBorders>
          </w:tcPr>
          <w:p w14:paraId="5B6249E7" w14:textId="74740D68" w:rsidR="00174DB6" w:rsidRDefault="00174DB6" w:rsidP="0039543A">
            <w:pPr>
              <w:spacing w:line="240" w:lineRule="auto"/>
              <w:jc w:val="center"/>
              <w:rPr>
                <w:rFonts w:cs="Arial"/>
                <w:color w:val="000000" w:themeColor="text1"/>
                <w:sz w:val="20"/>
                <w:szCs w:val="20"/>
              </w:rPr>
            </w:pPr>
            <w:r w:rsidRPr="0037035E">
              <w:rPr>
                <w:rFonts w:cs="Arial"/>
                <w:color w:val="000000" w:themeColor="text1"/>
                <w:sz w:val="20"/>
                <w:szCs w:val="20"/>
              </w:rPr>
              <w:t>n=403</w:t>
            </w:r>
          </w:p>
          <w:p w14:paraId="5DDC8931" w14:textId="529C9F12" w:rsidR="00B1644A" w:rsidRPr="00C951F0" w:rsidRDefault="00174DB6" w:rsidP="0039543A">
            <w:pPr>
              <w:spacing w:line="240" w:lineRule="auto"/>
              <w:jc w:val="center"/>
              <w:rPr>
                <w:rFonts w:cs="Arial"/>
                <w:color w:val="000000" w:themeColor="text1"/>
                <w:sz w:val="20"/>
                <w:szCs w:val="20"/>
              </w:rPr>
            </w:pPr>
            <w:r w:rsidRPr="00C951F0">
              <w:rPr>
                <w:rFonts w:cs="Arial"/>
                <w:color w:val="000000" w:themeColor="text1"/>
                <w:sz w:val="20"/>
                <w:szCs w:val="20"/>
              </w:rPr>
              <w:t>7·7 ± 5·9</w:t>
            </w:r>
          </w:p>
        </w:tc>
        <w:tc>
          <w:tcPr>
            <w:tcW w:w="648" w:type="pct"/>
            <w:tcBorders>
              <w:left w:val="nil"/>
              <w:bottom w:val="single" w:sz="4" w:space="0" w:color="auto"/>
              <w:right w:val="nil"/>
            </w:tcBorders>
          </w:tcPr>
          <w:p w14:paraId="505B968B" w14:textId="3DBCEA77" w:rsidR="00174DB6" w:rsidRDefault="00174DB6" w:rsidP="0039543A">
            <w:pPr>
              <w:spacing w:line="240" w:lineRule="auto"/>
              <w:jc w:val="center"/>
              <w:rPr>
                <w:rFonts w:cs="Arial"/>
                <w:color w:val="000000" w:themeColor="text1"/>
                <w:sz w:val="20"/>
                <w:szCs w:val="20"/>
              </w:rPr>
            </w:pPr>
            <w:r w:rsidRPr="0037035E">
              <w:rPr>
                <w:rFonts w:cs="Arial"/>
                <w:color w:val="000000" w:themeColor="text1"/>
                <w:sz w:val="20"/>
                <w:szCs w:val="20"/>
              </w:rPr>
              <w:t>n=402</w:t>
            </w:r>
          </w:p>
          <w:p w14:paraId="7087F31E" w14:textId="4887B8F1" w:rsidR="00B1644A" w:rsidRPr="00C951F0" w:rsidRDefault="00174DB6" w:rsidP="0039543A">
            <w:pPr>
              <w:spacing w:line="240" w:lineRule="auto"/>
              <w:jc w:val="center"/>
              <w:rPr>
                <w:rFonts w:cs="Arial"/>
                <w:color w:val="000000" w:themeColor="text1"/>
                <w:sz w:val="20"/>
                <w:szCs w:val="20"/>
              </w:rPr>
            </w:pPr>
            <w:r w:rsidRPr="00C951F0">
              <w:rPr>
                <w:rFonts w:cs="Arial"/>
                <w:color w:val="000000" w:themeColor="text1"/>
                <w:sz w:val="20"/>
                <w:szCs w:val="20"/>
              </w:rPr>
              <w:t>8·2 ± 6·2</w:t>
            </w:r>
          </w:p>
        </w:tc>
        <w:tc>
          <w:tcPr>
            <w:tcW w:w="646" w:type="pct"/>
            <w:tcBorders>
              <w:left w:val="nil"/>
              <w:bottom w:val="single" w:sz="4" w:space="0" w:color="auto"/>
              <w:right w:val="nil"/>
            </w:tcBorders>
          </w:tcPr>
          <w:p w14:paraId="1432C38A" w14:textId="74F7537E" w:rsidR="00174DB6" w:rsidRDefault="00174DB6" w:rsidP="0039543A">
            <w:pPr>
              <w:spacing w:line="240" w:lineRule="auto"/>
              <w:jc w:val="center"/>
              <w:rPr>
                <w:rFonts w:cs="Arial"/>
                <w:color w:val="000000" w:themeColor="text1"/>
                <w:sz w:val="20"/>
                <w:szCs w:val="20"/>
              </w:rPr>
            </w:pPr>
            <w:r w:rsidRPr="0037035E">
              <w:rPr>
                <w:rFonts w:cs="Arial"/>
                <w:color w:val="000000" w:themeColor="text1"/>
                <w:sz w:val="20"/>
                <w:szCs w:val="20"/>
              </w:rPr>
              <w:t>n=1209</w:t>
            </w:r>
          </w:p>
          <w:p w14:paraId="2A86A954" w14:textId="39BD79A8" w:rsidR="00B1644A" w:rsidRPr="00C951F0" w:rsidRDefault="00174DB6" w:rsidP="0039543A">
            <w:pPr>
              <w:spacing w:line="240" w:lineRule="auto"/>
              <w:jc w:val="center"/>
              <w:rPr>
                <w:rFonts w:cs="Arial"/>
                <w:color w:val="000000" w:themeColor="text1"/>
                <w:sz w:val="20"/>
                <w:szCs w:val="20"/>
              </w:rPr>
            </w:pPr>
            <w:r w:rsidRPr="00C951F0">
              <w:rPr>
                <w:rFonts w:cs="Arial"/>
                <w:color w:val="000000" w:themeColor="text1"/>
                <w:sz w:val="20"/>
                <w:szCs w:val="20"/>
              </w:rPr>
              <w:t>8·0 ± 6·1</w:t>
            </w:r>
          </w:p>
        </w:tc>
      </w:tr>
      <w:tr w:rsidR="00C951F0" w:rsidRPr="00C951F0" w14:paraId="08B1D13A" w14:textId="77777777" w:rsidTr="00934A10">
        <w:tc>
          <w:tcPr>
            <w:tcW w:w="2390" w:type="pct"/>
            <w:tcBorders>
              <w:left w:val="nil"/>
              <w:bottom w:val="nil"/>
              <w:right w:val="nil"/>
            </w:tcBorders>
          </w:tcPr>
          <w:p w14:paraId="1FB15325" w14:textId="66B961DE" w:rsidR="00B1644A" w:rsidRPr="00C951F0" w:rsidRDefault="00B1644A" w:rsidP="0039543A">
            <w:pPr>
              <w:spacing w:line="240" w:lineRule="auto"/>
              <w:rPr>
                <w:rFonts w:cs="Arial"/>
                <w:color w:val="000000" w:themeColor="text1"/>
                <w:sz w:val="20"/>
                <w:szCs w:val="20"/>
                <w:highlight w:val="green"/>
              </w:rPr>
            </w:pPr>
            <w:r w:rsidRPr="00C951F0">
              <w:rPr>
                <w:rFonts w:cs="Arial"/>
                <w:color w:val="000000" w:themeColor="text1"/>
                <w:sz w:val="20"/>
                <w:szCs w:val="20"/>
              </w:rPr>
              <w:t>Glucose</w:t>
            </w:r>
            <w:r w:rsidR="00352258" w:rsidRPr="00C951F0">
              <w:rPr>
                <w:rFonts w:cs="Arial"/>
                <w:color w:val="000000" w:themeColor="text1"/>
                <w:sz w:val="20"/>
                <w:szCs w:val="20"/>
              </w:rPr>
              <w:t>-</w:t>
            </w:r>
            <w:r w:rsidRPr="00C951F0">
              <w:rPr>
                <w:rFonts w:cs="Arial"/>
                <w:color w:val="000000" w:themeColor="text1"/>
                <w:sz w:val="20"/>
                <w:szCs w:val="20"/>
              </w:rPr>
              <w:t xml:space="preserve">lowering drug class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left w:val="nil"/>
              <w:bottom w:val="nil"/>
              <w:right w:val="nil"/>
            </w:tcBorders>
          </w:tcPr>
          <w:p w14:paraId="70CF8622" w14:textId="77777777" w:rsidR="00B1644A" w:rsidRPr="00C951F0" w:rsidRDefault="00B1644A" w:rsidP="0039543A">
            <w:pPr>
              <w:spacing w:line="240" w:lineRule="auto"/>
              <w:jc w:val="center"/>
              <w:rPr>
                <w:rFonts w:cs="Arial"/>
                <w:color w:val="000000" w:themeColor="text1"/>
                <w:sz w:val="20"/>
                <w:szCs w:val="20"/>
              </w:rPr>
            </w:pPr>
          </w:p>
        </w:tc>
        <w:tc>
          <w:tcPr>
            <w:tcW w:w="647" w:type="pct"/>
            <w:tcBorders>
              <w:left w:val="nil"/>
              <w:bottom w:val="nil"/>
              <w:right w:val="nil"/>
            </w:tcBorders>
          </w:tcPr>
          <w:p w14:paraId="6459C26E" w14:textId="77777777" w:rsidR="00B1644A" w:rsidRPr="00C951F0" w:rsidRDefault="00B1644A" w:rsidP="0039543A">
            <w:pPr>
              <w:spacing w:line="240" w:lineRule="auto"/>
              <w:jc w:val="center"/>
              <w:rPr>
                <w:rFonts w:cs="Arial"/>
                <w:color w:val="000000" w:themeColor="text1"/>
                <w:sz w:val="20"/>
                <w:szCs w:val="20"/>
              </w:rPr>
            </w:pPr>
          </w:p>
        </w:tc>
        <w:tc>
          <w:tcPr>
            <w:tcW w:w="648" w:type="pct"/>
            <w:tcBorders>
              <w:left w:val="nil"/>
              <w:bottom w:val="nil"/>
              <w:right w:val="nil"/>
            </w:tcBorders>
          </w:tcPr>
          <w:p w14:paraId="6284EE5E" w14:textId="77777777" w:rsidR="00B1644A" w:rsidRPr="00C951F0" w:rsidRDefault="00B1644A" w:rsidP="0039543A">
            <w:pPr>
              <w:spacing w:line="240" w:lineRule="auto"/>
              <w:jc w:val="center"/>
              <w:rPr>
                <w:rFonts w:cs="Arial"/>
                <w:color w:val="000000" w:themeColor="text1"/>
                <w:sz w:val="20"/>
                <w:szCs w:val="20"/>
              </w:rPr>
            </w:pPr>
          </w:p>
        </w:tc>
        <w:tc>
          <w:tcPr>
            <w:tcW w:w="646" w:type="pct"/>
            <w:tcBorders>
              <w:left w:val="nil"/>
              <w:bottom w:val="nil"/>
              <w:right w:val="nil"/>
            </w:tcBorders>
          </w:tcPr>
          <w:p w14:paraId="20B98862" w14:textId="77777777" w:rsidR="00B1644A" w:rsidRPr="00C951F0" w:rsidRDefault="00B1644A" w:rsidP="0039543A">
            <w:pPr>
              <w:spacing w:line="240" w:lineRule="auto"/>
              <w:jc w:val="center"/>
              <w:rPr>
                <w:rFonts w:cs="Arial"/>
                <w:color w:val="000000" w:themeColor="text1"/>
                <w:sz w:val="20"/>
                <w:szCs w:val="20"/>
              </w:rPr>
            </w:pPr>
          </w:p>
        </w:tc>
      </w:tr>
      <w:tr w:rsidR="00C951F0" w:rsidRPr="00C951F0" w14:paraId="5839A9DD" w14:textId="77777777" w:rsidTr="00934A10">
        <w:tc>
          <w:tcPr>
            <w:tcW w:w="2390" w:type="pct"/>
            <w:tcBorders>
              <w:top w:val="nil"/>
              <w:left w:val="nil"/>
              <w:bottom w:val="nil"/>
              <w:right w:val="nil"/>
            </w:tcBorders>
          </w:tcPr>
          <w:p w14:paraId="28B44556" w14:textId="3339ED69"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Biguanides</w:t>
            </w:r>
          </w:p>
        </w:tc>
        <w:tc>
          <w:tcPr>
            <w:tcW w:w="669" w:type="pct"/>
            <w:tcBorders>
              <w:top w:val="nil"/>
              <w:left w:val="nil"/>
              <w:bottom w:val="nil"/>
              <w:right w:val="nil"/>
            </w:tcBorders>
          </w:tcPr>
          <w:p w14:paraId="26D4AE9D" w14:textId="50559E5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370 (91</w:t>
            </w:r>
            <w:r w:rsidR="00C5236B" w:rsidRPr="00C951F0">
              <w:rPr>
                <w:rFonts w:cs="Arial"/>
                <w:color w:val="000000" w:themeColor="text1"/>
                <w:sz w:val="20"/>
                <w:szCs w:val="20"/>
              </w:rPr>
              <w:t>·</w:t>
            </w:r>
            <w:r w:rsidRPr="00C951F0">
              <w:rPr>
                <w:rFonts w:cs="Arial"/>
                <w:color w:val="000000" w:themeColor="text1"/>
                <w:sz w:val="20"/>
                <w:szCs w:val="20"/>
              </w:rPr>
              <w:t>6)</w:t>
            </w:r>
          </w:p>
        </w:tc>
        <w:tc>
          <w:tcPr>
            <w:tcW w:w="647" w:type="pct"/>
            <w:tcBorders>
              <w:top w:val="nil"/>
              <w:left w:val="nil"/>
              <w:bottom w:val="nil"/>
              <w:right w:val="nil"/>
            </w:tcBorders>
          </w:tcPr>
          <w:p w14:paraId="483B839E" w14:textId="7FA8A7ED"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379 (94</w:t>
            </w:r>
            <w:r w:rsidR="00C5236B" w:rsidRPr="00C951F0">
              <w:rPr>
                <w:rFonts w:cs="Arial"/>
                <w:color w:val="000000" w:themeColor="text1"/>
                <w:sz w:val="20"/>
                <w:szCs w:val="20"/>
              </w:rPr>
              <w:t>·</w:t>
            </w:r>
            <w:r w:rsidRPr="00C951F0">
              <w:rPr>
                <w:rFonts w:cs="Arial"/>
                <w:color w:val="000000" w:themeColor="text1"/>
                <w:sz w:val="20"/>
                <w:szCs w:val="20"/>
              </w:rPr>
              <w:t>0)</w:t>
            </w:r>
          </w:p>
        </w:tc>
        <w:tc>
          <w:tcPr>
            <w:tcW w:w="648" w:type="pct"/>
            <w:tcBorders>
              <w:top w:val="nil"/>
              <w:left w:val="nil"/>
              <w:bottom w:val="nil"/>
              <w:right w:val="nil"/>
            </w:tcBorders>
          </w:tcPr>
          <w:p w14:paraId="2E352249" w14:textId="043F2903"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362 (89</w:t>
            </w:r>
            <w:r w:rsidR="00C5236B" w:rsidRPr="00C951F0">
              <w:rPr>
                <w:rFonts w:cs="Arial"/>
                <w:color w:val="000000" w:themeColor="text1"/>
                <w:sz w:val="20"/>
                <w:szCs w:val="20"/>
              </w:rPr>
              <w:t>·</w:t>
            </w:r>
            <w:r w:rsidRPr="00C951F0">
              <w:rPr>
                <w:rFonts w:cs="Arial"/>
                <w:color w:val="000000" w:themeColor="text1"/>
                <w:sz w:val="20"/>
                <w:szCs w:val="20"/>
              </w:rPr>
              <w:t>8)</w:t>
            </w:r>
          </w:p>
        </w:tc>
        <w:tc>
          <w:tcPr>
            <w:tcW w:w="646" w:type="pct"/>
            <w:tcBorders>
              <w:top w:val="nil"/>
              <w:left w:val="nil"/>
              <w:bottom w:val="nil"/>
              <w:right w:val="nil"/>
            </w:tcBorders>
          </w:tcPr>
          <w:p w14:paraId="477114D9" w14:textId="0614F99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1111 (91</w:t>
            </w:r>
            <w:r w:rsidR="00C5236B" w:rsidRPr="00C951F0">
              <w:rPr>
                <w:rFonts w:cs="Arial"/>
                <w:color w:val="000000" w:themeColor="text1"/>
                <w:sz w:val="20"/>
                <w:szCs w:val="20"/>
              </w:rPr>
              <w:t>·</w:t>
            </w:r>
            <w:r w:rsidRPr="00C951F0">
              <w:rPr>
                <w:rFonts w:cs="Arial"/>
                <w:color w:val="000000" w:themeColor="text1"/>
                <w:sz w:val="20"/>
                <w:szCs w:val="20"/>
              </w:rPr>
              <w:t>8)</w:t>
            </w:r>
          </w:p>
        </w:tc>
      </w:tr>
      <w:tr w:rsidR="00C951F0" w:rsidRPr="00C951F0" w14:paraId="58C699BD" w14:textId="77777777" w:rsidTr="00934A10">
        <w:tc>
          <w:tcPr>
            <w:tcW w:w="2390" w:type="pct"/>
            <w:tcBorders>
              <w:top w:val="nil"/>
              <w:left w:val="nil"/>
              <w:bottom w:val="nil"/>
              <w:right w:val="nil"/>
            </w:tcBorders>
          </w:tcPr>
          <w:p w14:paraId="373665BE" w14:textId="6DB7AA62"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Sulfonylureas</w:t>
            </w:r>
          </w:p>
        </w:tc>
        <w:tc>
          <w:tcPr>
            <w:tcW w:w="669" w:type="pct"/>
            <w:tcBorders>
              <w:top w:val="nil"/>
              <w:left w:val="nil"/>
              <w:bottom w:val="nil"/>
              <w:right w:val="nil"/>
            </w:tcBorders>
          </w:tcPr>
          <w:p w14:paraId="3CE9F76D" w14:textId="3A1068F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110 (27</w:t>
            </w:r>
            <w:r w:rsidR="00C5236B" w:rsidRPr="00C951F0">
              <w:rPr>
                <w:rFonts w:cs="Arial"/>
                <w:color w:val="000000" w:themeColor="text1"/>
                <w:sz w:val="20"/>
                <w:szCs w:val="20"/>
              </w:rPr>
              <w:t>·</w:t>
            </w:r>
            <w:r w:rsidRPr="00C951F0">
              <w:rPr>
                <w:rFonts w:cs="Arial"/>
                <w:color w:val="000000" w:themeColor="text1"/>
                <w:sz w:val="20"/>
                <w:szCs w:val="20"/>
              </w:rPr>
              <w:t>2)</w:t>
            </w:r>
          </w:p>
        </w:tc>
        <w:tc>
          <w:tcPr>
            <w:tcW w:w="647" w:type="pct"/>
            <w:tcBorders>
              <w:top w:val="nil"/>
              <w:left w:val="nil"/>
              <w:bottom w:val="nil"/>
              <w:right w:val="nil"/>
            </w:tcBorders>
          </w:tcPr>
          <w:p w14:paraId="76C5DC6C" w14:textId="22978CD8"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99 (24</w:t>
            </w:r>
            <w:r w:rsidR="00C5236B" w:rsidRPr="00C951F0">
              <w:rPr>
                <w:rFonts w:cs="Arial"/>
                <w:color w:val="000000" w:themeColor="text1"/>
                <w:sz w:val="20"/>
                <w:szCs w:val="20"/>
              </w:rPr>
              <w:t>·</w:t>
            </w:r>
            <w:r w:rsidRPr="00C951F0">
              <w:rPr>
                <w:rFonts w:cs="Arial"/>
                <w:color w:val="000000" w:themeColor="text1"/>
                <w:sz w:val="20"/>
                <w:szCs w:val="20"/>
              </w:rPr>
              <w:t>6)</w:t>
            </w:r>
          </w:p>
        </w:tc>
        <w:tc>
          <w:tcPr>
            <w:tcW w:w="648" w:type="pct"/>
            <w:tcBorders>
              <w:top w:val="nil"/>
              <w:left w:val="nil"/>
              <w:bottom w:val="nil"/>
              <w:right w:val="nil"/>
            </w:tcBorders>
          </w:tcPr>
          <w:p w14:paraId="1FA6148C" w14:textId="2B030E64"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99 (24</w:t>
            </w:r>
            <w:r w:rsidR="00C5236B" w:rsidRPr="00C951F0">
              <w:rPr>
                <w:rFonts w:cs="Arial"/>
                <w:color w:val="000000" w:themeColor="text1"/>
                <w:sz w:val="20"/>
                <w:szCs w:val="20"/>
              </w:rPr>
              <w:t>·</w:t>
            </w:r>
            <w:r w:rsidRPr="00C951F0">
              <w:rPr>
                <w:rFonts w:cs="Arial"/>
                <w:color w:val="000000" w:themeColor="text1"/>
                <w:sz w:val="20"/>
                <w:szCs w:val="20"/>
              </w:rPr>
              <w:t>6)</w:t>
            </w:r>
          </w:p>
        </w:tc>
        <w:tc>
          <w:tcPr>
            <w:tcW w:w="646" w:type="pct"/>
            <w:tcBorders>
              <w:top w:val="nil"/>
              <w:left w:val="nil"/>
              <w:bottom w:val="nil"/>
              <w:right w:val="nil"/>
            </w:tcBorders>
          </w:tcPr>
          <w:p w14:paraId="416EF555" w14:textId="2F4BD69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308 (25</w:t>
            </w:r>
            <w:r w:rsidR="00C5236B" w:rsidRPr="00C951F0">
              <w:rPr>
                <w:rFonts w:cs="Arial"/>
                <w:color w:val="000000" w:themeColor="text1"/>
                <w:sz w:val="20"/>
                <w:szCs w:val="20"/>
              </w:rPr>
              <w:t>·</w:t>
            </w:r>
            <w:r w:rsidRPr="00C951F0">
              <w:rPr>
                <w:rFonts w:cs="Arial"/>
                <w:color w:val="000000" w:themeColor="text1"/>
                <w:sz w:val="20"/>
                <w:szCs w:val="20"/>
              </w:rPr>
              <w:t>5)</w:t>
            </w:r>
          </w:p>
        </w:tc>
      </w:tr>
      <w:tr w:rsidR="00C951F0" w:rsidRPr="00C951F0" w14:paraId="20459D63" w14:textId="77777777" w:rsidTr="00934A10">
        <w:tc>
          <w:tcPr>
            <w:tcW w:w="2390" w:type="pct"/>
            <w:tcBorders>
              <w:top w:val="nil"/>
              <w:left w:val="nil"/>
              <w:bottom w:val="nil"/>
              <w:right w:val="nil"/>
            </w:tcBorders>
          </w:tcPr>
          <w:p w14:paraId="5604DC06" w14:textId="0B74248B"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SGLT2 inhibitors</w:t>
            </w:r>
          </w:p>
        </w:tc>
        <w:tc>
          <w:tcPr>
            <w:tcW w:w="669" w:type="pct"/>
            <w:tcBorders>
              <w:top w:val="nil"/>
              <w:left w:val="nil"/>
              <w:bottom w:val="nil"/>
              <w:right w:val="nil"/>
            </w:tcBorders>
          </w:tcPr>
          <w:p w14:paraId="1379AF65" w14:textId="01AA992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99 (24</w:t>
            </w:r>
            <w:r w:rsidR="00C5236B" w:rsidRPr="00C951F0">
              <w:rPr>
                <w:rFonts w:cs="Arial"/>
                <w:color w:val="000000" w:themeColor="text1"/>
                <w:sz w:val="20"/>
                <w:szCs w:val="20"/>
              </w:rPr>
              <w:t>·</w:t>
            </w:r>
            <w:r w:rsidRPr="00C951F0">
              <w:rPr>
                <w:rFonts w:cs="Arial"/>
                <w:color w:val="000000" w:themeColor="text1"/>
                <w:sz w:val="20"/>
                <w:szCs w:val="20"/>
              </w:rPr>
              <w:t>5)</w:t>
            </w:r>
          </w:p>
        </w:tc>
        <w:tc>
          <w:tcPr>
            <w:tcW w:w="647" w:type="pct"/>
            <w:tcBorders>
              <w:top w:val="nil"/>
              <w:left w:val="nil"/>
              <w:bottom w:val="nil"/>
              <w:right w:val="nil"/>
            </w:tcBorders>
          </w:tcPr>
          <w:p w14:paraId="3E4A67AB" w14:textId="08C1360C"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96 (23</w:t>
            </w:r>
            <w:r w:rsidR="00C5236B" w:rsidRPr="00C951F0">
              <w:rPr>
                <w:rFonts w:cs="Arial"/>
                <w:color w:val="000000" w:themeColor="text1"/>
                <w:sz w:val="20"/>
                <w:szCs w:val="20"/>
              </w:rPr>
              <w:t>·</w:t>
            </w:r>
            <w:r w:rsidRPr="00C951F0">
              <w:rPr>
                <w:rFonts w:cs="Arial"/>
                <w:color w:val="000000" w:themeColor="text1"/>
                <w:sz w:val="20"/>
                <w:szCs w:val="20"/>
              </w:rPr>
              <w:t>8)</w:t>
            </w:r>
          </w:p>
        </w:tc>
        <w:tc>
          <w:tcPr>
            <w:tcW w:w="648" w:type="pct"/>
            <w:tcBorders>
              <w:top w:val="nil"/>
              <w:left w:val="nil"/>
              <w:bottom w:val="nil"/>
              <w:right w:val="nil"/>
            </w:tcBorders>
          </w:tcPr>
          <w:p w14:paraId="4777EAE1" w14:textId="77432088"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105 (26</w:t>
            </w:r>
            <w:r w:rsidR="00C5236B" w:rsidRPr="00C951F0">
              <w:rPr>
                <w:rFonts w:cs="Arial"/>
                <w:color w:val="000000" w:themeColor="text1"/>
                <w:sz w:val="20"/>
                <w:szCs w:val="20"/>
              </w:rPr>
              <w:t>·</w:t>
            </w:r>
            <w:r w:rsidRPr="00C951F0">
              <w:rPr>
                <w:rFonts w:cs="Arial"/>
                <w:color w:val="000000" w:themeColor="text1"/>
                <w:sz w:val="20"/>
                <w:szCs w:val="20"/>
              </w:rPr>
              <w:t>1)</w:t>
            </w:r>
          </w:p>
        </w:tc>
        <w:tc>
          <w:tcPr>
            <w:tcW w:w="646" w:type="pct"/>
            <w:tcBorders>
              <w:top w:val="nil"/>
              <w:left w:val="nil"/>
              <w:bottom w:val="nil"/>
              <w:right w:val="nil"/>
            </w:tcBorders>
          </w:tcPr>
          <w:p w14:paraId="5E7A98D2" w14:textId="6543FEC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300 (24</w:t>
            </w:r>
            <w:r w:rsidR="00C5236B" w:rsidRPr="00C951F0">
              <w:rPr>
                <w:rFonts w:cs="Arial"/>
                <w:color w:val="000000" w:themeColor="text1"/>
                <w:sz w:val="20"/>
                <w:szCs w:val="20"/>
              </w:rPr>
              <w:t>·</w:t>
            </w:r>
            <w:r w:rsidRPr="00C951F0">
              <w:rPr>
                <w:rFonts w:cs="Arial"/>
                <w:color w:val="000000" w:themeColor="text1"/>
                <w:sz w:val="20"/>
                <w:szCs w:val="20"/>
              </w:rPr>
              <w:t>8)</w:t>
            </w:r>
          </w:p>
        </w:tc>
      </w:tr>
      <w:tr w:rsidR="00C951F0" w:rsidRPr="00C951F0" w14:paraId="6018B56E" w14:textId="77777777" w:rsidTr="00934A10">
        <w:tc>
          <w:tcPr>
            <w:tcW w:w="2390" w:type="pct"/>
            <w:tcBorders>
              <w:top w:val="nil"/>
              <w:left w:val="nil"/>
              <w:bottom w:val="nil"/>
              <w:right w:val="nil"/>
            </w:tcBorders>
          </w:tcPr>
          <w:p w14:paraId="29B3A46D" w14:textId="7C90F851"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Thiazolidinediones</w:t>
            </w:r>
          </w:p>
        </w:tc>
        <w:tc>
          <w:tcPr>
            <w:tcW w:w="669" w:type="pct"/>
            <w:tcBorders>
              <w:top w:val="nil"/>
              <w:left w:val="nil"/>
              <w:bottom w:val="nil"/>
              <w:right w:val="nil"/>
            </w:tcBorders>
          </w:tcPr>
          <w:p w14:paraId="6BB7ABAF" w14:textId="60934332"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19 (4</w:t>
            </w:r>
            <w:r w:rsidR="00C5236B" w:rsidRPr="00C951F0">
              <w:rPr>
                <w:rFonts w:cs="Arial"/>
                <w:color w:val="000000" w:themeColor="text1"/>
                <w:sz w:val="20"/>
                <w:szCs w:val="20"/>
              </w:rPr>
              <w:t>·</w:t>
            </w:r>
            <w:r w:rsidRPr="00C951F0">
              <w:rPr>
                <w:rFonts w:cs="Arial"/>
                <w:color w:val="000000" w:themeColor="text1"/>
                <w:sz w:val="20"/>
                <w:szCs w:val="20"/>
              </w:rPr>
              <w:t>7)</w:t>
            </w:r>
          </w:p>
        </w:tc>
        <w:tc>
          <w:tcPr>
            <w:tcW w:w="647" w:type="pct"/>
            <w:tcBorders>
              <w:top w:val="nil"/>
              <w:left w:val="nil"/>
              <w:bottom w:val="nil"/>
              <w:right w:val="nil"/>
            </w:tcBorders>
          </w:tcPr>
          <w:p w14:paraId="00423A5C" w14:textId="0C85B41A"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16 (4</w:t>
            </w:r>
            <w:r w:rsidR="00C5236B" w:rsidRPr="00C951F0">
              <w:rPr>
                <w:rFonts w:cs="Arial"/>
                <w:color w:val="000000" w:themeColor="text1"/>
                <w:sz w:val="20"/>
                <w:szCs w:val="20"/>
              </w:rPr>
              <w:t>·</w:t>
            </w:r>
            <w:r w:rsidRPr="00C951F0">
              <w:rPr>
                <w:rFonts w:cs="Arial"/>
                <w:color w:val="000000" w:themeColor="text1"/>
                <w:sz w:val="20"/>
                <w:szCs w:val="20"/>
              </w:rPr>
              <w:t>0)</w:t>
            </w:r>
          </w:p>
        </w:tc>
        <w:tc>
          <w:tcPr>
            <w:tcW w:w="648" w:type="pct"/>
            <w:tcBorders>
              <w:top w:val="nil"/>
              <w:left w:val="nil"/>
              <w:bottom w:val="nil"/>
              <w:right w:val="nil"/>
            </w:tcBorders>
          </w:tcPr>
          <w:p w14:paraId="07C5908D" w14:textId="005B023F"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19 (4</w:t>
            </w:r>
            <w:r w:rsidR="00C5236B" w:rsidRPr="00C951F0">
              <w:rPr>
                <w:rFonts w:cs="Arial"/>
                <w:color w:val="000000" w:themeColor="text1"/>
                <w:sz w:val="20"/>
                <w:szCs w:val="20"/>
              </w:rPr>
              <w:t>·</w:t>
            </w:r>
            <w:r w:rsidRPr="00C951F0">
              <w:rPr>
                <w:rFonts w:cs="Arial"/>
                <w:color w:val="000000" w:themeColor="text1"/>
                <w:sz w:val="20"/>
                <w:szCs w:val="20"/>
              </w:rPr>
              <w:t>7)</w:t>
            </w:r>
          </w:p>
        </w:tc>
        <w:tc>
          <w:tcPr>
            <w:tcW w:w="646" w:type="pct"/>
            <w:tcBorders>
              <w:top w:val="nil"/>
              <w:left w:val="nil"/>
              <w:bottom w:val="nil"/>
              <w:right w:val="nil"/>
            </w:tcBorders>
          </w:tcPr>
          <w:p w14:paraId="41471C62" w14:textId="3E71D23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54 (4</w:t>
            </w:r>
            <w:r w:rsidR="00C5236B" w:rsidRPr="00C951F0">
              <w:rPr>
                <w:rFonts w:cs="Arial"/>
                <w:color w:val="000000" w:themeColor="text1"/>
                <w:sz w:val="20"/>
                <w:szCs w:val="20"/>
              </w:rPr>
              <w:t>·</w:t>
            </w:r>
            <w:r w:rsidRPr="00C951F0">
              <w:rPr>
                <w:rFonts w:cs="Arial"/>
                <w:color w:val="000000" w:themeColor="text1"/>
                <w:sz w:val="20"/>
                <w:szCs w:val="20"/>
              </w:rPr>
              <w:t>5)</w:t>
            </w:r>
          </w:p>
        </w:tc>
      </w:tr>
      <w:tr w:rsidR="00C951F0" w:rsidRPr="00C951F0" w14:paraId="26D49F2C" w14:textId="77777777" w:rsidTr="00934A10">
        <w:tc>
          <w:tcPr>
            <w:tcW w:w="2390" w:type="pct"/>
            <w:tcBorders>
              <w:top w:val="nil"/>
              <w:left w:val="nil"/>
              <w:bottom w:val="nil"/>
              <w:right w:val="nil"/>
            </w:tcBorders>
          </w:tcPr>
          <w:p w14:paraId="2EF525B6" w14:textId="2F9ABC69"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DPP4 inhibitors†</w:t>
            </w:r>
          </w:p>
        </w:tc>
        <w:tc>
          <w:tcPr>
            <w:tcW w:w="669" w:type="pct"/>
            <w:tcBorders>
              <w:top w:val="nil"/>
              <w:left w:val="nil"/>
              <w:bottom w:val="nil"/>
              <w:right w:val="nil"/>
            </w:tcBorders>
          </w:tcPr>
          <w:p w14:paraId="0DB48E69" w14:textId="5E3AD8F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 (0</w:t>
            </w:r>
            <w:r w:rsidR="00C5236B" w:rsidRPr="00C951F0">
              <w:rPr>
                <w:rFonts w:cs="Arial"/>
                <w:color w:val="000000" w:themeColor="text1"/>
                <w:sz w:val="20"/>
                <w:szCs w:val="20"/>
              </w:rPr>
              <w:t>·</w:t>
            </w:r>
            <w:r w:rsidRPr="00C951F0">
              <w:rPr>
                <w:rFonts w:cs="Arial"/>
                <w:color w:val="000000" w:themeColor="text1"/>
                <w:sz w:val="20"/>
                <w:szCs w:val="20"/>
              </w:rPr>
              <w:t>5)</w:t>
            </w:r>
          </w:p>
        </w:tc>
        <w:tc>
          <w:tcPr>
            <w:tcW w:w="647" w:type="pct"/>
            <w:tcBorders>
              <w:top w:val="nil"/>
              <w:left w:val="nil"/>
              <w:bottom w:val="nil"/>
              <w:right w:val="nil"/>
            </w:tcBorders>
          </w:tcPr>
          <w:p w14:paraId="62C81D12" w14:textId="12A361B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 (0</w:t>
            </w:r>
            <w:r w:rsidR="00C5236B" w:rsidRPr="00C951F0">
              <w:rPr>
                <w:rFonts w:cs="Arial"/>
                <w:color w:val="000000" w:themeColor="text1"/>
                <w:sz w:val="20"/>
                <w:szCs w:val="20"/>
              </w:rPr>
              <w:t>·</w:t>
            </w:r>
            <w:r w:rsidRPr="00C951F0">
              <w:rPr>
                <w:rFonts w:cs="Arial"/>
                <w:color w:val="000000" w:themeColor="text1"/>
                <w:sz w:val="20"/>
                <w:szCs w:val="20"/>
              </w:rPr>
              <w:t>7)</w:t>
            </w:r>
          </w:p>
        </w:tc>
        <w:tc>
          <w:tcPr>
            <w:tcW w:w="648" w:type="pct"/>
            <w:tcBorders>
              <w:top w:val="nil"/>
              <w:left w:val="nil"/>
              <w:bottom w:val="nil"/>
              <w:right w:val="nil"/>
            </w:tcBorders>
          </w:tcPr>
          <w:p w14:paraId="32102DF5" w14:textId="20E964DB"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(0</w:t>
            </w:r>
            <w:r w:rsidR="00C5236B" w:rsidRPr="00C951F0">
              <w:rPr>
                <w:rFonts w:cs="Arial"/>
                <w:color w:val="000000" w:themeColor="text1"/>
                <w:sz w:val="20"/>
                <w:szCs w:val="20"/>
              </w:rPr>
              <w:t>·</w:t>
            </w:r>
            <w:r w:rsidRPr="00C951F0">
              <w:rPr>
                <w:rFonts w:cs="Arial"/>
                <w:color w:val="000000" w:themeColor="text1"/>
                <w:sz w:val="20"/>
                <w:szCs w:val="20"/>
              </w:rPr>
              <w:t>2)</w:t>
            </w:r>
          </w:p>
        </w:tc>
        <w:tc>
          <w:tcPr>
            <w:tcW w:w="646" w:type="pct"/>
            <w:tcBorders>
              <w:top w:val="nil"/>
              <w:left w:val="nil"/>
              <w:bottom w:val="nil"/>
              <w:right w:val="nil"/>
            </w:tcBorders>
          </w:tcPr>
          <w:p w14:paraId="31BFD17E" w14:textId="34CEED3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6 (0</w:t>
            </w:r>
            <w:r w:rsidR="00C5236B" w:rsidRPr="00C951F0">
              <w:rPr>
                <w:rFonts w:cs="Arial"/>
                <w:color w:val="000000" w:themeColor="text1"/>
                <w:sz w:val="20"/>
                <w:szCs w:val="20"/>
              </w:rPr>
              <w:t>·</w:t>
            </w:r>
            <w:r w:rsidRPr="00C951F0">
              <w:rPr>
                <w:rFonts w:cs="Arial"/>
                <w:color w:val="000000" w:themeColor="text1"/>
                <w:sz w:val="20"/>
                <w:szCs w:val="20"/>
              </w:rPr>
              <w:t>5)</w:t>
            </w:r>
          </w:p>
        </w:tc>
      </w:tr>
      <w:tr w:rsidR="00C951F0" w:rsidRPr="00C951F0" w14:paraId="60F45BFC" w14:textId="77777777" w:rsidTr="00934A10">
        <w:tc>
          <w:tcPr>
            <w:tcW w:w="2390" w:type="pct"/>
            <w:tcBorders>
              <w:top w:val="nil"/>
              <w:left w:val="nil"/>
              <w:bottom w:val="nil"/>
              <w:right w:val="nil"/>
            </w:tcBorders>
          </w:tcPr>
          <w:p w14:paraId="45EB3101" w14:textId="016E3D28"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Alpha glucosidase inhibitors</w:t>
            </w:r>
          </w:p>
        </w:tc>
        <w:tc>
          <w:tcPr>
            <w:tcW w:w="669" w:type="pct"/>
            <w:tcBorders>
              <w:top w:val="nil"/>
              <w:left w:val="nil"/>
              <w:bottom w:val="nil"/>
              <w:right w:val="nil"/>
            </w:tcBorders>
          </w:tcPr>
          <w:p w14:paraId="6AC3BAEB" w14:textId="7D2CDE8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(0</w:t>
            </w:r>
            <w:r w:rsidR="00C5236B" w:rsidRPr="00C951F0">
              <w:rPr>
                <w:rFonts w:cs="Arial"/>
                <w:color w:val="000000" w:themeColor="text1"/>
                <w:sz w:val="20"/>
                <w:szCs w:val="20"/>
              </w:rPr>
              <w:t>·</w:t>
            </w:r>
            <w:r w:rsidRPr="00C951F0">
              <w:rPr>
                <w:rFonts w:cs="Arial"/>
                <w:color w:val="000000" w:themeColor="text1"/>
                <w:sz w:val="20"/>
                <w:szCs w:val="20"/>
              </w:rPr>
              <w:t>2)</w:t>
            </w:r>
          </w:p>
        </w:tc>
        <w:tc>
          <w:tcPr>
            <w:tcW w:w="647" w:type="pct"/>
            <w:tcBorders>
              <w:top w:val="nil"/>
              <w:left w:val="nil"/>
              <w:bottom w:val="nil"/>
              <w:right w:val="nil"/>
            </w:tcBorders>
          </w:tcPr>
          <w:p w14:paraId="71E6B51E" w14:textId="3D61C752"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(0</w:t>
            </w:r>
            <w:r w:rsidR="00C5236B" w:rsidRPr="00C951F0">
              <w:rPr>
                <w:rFonts w:cs="Arial"/>
                <w:color w:val="000000" w:themeColor="text1"/>
                <w:sz w:val="20"/>
                <w:szCs w:val="20"/>
              </w:rPr>
              <w:t>·</w:t>
            </w:r>
            <w:r w:rsidRPr="00C951F0">
              <w:rPr>
                <w:rFonts w:cs="Arial"/>
                <w:color w:val="000000" w:themeColor="text1"/>
                <w:sz w:val="20"/>
                <w:szCs w:val="20"/>
              </w:rPr>
              <w:t>2)</w:t>
            </w:r>
          </w:p>
        </w:tc>
        <w:tc>
          <w:tcPr>
            <w:tcW w:w="648" w:type="pct"/>
            <w:tcBorders>
              <w:top w:val="nil"/>
              <w:left w:val="nil"/>
              <w:bottom w:val="nil"/>
              <w:right w:val="nil"/>
            </w:tcBorders>
          </w:tcPr>
          <w:p w14:paraId="3ABF2161"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0</w:t>
            </w:r>
          </w:p>
        </w:tc>
        <w:tc>
          <w:tcPr>
            <w:tcW w:w="646" w:type="pct"/>
            <w:tcBorders>
              <w:top w:val="nil"/>
              <w:left w:val="nil"/>
              <w:bottom w:val="nil"/>
              <w:right w:val="nil"/>
            </w:tcBorders>
          </w:tcPr>
          <w:p w14:paraId="51706C37" w14:textId="6B2877EB"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 (0</w:t>
            </w:r>
            <w:r w:rsidR="00C5236B" w:rsidRPr="00C951F0">
              <w:rPr>
                <w:rFonts w:cs="Arial"/>
                <w:color w:val="000000" w:themeColor="text1"/>
                <w:sz w:val="20"/>
                <w:szCs w:val="20"/>
              </w:rPr>
              <w:t>·</w:t>
            </w:r>
            <w:r w:rsidRPr="00C951F0">
              <w:rPr>
                <w:rFonts w:cs="Arial"/>
                <w:color w:val="000000" w:themeColor="text1"/>
                <w:sz w:val="20"/>
                <w:szCs w:val="20"/>
              </w:rPr>
              <w:t>2)</w:t>
            </w:r>
          </w:p>
        </w:tc>
      </w:tr>
      <w:tr w:rsidR="00C951F0" w:rsidRPr="00C951F0" w14:paraId="6202F26C" w14:textId="77777777" w:rsidTr="00934A10">
        <w:tc>
          <w:tcPr>
            <w:tcW w:w="2390" w:type="pct"/>
            <w:tcBorders>
              <w:top w:val="nil"/>
              <w:left w:val="nil"/>
              <w:bottom w:val="nil"/>
              <w:right w:val="nil"/>
            </w:tcBorders>
          </w:tcPr>
          <w:p w14:paraId="1979C2DE" w14:textId="0A8D5821"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GLP-1 receptor agonists†</w:t>
            </w:r>
          </w:p>
        </w:tc>
        <w:tc>
          <w:tcPr>
            <w:tcW w:w="669" w:type="pct"/>
            <w:tcBorders>
              <w:top w:val="nil"/>
              <w:left w:val="nil"/>
              <w:bottom w:val="nil"/>
              <w:right w:val="nil"/>
            </w:tcBorders>
          </w:tcPr>
          <w:p w14:paraId="6F357CD6"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0</w:t>
            </w:r>
          </w:p>
        </w:tc>
        <w:tc>
          <w:tcPr>
            <w:tcW w:w="647" w:type="pct"/>
            <w:tcBorders>
              <w:top w:val="nil"/>
              <w:left w:val="nil"/>
              <w:bottom w:val="nil"/>
              <w:right w:val="nil"/>
            </w:tcBorders>
          </w:tcPr>
          <w:p w14:paraId="720314CD" w14:textId="6B7A90E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(0</w:t>
            </w:r>
            <w:r w:rsidR="00C5236B" w:rsidRPr="00C951F0">
              <w:rPr>
                <w:rFonts w:cs="Arial"/>
                <w:color w:val="000000" w:themeColor="text1"/>
                <w:sz w:val="20"/>
                <w:szCs w:val="20"/>
              </w:rPr>
              <w:t>·</w:t>
            </w:r>
            <w:r w:rsidRPr="00C951F0">
              <w:rPr>
                <w:rFonts w:cs="Arial"/>
                <w:color w:val="000000" w:themeColor="text1"/>
                <w:sz w:val="20"/>
                <w:szCs w:val="20"/>
              </w:rPr>
              <w:t>2)</w:t>
            </w:r>
          </w:p>
        </w:tc>
        <w:tc>
          <w:tcPr>
            <w:tcW w:w="648" w:type="pct"/>
            <w:tcBorders>
              <w:top w:val="nil"/>
              <w:left w:val="nil"/>
              <w:bottom w:val="nil"/>
              <w:right w:val="nil"/>
            </w:tcBorders>
          </w:tcPr>
          <w:p w14:paraId="7B41EE6F"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0</w:t>
            </w:r>
          </w:p>
        </w:tc>
        <w:tc>
          <w:tcPr>
            <w:tcW w:w="646" w:type="pct"/>
            <w:tcBorders>
              <w:top w:val="nil"/>
              <w:left w:val="nil"/>
              <w:bottom w:val="nil"/>
              <w:right w:val="nil"/>
            </w:tcBorders>
          </w:tcPr>
          <w:p w14:paraId="2B65232B" w14:textId="5814C5A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(&lt;0</w:t>
            </w:r>
            <w:r w:rsidR="00C5236B" w:rsidRPr="00C951F0">
              <w:rPr>
                <w:rFonts w:cs="Arial"/>
                <w:color w:val="000000" w:themeColor="text1"/>
                <w:sz w:val="20"/>
                <w:szCs w:val="20"/>
              </w:rPr>
              <w:t>·</w:t>
            </w:r>
            <w:r w:rsidRPr="00C951F0">
              <w:rPr>
                <w:rFonts w:cs="Arial"/>
                <w:color w:val="000000" w:themeColor="text1"/>
                <w:sz w:val="20"/>
                <w:szCs w:val="20"/>
              </w:rPr>
              <w:t>1)</w:t>
            </w:r>
          </w:p>
        </w:tc>
      </w:tr>
      <w:tr w:rsidR="00C951F0" w:rsidRPr="00C951F0" w14:paraId="78A0587E" w14:textId="77777777" w:rsidTr="00934A10">
        <w:tc>
          <w:tcPr>
            <w:tcW w:w="2390" w:type="pct"/>
            <w:tcBorders>
              <w:top w:val="nil"/>
              <w:left w:val="nil"/>
              <w:bottom w:val="nil"/>
              <w:right w:val="nil"/>
            </w:tcBorders>
          </w:tcPr>
          <w:p w14:paraId="261B1637" w14:textId="0FFC088D"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Fast-acting insulins and insulin analog</w:t>
            </w:r>
            <w:r w:rsidR="00CE2648">
              <w:rPr>
                <w:rFonts w:cs="Arial"/>
                <w:color w:val="000000" w:themeColor="text1"/>
                <w:sz w:val="20"/>
                <w:szCs w:val="20"/>
              </w:rPr>
              <w:t>ue</w:t>
            </w:r>
            <w:r w:rsidRPr="00C951F0">
              <w:rPr>
                <w:rFonts w:cs="Arial"/>
                <w:color w:val="000000" w:themeColor="text1"/>
                <w:sz w:val="20"/>
                <w:szCs w:val="20"/>
              </w:rPr>
              <w:t>s for injection</w:t>
            </w:r>
            <w:r w:rsidR="003E73C6" w:rsidRPr="00C951F0">
              <w:rPr>
                <w:rFonts w:cs="Arial"/>
                <w:color w:val="000000" w:themeColor="text1"/>
                <w:sz w:val="20"/>
                <w:szCs w:val="20"/>
              </w:rPr>
              <w:t>†</w:t>
            </w:r>
          </w:p>
        </w:tc>
        <w:tc>
          <w:tcPr>
            <w:tcW w:w="669" w:type="pct"/>
            <w:tcBorders>
              <w:top w:val="nil"/>
              <w:left w:val="nil"/>
              <w:bottom w:val="nil"/>
              <w:right w:val="nil"/>
            </w:tcBorders>
          </w:tcPr>
          <w:p w14:paraId="783014EB" w14:textId="6D9D649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0</w:t>
            </w:r>
          </w:p>
        </w:tc>
        <w:tc>
          <w:tcPr>
            <w:tcW w:w="647" w:type="pct"/>
            <w:tcBorders>
              <w:top w:val="nil"/>
              <w:left w:val="nil"/>
              <w:bottom w:val="nil"/>
              <w:right w:val="nil"/>
            </w:tcBorders>
          </w:tcPr>
          <w:p w14:paraId="679F6C83" w14:textId="4A293BA4"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0</w:t>
            </w:r>
          </w:p>
        </w:tc>
        <w:tc>
          <w:tcPr>
            <w:tcW w:w="648" w:type="pct"/>
            <w:tcBorders>
              <w:top w:val="nil"/>
              <w:left w:val="nil"/>
              <w:bottom w:val="nil"/>
              <w:right w:val="nil"/>
            </w:tcBorders>
          </w:tcPr>
          <w:p w14:paraId="6A12C237" w14:textId="35368D8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(0</w:t>
            </w:r>
            <w:r w:rsidR="00C5236B" w:rsidRPr="00C951F0">
              <w:rPr>
                <w:rFonts w:cs="Arial"/>
                <w:color w:val="000000" w:themeColor="text1"/>
                <w:sz w:val="20"/>
                <w:szCs w:val="20"/>
              </w:rPr>
              <w:t>·</w:t>
            </w:r>
            <w:r w:rsidRPr="00C951F0">
              <w:rPr>
                <w:rFonts w:cs="Arial"/>
                <w:color w:val="000000" w:themeColor="text1"/>
                <w:sz w:val="20"/>
                <w:szCs w:val="20"/>
              </w:rPr>
              <w:t>2)</w:t>
            </w:r>
          </w:p>
        </w:tc>
        <w:tc>
          <w:tcPr>
            <w:tcW w:w="646" w:type="pct"/>
            <w:tcBorders>
              <w:top w:val="nil"/>
              <w:left w:val="nil"/>
              <w:bottom w:val="nil"/>
              <w:right w:val="nil"/>
            </w:tcBorders>
          </w:tcPr>
          <w:p w14:paraId="6CB1B602" w14:textId="1EE236B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(&lt;0</w:t>
            </w:r>
            <w:r w:rsidR="00C5236B" w:rsidRPr="00C951F0">
              <w:rPr>
                <w:rFonts w:cs="Arial"/>
                <w:color w:val="000000" w:themeColor="text1"/>
                <w:sz w:val="20"/>
                <w:szCs w:val="20"/>
              </w:rPr>
              <w:t>·</w:t>
            </w:r>
            <w:r w:rsidRPr="00C951F0">
              <w:rPr>
                <w:rFonts w:cs="Arial"/>
                <w:color w:val="000000" w:themeColor="text1"/>
                <w:sz w:val="20"/>
                <w:szCs w:val="20"/>
              </w:rPr>
              <w:t>1)</w:t>
            </w:r>
          </w:p>
        </w:tc>
      </w:tr>
      <w:tr w:rsidR="00C951F0" w:rsidRPr="00C951F0" w14:paraId="091B4DC5" w14:textId="77777777" w:rsidTr="00934A10">
        <w:tc>
          <w:tcPr>
            <w:tcW w:w="2390" w:type="pct"/>
            <w:tcBorders>
              <w:top w:val="nil"/>
              <w:left w:val="nil"/>
              <w:bottom w:val="single" w:sz="4" w:space="0" w:color="auto"/>
              <w:right w:val="nil"/>
            </w:tcBorders>
          </w:tcPr>
          <w:p w14:paraId="3A6FDE06" w14:textId="77777777"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Other blood glucose-lowering drugs</w:t>
            </w:r>
          </w:p>
        </w:tc>
        <w:tc>
          <w:tcPr>
            <w:tcW w:w="669" w:type="pct"/>
            <w:tcBorders>
              <w:top w:val="nil"/>
              <w:left w:val="nil"/>
              <w:bottom w:val="single" w:sz="4" w:space="0" w:color="auto"/>
              <w:right w:val="nil"/>
            </w:tcBorders>
          </w:tcPr>
          <w:p w14:paraId="70A55695" w14:textId="675AE12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(0</w:t>
            </w:r>
            <w:r w:rsidR="00C5236B" w:rsidRPr="00C951F0">
              <w:rPr>
                <w:rFonts w:cs="Arial"/>
                <w:color w:val="000000" w:themeColor="text1"/>
                <w:sz w:val="20"/>
                <w:szCs w:val="20"/>
              </w:rPr>
              <w:t>·</w:t>
            </w:r>
            <w:r w:rsidRPr="00C951F0">
              <w:rPr>
                <w:rFonts w:cs="Arial"/>
                <w:color w:val="000000" w:themeColor="text1"/>
                <w:sz w:val="20"/>
                <w:szCs w:val="20"/>
              </w:rPr>
              <w:t>2)</w:t>
            </w:r>
          </w:p>
        </w:tc>
        <w:tc>
          <w:tcPr>
            <w:tcW w:w="647" w:type="pct"/>
            <w:tcBorders>
              <w:top w:val="nil"/>
              <w:left w:val="nil"/>
              <w:bottom w:val="single" w:sz="4" w:space="0" w:color="auto"/>
              <w:right w:val="nil"/>
            </w:tcBorders>
          </w:tcPr>
          <w:p w14:paraId="11F77A22"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0</w:t>
            </w:r>
          </w:p>
        </w:tc>
        <w:tc>
          <w:tcPr>
            <w:tcW w:w="648" w:type="pct"/>
            <w:tcBorders>
              <w:top w:val="nil"/>
              <w:left w:val="nil"/>
              <w:bottom w:val="single" w:sz="4" w:space="0" w:color="auto"/>
              <w:right w:val="nil"/>
            </w:tcBorders>
          </w:tcPr>
          <w:p w14:paraId="5E152252"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0</w:t>
            </w:r>
          </w:p>
        </w:tc>
        <w:tc>
          <w:tcPr>
            <w:tcW w:w="646" w:type="pct"/>
            <w:tcBorders>
              <w:top w:val="nil"/>
              <w:left w:val="nil"/>
              <w:bottom w:val="single" w:sz="4" w:space="0" w:color="auto"/>
              <w:right w:val="nil"/>
            </w:tcBorders>
          </w:tcPr>
          <w:p w14:paraId="6BD297ED" w14:textId="247B7B1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(&lt;0</w:t>
            </w:r>
            <w:r w:rsidR="00C5236B" w:rsidRPr="00C951F0">
              <w:rPr>
                <w:rFonts w:cs="Arial"/>
                <w:color w:val="000000" w:themeColor="text1"/>
                <w:sz w:val="20"/>
                <w:szCs w:val="20"/>
              </w:rPr>
              <w:t>·</w:t>
            </w:r>
            <w:r w:rsidRPr="00C951F0">
              <w:rPr>
                <w:rFonts w:cs="Arial"/>
                <w:color w:val="000000" w:themeColor="text1"/>
                <w:sz w:val="20"/>
                <w:szCs w:val="20"/>
              </w:rPr>
              <w:t>1)</w:t>
            </w:r>
          </w:p>
        </w:tc>
      </w:tr>
      <w:tr w:rsidR="00C951F0" w:rsidRPr="00C951F0" w14:paraId="7518319C" w14:textId="77777777" w:rsidTr="00934A10">
        <w:tc>
          <w:tcPr>
            <w:tcW w:w="2390" w:type="pct"/>
            <w:tcBorders>
              <w:left w:val="nil"/>
              <w:bottom w:val="nil"/>
              <w:right w:val="nil"/>
            </w:tcBorders>
          </w:tcPr>
          <w:p w14:paraId="77833CFB" w14:textId="3761B1DE"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Number of oral glucose</w:t>
            </w:r>
            <w:r w:rsidR="00352258" w:rsidRPr="00C951F0">
              <w:rPr>
                <w:rFonts w:cs="Arial"/>
                <w:color w:val="000000" w:themeColor="text1"/>
                <w:sz w:val="20"/>
                <w:szCs w:val="20"/>
              </w:rPr>
              <w:t>-</w:t>
            </w:r>
            <w:r w:rsidRPr="00C951F0">
              <w:rPr>
                <w:rFonts w:cs="Arial"/>
                <w:color w:val="000000" w:themeColor="text1"/>
                <w:sz w:val="20"/>
                <w:szCs w:val="20"/>
              </w:rPr>
              <w:t xml:space="preserve">lowering drugs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left w:val="nil"/>
              <w:bottom w:val="nil"/>
              <w:right w:val="nil"/>
            </w:tcBorders>
          </w:tcPr>
          <w:p w14:paraId="00C74ECA" w14:textId="77777777" w:rsidR="00B1644A" w:rsidRPr="00C951F0" w:rsidRDefault="00B1644A" w:rsidP="0039543A">
            <w:pPr>
              <w:spacing w:line="240" w:lineRule="auto"/>
              <w:jc w:val="center"/>
              <w:rPr>
                <w:rFonts w:cs="Arial"/>
                <w:color w:val="000000" w:themeColor="text1"/>
                <w:sz w:val="20"/>
                <w:szCs w:val="20"/>
              </w:rPr>
            </w:pPr>
          </w:p>
        </w:tc>
        <w:tc>
          <w:tcPr>
            <w:tcW w:w="647" w:type="pct"/>
            <w:tcBorders>
              <w:left w:val="nil"/>
              <w:bottom w:val="nil"/>
              <w:right w:val="nil"/>
            </w:tcBorders>
          </w:tcPr>
          <w:p w14:paraId="79265A8B" w14:textId="77777777" w:rsidR="00B1644A" w:rsidRPr="00C951F0" w:rsidRDefault="00B1644A" w:rsidP="0039543A">
            <w:pPr>
              <w:spacing w:line="240" w:lineRule="auto"/>
              <w:jc w:val="center"/>
              <w:rPr>
                <w:rFonts w:cs="Arial"/>
                <w:color w:val="000000" w:themeColor="text1"/>
                <w:sz w:val="20"/>
                <w:szCs w:val="20"/>
              </w:rPr>
            </w:pPr>
          </w:p>
        </w:tc>
        <w:tc>
          <w:tcPr>
            <w:tcW w:w="648" w:type="pct"/>
            <w:tcBorders>
              <w:left w:val="nil"/>
              <w:bottom w:val="nil"/>
              <w:right w:val="nil"/>
            </w:tcBorders>
          </w:tcPr>
          <w:p w14:paraId="4F6C8B6B" w14:textId="77777777" w:rsidR="00B1644A" w:rsidRPr="00C951F0" w:rsidRDefault="00B1644A" w:rsidP="0039543A">
            <w:pPr>
              <w:spacing w:line="240" w:lineRule="auto"/>
              <w:jc w:val="center"/>
              <w:rPr>
                <w:rFonts w:cs="Arial"/>
                <w:color w:val="000000" w:themeColor="text1"/>
                <w:sz w:val="20"/>
                <w:szCs w:val="20"/>
              </w:rPr>
            </w:pPr>
          </w:p>
        </w:tc>
        <w:tc>
          <w:tcPr>
            <w:tcW w:w="646" w:type="pct"/>
            <w:tcBorders>
              <w:left w:val="nil"/>
              <w:bottom w:val="nil"/>
              <w:right w:val="nil"/>
            </w:tcBorders>
          </w:tcPr>
          <w:p w14:paraId="122D7618" w14:textId="77777777" w:rsidR="00B1644A" w:rsidRPr="00C951F0" w:rsidRDefault="00B1644A" w:rsidP="0039543A">
            <w:pPr>
              <w:spacing w:line="240" w:lineRule="auto"/>
              <w:jc w:val="center"/>
              <w:rPr>
                <w:rFonts w:cs="Arial"/>
                <w:color w:val="000000" w:themeColor="text1"/>
                <w:sz w:val="20"/>
                <w:szCs w:val="20"/>
              </w:rPr>
            </w:pPr>
          </w:p>
        </w:tc>
      </w:tr>
      <w:tr w:rsidR="00C951F0" w:rsidRPr="00C951F0" w14:paraId="2118EDF1" w14:textId="77777777" w:rsidTr="00934A10">
        <w:tc>
          <w:tcPr>
            <w:tcW w:w="2390" w:type="pct"/>
            <w:tcBorders>
              <w:top w:val="nil"/>
              <w:left w:val="nil"/>
              <w:bottom w:val="nil"/>
              <w:right w:val="nil"/>
            </w:tcBorders>
          </w:tcPr>
          <w:p w14:paraId="3C342509" w14:textId="302EF65B"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Diet and physical activity only</w:t>
            </w:r>
          </w:p>
        </w:tc>
        <w:tc>
          <w:tcPr>
            <w:tcW w:w="669" w:type="pct"/>
            <w:tcBorders>
              <w:top w:val="nil"/>
              <w:left w:val="nil"/>
              <w:bottom w:val="nil"/>
              <w:right w:val="nil"/>
            </w:tcBorders>
          </w:tcPr>
          <w:p w14:paraId="377D8B62" w14:textId="14ADCD5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18 (4</w:t>
            </w:r>
            <w:r w:rsidR="00C5236B" w:rsidRPr="00C951F0">
              <w:rPr>
                <w:rFonts w:cs="Arial"/>
                <w:color w:val="000000" w:themeColor="text1"/>
                <w:sz w:val="20"/>
                <w:szCs w:val="20"/>
              </w:rPr>
              <w:t>·</w:t>
            </w:r>
            <w:r w:rsidRPr="00C951F0">
              <w:rPr>
                <w:rFonts w:cs="Arial"/>
                <w:color w:val="000000" w:themeColor="text1"/>
                <w:sz w:val="20"/>
                <w:szCs w:val="20"/>
              </w:rPr>
              <w:t>5)</w:t>
            </w:r>
          </w:p>
        </w:tc>
        <w:tc>
          <w:tcPr>
            <w:tcW w:w="647" w:type="pct"/>
            <w:tcBorders>
              <w:top w:val="nil"/>
              <w:left w:val="nil"/>
              <w:bottom w:val="nil"/>
              <w:right w:val="nil"/>
            </w:tcBorders>
          </w:tcPr>
          <w:p w14:paraId="66590285" w14:textId="6AAB32A2"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17 (4</w:t>
            </w:r>
            <w:r w:rsidR="00C5236B" w:rsidRPr="00C951F0">
              <w:rPr>
                <w:rFonts w:cs="Arial"/>
                <w:color w:val="000000" w:themeColor="text1"/>
                <w:sz w:val="20"/>
                <w:szCs w:val="20"/>
              </w:rPr>
              <w:t>·</w:t>
            </w:r>
            <w:r w:rsidRPr="00C951F0">
              <w:rPr>
                <w:rFonts w:cs="Arial"/>
                <w:color w:val="000000" w:themeColor="text1"/>
                <w:sz w:val="20"/>
                <w:szCs w:val="20"/>
              </w:rPr>
              <w:t>2)</w:t>
            </w:r>
          </w:p>
        </w:tc>
        <w:tc>
          <w:tcPr>
            <w:tcW w:w="648" w:type="pct"/>
            <w:tcBorders>
              <w:top w:val="nil"/>
              <w:left w:val="nil"/>
              <w:bottom w:val="nil"/>
              <w:right w:val="nil"/>
            </w:tcBorders>
          </w:tcPr>
          <w:p w14:paraId="7FC292F0" w14:textId="44C25B4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21 (5</w:t>
            </w:r>
            <w:r w:rsidR="00C5236B" w:rsidRPr="00C951F0">
              <w:rPr>
                <w:rFonts w:cs="Arial"/>
                <w:color w:val="000000" w:themeColor="text1"/>
                <w:sz w:val="20"/>
                <w:szCs w:val="20"/>
              </w:rPr>
              <w:t>·</w:t>
            </w:r>
            <w:r w:rsidRPr="00C951F0">
              <w:rPr>
                <w:rFonts w:cs="Arial"/>
                <w:color w:val="000000" w:themeColor="text1"/>
                <w:sz w:val="20"/>
                <w:szCs w:val="20"/>
              </w:rPr>
              <w:t>2)</w:t>
            </w:r>
          </w:p>
        </w:tc>
        <w:tc>
          <w:tcPr>
            <w:tcW w:w="646" w:type="pct"/>
            <w:tcBorders>
              <w:top w:val="nil"/>
              <w:left w:val="nil"/>
              <w:bottom w:val="nil"/>
              <w:right w:val="nil"/>
            </w:tcBorders>
          </w:tcPr>
          <w:p w14:paraId="668BED3B" w14:textId="6F337D64"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56 (4</w:t>
            </w:r>
            <w:r w:rsidR="00C5236B" w:rsidRPr="00C951F0">
              <w:rPr>
                <w:rFonts w:cs="Arial"/>
                <w:color w:val="000000" w:themeColor="text1"/>
                <w:sz w:val="20"/>
                <w:szCs w:val="20"/>
              </w:rPr>
              <w:t>·</w:t>
            </w:r>
            <w:r w:rsidRPr="00C951F0">
              <w:rPr>
                <w:rFonts w:cs="Arial"/>
                <w:color w:val="000000" w:themeColor="text1"/>
                <w:sz w:val="20"/>
                <w:szCs w:val="20"/>
              </w:rPr>
              <w:t>6)</w:t>
            </w:r>
          </w:p>
        </w:tc>
      </w:tr>
      <w:tr w:rsidR="00C951F0" w:rsidRPr="00C951F0" w14:paraId="448DD28C" w14:textId="77777777" w:rsidTr="00934A10">
        <w:tc>
          <w:tcPr>
            <w:tcW w:w="2390" w:type="pct"/>
            <w:tcBorders>
              <w:top w:val="nil"/>
              <w:left w:val="nil"/>
              <w:bottom w:val="nil"/>
              <w:right w:val="nil"/>
            </w:tcBorders>
          </w:tcPr>
          <w:p w14:paraId="546CF38B" w14:textId="255E48AF"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1</w:t>
            </w:r>
          </w:p>
        </w:tc>
        <w:tc>
          <w:tcPr>
            <w:tcW w:w="669" w:type="pct"/>
            <w:tcBorders>
              <w:top w:val="nil"/>
              <w:left w:val="nil"/>
              <w:bottom w:val="nil"/>
              <w:right w:val="nil"/>
            </w:tcBorders>
          </w:tcPr>
          <w:p w14:paraId="72C7EFCA" w14:textId="2D173605"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221 (54</w:t>
            </w:r>
            <w:r w:rsidR="00C5236B" w:rsidRPr="00C951F0">
              <w:rPr>
                <w:rFonts w:cs="Arial"/>
                <w:color w:val="000000" w:themeColor="text1"/>
                <w:sz w:val="20"/>
                <w:szCs w:val="20"/>
              </w:rPr>
              <w:t>·</w:t>
            </w:r>
            <w:r w:rsidRPr="00C951F0">
              <w:rPr>
                <w:rFonts w:cs="Arial"/>
                <w:color w:val="000000" w:themeColor="text1"/>
                <w:sz w:val="20"/>
                <w:szCs w:val="20"/>
              </w:rPr>
              <w:t>7)</w:t>
            </w:r>
          </w:p>
        </w:tc>
        <w:tc>
          <w:tcPr>
            <w:tcW w:w="647" w:type="pct"/>
            <w:tcBorders>
              <w:top w:val="nil"/>
              <w:left w:val="nil"/>
              <w:bottom w:val="nil"/>
              <w:right w:val="nil"/>
            </w:tcBorders>
          </w:tcPr>
          <w:p w14:paraId="7B46FF7B" w14:textId="6E802C7D"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229 (56</w:t>
            </w:r>
            <w:r w:rsidR="00C5236B" w:rsidRPr="00C951F0">
              <w:rPr>
                <w:rFonts w:cs="Arial"/>
                <w:color w:val="000000" w:themeColor="text1"/>
                <w:sz w:val="20"/>
                <w:szCs w:val="20"/>
              </w:rPr>
              <w:t>·</w:t>
            </w:r>
            <w:r w:rsidRPr="00C951F0">
              <w:rPr>
                <w:rFonts w:cs="Arial"/>
                <w:color w:val="000000" w:themeColor="text1"/>
                <w:sz w:val="20"/>
                <w:szCs w:val="20"/>
              </w:rPr>
              <w:t>8)</w:t>
            </w:r>
          </w:p>
        </w:tc>
        <w:tc>
          <w:tcPr>
            <w:tcW w:w="648" w:type="pct"/>
            <w:tcBorders>
              <w:top w:val="nil"/>
              <w:left w:val="nil"/>
              <w:bottom w:val="nil"/>
              <w:right w:val="nil"/>
            </w:tcBorders>
          </w:tcPr>
          <w:p w14:paraId="6DC40F7C" w14:textId="4637ACF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216 (53</w:t>
            </w:r>
            <w:r w:rsidR="00C5236B" w:rsidRPr="00C951F0">
              <w:rPr>
                <w:rFonts w:cs="Arial"/>
                <w:color w:val="000000" w:themeColor="text1"/>
                <w:sz w:val="20"/>
                <w:szCs w:val="20"/>
              </w:rPr>
              <w:t>·</w:t>
            </w:r>
            <w:r w:rsidRPr="00C951F0">
              <w:rPr>
                <w:rFonts w:cs="Arial"/>
                <w:color w:val="000000" w:themeColor="text1"/>
                <w:sz w:val="20"/>
                <w:szCs w:val="20"/>
              </w:rPr>
              <w:t>6)</w:t>
            </w:r>
          </w:p>
        </w:tc>
        <w:tc>
          <w:tcPr>
            <w:tcW w:w="646" w:type="pct"/>
            <w:tcBorders>
              <w:top w:val="nil"/>
              <w:left w:val="nil"/>
              <w:bottom w:val="nil"/>
              <w:right w:val="nil"/>
            </w:tcBorders>
          </w:tcPr>
          <w:p w14:paraId="1593075A" w14:textId="60F3A625"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666 (55</w:t>
            </w:r>
            <w:r w:rsidR="00C5236B" w:rsidRPr="00C951F0">
              <w:rPr>
                <w:rFonts w:cs="Arial"/>
                <w:color w:val="000000" w:themeColor="text1"/>
                <w:sz w:val="20"/>
                <w:szCs w:val="20"/>
              </w:rPr>
              <w:t>·</w:t>
            </w:r>
            <w:r w:rsidRPr="00C951F0">
              <w:rPr>
                <w:rFonts w:cs="Arial"/>
                <w:color w:val="000000" w:themeColor="text1"/>
                <w:sz w:val="20"/>
                <w:szCs w:val="20"/>
              </w:rPr>
              <w:t>0)</w:t>
            </w:r>
          </w:p>
        </w:tc>
      </w:tr>
      <w:tr w:rsidR="00C951F0" w:rsidRPr="00C951F0" w14:paraId="54E43FBB" w14:textId="77777777" w:rsidTr="00934A10">
        <w:tc>
          <w:tcPr>
            <w:tcW w:w="2390" w:type="pct"/>
            <w:tcBorders>
              <w:top w:val="nil"/>
              <w:left w:val="nil"/>
              <w:bottom w:val="nil"/>
              <w:right w:val="nil"/>
            </w:tcBorders>
          </w:tcPr>
          <w:p w14:paraId="0FD3304F" w14:textId="7E39C389"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2</w:t>
            </w:r>
          </w:p>
        </w:tc>
        <w:tc>
          <w:tcPr>
            <w:tcW w:w="669" w:type="pct"/>
            <w:tcBorders>
              <w:top w:val="nil"/>
              <w:left w:val="nil"/>
              <w:bottom w:val="nil"/>
              <w:right w:val="nil"/>
            </w:tcBorders>
          </w:tcPr>
          <w:p w14:paraId="33F10C4F" w14:textId="090F66C5"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133 (32</w:t>
            </w:r>
            <w:r w:rsidR="00C5236B" w:rsidRPr="00C951F0">
              <w:rPr>
                <w:rFonts w:cs="Arial"/>
                <w:color w:val="000000" w:themeColor="text1"/>
                <w:sz w:val="20"/>
                <w:szCs w:val="20"/>
              </w:rPr>
              <w:t>·</w:t>
            </w:r>
            <w:r w:rsidRPr="00C951F0">
              <w:rPr>
                <w:rFonts w:cs="Arial"/>
                <w:color w:val="000000" w:themeColor="text1"/>
                <w:sz w:val="20"/>
                <w:szCs w:val="20"/>
              </w:rPr>
              <w:t>9)</w:t>
            </w:r>
          </w:p>
        </w:tc>
        <w:tc>
          <w:tcPr>
            <w:tcW w:w="647" w:type="pct"/>
            <w:tcBorders>
              <w:top w:val="nil"/>
              <w:left w:val="nil"/>
              <w:bottom w:val="nil"/>
              <w:right w:val="nil"/>
            </w:tcBorders>
          </w:tcPr>
          <w:p w14:paraId="417202B9" w14:textId="2EE63AC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127 (31</w:t>
            </w:r>
            <w:r w:rsidR="00C5236B" w:rsidRPr="00C951F0">
              <w:rPr>
                <w:rFonts w:cs="Arial"/>
                <w:color w:val="000000" w:themeColor="text1"/>
                <w:sz w:val="20"/>
                <w:szCs w:val="20"/>
              </w:rPr>
              <w:t>·</w:t>
            </w:r>
            <w:r w:rsidRPr="00C951F0">
              <w:rPr>
                <w:rFonts w:cs="Arial"/>
                <w:color w:val="000000" w:themeColor="text1"/>
                <w:sz w:val="20"/>
                <w:szCs w:val="20"/>
              </w:rPr>
              <w:t>5)</w:t>
            </w:r>
          </w:p>
        </w:tc>
        <w:tc>
          <w:tcPr>
            <w:tcW w:w="648" w:type="pct"/>
            <w:tcBorders>
              <w:top w:val="nil"/>
              <w:left w:val="nil"/>
              <w:bottom w:val="nil"/>
              <w:right w:val="nil"/>
            </w:tcBorders>
          </w:tcPr>
          <w:p w14:paraId="4DDF4CBF" w14:textId="5168D7E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138 (34</w:t>
            </w:r>
            <w:r w:rsidR="00C5236B" w:rsidRPr="00C951F0">
              <w:rPr>
                <w:rFonts w:cs="Arial"/>
                <w:color w:val="000000" w:themeColor="text1"/>
                <w:sz w:val="20"/>
                <w:szCs w:val="20"/>
              </w:rPr>
              <w:t>·</w:t>
            </w:r>
            <w:r w:rsidRPr="00C951F0">
              <w:rPr>
                <w:rFonts w:cs="Arial"/>
                <w:color w:val="000000" w:themeColor="text1"/>
                <w:sz w:val="20"/>
                <w:szCs w:val="20"/>
              </w:rPr>
              <w:t>2)</w:t>
            </w:r>
          </w:p>
        </w:tc>
        <w:tc>
          <w:tcPr>
            <w:tcW w:w="646" w:type="pct"/>
            <w:tcBorders>
              <w:top w:val="nil"/>
              <w:left w:val="nil"/>
              <w:bottom w:val="nil"/>
              <w:right w:val="nil"/>
            </w:tcBorders>
          </w:tcPr>
          <w:p w14:paraId="0A90178D" w14:textId="3E2E9D7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398 (32</w:t>
            </w:r>
            <w:r w:rsidR="00C5236B" w:rsidRPr="00C951F0">
              <w:rPr>
                <w:rFonts w:cs="Arial"/>
                <w:color w:val="000000" w:themeColor="text1"/>
                <w:sz w:val="20"/>
                <w:szCs w:val="20"/>
              </w:rPr>
              <w:t>·</w:t>
            </w:r>
            <w:r w:rsidRPr="00C951F0">
              <w:rPr>
                <w:rFonts w:cs="Arial"/>
                <w:color w:val="000000" w:themeColor="text1"/>
                <w:sz w:val="20"/>
                <w:szCs w:val="20"/>
              </w:rPr>
              <w:t>9)</w:t>
            </w:r>
          </w:p>
        </w:tc>
      </w:tr>
      <w:tr w:rsidR="00C951F0" w:rsidRPr="00C951F0" w14:paraId="2C34C1C8" w14:textId="77777777" w:rsidTr="00934A10">
        <w:tc>
          <w:tcPr>
            <w:tcW w:w="2390" w:type="pct"/>
            <w:tcBorders>
              <w:top w:val="nil"/>
              <w:left w:val="nil"/>
              <w:bottom w:val="nil"/>
              <w:right w:val="nil"/>
            </w:tcBorders>
          </w:tcPr>
          <w:p w14:paraId="536DDC06" w14:textId="1D5AD590"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t>3</w:t>
            </w:r>
          </w:p>
        </w:tc>
        <w:tc>
          <w:tcPr>
            <w:tcW w:w="669" w:type="pct"/>
            <w:tcBorders>
              <w:top w:val="nil"/>
              <w:left w:val="nil"/>
              <w:bottom w:val="nil"/>
              <w:right w:val="nil"/>
            </w:tcBorders>
          </w:tcPr>
          <w:p w14:paraId="389EAC05" w14:textId="40BFC32A"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32 (7</w:t>
            </w:r>
            <w:r w:rsidR="00C5236B" w:rsidRPr="00C951F0">
              <w:rPr>
                <w:rFonts w:cs="Arial"/>
                <w:color w:val="000000" w:themeColor="text1"/>
                <w:sz w:val="20"/>
                <w:szCs w:val="20"/>
              </w:rPr>
              <w:t>·</w:t>
            </w:r>
            <w:r w:rsidRPr="00C951F0">
              <w:rPr>
                <w:rFonts w:cs="Arial"/>
                <w:color w:val="000000" w:themeColor="text1"/>
                <w:sz w:val="20"/>
                <w:szCs w:val="20"/>
              </w:rPr>
              <w:t>9)</w:t>
            </w:r>
          </w:p>
        </w:tc>
        <w:tc>
          <w:tcPr>
            <w:tcW w:w="647" w:type="pct"/>
            <w:tcBorders>
              <w:top w:val="nil"/>
              <w:left w:val="nil"/>
              <w:bottom w:val="nil"/>
              <w:right w:val="nil"/>
            </w:tcBorders>
          </w:tcPr>
          <w:p w14:paraId="3A3A0D7D" w14:textId="17AEF18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29 (7</w:t>
            </w:r>
            <w:r w:rsidR="00C5236B" w:rsidRPr="00C951F0">
              <w:rPr>
                <w:rFonts w:cs="Arial"/>
                <w:color w:val="000000" w:themeColor="text1"/>
                <w:sz w:val="20"/>
                <w:szCs w:val="20"/>
              </w:rPr>
              <w:t>·</w:t>
            </w:r>
            <w:r w:rsidRPr="00C951F0">
              <w:rPr>
                <w:rFonts w:cs="Arial"/>
                <w:color w:val="000000" w:themeColor="text1"/>
                <w:sz w:val="20"/>
                <w:szCs w:val="20"/>
              </w:rPr>
              <w:t>2)</w:t>
            </w:r>
          </w:p>
        </w:tc>
        <w:tc>
          <w:tcPr>
            <w:tcW w:w="648" w:type="pct"/>
            <w:tcBorders>
              <w:top w:val="nil"/>
              <w:left w:val="nil"/>
              <w:bottom w:val="nil"/>
              <w:right w:val="nil"/>
            </w:tcBorders>
          </w:tcPr>
          <w:p w14:paraId="60244DCC" w14:textId="2D74CEF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27 (6</w:t>
            </w:r>
            <w:r w:rsidR="00C5236B" w:rsidRPr="00C951F0">
              <w:rPr>
                <w:rFonts w:cs="Arial"/>
                <w:color w:val="000000" w:themeColor="text1"/>
                <w:sz w:val="20"/>
                <w:szCs w:val="20"/>
              </w:rPr>
              <w:t>·</w:t>
            </w:r>
            <w:r w:rsidRPr="00C951F0">
              <w:rPr>
                <w:rFonts w:cs="Arial"/>
                <w:color w:val="000000" w:themeColor="text1"/>
                <w:sz w:val="20"/>
                <w:szCs w:val="20"/>
              </w:rPr>
              <w:t>7)</w:t>
            </w:r>
          </w:p>
        </w:tc>
        <w:tc>
          <w:tcPr>
            <w:tcW w:w="646" w:type="pct"/>
            <w:tcBorders>
              <w:top w:val="nil"/>
              <w:left w:val="nil"/>
              <w:bottom w:val="nil"/>
              <w:right w:val="nil"/>
            </w:tcBorders>
          </w:tcPr>
          <w:p w14:paraId="6BC97FB2" w14:textId="75359EEB"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88 (7</w:t>
            </w:r>
            <w:r w:rsidR="00C5236B" w:rsidRPr="00C951F0">
              <w:rPr>
                <w:rFonts w:cs="Arial"/>
                <w:color w:val="000000" w:themeColor="text1"/>
                <w:sz w:val="20"/>
                <w:szCs w:val="20"/>
              </w:rPr>
              <w:t>·</w:t>
            </w:r>
            <w:r w:rsidRPr="00C951F0">
              <w:rPr>
                <w:rFonts w:cs="Arial"/>
                <w:color w:val="000000" w:themeColor="text1"/>
                <w:sz w:val="20"/>
                <w:szCs w:val="20"/>
              </w:rPr>
              <w:t>3)</w:t>
            </w:r>
          </w:p>
        </w:tc>
      </w:tr>
      <w:tr w:rsidR="00C951F0" w:rsidRPr="00C951F0" w14:paraId="263DE518" w14:textId="77777777" w:rsidTr="00934A10">
        <w:tc>
          <w:tcPr>
            <w:tcW w:w="2390" w:type="pct"/>
            <w:tcBorders>
              <w:top w:val="nil"/>
              <w:left w:val="nil"/>
              <w:bottom w:val="single" w:sz="4" w:space="0" w:color="auto"/>
              <w:right w:val="nil"/>
            </w:tcBorders>
          </w:tcPr>
          <w:p w14:paraId="7EFAE1B4" w14:textId="251E8380" w:rsidR="00B1644A" w:rsidRPr="00C951F0" w:rsidRDefault="00B1644A" w:rsidP="00934A10">
            <w:pPr>
              <w:spacing w:line="240" w:lineRule="auto"/>
              <w:ind w:left="309"/>
              <w:rPr>
                <w:rFonts w:cs="Arial"/>
                <w:color w:val="000000" w:themeColor="text1"/>
                <w:sz w:val="20"/>
                <w:szCs w:val="20"/>
              </w:rPr>
            </w:pPr>
            <w:r w:rsidRPr="00C951F0">
              <w:rPr>
                <w:rFonts w:cs="Arial"/>
                <w:color w:val="000000" w:themeColor="text1"/>
                <w:sz w:val="20"/>
                <w:szCs w:val="20"/>
              </w:rPr>
              <w:lastRenderedPageBreak/>
              <w:t>4†</w:t>
            </w:r>
          </w:p>
        </w:tc>
        <w:tc>
          <w:tcPr>
            <w:tcW w:w="669" w:type="pct"/>
            <w:tcBorders>
              <w:top w:val="nil"/>
              <w:left w:val="nil"/>
              <w:bottom w:val="single" w:sz="4" w:space="0" w:color="auto"/>
              <w:right w:val="nil"/>
            </w:tcBorders>
          </w:tcPr>
          <w:p w14:paraId="79B1C49A"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0</w:t>
            </w:r>
          </w:p>
        </w:tc>
        <w:tc>
          <w:tcPr>
            <w:tcW w:w="647" w:type="pct"/>
            <w:tcBorders>
              <w:top w:val="nil"/>
              <w:left w:val="nil"/>
              <w:bottom w:val="single" w:sz="4" w:space="0" w:color="auto"/>
              <w:right w:val="nil"/>
            </w:tcBorders>
          </w:tcPr>
          <w:p w14:paraId="33D03EDC" w14:textId="1EA78F28"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(0</w:t>
            </w:r>
            <w:r w:rsidR="00C5236B" w:rsidRPr="00C951F0">
              <w:rPr>
                <w:rFonts w:cs="Arial"/>
                <w:color w:val="000000" w:themeColor="text1"/>
                <w:sz w:val="20"/>
                <w:szCs w:val="20"/>
              </w:rPr>
              <w:t>·</w:t>
            </w:r>
            <w:r w:rsidRPr="00C951F0">
              <w:rPr>
                <w:rFonts w:cs="Arial"/>
                <w:color w:val="000000" w:themeColor="text1"/>
                <w:sz w:val="20"/>
                <w:szCs w:val="20"/>
              </w:rPr>
              <w:t>2)</w:t>
            </w:r>
          </w:p>
        </w:tc>
        <w:tc>
          <w:tcPr>
            <w:tcW w:w="648" w:type="pct"/>
            <w:tcBorders>
              <w:top w:val="nil"/>
              <w:left w:val="nil"/>
              <w:bottom w:val="single" w:sz="4" w:space="0" w:color="auto"/>
              <w:right w:val="nil"/>
            </w:tcBorders>
          </w:tcPr>
          <w:p w14:paraId="57083B96" w14:textId="1D2BBA3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(0</w:t>
            </w:r>
            <w:r w:rsidR="00C5236B" w:rsidRPr="00C951F0">
              <w:rPr>
                <w:rFonts w:cs="Arial"/>
                <w:color w:val="000000" w:themeColor="text1"/>
                <w:sz w:val="20"/>
                <w:szCs w:val="20"/>
              </w:rPr>
              <w:t>·</w:t>
            </w:r>
            <w:r w:rsidRPr="00C951F0">
              <w:rPr>
                <w:rFonts w:cs="Arial"/>
                <w:color w:val="000000" w:themeColor="text1"/>
                <w:sz w:val="20"/>
                <w:szCs w:val="20"/>
              </w:rPr>
              <w:t>2)</w:t>
            </w:r>
          </w:p>
        </w:tc>
        <w:tc>
          <w:tcPr>
            <w:tcW w:w="646" w:type="pct"/>
            <w:tcBorders>
              <w:top w:val="nil"/>
              <w:left w:val="nil"/>
              <w:bottom w:val="single" w:sz="4" w:space="0" w:color="auto"/>
              <w:right w:val="nil"/>
            </w:tcBorders>
          </w:tcPr>
          <w:p w14:paraId="71E2D623" w14:textId="31938ACD"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 (0</w:t>
            </w:r>
            <w:r w:rsidR="00C5236B" w:rsidRPr="00C951F0">
              <w:rPr>
                <w:rFonts w:cs="Arial"/>
                <w:color w:val="000000" w:themeColor="text1"/>
                <w:sz w:val="20"/>
                <w:szCs w:val="20"/>
              </w:rPr>
              <w:t>·</w:t>
            </w:r>
            <w:r w:rsidRPr="00C951F0">
              <w:rPr>
                <w:rFonts w:cs="Arial"/>
                <w:color w:val="000000" w:themeColor="text1"/>
                <w:sz w:val="20"/>
                <w:szCs w:val="20"/>
              </w:rPr>
              <w:t>2)</w:t>
            </w:r>
          </w:p>
        </w:tc>
      </w:tr>
      <w:tr w:rsidR="00C951F0" w:rsidRPr="00C951F0" w14:paraId="425CA6E0" w14:textId="77777777" w:rsidTr="00934A10">
        <w:tc>
          <w:tcPr>
            <w:tcW w:w="2390" w:type="pct"/>
            <w:tcBorders>
              <w:left w:val="nil"/>
              <w:bottom w:val="nil"/>
              <w:right w:val="nil"/>
            </w:tcBorders>
          </w:tcPr>
          <w:p w14:paraId="2F8A7E3F" w14:textId="39F15875"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 xml:space="preserve">Blood pressure </w:t>
            </w:r>
            <w:r w:rsidR="00D2651E" w:rsidRPr="00C951F0">
              <w:rPr>
                <w:rFonts w:cs="Arial"/>
                <w:color w:val="000000" w:themeColor="text1"/>
                <w:sz w:val="20"/>
                <w:szCs w:val="20"/>
              </w:rPr>
              <w:t>—</w:t>
            </w:r>
            <w:r w:rsidRPr="00C951F0">
              <w:rPr>
                <w:rFonts w:cs="Arial"/>
                <w:color w:val="000000" w:themeColor="text1"/>
                <w:sz w:val="20"/>
                <w:szCs w:val="20"/>
              </w:rPr>
              <w:t xml:space="preserve"> mmHg</w:t>
            </w:r>
          </w:p>
        </w:tc>
        <w:tc>
          <w:tcPr>
            <w:tcW w:w="669" w:type="pct"/>
            <w:tcBorders>
              <w:left w:val="nil"/>
              <w:bottom w:val="nil"/>
              <w:right w:val="nil"/>
            </w:tcBorders>
          </w:tcPr>
          <w:p w14:paraId="6F19F706" w14:textId="77777777" w:rsidR="00B1644A" w:rsidRPr="00C951F0" w:rsidRDefault="00B1644A" w:rsidP="0039543A">
            <w:pPr>
              <w:spacing w:line="240" w:lineRule="auto"/>
              <w:jc w:val="center"/>
              <w:rPr>
                <w:rFonts w:cs="Arial"/>
                <w:color w:val="000000" w:themeColor="text1"/>
                <w:sz w:val="20"/>
                <w:szCs w:val="20"/>
              </w:rPr>
            </w:pPr>
          </w:p>
        </w:tc>
        <w:tc>
          <w:tcPr>
            <w:tcW w:w="647" w:type="pct"/>
            <w:tcBorders>
              <w:left w:val="nil"/>
              <w:bottom w:val="nil"/>
              <w:right w:val="nil"/>
            </w:tcBorders>
          </w:tcPr>
          <w:p w14:paraId="52268D9A" w14:textId="77777777" w:rsidR="00B1644A" w:rsidRPr="00C951F0" w:rsidRDefault="00B1644A" w:rsidP="0039543A">
            <w:pPr>
              <w:spacing w:line="240" w:lineRule="auto"/>
              <w:jc w:val="center"/>
              <w:rPr>
                <w:rFonts w:cs="Arial"/>
                <w:color w:val="000000" w:themeColor="text1"/>
                <w:sz w:val="20"/>
                <w:szCs w:val="20"/>
              </w:rPr>
            </w:pPr>
          </w:p>
        </w:tc>
        <w:tc>
          <w:tcPr>
            <w:tcW w:w="648" w:type="pct"/>
            <w:tcBorders>
              <w:left w:val="nil"/>
              <w:bottom w:val="nil"/>
              <w:right w:val="nil"/>
            </w:tcBorders>
          </w:tcPr>
          <w:p w14:paraId="2C13207E" w14:textId="77777777" w:rsidR="00B1644A" w:rsidRPr="00C951F0" w:rsidRDefault="00B1644A" w:rsidP="0039543A">
            <w:pPr>
              <w:spacing w:line="240" w:lineRule="auto"/>
              <w:jc w:val="center"/>
              <w:rPr>
                <w:rFonts w:cs="Arial"/>
                <w:color w:val="000000" w:themeColor="text1"/>
                <w:sz w:val="20"/>
                <w:szCs w:val="20"/>
              </w:rPr>
            </w:pPr>
          </w:p>
        </w:tc>
        <w:tc>
          <w:tcPr>
            <w:tcW w:w="646" w:type="pct"/>
            <w:tcBorders>
              <w:left w:val="nil"/>
              <w:bottom w:val="nil"/>
              <w:right w:val="nil"/>
            </w:tcBorders>
          </w:tcPr>
          <w:p w14:paraId="74D2498D" w14:textId="77777777" w:rsidR="00B1644A" w:rsidRPr="00C951F0" w:rsidRDefault="00B1644A" w:rsidP="0039543A">
            <w:pPr>
              <w:spacing w:line="240" w:lineRule="auto"/>
              <w:jc w:val="center"/>
              <w:rPr>
                <w:rFonts w:cs="Arial"/>
                <w:color w:val="000000" w:themeColor="text1"/>
                <w:sz w:val="20"/>
                <w:szCs w:val="20"/>
              </w:rPr>
            </w:pPr>
          </w:p>
        </w:tc>
      </w:tr>
      <w:tr w:rsidR="00C951F0" w:rsidRPr="00C951F0" w14:paraId="6B9B9CCC" w14:textId="77777777" w:rsidTr="00934A10">
        <w:tc>
          <w:tcPr>
            <w:tcW w:w="2390" w:type="pct"/>
            <w:tcBorders>
              <w:top w:val="nil"/>
              <w:left w:val="nil"/>
              <w:bottom w:val="nil"/>
              <w:right w:val="nil"/>
            </w:tcBorders>
          </w:tcPr>
          <w:p w14:paraId="777AB491"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Systolic</w:t>
            </w:r>
          </w:p>
        </w:tc>
        <w:tc>
          <w:tcPr>
            <w:tcW w:w="669" w:type="pct"/>
            <w:tcBorders>
              <w:top w:val="nil"/>
              <w:left w:val="nil"/>
              <w:bottom w:val="nil"/>
              <w:right w:val="nil"/>
            </w:tcBorders>
          </w:tcPr>
          <w:p w14:paraId="396E0CAC"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130 ± 13</w:t>
            </w:r>
          </w:p>
        </w:tc>
        <w:tc>
          <w:tcPr>
            <w:tcW w:w="647" w:type="pct"/>
            <w:tcBorders>
              <w:top w:val="nil"/>
              <w:left w:val="nil"/>
              <w:bottom w:val="nil"/>
              <w:right w:val="nil"/>
            </w:tcBorders>
          </w:tcPr>
          <w:p w14:paraId="4DE8EED6"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130 ± 14</w:t>
            </w:r>
          </w:p>
        </w:tc>
        <w:tc>
          <w:tcPr>
            <w:tcW w:w="648" w:type="pct"/>
            <w:tcBorders>
              <w:top w:val="nil"/>
              <w:left w:val="nil"/>
              <w:bottom w:val="nil"/>
              <w:right w:val="nil"/>
            </w:tcBorders>
          </w:tcPr>
          <w:p w14:paraId="7C1F6519"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130 ± 13</w:t>
            </w:r>
          </w:p>
        </w:tc>
        <w:tc>
          <w:tcPr>
            <w:tcW w:w="646" w:type="pct"/>
            <w:tcBorders>
              <w:top w:val="nil"/>
              <w:left w:val="nil"/>
              <w:bottom w:val="nil"/>
              <w:right w:val="nil"/>
            </w:tcBorders>
          </w:tcPr>
          <w:p w14:paraId="5B767CB9"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130 ± 14</w:t>
            </w:r>
          </w:p>
        </w:tc>
      </w:tr>
      <w:tr w:rsidR="00C951F0" w:rsidRPr="00C951F0" w14:paraId="640CCBC8" w14:textId="77777777" w:rsidTr="00934A10">
        <w:tc>
          <w:tcPr>
            <w:tcW w:w="2390" w:type="pct"/>
            <w:tcBorders>
              <w:top w:val="nil"/>
              <w:left w:val="nil"/>
              <w:bottom w:val="single" w:sz="4" w:space="0" w:color="auto"/>
              <w:right w:val="nil"/>
            </w:tcBorders>
          </w:tcPr>
          <w:p w14:paraId="4BDB24E9"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Diastolic</w:t>
            </w:r>
          </w:p>
        </w:tc>
        <w:tc>
          <w:tcPr>
            <w:tcW w:w="669" w:type="pct"/>
            <w:tcBorders>
              <w:top w:val="nil"/>
              <w:left w:val="nil"/>
              <w:bottom w:val="single" w:sz="4" w:space="0" w:color="auto"/>
              <w:right w:val="nil"/>
            </w:tcBorders>
          </w:tcPr>
          <w:p w14:paraId="3123E094"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80 ± 9</w:t>
            </w:r>
          </w:p>
        </w:tc>
        <w:tc>
          <w:tcPr>
            <w:tcW w:w="647" w:type="pct"/>
            <w:tcBorders>
              <w:top w:val="nil"/>
              <w:left w:val="nil"/>
              <w:bottom w:val="single" w:sz="4" w:space="0" w:color="auto"/>
              <w:right w:val="nil"/>
            </w:tcBorders>
          </w:tcPr>
          <w:p w14:paraId="486B50C0"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80 ± 9</w:t>
            </w:r>
          </w:p>
        </w:tc>
        <w:tc>
          <w:tcPr>
            <w:tcW w:w="648" w:type="pct"/>
            <w:tcBorders>
              <w:top w:val="nil"/>
              <w:left w:val="nil"/>
              <w:bottom w:val="single" w:sz="4" w:space="0" w:color="auto"/>
              <w:right w:val="nil"/>
            </w:tcBorders>
          </w:tcPr>
          <w:p w14:paraId="5805BE6C"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80 ± 9</w:t>
            </w:r>
          </w:p>
        </w:tc>
        <w:tc>
          <w:tcPr>
            <w:tcW w:w="646" w:type="pct"/>
            <w:tcBorders>
              <w:top w:val="nil"/>
              <w:left w:val="nil"/>
              <w:bottom w:val="single" w:sz="4" w:space="0" w:color="auto"/>
              <w:right w:val="nil"/>
            </w:tcBorders>
          </w:tcPr>
          <w:p w14:paraId="6F672BEB"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80 ± 9</w:t>
            </w:r>
          </w:p>
        </w:tc>
      </w:tr>
      <w:tr w:rsidR="00C951F0" w:rsidRPr="0037035E" w14:paraId="0A849945" w14:textId="77777777" w:rsidTr="00934A10">
        <w:tc>
          <w:tcPr>
            <w:tcW w:w="2390" w:type="pct"/>
            <w:tcBorders>
              <w:left w:val="nil"/>
              <w:bottom w:val="nil"/>
              <w:right w:val="nil"/>
            </w:tcBorders>
          </w:tcPr>
          <w:p w14:paraId="59F2A9C5" w14:textId="5AE8D727"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Lipids</w:t>
            </w:r>
            <w:r w:rsidR="003519B0">
              <w:rPr>
                <w:rFonts w:cs="Arial"/>
                <w:color w:val="000000" w:themeColor="text1"/>
                <w:sz w:val="20"/>
                <w:szCs w:val="20"/>
              </w:rPr>
              <w:t xml:space="preserve"> – geometric mean (CV)</w:t>
            </w:r>
          </w:p>
        </w:tc>
        <w:tc>
          <w:tcPr>
            <w:tcW w:w="669" w:type="pct"/>
            <w:tcBorders>
              <w:left w:val="nil"/>
              <w:bottom w:val="nil"/>
              <w:right w:val="nil"/>
            </w:tcBorders>
          </w:tcPr>
          <w:p w14:paraId="4D67DCE8" w14:textId="77777777" w:rsidR="00B1644A" w:rsidRPr="0037035E" w:rsidRDefault="00B1644A" w:rsidP="0039543A">
            <w:pPr>
              <w:spacing w:line="240" w:lineRule="auto"/>
              <w:jc w:val="center"/>
              <w:rPr>
                <w:rFonts w:cs="Arial"/>
                <w:color w:val="000000" w:themeColor="text1"/>
                <w:sz w:val="20"/>
                <w:szCs w:val="20"/>
              </w:rPr>
            </w:pPr>
          </w:p>
        </w:tc>
        <w:tc>
          <w:tcPr>
            <w:tcW w:w="647" w:type="pct"/>
            <w:tcBorders>
              <w:left w:val="nil"/>
              <w:bottom w:val="nil"/>
              <w:right w:val="nil"/>
            </w:tcBorders>
          </w:tcPr>
          <w:p w14:paraId="2492912A" w14:textId="77777777" w:rsidR="00B1644A" w:rsidRPr="0037035E" w:rsidRDefault="00B1644A" w:rsidP="0039543A">
            <w:pPr>
              <w:spacing w:line="240" w:lineRule="auto"/>
              <w:jc w:val="center"/>
              <w:rPr>
                <w:rFonts w:cs="Arial"/>
                <w:color w:val="000000" w:themeColor="text1"/>
                <w:sz w:val="20"/>
                <w:szCs w:val="20"/>
              </w:rPr>
            </w:pPr>
          </w:p>
        </w:tc>
        <w:tc>
          <w:tcPr>
            <w:tcW w:w="648" w:type="pct"/>
            <w:tcBorders>
              <w:left w:val="nil"/>
              <w:bottom w:val="nil"/>
              <w:right w:val="nil"/>
            </w:tcBorders>
          </w:tcPr>
          <w:p w14:paraId="25D7CCC7" w14:textId="77777777" w:rsidR="00B1644A" w:rsidRPr="0037035E" w:rsidRDefault="00B1644A" w:rsidP="0039543A">
            <w:pPr>
              <w:spacing w:line="240" w:lineRule="auto"/>
              <w:jc w:val="center"/>
              <w:rPr>
                <w:rFonts w:cs="Arial"/>
                <w:color w:val="000000" w:themeColor="text1"/>
                <w:sz w:val="20"/>
                <w:szCs w:val="20"/>
              </w:rPr>
            </w:pPr>
          </w:p>
        </w:tc>
        <w:tc>
          <w:tcPr>
            <w:tcW w:w="646" w:type="pct"/>
            <w:tcBorders>
              <w:left w:val="nil"/>
              <w:bottom w:val="nil"/>
              <w:right w:val="nil"/>
            </w:tcBorders>
          </w:tcPr>
          <w:p w14:paraId="62D7C3EF" w14:textId="77777777" w:rsidR="00B1644A" w:rsidRPr="0037035E" w:rsidRDefault="00B1644A" w:rsidP="0039543A">
            <w:pPr>
              <w:spacing w:line="240" w:lineRule="auto"/>
              <w:jc w:val="center"/>
              <w:rPr>
                <w:rFonts w:cs="Arial"/>
                <w:color w:val="000000" w:themeColor="text1"/>
                <w:sz w:val="20"/>
                <w:szCs w:val="20"/>
              </w:rPr>
            </w:pPr>
          </w:p>
        </w:tc>
      </w:tr>
      <w:tr w:rsidR="00174DB6" w:rsidRPr="0037035E" w14:paraId="23FE023F" w14:textId="77777777" w:rsidTr="00934A10">
        <w:tc>
          <w:tcPr>
            <w:tcW w:w="2390" w:type="pct"/>
            <w:tcBorders>
              <w:top w:val="nil"/>
              <w:left w:val="nil"/>
              <w:bottom w:val="nil"/>
              <w:right w:val="nil"/>
            </w:tcBorders>
          </w:tcPr>
          <w:p w14:paraId="1BF89FB2" w14:textId="42F89410" w:rsidR="00174DB6" w:rsidRPr="00C951F0" w:rsidRDefault="00174DB6" w:rsidP="00174DB6">
            <w:pPr>
              <w:spacing w:line="240" w:lineRule="auto"/>
              <w:ind w:left="309"/>
              <w:rPr>
                <w:rFonts w:cs="Arial"/>
                <w:color w:val="000000" w:themeColor="text1"/>
                <w:sz w:val="20"/>
                <w:szCs w:val="20"/>
              </w:rPr>
            </w:pPr>
            <w:r w:rsidRPr="00C951F0">
              <w:rPr>
                <w:rFonts w:cs="Arial"/>
                <w:color w:val="000000" w:themeColor="text1"/>
                <w:sz w:val="20"/>
                <w:szCs w:val="20"/>
              </w:rPr>
              <w:t xml:space="preserve">Total cholesterol — </w:t>
            </w:r>
            <w:r>
              <w:rPr>
                <w:rFonts w:cs="Arial"/>
                <w:color w:val="000000" w:themeColor="text1"/>
                <w:sz w:val="20"/>
                <w:szCs w:val="20"/>
              </w:rPr>
              <w:t>mmol/L</w:t>
            </w:r>
          </w:p>
        </w:tc>
        <w:tc>
          <w:tcPr>
            <w:tcW w:w="669" w:type="pct"/>
            <w:tcBorders>
              <w:top w:val="nil"/>
              <w:left w:val="nil"/>
              <w:bottom w:val="nil"/>
              <w:right w:val="nil"/>
            </w:tcBorders>
          </w:tcPr>
          <w:p w14:paraId="6A4C0D64" w14:textId="3B6F5F60"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n=402</w:t>
            </w:r>
          </w:p>
          <w:p w14:paraId="2C1328E9" w14:textId="39549106"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4·4 (23·0)</w:t>
            </w:r>
          </w:p>
        </w:tc>
        <w:tc>
          <w:tcPr>
            <w:tcW w:w="647" w:type="pct"/>
            <w:tcBorders>
              <w:top w:val="nil"/>
              <w:left w:val="nil"/>
              <w:bottom w:val="nil"/>
              <w:right w:val="nil"/>
            </w:tcBorders>
          </w:tcPr>
          <w:p w14:paraId="2AF7A032" w14:textId="2CF7A2E8"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n=399</w:t>
            </w:r>
          </w:p>
          <w:p w14:paraId="761543CA" w14:textId="1775B33B"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4·5 (25·0)</w:t>
            </w:r>
          </w:p>
        </w:tc>
        <w:tc>
          <w:tcPr>
            <w:tcW w:w="648" w:type="pct"/>
            <w:tcBorders>
              <w:top w:val="nil"/>
              <w:left w:val="nil"/>
              <w:bottom w:val="nil"/>
              <w:right w:val="nil"/>
            </w:tcBorders>
          </w:tcPr>
          <w:p w14:paraId="2B045341" w14:textId="3280070D"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n=402</w:t>
            </w:r>
          </w:p>
          <w:p w14:paraId="28D691B9" w14:textId="011274B4"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4·4 (23·3)</w:t>
            </w:r>
          </w:p>
        </w:tc>
        <w:tc>
          <w:tcPr>
            <w:tcW w:w="646" w:type="pct"/>
            <w:tcBorders>
              <w:top w:val="nil"/>
              <w:left w:val="nil"/>
              <w:bottom w:val="nil"/>
              <w:right w:val="nil"/>
            </w:tcBorders>
          </w:tcPr>
          <w:p w14:paraId="71BFCF13" w14:textId="2D9556B8"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n=1203</w:t>
            </w:r>
          </w:p>
          <w:p w14:paraId="4AA12B11" w14:textId="5C0A8B4F"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4·4 (23·8)</w:t>
            </w:r>
          </w:p>
        </w:tc>
      </w:tr>
      <w:tr w:rsidR="00174DB6" w:rsidRPr="0037035E" w14:paraId="14C8FFED" w14:textId="77777777" w:rsidTr="00934A10">
        <w:tc>
          <w:tcPr>
            <w:tcW w:w="2390" w:type="pct"/>
            <w:tcBorders>
              <w:top w:val="nil"/>
              <w:left w:val="nil"/>
              <w:bottom w:val="nil"/>
              <w:right w:val="nil"/>
            </w:tcBorders>
          </w:tcPr>
          <w:p w14:paraId="62A8E0E9" w14:textId="1B8F2FEA" w:rsidR="00174DB6" w:rsidRPr="00C951F0" w:rsidRDefault="00174DB6" w:rsidP="00174DB6">
            <w:pPr>
              <w:spacing w:line="240" w:lineRule="auto"/>
              <w:ind w:left="309"/>
              <w:rPr>
                <w:rFonts w:cs="Arial"/>
                <w:color w:val="000000" w:themeColor="text1"/>
                <w:sz w:val="20"/>
                <w:szCs w:val="20"/>
              </w:rPr>
            </w:pPr>
            <w:r w:rsidRPr="00C951F0">
              <w:rPr>
                <w:rFonts w:cs="Arial"/>
                <w:color w:val="000000" w:themeColor="text1"/>
                <w:sz w:val="20"/>
                <w:szCs w:val="20"/>
              </w:rPr>
              <w:t xml:space="preserve">LDL cholesterol — </w:t>
            </w:r>
            <w:r>
              <w:rPr>
                <w:rFonts w:cs="Arial"/>
                <w:color w:val="000000" w:themeColor="text1"/>
                <w:sz w:val="20"/>
                <w:szCs w:val="20"/>
              </w:rPr>
              <w:t>mmol/L</w:t>
            </w:r>
          </w:p>
        </w:tc>
        <w:tc>
          <w:tcPr>
            <w:tcW w:w="669" w:type="pct"/>
            <w:tcBorders>
              <w:top w:val="nil"/>
              <w:left w:val="nil"/>
              <w:bottom w:val="nil"/>
              <w:right w:val="nil"/>
            </w:tcBorders>
          </w:tcPr>
          <w:p w14:paraId="3AC40720" w14:textId="74415BE5"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n=402</w:t>
            </w:r>
          </w:p>
          <w:p w14:paraId="03C92310" w14:textId="00AFD3AF"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2·3 (37·3)</w:t>
            </w:r>
          </w:p>
        </w:tc>
        <w:tc>
          <w:tcPr>
            <w:tcW w:w="647" w:type="pct"/>
            <w:tcBorders>
              <w:top w:val="nil"/>
              <w:left w:val="nil"/>
              <w:bottom w:val="nil"/>
              <w:right w:val="nil"/>
            </w:tcBorders>
          </w:tcPr>
          <w:p w14:paraId="2C27DF03" w14:textId="125B8943"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n=399</w:t>
            </w:r>
          </w:p>
          <w:p w14:paraId="5652DD2D" w14:textId="4B9FA9D5"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2·3 (46·7)</w:t>
            </w:r>
          </w:p>
        </w:tc>
        <w:tc>
          <w:tcPr>
            <w:tcW w:w="648" w:type="pct"/>
            <w:tcBorders>
              <w:top w:val="nil"/>
              <w:left w:val="nil"/>
              <w:bottom w:val="nil"/>
              <w:right w:val="nil"/>
            </w:tcBorders>
          </w:tcPr>
          <w:p w14:paraId="15C67033" w14:textId="0AD7CB07"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n=402</w:t>
            </w:r>
          </w:p>
          <w:p w14:paraId="43FBE250" w14:textId="7904BD80"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2·3 (37·8)</w:t>
            </w:r>
          </w:p>
        </w:tc>
        <w:tc>
          <w:tcPr>
            <w:tcW w:w="646" w:type="pct"/>
            <w:tcBorders>
              <w:top w:val="nil"/>
              <w:left w:val="nil"/>
              <w:bottom w:val="nil"/>
              <w:right w:val="nil"/>
            </w:tcBorders>
          </w:tcPr>
          <w:p w14:paraId="7F6EE93E" w14:textId="4ED9945A"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n=1203</w:t>
            </w:r>
          </w:p>
          <w:p w14:paraId="3125DE2C" w14:textId="43BD0869"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2·3 (40·7)</w:t>
            </w:r>
          </w:p>
        </w:tc>
      </w:tr>
      <w:tr w:rsidR="00174DB6" w:rsidRPr="0037035E" w14:paraId="432DFAFC" w14:textId="77777777" w:rsidTr="00934A10">
        <w:tc>
          <w:tcPr>
            <w:tcW w:w="2390" w:type="pct"/>
            <w:tcBorders>
              <w:top w:val="nil"/>
              <w:left w:val="nil"/>
              <w:bottom w:val="nil"/>
              <w:right w:val="nil"/>
            </w:tcBorders>
          </w:tcPr>
          <w:p w14:paraId="7E0ED493" w14:textId="45F884CD" w:rsidR="00174DB6" w:rsidRPr="00C951F0" w:rsidRDefault="00174DB6" w:rsidP="00174DB6">
            <w:pPr>
              <w:spacing w:line="240" w:lineRule="auto"/>
              <w:ind w:left="309"/>
              <w:rPr>
                <w:rFonts w:cs="Arial"/>
                <w:color w:val="000000" w:themeColor="text1"/>
                <w:sz w:val="20"/>
                <w:szCs w:val="20"/>
              </w:rPr>
            </w:pPr>
            <w:r w:rsidRPr="00C951F0">
              <w:rPr>
                <w:rFonts w:cs="Arial"/>
                <w:color w:val="000000" w:themeColor="text1"/>
                <w:sz w:val="20"/>
                <w:szCs w:val="20"/>
              </w:rPr>
              <w:t xml:space="preserve">HDL cholesterol — </w:t>
            </w:r>
            <w:r>
              <w:rPr>
                <w:rFonts w:cs="Arial"/>
                <w:color w:val="000000" w:themeColor="text1"/>
                <w:sz w:val="20"/>
                <w:szCs w:val="20"/>
              </w:rPr>
              <w:t>mmol/L</w:t>
            </w:r>
          </w:p>
        </w:tc>
        <w:tc>
          <w:tcPr>
            <w:tcW w:w="669" w:type="pct"/>
            <w:tcBorders>
              <w:top w:val="nil"/>
              <w:left w:val="nil"/>
              <w:bottom w:val="nil"/>
              <w:right w:val="nil"/>
            </w:tcBorders>
          </w:tcPr>
          <w:p w14:paraId="6B310532" w14:textId="711C3BA6"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n=402</w:t>
            </w:r>
          </w:p>
          <w:p w14:paraId="19FE156C" w14:textId="58FE27C8"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1·2 (23·3)</w:t>
            </w:r>
          </w:p>
        </w:tc>
        <w:tc>
          <w:tcPr>
            <w:tcW w:w="647" w:type="pct"/>
            <w:tcBorders>
              <w:top w:val="nil"/>
              <w:left w:val="nil"/>
              <w:bottom w:val="nil"/>
              <w:right w:val="nil"/>
            </w:tcBorders>
          </w:tcPr>
          <w:p w14:paraId="054E6B38" w14:textId="4B631E6A"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n=399</w:t>
            </w:r>
          </w:p>
          <w:p w14:paraId="43889A30" w14:textId="73901C02"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1·1 (24·9)</w:t>
            </w:r>
          </w:p>
        </w:tc>
        <w:tc>
          <w:tcPr>
            <w:tcW w:w="648" w:type="pct"/>
            <w:tcBorders>
              <w:top w:val="nil"/>
              <w:left w:val="nil"/>
              <w:bottom w:val="nil"/>
              <w:right w:val="nil"/>
            </w:tcBorders>
          </w:tcPr>
          <w:p w14:paraId="528B1B9E" w14:textId="6AD475C3"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n=402</w:t>
            </w:r>
          </w:p>
          <w:p w14:paraId="6A9007FD" w14:textId="6BC063FC"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1·1 (24·2)</w:t>
            </w:r>
          </w:p>
        </w:tc>
        <w:tc>
          <w:tcPr>
            <w:tcW w:w="646" w:type="pct"/>
            <w:tcBorders>
              <w:top w:val="nil"/>
              <w:left w:val="nil"/>
              <w:bottom w:val="nil"/>
              <w:right w:val="nil"/>
            </w:tcBorders>
          </w:tcPr>
          <w:p w14:paraId="6E0657B6" w14:textId="343DC239"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n=1203</w:t>
            </w:r>
          </w:p>
          <w:p w14:paraId="328F6BF9" w14:textId="0189995A"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1·1 (24·2)</w:t>
            </w:r>
          </w:p>
        </w:tc>
      </w:tr>
      <w:tr w:rsidR="00174DB6" w:rsidRPr="0037035E" w14:paraId="32E0533E" w14:textId="77777777" w:rsidTr="00934A10">
        <w:tc>
          <w:tcPr>
            <w:tcW w:w="2390" w:type="pct"/>
            <w:tcBorders>
              <w:top w:val="nil"/>
              <w:left w:val="nil"/>
              <w:bottom w:val="nil"/>
              <w:right w:val="nil"/>
            </w:tcBorders>
          </w:tcPr>
          <w:p w14:paraId="560272FB" w14:textId="16CCC1F4" w:rsidR="00174DB6" w:rsidRPr="00C951F0" w:rsidRDefault="00174DB6" w:rsidP="00174DB6">
            <w:pPr>
              <w:spacing w:line="240" w:lineRule="auto"/>
              <w:ind w:left="309"/>
              <w:rPr>
                <w:rFonts w:cs="Arial"/>
                <w:color w:val="000000" w:themeColor="text1"/>
                <w:sz w:val="20"/>
                <w:szCs w:val="20"/>
              </w:rPr>
            </w:pPr>
            <w:r w:rsidRPr="00C951F0">
              <w:rPr>
                <w:rFonts w:cs="Arial"/>
                <w:color w:val="000000" w:themeColor="text1"/>
                <w:sz w:val="20"/>
                <w:szCs w:val="20"/>
              </w:rPr>
              <w:t xml:space="preserve">VLDL cholesterol — </w:t>
            </w:r>
            <w:r>
              <w:rPr>
                <w:rFonts w:cs="Arial"/>
                <w:color w:val="000000" w:themeColor="text1"/>
                <w:sz w:val="20"/>
                <w:szCs w:val="20"/>
              </w:rPr>
              <w:t>mmol/L</w:t>
            </w:r>
          </w:p>
        </w:tc>
        <w:tc>
          <w:tcPr>
            <w:tcW w:w="669" w:type="pct"/>
            <w:tcBorders>
              <w:top w:val="nil"/>
              <w:left w:val="nil"/>
              <w:bottom w:val="nil"/>
              <w:right w:val="nil"/>
            </w:tcBorders>
          </w:tcPr>
          <w:p w14:paraId="5ACB6F68" w14:textId="3670F9EE"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n=402</w:t>
            </w:r>
          </w:p>
          <w:p w14:paraId="3701F46E" w14:textId="496338DA"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0·8 (49·3)</w:t>
            </w:r>
          </w:p>
        </w:tc>
        <w:tc>
          <w:tcPr>
            <w:tcW w:w="647" w:type="pct"/>
            <w:tcBorders>
              <w:top w:val="nil"/>
              <w:left w:val="nil"/>
              <w:bottom w:val="nil"/>
              <w:right w:val="nil"/>
            </w:tcBorders>
          </w:tcPr>
          <w:p w14:paraId="2D3C037B" w14:textId="0FD972A5"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n=399</w:t>
            </w:r>
          </w:p>
          <w:p w14:paraId="610AF35B" w14:textId="639473F1"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0·8 (48·4)</w:t>
            </w:r>
          </w:p>
        </w:tc>
        <w:tc>
          <w:tcPr>
            <w:tcW w:w="648" w:type="pct"/>
            <w:tcBorders>
              <w:top w:val="nil"/>
              <w:left w:val="nil"/>
              <w:bottom w:val="nil"/>
              <w:right w:val="nil"/>
            </w:tcBorders>
          </w:tcPr>
          <w:p w14:paraId="4C3896D0" w14:textId="0136C981"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n=402</w:t>
            </w:r>
          </w:p>
          <w:p w14:paraId="7C26CA43" w14:textId="55F95484"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0·8 (49·7)</w:t>
            </w:r>
          </w:p>
        </w:tc>
        <w:tc>
          <w:tcPr>
            <w:tcW w:w="646" w:type="pct"/>
            <w:tcBorders>
              <w:top w:val="nil"/>
              <w:left w:val="nil"/>
              <w:bottom w:val="nil"/>
              <w:right w:val="nil"/>
            </w:tcBorders>
          </w:tcPr>
          <w:p w14:paraId="15F37638" w14:textId="32E440C6"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n=1203</w:t>
            </w:r>
          </w:p>
          <w:p w14:paraId="772A753B" w14:textId="1019D2BF"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0·8 (49·3)</w:t>
            </w:r>
          </w:p>
        </w:tc>
      </w:tr>
      <w:tr w:rsidR="00174DB6" w:rsidRPr="0037035E" w14:paraId="06FF57F4" w14:textId="77777777" w:rsidTr="00934A10">
        <w:tc>
          <w:tcPr>
            <w:tcW w:w="2390" w:type="pct"/>
            <w:tcBorders>
              <w:top w:val="nil"/>
              <w:left w:val="nil"/>
              <w:bottom w:val="nil"/>
              <w:right w:val="nil"/>
            </w:tcBorders>
          </w:tcPr>
          <w:p w14:paraId="62E64045" w14:textId="49B69CDD" w:rsidR="00174DB6" w:rsidRPr="00C951F0" w:rsidRDefault="00174DB6" w:rsidP="00174DB6">
            <w:pPr>
              <w:spacing w:line="240" w:lineRule="auto"/>
              <w:ind w:left="309"/>
              <w:rPr>
                <w:rFonts w:cs="Arial"/>
                <w:color w:val="000000" w:themeColor="text1"/>
                <w:sz w:val="20"/>
                <w:szCs w:val="20"/>
              </w:rPr>
            </w:pPr>
            <w:r w:rsidRPr="00C951F0">
              <w:rPr>
                <w:rFonts w:cs="Arial"/>
                <w:color w:val="000000" w:themeColor="text1"/>
                <w:sz w:val="20"/>
                <w:szCs w:val="20"/>
              </w:rPr>
              <w:t xml:space="preserve">Free fatty acids — </w:t>
            </w:r>
            <w:r>
              <w:rPr>
                <w:rFonts w:cs="Arial"/>
                <w:color w:val="000000" w:themeColor="text1"/>
                <w:sz w:val="20"/>
                <w:szCs w:val="20"/>
              </w:rPr>
              <w:t>mmol/L</w:t>
            </w:r>
          </w:p>
        </w:tc>
        <w:tc>
          <w:tcPr>
            <w:tcW w:w="669" w:type="pct"/>
            <w:tcBorders>
              <w:top w:val="nil"/>
              <w:left w:val="nil"/>
              <w:bottom w:val="nil"/>
              <w:right w:val="nil"/>
            </w:tcBorders>
          </w:tcPr>
          <w:p w14:paraId="206E732D" w14:textId="54EED64C"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n=390</w:t>
            </w:r>
          </w:p>
          <w:p w14:paraId="363C9399" w14:textId="61E7DF64"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0·6 (54·7)</w:t>
            </w:r>
          </w:p>
        </w:tc>
        <w:tc>
          <w:tcPr>
            <w:tcW w:w="647" w:type="pct"/>
            <w:tcBorders>
              <w:top w:val="nil"/>
              <w:left w:val="nil"/>
              <w:bottom w:val="nil"/>
              <w:right w:val="nil"/>
            </w:tcBorders>
          </w:tcPr>
          <w:p w14:paraId="0FD678B9" w14:textId="4A65C988"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n=388</w:t>
            </w:r>
          </w:p>
          <w:p w14:paraId="4CF72A13" w14:textId="09AA29FF"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0·6 (45·1)</w:t>
            </w:r>
          </w:p>
        </w:tc>
        <w:tc>
          <w:tcPr>
            <w:tcW w:w="648" w:type="pct"/>
            <w:tcBorders>
              <w:top w:val="nil"/>
              <w:left w:val="nil"/>
              <w:bottom w:val="nil"/>
              <w:right w:val="nil"/>
            </w:tcBorders>
          </w:tcPr>
          <w:p w14:paraId="10332789" w14:textId="4C603996"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n=393</w:t>
            </w:r>
          </w:p>
          <w:p w14:paraId="4115FE68" w14:textId="5C393A07"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0·6 (55·4)</w:t>
            </w:r>
          </w:p>
        </w:tc>
        <w:tc>
          <w:tcPr>
            <w:tcW w:w="646" w:type="pct"/>
            <w:tcBorders>
              <w:top w:val="nil"/>
              <w:left w:val="nil"/>
              <w:bottom w:val="nil"/>
              <w:right w:val="nil"/>
            </w:tcBorders>
          </w:tcPr>
          <w:p w14:paraId="0B57A8FB" w14:textId="61E42017"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n=1171</w:t>
            </w:r>
          </w:p>
          <w:p w14:paraId="03CDBE04" w14:textId="72792651"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0·6 (51·8)</w:t>
            </w:r>
          </w:p>
        </w:tc>
      </w:tr>
      <w:tr w:rsidR="00174DB6" w:rsidRPr="0037035E" w14:paraId="4237CBE9" w14:textId="77777777" w:rsidTr="00934A10">
        <w:tc>
          <w:tcPr>
            <w:tcW w:w="2390" w:type="pct"/>
            <w:tcBorders>
              <w:top w:val="nil"/>
              <w:left w:val="nil"/>
              <w:bottom w:val="single" w:sz="4" w:space="0" w:color="auto"/>
              <w:right w:val="nil"/>
            </w:tcBorders>
          </w:tcPr>
          <w:p w14:paraId="0CDDDD79" w14:textId="2CBFE4BE" w:rsidR="00174DB6" w:rsidRPr="00C951F0" w:rsidRDefault="00174DB6" w:rsidP="00174DB6">
            <w:pPr>
              <w:spacing w:line="240" w:lineRule="auto"/>
              <w:ind w:left="309"/>
              <w:rPr>
                <w:rFonts w:cs="Arial"/>
                <w:color w:val="000000" w:themeColor="text1"/>
                <w:sz w:val="20"/>
                <w:szCs w:val="20"/>
              </w:rPr>
            </w:pPr>
            <w:r w:rsidRPr="00C951F0">
              <w:rPr>
                <w:rFonts w:cs="Arial"/>
                <w:color w:val="000000" w:themeColor="text1"/>
                <w:sz w:val="20"/>
                <w:szCs w:val="20"/>
              </w:rPr>
              <w:t xml:space="preserve">Triglycerides — </w:t>
            </w:r>
            <w:r>
              <w:rPr>
                <w:rFonts w:cs="Arial"/>
                <w:color w:val="000000" w:themeColor="text1"/>
                <w:sz w:val="20"/>
                <w:szCs w:val="20"/>
              </w:rPr>
              <w:t>mmol/L</w:t>
            </w:r>
          </w:p>
        </w:tc>
        <w:tc>
          <w:tcPr>
            <w:tcW w:w="669" w:type="pct"/>
            <w:tcBorders>
              <w:top w:val="nil"/>
              <w:left w:val="nil"/>
              <w:bottom w:val="single" w:sz="4" w:space="0" w:color="auto"/>
              <w:right w:val="nil"/>
            </w:tcBorders>
          </w:tcPr>
          <w:p w14:paraId="32245D51" w14:textId="138BD881"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n=402</w:t>
            </w:r>
          </w:p>
          <w:p w14:paraId="3686166B" w14:textId="02BFDBF7"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1·7 (53·4)</w:t>
            </w:r>
          </w:p>
        </w:tc>
        <w:tc>
          <w:tcPr>
            <w:tcW w:w="647" w:type="pct"/>
            <w:tcBorders>
              <w:top w:val="nil"/>
              <w:left w:val="nil"/>
              <w:bottom w:val="single" w:sz="4" w:space="0" w:color="auto"/>
              <w:right w:val="nil"/>
            </w:tcBorders>
          </w:tcPr>
          <w:p w14:paraId="4CB27A1B" w14:textId="1FEFEE11"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n=399</w:t>
            </w:r>
          </w:p>
          <w:p w14:paraId="5116C7D5" w14:textId="0F1BF6E1"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1·9 (54·0)</w:t>
            </w:r>
          </w:p>
        </w:tc>
        <w:tc>
          <w:tcPr>
            <w:tcW w:w="648" w:type="pct"/>
            <w:tcBorders>
              <w:top w:val="nil"/>
              <w:left w:val="nil"/>
              <w:bottom w:val="single" w:sz="4" w:space="0" w:color="auto"/>
              <w:right w:val="nil"/>
            </w:tcBorders>
          </w:tcPr>
          <w:p w14:paraId="6F23ADC3" w14:textId="7C844D8A"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n=402</w:t>
            </w:r>
          </w:p>
          <w:p w14:paraId="71FD22B9" w14:textId="6D71119A"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1·8 (52·9)</w:t>
            </w:r>
          </w:p>
        </w:tc>
        <w:tc>
          <w:tcPr>
            <w:tcW w:w="646" w:type="pct"/>
            <w:tcBorders>
              <w:top w:val="nil"/>
              <w:left w:val="nil"/>
              <w:bottom w:val="single" w:sz="4" w:space="0" w:color="auto"/>
              <w:right w:val="nil"/>
            </w:tcBorders>
          </w:tcPr>
          <w:p w14:paraId="3931D7C4" w14:textId="62193845"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n=1203</w:t>
            </w:r>
          </w:p>
          <w:p w14:paraId="172A0613" w14:textId="67C4089F" w:rsidR="00174DB6" w:rsidRPr="0037035E" w:rsidRDefault="00174DB6" w:rsidP="00174DB6">
            <w:pPr>
              <w:spacing w:line="240" w:lineRule="auto"/>
              <w:jc w:val="center"/>
              <w:rPr>
                <w:rFonts w:cs="Arial"/>
                <w:color w:val="000000" w:themeColor="text1"/>
                <w:sz w:val="20"/>
                <w:szCs w:val="20"/>
              </w:rPr>
            </w:pPr>
            <w:r w:rsidRPr="0037035E">
              <w:rPr>
                <w:rFonts w:cs="Arial"/>
                <w:color w:val="000000" w:themeColor="text1"/>
                <w:sz w:val="20"/>
                <w:szCs w:val="20"/>
              </w:rPr>
              <w:t>1·8 (53·6)</w:t>
            </w:r>
          </w:p>
        </w:tc>
      </w:tr>
      <w:tr w:rsidR="00C951F0" w:rsidRPr="00C951F0" w14:paraId="0F5C0011" w14:textId="77777777" w:rsidTr="00934A10">
        <w:tc>
          <w:tcPr>
            <w:tcW w:w="2390" w:type="pct"/>
            <w:tcBorders>
              <w:left w:val="nil"/>
              <w:bottom w:val="nil"/>
              <w:right w:val="nil"/>
            </w:tcBorders>
          </w:tcPr>
          <w:p w14:paraId="71968EA5" w14:textId="77777777"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Estimated glomerular filtration rate</w:t>
            </w:r>
          </w:p>
        </w:tc>
        <w:tc>
          <w:tcPr>
            <w:tcW w:w="669" w:type="pct"/>
            <w:tcBorders>
              <w:left w:val="nil"/>
              <w:bottom w:val="nil"/>
              <w:right w:val="nil"/>
            </w:tcBorders>
          </w:tcPr>
          <w:p w14:paraId="37EB4A73" w14:textId="77777777" w:rsidR="00B1644A" w:rsidRPr="00C951F0" w:rsidRDefault="00B1644A" w:rsidP="0039543A">
            <w:pPr>
              <w:spacing w:line="240" w:lineRule="auto"/>
              <w:jc w:val="center"/>
              <w:rPr>
                <w:rFonts w:cs="Arial"/>
                <w:color w:val="000000" w:themeColor="text1"/>
                <w:sz w:val="20"/>
                <w:szCs w:val="20"/>
              </w:rPr>
            </w:pPr>
          </w:p>
        </w:tc>
        <w:tc>
          <w:tcPr>
            <w:tcW w:w="647" w:type="pct"/>
            <w:tcBorders>
              <w:left w:val="nil"/>
              <w:bottom w:val="nil"/>
              <w:right w:val="nil"/>
            </w:tcBorders>
          </w:tcPr>
          <w:p w14:paraId="5893F704" w14:textId="77777777" w:rsidR="00B1644A" w:rsidRPr="00C951F0" w:rsidRDefault="00B1644A" w:rsidP="0039543A">
            <w:pPr>
              <w:spacing w:line="240" w:lineRule="auto"/>
              <w:jc w:val="center"/>
              <w:rPr>
                <w:rFonts w:cs="Arial"/>
                <w:color w:val="000000" w:themeColor="text1"/>
                <w:sz w:val="20"/>
                <w:szCs w:val="20"/>
              </w:rPr>
            </w:pPr>
          </w:p>
        </w:tc>
        <w:tc>
          <w:tcPr>
            <w:tcW w:w="648" w:type="pct"/>
            <w:tcBorders>
              <w:left w:val="nil"/>
              <w:bottom w:val="nil"/>
              <w:right w:val="nil"/>
            </w:tcBorders>
          </w:tcPr>
          <w:p w14:paraId="3F783B1B" w14:textId="77777777" w:rsidR="00B1644A" w:rsidRPr="00C951F0" w:rsidRDefault="00B1644A" w:rsidP="0039543A">
            <w:pPr>
              <w:spacing w:line="240" w:lineRule="auto"/>
              <w:jc w:val="center"/>
              <w:rPr>
                <w:rFonts w:cs="Arial"/>
                <w:color w:val="000000" w:themeColor="text1"/>
                <w:sz w:val="20"/>
                <w:szCs w:val="20"/>
              </w:rPr>
            </w:pPr>
          </w:p>
        </w:tc>
        <w:tc>
          <w:tcPr>
            <w:tcW w:w="646" w:type="pct"/>
            <w:tcBorders>
              <w:left w:val="nil"/>
              <w:bottom w:val="nil"/>
              <w:right w:val="nil"/>
            </w:tcBorders>
          </w:tcPr>
          <w:p w14:paraId="02804ECF" w14:textId="77777777" w:rsidR="00B1644A" w:rsidRPr="00C951F0" w:rsidRDefault="00B1644A" w:rsidP="0039543A">
            <w:pPr>
              <w:spacing w:line="240" w:lineRule="auto"/>
              <w:jc w:val="center"/>
              <w:rPr>
                <w:rFonts w:cs="Arial"/>
                <w:color w:val="000000" w:themeColor="text1"/>
                <w:sz w:val="20"/>
                <w:szCs w:val="20"/>
              </w:rPr>
            </w:pPr>
          </w:p>
        </w:tc>
      </w:tr>
      <w:tr w:rsidR="00C951F0" w:rsidRPr="00C951F0" w14:paraId="1B3B5E5F" w14:textId="77777777" w:rsidTr="00934A10">
        <w:tc>
          <w:tcPr>
            <w:tcW w:w="2390" w:type="pct"/>
            <w:tcBorders>
              <w:top w:val="nil"/>
              <w:left w:val="nil"/>
              <w:bottom w:val="nil"/>
              <w:right w:val="nil"/>
            </w:tcBorders>
          </w:tcPr>
          <w:p w14:paraId="0C13578C" w14:textId="0B85662B" w:rsidR="003063B5" w:rsidRPr="00C951F0" w:rsidRDefault="003063B5" w:rsidP="00934A10">
            <w:pPr>
              <w:spacing w:line="240" w:lineRule="auto"/>
              <w:ind w:left="306"/>
              <w:rPr>
                <w:rFonts w:cs="Arial"/>
                <w:color w:val="000000" w:themeColor="text1"/>
                <w:sz w:val="20"/>
                <w:szCs w:val="20"/>
              </w:rPr>
            </w:pPr>
            <w:r w:rsidRPr="00C951F0">
              <w:rPr>
                <w:rFonts w:cs="Arial"/>
                <w:color w:val="000000" w:themeColor="text1"/>
                <w:sz w:val="20"/>
                <w:szCs w:val="20"/>
              </w:rPr>
              <w:t>Mean — mL/min/1·73 m</w:t>
            </w:r>
            <w:r w:rsidRPr="00C951F0">
              <w:rPr>
                <w:rFonts w:cs="Arial"/>
                <w:color w:val="000000" w:themeColor="text1"/>
                <w:sz w:val="20"/>
                <w:szCs w:val="20"/>
                <w:vertAlign w:val="superscript"/>
              </w:rPr>
              <w:t>2</w:t>
            </w:r>
          </w:p>
        </w:tc>
        <w:tc>
          <w:tcPr>
            <w:tcW w:w="669" w:type="pct"/>
            <w:tcBorders>
              <w:top w:val="nil"/>
              <w:left w:val="nil"/>
              <w:bottom w:val="nil"/>
              <w:right w:val="nil"/>
            </w:tcBorders>
          </w:tcPr>
          <w:p w14:paraId="5D124896" w14:textId="79EBA3E4" w:rsidR="003063B5" w:rsidRPr="00C951F0" w:rsidRDefault="003063B5" w:rsidP="00433982">
            <w:pPr>
              <w:spacing w:line="240" w:lineRule="auto"/>
              <w:jc w:val="center"/>
              <w:rPr>
                <w:rFonts w:cs="Arial"/>
                <w:color w:val="000000" w:themeColor="text1"/>
                <w:sz w:val="20"/>
                <w:szCs w:val="20"/>
              </w:rPr>
            </w:pPr>
            <w:r w:rsidRPr="00C951F0">
              <w:rPr>
                <w:rFonts w:cs="Arial"/>
                <w:color w:val="000000" w:themeColor="text1"/>
                <w:sz w:val="20"/>
                <w:szCs w:val="20"/>
              </w:rPr>
              <w:t>94·25 ± 22·10</w:t>
            </w:r>
          </w:p>
        </w:tc>
        <w:tc>
          <w:tcPr>
            <w:tcW w:w="647" w:type="pct"/>
            <w:tcBorders>
              <w:top w:val="nil"/>
              <w:left w:val="nil"/>
              <w:bottom w:val="nil"/>
              <w:right w:val="nil"/>
            </w:tcBorders>
          </w:tcPr>
          <w:p w14:paraId="21777B36" w14:textId="50732B59" w:rsidR="003063B5" w:rsidRPr="00C951F0" w:rsidRDefault="003063B5">
            <w:pPr>
              <w:spacing w:line="240" w:lineRule="auto"/>
              <w:jc w:val="center"/>
              <w:rPr>
                <w:rFonts w:cs="Arial"/>
                <w:color w:val="000000" w:themeColor="text1"/>
                <w:sz w:val="20"/>
                <w:szCs w:val="20"/>
              </w:rPr>
            </w:pPr>
            <w:r w:rsidRPr="00C951F0">
              <w:rPr>
                <w:rFonts w:cs="Arial"/>
                <w:color w:val="000000" w:themeColor="text1"/>
                <w:sz w:val="20"/>
                <w:szCs w:val="20"/>
              </w:rPr>
              <w:t>93·43 ± 21·43</w:t>
            </w:r>
          </w:p>
        </w:tc>
        <w:tc>
          <w:tcPr>
            <w:tcW w:w="648" w:type="pct"/>
            <w:tcBorders>
              <w:top w:val="nil"/>
              <w:left w:val="nil"/>
              <w:bottom w:val="nil"/>
              <w:right w:val="nil"/>
            </w:tcBorders>
          </w:tcPr>
          <w:p w14:paraId="7FBE7C7D" w14:textId="31026853" w:rsidR="003063B5" w:rsidRPr="00C951F0" w:rsidRDefault="003063B5" w:rsidP="0039543A">
            <w:pPr>
              <w:spacing w:line="240" w:lineRule="auto"/>
              <w:jc w:val="center"/>
              <w:rPr>
                <w:rFonts w:cs="Arial"/>
                <w:color w:val="000000" w:themeColor="text1"/>
                <w:sz w:val="20"/>
                <w:szCs w:val="20"/>
              </w:rPr>
            </w:pPr>
            <w:r w:rsidRPr="00C951F0">
              <w:rPr>
                <w:rFonts w:cs="Arial"/>
                <w:color w:val="000000" w:themeColor="text1"/>
                <w:sz w:val="20"/>
                <w:szCs w:val="20"/>
              </w:rPr>
              <w:t>92·32 ± 23·47</w:t>
            </w:r>
          </w:p>
        </w:tc>
        <w:tc>
          <w:tcPr>
            <w:tcW w:w="646" w:type="pct"/>
            <w:tcBorders>
              <w:top w:val="nil"/>
              <w:left w:val="nil"/>
              <w:bottom w:val="nil"/>
              <w:right w:val="nil"/>
            </w:tcBorders>
          </w:tcPr>
          <w:p w14:paraId="49BAB840" w14:textId="3EC72BE4" w:rsidR="003063B5" w:rsidRPr="00C951F0" w:rsidRDefault="003063B5" w:rsidP="0039543A">
            <w:pPr>
              <w:spacing w:line="240" w:lineRule="auto"/>
              <w:jc w:val="center"/>
              <w:rPr>
                <w:rFonts w:cs="Arial"/>
                <w:color w:val="000000" w:themeColor="text1"/>
                <w:sz w:val="20"/>
                <w:szCs w:val="20"/>
              </w:rPr>
            </w:pPr>
            <w:r w:rsidRPr="00C951F0">
              <w:rPr>
                <w:rFonts w:cs="Arial"/>
                <w:color w:val="000000" w:themeColor="text1"/>
                <w:sz w:val="20"/>
                <w:szCs w:val="20"/>
              </w:rPr>
              <w:t>93·33 ± 22·35</w:t>
            </w:r>
          </w:p>
        </w:tc>
      </w:tr>
      <w:tr w:rsidR="00C951F0" w:rsidRPr="00C951F0" w14:paraId="320F7E70" w14:textId="77777777" w:rsidTr="00934A10">
        <w:tc>
          <w:tcPr>
            <w:tcW w:w="2390" w:type="pct"/>
            <w:tcBorders>
              <w:top w:val="nil"/>
              <w:left w:val="nil"/>
              <w:bottom w:val="nil"/>
              <w:right w:val="nil"/>
            </w:tcBorders>
          </w:tcPr>
          <w:p w14:paraId="30623A08" w14:textId="01A5CB81"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Normal (≥90 mL/min/1</w:t>
            </w:r>
            <w:r w:rsidR="00C5236B" w:rsidRPr="00C951F0">
              <w:rPr>
                <w:rFonts w:cs="Arial"/>
                <w:color w:val="000000" w:themeColor="text1"/>
                <w:sz w:val="20"/>
                <w:szCs w:val="20"/>
              </w:rPr>
              <w:t>·</w:t>
            </w:r>
            <w:r w:rsidRPr="00C951F0">
              <w:rPr>
                <w:rFonts w:cs="Arial"/>
                <w:color w:val="000000" w:themeColor="text1"/>
                <w:sz w:val="20"/>
                <w:szCs w:val="20"/>
              </w:rPr>
              <w:t>73 m</w:t>
            </w:r>
            <w:r w:rsidRPr="00C951F0">
              <w:rPr>
                <w:rFonts w:cs="Arial"/>
                <w:color w:val="000000" w:themeColor="text1"/>
                <w:sz w:val="20"/>
                <w:szCs w:val="20"/>
                <w:vertAlign w:val="superscript"/>
              </w:rPr>
              <w:t>2</w:t>
            </w:r>
            <w:r w:rsidRPr="00C951F0">
              <w:rPr>
                <w:rFonts w:cs="Arial"/>
                <w:color w:val="000000" w:themeColor="text1"/>
                <w:sz w:val="20"/>
                <w:szCs w:val="20"/>
              </w:rPr>
              <w:t xml:space="preserve">)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top w:val="nil"/>
              <w:left w:val="nil"/>
              <w:bottom w:val="nil"/>
              <w:right w:val="nil"/>
            </w:tcBorders>
          </w:tcPr>
          <w:p w14:paraId="4A70D46A" w14:textId="3613A844"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271 (67</w:t>
            </w:r>
            <w:r w:rsidR="00C5236B" w:rsidRPr="00C951F0">
              <w:rPr>
                <w:rFonts w:cs="Arial"/>
                <w:color w:val="000000" w:themeColor="text1"/>
                <w:sz w:val="20"/>
                <w:szCs w:val="20"/>
              </w:rPr>
              <w:t>·</w:t>
            </w:r>
            <w:r w:rsidRPr="00C951F0">
              <w:rPr>
                <w:rFonts w:cs="Arial"/>
                <w:color w:val="000000" w:themeColor="text1"/>
                <w:sz w:val="20"/>
                <w:szCs w:val="20"/>
              </w:rPr>
              <w:t>1)</w:t>
            </w:r>
          </w:p>
        </w:tc>
        <w:tc>
          <w:tcPr>
            <w:tcW w:w="647" w:type="pct"/>
            <w:tcBorders>
              <w:top w:val="nil"/>
              <w:left w:val="nil"/>
              <w:bottom w:val="nil"/>
              <w:right w:val="nil"/>
            </w:tcBorders>
          </w:tcPr>
          <w:p w14:paraId="25B1EF4E" w14:textId="03516DD2"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265 (65</w:t>
            </w:r>
            <w:r w:rsidR="00C5236B" w:rsidRPr="00C951F0">
              <w:rPr>
                <w:rFonts w:cs="Arial"/>
                <w:color w:val="000000" w:themeColor="text1"/>
                <w:sz w:val="20"/>
                <w:szCs w:val="20"/>
              </w:rPr>
              <w:t>·</w:t>
            </w:r>
            <w:r w:rsidRPr="00C951F0">
              <w:rPr>
                <w:rFonts w:cs="Arial"/>
                <w:color w:val="000000" w:themeColor="text1"/>
                <w:sz w:val="20"/>
                <w:szCs w:val="20"/>
              </w:rPr>
              <w:t>8)</w:t>
            </w:r>
          </w:p>
        </w:tc>
        <w:tc>
          <w:tcPr>
            <w:tcW w:w="648" w:type="pct"/>
            <w:tcBorders>
              <w:top w:val="nil"/>
              <w:left w:val="nil"/>
              <w:bottom w:val="nil"/>
              <w:right w:val="nil"/>
            </w:tcBorders>
          </w:tcPr>
          <w:p w14:paraId="5B965C11" w14:textId="3A65AB0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259 (64</w:t>
            </w:r>
            <w:r w:rsidR="00C5236B" w:rsidRPr="00C951F0">
              <w:rPr>
                <w:rFonts w:cs="Arial"/>
                <w:color w:val="000000" w:themeColor="text1"/>
                <w:sz w:val="20"/>
                <w:szCs w:val="20"/>
              </w:rPr>
              <w:t>·</w:t>
            </w:r>
            <w:r w:rsidRPr="00C951F0">
              <w:rPr>
                <w:rFonts w:cs="Arial"/>
                <w:color w:val="000000" w:themeColor="text1"/>
                <w:sz w:val="20"/>
                <w:szCs w:val="20"/>
              </w:rPr>
              <w:t>3)</w:t>
            </w:r>
          </w:p>
        </w:tc>
        <w:tc>
          <w:tcPr>
            <w:tcW w:w="646" w:type="pct"/>
            <w:tcBorders>
              <w:top w:val="nil"/>
              <w:left w:val="nil"/>
              <w:bottom w:val="nil"/>
              <w:right w:val="nil"/>
            </w:tcBorders>
          </w:tcPr>
          <w:p w14:paraId="48564E87" w14:textId="2F2251A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795 (65</w:t>
            </w:r>
            <w:r w:rsidR="00C5236B" w:rsidRPr="00C951F0">
              <w:rPr>
                <w:rFonts w:cs="Arial"/>
                <w:color w:val="000000" w:themeColor="text1"/>
                <w:sz w:val="20"/>
                <w:szCs w:val="20"/>
              </w:rPr>
              <w:t>·</w:t>
            </w:r>
            <w:r w:rsidRPr="00C951F0">
              <w:rPr>
                <w:rFonts w:cs="Arial"/>
                <w:color w:val="000000" w:themeColor="text1"/>
                <w:sz w:val="20"/>
                <w:szCs w:val="20"/>
              </w:rPr>
              <w:t>7)</w:t>
            </w:r>
          </w:p>
        </w:tc>
      </w:tr>
      <w:tr w:rsidR="00C951F0" w:rsidRPr="00C951F0" w14:paraId="31BE00B5" w14:textId="77777777" w:rsidTr="00934A10">
        <w:tc>
          <w:tcPr>
            <w:tcW w:w="2390" w:type="pct"/>
            <w:tcBorders>
              <w:top w:val="nil"/>
              <w:left w:val="nil"/>
              <w:bottom w:val="nil"/>
              <w:right w:val="nil"/>
            </w:tcBorders>
          </w:tcPr>
          <w:p w14:paraId="17727006" w14:textId="52A30D71"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lastRenderedPageBreak/>
              <w:t>Mild impairment (≥60 – &lt;90 mL/min/1</w:t>
            </w:r>
            <w:r w:rsidR="00C5236B" w:rsidRPr="00C951F0">
              <w:rPr>
                <w:rFonts w:cs="Arial"/>
                <w:color w:val="000000" w:themeColor="text1"/>
                <w:sz w:val="20"/>
                <w:szCs w:val="20"/>
              </w:rPr>
              <w:t>·</w:t>
            </w:r>
            <w:r w:rsidRPr="00C951F0">
              <w:rPr>
                <w:rFonts w:cs="Arial"/>
                <w:color w:val="000000" w:themeColor="text1"/>
                <w:sz w:val="20"/>
                <w:szCs w:val="20"/>
              </w:rPr>
              <w:t>73 m</w:t>
            </w:r>
            <w:r w:rsidRPr="00C951F0">
              <w:rPr>
                <w:rFonts w:cs="Arial"/>
                <w:color w:val="000000" w:themeColor="text1"/>
                <w:sz w:val="20"/>
                <w:szCs w:val="20"/>
                <w:vertAlign w:val="superscript"/>
              </w:rPr>
              <w:t>2</w:t>
            </w:r>
            <w:r w:rsidRPr="00C951F0">
              <w:rPr>
                <w:rFonts w:cs="Arial"/>
                <w:color w:val="000000" w:themeColor="text1"/>
                <w:sz w:val="20"/>
                <w:szCs w:val="20"/>
              </w:rPr>
              <w:t xml:space="preserve">)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top w:val="nil"/>
              <w:left w:val="nil"/>
              <w:bottom w:val="nil"/>
              <w:right w:val="nil"/>
            </w:tcBorders>
          </w:tcPr>
          <w:p w14:paraId="1C4047C9" w14:textId="5447947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114 (28</w:t>
            </w:r>
            <w:r w:rsidR="00C5236B" w:rsidRPr="00C951F0">
              <w:rPr>
                <w:rFonts w:cs="Arial"/>
                <w:color w:val="000000" w:themeColor="text1"/>
                <w:sz w:val="20"/>
                <w:szCs w:val="20"/>
              </w:rPr>
              <w:t>·</w:t>
            </w:r>
            <w:r w:rsidRPr="00C951F0">
              <w:rPr>
                <w:rFonts w:cs="Arial"/>
                <w:color w:val="000000" w:themeColor="text1"/>
                <w:sz w:val="20"/>
                <w:szCs w:val="20"/>
              </w:rPr>
              <w:t>2)</w:t>
            </w:r>
          </w:p>
        </w:tc>
        <w:tc>
          <w:tcPr>
            <w:tcW w:w="647" w:type="pct"/>
            <w:tcBorders>
              <w:top w:val="nil"/>
              <w:left w:val="nil"/>
              <w:bottom w:val="nil"/>
              <w:right w:val="nil"/>
            </w:tcBorders>
          </w:tcPr>
          <w:p w14:paraId="690EA6EF" w14:textId="5917B96D"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121 (30</w:t>
            </w:r>
            <w:r w:rsidR="00C5236B" w:rsidRPr="00C951F0">
              <w:rPr>
                <w:rFonts w:cs="Arial"/>
                <w:color w:val="000000" w:themeColor="text1"/>
                <w:sz w:val="20"/>
                <w:szCs w:val="20"/>
              </w:rPr>
              <w:t>·</w:t>
            </w:r>
            <w:r w:rsidRPr="00C951F0">
              <w:rPr>
                <w:rFonts w:cs="Arial"/>
                <w:color w:val="000000" w:themeColor="text1"/>
                <w:sz w:val="20"/>
                <w:szCs w:val="20"/>
              </w:rPr>
              <w:t>0)</w:t>
            </w:r>
          </w:p>
        </w:tc>
        <w:tc>
          <w:tcPr>
            <w:tcW w:w="648" w:type="pct"/>
            <w:tcBorders>
              <w:top w:val="nil"/>
              <w:left w:val="nil"/>
              <w:bottom w:val="nil"/>
              <w:right w:val="nil"/>
            </w:tcBorders>
          </w:tcPr>
          <w:p w14:paraId="72271283" w14:textId="7E3171C5"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120 (29</w:t>
            </w:r>
            <w:r w:rsidR="00C5236B" w:rsidRPr="00C951F0">
              <w:rPr>
                <w:rFonts w:cs="Arial"/>
                <w:color w:val="000000" w:themeColor="text1"/>
                <w:sz w:val="20"/>
                <w:szCs w:val="20"/>
              </w:rPr>
              <w:t>·</w:t>
            </w:r>
            <w:r w:rsidRPr="00C951F0">
              <w:rPr>
                <w:rFonts w:cs="Arial"/>
                <w:color w:val="000000" w:themeColor="text1"/>
                <w:sz w:val="20"/>
                <w:szCs w:val="20"/>
              </w:rPr>
              <w:t>8)</w:t>
            </w:r>
          </w:p>
        </w:tc>
        <w:tc>
          <w:tcPr>
            <w:tcW w:w="646" w:type="pct"/>
            <w:tcBorders>
              <w:top w:val="nil"/>
              <w:left w:val="nil"/>
              <w:bottom w:val="nil"/>
              <w:right w:val="nil"/>
            </w:tcBorders>
          </w:tcPr>
          <w:p w14:paraId="5FFE16D0" w14:textId="49E6975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355 (29</w:t>
            </w:r>
            <w:r w:rsidR="00C5236B" w:rsidRPr="00C951F0">
              <w:rPr>
                <w:rFonts w:cs="Arial"/>
                <w:color w:val="000000" w:themeColor="text1"/>
                <w:sz w:val="20"/>
                <w:szCs w:val="20"/>
              </w:rPr>
              <w:t>·</w:t>
            </w:r>
            <w:r w:rsidRPr="00C951F0">
              <w:rPr>
                <w:rFonts w:cs="Arial"/>
                <w:color w:val="000000" w:themeColor="text1"/>
                <w:sz w:val="20"/>
                <w:szCs w:val="20"/>
              </w:rPr>
              <w:t>3)</w:t>
            </w:r>
          </w:p>
        </w:tc>
      </w:tr>
      <w:tr w:rsidR="00C951F0" w:rsidRPr="00C951F0" w14:paraId="73BFE79D" w14:textId="77777777" w:rsidTr="00934A10">
        <w:tc>
          <w:tcPr>
            <w:tcW w:w="2390" w:type="pct"/>
            <w:tcBorders>
              <w:top w:val="nil"/>
              <w:left w:val="nil"/>
              <w:bottom w:val="nil"/>
              <w:right w:val="nil"/>
            </w:tcBorders>
          </w:tcPr>
          <w:p w14:paraId="612DDCBE" w14:textId="2E48B95A"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Moderate impairment (≥30 – &lt;60 mL/min/1</w:t>
            </w:r>
            <w:r w:rsidR="00C5236B" w:rsidRPr="00C951F0">
              <w:rPr>
                <w:rFonts w:cs="Arial"/>
                <w:color w:val="000000" w:themeColor="text1"/>
                <w:sz w:val="20"/>
                <w:szCs w:val="20"/>
              </w:rPr>
              <w:t>·</w:t>
            </w:r>
            <w:r w:rsidRPr="00C951F0">
              <w:rPr>
                <w:rFonts w:cs="Arial"/>
                <w:color w:val="000000" w:themeColor="text1"/>
                <w:sz w:val="20"/>
                <w:szCs w:val="20"/>
              </w:rPr>
              <w:t>73 m</w:t>
            </w:r>
            <w:r w:rsidRPr="00C951F0">
              <w:rPr>
                <w:rFonts w:cs="Arial"/>
                <w:color w:val="000000" w:themeColor="text1"/>
                <w:sz w:val="20"/>
                <w:szCs w:val="20"/>
                <w:vertAlign w:val="superscript"/>
              </w:rPr>
              <w:t>2</w:t>
            </w:r>
            <w:r w:rsidRPr="00C951F0">
              <w:rPr>
                <w:rFonts w:cs="Arial"/>
                <w:color w:val="000000" w:themeColor="text1"/>
                <w:sz w:val="20"/>
                <w:szCs w:val="20"/>
              </w:rPr>
              <w:t xml:space="preserve">)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top w:val="nil"/>
              <w:left w:val="nil"/>
              <w:bottom w:val="nil"/>
              <w:right w:val="nil"/>
            </w:tcBorders>
          </w:tcPr>
          <w:p w14:paraId="377A5FAF" w14:textId="36FB75E2"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18 (4</w:t>
            </w:r>
            <w:r w:rsidR="00C5236B" w:rsidRPr="00C951F0">
              <w:rPr>
                <w:rFonts w:cs="Arial"/>
                <w:color w:val="000000" w:themeColor="text1"/>
                <w:sz w:val="20"/>
                <w:szCs w:val="20"/>
              </w:rPr>
              <w:t>·</w:t>
            </w:r>
            <w:r w:rsidRPr="00C951F0">
              <w:rPr>
                <w:rFonts w:cs="Arial"/>
                <w:color w:val="000000" w:themeColor="text1"/>
                <w:sz w:val="20"/>
                <w:szCs w:val="20"/>
              </w:rPr>
              <w:t>5)</w:t>
            </w:r>
          </w:p>
        </w:tc>
        <w:tc>
          <w:tcPr>
            <w:tcW w:w="647" w:type="pct"/>
            <w:tcBorders>
              <w:top w:val="nil"/>
              <w:left w:val="nil"/>
              <w:bottom w:val="nil"/>
              <w:right w:val="nil"/>
            </w:tcBorders>
          </w:tcPr>
          <w:p w14:paraId="6CB57D4F" w14:textId="67E61DD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17 (4</w:t>
            </w:r>
            <w:r w:rsidR="00C5236B" w:rsidRPr="00C951F0">
              <w:rPr>
                <w:rFonts w:cs="Arial"/>
                <w:color w:val="000000" w:themeColor="text1"/>
                <w:sz w:val="20"/>
                <w:szCs w:val="20"/>
              </w:rPr>
              <w:t>·</w:t>
            </w:r>
            <w:r w:rsidRPr="00C951F0">
              <w:rPr>
                <w:rFonts w:cs="Arial"/>
                <w:color w:val="000000" w:themeColor="text1"/>
                <w:sz w:val="20"/>
                <w:szCs w:val="20"/>
              </w:rPr>
              <w:t>2)</w:t>
            </w:r>
          </w:p>
        </w:tc>
        <w:tc>
          <w:tcPr>
            <w:tcW w:w="648" w:type="pct"/>
            <w:tcBorders>
              <w:top w:val="nil"/>
              <w:left w:val="nil"/>
              <w:bottom w:val="nil"/>
              <w:right w:val="nil"/>
            </w:tcBorders>
          </w:tcPr>
          <w:p w14:paraId="09953D82" w14:textId="0212B60B"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24 (6</w:t>
            </w:r>
            <w:r w:rsidR="00C5236B" w:rsidRPr="00C951F0">
              <w:rPr>
                <w:rFonts w:cs="Arial"/>
                <w:color w:val="000000" w:themeColor="text1"/>
                <w:sz w:val="20"/>
                <w:szCs w:val="20"/>
              </w:rPr>
              <w:t>·</w:t>
            </w:r>
            <w:r w:rsidRPr="00C951F0">
              <w:rPr>
                <w:rFonts w:cs="Arial"/>
                <w:color w:val="000000" w:themeColor="text1"/>
                <w:sz w:val="20"/>
                <w:szCs w:val="20"/>
              </w:rPr>
              <w:t>0)</w:t>
            </w:r>
          </w:p>
        </w:tc>
        <w:tc>
          <w:tcPr>
            <w:tcW w:w="646" w:type="pct"/>
            <w:tcBorders>
              <w:top w:val="nil"/>
              <w:left w:val="nil"/>
              <w:bottom w:val="nil"/>
              <w:right w:val="nil"/>
            </w:tcBorders>
          </w:tcPr>
          <w:p w14:paraId="3D6556CE" w14:textId="22DE72A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59 (4</w:t>
            </w:r>
            <w:r w:rsidR="00C5236B" w:rsidRPr="00C951F0">
              <w:rPr>
                <w:rFonts w:cs="Arial"/>
                <w:color w:val="000000" w:themeColor="text1"/>
                <w:sz w:val="20"/>
                <w:szCs w:val="20"/>
              </w:rPr>
              <w:t>·</w:t>
            </w:r>
            <w:r w:rsidRPr="00C951F0">
              <w:rPr>
                <w:rFonts w:cs="Arial"/>
                <w:color w:val="000000" w:themeColor="text1"/>
                <w:sz w:val="20"/>
                <w:szCs w:val="20"/>
              </w:rPr>
              <w:t>9)</w:t>
            </w:r>
          </w:p>
        </w:tc>
      </w:tr>
      <w:tr w:rsidR="00C951F0" w:rsidRPr="00C951F0" w14:paraId="5935A79D" w14:textId="77777777" w:rsidTr="00934A10">
        <w:tc>
          <w:tcPr>
            <w:tcW w:w="2390" w:type="pct"/>
            <w:tcBorders>
              <w:top w:val="nil"/>
              <w:left w:val="nil"/>
              <w:bottom w:val="single" w:sz="4" w:space="0" w:color="auto"/>
              <w:right w:val="nil"/>
            </w:tcBorders>
          </w:tcPr>
          <w:p w14:paraId="24255684" w14:textId="4AE236E8"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Severe impairment (15 – &lt;30 mL/min/1</w:t>
            </w:r>
            <w:r w:rsidR="00C5236B" w:rsidRPr="00C951F0">
              <w:rPr>
                <w:rFonts w:cs="Arial"/>
                <w:color w:val="000000" w:themeColor="text1"/>
                <w:sz w:val="20"/>
                <w:szCs w:val="20"/>
              </w:rPr>
              <w:t>·</w:t>
            </w:r>
            <w:r w:rsidRPr="00C951F0">
              <w:rPr>
                <w:rFonts w:cs="Arial"/>
                <w:color w:val="000000" w:themeColor="text1"/>
                <w:sz w:val="20"/>
                <w:szCs w:val="20"/>
              </w:rPr>
              <w:t>73 m</w:t>
            </w:r>
            <w:r w:rsidRPr="00C951F0">
              <w:rPr>
                <w:rFonts w:cs="Arial"/>
                <w:color w:val="000000" w:themeColor="text1"/>
                <w:sz w:val="20"/>
                <w:szCs w:val="20"/>
                <w:vertAlign w:val="superscript"/>
              </w:rPr>
              <w:t>2</w:t>
            </w:r>
            <w:r w:rsidRPr="00C951F0">
              <w:rPr>
                <w:rFonts w:cs="Arial"/>
                <w:color w:val="000000" w:themeColor="text1"/>
                <w:sz w:val="20"/>
                <w:szCs w:val="20"/>
              </w:rPr>
              <w:t xml:space="preserve">) </w:t>
            </w:r>
            <w:r w:rsidR="00D2651E" w:rsidRPr="00C951F0">
              <w:rPr>
                <w:rFonts w:cs="Arial"/>
                <w:color w:val="000000" w:themeColor="text1"/>
                <w:sz w:val="20"/>
                <w:szCs w:val="20"/>
              </w:rPr>
              <w:t>—</w:t>
            </w:r>
            <w:r w:rsidRPr="00C951F0">
              <w:rPr>
                <w:rFonts w:cs="Arial"/>
                <w:color w:val="000000" w:themeColor="text1"/>
                <w:sz w:val="20"/>
                <w:szCs w:val="20"/>
              </w:rPr>
              <w:t xml:space="preserve"> n (%)</w:t>
            </w:r>
          </w:p>
        </w:tc>
        <w:tc>
          <w:tcPr>
            <w:tcW w:w="669" w:type="pct"/>
            <w:tcBorders>
              <w:top w:val="nil"/>
              <w:left w:val="nil"/>
              <w:bottom w:val="single" w:sz="4" w:space="0" w:color="auto"/>
              <w:right w:val="nil"/>
            </w:tcBorders>
          </w:tcPr>
          <w:p w14:paraId="4774CFC2" w14:textId="63614DE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(0</w:t>
            </w:r>
            <w:r w:rsidR="00C5236B" w:rsidRPr="00C951F0">
              <w:rPr>
                <w:rFonts w:cs="Arial"/>
                <w:color w:val="000000" w:themeColor="text1"/>
                <w:sz w:val="20"/>
                <w:szCs w:val="20"/>
              </w:rPr>
              <w:t>·</w:t>
            </w:r>
            <w:r w:rsidRPr="00C951F0">
              <w:rPr>
                <w:rFonts w:cs="Arial"/>
                <w:color w:val="000000" w:themeColor="text1"/>
                <w:sz w:val="20"/>
                <w:szCs w:val="20"/>
              </w:rPr>
              <w:t>2)</w:t>
            </w:r>
          </w:p>
        </w:tc>
        <w:tc>
          <w:tcPr>
            <w:tcW w:w="647" w:type="pct"/>
            <w:tcBorders>
              <w:top w:val="nil"/>
              <w:left w:val="nil"/>
              <w:bottom w:val="single" w:sz="4" w:space="0" w:color="auto"/>
              <w:right w:val="nil"/>
            </w:tcBorders>
          </w:tcPr>
          <w:p w14:paraId="67531C17"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0</w:t>
            </w:r>
          </w:p>
        </w:tc>
        <w:tc>
          <w:tcPr>
            <w:tcW w:w="648" w:type="pct"/>
            <w:tcBorders>
              <w:top w:val="nil"/>
              <w:left w:val="nil"/>
              <w:bottom w:val="single" w:sz="4" w:space="0" w:color="auto"/>
              <w:right w:val="nil"/>
            </w:tcBorders>
          </w:tcPr>
          <w:p w14:paraId="7A699DA8" w14:textId="777777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0</w:t>
            </w:r>
          </w:p>
        </w:tc>
        <w:tc>
          <w:tcPr>
            <w:tcW w:w="646" w:type="pct"/>
            <w:tcBorders>
              <w:top w:val="nil"/>
              <w:left w:val="nil"/>
              <w:bottom w:val="single" w:sz="4" w:space="0" w:color="auto"/>
              <w:right w:val="nil"/>
            </w:tcBorders>
          </w:tcPr>
          <w:p w14:paraId="40D2272C" w14:textId="26F5844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 (&lt;0</w:t>
            </w:r>
            <w:r w:rsidR="00C5236B" w:rsidRPr="00C951F0">
              <w:rPr>
                <w:rFonts w:cs="Arial"/>
                <w:color w:val="000000" w:themeColor="text1"/>
                <w:sz w:val="20"/>
                <w:szCs w:val="20"/>
              </w:rPr>
              <w:t>·</w:t>
            </w:r>
            <w:r w:rsidRPr="00C951F0">
              <w:rPr>
                <w:rFonts w:cs="Arial"/>
                <w:color w:val="000000" w:themeColor="text1"/>
                <w:sz w:val="20"/>
                <w:szCs w:val="20"/>
              </w:rPr>
              <w:t>1)</w:t>
            </w:r>
          </w:p>
        </w:tc>
      </w:tr>
      <w:tr w:rsidR="00C951F0" w:rsidRPr="00C951F0" w14:paraId="4E122F4C" w14:textId="77777777" w:rsidTr="00934A10">
        <w:tc>
          <w:tcPr>
            <w:tcW w:w="2390" w:type="pct"/>
            <w:tcBorders>
              <w:left w:val="nil"/>
              <w:bottom w:val="nil"/>
              <w:right w:val="nil"/>
            </w:tcBorders>
          </w:tcPr>
          <w:p w14:paraId="7A6C09B3" w14:textId="22177D89"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 xml:space="preserve">Comorbidities at screening </w:t>
            </w:r>
            <w:r w:rsidR="00AB5FF5" w:rsidRPr="00C951F0">
              <w:rPr>
                <w:rFonts w:cs="Arial"/>
                <w:color w:val="000000" w:themeColor="text1"/>
                <w:sz w:val="20"/>
                <w:szCs w:val="20"/>
              </w:rPr>
              <w:t>—</w:t>
            </w:r>
            <w:r w:rsidRPr="00C951F0">
              <w:rPr>
                <w:rFonts w:cs="Arial"/>
                <w:color w:val="000000" w:themeColor="text1"/>
                <w:sz w:val="20"/>
                <w:szCs w:val="20"/>
              </w:rPr>
              <w:t xml:space="preserve"> n (</w:t>
            </w:r>
            <w:proofErr w:type="gramStart"/>
            <w:r w:rsidRPr="00C951F0">
              <w:rPr>
                <w:rFonts w:cs="Arial"/>
                <w:color w:val="000000" w:themeColor="text1"/>
                <w:sz w:val="20"/>
                <w:szCs w:val="20"/>
              </w:rPr>
              <w:t>%)‡</w:t>
            </w:r>
            <w:proofErr w:type="gramEnd"/>
          </w:p>
        </w:tc>
        <w:tc>
          <w:tcPr>
            <w:tcW w:w="669" w:type="pct"/>
            <w:tcBorders>
              <w:left w:val="nil"/>
              <w:bottom w:val="nil"/>
              <w:right w:val="nil"/>
            </w:tcBorders>
          </w:tcPr>
          <w:p w14:paraId="1DBD05CD" w14:textId="77777777" w:rsidR="00B1644A" w:rsidRPr="00C951F0" w:rsidRDefault="00B1644A" w:rsidP="0039543A">
            <w:pPr>
              <w:spacing w:line="240" w:lineRule="auto"/>
              <w:jc w:val="center"/>
              <w:rPr>
                <w:rFonts w:cs="Arial"/>
                <w:color w:val="000000" w:themeColor="text1"/>
                <w:sz w:val="20"/>
                <w:szCs w:val="20"/>
              </w:rPr>
            </w:pPr>
          </w:p>
        </w:tc>
        <w:tc>
          <w:tcPr>
            <w:tcW w:w="647" w:type="pct"/>
            <w:tcBorders>
              <w:left w:val="nil"/>
              <w:bottom w:val="nil"/>
              <w:right w:val="nil"/>
            </w:tcBorders>
          </w:tcPr>
          <w:p w14:paraId="779440FE" w14:textId="77777777" w:rsidR="00B1644A" w:rsidRPr="00C951F0" w:rsidRDefault="00B1644A" w:rsidP="0039543A">
            <w:pPr>
              <w:spacing w:line="240" w:lineRule="auto"/>
              <w:jc w:val="center"/>
              <w:rPr>
                <w:rFonts w:cs="Arial"/>
                <w:color w:val="000000" w:themeColor="text1"/>
                <w:sz w:val="20"/>
                <w:szCs w:val="20"/>
              </w:rPr>
            </w:pPr>
          </w:p>
        </w:tc>
        <w:tc>
          <w:tcPr>
            <w:tcW w:w="648" w:type="pct"/>
            <w:tcBorders>
              <w:left w:val="nil"/>
              <w:bottom w:val="nil"/>
              <w:right w:val="nil"/>
            </w:tcBorders>
          </w:tcPr>
          <w:p w14:paraId="0D8E40F8" w14:textId="77777777" w:rsidR="00B1644A" w:rsidRPr="00C951F0" w:rsidRDefault="00B1644A" w:rsidP="0039543A">
            <w:pPr>
              <w:spacing w:line="240" w:lineRule="auto"/>
              <w:jc w:val="center"/>
              <w:rPr>
                <w:rFonts w:cs="Arial"/>
                <w:color w:val="000000" w:themeColor="text1"/>
                <w:sz w:val="20"/>
                <w:szCs w:val="20"/>
              </w:rPr>
            </w:pPr>
          </w:p>
        </w:tc>
        <w:tc>
          <w:tcPr>
            <w:tcW w:w="646" w:type="pct"/>
            <w:tcBorders>
              <w:left w:val="nil"/>
              <w:bottom w:val="nil"/>
              <w:right w:val="nil"/>
            </w:tcBorders>
          </w:tcPr>
          <w:p w14:paraId="255F24C4" w14:textId="77777777" w:rsidR="00B1644A" w:rsidRPr="00C951F0" w:rsidRDefault="00B1644A" w:rsidP="0039543A">
            <w:pPr>
              <w:spacing w:line="240" w:lineRule="auto"/>
              <w:jc w:val="center"/>
              <w:rPr>
                <w:rFonts w:cs="Arial"/>
                <w:color w:val="000000" w:themeColor="text1"/>
                <w:sz w:val="20"/>
                <w:szCs w:val="20"/>
              </w:rPr>
            </w:pPr>
          </w:p>
        </w:tc>
      </w:tr>
      <w:tr w:rsidR="00C951F0" w:rsidRPr="00C951F0" w14:paraId="15BE8101" w14:textId="77777777" w:rsidTr="00934A10">
        <w:tc>
          <w:tcPr>
            <w:tcW w:w="2390" w:type="pct"/>
            <w:tcBorders>
              <w:top w:val="nil"/>
              <w:left w:val="nil"/>
              <w:bottom w:val="nil"/>
              <w:right w:val="nil"/>
            </w:tcBorders>
          </w:tcPr>
          <w:p w14:paraId="2AAD4403"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Coronary artery disease</w:t>
            </w:r>
          </w:p>
        </w:tc>
        <w:tc>
          <w:tcPr>
            <w:tcW w:w="669" w:type="pct"/>
            <w:tcBorders>
              <w:top w:val="nil"/>
              <w:left w:val="nil"/>
              <w:bottom w:val="nil"/>
              <w:right w:val="nil"/>
            </w:tcBorders>
          </w:tcPr>
          <w:p w14:paraId="5416F2EB" w14:textId="33E0AC4D"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26 (6</w:t>
            </w:r>
            <w:r w:rsidR="00C5236B" w:rsidRPr="00C951F0">
              <w:rPr>
                <w:rFonts w:cs="Arial"/>
                <w:color w:val="000000" w:themeColor="text1"/>
                <w:sz w:val="20"/>
                <w:szCs w:val="20"/>
              </w:rPr>
              <w:t>·</w:t>
            </w:r>
            <w:r w:rsidRPr="00C951F0">
              <w:rPr>
                <w:rFonts w:cs="Arial"/>
                <w:color w:val="000000" w:themeColor="text1"/>
                <w:sz w:val="20"/>
                <w:szCs w:val="20"/>
              </w:rPr>
              <w:t>4)</w:t>
            </w:r>
          </w:p>
        </w:tc>
        <w:tc>
          <w:tcPr>
            <w:tcW w:w="647" w:type="pct"/>
            <w:tcBorders>
              <w:top w:val="nil"/>
              <w:left w:val="nil"/>
              <w:bottom w:val="nil"/>
              <w:right w:val="nil"/>
            </w:tcBorders>
          </w:tcPr>
          <w:p w14:paraId="0F71F452" w14:textId="4D3EE043"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40 (9</w:t>
            </w:r>
            <w:r w:rsidR="00C5236B" w:rsidRPr="00C951F0">
              <w:rPr>
                <w:rFonts w:cs="Arial"/>
                <w:color w:val="000000" w:themeColor="text1"/>
                <w:sz w:val="20"/>
                <w:szCs w:val="20"/>
              </w:rPr>
              <w:t>·</w:t>
            </w:r>
            <w:r w:rsidRPr="00C951F0">
              <w:rPr>
                <w:rFonts w:cs="Arial"/>
                <w:color w:val="000000" w:themeColor="text1"/>
                <w:sz w:val="20"/>
                <w:szCs w:val="20"/>
              </w:rPr>
              <w:t>9)</w:t>
            </w:r>
          </w:p>
        </w:tc>
        <w:tc>
          <w:tcPr>
            <w:tcW w:w="648" w:type="pct"/>
            <w:tcBorders>
              <w:top w:val="nil"/>
              <w:left w:val="nil"/>
              <w:bottom w:val="nil"/>
              <w:right w:val="nil"/>
            </w:tcBorders>
          </w:tcPr>
          <w:p w14:paraId="21B6A430" w14:textId="002E3F7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33 (8</w:t>
            </w:r>
            <w:r w:rsidR="00C5236B" w:rsidRPr="00C951F0">
              <w:rPr>
                <w:rFonts w:cs="Arial"/>
                <w:color w:val="000000" w:themeColor="text1"/>
                <w:sz w:val="20"/>
                <w:szCs w:val="20"/>
              </w:rPr>
              <w:t>·</w:t>
            </w:r>
            <w:r w:rsidRPr="00C951F0">
              <w:rPr>
                <w:rFonts w:cs="Arial"/>
                <w:color w:val="000000" w:themeColor="text1"/>
                <w:sz w:val="20"/>
                <w:szCs w:val="20"/>
              </w:rPr>
              <w:t>2)</w:t>
            </w:r>
          </w:p>
        </w:tc>
        <w:tc>
          <w:tcPr>
            <w:tcW w:w="646" w:type="pct"/>
            <w:tcBorders>
              <w:top w:val="nil"/>
              <w:left w:val="nil"/>
              <w:bottom w:val="nil"/>
              <w:right w:val="nil"/>
            </w:tcBorders>
          </w:tcPr>
          <w:p w14:paraId="76C59A54" w14:textId="0945528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99 (8</w:t>
            </w:r>
            <w:r w:rsidR="00C5236B" w:rsidRPr="00C951F0">
              <w:rPr>
                <w:rFonts w:cs="Arial"/>
                <w:color w:val="000000" w:themeColor="text1"/>
                <w:sz w:val="20"/>
                <w:szCs w:val="20"/>
              </w:rPr>
              <w:t>·</w:t>
            </w:r>
            <w:r w:rsidRPr="00C951F0">
              <w:rPr>
                <w:rFonts w:cs="Arial"/>
                <w:color w:val="000000" w:themeColor="text1"/>
                <w:sz w:val="20"/>
                <w:szCs w:val="20"/>
              </w:rPr>
              <w:t>2)</w:t>
            </w:r>
          </w:p>
        </w:tc>
      </w:tr>
      <w:tr w:rsidR="00C951F0" w:rsidRPr="00C951F0" w14:paraId="3CC2924E" w14:textId="77777777" w:rsidTr="00934A10">
        <w:tc>
          <w:tcPr>
            <w:tcW w:w="2390" w:type="pct"/>
            <w:tcBorders>
              <w:top w:val="nil"/>
              <w:left w:val="nil"/>
              <w:bottom w:val="nil"/>
              <w:right w:val="nil"/>
            </w:tcBorders>
          </w:tcPr>
          <w:p w14:paraId="4867B9D6"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Dyslipidemia</w:t>
            </w:r>
          </w:p>
        </w:tc>
        <w:tc>
          <w:tcPr>
            <w:tcW w:w="669" w:type="pct"/>
            <w:tcBorders>
              <w:top w:val="nil"/>
              <w:left w:val="nil"/>
              <w:bottom w:val="nil"/>
              <w:right w:val="nil"/>
            </w:tcBorders>
          </w:tcPr>
          <w:p w14:paraId="4E51229B" w14:textId="437BFBE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265 (65</w:t>
            </w:r>
            <w:r w:rsidR="00C5236B" w:rsidRPr="00C951F0">
              <w:rPr>
                <w:rFonts w:cs="Arial"/>
                <w:color w:val="000000" w:themeColor="text1"/>
                <w:sz w:val="20"/>
                <w:szCs w:val="20"/>
              </w:rPr>
              <w:t>·</w:t>
            </w:r>
            <w:r w:rsidRPr="00C951F0">
              <w:rPr>
                <w:rFonts w:cs="Arial"/>
                <w:color w:val="000000" w:themeColor="text1"/>
                <w:sz w:val="20"/>
                <w:szCs w:val="20"/>
              </w:rPr>
              <w:t>6)</w:t>
            </w:r>
          </w:p>
        </w:tc>
        <w:tc>
          <w:tcPr>
            <w:tcW w:w="647" w:type="pct"/>
            <w:tcBorders>
              <w:top w:val="nil"/>
              <w:left w:val="nil"/>
              <w:bottom w:val="nil"/>
              <w:right w:val="nil"/>
            </w:tcBorders>
          </w:tcPr>
          <w:p w14:paraId="19A96250" w14:textId="067AD21B"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277 (68</w:t>
            </w:r>
            <w:r w:rsidR="00C5236B" w:rsidRPr="00C951F0">
              <w:rPr>
                <w:rFonts w:cs="Arial"/>
                <w:color w:val="000000" w:themeColor="text1"/>
                <w:sz w:val="20"/>
                <w:szCs w:val="20"/>
              </w:rPr>
              <w:t>·</w:t>
            </w:r>
            <w:r w:rsidRPr="00C951F0">
              <w:rPr>
                <w:rFonts w:cs="Arial"/>
                <w:color w:val="000000" w:themeColor="text1"/>
                <w:sz w:val="20"/>
                <w:szCs w:val="20"/>
              </w:rPr>
              <w:t>7)</w:t>
            </w:r>
          </w:p>
        </w:tc>
        <w:tc>
          <w:tcPr>
            <w:tcW w:w="648" w:type="pct"/>
            <w:tcBorders>
              <w:top w:val="nil"/>
              <w:left w:val="nil"/>
              <w:bottom w:val="nil"/>
              <w:right w:val="nil"/>
            </w:tcBorders>
          </w:tcPr>
          <w:p w14:paraId="122D4DEA" w14:textId="30DB052A"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284 (70</w:t>
            </w:r>
            <w:r w:rsidR="00C5236B" w:rsidRPr="00C951F0">
              <w:rPr>
                <w:rFonts w:cs="Arial"/>
                <w:color w:val="000000" w:themeColor="text1"/>
                <w:sz w:val="20"/>
                <w:szCs w:val="20"/>
              </w:rPr>
              <w:t>·</w:t>
            </w:r>
            <w:r w:rsidRPr="00C951F0">
              <w:rPr>
                <w:rFonts w:cs="Arial"/>
                <w:color w:val="000000" w:themeColor="text1"/>
                <w:sz w:val="20"/>
                <w:szCs w:val="20"/>
              </w:rPr>
              <w:t>5)</w:t>
            </w:r>
          </w:p>
        </w:tc>
        <w:tc>
          <w:tcPr>
            <w:tcW w:w="646" w:type="pct"/>
            <w:tcBorders>
              <w:top w:val="nil"/>
              <w:left w:val="nil"/>
              <w:bottom w:val="nil"/>
              <w:right w:val="nil"/>
            </w:tcBorders>
          </w:tcPr>
          <w:p w14:paraId="6F12BBFC" w14:textId="5D61EE4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826 (68</w:t>
            </w:r>
            <w:r w:rsidR="00C5236B" w:rsidRPr="00C951F0">
              <w:rPr>
                <w:rFonts w:cs="Arial"/>
                <w:color w:val="000000" w:themeColor="text1"/>
                <w:sz w:val="20"/>
                <w:szCs w:val="20"/>
              </w:rPr>
              <w:t>·</w:t>
            </w:r>
            <w:r w:rsidRPr="00C951F0">
              <w:rPr>
                <w:rFonts w:cs="Arial"/>
                <w:color w:val="000000" w:themeColor="text1"/>
                <w:sz w:val="20"/>
                <w:szCs w:val="20"/>
              </w:rPr>
              <w:t>3)</w:t>
            </w:r>
          </w:p>
        </w:tc>
      </w:tr>
      <w:tr w:rsidR="00C951F0" w:rsidRPr="00C951F0" w14:paraId="0C85FFEF" w14:textId="77777777" w:rsidTr="00934A10">
        <w:tc>
          <w:tcPr>
            <w:tcW w:w="2390" w:type="pct"/>
            <w:tcBorders>
              <w:top w:val="nil"/>
              <w:left w:val="nil"/>
              <w:bottom w:val="nil"/>
              <w:right w:val="nil"/>
            </w:tcBorders>
          </w:tcPr>
          <w:p w14:paraId="0F739993"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Hypertension</w:t>
            </w:r>
          </w:p>
        </w:tc>
        <w:tc>
          <w:tcPr>
            <w:tcW w:w="669" w:type="pct"/>
            <w:tcBorders>
              <w:top w:val="nil"/>
              <w:left w:val="nil"/>
              <w:bottom w:val="nil"/>
              <w:right w:val="nil"/>
            </w:tcBorders>
          </w:tcPr>
          <w:p w14:paraId="60D74AB5" w14:textId="10FFFC35"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276 (68</w:t>
            </w:r>
            <w:r w:rsidR="00C5236B" w:rsidRPr="00C951F0">
              <w:rPr>
                <w:rFonts w:cs="Arial"/>
                <w:color w:val="000000" w:themeColor="text1"/>
                <w:sz w:val="20"/>
                <w:szCs w:val="20"/>
              </w:rPr>
              <w:t>·</w:t>
            </w:r>
            <w:r w:rsidRPr="00C951F0">
              <w:rPr>
                <w:rFonts w:cs="Arial"/>
                <w:color w:val="000000" w:themeColor="text1"/>
                <w:sz w:val="20"/>
                <w:szCs w:val="20"/>
              </w:rPr>
              <w:t>3)</w:t>
            </w:r>
          </w:p>
        </w:tc>
        <w:tc>
          <w:tcPr>
            <w:tcW w:w="647" w:type="pct"/>
            <w:tcBorders>
              <w:top w:val="nil"/>
              <w:left w:val="nil"/>
              <w:bottom w:val="nil"/>
              <w:right w:val="nil"/>
            </w:tcBorders>
          </w:tcPr>
          <w:p w14:paraId="3E59E556" w14:textId="477B36E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285 (70</w:t>
            </w:r>
            <w:r w:rsidR="00C5236B" w:rsidRPr="00C951F0">
              <w:rPr>
                <w:rFonts w:cs="Arial"/>
                <w:color w:val="000000" w:themeColor="text1"/>
                <w:sz w:val="20"/>
                <w:szCs w:val="20"/>
              </w:rPr>
              <w:t>·</w:t>
            </w:r>
            <w:r w:rsidRPr="00C951F0">
              <w:rPr>
                <w:rFonts w:cs="Arial"/>
                <w:color w:val="000000" w:themeColor="text1"/>
                <w:sz w:val="20"/>
                <w:szCs w:val="20"/>
              </w:rPr>
              <w:t>7)</w:t>
            </w:r>
          </w:p>
        </w:tc>
        <w:tc>
          <w:tcPr>
            <w:tcW w:w="648" w:type="pct"/>
            <w:tcBorders>
              <w:top w:val="nil"/>
              <w:left w:val="nil"/>
              <w:bottom w:val="nil"/>
              <w:right w:val="nil"/>
            </w:tcBorders>
          </w:tcPr>
          <w:p w14:paraId="19BFD715" w14:textId="5CF4FD0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287 (71</w:t>
            </w:r>
            <w:r w:rsidR="00C5236B" w:rsidRPr="00C951F0">
              <w:rPr>
                <w:rFonts w:cs="Arial"/>
                <w:color w:val="000000" w:themeColor="text1"/>
                <w:sz w:val="20"/>
                <w:szCs w:val="20"/>
              </w:rPr>
              <w:t>·</w:t>
            </w:r>
            <w:r w:rsidRPr="00C951F0">
              <w:rPr>
                <w:rFonts w:cs="Arial"/>
                <w:color w:val="000000" w:themeColor="text1"/>
                <w:sz w:val="20"/>
                <w:szCs w:val="20"/>
              </w:rPr>
              <w:t>2)</w:t>
            </w:r>
          </w:p>
        </w:tc>
        <w:tc>
          <w:tcPr>
            <w:tcW w:w="646" w:type="pct"/>
            <w:tcBorders>
              <w:top w:val="nil"/>
              <w:left w:val="nil"/>
              <w:bottom w:val="nil"/>
              <w:right w:val="nil"/>
            </w:tcBorders>
          </w:tcPr>
          <w:p w14:paraId="6FAAF500" w14:textId="3D9AC9BC"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848 (70</w:t>
            </w:r>
            <w:r w:rsidR="00C5236B" w:rsidRPr="00C951F0">
              <w:rPr>
                <w:rFonts w:cs="Arial"/>
                <w:color w:val="000000" w:themeColor="text1"/>
                <w:sz w:val="20"/>
                <w:szCs w:val="20"/>
              </w:rPr>
              <w:t>·</w:t>
            </w:r>
            <w:r w:rsidRPr="00C951F0">
              <w:rPr>
                <w:rFonts w:cs="Arial"/>
                <w:color w:val="000000" w:themeColor="text1"/>
                <w:sz w:val="20"/>
                <w:szCs w:val="20"/>
              </w:rPr>
              <w:t>1)</w:t>
            </w:r>
          </w:p>
        </w:tc>
      </w:tr>
      <w:tr w:rsidR="00C951F0" w:rsidRPr="00C951F0" w14:paraId="3A532996" w14:textId="77777777" w:rsidTr="00934A10">
        <w:tc>
          <w:tcPr>
            <w:tcW w:w="2390" w:type="pct"/>
            <w:tcBorders>
              <w:top w:val="nil"/>
              <w:left w:val="nil"/>
              <w:bottom w:val="nil"/>
              <w:right w:val="nil"/>
            </w:tcBorders>
          </w:tcPr>
          <w:p w14:paraId="0BB81BEA"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Knee osteoarthritis</w:t>
            </w:r>
          </w:p>
        </w:tc>
        <w:tc>
          <w:tcPr>
            <w:tcW w:w="669" w:type="pct"/>
            <w:tcBorders>
              <w:top w:val="nil"/>
              <w:left w:val="nil"/>
              <w:bottom w:val="nil"/>
              <w:right w:val="nil"/>
            </w:tcBorders>
          </w:tcPr>
          <w:p w14:paraId="31139A4E" w14:textId="7639F7E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73 (18</w:t>
            </w:r>
            <w:r w:rsidR="00C5236B" w:rsidRPr="00C951F0">
              <w:rPr>
                <w:rFonts w:cs="Arial"/>
                <w:color w:val="000000" w:themeColor="text1"/>
                <w:sz w:val="20"/>
                <w:szCs w:val="20"/>
              </w:rPr>
              <w:t>·</w:t>
            </w:r>
            <w:r w:rsidRPr="00C951F0">
              <w:rPr>
                <w:rFonts w:cs="Arial"/>
                <w:color w:val="000000" w:themeColor="text1"/>
                <w:sz w:val="20"/>
                <w:szCs w:val="20"/>
              </w:rPr>
              <w:t>1)</w:t>
            </w:r>
          </w:p>
        </w:tc>
        <w:tc>
          <w:tcPr>
            <w:tcW w:w="647" w:type="pct"/>
            <w:tcBorders>
              <w:top w:val="nil"/>
              <w:left w:val="nil"/>
              <w:bottom w:val="nil"/>
              <w:right w:val="nil"/>
            </w:tcBorders>
          </w:tcPr>
          <w:p w14:paraId="581361F3" w14:textId="28E750A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56 (13</w:t>
            </w:r>
            <w:r w:rsidR="00C5236B" w:rsidRPr="00C951F0">
              <w:rPr>
                <w:rFonts w:cs="Arial"/>
                <w:color w:val="000000" w:themeColor="text1"/>
                <w:sz w:val="20"/>
                <w:szCs w:val="20"/>
              </w:rPr>
              <w:t>·</w:t>
            </w:r>
            <w:r w:rsidRPr="00C951F0">
              <w:rPr>
                <w:rFonts w:cs="Arial"/>
                <w:color w:val="000000" w:themeColor="text1"/>
                <w:sz w:val="20"/>
                <w:szCs w:val="20"/>
              </w:rPr>
              <w:t>9)</w:t>
            </w:r>
          </w:p>
        </w:tc>
        <w:tc>
          <w:tcPr>
            <w:tcW w:w="648" w:type="pct"/>
            <w:tcBorders>
              <w:top w:val="nil"/>
              <w:left w:val="nil"/>
              <w:bottom w:val="nil"/>
              <w:right w:val="nil"/>
            </w:tcBorders>
          </w:tcPr>
          <w:p w14:paraId="7AA18948" w14:textId="4D0CD48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67 (16</w:t>
            </w:r>
            <w:r w:rsidR="00C5236B" w:rsidRPr="00C951F0">
              <w:rPr>
                <w:rFonts w:cs="Arial"/>
                <w:color w:val="000000" w:themeColor="text1"/>
                <w:sz w:val="20"/>
                <w:szCs w:val="20"/>
              </w:rPr>
              <w:t>·</w:t>
            </w:r>
            <w:r w:rsidRPr="00C951F0">
              <w:rPr>
                <w:rFonts w:cs="Arial"/>
                <w:color w:val="000000" w:themeColor="text1"/>
                <w:sz w:val="20"/>
                <w:szCs w:val="20"/>
              </w:rPr>
              <w:t>6)</w:t>
            </w:r>
          </w:p>
        </w:tc>
        <w:tc>
          <w:tcPr>
            <w:tcW w:w="646" w:type="pct"/>
            <w:tcBorders>
              <w:top w:val="nil"/>
              <w:left w:val="nil"/>
              <w:bottom w:val="nil"/>
              <w:right w:val="nil"/>
            </w:tcBorders>
          </w:tcPr>
          <w:p w14:paraId="221C7F7A" w14:textId="0042270C"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196 (16</w:t>
            </w:r>
            <w:r w:rsidR="00C5236B" w:rsidRPr="00C951F0">
              <w:rPr>
                <w:rFonts w:cs="Arial"/>
                <w:color w:val="000000" w:themeColor="text1"/>
                <w:sz w:val="20"/>
                <w:szCs w:val="20"/>
              </w:rPr>
              <w:t>·</w:t>
            </w:r>
            <w:r w:rsidRPr="00C951F0">
              <w:rPr>
                <w:rFonts w:cs="Arial"/>
                <w:color w:val="000000" w:themeColor="text1"/>
                <w:sz w:val="20"/>
                <w:szCs w:val="20"/>
              </w:rPr>
              <w:t>2)</w:t>
            </w:r>
          </w:p>
        </w:tc>
      </w:tr>
      <w:tr w:rsidR="00C951F0" w:rsidRPr="00C951F0" w14:paraId="329EE069" w14:textId="77777777" w:rsidTr="00934A10">
        <w:tc>
          <w:tcPr>
            <w:tcW w:w="2390" w:type="pct"/>
            <w:tcBorders>
              <w:top w:val="nil"/>
              <w:left w:val="nil"/>
              <w:bottom w:val="nil"/>
              <w:right w:val="nil"/>
            </w:tcBorders>
          </w:tcPr>
          <w:p w14:paraId="236F3729"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Obstructive sleep apnea</w:t>
            </w:r>
          </w:p>
        </w:tc>
        <w:tc>
          <w:tcPr>
            <w:tcW w:w="669" w:type="pct"/>
            <w:tcBorders>
              <w:top w:val="nil"/>
              <w:left w:val="nil"/>
              <w:bottom w:val="nil"/>
              <w:right w:val="nil"/>
            </w:tcBorders>
          </w:tcPr>
          <w:p w14:paraId="7CA3E74C" w14:textId="04E0AF5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68 (16</w:t>
            </w:r>
            <w:r w:rsidR="00C5236B" w:rsidRPr="00C951F0">
              <w:rPr>
                <w:rFonts w:cs="Arial"/>
                <w:color w:val="000000" w:themeColor="text1"/>
                <w:sz w:val="20"/>
                <w:szCs w:val="20"/>
              </w:rPr>
              <w:t>·</w:t>
            </w:r>
            <w:r w:rsidRPr="00C951F0">
              <w:rPr>
                <w:rFonts w:cs="Arial"/>
                <w:color w:val="000000" w:themeColor="text1"/>
                <w:sz w:val="20"/>
                <w:szCs w:val="20"/>
              </w:rPr>
              <w:t>8)</w:t>
            </w:r>
          </w:p>
        </w:tc>
        <w:tc>
          <w:tcPr>
            <w:tcW w:w="647" w:type="pct"/>
            <w:tcBorders>
              <w:top w:val="nil"/>
              <w:left w:val="nil"/>
              <w:bottom w:val="nil"/>
              <w:right w:val="nil"/>
            </w:tcBorders>
          </w:tcPr>
          <w:p w14:paraId="36ED52C9" w14:textId="3AB31DA8"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54 (13</w:t>
            </w:r>
            <w:r w:rsidR="00C5236B" w:rsidRPr="00C951F0">
              <w:rPr>
                <w:rFonts w:cs="Arial"/>
                <w:color w:val="000000" w:themeColor="text1"/>
                <w:sz w:val="20"/>
                <w:szCs w:val="20"/>
              </w:rPr>
              <w:t>·</w:t>
            </w:r>
            <w:r w:rsidRPr="00C951F0">
              <w:rPr>
                <w:rFonts w:cs="Arial"/>
                <w:color w:val="000000" w:themeColor="text1"/>
                <w:sz w:val="20"/>
                <w:szCs w:val="20"/>
              </w:rPr>
              <w:t>4)</w:t>
            </w:r>
          </w:p>
        </w:tc>
        <w:tc>
          <w:tcPr>
            <w:tcW w:w="648" w:type="pct"/>
            <w:tcBorders>
              <w:top w:val="nil"/>
              <w:left w:val="nil"/>
              <w:bottom w:val="nil"/>
              <w:right w:val="nil"/>
            </w:tcBorders>
          </w:tcPr>
          <w:p w14:paraId="498DAC61" w14:textId="04858CB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54 (13</w:t>
            </w:r>
            <w:r w:rsidR="00C5236B" w:rsidRPr="00C951F0">
              <w:rPr>
                <w:rFonts w:cs="Arial"/>
                <w:color w:val="000000" w:themeColor="text1"/>
                <w:sz w:val="20"/>
                <w:szCs w:val="20"/>
              </w:rPr>
              <w:t>·</w:t>
            </w:r>
            <w:r w:rsidRPr="00C951F0">
              <w:rPr>
                <w:rFonts w:cs="Arial"/>
                <w:color w:val="000000" w:themeColor="text1"/>
                <w:sz w:val="20"/>
                <w:szCs w:val="20"/>
              </w:rPr>
              <w:t>4)</w:t>
            </w:r>
          </w:p>
        </w:tc>
        <w:tc>
          <w:tcPr>
            <w:tcW w:w="646" w:type="pct"/>
            <w:tcBorders>
              <w:top w:val="nil"/>
              <w:left w:val="nil"/>
              <w:bottom w:val="nil"/>
              <w:right w:val="nil"/>
            </w:tcBorders>
          </w:tcPr>
          <w:p w14:paraId="5B1AEA64" w14:textId="1273EB2D"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176 (14</w:t>
            </w:r>
            <w:r w:rsidR="00C5236B" w:rsidRPr="00C951F0">
              <w:rPr>
                <w:rFonts w:cs="Arial"/>
                <w:color w:val="000000" w:themeColor="text1"/>
                <w:sz w:val="20"/>
                <w:szCs w:val="20"/>
              </w:rPr>
              <w:t>·</w:t>
            </w:r>
            <w:r w:rsidRPr="00C951F0">
              <w:rPr>
                <w:rFonts w:cs="Arial"/>
                <w:color w:val="000000" w:themeColor="text1"/>
                <w:sz w:val="20"/>
                <w:szCs w:val="20"/>
              </w:rPr>
              <w:t>5)</w:t>
            </w:r>
          </w:p>
        </w:tc>
      </w:tr>
      <w:tr w:rsidR="00C951F0" w:rsidRPr="00C951F0" w14:paraId="223AA570" w14:textId="77777777" w:rsidTr="00934A10">
        <w:tc>
          <w:tcPr>
            <w:tcW w:w="2390" w:type="pct"/>
            <w:tcBorders>
              <w:top w:val="nil"/>
              <w:left w:val="nil"/>
              <w:bottom w:val="nil"/>
              <w:right w:val="nil"/>
            </w:tcBorders>
          </w:tcPr>
          <w:p w14:paraId="1413ED12"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Non-alcoholic fatty liver disease</w:t>
            </w:r>
          </w:p>
        </w:tc>
        <w:tc>
          <w:tcPr>
            <w:tcW w:w="669" w:type="pct"/>
            <w:tcBorders>
              <w:top w:val="nil"/>
              <w:left w:val="nil"/>
              <w:bottom w:val="nil"/>
              <w:right w:val="nil"/>
            </w:tcBorders>
          </w:tcPr>
          <w:p w14:paraId="5B7A859B" w14:textId="0411D4A6"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85 (21</w:t>
            </w:r>
            <w:r w:rsidR="00C5236B" w:rsidRPr="00C951F0">
              <w:rPr>
                <w:rFonts w:cs="Arial"/>
                <w:color w:val="000000" w:themeColor="text1"/>
                <w:sz w:val="20"/>
                <w:szCs w:val="20"/>
              </w:rPr>
              <w:t>·</w:t>
            </w:r>
            <w:r w:rsidRPr="00C951F0">
              <w:rPr>
                <w:rFonts w:cs="Arial"/>
                <w:color w:val="000000" w:themeColor="text1"/>
                <w:sz w:val="20"/>
                <w:szCs w:val="20"/>
              </w:rPr>
              <w:t>0)</w:t>
            </w:r>
          </w:p>
        </w:tc>
        <w:tc>
          <w:tcPr>
            <w:tcW w:w="647" w:type="pct"/>
            <w:tcBorders>
              <w:top w:val="nil"/>
              <w:left w:val="nil"/>
              <w:bottom w:val="nil"/>
              <w:right w:val="nil"/>
            </w:tcBorders>
          </w:tcPr>
          <w:p w14:paraId="066482C0" w14:textId="3B1799BB"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82 (20</w:t>
            </w:r>
            <w:r w:rsidR="00C5236B" w:rsidRPr="00C951F0">
              <w:rPr>
                <w:rFonts w:cs="Arial"/>
                <w:color w:val="000000" w:themeColor="text1"/>
                <w:sz w:val="20"/>
                <w:szCs w:val="20"/>
              </w:rPr>
              <w:t>·</w:t>
            </w:r>
            <w:r w:rsidRPr="00C951F0">
              <w:rPr>
                <w:rFonts w:cs="Arial"/>
                <w:color w:val="000000" w:themeColor="text1"/>
                <w:sz w:val="20"/>
                <w:szCs w:val="20"/>
              </w:rPr>
              <w:t>3)</w:t>
            </w:r>
          </w:p>
        </w:tc>
        <w:tc>
          <w:tcPr>
            <w:tcW w:w="648" w:type="pct"/>
            <w:tcBorders>
              <w:top w:val="nil"/>
              <w:left w:val="nil"/>
              <w:bottom w:val="nil"/>
              <w:right w:val="nil"/>
            </w:tcBorders>
          </w:tcPr>
          <w:p w14:paraId="58F8A164" w14:textId="137161F8"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94 (23</w:t>
            </w:r>
            <w:r w:rsidR="00C5236B" w:rsidRPr="00C951F0">
              <w:rPr>
                <w:rFonts w:cs="Arial"/>
                <w:color w:val="000000" w:themeColor="text1"/>
                <w:sz w:val="20"/>
                <w:szCs w:val="20"/>
              </w:rPr>
              <w:t>·</w:t>
            </w:r>
            <w:r w:rsidRPr="00C951F0">
              <w:rPr>
                <w:rFonts w:cs="Arial"/>
                <w:color w:val="000000" w:themeColor="text1"/>
                <w:sz w:val="20"/>
                <w:szCs w:val="20"/>
              </w:rPr>
              <w:t>3)</w:t>
            </w:r>
          </w:p>
        </w:tc>
        <w:tc>
          <w:tcPr>
            <w:tcW w:w="646" w:type="pct"/>
            <w:tcBorders>
              <w:top w:val="nil"/>
              <w:left w:val="nil"/>
              <w:bottom w:val="nil"/>
              <w:right w:val="nil"/>
            </w:tcBorders>
          </w:tcPr>
          <w:p w14:paraId="55546885" w14:textId="7FC8220F"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261 (21</w:t>
            </w:r>
            <w:r w:rsidR="00C5236B" w:rsidRPr="00C951F0">
              <w:rPr>
                <w:rFonts w:cs="Arial"/>
                <w:color w:val="000000" w:themeColor="text1"/>
                <w:sz w:val="20"/>
                <w:szCs w:val="20"/>
              </w:rPr>
              <w:t>·</w:t>
            </w:r>
            <w:r w:rsidRPr="00C951F0">
              <w:rPr>
                <w:rFonts w:cs="Arial"/>
                <w:color w:val="000000" w:themeColor="text1"/>
                <w:sz w:val="20"/>
                <w:szCs w:val="20"/>
              </w:rPr>
              <w:t>6)</w:t>
            </w:r>
          </w:p>
        </w:tc>
      </w:tr>
      <w:tr w:rsidR="00C951F0" w:rsidRPr="00C951F0" w14:paraId="6878C804" w14:textId="77777777" w:rsidTr="00934A10">
        <w:tc>
          <w:tcPr>
            <w:tcW w:w="2390" w:type="pct"/>
            <w:tcBorders>
              <w:top w:val="nil"/>
              <w:left w:val="nil"/>
              <w:bottom w:val="nil"/>
              <w:right w:val="nil"/>
            </w:tcBorders>
          </w:tcPr>
          <w:p w14:paraId="3EE97B7A"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Polycystic ovary syndrome</w:t>
            </w:r>
          </w:p>
        </w:tc>
        <w:tc>
          <w:tcPr>
            <w:tcW w:w="669" w:type="pct"/>
            <w:tcBorders>
              <w:top w:val="nil"/>
              <w:left w:val="nil"/>
              <w:bottom w:val="nil"/>
              <w:right w:val="nil"/>
            </w:tcBorders>
          </w:tcPr>
          <w:p w14:paraId="1E32BD3B" w14:textId="3BCF97C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7 (3</w:t>
            </w:r>
            <w:r w:rsidR="00C5236B" w:rsidRPr="00C951F0">
              <w:rPr>
                <w:rFonts w:cs="Arial"/>
                <w:color w:val="000000" w:themeColor="text1"/>
                <w:sz w:val="20"/>
                <w:szCs w:val="20"/>
              </w:rPr>
              <w:t>·</w:t>
            </w:r>
            <w:r w:rsidRPr="00C951F0">
              <w:rPr>
                <w:rFonts w:cs="Arial"/>
                <w:color w:val="000000" w:themeColor="text1"/>
                <w:sz w:val="20"/>
                <w:szCs w:val="20"/>
              </w:rPr>
              <w:t>1)</w:t>
            </w:r>
          </w:p>
        </w:tc>
        <w:tc>
          <w:tcPr>
            <w:tcW w:w="647" w:type="pct"/>
            <w:tcBorders>
              <w:top w:val="nil"/>
              <w:left w:val="nil"/>
              <w:bottom w:val="nil"/>
              <w:right w:val="nil"/>
            </w:tcBorders>
          </w:tcPr>
          <w:p w14:paraId="1B9245F8" w14:textId="25FE90BA"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 (3</w:t>
            </w:r>
            <w:r w:rsidR="00C5236B" w:rsidRPr="00C951F0">
              <w:rPr>
                <w:rFonts w:cs="Arial"/>
                <w:color w:val="000000" w:themeColor="text1"/>
                <w:sz w:val="20"/>
                <w:szCs w:val="20"/>
              </w:rPr>
              <w:t>·</w:t>
            </w:r>
            <w:r w:rsidRPr="00C951F0">
              <w:rPr>
                <w:rFonts w:cs="Arial"/>
                <w:color w:val="000000" w:themeColor="text1"/>
                <w:sz w:val="20"/>
                <w:szCs w:val="20"/>
              </w:rPr>
              <w:t>9)</w:t>
            </w:r>
          </w:p>
        </w:tc>
        <w:tc>
          <w:tcPr>
            <w:tcW w:w="648" w:type="pct"/>
            <w:tcBorders>
              <w:top w:val="nil"/>
              <w:left w:val="nil"/>
              <w:bottom w:val="nil"/>
              <w:right w:val="nil"/>
            </w:tcBorders>
          </w:tcPr>
          <w:p w14:paraId="55930426" w14:textId="3202E47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10 (5</w:t>
            </w:r>
            <w:r w:rsidR="00C5236B" w:rsidRPr="00C951F0">
              <w:rPr>
                <w:rFonts w:cs="Arial"/>
                <w:color w:val="000000" w:themeColor="text1"/>
                <w:sz w:val="20"/>
                <w:szCs w:val="20"/>
              </w:rPr>
              <w:t>·</w:t>
            </w:r>
            <w:r w:rsidRPr="00C951F0">
              <w:rPr>
                <w:rFonts w:cs="Arial"/>
                <w:color w:val="000000" w:themeColor="text1"/>
                <w:sz w:val="20"/>
                <w:szCs w:val="20"/>
              </w:rPr>
              <w:t>3)</w:t>
            </w:r>
          </w:p>
        </w:tc>
        <w:tc>
          <w:tcPr>
            <w:tcW w:w="646" w:type="pct"/>
            <w:tcBorders>
              <w:top w:val="nil"/>
              <w:left w:val="nil"/>
              <w:bottom w:val="nil"/>
              <w:right w:val="nil"/>
            </w:tcBorders>
          </w:tcPr>
          <w:p w14:paraId="04130378" w14:textId="3403B293"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25 (4</w:t>
            </w:r>
            <w:r w:rsidR="00C5236B" w:rsidRPr="00C951F0">
              <w:rPr>
                <w:rFonts w:cs="Arial"/>
                <w:color w:val="000000" w:themeColor="text1"/>
                <w:sz w:val="20"/>
                <w:szCs w:val="20"/>
              </w:rPr>
              <w:t>·</w:t>
            </w:r>
            <w:r w:rsidRPr="00C951F0">
              <w:rPr>
                <w:rFonts w:cs="Arial"/>
                <w:color w:val="000000" w:themeColor="text1"/>
                <w:sz w:val="20"/>
                <w:szCs w:val="20"/>
              </w:rPr>
              <w:t>1)</w:t>
            </w:r>
          </w:p>
        </w:tc>
      </w:tr>
      <w:tr w:rsidR="00C951F0" w:rsidRPr="00C951F0" w14:paraId="434ED439" w14:textId="77777777" w:rsidTr="00934A10">
        <w:tc>
          <w:tcPr>
            <w:tcW w:w="2390" w:type="pct"/>
            <w:tcBorders>
              <w:top w:val="nil"/>
              <w:left w:val="nil"/>
              <w:bottom w:val="single" w:sz="4" w:space="0" w:color="auto"/>
              <w:right w:val="nil"/>
            </w:tcBorders>
          </w:tcPr>
          <w:p w14:paraId="7C9E2ED8"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Asthma/chronic obstructive pulmonary disease</w:t>
            </w:r>
          </w:p>
        </w:tc>
        <w:tc>
          <w:tcPr>
            <w:tcW w:w="669" w:type="pct"/>
            <w:tcBorders>
              <w:top w:val="nil"/>
              <w:left w:val="nil"/>
              <w:bottom w:val="single" w:sz="4" w:space="0" w:color="auto"/>
              <w:right w:val="nil"/>
            </w:tcBorders>
          </w:tcPr>
          <w:p w14:paraId="5B781C2A" w14:textId="0CE6893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36 (8</w:t>
            </w:r>
            <w:r w:rsidR="00C5236B" w:rsidRPr="00C951F0">
              <w:rPr>
                <w:rFonts w:cs="Arial"/>
                <w:color w:val="000000" w:themeColor="text1"/>
                <w:sz w:val="20"/>
                <w:szCs w:val="20"/>
              </w:rPr>
              <w:t>·</w:t>
            </w:r>
            <w:r w:rsidRPr="00C951F0">
              <w:rPr>
                <w:rFonts w:cs="Arial"/>
                <w:color w:val="000000" w:themeColor="text1"/>
                <w:sz w:val="20"/>
                <w:szCs w:val="20"/>
              </w:rPr>
              <w:t>9)</w:t>
            </w:r>
          </w:p>
        </w:tc>
        <w:tc>
          <w:tcPr>
            <w:tcW w:w="647" w:type="pct"/>
            <w:tcBorders>
              <w:top w:val="nil"/>
              <w:left w:val="nil"/>
              <w:bottom w:val="single" w:sz="4" w:space="0" w:color="auto"/>
              <w:right w:val="nil"/>
            </w:tcBorders>
          </w:tcPr>
          <w:p w14:paraId="29DD4F4D" w14:textId="032AFEB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47 (11</w:t>
            </w:r>
            <w:r w:rsidR="00C5236B" w:rsidRPr="00C951F0">
              <w:rPr>
                <w:rFonts w:cs="Arial"/>
                <w:color w:val="000000" w:themeColor="text1"/>
                <w:sz w:val="20"/>
                <w:szCs w:val="20"/>
              </w:rPr>
              <w:t>·</w:t>
            </w:r>
            <w:r w:rsidRPr="00C951F0">
              <w:rPr>
                <w:rFonts w:cs="Arial"/>
                <w:color w:val="000000" w:themeColor="text1"/>
                <w:sz w:val="20"/>
                <w:szCs w:val="20"/>
              </w:rPr>
              <w:t>7)</w:t>
            </w:r>
          </w:p>
        </w:tc>
        <w:tc>
          <w:tcPr>
            <w:tcW w:w="648" w:type="pct"/>
            <w:tcBorders>
              <w:top w:val="nil"/>
              <w:left w:val="nil"/>
              <w:bottom w:val="single" w:sz="4" w:space="0" w:color="auto"/>
              <w:right w:val="nil"/>
            </w:tcBorders>
          </w:tcPr>
          <w:p w14:paraId="2A3800DC" w14:textId="23797B82"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32 (7</w:t>
            </w:r>
            <w:r w:rsidR="00C5236B" w:rsidRPr="00C951F0">
              <w:rPr>
                <w:rFonts w:cs="Arial"/>
                <w:color w:val="000000" w:themeColor="text1"/>
                <w:sz w:val="20"/>
                <w:szCs w:val="20"/>
              </w:rPr>
              <w:t>·</w:t>
            </w:r>
            <w:r w:rsidRPr="00C951F0">
              <w:rPr>
                <w:rFonts w:cs="Arial"/>
                <w:color w:val="000000" w:themeColor="text1"/>
                <w:sz w:val="20"/>
                <w:szCs w:val="20"/>
              </w:rPr>
              <w:t>9)</w:t>
            </w:r>
          </w:p>
        </w:tc>
        <w:tc>
          <w:tcPr>
            <w:tcW w:w="646" w:type="pct"/>
            <w:tcBorders>
              <w:top w:val="nil"/>
              <w:left w:val="nil"/>
              <w:bottom w:val="single" w:sz="4" w:space="0" w:color="auto"/>
              <w:right w:val="nil"/>
            </w:tcBorders>
          </w:tcPr>
          <w:p w14:paraId="4185C121" w14:textId="0683EE58"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115 (9</w:t>
            </w:r>
            <w:r w:rsidR="00C5236B" w:rsidRPr="00C951F0">
              <w:rPr>
                <w:rFonts w:cs="Arial"/>
                <w:color w:val="000000" w:themeColor="text1"/>
                <w:sz w:val="20"/>
                <w:szCs w:val="20"/>
              </w:rPr>
              <w:t>·</w:t>
            </w:r>
            <w:r w:rsidRPr="00C951F0">
              <w:rPr>
                <w:rFonts w:cs="Arial"/>
                <w:color w:val="000000" w:themeColor="text1"/>
                <w:sz w:val="20"/>
                <w:szCs w:val="20"/>
              </w:rPr>
              <w:t>5)</w:t>
            </w:r>
          </w:p>
        </w:tc>
      </w:tr>
      <w:tr w:rsidR="00C951F0" w:rsidRPr="00C951F0" w14:paraId="0A8D9A7A" w14:textId="77777777" w:rsidTr="00934A10">
        <w:tc>
          <w:tcPr>
            <w:tcW w:w="2390" w:type="pct"/>
            <w:tcBorders>
              <w:left w:val="nil"/>
              <w:bottom w:val="nil"/>
              <w:right w:val="nil"/>
            </w:tcBorders>
          </w:tcPr>
          <w:p w14:paraId="42306241" w14:textId="7A37B986"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 xml:space="preserve">Number of comorbidities at screening </w:t>
            </w:r>
            <w:r w:rsidR="00D2651E" w:rsidRPr="00C951F0">
              <w:rPr>
                <w:rFonts w:cs="Arial"/>
                <w:color w:val="000000" w:themeColor="text1"/>
                <w:sz w:val="20"/>
                <w:szCs w:val="20"/>
              </w:rPr>
              <w:t>—</w:t>
            </w:r>
            <w:r w:rsidRPr="00C951F0">
              <w:rPr>
                <w:rFonts w:cs="Arial"/>
                <w:color w:val="000000" w:themeColor="text1"/>
                <w:sz w:val="20"/>
                <w:szCs w:val="20"/>
              </w:rPr>
              <w:t xml:space="preserve"> n (</w:t>
            </w:r>
            <w:proofErr w:type="gramStart"/>
            <w:r w:rsidRPr="00C951F0">
              <w:rPr>
                <w:rFonts w:cs="Arial"/>
                <w:color w:val="000000" w:themeColor="text1"/>
                <w:sz w:val="20"/>
                <w:szCs w:val="20"/>
              </w:rPr>
              <w:t>%)‡</w:t>
            </w:r>
            <w:proofErr w:type="gramEnd"/>
          </w:p>
        </w:tc>
        <w:tc>
          <w:tcPr>
            <w:tcW w:w="669" w:type="pct"/>
            <w:tcBorders>
              <w:left w:val="nil"/>
              <w:bottom w:val="nil"/>
              <w:right w:val="nil"/>
            </w:tcBorders>
          </w:tcPr>
          <w:p w14:paraId="55361F65" w14:textId="77777777" w:rsidR="00B1644A" w:rsidRPr="00C951F0" w:rsidRDefault="00B1644A" w:rsidP="0039543A">
            <w:pPr>
              <w:spacing w:line="240" w:lineRule="auto"/>
              <w:jc w:val="center"/>
              <w:rPr>
                <w:rFonts w:cs="Arial"/>
                <w:color w:val="000000" w:themeColor="text1"/>
                <w:sz w:val="20"/>
                <w:szCs w:val="20"/>
              </w:rPr>
            </w:pPr>
          </w:p>
        </w:tc>
        <w:tc>
          <w:tcPr>
            <w:tcW w:w="647" w:type="pct"/>
            <w:tcBorders>
              <w:left w:val="nil"/>
              <w:bottom w:val="nil"/>
              <w:right w:val="nil"/>
            </w:tcBorders>
          </w:tcPr>
          <w:p w14:paraId="185F3FFC" w14:textId="77777777" w:rsidR="00B1644A" w:rsidRPr="00C951F0" w:rsidRDefault="00B1644A" w:rsidP="0039543A">
            <w:pPr>
              <w:spacing w:line="240" w:lineRule="auto"/>
              <w:jc w:val="center"/>
              <w:rPr>
                <w:rFonts w:cs="Arial"/>
                <w:color w:val="000000" w:themeColor="text1"/>
                <w:sz w:val="20"/>
                <w:szCs w:val="20"/>
              </w:rPr>
            </w:pPr>
          </w:p>
        </w:tc>
        <w:tc>
          <w:tcPr>
            <w:tcW w:w="648" w:type="pct"/>
            <w:tcBorders>
              <w:left w:val="nil"/>
              <w:bottom w:val="nil"/>
              <w:right w:val="nil"/>
            </w:tcBorders>
          </w:tcPr>
          <w:p w14:paraId="1926554E" w14:textId="77777777" w:rsidR="00B1644A" w:rsidRPr="00C951F0" w:rsidRDefault="00B1644A" w:rsidP="0039543A">
            <w:pPr>
              <w:spacing w:line="240" w:lineRule="auto"/>
              <w:jc w:val="center"/>
              <w:rPr>
                <w:rFonts w:cs="Arial"/>
                <w:color w:val="000000" w:themeColor="text1"/>
                <w:sz w:val="20"/>
                <w:szCs w:val="20"/>
              </w:rPr>
            </w:pPr>
          </w:p>
        </w:tc>
        <w:tc>
          <w:tcPr>
            <w:tcW w:w="646" w:type="pct"/>
            <w:tcBorders>
              <w:left w:val="nil"/>
              <w:bottom w:val="nil"/>
              <w:right w:val="nil"/>
            </w:tcBorders>
          </w:tcPr>
          <w:p w14:paraId="6EA351FF" w14:textId="77777777" w:rsidR="00B1644A" w:rsidRPr="00C951F0" w:rsidRDefault="00B1644A" w:rsidP="0039543A">
            <w:pPr>
              <w:spacing w:line="240" w:lineRule="auto"/>
              <w:jc w:val="center"/>
              <w:rPr>
                <w:rFonts w:cs="Arial"/>
                <w:color w:val="000000" w:themeColor="text1"/>
                <w:sz w:val="20"/>
                <w:szCs w:val="20"/>
              </w:rPr>
            </w:pPr>
          </w:p>
        </w:tc>
      </w:tr>
      <w:tr w:rsidR="00C951F0" w:rsidRPr="00C951F0" w14:paraId="39BD0B27" w14:textId="77777777" w:rsidTr="00934A10">
        <w:tc>
          <w:tcPr>
            <w:tcW w:w="2390" w:type="pct"/>
            <w:tcBorders>
              <w:top w:val="nil"/>
              <w:left w:val="nil"/>
              <w:bottom w:val="nil"/>
              <w:right w:val="nil"/>
            </w:tcBorders>
          </w:tcPr>
          <w:p w14:paraId="756BF117"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 xml:space="preserve">≥5 </w:t>
            </w:r>
          </w:p>
        </w:tc>
        <w:tc>
          <w:tcPr>
            <w:tcW w:w="669" w:type="pct"/>
            <w:tcBorders>
              <w:top w:val="nil"/>
              <w:left w:val="nil"/>
              <w:bottom w:val="nil"/>
              <w:right w:val="nil"/>
            </w:tcBorders>
          </w:tcPr>
          <w:p w14:paraId="490CF717" w14:textId="0E5B4E5C"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93 (23</w:t>
            </w:r>
            <w:r w:rsidR="00C5236B" w:rsidRPr="00C951F0">
              <w:rPr>
                <w:rFonts w:cs="Arial"/>
                <w:color w:val="000000" w:themeColor="text1"/>
                <w:sz w:val="20"/>
                <w:szCs w:val="20"/>
              </w:rPr>
              <w:t>·</w:t>
            </w:r>
            <w:r w:rsidRPr="00C951F0">
              <w:rPr>
                <w:rFonts w:cs="Arial"/>
                <w:color w:val="000000" w:themeColor="text1"/>
                <w:sz w:val="20"/>
                <w:szCs w:val="20"/>
              </w:rPr>
              <w:t>0)</w:t>
            </w:r>
          </w:p>
        </w:tc>
        <w:tc>
          <w:tcPr>
            <w:tcW w:w="647" w:type="pct"/>
            <w:tcBorders>
              <w:top w:val="nil"/>
              <w:left w:val="nil"/>
              <w:bottom w:val="nil"/>
              <w:right w:val="nil"/>
            </w:tcBorders>
          </w:tcPr>
          <w:p w14:paraId="11701163" w14:textId="5FD9CF3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86 (21</w:t>
            </w:r>
            <w:r w:rsidR="00C5236B" w:rsidRPr="00C951F0">
              <w:rPr>
                <w:rFonts w:cs="Arial"/>
                <w:color w:val="000000" w:themeColor="text1"/>
                <w:sz w:val="20"/>
                <w:szCs w:val="20"/>
              </w:rPr>
              <w:t>·</w:t>
            </w:r>
            <w:r w:rsidRPr="00C951F0">
              <w:rPr>
                <w:rFonts w:cs="Arial"/>
                <w:color w:val="000000" w:themeColor="text1"/>
                <w:sz w:val="20"/>
                <w:szCs w:val="20"/>
              </w:rPr>
              <w:t>3)</w:t>
            </w:r>
          </w:p>
        </w:tc>
        <w:tc>
          <w:tcPr>
            <w:tcW w:w="648" w:type="pct"/>
            <w:tcBorders>
              <w:top w:val="nil"/>
              <w:left w:val="nil"/>
              <w:bottom w:val="nil"/>
              <w:right w:val="nil"/>
            </w:tcBorders>
          </w:tcPr>
          <w:p w14:paraId="1357C940" w14:textId="41EFB990"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81 (20</w:t>
            </w:r>
            <w:r w:rsidR="00C5236B" w:rsidRPr="00C951F0">
              <w:rPr>
                <w:rFonts w:cs="Arial"/>
                <w:color w:val="000000" w:themeColor="text1"/>
                <w:sz w:val="20"/>
                <w:szCs w:val="20"/>
              </w:rPr>
              <w:t>·</w:t>
            </w:r>
            <w:r w:rsidRPr="00C951F0">
              <w:rPr>
                <w:rFonts w:cs="Arial"/>
                <w:color w:val="000000" w:themeColor="text1"/>
                <w:sz w:val="20"/>
                <w:szCs w:val="20"/>
              </w:rPr>
              <w:t>1)</w:t>
            </w:r>
          </w:p>
        </w:tc>
        <w:tc>
          <w:tcPr>
            <w:tcW w:w="646" w:type="pct"/>
            <w:tcBorders>
              <w:top w:val="nil"/>
              <w:left w:val="nil"/>
              <w:bottom w:val="nil"/>
              <w:right w:val="nil"/>
            </w:tcBorders>
          </w:tcPr>
          <w:p w14:paraId="29D05E43" w14:textId="24AEACD2"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260 (21</w:t>
            </w:r>
            <w:r w:rsidR="00C5236B" w:rsidRPr="00C951F0">
              <w:rPr>
                <w:rFonts w:cs="Arial"/>
                <w:color w:val="000000" w:themeColor="text1"/>
                <w:sz w:val="20"/>
                <w:szCs w:val="20"/>
              </w:rPr>
              <w:t>·</w:t>
            </w:r>
            <w:r w:rsidRPr="00C951F0">
              <w:rPr>
                <w:rFonts w:cs="Arial"/>
                <w:color w:val="000000" w:themeColor="text1"/>
                <w:sz w:val="20"/>
                <w:szCs w:val="20"/>
              </w:rPr>
              <w:t>5)</w:t>
            </w:r>
          </w:p>
        </w:tc>
      </w:tr>
      <w:tr w:rsidR="00C951F0" w:rsidRPr="00C951F0" w14:paraId="198228C0" w14:textId="77777777" w:rsidTr="00934A10">
        <w:tc>
          <w:tcPr>
            <w:tcW w:w="2390" w:type="pct"/>
            <w:tcBorders>
              <w:top w:val="nil"/>
              <w:left w:val="nil"/>
              <w:bottom w:val="nil"/>
              <w:right w:val="nil"/>
            </w:tcBorders>
          </w:tcPr>
          <w:p w14:paraId="2461B6B4"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 xml:space="preserve">4 </w:t>
            </w:r>
          </w:p>
        </w:tc>
        <w:tc>
          <w:tcPr>
            <w:tcW w:w="669" w:type="pct"/>
            <w:tcBorders>
              <w:top w:val="nil"/>
              <w:left w:val="nil"/>
              <w:bottom w:val="nil"/>
              <w:right w:val="nil"/>
            </w:tcBorders>
          </w:tcPr>
          <w:p w14:paraId="53AAE192" w14:textId="5C28B028"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89 (22</w:t>
            </w:r>
            <w:r w:rsidR="00C5236B" w:rsidRPr="00C951F0">
              <w:rPr>
                <w:rFonts w:cs="Arial"/>
                <w:color w:val="000000" w:themeColor="text1"/>
                <w:sz w:val="20"/>
                <w:szCs w:val="20"/>
              </w:rPr>
              <w:t>·</w:t>
            </w:r>
            <w:r w:rsidRPr="00C951F0">
              <w:rPr>
                <w:rFonts w:cs="Arial"/>
                <w:color w:val="000000" w:themeColor="text1"/>
                <w:sz w:val="20"/>
                <w:szCs w:val="20"/>
              </w:rPr>
              <w:t>0)</w:t>
            </w:r>
          </w:p>
        </w:tc>
        <w:tc>
          <w:tcPr>
            <w:tcW w:w="647" w:type="pct"/>
            <w:tcBorders>
              <w:top w:val="nil"/>
              <w:left w:val="nil"/>
              <w:bottom w:val="nil"/>
              <w:right w:val="nil"/>
            </w:tcBorders>
          </w:tcPr>
          <w:p w14:paraId="5D9C7122" w14:textId="1FFACD65"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96 (23</w:t>
            </w:r>
            <w:r w:rsidR="00C5236B" w:rsidRPr="00C951F0">
              <w:rPr>
                <w:rFonts w:cs="Arial"/>
                <w:color w:val="000000" w:themeColor="text1"/>
                <w:sz w:val="20"/>
                <w:szCs w:val="20"/>
              </w:rPr>
              <w:t>·</w:t>
            </w:r>
            <w:r w:rsidRPr="00C951F0">
              <w:rPr>
                <w:rFonts w:cs="Arial"/>
                <w:color w:val="000000" w:themeColor="text1"/>
                <w:sz w:val="20"/>
                <w:szCs w:val="20"/>
              </w:rPr>
              <w:t>8)</w:t>
            </w:r>
          </w:p>
        </w:tc>
        <w:tc>
          <w:tcPr>
            <w:tcW w:w="648" w:type="pct"/>
            <w:tcBorders>
              <w:top w:val="nil"/>
              <w:left w:val="nil"/>
              <w:bottom w:val="nil"/>
              <w:right w:val="nil"/>
            </w:tcBorders>
          </w:tcPr>
          <w:p w14:paraId="55AD100C" w14:textId="73A64D84"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105 (26</w:t>
            </w:r>
            <w:r w:rsidR="00C5236B" w:rsidRPr="00C951F0">
              <w:rPr>
                <w:rFonts w:cs="Arial"/>
                <w:color w:val="000000" w:themeColor="text1"/>
                <w:sz w:val="20"/>
                <w:szCs w:val="20"/>
              </w:rPr>
              <w:t>·</w:t>
            </w:r>
            <w:r w:rsidRPr="00C951F0">
              <w:rPr>
                <w:rFonts w:cs="Arial"/>
                <w:color w:val="000000" w:themeColor="text1"/>
                <w:sz w:val="20"/>
                <w:szCs w:val="20"/>
              </w:rPr>
              <w:t>1)</w:t>
            </w:r>
          </w:p>
        </w:tc>
        <w:tc>
          <w:tcPr>
            <w:tcW w:w="646" w:type="pct"/>
            <w:tcBorders>
              <w:top w:val="nil"/>
              <w:left w:val="nil"/>
              <w:bottom w:val="nil"/>
              <w:right w:val="nil"/>
            </w:tcBorders>
          </w:tcPr>
          <w:p w14:paraId="6B4D8F5F" w14:textId="4DF8B923"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290 (24</w:t>
            </w:r>
            <w:r w:rsidR="00C5236B" w:rsidRPr="00C951F0">
              <w:rPr>
                <w:rFonts w:cs="Arial"/>
                <w:color w:val="000000" w:themeColor="text1"/>
                <w:sz w:val="20"/>
                <w:szCs w:val="20"/>
              </w:rPr>
              <w:t>·</w:t>
            </w:r>
            <w:r w:rsidRPr="00C951F0">
              <w:rPr>
                <w:rFonts w:cs="Arial"/>
                <w:color w:val="000000" w:themeColor="text1"/>
                <w:sz w:val="20"/>
                <w:szCs w:val="20"/>
              </w:rPr>
              <w:t>0)</w:t>
            </w:r>
          </w:p>
        </w:tc>
      </w:tr>
      <w:tr w:rsidR="00C951F0" w:rsidRPr="00C951F0" w14:paraId="68A418A3" w14:textId="77777777" w:rsidTr="00934A10">
        <w:tc>
          <w:tcPr>
            <w:tcW w:w="2390" w:type="pct"/>
            <w:tcBorders>
              <w:top w:val="nil"/>
              <w:left w:val="nil"/>
              <w:bottom w:val="nil"/>
              <w:right w:val="nil"/>
            </w:tcBorders>
          </w:tcPr>
          <w:p w14:paraId="3161FD55"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3</w:t>
            </w:r>
          </w:p>
        </w:tc>
        <w:tc>
          <w:tcPr>
            <w:tcW w:w="669" w:type="pct"/>
            <w:tcBorders>
              <w:top w:val="nil"/>
              <w:left w:val="nil"/>
              <w:bottom w:val="nil"/>
              <w:right w:val="nil"/>
            </w:tcBorders>
          </w:tcPr>
          <w:p w14:paraId="17406678" w14:textId="59E35B0A"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98 (24</w:t>
            </w:r>
            <w:r w:rsidR="00C5236B" w:rsidRPr="00C951F0">
              <w:rPr>
                <w:rFonts w:cs="Arial"/>
                <w:color w:val="000000" w:themeColor="text1"/>
                <w:sz w:val="20"/>
                <w:szCs w:val="20"/>
              </w:rPr>
              <w:t>·</w:t>
            </w:r>
            <w:r w:rsidRPr="00C951F0">
              <w:rPr>
                <w:rFonts w:cs="Arial"/>
                <w:color w:val="000000" w:themeColor="text1"/>
                <w:sz w:val="20"/>
                <w:szCs w:val="20"/>
              </w:rPr>
              <w:t>3)</w:t>
            </w:r>
          </w:p>
        </w:tc>
        <w:tc>
          <w:tcPr>
            <w:tcW w:w="647" w:type="pct"/>
            <w:tcBorders>
              <w:top w:val="nil"/>
              <w:left w:val="nil"/>
              <w:bottom w:val="nil"/>
              <w:right w:val="nil"/>
            </w:tcBorders>
          </w:tcPr>
          <w:p w14:paraId="1CA7D31A" w14:textId="02287AFC"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107 (26</w:t>
            </w:r>
            <w:r w:rsidR="00C5236B" w:rsidRPr="00C951F0">
              <w:rPr>
                <w:rFonts w:cs="Arial"/>
                <w:color w:val="000000" w:themeColor="text1"/>
                <w:sz w:val="20"/>
                <w:szCs w:val="20"/>
              </w:rPr>
              <w:t>·</w:t>
            </w:r>
            <w:r w:rsidRPr="00C951F0">
              <w:rPr>
                <w:rFonts w:cs="Arial"/>
                <w:color w:val="000000" w:themeColor="text1"/>
                <w:sz w:val="20"/>
                <w:szCs w:val="20"/>
              </w:rPr>
              <w:t>6)</w:t>
            </w:r>
          </w:p>
        </w:tc>
        <w:tc>
          <w:tcPr>
            <w:tcW w:w="648" w:type="pct"/>
            <w:tcBorders>
              <w:top w:val="nil"/>
              <w:left w:val="nil"/>
              <w:bottom w:val="nil"/>
              <w:right w:val="nil"/>
            </w:tcBorders>
          </w:tcPr>
          <w:p w14:paraId="6D5A4730" w14:textId="6602BBAF"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112 (27</w:t>
            </w:r>
            <w:r w:rsidR="00C5236B" w:rsidRPr="00C951F0">
              <w:rPr>
                <w:rFonts w:cs="Arial"/>
                <w:color w:val="000000" w:themeColor="text1"/>
                <w:sz w:val="20"/>
                <w:szCs w:val="20"/>
              </w:rPr>
              <w:t>·</w:t>
            </w:r>
            <w:r w:rsidRPr="00C951F0">
              <w:rPr>
                <w:rFonts w:cs="Arial"/>
                <w:color w:val="000000" w:themeColor="text1"/>
                <w:sz w:val="20"/>
                <w:szCs w:val="20"/>
              </w:rPr>
              <w:t>8)</w:t>
            </w:r>
          </w:p>
        </w:tc>
        <w:tc>
          <w:tcPr>
            <w:tcW w:w="646" w:type="pct"/>
            <w:tcBorders>
              <w:top w:val="nil"/>
              <w:left w:val="nil"/>
              <w:bottom w:val="nil"/>
              <w:right w:val="nil"/>
            </w:tcBorders>
          </w:tcPr>
          <w:p w14:paraId="3B69E5DD" w14:textId="11E713E1"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317 (26</w:t>
            </w:r>
            <w:r w:rsidR="00C5236B" w:rsidRPr="00C951F0">
              <w:rPr>
                <w:rFonts w:cs="Arial"/>
                <w:color w:val="000000" w:themeColor="text1"/>
                <w:sz w:val="20"/>
                <w:szCs w:val="20"/>
              </w:rPr>
              <w:t>·</w:t>
            </w:r>
            <w:r w:rsidRPr="00C951F0">
              <w:rPr>
                <w:rFonts w:cs="Arial"/>
                <w:color w:val="000000" w:themeColor="text1"/>
                <w:sz w:val="20"/>
                <w:szCs w:val="20"/>
              </w:rPr>
              <w:t>2)</w:t>
            </w:r>
          </w:p>
        </w:tc>
      </w:tr>
      <w:tr w:rsidR="00C951F0" w:rsidRPr="00C951F0" w14:paraId="605C3A97" w14:textId="77777777" w:rsidTr="00934A10">
        <w:tc>
          <w:tcPr>
            <w:tcW w:w="2390" w:type="pct"/>
            <w:tcBorders>
              <w:top w:val="nil"/>
              <w:left w:val="nil"/>
              <w:bottom w:val="nil"/>
              <w:right w:val="nil"/>
            </w:tcBorders>
          </w:tcPr>
          <w:p w14:paraId="7A521EBF"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2</w:t>
            </w:r>
          </w:p>
        </w:tc>
        <w:tc>
          <w:tcPr>
            <w:tcW w:w="669" w:type="pct"/>
            <w:tcBorders>
              <w:top w:val="nil"/>
              <w:left w:val="nil"/>
              <w:bottom w:val="nil"/>
              <w:right w:val="nil"/>
            </w:tcBorders>
          </w:tcPr>
          <w:p w14:paraId="3B72770E" w14:textId="68F2470C"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77 (19</w:t>
            </w:r>
            <w:r w:rsidR="00C5236B" w:rsidRPr="00C951F0">
              <w:rPr>
                <w:rFonts w:cs="Arial"/>
                <w:color w:val="000000" w:themeColor="text1"/>
                <w:sz w:val="20"/>
                <w:szCs w:val="20"/>
              </w:rPr>
              <w:t>·</w:t>
            </w:r>
            <w:r w:rsidRPr="00C951F0">
              <w:rPr>
                <w:rFonts w:cs="Arial"/>
                <w:color w:val="000000" w:themeColor="text1"/>
                <w:sz w:val="20"/>
                <w:szCs w:val="20"/>
              </w:rPr>
              <w:t>1)</w:t>
            </w:r>
          </w:p>
        </w:tc>
        <w:tc>
          <w:tcPr>
            <w:tcW w:w="647" w:type="pct"/>
            <w:tcBorders>
              <w:top w:val="nil"/>
              <w:left w:val="nil"/>
              <w:bottom w:val="nil"/>
              <w:right w:val="nil"/>
            </w:tcBorders>
          </w:tcPr>
          <w:p w14:paraId="314E1CB1" w14:textId="319C8CEC"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70 (17</w:t>
            </w:r>
            <w:r w:rsidR="00C5236B" w:rsidRPr="00C951F0">
              <w:rPr>
                <w:rFonts w:cs="Arial"/>
                <w:color w:val="000000" w:themeColor="text1"/>
                <w:sz w:val="20"/>
                <w:szCs w:val="20"/>
              </w:rPr>
              <w:t>·</w:t>
            </w:r>
            <w:r w:rsidRPr="00C951F0">
              <w:rPr>
                <w:rFonts w:cs="Arial"/>
                <w:color w:val="000000" w:themeColor="text1"/>
                <w:sz w:val="20"/>
                <w:szCs w:val="20"/>
              </w:rPr>
              <w:t>4)</w:t>
            </w:r>
          </w:p>
        </w:tc>
        <w:tc>
          <w:tcPr>
            <w:tcW w:w="648" w:type="pct"/>
            <w:tcBorders>
              <w:top w:val="nil"/>
              <w:left w:val="nil"/>
              <w:bottom w:val="nil"/>
              <w:right w:val="nil"/>
            </w:tcBorders>
          </w:tcPr>
          <w:p w14:paraId="1CAF8C84" w14:textId="5DD71359"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72 (17</w:t>
            </w:r>
            <w:r w:rsidR="00C5236B" w:rsidRPr="00C951F0">
              <w:rPr>
                <w:rFonts w:cs="Arial"/>
                <w:color w:val="000000" w:themeColor="text1"/>
                <w:sz w:val="20"/>
                <w:szCs w:val="20"/>
              </w:rPr>
              <w:t>·</w:t>
            </w:r>
            <w:r w:rsidRPr="00C951F0">
              <w:rPr>
                <w:rFonts w:cs="Arial"/>
                <w:color w:val="000000" w:themeColor="text1"/>
                <w:sz w:val="20"/>
                <w:szCs w:val="20"/>
              </w:rPr>
              <w:t>9)</w:t>
            </w:r>
          </w:p>
        </w:tc>
        <w:tc>
          <w:tcPr>
            <w:tcW w:w="646" w:type="pct"/>
            <w:tcBorders>
              <w:top w:val="nil"/>
              <w:left w:val="nil"/>
              <w:bottom w:val="nil"/>
              <w:right w:val="nil"/>
            </w:tcBorders>
          </w:tcPr>
          <w:p w14:paraId="15AE721B" w14:textId="1F0E2077"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219 (18</w:t>
            </w:r>
            <w:r w:rsidR="00C5236B" w:rsidRPr="00C951F0">
              <w:rPr>
                <w:rFonts w:cs="Arial"/>
                <w:color w:val="000000" w:themeColor="text1"/>
                <w:sz w:val="20"/>
                <w:szCs w:val="20"/>
              </w:rPr>
              <w:t>·</w:t>
            </w:r>
            <w:r w:rsidRPr="00C951F0">
              <w:rPr>
                <w:rFonts w:cs="Arial"/>
                <w:color w:val="000000" w:themeColor="text1"/>
                <w:sz w:val="20"/>
                <w:szCs w:val="20"/>
              </w:rPr>
              <w:t>1)</w:t>
            </w:r>
          </w:p>
        </w:tc>
      </w:tr>
      <w:tr w:rsidR="00C951F0" w:rsidRPr="00C951F0" w14:paraId="2504C40F" w14:textId="77777777" w:rsidTr="00934A10">
        <w:tc>
          <w:tcPr>
            <w:tcW w:w="2390" w:type="pct"/>
            <w:tcBorders>
              <w:top w:val="nil"/>
              <w:left w:val="nil"/>
              <w:bottom w:val="single" w:sz="4" w:space="0" w:color="auto"/>
              <w:right w:val="nil"/>
            </w:tcBorders>
          </w:tcPr>
          <w:p w14:paraId="4D40A951" w14:textId="77777777" w:rsidR="00B1644A" w:rsidRPr="00C951F0" w:rsidRDefault="00B1644A" w:rsidP="0039543A">
            <w:pPr>
              <w:spacing w:line="240" w:lineRule="auto"/>
              <w:ind w:left="306"/>
              <w:rPr>
                <w:rFonts w:cs="Arial"/>
                <w:color w:val="000000" w:themeColor="text1"/>
                <w:sz w:val="20"/>
                <w:szCs w:val="20"/>
              </w:rPr>
            </w:pPr>
            <w:r w:rsidRPr="00C951F0">
              <w:rPr>
                <w:rFonts w:cs="Arial"/>
                <w:color w:val="000000" w:themeColor="text1"/>
                <w:sz w:val="20"/>
                <w:szCs w:val="20"/>
              </w:rPr>
              <w:t>1</w:t>
            </w:r>
          </w:p>
        </w:tc>
        <w:tc>
          <w:tcPr>
            <w:tcW w:w="669" w:type="pct"/>
            <w:tcBorders>
              <w:top w:val="nil"/>
              <w:left w:val="nil"/>
              <w:bottom w:val="single" w:sz="4" w:space="0" w:color="auto"/>
              <w:right w:val="nil"/>
            </w:tcBorders>
          </w:tcPr>
          <w:p w14:paraId="44AC68EF" w14:textId="7C00349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47 (11</w:t>
            </w:r>
            <w:r w:rsidR="00C5236B" w:rsidRPr="00C951F0">
              <w:rPr>
                <w:rFonts w:cs="Arial"/>
                <w:color w:val="000000" w:themeColor="text1"/>
                <w:sz w:val="20"/>
                <w:szCs w:val="20"/>
              </w:rPr>
              <w:t>·</w:t>
            </w:r>
            <w:r w:rsidRPr="00C951F0">
              <w:rPr>
                <w:rFonts w:cs="Arial"/>
                <w:color w:val="000000" w:themeColor="text1"/>
                <w:sz w:val="20"/>
                <w:szCs w:val="20"/>
              </w:rPr>
              <w:t>6)</w:t>
            </w:r>
          </w:p>
        </w:tc>
        <w:tc>
          <w:tcPr>
            <w:tcW w:w="647" w:type="pct"/>
            <w:tcBorders>
              <w:top w:val="nil"/>
              <w:left w:val="nil"/>
              <w:bottom w:val="single" w:sz="4" w:space="0" w:color="auto"/>
              <w:right w:val="nil"/>
            </w:tcBorders>
          </w:tcPr>
          <w:p w14:paraId="254270DE" w14:textId="2EEF84DD"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44 (10</w:t>
            </w:r>
            <w:r w:rsidR="00C5236B" w:rsidRPr="00C951F0">
              <w:rPr>
                <w:rFonts w:cs="Arial"/>
                <w:color w:val="000000" w:themeColor="text1"/>
                <w:sz w:val="20"/>
                <w:szCs w:val="20"/>
              </w:rPr>
              <w:t>·</w:t>
            </w:r>
            <w:r w:rsidRPr="00C951F0">
              <w:rPr>
                <w:rFonts w:cs="Arial"/>
                <w:color w:val="000000" w:themeColor="text1"/>
                <w:sz w:val="20"/>
                <w:szCs w:val="20"/>
              </w:rPr>
              <w:t>9)</w:t>
            </w:r>
          </w:p>
        </w:tc>
        <w:tc>
          <w:tcPr>
            <w:tcW w:w="648" w:type="pct"/>
            <w:tcBorders>
              <w:top w:val="nil"/>
              <w:left w:val="nil"/>
              <w:bottom w:val="single" w:sz="4" w:space="0" w:color="auto"/>
              <w:right w:val="nil"/>
            </w:tcBorders>
          </w:tcPr>
          <w:p w14:paraId="00F0B88A" w14:textId="35C8E8A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33 (8</w:t>
            </w:r>
            <w:r w:rsidR="00C5236B" w:rsidRPr="00C951F0">
              <w:rPr>
                <w:rFonts w:cs="Arial"/>
                <w:color w:val="000000" w:themeColor="text1"/>
                <w:sz w:val="20"/>
                <w:szCs w:val="20"/>
              </w:rPr>
              <w:t>·</w:t>
            </w:r>
            <w:r w:rsidRPr="00C951F0">
              <w:rPr>
                <w:rFonts w:cs="Arial"/>
                <w:color w:val="000000" w:themeColor="text1"/>
                <w:sz w:val="20"/>
                <w:szCs w:val="20"/>
              </w:rPr>
              <w:t>2)</w:t>
            </w:r>
          </w:p>
        </w:tc>
        <w:tc>
          <w:tcPr>
            <w:tcW w:w="646" w:type="pct"/>
            <w:tcBorders>
              <w:top w:val="nil"/>
              <w:left w:val="nil"/>
              <w:bottom w:val="single" w:sz="4" w:space="0" w:color="auto"/>
              <w:right w:val="nil"/>
            </w:tcBorders>
          </w:tcPr>
          <w:p w14:paraId="2DE428FA" w14:textId="77931F3E" w:rsidR="00B1644A" w:rsidRPr="00C951F0" w:rsidRDefault="00B1644A" w:rsidP="0039543A">
            <w:pPr>
              <w:spacing w:line="240" w:lineRule="auto"/>
              <w:jc w:val="center"/>
              <w:rPr>
                <w:rFonts w:cs="Arial"/>
                <w:color w:val="000000" w:themeColor="text1"/>
                <w:sz w:val="20"/>
                <w:szCs w:val="20"/>
              </w:rPr>
            </w:pPr>
            <w:r w:rsidRPr="00C951F0">
              <w:rPr>
                <w:rFonts w:cs="Arial"/>
                <w:color w:val="000000" w:themeColor="text1"/>
                <w:sz w:val="20"/>
                <w:szCs w:val="20"/>
              </w:rPr>
              <w:t>124 (10</w:t>
            </w:r>
            <w:r w:rsidR="00C5236B" w:rsidRPr="00C951F0">
              <w:rPr>
                <w:rFonts w:cs="Arial"/>
                <w:color w:val="000000" w:themeColor="text1"/>
                <w:sz w:val="20"/>
                <w:szCs w:val="20"/>
              </w:rPr>
              <w:t>·</w:t>
            </w:r>
            <w:r w:rsidRPr="00C951F0">
              <w:rPr>
                <w:rFonts w:cs="Arial"/>
                <w:color w:val="000000" w:themeColor="text1"/>
                <w:sz w:val="20"/>
                <w:szCs w:val="20"/>
              </w:rPr>
              <w:t>2)</w:t>
            </w:r>
          </w:p>
        </w:tc>
      </w:tr>
      <w:tr w:rsidR="00C951F0" w:rsidRPr="00C951F0" w14:paraId="4212BFF7" w14:textId="77777777" w:rsidTr="00934A10">
        <w:tc>
          <w:tcPr>
            <w:tcW w:w="2390" w:type="pct"/>
            <w:tcBorders>
              <w:left w:val="nil"/>
              <w:bottom w:val="nil"/>
              <w:right w:val="nil"/>
            </w:tcBorders>
          </w:tcPr>
          <w:p w14:paraId="42E22C22" w14:textId="77777777" w:rsidR="00B1644A" w:rsidRPr="00C951F0" w:rsidRDefault="00B1644A" w:rsidP="0039543A">
            <w:pPr>
              <w:spacing w:line="240" w:lineRule="auto"/>
              <w:rPr>
                <w:rFonts w:cs="Arial"/>
                <w:color w:val="000000" w:themeColor="text1"/>
                <w:sz w:val="20"/>
                <w:szCs w:val="20"/>
              </w:rPr>
            </w:pPr>
            <w:r w:rsidRPr="00C951F0">
              <w:rPr>
                <w:rFonts w:cs="Arial"/>
                <w:color w:val="000000" w:themeColor="text1"/>
                <w:sz w:val="20"/>
                <w:szCs w:val="20"/>
              </w:rPr>
              <w:t>SF-36</w:t>
            </w:r>
          </w:p>
        </w:tc>
        <w:tc>
          <w:tcPr>
            <w:tcW w:w="669" w:type="pct"/>
            <w:tcBorders>
              <w:left w:val="nil"/>
              <w:bottom w:val="nil"/>
              <w:right w:val="nil"/>
            </w:tcBorders>
          </w:tcPr>
          <w:p w14:paraId="79C3EAC7" w14:textId="77777777" w:rsidR="00B1644A" w:rsidRPr="00C951F0" w:rsidRDefault="00B1644A" w:rsidP="0039543A">
            <w:pPr>
              <w:spacing w:line="240" w:lineRule="auto"/>
              <w:jc w:val="center"/>
              <w:rPr>
                <w:rFonts w:cs="Arial"/>
                <w:color w:val="000000" w:themeColor="text1"/>
                <w:sz w:val="20"/>
                <w:szCs w:val="20"/>
              </w:rPr>
            </w:pPr>
          </w:p>
        </w:tc>
        <w:tc>
          <w:tcPr>
            <w:tcW w:w="647" w:type="pct"/>
            <w:tcBorders>
              <w:left w:val="nil"/>
              <w:bottom w:val="nil"/>
              <w:right w:val="nil"/>
            </w:tcBorders>
          </w:tcPr>
          <w:p w14:paraId="6C12D551" w14:textId="77777777" w:rsidR="00B1644A" w:rsidRPr="00C951F0" w:rsidRDefault="00B1644A" w:rsidP="0039543A">
            <w:pPr>
              <w:spacing w:line="240" w:lineRule="auto"/>
              <w:jc w:val="center"/>
              <w:rPr>
                <w:rFonts w:cs="Arial"/>
                <w:color w:val="000000" w:themeColor="text1"/>
                <w:sz w:val="20"/>
                <w:szCs w:val="20"/>
              </w:rPr>
            </w:pPr>
          </w:p>
        </w:tc>
        <w:tc>
          <w:tcPr>
            <w:tcW w:w="648" w:type="pct"/>
            <w:tcBorders>
              <w:left w:val="nil"/>
              <w:bottom w:val="nil"/>
              <w:right w:val="nil"/>
            </w:tcBorders>
          </w:tcPr>
          <w:p w14:paraId="298E7C8A" w14:textId="77777777" w:rsidR="00B1644A" w:rsidRPr="00C951F0" w:rsidRDefault="00B1644A" w:rsidP="0039543A">
            <w:pPr>
              <w:spacing w:line="240" w:lineRule="auto"/>
              <w:jc w:val="center"/>
              <w:rPr>
                <w:rFonts w:cs="Arial"/>
                <w:color w:val="000000" w:themeColor="text1"/>
                <w:sz w:val="20"/>
                <w:szCs w:val="20"/>
              </w:rPr>
            </w:pPr>
          </w:p>
        </w:tc>
        <w:tc>
          <w:tcPr>
            <w:tcW w:w="646" w:type="pct"/>
            <w:tcBorders>
              <w:left w:val="nil"/>
              <w:bottom w:val="nil"/>
              <w:right w:val="nil"/>
            </w:tcBorders>
          </w:tcPr>
          <w:p w14:paraId="5A4C7433" w14:textId="77777777" w:rsidR="00B1644A" w:rsidRPr="00C951F0" w:rsidRDefault="00B1644A" w:rsidP="0039543A">
            <w:pPr>
              <w:spacing w:line="240" w:lineRule="auto"/>
              <w:jc w:val="center"/>
              <w:rPr>
                <w:rFonts w:cs="Arial"/>
                <w:color w:val="000000" w:themeColor="text1"/>
                <w:sz w:val="20"/>
                <w:szCs w:val="20"/>
              </w:rPr>
            </w:pPr>
          </w:p>
        </w:tc>
      </w:tr>
      <w:tr w:rsidR="00A20FBC" w:rsidRPr="0037035E" w14:paraId="6F6BCBEF" w14:textId="77777777" w:rsidTr="00934A10">
        <w:tc>
          <w:tcPr>
            <w:tcW w:w="2390" w:type="pct"/>
            <w:tcBorders>
              <w:top w:val="nil"/>
              <w:left w:val="nil"/>
              <w:bottom w:val="nil"/>
              <w:right w:val="nil"/>
            </w:tcBorders>
          </w:tcPr>
          <w:p w14:paraId="645B2EBC" w14:textId="62228B07" w:rsidR="00A20FBC" w:rsidRPr="00C951F0" w:rsidRDefault="00A20FBC" w:rsidP="00A20FBC">
            <w:pPr>
              <w:spacing w:line="240" w:lineRule="auto"/>
              <w:ind w:left="306"/>
              <w:rPr>
                <w:rFonts w:cs="Arial"/>
                <w:color w:val="000000" w:themeColor="text1"/>
                <w:sz w:val="20"/>
                <w:szCs w:val="20"/>
              </w:rPr>
            </w:pPr>
            <w:r w:rsidRPr="00C951F0">
              <w:rPr>
                <w:rFonts w:cs="Arial"/>
                <w:color w:val="000000" w:themeColor="text1"/>
                <w:sz w:val="20"/>
                <w:szCs w:val="20"/>
              </w:rPr>
              <w:t>Physical functioning score</w:t>
            </w:r>
          </w:p>
        </w:tc>
        <w:tc>
          <w:tcPr>
            <w:tcW w:w="669" w:type="pct"/>
            <w:tcBorders>
              <w:top w:val="nil"/>
              <w:left w:val="nil"/>
              <w:bottom w:val="nil"/>
              <w:right w:val="nil"/>
            </w:tcBorders>
          </w:tcPr>
          <w:p w14:paraId="01C61261" w14:textId="58211CF1"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n=397</w:t>
            </w:r>
          </w:p>
          <w:p w14:paraId="191CD17E" w14:textId="668BB299"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lastRenderedPageBreak/>
              <w:t>49·2 ± 8·8</w:t>
            </w:r>
          </w:p>
        </w:tc>
        <w:tc>
          <w:tcPr>
            <w:tcW w:w="647" w:type="pct"/>
            <w:tcBorders>
              <w:top w:val="nil"/>
              <w:left w:val="nil"/>
              <w:bottom w:val="nil"/>
              <w:right w:val="nil"/>
            </w:tcBorders>
          </w:tcPr>
          <w:p w14:paraId="6BCF9C35" w14:textId="5318907F"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lastRenderedPageBreak/>
              <w:t>n=396</w:t>
            </w:r>
          </w:p>
          <w:p w14:paraId="019D9788" w14:textId="184F7492"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lastRenderedPageBreak/>
              <w:t>50·5 ± 7·7</w:t>
            </w:r>
          </w:p>
        </w:tc>
        <w:tc>
          <w:tcPr>
            <w:tcW w:w="648" w:type="pct"/>
            <w:tcBorders>
              <w:top w:val="nil"/>
              <w:left w:val="nil"/>
              <w:bottom w:val="nil"/>
              <w:right w:val="nil"/>
            </w:tcBorders>
          </w:tcPr>
          <w:p w14:paraId="01EE0CF0" w14:textId="095E80E2"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lastRenderedPageBreak/>
              <w:t>n=394</w:t>
            </w:r>
          </w:p>
          <w:p w14:paraId="15CAFE32" w14:textId="3B37C87A"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lastRenderedPageBreak/>
              <w:t>49·6 ± 8·3</w:t>
            </w:r>
          </w:p>
        </w:tc>
        <w:tc>
          <w:tcPr>
            <w:tcW w:w="646" w:type="pct"/>
            <w:tcBorders>
              <w:top w:val="nil"/>
              <w:left w:val="nil"/>
              <w:bottom w:val="nil"/>
              <w:right w:val="nil"/>
            </w:tcBorders>
          </w:tcPr>
          <w:p w14:paraId="41E5EF71" w14:textId="62B49228"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lastRenderedPageBreak/>
              <w:t>n=1187</w:t>
            </w:r>
          </w:p>
          <w:p w14:paraId="27868A13" w14:textId="76DFFB39"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lastRenderedPageBreak/>
              <w:t>49·7 ± 8·3</w:t>
            </w:r>
          </w:p>
        </w:tc>
      </w:tr>
      <w:tr w:rsidR="00A20FBC" w:rsidRPr="0037035E" w14:paraId="24D63FB5" w14:textId="77777777" w:rsidTr="00934A10">
        <w:tc>
          <w:tcPr>
            <w:tcW w:w="2390" w:type="pct"/>
            <w:tcBorders>
              <w:top w:val="nil"/>
              <w:left w:val="nil"/>
              <w:bottom w:val="nil"/>
              <w:right w:val="nil"/>
            </w:tcBorders>
          </w:tcPr>
          <w:p w14:paraId="157B8DE5" w14:textId="53A2F0F6" w:rsidR="00A20FBC" w:rsidRPr="00C951F0" w:rsidRDefault="00A20FBC" w:rsidP="00A20FBC">
            <w:pPr>
              <w:spacing w:line="240" w:lineRule="auto"/>
              <w:ind w:left="306"/>
              <w:rPr>
                <w:rFonts w:cs="Arial"/>
                <w:color w:val="000000" w:themeColor="text1"/>
                <w:sz w:val="20"/>
                <w:szCs w:val="20"/>
              </w:rPr>
            </w:pPr>
            <w:r w:rsidRPr="00C951F0">
              <w:rPr>
                <w:rFonts w:cs="Arial"/>
                <w:color w:val="000000" w:themeColor="text1"/>
                <w:sz w:val="20"/>
                <w:szCs w:val="20"/>
              </w:rPr>
              <w:lastRenderedPageBreak/>
              <w:t>Physical component summary score</w:t>
            </w:r>
          </w:p>
        </w:tc>
        <w:tc>
          <w:tcPr>
            <w:tcW w:w="669" w:type="pct"/>
            <w:tcBorders>
              <w:top w:val="nil"/>
              <w:left w:val="nil"/>
              <w:bottom w:val="nil"/>
              <w:right w:val="nil"/>
            </w:tcBorders>
          </w:tcPr>
          <w:p w14:paraId="52677E92" w14:textId="0D48233A"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n=397</w:t>
            </w:r>
          </w:p>
          <w:p w14:paraId="3FFF4203" w14:textId="09B5B15F"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49·8 ± 8·2</w:t>
            </w:r>
          </w:p>
        </w:tc>
        <w:tc>
          <w:tcPr>
            <w:tcW w:w="647" w:type="pct"/>
            <w:tcBorders>
              <w:top w:val="nil"/>
              <w:left w:val="nil"/>
              <w:bottom w:val="nil"/>
              <w:right w:val="nil"/>
            </w:tcBorders>
          </w:tcPr>
          <w:p w14:paraId="2519CE45" w14:textId="52759B41"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n=396</w:t>
            </w:r>
          </w:p>
          <w:p w14:paraId="3E94534B" w14:textId="1A624023"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50·7 ± 7·3</w:t>
            </w:r>
          </w:p>
        </w:tc>
        <w:tc>
          <w:tcPr>
            <w:tcW w:w="648" w:type="pct"/>
            <w:tcBorders>
              <w:top w:val="nil"/>
              <w:left w:val="nil"/>
              <w:bottom w:val="nil"/>
              <w:right w:val="nil"/>
            </w:tcBorders>
          </w:tcPr>
          <w:p w14:paraId="75EBA871" w14:textId="59F81EBB"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n=394</w:t>
            </w:r>
          </w:p>
          <w:p w14:paraId="5B4C34CB" w14:textId="46434226"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49·9 ± 8·0</w:t>
            </w:r>
          </w:p>
        </w:tc>
        <w:tc>
          <w:tcPr>
            <w:tcW w:w="646" w:type="pct"/>
            <w:tcBorders>
              <w:top w:val="nil"/>
              <w:left w:val="nil"/>
              <w:bottom w:val="nil"/>
              <w:right w:val="nil"/>
            </w:tcBorders>
          </w:tcPr>
          <w:p w14:paraId="5D8B9C80" w14:textId="1ACE6FA9"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n=1187</w:t>
            </w:r>
          </w:p>
          <w:p w14:paraId="159233B4" w14:textId="1D4D97EE"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50·1 ± 7·9</w:t>
            </w:r>
          </w:p>
        </w:tc>
      </w:tr>
      <w:tr w:rsidR="00A20FBC" w:rsidRPr="0037035E" w14:paraId="7C93E51C" w14:textId="77777777" w:rsidTr="00934A10">
        <w:tc>
          <w:tcPr>
            <w:tcW w:w="2390" w:type="pct"/>
            <w:tcBorders>
              <w:top w:val="nil"/>
              <w:left w:val="nil"/>
              <w:bottom w:val="single" w:sz="4" w:space="0" w:color="auto"/>
              <w:right w:val="nil"/>
            </w:tcBorders>
          </w:tcPr>
          <w:p w14:paraId="4A56C8E3" w14:textId="7753D47B" w:rsidR="00A20FBC" w:rsidRPr="00C951F0" w:rsidRDefault="00A20FBC" w:rsidP="00A20FBC">
            <w:pPr>
              <w:spacing w:line="240" w:lineRule="auto"/>
              <w:ind w:left="306"/>
              <w:rPr>
                <w:rFonts w:cs="Arial"/>
                <w:color w:val="000000" w:themeColor="text1"/>
                <w:sz w:val="20"/>
                <w:szCs w:val="20"/>
              </w:rPr>
            </w:pPr>
            <w:r w:rsidRPr="00C951F0">
              <w:rPr>
                <w:rFonts w:cs="Arial"/>
                <w:color w:val="000000" w:themeColor="text1"/>
                <w:sz w:val="20"/>
                <w:szCs w:val="20"/>
              </w:rPr>
              <w:t>Mental component summary score</w:t>
            </w:r>
          </w:p>
        </w:tc>
        <w:tc>
          <w:tcPr>
            <w:tcW w:w="669" w:type="pct"/>
            <w:tcBorders>
              <w:top w:val="nil"/>
              <w:left w:val="nil"/>
              <w:bottom w:val="single" w:sz="4" w:space="0" w:color="auto"/>
              <w:right w:val="nil"/>
            </w:tcBorders>
          </w:tcPr>
          <w:p w14:paraId="53914478" w14:textId="7A3EDF4F"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n=397</w:t>
            </w:r>
          </w:p>
          <w:p w14:paraId="7E6586E6" w14:textId="44CA3D0F"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55·6 ± 6·1</w:t>
            </w:r>
          </w:p>
        </w:tc>
        <w:tc>
          <w:tcPr>
            <w:tcW w:w="647" w:type="pct"/>
            <w:tcBorders>
              <w:top w:val="nil"/>
              <w:left w:val="nil"/>
              <w:bottom w:val="single" w:sz="4" w:space="0" w:color="auto"/>
              <w:right w:val="nil"/>
            </w:tcBorders>
          </w:tcPr>
          <w:p w14:paraId="0C4A06BD" w14:textId="06A22437"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n=396</w:t>
            </w:r>
          </w:p>
          <w:p w14:paraId="17F52EFA" w14:textId="1D9539C0"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55·9 ± 6·0</w:t>
            </w:r>
          </w:p>
        </w:tc>
        <w:tc>
          <w:tcPr>
            <w:tcW w:w="648" w:type="pct"/>
            <w:tcBorders>
              <w:top w:val="nil"/>
              <w:left w:val="nil"/>
              <w:bottom w:val="single" w:sz="4" w:space="0" w:color="auto"/>
              <w:right w:val="nil"/>
            </w:tcBorders>
          </w:tcPr>
          <w:p w14:paraId="3E5C9675" w14:textId="6869AB33"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n=394</w:t>
            </w:r>
          </w:p>
          <w:p w14:paraId="3417E564" w14:textId="00D5314D"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56·2 ± 5·5</w:t>
            </w:r>
          </w:p>
        </w:tc>
        <w:tc>
          <w:tcPr>
            <w:tcW w:w="646" w:type="pct"/>
            <w:tcBorders>
              <w:top w:val="nil"/>
              <w:left w:val="nil"/>
              <w:bottom w:val="single" w:sz="4" w:space="0" w:color="auto"/>
              <w:right w:val="nil"/>
            </w:tcBorders>
          </w:tcPr>
          <w:p w14:paraId="3AE397BD" w14:textId="34E9D00D"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n=1187</w:t>
            </w:r>
          </w:p>
          <w:p w14:paraId="13C80C7D" w14:textId="0DD11371"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55·9 ± 5·9</w:t>
            </w:r>
          </w:p>
        </w:tc>
      </w:tr>
      <w:tr w:rsidR="00A20FBC" w:rsidRPr="0037035E" w14:paraId="7D67FE78" w14:textId="77777777" w:rsidTr="00934A10">
        <w:tc>
          <w:tcPr>
            <w:tcW w:w="2390" w:type="pct"/>
            <w:tcBorders>
              <w:left w:val="nil"/>
              <w:bottom w:val="nil"/>
              <w:right w:val="nil"/>
            </w:tcBorders>
          </w:tcPr>
          <w:p w14:paraId="50C94ADF" w14:textId="77777777" w:rsidR="00A20FBC" w:rsidRPr="00C951F0" w:rsidRDefault="00A20FBC" w:rsidP="00A20FBC">
            <w:pPr>
              <w:spacing w:line="240" w:lineRule="auto"/>
              <w:rPr>
                <w:rFonts w:cs="Arial"/>
                <w:color w:val="000000" w:themeColor="text1"/>
                <w:sz w:val="20"/>
                <w:szCs w:val="20"/>
              </w:rPr>
            </w:pPr>
            <w:r w:rsidRPr="00C951F0">
              <w:rPr>
                <w:rFonts w:cs="Arial"/>
                <w:color w:val="000000" w:themeColor="text1"/>
                <w:sz w:val="20"/>
                <w:szCs w:val="20"/>
              </w:rPr>
              <w:t>IWQOL-Lite-CT</w:t>
            </w:r>
          </w:p>
        </w:tc>
        <w:tc>
          <w:tcPr>
            <w:tcW w:w="669" w:type="pct"/>
            <w:tcBorders>
              <w:left w:val="nil"/>
              <w:bottom w:val="nil"/>
              <w:right w:val="nil"/>
            </w:tcBorders>
          </w:tcPr>
          <w:p w14:paraId="554A35D6" w14:textId="77777777" w:rsidR="00A20FBC" w:rsidRPr="0037035E" w:rsidRDefault="00A20FBC" w:rsidP="00A20FBC">
            <w:pPr>
              <w:spacing w:line="240" w:lineRule="auto"/>
              <w:jc w:val="center"/>
              <w:rPr>
                <w:rFonts w:cs="Arial"/>
                <w:color w:val="000000" w:themeColor="text1"/>
                <w:sz w:val="20"/>
                <w:szCs w:val="20"/>
              </w:rPr>
            </w:pPr>
          </w:p>
        </w:tc>
        <w:tc>
          <w:tcPr>
            <w:tcW w:w="647" w:type="pct"/>
            <w:tcBorders>
              <w:left w:val="nil"/>
              <w:bottom w:val="nil"/>
              <w:right w:val="nil"/>
            </w:tcBorders>
          </w:tcPr>
          <w:p w14:paraId="1B003101" w14:textId="77777777" w:rsidR="00A20FBC" w:rsidRPr="0037035E" w:rsidRDefault="00A20FBC" w:rsidP="00A20FBC">
            <w:pPr>
              <w:spacing w:line="240" w:lineRule="auto"/>
              <w:jc w:val="center"/>
              <w:rPr>
                <w:rFonts w:cs="Arial"/>
                <w:color w:val="000000" w:themeColor="text1"/>
                <w:sz w:val="20"/>
                <w:szCs w:val="20"/>
              </w:rPr>
            </w:pPr>
          </w:p>
        </w:tc>
        <w:tc>
          <w:tcPr>
            <w:tcW w:w="648" w:type="pct"/>
            <w:tcBorders>
              <w:left w:val="nil"/>
              <w:bottom w:val="nil"/>
              <w:right w:val="nil"/>
            </w:tcBorders>
          </w:tcPr>
          <w:p w14:paraId="7164BA2B" w14:textId="77777777" w:rsidR="00A20FBC" w:rsidRPr="0037035E" w:rsidRDefault="00A20FBC" w:rsidP="00A20FBC">
            <w:pPr>
              <w:spacing w:line="240" w:lineRule="auto"/>
              <w:jc w:val="center"/>
              <w:rPr>
                <w:rFonts w:cs="Arial"/>
                <w:color w:val="000000" w:themeColor="text1"/>
                <w:sz w:val="20"/>
                <w:szCs w:val="20"/>
              </w:rPr>
            </w:pPr>
          </w:p>
        </w:tc>
        <w:tc>
          <w:tcPr>
            <w:tcW w:w="646" w:type="pct"/>
            <w:tcBorders>
              <w:left w:val="nil"/>
              <w:bottom w:val="nil"/>
              <w:right w:val="nil"/>
            </w:tcBorders>
          </w:tcPr>
          <w:p w14:paraId="4046F669" w14:textId="77777777" w:rsidR="00A20FBC" w:rsidRPr="0037035E" w:rsidRDefault="00A20FBC" w:rsidP="00A20FBC">
            <w:pPr>
              <w:spacing w:line="240" w:lineRule="auto"/>
              <w:jc w:val="center"/>
              <w:rPr>
                <w:rFonts w:cs="Arial"/>
                <w:color w:val="000000" w:themeColor="text1"/>
                <w:sz w:val="20"/>
                <w:szCs w:val="20"/>
              </w:rPr>
            </w:pPr>
          </w:p>
        </w:tc>
      </w:tr>
      <w:tr w:rsidR="00A20FBC" w:rsidRPr="0037035E" w14:paraId="4FBD6037" w14:textId="77777777" w:rsidTr="00934A10">
        <w:tc>
          <w:tcPr>
            <w:tcW w:w="2390" w:type="pct"/>
            <w:tcBorders>
              <w:top w:val="nil"/>
              <w:left w:val="nil"/>
              <w:bottom w:val="nil"/>
              <w:right w:val="nil"/>
            </w:tcBorders>
          </w:tcPr>
          <w:p w14:paraId="199A4A1E" w14:textId="634B1806" w:rsidR="00A20FBC" w:rsidRPr="00C951F0" w:rsidRDefault="00A20FBC" w:rsidP="00A20FBC">
            <w:pPr>
              <w:spacing w:line="240" w:lineRule="auto"/>
              <w:ind w:left="306"/>
              <w:rPr>
                <w:rFonts w:cs="Arial"/>
                <w:color w:val="000000" w:themeColor="text1"/>
                <w:sz w:val="20"/>
                <w:szCs w:val="20"/>
              </w:rPr>
            </w:pPr>
            <w:r w:rsidRPr="00C951F0">
              <w:rPr>
                <w:rFonts w:cs="Arial"/>
                <w:color w:val="000000" w:themeColor="text1"/>
                <w:sz w:val="20"/>
                <w:szCs w:val="20"/>
              </w:rPr>
              <w:t>Physical function score</w:t>
            </w:r>
          </w:p>
        </w:tc>
        <w:tc>
          <w:tcPr>
            <w:tcW w:w="669" w:type="pct"/>
            <w:tcBorders>
              <w:top w:val="nil"/>
              <w:left w:val="nil"/>
              <w:bottom w:val="nil"/>
              <w:right w:val="nil"/>
            </w:tcBorders>
          </w:tcPr>
          <w:p w14:paraId="5DD19C9D" w14:textId="0274C8C9"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n=397</w:t>
            </w:r>
          </w:p>
          <w:p w14:paraId="4F1A1293" w14:textId="28E39FEF"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67·1 ± 25·2</w:t>
            </w:r>
          </w:p>
        </w:tc>
        <w:tc>
          <w:tcPr>
            <w:tcW w:w="647" w:type="pct"/>
            <w:tcBorders>
              <w:top w:val="nil"/>
              <w:left w:val="nil"/>
              <w:bottom w:val="nil"/>
              <w:right w:val="nil"/>
            </w:tcBorders>
          </w:tcPr>
          <w:p w14:paraId="6F56C756" w14:textId="28C4F733"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n=395</w:t>
            </w:r>
          </w:p>
          <w:p w14:paraId="36477BA7" w14:textId="3F7B568C"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71·1 ± 22·5</w:t>
            </w:r>
          </w:p>
        </w:tc>
        <w:tc>
          <w:tcPr>
            <w:tcW w:w="648" w:type="pct"/>
            <w:tcBorders>
              <w:top w:val="nil"/>
              <w:left w:val="nil"/>
              <w:bottom w:val="nil"/>
              <w:right w:val="nil"/>
            </w:tcBorders>
          </w:tcPr>
          <w:p w14:paraId="2770D84B" w14:textId="4AA68C5F"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n=394</w:t>
            </w:r>
          </w:p>
          <w:p w14:paraId="6F5F7EDF" w14:textId="79B41C53"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69·2 ± 24·0</w:t>
            </w:r>
          </w:p>
        </w:tc>
        <w:tc>
          <w:tcPr>
            <w:tcW w:w="646" w:type="pct"/>
            <w:tcBorders>
              <w:top w:val="nil"/>
              <w:left w:val="nil"/>
              <w:bottom w:val="nil"/>
              <w:right w:val="nil"/>
            </w:tcBorders>
          </w:tcPr>
          <w:p w14:paraId="55C4FA51" w14:textId="1F2B3530"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n=1186</w:t>
            </w:r>
          </w:p>
          <w:p w14:paraId="3D931C9C" w14:textId="0DAF8E0C"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69·2 ± 24·0</w:t>
            </w:r>
          </w:p>
        </w:tc>
      </w:tr>
      <w:tr w:rsidR="00A20FBC" w:rsidRPr="0037035E" w14:paraId="1BDC6E11" w14:textId="77777777" w:rsidTr="00934A10">
        <w:tc>
          <w:tcPr>
            <w:tcW w:w="2390" w:type="pct"/>
            <w:tcBorders>
              <w:top w:val="nil"/>
              <w:left w:val="nil"/>
              <w:right w:val="nil"/>
            </w:tcBorders>
          </w:tcPr>
          <w:p w14:paraId="2F210C20" w14:textId="46E55E04" w:rsidR="00A20FBC" w:rsidRPr="00C951F0" w:rsidRDefault="00A20FBC" w:rsidP="00A20FBC">
            <w:pPr>
              <w:spacing w:line="240" w:lineRule="auto"/>
              <w:ind w:left="306"/>
              <w:rPr>
                <w:rFonts w:cs="Arial"/>
                <w:color w:val="000000" w:themeColor="text1"/>
                <w:sz w:val="20"/>
                <w:szCs w:val="20"/>
              </w:rPr>
            </w:pPr>
            <w:r w:rsidRPr="00C951F0">
              <w:rPr>
                <w:rFonts w:cs="Arial"/>
                <w:color w:val="000000" w:themeColor="text1"/>
                <w:sz w:val="20"/>
                <w:szCs w:val="20"/>
              </w:rPr>
              <w:t>Total score</w:t>
            </w:r>
          </w:p>
        </w:tc>
        <w:tc>
          <w:tcPr>
            <w:tcW w:w="669" w:type="pct"/>
            <w:tcBorders>
              <w:top w:val="nil"/>
              <w:left w:val="nil"/>
              <w:right w:val="nil"/>
            </w:tcBorders>
          </w:tcPr>
          <w:p w14:paraId="5C3C1414" w14:textId="64009A1B"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n=397</w:t>
            </w:r>
          </w:p>
          <w:p w14:paraId="21DB01EA" w14:textId="22E9196F"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71·9 ± 20·9</w:t>
            </w:r>
          </w:p>
        </w:tc>
        <w:tc>
          <w:tcPr>
            <w:tcW w:w="647" w:type="pct"/>
            <w:tcBorders>
              <w:top w:val="nil"/>
              <w:left w:val="nil"/>
              <w:right w:val="nil"/>
            </w:tcBorders>
          </w:tcPr>
          <w:p w14:paraId="1ED73842" w14:textId="2D8CC368"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n=395</w:t>
            </w:r>
          </w:p>
          <w:p w14:paraId="69E54320" w14:textId="63817E34"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74·5 ± 18·6</w:t>
            </w:r>
          </w:p>
        </w:tc>
        <w:tc>
          <w:tcPr>
            <w:tcW w:w="648" w:type="pct"/>
            <w:tcBorders>
              <w:top w:val="nil"/>
              <w:left w:val="nil"/>
              <w:right w:val="nil"/>
            </w:tcBorders>
          </w:tcPr>
          <w:p w14:paraId="4CCC0639" w14:textId="057C74A9"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n=394</w:t>
            </w:r>
          </w:p>
          <w:p w14:paraId="1B4D09A7" w14:textId="79D38AA5"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74·2 ± 19·2</w:t>
            </w:r>
          </w:p>
        </w:tc>
        <w:tc>
          <w:tcPr>
            <w:tcW w:w="646" w:type="pct"/>
            <w:tcBorders>
              <w:top w:val="nil"/>
              <w:left w:val="nil"/>
              <w:right w:val="nil"/>
            </w:tcBorders>
          </w:tcPr>
          <w:p w14:paraId="310E78BD" w14:textId="7825F5E9"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n=1186</w:t>
            </w:r>
          </w:p>
          <w:p w14:paraId="75781C23" w14:textId="437AE283" w:rsidR="00A20FBC" w:rsidRPr="0037035E" w:rsidRDefault="00A20FBC" w:rsidP="00A20FBC">
            <w:pPr>
              <w:spacing w:line="240" w:lineRule="auto"/>
              <w:jc w:val="center"/>
              <w:rPr>
                <w:rFonts w:cs="Arial"/>
                <w:color w:val="000000" w:themeColor="text1"/>
                <w:sz w:val="20"/>
                <w:szCs w:val="20"/>
              </w:rPr>
            </w:pPr>
            <w:r w:rsidRPr="0037035E">
              <w:rPr>
                <w:rFonts w:cs="Arial"/>
                <w:color w:val="000000" w:themeColor="text1"/>
                <w:sz w:val="20"/>
                <w:szCs w:val="20"/>
              </w:rPr>
              <w:t>73·5 ± 19·6</w:t>
            </w:r>
          </w:p>
        </w:tc>
      </w:tr>
    </w:tbl>
    <w:p w14:paraId="727745AF" w14:textId="0BF5B6E1" w:rsidR="00B1644A" w:rsidRPr="00C951F0" w:rsidRDefault="00A20FBC" w:rsidP="0039543A">
      <w:pPr>
        <w:rPr>
          <w:color w:val="000000" w:themeColor="text1"/>
        </w:rPr>
      </w:pPr>
      <w:r w:rsidRPr="0037035E">
        <w:rPr>
          <w:color w:val="000000" w:themeColor="text1"/>
        </w:rPr>
        <w:t>All patients in the FAS contribute to the statistics, unless indicated otherwise.</w:t>
      </w:r>
      <w:r w:rsidRPr="00A20FBC">
        <w:rPr>
          <w:color w:val="000000" w:themeColor="text1"/>
        </w:rPr>
        <w:t xml:space="preserve"> </w:t>
      </w:r>
      <w:r w:rsidR="00B1644A" w:rsidRPr="00C951F0">
        <w:rPr>
          <w:color w:val="000000" w:themeColor="text1"/>
        </w:rPr>
        <w:t xml:space="preserve">All data presented as means </w:t>
      </w:r>
      <w:r w:rsidR="00B1644A" w:rsidRPr="00C951F0">
        <w:rPr>
          <w:rFonts w:cs="Arial"/>
          <w:color w:val="000000" w:themeColor="text1"/>
        </w:rPr>
        <w:t>± standard deviation</w:t>
      </w:r>
      <w:r w:rsidR="00B1644A" w:rsidRPr="00C951F0">
        <w:rPr>
          <w:color w:val="000000" w:themeColor="text1"/>
        </w:rPr>
        <w:t>, unless indicated otherwise. There were no marked differences between treatment groups at baseline.</w:t>
      </w:r>
    </w:p>
    <w:p w14:paraId="64B93DAA" w14:textId="5C509E1F" w:rsidR="00B1644A" w:rsidRPr="00C951F0" w:rsidRDefault="00B1644A" w:rsidP="0039543A">
      <w:pPr>
        <w:rPr>
          <w:color w:val="000000" w:themeColor="text1"/>
        </w:rPr>
      </w:pPr>
      <w:r w:rsidRPr="00C951F0">
        <w:rPr>
          <w:color w:val="000000" w:themeColor="text1"/>
        </w:rPr>
        <w:t xml:space="preserve">*Other refers to American Indian or Alaska Native, Native Hawaiian, </w:t>
      </w:r>
      <w:proofErr w:type="gramStart"/>
      <w:r w:rsidRPr="00C951F0">
        <w:rPr>
          <w:color w:val="000000" w:themeColor="text1"/>
        </w:rPr>
        <w:t>other</w:t>
      </w:r>
      <w:proofErr w:type="gramEnd"/>
      <w:r w:rsidRPr="00C951F0">
        <w:rPr>
          <w:color w:val="000000" w:themeColor="text1"/>
        </w:rPr>
        <w:t xml:space="preserve"> Pacific Islander</w:t>
      </w:r>
      <w:r w:rsidR="00A20FBC">
        <w:rPr>
          <w:color w:val="000000" w:themeColor="text1"/>
        </w:rPr>
        <w:t>, or Other</w:t>
      </w:r>
      <w:r w:rsidRPr="00C951F0">
        <w:rPr>
          <w:color w:val="000000" w:themeColor="text1"/>
        </w:rPr>
        <w:t>.</w:t>
      </w:r>
    </w:p>
    <w:p w14:paraId="317F7C99" w14:textId="4A2A839E" w:rsidR="00B1644A" w:rsidRPr="00C951F0" w:rsidRDefault="00B1644A" w:rsidP="0039543A">
      <w:pPr>
        <w:rPr>
          <w:color w:val="000000" w:themeColor="text1"/>
        </w:rPr>
      </w:pPr>
      <w:r w:rsidRPr="00C951F0">
        <w:rPr>
          <w:color w:val="000000" w:themeColor="text1"/>
        </w:rPr>
        <w:t>†</w:t>
      </w:r>
      <w:r w:rsidR="003E73C6" w:rsidRPr="00C951F0">
        <w:rPr>
          <w:color w:val="000000" w:themeColor="text1"/>
        </w:rPr>
        <w:t>P</w:t>
      </w:r>
      <w:r w:rsidRPr="00C951F0">
        <w:rPr>
          <w:color w:val="000000" w:themeColor="text1"/>
        </w:rPr>
        <w:t xml:space="preserve">atients on DDP4 inhibitors or GLP-1 receptor agonists were </w:t>
      </w:r>
      <w:proofErr w:type="spellStart"/>
      <w:r w:rsidR="007B5725" w:rsidRPr="00C951F0">
        <w:rPr>
          <w:color w:val="000000" w:themeColor="text1"/>
        </w:rPr>
        <w:t>randomis</w:t>
      </w:r>
      <w:r w:rsidRPr="00C951F0">
        <w:rPr>
          <w:color w:val="000000" w:themeColor="text1"/>
        </w:rPr>
        <w:t>ed</w:t>
      </w:r>
      <w:proofErr w:type="spellEnd"/>
      <w:r w:rsidRPr="00C951F0">
        <w:rPr>
          <w:color w:val="000000" w:themeColor="text1"/>
        </w:rPr>
        <w:t xml:space="preserve"> in error; one </w:t>
      </w:r>
      <w:proofErr w:type="gramStart"/>
      <w:r w:rsidRPr="00C951F0">
        <w:rPr>
          <w:color w:val="000000" w:themeColor="text1"/>
        </w:rPr>
        <w:t>patient initiated</w:t>
      </w:r>
      <w:proofErr w:type="gramEnd"/>
      <w:r w:rsidRPr="00C951F0">
        <w:rPr>
          <w:color w:val="000000" w:themeColor="text1"/>
        </w:rPr>
        <w:t xml:space="preserve"> insulin on the day of </w:t>
      </w:r>
      <w:proofErr w:type="spellStart"/>
      <w:r w:rsidR="007B5725" w:rsidRPr="00C951F0">
        <w:rPr>
          <w:color w:val="000000" w:themeColor="text1"/>
        </w:rPr>
        <w:t>randomis</w:t>
      </w:r>
      <w:r w:rsidRPr="00C951F0">
        <w:rPr>
          <w:color w:val="000000" w:themeColor="text1"/>
        </w:rPr>
        <w:t>ation</w:t>
      </w:r>
      <w:proofErr w:type="spellEnd"/>
      <w:r w:rsidRPr="00C951F0">
        <w:rPr>
          <w:color w:val="000000" w:themeColor="text1"/>
        </w:rPr>
        <w:t xml:space="preserve"> but it was not known if this was initiated before or after the </w:t>
      </w:r>
      <w:proofErr w:type="spellStart"/>
      <w:r w:rsidR="007B5725" w:rsidRPr="00C951F0">
        <w:rPr>
          <w:color w:val="000000" w:themeColor="text1"/>
        </w:rPr>
        <w:t>randomis</w:t>
      </w:r>
      <w:r w:rsidRPr="00C951F0">
        <w:rPr>
          <w:color w:val="000000" w:themeColor="text1"/>
        </w:rPr>
        <w:t>ation</w:t>
      </w:r>
      <w:proofErr w:type="spellEnd"/>
      <w:r w:rsidRPr="00C951F0">
        <w:rPr>
          <w:color w:val="000000" w:themeColor="text1"/>
        </w:rPr>
        <w:t xml:space="preserve"> procedure.</w:t>
      </w:r>
    </w:p>
    <w:p w14:paraId="02DBCB42" w14:textId="77777777" w:rsidR="00B1644A" w:rsidRPr="00C951F0" w:rsidRDefault="00B1644A" w:rsidP="0039543A">
      <w:pPr>
        <w:rPr>
          <w:color w:val="000000" w:themeColor="text1"/>
        </w:rPr>
      </w:pPr>
      <w:r w:rsidRPr="00C951F0">
        <w:rPr>
          <w:rFonts w:cs="Arial"/>
          <w:color w:val="000000" w:themeColor="text1"/>
        </w:rPr>
        <w:t>‡Information on comorbidities was collected at screening</w:t>
      </w:r>
      <w:r w:rsidRPr="00C951F0">
        <w:rPr>
          <w:color w:val="000000" w:themeColor="text1"/>
        </w:rPr>
        <w:t xml:space="preserve"> </w:t>
      </w:r>
      <w:r w:rsidRPr="00C951F0">
        <w:rPr>
          <w:rFonts w:cs="Arial"/>
          <w:color w:val="000000" w:themeColor="text1"/>
        </w:rPr>
        <w:t>based on medical history, and included: type 2 diabetes, dyslipidemia, hypertension, coronary artery disease, cerebrovascular disease, obstructive sleep apnea, reproductive system disorders, liver disease, kidney disease, osteoarthritis, gout, and asthma/chronic obstructive pulmonary disease.</w:t>
      </w:r>
    </w:p>
    <w:p w14:paraId="45115601" w14:textId="0A530345" w:rsidR="00B1644A" w:rsidRPr="00C951F0" w:rsidRDefault="00B1644A" w:rsidP="0039543A">
      <w:pPr>
        <w:rPr>
          <w:color w:val="000000" w:themeColor="text1"/>
        </w:rPr>
      </w:pPr>
      <w:r w:rsidRPr="00C951F0">
        <w:rPr>
          <w:color w:val="000000" w:themeColor="text1"/>
        </w:rPr>
        <w:lastRenderedPageBreak/>
        <w:t>BMI</w:t>
      </w:r>
      <w:r w:rsidR="00666130" w:rsidRPr="00C951F0">
        <w:rPr>
          <w:color w:val="000000" w:themeColor="text1"/>
        </w:rPr>
        <w:t>=</w:t>
      </w:r>
      <w:r w:rsidRPr="00C951F0">
        <w:rPr>
          <w:color w:val="000000" w:themeColor="text1"/>
        </w:rPr>
        <w:t>body</w:t>
      </w:r>
      <w:r w:rsidR="00352258" w:rsidRPr="00C951F0">
        <w:rPr>
          <w:color w:val="000000" w:themeColor="text1"/>
        </w:rPr>
        <w:t xml:space="preserve"> </w:t>
      </w:r>
      <w:r w:rsidRPr="00C951F0">
        <w:rPr>
          <w:color w:val="000000" w:themeColor="text1"/>
        </w:rPr>
        <w:t xml:space="preserve">mass index; </w:t>
      </w:r>
      <w:r w:rsidR="0017439D">
        <w:rPr>
          <w:color w:val="000000" w:themeColor="text1"/>
        </w:rPr>
        <w:t xml:space="preserve">CV=coefficient of variation (in percent); </w:t>
      </w:r>
      <w:r w:rsidRPr="00C951F0">
        <w:rPr>
          <w:color w:val="000000" w:themeColor="text1"/>
        </w:rPr>
        <w:t>DPP4</w:t>
      </w:r>
      <w:r w:rsidR="003063B5" w:rsidRPr="00C951F0">
        <w:rPr>
          <w:color w:val="000000" w:themeColor="text1"/>
        </w:rPr>
        <w:t>=</w:t>
      </w:r>
      <w:r w:rsidRPr="00C951F0">
        <w:rPr>
          <w:color w:val="000000" w:themeColor="text1"/>
        </w:rPr>
        <w:t>dipeptidyl peptidase-4</w:t>
      </w:r>
      <w:r w:rsidR="003063B5" w:rsidRPr="00C951F0">
        <w:rPr>
          <w:color w:val="000000" w:themeColor="text1"/>
        </w:rPr>
        <w:t xml:space="preserve">. </w:t>
      </w:r>
      <w:r w:rsidRPr="00C951F0">
        <w:rPr>
          <w:color w:val="000000" w:themeColor="text1"/>
        </w:rPr>
        <w:t>GLP-1</w:t>
      </w:r>
      <w:r w:rsidR="003063B5" w:rsidRPr="00C951F0">
        <w:rPr>
          <w:color w:val="000000" w:themeColor="text1"/>
        </w:rPr>
        <w:t>=</w:t>
      </w:r>
      <w:r w:rsidRPr="00C951F0">
        <w:rPr>
          <w:color w:val="000000" w:themeColor="text1"/>
        </w:rPr>
        <w:t>glucagon-like peptide-1</w:t>
      </w:r>
      <w:r w:rsidR="003063B5" w:rsidRPr="00C951F0">
        <w:rPr>
          <w:color w:val="000000" w:themeColor="text1"/>
        </w:rPr>
        <w:t xml:space="preserve">. </w:t>
      </w:r>
      <w:r w:rsidRPr="00C951F0">
        <w:rPr>
          <w:color w:val="000000" w:themeColor="text1"/>
        </w:rPr>
        <w:t>HbA</w:t>
      </w:r>
      <w:r w:rsidRPr="00C951F0">
        <w:rPr>
          <w:color w:val="000000" w:themeColor="text1"/>
          <w:vertAlign w:val="subscript"/>
        </w:rPr>
        <w:t>1c</w:t>
      </w:r>
      <w:r w:rsidR="003063B5" w:rsidRPr="00C951F0">
        <w:rPr>
          <w:color w:val="000000" w:themeColor="text1"/>
        </w:rPr>
        <w:t>=</w:t>
      </w:r>
      <w:r w:rsidRPr="00C951F0">
        <w:rPr>
          <w:color w:val="000000" w:themeColor="text1"/>
        </w:rPr>
        <w:t xml:space="preserve">glycated </w:t>
      </w:r>
      <w:proofErr w:type="spellStart"/>
      <w:r w:rsidR="007B5725" w:rsidRPr="00C951F0">
        <w:rPr>
          <w:color w:val="000000" w:themeColor="text1"/>
        </w:rPr>
        <w:t>haemo</w:t>
      </w:r>
      <w:r w:rsidRPr="00C951F0">
        <w:rPr>
          <w:color w:val="000000" w:themeColor="text1"/>
        </w:rPr>
        <w:t>globin</w:t>
      </w:r>
      <w:proofErr w:type="spellEnd"/>
      <w:r w:rsidR="003063B5" w:rsidRPr="00C951F0">
        <w:rPr>
          <w:color w:val="000000" w:themeColor="text1"/>
        </w:rPr>
        <w:t xml:space="preserve">. </w:t>
      </w:r>
      <w:r w:rsidRPr="00C951F0">
        <w:rPr>
          <w:color w:val="000000" w:themeColor="text1"/>
        </w:rPr>
        <w:t>HDL</w:t>
      </w:r>
      <w:r w:rsidR="003063B5" w:rsidRPr="00C951F0">
        <w:rPr>
          <w:color w:val="000000" w:themeColor="text1"/>
        </w:rPr>
        <w:t>=</w:t>
      </w:r>
      <w:r w:rsidRPr="00C951F0">
        <w:rPr>
          <w:color w:val="000000" w:themeColor="text1"/>
        </w:rPr>
        <w:t>high-density lipoprotein</w:t>
      </w:r>
      <w:r w:rsidR="003063B5" w:rsidRPr="00C951F0">
        <w:rPr>
          <w:color w:val="000000" w:themeColor="text1"/>
        </w:rPr>
        <w:t xml:space="preserve">. </w:t>
      </w:r>
      <w:r w:rsidRPr="00C951F0">
        <w:rPr>
          <w:color w:val="000000" w:themeColor="text1"/>
        </w:rPr>
        <w:t>IWQOL-Lite-CT</w:t>
      </w:r>
      <w:r w:rsidR="003063B5" w:rsidRPr="00C951F0">
        <w:rPr>
          <w:color w:val="000000" w:themeColor="text1"/>
        </w:rPr>
        <w:t>=</w:t>
      </w:r>
      <w:r w:rsidRPr="00C951F0">
        <w:rPr>
          <w:color w:val="000000" w:themeColor="text1"/>
        </w:rPr>
        <w:t>Impact of Weight on Quality of Life-Lite Clinical Trials Version</w:t>
      </w:r>
      <w:r w:rsidR="003063B5" w:rsidRPr="00C951F0">
        <w:rPr>
          <w:color w:val="000000" w:themeColor="text1"/>
        </w:rPr>
        <w:t xml:space="preserve">. </w:t>
      </w:r>
      <w:r w:rsidRPr="00C951F0">
        <w:rPr>
          <w:color w:val="000000" w:themeColor="text1"/>
        </w:rPr>
        <w:t>LDL</w:t>
      </w:r>
      <w:r w:rsidR="003063B5" w:rsidRPr="00C951F0">
        <w:rPr>
          <w:color w:val="000000" w:themeColor="text1"/>
        </w:rPr>
        <w:t>=</w:t>
      </w:r>
      <w:r w:rsidRPr="00C951F0">
        <w:rPr>
          <w:color w:val="000000" w:themeColor="text1"/>
        </w:rPr>
        <w:t>low-density lipoprotein</w:t>
      </w:r>
      <w:r w:rsidR="003063B5" w:rsidRPr="00C951F0">
        <w:rPr>
          <w:color w:val="000000" w:themeColor="text1"/>
        </w:rPr>
        <w:t xml:space="preserve">. </w:t>
      </w:r>
      <w:r w:rsidRPr="00C951F0">
        <w:rPr>
          <w:color w:val="000000" w:themeColor="text1"/>
        </w:rPr>
        <w:t>SF-36</w:t>
      </w:r>
      <w:r w:rsidR="003063B5" w:rsidRPr="00C951F0">
        <w:rPr>
          <w:color w:val="000000" w:themeColor="text1"/>
        </w:rPr>
        <w:t>=</w:t>
      </w:r>
      <w:r w:rsidRPr="00C951F0">
        <w:rPr>
          <w:color w:val="000000" w:themeColor="text1"/>
        </w:rPr>
        <w:t>Short Form36v2</w:t>
      </w:r>
      <w:r w:rsidRPr="00C951F0">
        <w:rPr>
          <w:color w:val="000000" w:themeColor="text1"/>
          <w:vertAlign w:val="superscript"/>
        </w:rPr>
        <w:t>®</w:t>
      </w:r>
      <w:r w:rsidRPr="00C951F0">
        <w:rPr>
          <w:color w:val="000000" w:themeColor="text1"/>
        </w:rPr>
        <w:t xml:space="preserve"> Health Survey, Acute Version</w:t>
      </w:r>
      <w:r w:rsidR="003063B5" w:rsidRPr="00C951F0">
        <w:rPr>
          <w:color w:val="000000" w:themeColor="text1"/>
        </w:rPr>
        <w:t xml:space="preserve">. </w:t>
      </w:r>
      <w:r w:rsidR="00B634B1" w:rsidRPr="00C951F0">
        <w:rPr>
          <w:color w:val="000000" w:themeColor="text1"/>
        </w:rPr>
        <w:t>SGLT2</w:t>
      </w:r>
      <w:r w:rsidR="003063B5" w:rsidRPr="00C951F0">
        <w:rPr>
          <w:color w:val="000000" w:themeColor="text1"/>
        </w:rPr>
        <w:t>=</w:t>
      </w:r>
      <w:r w:rsidR="00B634B1" w:rsidRPr="00C951F0">
        <w:rPr>
          <w:color w:val="000000" w:themeColor="text1"/>
        </w:rPr>
        <w:t>sodium–glucose co-transporter</w:t>
      </w:r>
      <w:r w:rsidR="009B7CB5" w:rsidRPr="00C951F0">
        <w:rPr>
          <w:color w:val="000000" w:themeColor="text1"/>
        </w:rPr>
        <w:t xml:space="preserve"> </w:t>
      </w:r>
      <w:r w:rsidR="00B634B1" w:rsidRPr="00C951F0">
        <w:rPr>
          <w:color w:val="000000" w:themeColor="text1"/>
        </w:rPr>
        <w:t>2</w:t>
      </w:r>
      <w:r w:rsidR="003063B5" w:rsidRPr="00C951F0">
        <w:rPr>
          <w:color w:val="000000" w:themeColor="text1"/>
        </w:rPr>
        <w:t xml:space="preserve">. </w:t>
      </w:r>
      <w:r w:rsidRPr="00C951F0">
        <w:rPr>
          <w:color w:val="000000" w:themeColor="text1"/>
        </w:rPr>
        <w:t>VLDL</w:t>
      </w:r>
      <w:r w:rsidR="003063B5" w:rsidRPr="00C951F0">
        <w:rPr>
          <w:color w:val="000000" w:themeColor="text1"/>
        </w:rPr>
        <w:t>=</w:t>
      </w:r>
      <w:r w:rsidRPr="00C951F0">
        <w:rPr>
          <w:color w:val="000000" w:themeColor="text1"/>
        </w:rPr>
        <w:t>very-low-density lipoprotein.</w:t>
      </w:r>
    </w:p>
    <w:p w14:paraId="451D3297" w14:textId="1BCEDFA2" w:rsidR="00B1644A" w:rsidRPr="00C951F0" w:rsidRDefault="00B1644A" w:rsidP="0039543A">
      <w:pPr>
        <w:pStyle w:val="Heading3"/>
        <w:rPr>
          <w:rFonts w:eastAsia="DengXian Light" w:cs="Times New Roman"/>
          <w:color w:val="000000" w:themeColor="text1"/>
        </w:rPr>
      </w:pPr>
      <w:r w:rsidRPr="00C951F0">
        <w:rPr>
          <w:b/>
          <w:bCs/>
          <w:color w:val="000000" w:themeColor="text1"/>
        </w:rPr>
        <w:br w:type="page"/>
      </w:r>
      <w:r w:rsidRPr="00C951F0">
        <w:rPr>
          <w:rFonts w:eastAsia="DengXian Light" w:cs="Times New Roman"/>
          <w:b/>
          <w:bCs/>
          <w:i/>
          <w:iCs/>
          <w:color w:val="000000" w:themeColor="text1"/>
        </w:rPr>
        <w:lastRenderedPageBreak/>
        <w:t>Table 2</w:t>
      </w:r>
      <w:r w:rsidR="00D12997" w:rsidRPr="00C951F0">
        <w:rPr>
          <w:rFonts w:eastAsia="DengXian Light" w:cs="Times New Roman"/>
          <w:b/>
          <w:bCs/>
          <w:i/>
          <w:iCs/>
          <w:color w:val="000000" w:themeColor="text1"/>
        </w:rPr>
        <w:t>:</w:t>
      </w:r>
      <w:r w:rsidR="00D12997" w:rsidRPr="00C951F0">
        <w:rPr>
          <w:rFonts w:eastAsia="DengXian Light" w:cs="Times New Roman"/>
          <w:color w:val="000000" w:themeColor="text1"/>
        </w:rPr>
        <w:t xml:space="preserve"> </w:t>
      </w:r>
      <w:r w:rsidRPr="00C951F0">
        <w:rPr>
          <w:rFonts w:eastAsia="DengXian Light" w:cs="Times New Roman"/>
          <w:color w:val="000000" w:themeColor="text1"/>
        </w:rPr>
        <w:t>Co-primary, Confirmatory Secondary, and Selected Exploratory Trial Endpoints (Treatment Policy Estimand*)</w:t>
      </w:r>
    </w:p>
    <w:tbl>
      <w:tblPr>
        <w:tblStyle w:val="TableGrid"/>
        <w:tblW w:w="4887" w:type="pct"/>
        <w:tblInd w:w="-176" w:type="dxa"/>
        <w:tblBorders>
          <w:left w:val="none" w:sz="0" w:space="0" w:color="auto"/>
          <w:right w:val="none" w:sz="0" w:space="0" w:color="auto"/>
          <w:insideV w:val="none" w:sz="0" w:space="0" w:color="auto"/>
        </w:tblBorders>
        <w:tblLayout w:type="fixed"/>
        <w:tblCellMar>
          <w:top w:w="28" w:type="dxa"/>
          <w:bottom w:w="28" w:type="dxa"/>
        </w:tblCellMar>
        <w:tblLook w:val="04A0" w:firstRow="1" w:lastRow="0" w:firstColumn="1" w:lastColumn="0" w:noHBand="0" w:noVBand="1"/>
      </w:tblPr>
      <w:tblGrid>
        <w:gridCol w:w="4568"/>
        <w:gridCol w:w="1435"/>
        <w:gridCol w:w="1435"/>
        <w:gridCol w:w="1430"/>
        <w:gridCol w:w="4775"/>
      </w:tblGrid>
      <w:tr w:rsidR="00C951F0" w:rsidRPr="00C951F0" w14:paraId="17433D86" w14:textId="77777777" w:rsidTr="00934A10">
        <w:trPr>
          <w:tblHeader/>
        </w:trPr>
        <w:tc>
          <w:tcPr>
            <w:tcW w:w="1674" w:type="pct"/>
            <w:vAlign w:val="bottom"/>
          </w:tcPr>
          <w:p w14:paraId="0C2AAD9D" w14:textId="77777777" w:rsidR="00B1644A" w:rsidRPr="00C951F0" w:rsidRDefault="00B1644A" w:rsidP="0039543A">
            <w:pPr>
              <w:spacing w:line="240" w:lineRule="auto"/>
              <w:rPr>
                <w:b/>
                <w:bCs/>
                <w:color w:val="000000" w:themeColor="text1"/>
                <w:sz w:val="20"/>
                <w:szCs w:val="20"/>
              </w:rPr>
            </w:pPr>
            <w:r w:rsidRPr="00C951F0">
              <w:rPr>
                <w:b/>
                <w:bCs/>
                <w:color w:val="000000" w:themeColor="text1"/>
                <w:sz w:val="20"/>
                <w:szCs w:val="20"/>
              </w:rPr>
              <w:t>Endpoint</w:t>
            </w:r>
          </w:p>
        </w:tc>
        <w:tc>
          <w:tcPr>
            <w:tcW w:w="526" w:type="pct"/>
            <w:vAlign w:val="bottom"/>
          </w:tcPr>
          <w:p w14:paraId="7C707F9E" w14:textId="27A368AE" w:rsidR="00B1644A" w:rsidRPr="00C951F0" w:rsidRDefault="00B1644A">
            <w:pPr>
              <w:spacing w:line="240" w:lineRule="auto"/>
              <w:jc w:val="center"/>
              <w:rPr>
                <w:b/>
                <w:bCs/>
                <w:color w:val="000000" w:themeColor="text1"/>
                <w:sz w:val="20"/>
                <w:szCs w:val="20"/>
              </w:rPr>
            </w:pPr>
            <w:r w:rsidRPr="00C951F0">
              <w:rPr>
                <w:b/>
                <w:bCs/>
                <w:color w:val="000000" w:themeColor="text1"/>
                <w:sz w:val="20"/>
                <w:szCs w:val="20"/>
              </w:rPr>
              <w:t>Semaglutide 2</w:t>
            </w:r>
            <w:r w:rsidR="00C5236B" w:rsidRPr="00C951F0">
              <w:rPr>
                <w:b/>
                <w:bCs/>
                <w:color w:val="000000" w:themeColor="text1"/>
                <w:sz w:val="20"/>
                <w:szCs w:val="20"/>
              </w:rPr>
              <w:t>·</w:t>
            </w:r>
            <w:r w:rsidRPr="00C951F0">
              <w:rPr>
                <w:b/>
                <w:bCs/>
                <w:color w:val="000000" w:themeColor="text1"/>
                <w:sz w:val="20"/>
                <w:szCs w:val="20"/>
              </w:rPr>
              <w:t>4 mg</w:t>
            </w:r>
            <w:r w:rsidR="003063B5" w:rsidRPr="00C951F0">
              <w:rPr>
                <w:b/>
                <w:bCs/>
                <w:color w:val="000000" w:themeColor="text1"/>
                <w:sz w:val="20"/>
                <w:szCs w:val="20"/>
              </w:rPr>
              <w:t xml:space="preserve"> </w:t>
            </w:r>
            <w:r w:rsidRPr="00C951F0">
              <w:rPr>
                <w:b/>
                <w:bCs/>
                <w:color w:val="000000" w:themeColor="text1"/>
                <w:sz w:val="20"/>
                <w:szCs w:val="20"/>
              </w:rPr>
              <w:t>(N=404)</w:t>
            </w:r>
          </w:p>
        </w:tc>
        <w:tc>
          <w:tcPr>
            <w:tcW w:w="526" w:type="pct"/>
            <w:vAlign w:val="bottom"/>
          </w:tcPr>
          <w:p w14:paraId="6B6C7F00" w14:textId="6E8AC174" w:rsidR="00B1644A" w:rsidRPr="00C951F0" w:rsidRDefault="00B1644A">
            <w:pPr>
              <w:spacing w:line="240" w:lineRule="auto"/>
              <w:jc w:val="center"/>
              <w:rPr>
                <w:b/>
                <w:bCs/>
                <w:color w:val="000000" w:themeColor="text1"/>
                <w:sz w:val="20"/>
                <w:szCs w:val="20"/>
              </w:rPr>
            </w:pPr>
            <w:r w:rsidRPr="00C951F0">
              <w:rPr>
                <w:b/>
                <w:bCs/>
                <w:color w:val="000000" w:themeColor="text1"/>
                <w:sz w:val="20"/>
                <w:szCs w:val="20"/>
              </w:rPr>
              <w:t>Semaglutide 1</w:t>
            </w:r>
            <w:r w:rsidR="00C5236B" w:rsidRPr="00C951F0">
              <w:rPr>
                <w:b/>
                <w:bCs/>
                <w:color w:val="000000" w:themeColor="text1"/>
                <w:sz w:val="20"/>
                <w:szCs w:val="20"/>
              </w:rPr>
              <w:t>·</w:t>
            </w:r>
            <w:r w:rsidRPr="00C951F0">
              <w:rPr>
                <w:b/>
                <w:bCs/>
                <w:color w:val="000000" w:themeColor="text1"/>
                <w:sz w:val="20"/>
                <w:szCs w:val="20"/>
              </w:rPr>
              <w:t>0 mg</w:t>
            </w:r>
            <w:r w:rsidR="003063B5" w:rsidRPr="00C951F0">
              <w:rPr>
                <w:b/>
                <w:bCs/>
                <w:color w:val="000000" w:themeColor="text1"/>
                <w:sz w:val="20"/>
                <w:szCs w:val="20"/>
              </w:rPr>
              <w:t xml:space="preserve"> </w:t>
            </w:r>
            <w:r w:rsidRPr="00C951F0">
              <w:rPr>
                <w:b/>
                <w:bCs/>
                <w:color w:val="000000" w:themeColor="text1"/>
                <w:sz w:val="20"/>
                <w:szCs w:val="20"/>
              </w:rPr>
              <w:t>(N=403)</w:t>
            </w:r>
          </w:p>
        </w:tc>
        <w:tc>
          <w:tcPr>
            <w:tcW w:w="524" w:type="pct"/>
            <w:vAlign w:val="bottom"/>
          </w:tcPr>
          <w:p w14:paraId="0F3390FB" w14:textId="5C2C64BE" w:rsidR="00B1644A" w:rsidRPr="00C951F0" w:rsidRDefault="00B1644A">
            <w:pPr>
              <w:spacing w:line="240" w:lineRule="auto"/>
              <w:jc w:val="center"/>
              <w:rPr>
                <w:b/>
                <w:bCs/>
                <w:color w:val="000000" w:themeColor="text1"/>
                <w:sz w:val="20"/>
                <w:szCs w:val="20"/>
              </w:rPr>
            </w:pPr>
            <w:r w:rsidRPr="00C951F0">
              <w:rPr>
                <w:b/>
                <w:bCs/>
                <w:color w:val="000000" w:themeColor="text1"/>
                <w:sz w:val="20"/>
                <w:szCs w:val="20"/>
              </w:rPr>
              <w:t>Placebo</w:t>
            </w:r>
            <w:r w:rsidR="003063B5" w:rsidRPr="00C951F0">
              <w:rPr>
                <w:b/>
                <w:bCs/>
                <w:color w:val="000000" w:themeColor="text1"/>
                <w:sz w:val="20"/>
                <w:szCs w:val="20"/>
              </w:rPr>
              <w:t xml:space="preserve"> </w:t>
            </w:r>
            <w:r w:rsidRPr="00C951F0">
              <w:rPr>
                <w:b/>
                <w:bCs/>
                <w:color w:val="000000" w:themeColor="text1"/>
                <w:sz w:val="20"/>
                <w:szCs w:val="20"/>
              </w:rPr>
              <w:t>(N=403)</w:t>
            </w:r>
          </w:p>
        </w:tc>
        <w:tc>
          <w:tcPr>
            <w:tcW w:w="1750" w:type="pct"/>
            <w:vAlign w:val="bottom"/>
          </w:tcPr>
          <w:p w14:paraId="663B9801" w14:textId="693D4056" w:rsidR="00B1644A" w:rsidRPr="00C951F0" w:rsidRDefault="00B1644A" w:rsidP="00236FEA">
            <w:pPr>
              <w:spacing w:line="240" w:lineRule="auto"/>
              <w:jc w:val="center"/>
              <w:rPr>
                <w:b/>
                <w:bCs/>
                <w:color w:val="000000" w:themeColor="text1"/>
                <w:sz w:val="20"/>
                <w:szCs w:val="20"/>
              </w:rPr>
            </w:pPr>
            <w:r w:rsidRPr="00C951F0">
              <w:rPr>
                <w:b/>
                <w:bCs/>
                <w:color w:val="000000" w:themeColor="text1"/>
                <w:sz w:val="20"/>
                <w:szCs w:val="20"/>
              </w:rPr>
              <w:t xml:space="preserve">Treatment comparison </w:t>
            </w:r>
            <w:r w:rsidR="00433982" w:rsidRPr="00C951F0">
              <w:rPr>
                <w:b/>
                <w:bCs/>
                <w:color w:val="000000" w:themeColor="text1"/>
                <w:sz w:val="20"/>
                <w:szCs w:val="20"/>
              </w:rPr>
              <w:t>(</w:t>
            </w:r>
            <w:r w:rsidRPr="00C951F0">
              <w:rPr>
                <w:b/>
                <w:bCs/>
                <w:color w:val="000000" w:themeColor="text1"/>
                <w:sz w:val="20"/>
                <w:szCs w:val="20"/>
              </w:rPr>
              <w:t>95% CI</w:t>
            </w:r>
            <w:r w:rsidR="00433982" w:rsidRPr="00C951F0">
              <w:rPr>
                <w:b/>
                <w:bCs/>
                <w:color w:val="000000" w:themeColor="text1"/>
                <w:sz w:val="20"/>
                <w:szCs w:val="20"/>
              </w:rPr>
              <w:t>)</w:t>
            </w:r>
            <w:r w:rsidRPr="00C951F0">
              <w:rPr>
                <w:b/>
                <w:bCs/>
                <w:color w:val="000000" w:themeColor="text1"/>
                <w:sz w:val="20"/>
                <w:szCs w:val="20"/>
              </w:rPr>
              <w:t xml:space="preserve">; </w:t>
            </w:r>
            <w:r w:rsidR="008F1F91" w:rsidRPr="00C951F0">
              <w:rPr>
                <w:b/>
                <w:bCs/>
                <w:color w:val="000000" w:themeColor="text1"/>
                <w:sz w:val="20"/>
                <w:szCs w:val="20"/>
              </w:rPr>
              <w:t xml:space="preserve">p </w:t>
            </w:r>
            <w:r w:rsidRPr="00C951F0">
              <w:rPr>
                <w:b/>
                <w:bCs/>
                <w:color w:val="000000" w:themeColor="text1"/>
                <w:sz w:val="20"/>
                <w:szCs w:val="20"/>
              </w:rPr>
              <w:t>value provided</w:t>
            </w:r>
            <w:r w:rsidR="00C5470D" w:rsidRPr="00C951F0">
              <w:rPr>
                <w:b/>
                <w:bCs/>
                <w:color w:val="000000" w:themeColor="text1"/>
                <w:sz w:val="20"/>
                <w:szCs w:val="20"/>
              </w:rPr>
              <w:t xml:space="preserve"> only</w:t>
            </w:r>
            <w:r w:rsidRPr="00C951F0">
              <w:rPr>
                <w:b/>
                <w:bCs/>
                <w:color w:val="000000" w:themeColor="text1"/>
                <w:sz w:val="20"/>
                <w:szCs w:val="20"/>
              </w:rPr>
              <w:t xml:space="preserve"> for confirmatory analyses</w:t>
            </w:r>
          </w:p>
        </w:tc>
      </w:tr>
      <w:tr w:rsidR="00C951F0" w:rsidRPr="00C951F0" w14:paraId="426D6FF0" w14:textId="77777777" w:rsidTr="00934A10">
        <w:tc>
          <w:tcPr>
            <w:tcW w:w="5000" w:type="pct"/>
            <w:gridSpan w:val="5"/>
            <w:tcBorders>
              <w:bottom w:val="single" w:sz="4" w:space="0" w:color="auto"/>
            </w:tcBorders>
            <w:vAlign w:val="bottom"/>
          </w:tcPr>
          <w:p w14:paraId="099C0B62" w14:textId="77777777" w:rsidR="00B1644A" w:rsidRPr="00C951F0" w:rsidRDefault="00B1644A" w:rsidP="0039543A">
            <w:pPr>
              <w:spacing w:line="240" w:lineRule="auto"/>
              <w:rPr>
                <w:b/>
                <w:bCs/>
                <w:color w:val="000000" w:themeColor="text1"/>
                <w:sz w:val="20"/>
                <w:szCs w:val="20"/>
              </w:rPr>
            </w:pPr>
            <w:r w:rsidRPr="00C951F0">
              <w:rPr>
                <w:b/>
                <w:bCs/>
                <w:color w:val="000000" w:themeColor="text1"/>
                <w:sz w:val="20"/>
                <w:szCs w:val="20"/>
              </w:rPr>
              <w:t>Primary endpoints</w:t>
            </w:r>
          </w:p>
        </w:tc>
      </w:tr>
      <w:tr w:rsidR="00C951F0" w:rsidRPr="00C951F0" w14:paraId="0B16BA38" w14:textId="77777777" w:rsidTr="00934A10">
        <w:tc>
          <w:tcPr>
            <w:tcW w:w="1674" w:type="pct"/>
            <w:tcBorders>
              <w:bottom w:val="nil"/>
            </w:tcBorders>
          </w:tcPr>
          <w:p w14:paraId="30F9037B" w14:textId="27FB228D" w:rsidR="00555C30" w:rsidRPr="00C951F0" w:rsidRDefault="00555C30" w:rsidP="0039543A">
            <w:pPr>
              <w:spacing w:line="240" w:lineRule="auto"/>
              <w:rPr>
                <w:rFonts w:cs="Arial"/>
                <w:color w:val="000000" w:themeColor="text1"/>
                <w:sz w:val="20"/>
                <w:szCs w:val="20"/>
                <w:vertAlign w:val="superscript"/>
              </w:rPr>
            </w:pPr>
            <w:r w:rsidRPr="00C951F0">
              <w:rPr>
                <w:color w:val="000000" w:themeColor="text1"/>
                <w:sz w:val="20"/>
                <w:szCs w:val="20"/>
              </w:rPr>
              <w:t xml:space="preserve">Body weight </w:t>
            </w:r>
            <w:r w:rsidRPr="00C951F0">
              <w:rPr>
                <w:rFonts w:cs="Arial"/>
                <w:color w:val="000000" w:themeColor="text1"/>
                <w:sz w:val="20"/>
                <w:szCs w:val="20"/>
              </w:rPr>
              <w:t>—</w:t>
            </w:r>
            <w:r w:rsidRPr="00C951F0">
              <w:rPr>
                <w:color w:val="000000" w:themeColor="text1"/>
                <w:sz w:val="20"/>
                <w:szCs w:val="20"/>
              </w:rPr>
              <w:t xml:space="preserve"> %</w:t>
            </w:r>
          </w:p>
        </w:tc>
        <w:tc>
          <w:tcPr>
            <w:tcW w:w="526" w:type="pct"/>
            <w:tcBorders>
              <w:bottom w:val="nil"/>
            </w:tcBorders>
          </w:tcPr>
          <w:p w14:paraId="5C074CDD" w14:textId="77777777" w:rsidR="00555C30" w:rsidRPr="00C951F0" w:rsidRDefault="00555C30" w:rsidP="0039543A">
            <w:pPr>
              <w:spacing w:line="240" w:lineRule="auto"/>
              <w:jc w:val="center"/>
              <w:rPr>
                <w:color w:val="000000" w:themeColor="text1"/>
                <w:sz w:val="20"/>
                <w:szCs w:val="20"/>
              </w:rPr>
            </w:pPr>
          </w:p>
        </w:tc>
        <w:tc>
          <w:tcPr>
            <w:tcW w:w="526" w:type="pct"/>
            <w:tcBorders>
              <w:bottom w:val="nil"/>
            </w:tcBorders>
          </w:tcPr>
          <w:p w14:paraId="1F1CA98E" w14:textId="77777777" w:rsidR="00555C30" w:rsidRPr="00C951F0" w:rsidRDefault="00555C30" w:rsidP="0039543A">
            <w:pPr>
              <w:spacing w:line="240" w:lineRule="auto"/>
              <w:jc w:val="center"/>
              <w:rPr>
                <w:color w:val="000000" w:themeColor="text1"/>
                <w:sz w:val="20"/>
                <w:szCs w:val="20"/>
              </w:rPr>
            </w:pPr>
          </w:p>
        </w:tc>
        <w:tc>
          <w:tcPr>
            <w:tcW w:w="524" w:type="pct"/>
            <w:tcBorders>
              <w:bottom w:val="nil"/>
            </w:tcBorders>
          </w:tcPr>
          <w:p w14:paraId="29A17C50" w14:textId="77777777" w:rsidR="00555C30" w:rsidRPr="00C951F0" w:rsidRDefault="00555C30" w:rsidP="0039543A">
            <w:pPr>
              <w:spacing w:line="240" w:lineRule="auto"/>
              <w:jc w:val="center"/>
              <w:rPr>
                <w:color w:val="000000" w:themeColor="text1"/>
                <w:sz w:val="20"/>
                <w:szCs w:val="20"/>
              </w:rPr>
            </w:pPr>
          </w:p>
        </w:tc>
        <w:tc>
          <w:tcPr>
            <w:tcW w:w="1750" w:type="pct"/>
            <w:tcBorders>
              <w:bottom w:val="nil"/>
            </w:tcBorders>
          </w:tcPr>
          <w:p w14:paraId="332AC6BB" w14:textId="77777777" w:rsidR="00555C30" w:rsidRPr="00C951F0" w:rsidRDefault="00555C30" w:rsidP="0039543A">
            <w:pPr>
              <w:spacing w:line="240" w:lineRule="auto"/>
              <w:rPr>
                <w:color w:val="000000" w:themeColor="text1"/>
                <w:sz w:val="20"/>
                <w:szCs w:val="20"/>
              </w:rPr>
            </w:pPr>
          </w:p>
        </w:tc>
      </w:tr>
      <w:tr w:rsidR="00C951F0" w:rsidRPr="00C951F0" w14:paraId="55DD4D0E" w14:textId="77777777" w:rsidTr="00934A10">
        <w:tc>
          <w:tcPr>
            <w:tcW w:w="1674" w:type="pct"/>
            <w:tcBorders>
              <w:top w:val="nil"/>
              <w:bottom w:val="nil"/>
            </w:tcBorders>
          </w:tcPr>
          <w:p w14:paraId="00EDD85B" w14:textId="6A66118E" w:rsidR="00B1644A" w:rsidRPr="00C951F0" w:rsidRDefault="00C25CC5" w:rsidP="00934A10">
            <w:pPr>
              <w:spacing w:line="240" w:lineRule="auto"/>
              <w:ind w:left="306"/>
              <w:rPr>
                <w:color w:val="000000" w:themeColor="text1"/>
                <w:sz w:val="20"/>
                <w:szCs w:val="20"/>
              </w:rPr>
            </w:pPr>
            <w:r>
              <w:rPr>
                <w:rFonts w:cs="Arial"/>
                <w:color w:val="000000" w:themeColor="text1"/>
                <w:sz w:val="20"/>
                <w:szCs w:val="20"/>
              </w:rPr>
              <w:t xml:space="preserve">Mean </w:t>
            </w:r>
            <w:r w:rsidR="00F43EB8">
              <w:rPr>
                <w:rFonts w:cs="Arial"/>
                <w:color w:val="000000" w:themeColor="text1"/>
                <w:sz w:val="20"/>
                <w:szCs w:val="20"/>
              </w:rPr>
              <w:t xml:space="preserve">(SE) </w:t>
            </w:r>
            <w:r>
              <w:rPr>
                <w:rFonts w:cs="Arial"/>
                <w:color w:val="000000" w:themeColor="text1"/>
                <w:sz w:val="20"/>
                <w:szCs w:val="20"/>
              </w:rPr>
              <w:t>c</w:t>
            </w:r>
            <w:r w:rsidR="00B1644A" w:rsidRPr="00C951F0">
              <w:rPr>
                <w:rFonts w:cs="Arial"/>
                <w:color w:val="000000" w:themeColor="text1"/>
                <w:sz w:val="20"/>
                <w:szCs w:val="20"/>
              </w:rPr>
              <w:t>hange from baseline to week 68</w:t>
            </w:r>
            <w:r w:rsidR="00D2651E" w:rsidRPr="00C951F0">
              <w:rPr>
                <w:rFonts w:cs="Arial"/>
                <w:color w:val="000000" w:themeColor="text1"/>
                <w:sz w:val="20"/>
                <w:szCs w:val="20"/>
              </w:rPr>
              <w:t xml:space="preserve"> — %</w:t>
            </w:r>
          </w:p>
        </w:tc>
        <w:tc>
          <w:tcPr>
            <w:tcW w:w="526" w:type="pct"/>
            <w:tcBorders>
              <w:top w:val="nil"/>
              <w:bottom w:val="nil"/>
            </w:tcBorders>
          </w:tcPr>
          <w:p w14:paraId="54D8D008" w14:textId="181CFD2F" w:rsidR="00B1644A" w:rsidRPr="00C951F0" w:rsidRDefault="00227D23"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9</w:t>
            </w:r>
            <w:r w:rsidR="00C5236B" w:rsidRPr="00C951F0">
              <w:rPr>
                <w:color w:val="000000" w:themeColor="text1"/>
                <w:sz w:val="20"/>
                <w:szCs w:val="20"/>
              </w:rPr>
              <w:t>·</w:t>
            </w:r>
            <w:r w:rsidR="00B1644A" w:rsidRPr="00C951F0">
              <w:rPr>
                <w:color w:val="000000" w:themeColor="text1"/>
                <w:sz w:val="20"/>
                <w:szCs w:val="20"/>
              </w:rPr>
              <w:t>64</w:t>
            </w:r>
            <w:r w:rsidR="00F43EB8">
              <w:rPr>
                <w:color w:val="000000" w:themeColor="text1"/>
                <w:sz w:val="20"/>
                <w:szCs w:val="20"/>
              </w:rPr>
              <w:t xml:space="preserve"> (0</w:t>
            </w:r>
            <w:r w:rsidR="00CE771D" w:rsidRPr="00C951F0">
              <w:rPr>
                <w:color w:val="000000" w:themeColor="text1"/>
                <w:sz w:val="20"/>
                <w:szCs w:val="20"/>
              </w:rPr>
              <w:t>·</w:t>
            </w:r>
            <w:r w:rsidR="00F43EB8">
              <w:rPr>
                <w:color w:val="000000" w:themeColor="text1"/>
                <w:sz w:val="20"/>
                <w:szCs w:val="20"/>
              </w:rPr>
              <w:t>4)</w:t>
            </w:r>
          </w:p>
        </w:tc>
        <w:tc>
          <w:tcPr>
            <w:tcW w:w="526" w:type="pct"/>
            <w:tcBorders>
              <w:top w:val="nil"/>
              <w:bottom w:val="nil"/>
            </w:tcBorders>
          </w:tcPr>
          <w:p w14:paraId="66E52564" w14:textId="7960CEA2" w:rsidR="00B1644A" w:rsidRPr="00C951F0" w:rsidRDefault="00B81AAF"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6</w:t>
            </w:r>
            <w:r w:rsidR="00C5236B" w:rsidRPr="00C951F0">
              <w:rPr>
                <w:color w:val="000000" w:themeColor="text1"/>
                <w:sz w:val="20"/>
                <w:szCs w:val="20"/>
              </w:rPr>
              <w:t>·</w:t>
            </w:r>
            <w:r w:rsidR="00B1644A" w:rsidRPr="00C951F0">
              <w:rPr>
                <w:color w:val="000000" w:themeColor="text1"/>
                <w:sz w:val="20"/>
                <w:szCs w:val="20"/>
              </w:rPr>
              <w:t>99</w:t>
            </w:r>
            <w:r w:rsidR="00F43EB8">
              <w:rPr>
                <w:color w:val="000000" w:themeColor="text1"/>
                <w:sz w:val="20"/>
                <w:szCs w:val="20"/>
              </w:rPr>
              <w:t xml:space="preserve"> (0</w:t>
            </w:r>
            <w:r w:rsidR="00CE771D" w:rsidRPr="00C951F0">
              <w:rPr>
                <w:color w:val="000000" w:themeColor="text1"/>
                <w:sz w:val="20"/>
                <w:szCs w:val="20"/>
              </w:rPr>
              <w:t>·</w:t>
            </w:r>
            <w:r w:rsidR="00F43EB8">
              <w:rPr>
                <w:color w:val="000000" w:themeColor="text1"/>
                <w:sz w:val="20"/>
                <w:szCs w:val="20"/>
              </w:rPr>
              <w:t>4)</w:t>
            </w:r>
          </w:p>
        </w:tc>
        <w:tc>
          <w:tcPr>
            <w:tcW w:w="524" w:type="pct"/>
            <w:tcBorders>
              <w:top w:val="nil"/>
              <w:bottom w:val="nil"/>
            </w:tcBorders>
          </w:tcPr>
          <w:p w14:paraId="2914D870" w14:textId="7347A15A" w:rsidR="00B1644A" w:rsidRPr="00C951F0" w:rsidRDefault="00B81AAF"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3</w:t>
            </w:r>
            <w:r w:rsidR="00C5236B" w:rsidRPr="00C951F0">
              <w:rPr>
                <w:color w:val="000000" w:themeColor="text1"/>
                <w:sz w:val="20"/>
                <w:szCs w:val="20"/>
              </w:rPr>
              <w:t>·</w:t>
            </w:r>
            <w:r w:rsidR="00B1644A" w:rsidRPr="00C951F0">
              <w:rPr>
                <w:color w:val="000000" w:themeColor="text1"/>
                <w:sz w:val="20"/>
                <w:szCs w:val="20"/>
              </w:rPr>
              <w:t>42</w:t>
            </w:r>
            <w:r w:rsidR="00F43EB8">
              <w:rPr>
                <w:color w:val="000000" w:themeColor="text1"/>
                <w:sz w:val="20"/>
                <w:szCs w:val="20"/>
              </w:rPr>
              <w:t xml:space="preserve"> (0</w:t>
            </w:r>
            <w:r w:rsidR="00CE771D" w:rsidRPr="00C951F0">
              <w:rPr>
                <w:color w:val="000000" w:themeColor="text1"/>
                <w:sz w:val="20"/>
                <w:szCs w:val="20"/>
              </w:rPr>
              <w:t>·</w:t>
            </w:r>
            <w:r w:rsidR="00F43EB8">
              <w:rPr>
                <w:color w:val="000000" w:themeColor="text1"/>
                <w:sz w:val="20"/>
                <w:szCs w:val="20"/>
              </w:rPr>
              <w:t>4)</w:t>
            </w:r>
          </w:p>
        </w:tc>
        <w:tc>
          <w:tcPr>
            <w:tcW w:w="1750" w:type="pct"/>
            <w:tcBorders>
              <w:top w:val="nil"/>
              <w:bottom w:val="nil"/>
            </w:tcBorders>
          </w:tcPr>
          <w:p w14:paraId="26D50994" w14:textId="68BC6E44" w:rsidR="00B1644A" w:rsidRPr="00C951F0" w:rsidRDefault="00B1644A" w:rsidP="00555C30">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placebo (percentage points)</w:t>
            </w:r>
            <w:r w:rsidR="00C921B3" w:rsidRPr="00C951F0">
              <w:rPr>
                <w:color w:val="000000" w:themeColor="text1"/>
                <w:sz w:val="20"/>
                <w:szCs w:val="20"/>
              </w:rPr>
              <w:t>;</w:t>
            </w:r>
            <w:r w:rsidRPr="00C951F0">
              <w:rPr>
                <w:color w:val="000000" w:themeColor="text1"/>
                <w:sz w:val="20"/>
                <w:szCs w:val="20"/>
              </w:rPr>
              <w:t xml:space="preserve"> ETD: </w:t>
            </w:r>
            <w:r w:rsidR="00227D23" w:rsidRPr="00C951F0">
              <w:rPr>
                <w:color w:val="000000" w:themeColor="text1"/>
                <w:sz w:val="20"/>
                <w:szCs w:val="20"/>
              </w:rPr>
              <w:t>−</w:t>
            </w:r>
            <w:r w:rsidRPr="00C951F0">
              <w:rPr>
                <w:color w:val="000000" w:themeColor="text1"/>
                <w:sz w:val="20"/>
                <w:szCs w:val="20"/>
              </w:rPr>
              <w:t>6</w:t>
            </w:r>
            <w:r w:rsidR="00C5236B" w:rsidRPr="00C951F0">
              <w:rPr>
                <w:color w:val="000000" w:themeColor="text1"/>
                <w:sz w:val="20"/>
                <w:szCs w:val="20"/>
              </w:rPr>
              <w:t>·</w:t>
            </w:r>
            <w:r w:rsidRPr="00C951F0">
              <w:rPr>
                <w:color w:val="000000" w:themeColor="text1"/>
                <w:sz w:val="20"/>
                <w:szCs w:val="20"/>
              </w:rPr>
              <w:t xml:space="preserve">21 </w:t>
            </w:r>
            <w:r w:rsidR="00433982" w:rsidRPr="00C951F0">
              <w:rPr>
                <w:color w:val="000000" w:themeColor="text1"/>
                <w:sz w:val="20"/>
                <w:szCs w:val="20"/>
              </w:rPr>
              <w:t>(</w:t>
            </w:r>
            <w:r w:rsidR="00227D23" w:rsidRPr="00C951F0">
              <w:rPr>
                <w:color w:val="000000" w:themeColor="text1"/>
                <w:sz w:val="20"/>
                <w:szCs w:val="20"/>
              </w:rPr>
              <w:t>−</w:t>
            </w:r>
            <w:r w:rsidRPr="00C951F0">
              <w:rPr>
                <w:color w:val="000000" w:themeColor="text1"/>
                <w:sz w:val="20"/>
                <w:szCs w:val="20"/>
              </w:rPr>
              <w:t>7</w:t>
            </w:r>
            <w:r w:rsidR="00C5236B" w:rsidRPr="00C951F0">
              <w:rPr>
                <w:color w:val="000000" w:themeColor="text1"/>
                <w:sz w:val="20"/>
                <w:szCs w:val="20"/>
              </w:rPr>
              <w:t>·</w:t>
            </w:r>
            <w:r w:rsidRPr="00C951F0">
              <w:rPr>
                <w:color w:val="000000" w:themeColor="text1"/>
                <w:sz w:val="20"/>
                <w:szCs w:val="20"/>
              </w:rPr>
              <w:t>28</w:t>
            </w:r>
            <w:r w:rsidR="00227D23" w:rsidRPr="00C951F0">
              <w:rPr>
                <w:color w:val="000000" w:themeColor="text1"/>
                <w:sz w:val="20"/>
                <w:szCs w:val="20"/>
              </w:rPr>
              <w:t xml:space="preserve"> to</w:t>
            </w:r>
            <w:r w:rsidRPr="00C951F0">
              <w:rPr>
                <w:color w:val="000000" w:themeColor="text1"/>
                <w:sz w:val="20"/>
                <w:szCs w:val="20"/>
              </w:rPr>
              <w:t xml:space="preserve"> </w:t>
            </w:r>
            <w:r w:rsidR="00227D23" w:rsidRPr="00C951F0">
              <w:rPr>
                <w:color w:val="000000" w:themeColor="text1"/>
                <w:sz w:val="20"/>
                <w:szCs w:val="20"/>
              </w:rPr>
              <w:t>−</w:t>
            </w:r>
            <w:r w:rsidRPr="00C951F0">
              <w:rPr>
                <w:color w:val="000000" w:themeColor="text1"/>
                <w:sz w:val="20"/>
                <w:szCs w:val="20"/>
              </w:rPr>
              <w:t>5</w:t>
            </w:r>
            <w:r w:rsidR="00C5236B" w:rsidRPr="00C951F0">
              <w:rPr>
                <w:color w:val="000000" w:themeColor="text1"/>
                <w:sz w:val="20"/>
                <w:szCs w:val="20"/>
              </w:rPr>
              <w:t>·</w:t>
            </w:r>
            <w:r w:rsidRPr="00C951F0">
              <w:rPr>
                <w:color w:val="000000" w:themeColor="text1"/>
                <w:sz w:val="20"/>
                <w:szCs w:val="20"/>
              </w:rPr>
              <w:t>15</w:t>
            </w:r>
            <w:r w:rsidR="00433982" w:rsidRPr="00C951F0">
              <w:rPr>
                <w:color w:val="000000" w:themeColor="text1"/>
                <w:sz w:val="20"/>
                <w:szCs w:val="20"/>
              </w:rPr>
              <w:t>)</w:t>
            </w:r>
            <w:r w:rsidRPr="00C951F0">
              <w:rPr>
                <w:color w:val="000000" w:themeColor="text1"/>
                <w:sz w:val="20"/>
                <w:szCs w:val="20"/>
              </w:rPr>
              <w:t xml:space="preserve">; </w:t>
            </w:r>
            <w:r w:rsidR="008F1F91" w:rsidRPr="00C951F0">
              <w:rPr>
                <w:color w:val="000000" w:themeColor="text1"/>
                <w:sz w:val="20"/>
                <w:szCs w:val="20"/>
              </w:rPr>
              <w:t>p</w:t>
            </w:r>
            <w:r w:rsidRPr="00C951F0">
              <w:rPr>
                <w:color w:val="000000" w:themeColor="text1"/>
                <w:sz w:val="20"/>
                <w:szCs w:val="20"/>
              </w:rPr>
              <w:t>&lt;0</w:t>
            </w:r>
            <w:r w:rsidR="00C5236B" w:rsidRPr="00C951F0">
              <w:rPr>
                <w:color w:val="000000" w:themeColor="text1"/>
                <w:sz w:val="20"/>
                <w:szCs w:val="20"/>
              </w:rPr>
              <w:t>·</w:t>
            </w:r>
            <w:r w:rsidRPr="00C951F0">
              <w:rPr>
                <w:color w:val="000000" w:themeColor="text1"/>
                <w:sz w:val="20"/>
                <w:szCs w:val="20"/>
              </w:rPr>
              <w:t>001</w:t>
            </w:r>
            <w:r w:rsidR="00555C30" w:rsidRPr="00C951F0">
              <w:rPr>
                <w:color w:val="000000" w:themeColor="text1"/>
                <w:sz w:val="20"/>
                <w:szCs w:val="20"/>
              </w:rPr>
              <w:t xml:space="preserve"> </w:t>
            </w:r>
          </w:p>
        </w:tc>
      </w:tr>
      <w:tr w:rsidR="00C951F0" w:rsidRPr="00C951F0" w14:paraId="26F4E064" w14:textId="77777777" w:rsidTr="00934A10">
        <w:tc>
          <w:tcPr>
            <w:tcW w:w="1674" w:type="pct"/>
            <w:tcBorders>
              <w:top w:val="nil"/>
              <w:bottom w:val="single" w:sz="4" w:space="0" w:color="auto"/>
            </w:tcBorders>
          </w:tcPr>
          <w:p w14:paraId="5F359688" w14:textId="77777777" w:rsidR="00555C30" w:rsidRPr="00C951F0" w:rsidDel="00555C30" w:rsidRDefault="00555C30" w:rsidP="00555C30">
            <w:pPr>
              <w:spacing w:line="240" w:lineRule="auto"/>
              <w:ind w:left="306"/>
              <w:rPr>
                <w:rFonts w:cs="Arial"/>
                <w:color w:val="000000" w:themeColor="text1"/>
                <w:sz w:val="20"/>
                <w:szCs w:val="20"/>
              </w:rPr>
            </w:pPr>
          </w:p>
        </w:tc>
        <w:tc>
          <w:tcPr>
            <w:tcW w:w="526" w:type="pct"/>
            <w:tcBorders>
              <w:top w:val="nil"/>
              <w:bottom w:val="single" w:sz="4" w:space="0" w:color="auto"/>
            </w:tcBorders>
          </w:tcPr>
          <w:p w14:paraId="25DCBF64" w14:textId="77777777" w:rsidR="00555C30" w:rsidRPr="00C951F0" w:rsidDel="00555C30" w:rsidRDefault="00555C30" w:rsidP="0039543A">
            <w:pPr>
              <w:spacing w:line="240" w:lineRule="auto"/>
              <w:jc w:val="center"/>
              <w:rPr>
                <w:color w:val="000000" w:themeColor="text1"/>
                <w:sz w:val="20"/>
                <w:szCs w:val="20"/>
              </w:rPr>
            </w:pPr>
          </w:p>
        </w:tc>
        <w:tc>
          <w:tcPr>
            <w:tcW w:w="526" w:type="pct"/>
            <w:tcBorders>
              <w:top w:val="nil"/>
              <w:bottom w:val="single" w:sz="4" w:space="0" w:color="auto"/>
            </w:tcBorders>
          </w:tcPr>
          <w:p w14:paraId="20A72CF5" w14:textId="77777777" w:rsidR="00555C30" w:rsidRPr="00C951F0" w:rsidDel="00555C30" w:rsidRDefault="00555C30" w:rsidP="0039543A">
            <w:pPr>
              <w:spacing w:line="240" w:lineRule="auto"/>
              <w:jc w:val="center"/>
              <w:rPr>
                <w:color w:val="000000" w:themeColor="text1"/>
                <w:sz w:val="20"/>
                <w:szCs w:val="20"/>
              </w:rPr>
            </w:pPr>
          </w:p>
        </w:tc>
        <w:tc>
          <w:tcPr>
            <w:tcW w:w="524" w:type="pct"/>
            <w:tcBorders>
              <w:top w:val="nil"/>
              <w:bottom w:val="single" w:sz="4" w:space="0" w:color="auto"/>
            </w:tcBorders>
          </w:tcPr>
          <w:p w14:paraId="48746D5F" w14:textId="77777777" w:rsidR="00555C30" w:rsidRPr="00C951F0" w:rsidDel="00555C30" w:rsidRDefault="00555C30" w:rsidP="0039543A">
            <w:pPr>
              <w:spacing w:line="240" w:lineRule="auto"/>
              <w:jc w:val="center"/>
              <w:rPr>
                <w:color w:val="000000" w:themeColor="text1"/>
                <w:sz w:val="20"/>
                <w:szCs w:val="20"/>
              </w:rPr>
            </w:pPr>
          </w:p>
        </w:tc>
        <w:tc>
          <w:tcPr>
            <w:tcW w:w="1750" w:type="pct"/>
            <w:tcBorders>
              <w:top w:val="nil"/>
              <w:bottom w:val="single" w:sz="4" w:space="0" w:color="auto"/>
            </w:tcBorders>
          </w:tcPr>
          <w:p w14:paraId="3594C275" w14:textId="1FDF264F" w:rsidR="00555C30" w:rsidRPr="00C951F0" w:rsidRDefault="00555C30" w:rsidP="00555C30">
            <w:pPr>
              <w:spacing w:line="240" w:lineRule="auto"/>
              <w:rPr>
                <w:color w:val="000000" w:themeColor="text1"/>
                <w:sz w:val="20"/>
                <w:szCs w:val="20"/>
              </w:rPr>
            </w:pPr>
            <w:r w:rsidRPr="00C951F0">
              <w:rPr>
                <w:color w:val="000000" w:themeColor="text1"/>
                <w:sz w:val="20"/>
                <w:szCs w:val="20"/>
              </w:rPr>
              <w:t>Semaglutide 2·4 mg – semaglutide 1·0 mg (percentage points)</w:t>
            </w:r>
            <w:r w:rsidR="00C921B3" w:rsidRPr="00C951F0">
              <w:rPr>
                <w:color w:val="000000" w:themeColor="text1"/>
                <w:sz w:val="20"/>
                <w:szCs w:val="20"/>
              </w:rPr>
              <w:t>;</w:t>
            </w:r>
            <w:r w:rsidRPr="00C951F0">
              <w:rPr>
                <w:color w:val="000000" w:themeColor="text1"/>
                <w:sz w:val="20"/>
                <w:szCs w:val="20"/>
              </w:rPr>
              <w:t xml:space="preserve"> ETD: −2·65 </w:t>
            </w:r>
            <w:r w:rsidR="00433982" w:rsidRPr="00C951F0">
              <w:rPr>
                <w:color w:val="000000" w:themeColor="text1"/>
                <w:sz w:val="20"/>
                <w:szCs w:val="20"/>
              </w:rPr>
              <w:t>(</w:t>
            </w:r>
            <w:r w:rsidRPr="00C951F0">
              <w:rPr>
                <w:color w:val="000000" w:themeColor="text1"/>
                <w:sz w:val="20"/>
                <w:szCs w:val="20"/>
              </w:rPr>
              <w:t>−3·66 to −1·64</w:t>
            </w:r>
            <w:r w:rsidR="00433982" w:rsidRPr="00C951F0">
              <w:rPr>
                <w:color w:val="000000" w:themeColor="text1"/>
                <w:sz w:val="20"/>
                <w:szCs w:val="20"/>
              </w:rPr>
              <w:t>)</w:t>
            </w:r>
            <w:r w:rsidRPr="00C951F0">
              <w:rPr>
                <w:color w:val="000000" w:themeColor="text1"/>
                <w:sz w:val="20"/>
                <w:szCs w:val="20"/>
              </w:rPr>
              <w:t>; p&lt;0·001</w:t>
            </w:r>
          </w:p>
        </w:tc>
      </w:tr>
      <w:tr w:rsidR="00C951F0" w:rsidRPr="00C951F0" w14:paraId="717EF9FF" w14:textId="77777777" w:rsidTr="00934A10">
        <w:tc>
          <w:tcPr>
            <w:tcW w:w="1674" w:type="pct"/>
            <w:tcBorders>
              <w:bottom w:val="nil"/>
            </w:tcBorders>
          </w:tcPr>
          <w:p w14:paraId="15DCBE51" w14:textId="02B31287" w:rsidR="00555C30" w:rsidRPr="00C951F0" w:rsidDel="00555C30" w:rsidRDefault="00555C30" w:rsidP="00934A10">
            <w:pPr>
              <w:spacing w:line="240" w:lineRule="auto"/>
              <w:rPr>
                <w:color w:val="000000" w:themeColor="text1"/>
                <w:sz w:val="20"/>
                <w:szCs w:val="20"/>
              </w:rPr>
            </w:pPr>
            <w:r w:rsidRPr="00C951F0">
              <w:rPr>
                <w:color w:val="000000" w:themeColor="text1"/>
                <w:sz w:val="20"/>
                <w:szCs w:val="20"/>
              </w:rPr>
              <w:t>Body weight reduction ≥5%</w:t>
            </w:r>
          </w:p>
        </w:tc>
        <w:tc>
          <w:tcPr>
            <w:tcW w:w="526" w:type="pct"/>
            <w:tcBorders>
              <w:bottom w:val="nil"/>
            </w:tcBorders>
          </w:tcPr>
          <w:p w14:paraId="507DE07F" w14:textId="77777777" w:rsidR="00555C30" w:rsidRPr="00C951F0" w:rsidDel="00555C30" w:rsidRDefault="00555C30" w:rsidP="0039543A">
            <w:pPr>
              <w:spacing w:line="240" w:lineRule="auto"/>
              <w:jc w:val="center"/>
              <w:rPr>
                <w:color w:val="000000" w:themeColor="text1"/>
                <w:sz w:val="20"/>
                <w:szCs w:val="20"/>
              </w:rPr>
            </w:pPr>
          </w:p>
        </w:tc>
        <w:tc>
          <w:tcPr>
            <w:tcW w:w="526" w:type="pct"/>
            <w:tcBorders>
              <w:bottom w:val="nil"/>
            </w:tcBorders>
          </w:tcPr>
          <w:p w14:paraId="081A5563" w14:textId="77777777" w:rsidR="00555C30" w:rsidRPr="00C951F0" w:rsidDel="00555C30" w:rsidRDefault="00555C30" w:rsidP="0039543A">
            <w:pPr>
              <w:spacing w:line="240" w:lineRule="auto"/>
              <w:jc w:val="center"/>
              <w:rPr>
                <w:color w:val="000000" w:themeColor="text1"/>
                <w:sz w:val="20"/>
                <w:szCs w:val="20"/>
              </w:rPr>
            </w:pPr>
          </w:p>
        </w:tc>
        <w:tc>
          <w:tcPr>
            <w:tcW w:w="524" w:type="pct"/>
            <w:tcBorders>
              <w:bottom w:val="nil"/>
            </w:tcBorders>
          </w:tcPr>
          <w:p w14:paraId="754A63FE" w14:textId="77777777" w:rsidR="00555C30" w:rsidRPr="00C951F0" w:rsidDel="00555C30" w:rsidRDefault="00555C30" w:rsidP="0039543A">
            <w:pPr>
              <w:spacing w:line="240" w:lineRule="auto"/>
              <w:jc w:val="center"/>
              <w:rPr>
                <w:color w:val="000000" w:themeColor="text1"/>
                <w:sz w:val="20"/>
                <w:szCs w:val="20"/>
              </w:rPr>
            </w:pPr>
          </w:p>
        </w:tc>
        <w:tc>
          <w:tcPr>
            <w:tcW w:w="1750" w:type="pct"/>
            <w:tcBorders>
              <w:bottom w:val="nil"/>
            </w:tcBorders>
          </w:tcPr>
          <w:p w14:paraId="41EB0DD8" w14:textId="77777777" w:rsidR="00555C30" w:rsidRPr="00C951F0" w:rsidRDefault="00555C30" w:rsidP="00555C30">
            <w:pPr>
              <w:spacing w:line="240" w:lineRule="auto"/>
              <w:rPr>
                <w:color w:val="000000" w:themeColor="text1"/>
                <w:sz w:val="20"/>
                <w:szCs w:val="20"/>
              </w:rPr>
            </w:pPr>
          </w:p>
        </w:tc>
      </w:tr>
      <w:tr w:rsidR="00C25CC5" w:rsidRPr="00C951F0" w14:paraId="00E625E1" w14:textId="77777777" w:rsidTr="00934A10">
        <w:tc>
          <w:tcPr>
            <w:tcW w:w="1674" w:type="pct"/>
            <w:tcBorders>
              <w:top w:val="nil"/>
              <w:bottom w:val="nil"/>
            </w:tcBorders>
          </w:tcPr>
          <w:p w14:paraId="4FF71FE0" w14:textId="1847E283" w:rsidR="00C25CC5" w:rsidRPr="00C951F0" w:rsidRDefault="00C25CC5"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568EAAC5" w14:textId="1FB80DDC" w:rsidR="00C25CC5" w:rsidRPr="00C951F0" w:rsidRDefault="00C25CC5" w:rsidP="0039543A">
            <w:pPr>
              <w:spacing w:line="240" w:lineRule="auto"/>
              <w:jc w:val="center"/>
              <w:rPr>
                <w:color w:val="000000" w:themeColor="text1"/>
                <w:sz w:val="20"/>
                <w:szCs w:val="20"/>
              </w:rPr>
            </w:pPr>
            <w:r>
              <w:rPr>
                <w:color w:val="000000" w:themeColor="text1"/>
                <w:sz w:val="20"/>
                <w:szCs w:val="20"/>
              </w:rPr>
              <w:t>388</w:t>
            </w:r>
          </w:p>
        </w:tc>
        <w:tc>
          <w:tcPr>
            <w:tcW w:w="526" w:type="pct"/>
            <w:tcBorders>
              <w:top w:val="nil"/>
              <w:bottom w:val="nil"/>
            </w:tcBorders>
          </w:tcPr>
          <w:p w14:paraId="3A3A229B" w14:textId="0A09E225" w:rsidR="00C25CC5" w:rsidRPr="00C951F0" w:rsidRDefault="00C25CC5" w:rsidP="0039543A">
            <w:pPr>
              <w:spacing w:line="240" w:lineRule="auto"/>
              <w:jc w:val="center"/>
              <w:rPr>
                <w:color w:val="000000" w:themeColor="text1"/>
                <w:sz w:val="20"/>
                <w:szCs w:val="20"/>
              </w:rPr>
            </w:pPr>
            <w:r>
              <w:rPr>
                <w:color w:val="000000" w:themeColor="text1"/>
                <w:sz w:val="20"/>
                <w:szCs w:val="20"/>
              </w:rPr>
              <w:t>380</w:t>
            </w:r>
          </w:p>
        </w:tc>
        <w:tc>
          <w:tcPr>
            <w:tcW w:w="524" w:type="pct"/>
            <w:tcBorders>
              <w:top w:val="nil"/>
              <w:bottom w:val="nil"/>
            </w:tcBorders>
          </w:tcPr>
          <w:p w14:paraId="634E6262" w14:textId="506C89BF" w:rsidR="00C25CC5" w:rsidRPr="00C951F0" w:rsidRDefault="00C25CC5" w:rsidP="0039543A">
            <w:pPr>
              <w:spacing w:line="240" w:lineRule="auto"/>
              <w:jc w:val="center"/>
              <w:rPr>
                <w:color w:val="000000" w:themeColor="text1"/>
                <w:sz w:val="20"/>
                <w:szCs w:val="20"/>
              </w:rPr>
            </w:pPr>
            <w:r>
              <w:rPr>
                <w:color w:val="000000" w:themeColor="text1"/>
                <w:sz w:val="20"/>
                <w:szCs w:val="20"/>
              </w:rPr>
              <w:t>376</w:t>
            </w:r>
          </w:p>
        </w:tc>
        <w:tc>
          <w:tcPr>
            <w:tcW w:w="1750" w:type="pct"/>
            <w:tcBorders>
              <w:top w:val="nil"/>
              <w:bottom w:val="nil"/>
            </w:tcBorders>
          </w:tcPr>
          <w:p w14:paraId="51212DC8" w14:textId="77777777" w:rsidR="00C25CC5" w:rsidRPr="00C951F0" w:rsidRDefault="00C25CC5">
            <w:pPr>
              <w:spacing w:line="240" w:lineRule="auto"/>
              <w:rPr>
                <w:color w:val="000000" w:themeColor="text1"/>
                <w:sz w:val="20"/>
                <w:szCs w:val="20"/>
              </w:rPr>
            </w:pPr>
          </w:p>
        </w:tc>
      </w:tr>
      <w:tr w:rsidR="00C951F0" w:rsidRPr="00C951F0" w14:paraId="39F4F607" w14:textId="77777777" w:rsidTr="00934A10">
        <w:tc>
          <w:tcPr>
            <w:tcW w:w="1674" w:type="pct"/>
            <w:tcBorders>
              <w:top w:val="nil"/>
              <w:bottom w:val="nil"/>
            </w:tcBorders>
          </w:tcPr>
          <w:p w14:paraId="666F9CEA" w14:textId="72CBB323" w:rsidR="00B1644A" w:rsidRPr="00C951F0" w:rsidRDefault="00B1644A" w:rsidP="00934A10">
            <w:pPr>
              <w:spacing w:line="240" w:lineRule="auto"/>
              <w:ind w:left="306"/>
              <w:rPr>
                <w:color w:val="000000" w:themeColor="text1"/>
                <w:sz w:val="20"/>
                <w:szCs w:val="20"/>
              </w:rPr>
            </w:pPr>
            <w:r w:rsidRPr="00C951F0">
              <w:rPr>
                <w:rFonts w:cs="Arial"/>
                <w:color w:val="000000" w:themeColor="text1"/>
                <w:sz w:val="20"/>
                <w:szCs w:val="20"/>
              </w:rPr>
              <w:t>Proportion of patients at week 68</w:t>
            </w:r>
            <w:r w:rsidR="00D2651E" w:rsidRPr="00C951F0">
              <w:rPr>
                <w:rFonts w:cs="Arial"/>
                <w:color w:val="000000" w:themeColor="text1"/>
                <w:sz w:val="20"/>
                <w:szCs w:val="20"/>
              </w:rPr>
              <w:t xml:space="preserve"> — </w:t>
            </w:r>
            <w:r w:rsidR="00C25CC5">
              <w:rPr>
                <w:rFonts w:cs="Arial"/>
                <w:color w:val="000000" w:themeColor="text1"/>
                <w:sz w:val="20"/>
                <w:szCs w:val="20"/>
              </w:rPr>
              <w:t>n (</w:t>
            </w:r>
            <w:r w:rsidR="00D2651E" w:rsidRPr="00C951F0">
              <w:rPr>
                <w:rFonts w:cs="Arial"/>
                <w:color w:val="000000" w:themeColor="text1"/>
                <w:sz w:val="20"/>
                <w:szCs w:val="20"/>
              </w:rPr>
              <w:t>%</w:t>
            </w:r>
            <w:r w:rsidR="00C25CC5">
              <w:rPr>
                <w:rFonts w:cs="Arial"/>
                <w:color w:val="000000" w:themeColor="text1"/>
                <w:sz w:val="20"/>
                <w:szCs w:val="20"/>
              </w:rPr>
              <w:t>)</w:t>
            </w:r>
          </w:p>
        </w:tc>
        <w:tc>
          <w:tcPr>
            <w:tcW w:w="526" w:type="pct"/>
            <w:tcBorders>
              <w:top w:val="nil"/>
              <w:bottom w:val="nil"/>
            </w:tcBorders>
          </w:tcPr>
          <w:p w14:paraId="54774274" w14:textId="31B60A76" w:rsidR="00B1644A" w:rsidRPr="00C951F0" w:rsidRDefault="00C25CC5" w:rsidP="0039543A">
            <w:pPr>
              <w:spacing w:line="240" w:lineRule="auto"/>
              <w:jc w:val="center"/>
              <w:rPr>
                <w:color w:val="000000" w:themeColor="text1"/>
                <w:sz w:val="20"/>
                <w:szCs w:val="20"/>
              </w:rPr>
            </w:pPr>
            <w:r>
              <w:rPr>
                <w:color w:val="000000" w:themeColor="text1"/>
                <w:sz w:val="20"/>
                <w:szCs w:val="20"/>
              </w:rPr>
              <w:t>267 (</w:t>
            </w:r>
            <w:r w:rsidR="00B1644A" w:rsidRPr="00C951F0">
              <w:rPr>
                <w:color w:val="000000" w:themeColor="text1"/>
                <w:sz w:val="20"/>
                <w:szCs w:val="20"/>
              </w:rPr>
              <w:t>68</w:t>
            </w:r>
            <w:r w:rsidR="00C5236B" w:rsidRPr="00C951F0">
              <w:rPr>
                <w:color w:val="000000" w:themeColor="text1"/>
                <w:sz w:val="20"/>
                <w:szCs w:val="20"/>
              </w:rPr>
              <w:t>·</w:t>
            </w:r>
            <w:r w:rsidR="00B1644A" w:rsidRPr="00C951F0">
              <w:rPr>
                <w:color w:val="000000" w:themeColor="text1"/>
                <w:sz w:val="20"/>
                <w:szCs w:val="20"/>
              </w:rPr>
              <w:t>8</w:t>
            </w:r>
            <w:r>
              <w:rPr>
                <w:color w:val="000000" w:themeColor="text1"/>
                <w:sz w:val="20"/>
                <w:szCs w:val="20"/>
              </w:rPr>
              <w:t>)</w:t>
            </w:r>
          </w:p>
        </w:tc>
        <w:tc>
          <w:tcPr>
            <w:tcW w:w="526" w:type="pct"/>
            <w:tcBorders>
              <w:top w:val="nil"/>
              <w:bottom w:val="nil"/>
            </w:tcBorders>
          </w:tcPr>
          <w:p w14:paraId="0FB0F450" w14:textId="10094B03" w:rsidR="00B1644A" w:rsidRPr="00C951F0" w:rsidRDefault="00C25CC5" w:rsidP="0039543A">
            <w:pPr>
              <w:spacing w:line="240" w:lineRule="auto"/>
              <w:jc w:val="center"/>
              <w:rPr>
                <w:color w:val="000000" w:themeColor="text1"/>
                <w:sz w:val="20"/>
                <w:szCs w:val="20"/>
              </w:rPr>
            </w:pPr>
            <w:r>
              <w:rPr>
                <w:color w:val="000000" w:themeColor="text1"/>
                <w:sz w:val="20"/>
                <w:szCs w:val="20"/>
              </w:rPr>
              <w:t>217 (</w:t>
            </w:r>
            <w:r w:rsidR="00B1644A" w:rsidRPr="00C951F0">
              <w:rPr>
                <w:color w:val="000000" w:themeColor="text1"/>
                <w:sz w:val="20"/>
                <w:szCs w:val="20"/>
              </w:rPr>
              <w:t>57</w:t>
            </w:r>
            <w:r w:rsidR="00C5236B" w:rsidRPr="00C951F0">
              <w:rPr>
                <w:color w:val="000000" w:themeColor="text1"/>
                <w:sz w:val="20"/>
                <w:szCs w:val="20"/>
              </w:rPr>
              <w:t>·</w:t>
            </w:r>
            <w:r w:rsidR="00B1644A" w:rsidRPr="00C951F0">
              <w:rPr>
                <w:color w:val="000000" w:themeColor="text1"/>
                <w:sz w:val="20"/>
                <w:szCs w:val="20"/>
              </w:rPr>
              <w:t>1</w:t>
            </w:r>
            <w:r>
              <w:rPr>
                <w:color w:val="000000" w:themeColor="text1"/>
                <w:sz w:val="20"/>
                <w:szCs w:val="20"/>
              </w:rPr>
              <w:t>)</w:t>
            </w:r>
          </w:p>
        </w:tc>
        <w:tc>
          <w:tcPr>
            <w:tcW w:w="524" w:type="pct"/>
            <w:tcBorders>
              <w:top w:val="nil"/>
              <w:bottom w:val="nil"/>
            </w:tcBorders>
          </w:tcPr>
          <w:p w14:paraId="1FEDFC91" w14:textId="0F38752A" w:rsidR="00B1644A" w:rsidRPr="00C951F0" w:rsidRDefault="00C25CC5" w:rsidP="0039543A">
            <w:pPr>
              <w:spacing w:line="240" w:lineRule="auto"/>
              <w:jc w:val="center"/>
              <w:rPr>
                <w:color w:val="000000" w:themeColor="text1"/>
                <w:sz w:val="20"/>
                <w:szCs w:val="20"/>
              </w:rPr>
            </w:pPr>
            <w:r>
              <w:rPr>
                <w:color w:val="000000" w:themeColor="text1"/>
                <w:sz w:val="20"/>
                <w:szCs w:val="20"/>
              </w:rPr>
              <w:t>107 (</w:t>
            </w:r>
            <w:r w:rsidR="00B1644A" w:rsidRPr="00C951F0">
              <w:rPr>
                <w:color w:val="000000" w:themeColor="text1"/>
                <w:sz w:val="20"/>
                <w:szCs w:val="20"/>
              </w:rPr>
              <w:t>28</w:t>
            </w:r>
            <w:r w:rsidR="00C5236B" w:rsidRPr="00C951F0">
              <w:rPr>
                <w:color w:val="000000" w:themeColor="text1"/>
                <w:sz w:val="20"/>
                <w:szCs w:val="20"/>
              </w:rPr>
              <w:t>·</w:t>
            </w:r>
            <w:r w:rsidR="00B1644A" w:rsidRPr="00C951F0">
              <w:rPr>
                <w:color w:val="000000" w:themeColor="text1"/>
                <w:sz w:val="20"/>
                <w:szCs w:val="20"/>
              </w:rPr>
              <w:t>5</w:t>
            </w:r>
            <w:r>
              <w:rPr>
                <w:color w:val="000000" w:themeColor="text1"/>
                <w:sz w:val="20"/>
                <w:szCs w:val="20"/>
              </w:rPr>
              <w:t>)</w:t>
            </w:r>
          </w:p>
        </w:tc>
        <w:tc>
          <w:tcPr>
            <w:tcW w:w="1750" w:type="pct"/>
            <w:tcBorders>
              <w:top w:val="nil"/>
              <w:bottom w:val="nil"/>
            </w:tcBorders>
          </w:tcPr>
          <w:p w14:paraId="5BA73DA6" w14:textId="4ECD64FD" w:rsidR="00B1644A" w:rsidRPr="00C951F0" w:rsidRDefault="00B1644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placebo</w:t>
            </w:r>
            <w:r w:rsidR="00C921B3" w:rsidRPr="00C951F0">
              <w:rPr>
                <w:color w:val="000000" w:themeColor="text1"/>
                <w:sz w:val="20"/>
                <w:szCs w:val="20"/>
              </w:rPr>
              <w:t>;</w:t>
            </w:r>
            <w:r w:rsidR="00555C30" w:rsidRPr="00C951F0">
              <w:rPr>
                <w:color w:val="000000" w:themeColor="text1"/>
                <w:sz w:val="20"/>
                <w:szCs w:val="20"/>
              </w:rPr>
              <w:t xml:space="preserve"> </w:t>
            </w:r>
            <w:r w:rsidRPr="00C951F0">
              <w:rPr>
                <w:color w:val="000000" w:themeColor="text1"/>
                <w:sz w:val="20"/>
                <w:szCs w:val="20"/>
              </w:rPr>
              <w:t>OR: 4</w:t>
            </w:r>
            <w:r w:rsidR="00C5236B" w:rsidRPr="00C951F0">
              <w:rPr>
                <w:color w:val="000000" w:themeColor="text1"/>
                <w:sz w:val="20"/>
                <w:szCs w:val="20"/>
              </w:rPr>
              <w:t>·</w:t>
            </w:r>
            <w:r w:rsidRPr="00C951F0">
              <w:rPr>
                <w:color w:val="000000" w:themeColor="text1"/>
                <w:sz w:val="20"/>
                <w:szCs w:val="20"/>
              </w:rPr>
              <w:t xml:space="preserve">88 </w:t>
            </w:r>
            <w:r w:rsidR="00433982" w:rsidRPr="00C951F0">
              <w:rPr>
                <w:color w:val="000000" w:themeColor="text1"/>
                <w:sz w:val="20"/>
                <w:szCs w:val="20"/>
              </w:rPr>
              <w:t>(</w:t>
            </w:r>
            <w:r w:rsidRPr="00C951F0">
              <w:rPr>
                <w:color w:val="000000" w:themeColor="text1"/>
                <w:sz w:val="20"/>
                <w:szCs w:val="20"/>
              </w:rPr>
              <w:t>3</w:t>
            </w:r>
            <w:r w:rsidR="00C5236B" w:rsidRPr="00C951F0">
              <w:rPr>
                <w:color w:val="000000" w:themeColor="text1"/>
                <w:sz w:val="20"/>
                <w:szCs w:val="20"/>
              </w:rPr>
              <w:t>·</w:t>
            </w:r>
            <w:r w:rsidRPr="00C951F0">
              <w:rPr>
                <w:color w:val="000000" w:themeColor="text1"/>
                <w:sz w:val="20"/>
                <w:szCs w:val="20"/>
              </w:rPr>
              <w:t>58</w:t>
            </w:r>
            <w:r w:rsidR="00227D23" w:rsidRPr="00C951F0">
              <w:rPr>
                <w:color w:val="000000" w:themeColor="text1"/>
                <w:sz w:val="20"/>
                <w:szCs w:val="20"/>
              </w:rPr>
              <w:t xml:space="preserve"> to</w:t>
            </w:r>
            <w:r w:rsidRPr="00C951F0">
              <w:rPr>
                <w:color w:val="000000" w:themeColor="text1"/>
                <w:sz w:val="20"/>
                <w:szCs w:val="20"/>
              </w:rPr>
              <w:t xml:space="preserve"> 6</w:t>
            </w:r>
            <w:r w:rsidR="00C5236B" w:rsidRPr="00C951F0">
              <w:rPr>
                <w:color w:val="000000" w:themeColor="text1"/>
                <w:sz w:val="20"/>
                <w:szCs w:val="20"/>
              </w:rPr>
              <w:t>·</w:t>
            </w:r>
            <w:r w:rsidRPr="00C951F0">
              <w:rPr>
                <w:color w:val="000000" w:themeColor="text1"/>
                <w:sz w:val="20"/>
                <w:szCs w:val="20"/>
              </w:rPr>
              <w:t>64</w:t>
            </w:r>
            <w:r w:rsidR="00433982" w:rsidRPr="00C951F0">
              <w:rPr>
                <w:color w:val="000000" w:themeColor="text1"/>
                <w:sz w:val="20"/>
                <w:szCs w:val="20"/>
              </w:rPr>
              <w:t>)</w:t>
            </w:r>
            <w:r w:rsidRPr="00C951F0">
              <w:rPr>
                <w:color w:val="000000" w:themeColor="text1"/>
                <w:sz w:val="20"/>
                <w:szCs w:val="20"/>
              </w:rPr>
              <w:t xml:space="preserve">; </w:t>
            </w:r>
            <w:r w:rsidR="008F1F91" w:rsidRPr="00C951F0">
              <w:rPr>
                <w:color w:val="000000" w:themeColor="text1"/>
                <w:sz w:val="20"/>
                <w:szCs w:val="20"/>
              </w:rPr>
              <w:t>p</w:t>
            </w:r>
            <w:r w:rsidRPr="00C951F0">
              <w:rPr>
                <w:color w:val="000000" w:themeColor="text1"/>
                <w:sz w:val="20"/>
                <w:szCs w:val="20"/>
              </w:rPr>
              <w:t>&lt;0</w:t>
            </w:r>
            <w:r w:rsidR="00C5236B" w:rsidRPr="00C951F0">
              <w:rPr>
                <w:color w:val="000000" w:themeColor="text1"/>
                <w:sz w:val="20"/>
                <w:szCs w:val="20"/>
              </w:rPr>
              <w:t>·</w:t>
            </w:r>
            <w:r w:rsidRPr="00C951F0">
              <w:rPr>
                <w:color w:val="000000" w:themeColor="text1"/>
                <w:sz w:val="20"/>
                <w:szCs w:val="20"/>
              </w:rPr>
              <w:t>001</w:t>
            </w:r>
            <w:r w:rsidR="00555C30" w:rsidRPr="00C951F0">
              <w:rPr>
                <w:color w:val="000000" w:themeColor="text1"/>
                <w:sz w:val="20"/>
                <w:szCs w:val="20"/>
              </w:rPr>
              <w:t xml:space="preserve"> </w:t>
            </w:r>
          </w:p>
        </w:tc>
      </w:tr>
      <w:tr w:rsidR="00C951F0" w:rsidRPr="00C951F0" w14:paraId="43979FB9" w14:textId="77777777" w:rsidTr="00934A10">
        <w:tc>
          <w:tcPr>
            <w:tcW w:w="1674" w:type="pct"/>
            <w:tcBorders>
              <w:top w:val="nil"/>
            </w:tcBorders>
          </w:tcPr>
          <w:p w14:paraId="3B40BC94" w14:textId="77777777" w:rsidR="00555C30" w:rsidRPr="00C951F0" w:rsidDel="00555C30" w:rsidRDefault="00555C30" w:rsidP="00555C30">
            <w:pPr>
              <w:spacing w:line="240" w:lineRule="auto"/>
              <w:ind w:left="306"/>
              <w:rPr>
                <w:rFonts w:cs="Arial"/>
                <w:color w:val="000000" w:themeColor="text1"/>
                <w:sz w:val="20"/>
                <w:szCs w:val="20"/>
              </w:rPr>
            </w:pPr>
          </w:p>
        </w:tc>
        <w:tc>
          <w:tcPr>
            <w:tcW w:w="526" w:type="pct"/>
            <w:tcBorders>
              <w:top w:val="nil"/>
            </w:tcBorders>
          </w:tcPr>
          <w:p w14:paraId="3D8F4D9C" w14:textId="77777777" w:rsidR="00555C30" w:rsidRPr="00C951F0" w:rsidDel="00555C30" w:rsidRDefault="00555C30" w:rsidP="0039543A">
            <w:pPr>
              <w:spacing w:line="240" w:lineRule="auto"/>
              <w:jc w:val="center"/>
              <w:rPr>
                <w:color w:val="000000" w:themeColor="text1"/>
                <w:sz w:val="20"/>
                <w:szCs w:val="20"/>
              </w:rPr>
            </w:pPr>
          </w:p>
        </w:tc>
        <w:tc>
          <w:tcPr>
            <w:tcW w:w="526" w:type="pct"/>
            <w:tcBorders>
              <w:top w:val="nil"/>
            </w:tcBorders>
          </w:tcPr>
          <w:p w14:paraId="3DA13D54" w14:textId="77777777" w:rsidR="00555C30" w:rsidRPr="00C951F0" w:rsidDel="00555C30" w:rsidRDefault="00555C30" w:rsidP="0039543A">
            <w:pPr>
              <w:spacing w:line="240" w:lineRule="auto"/>
              <w:jc w:val="center"/>
              <w:rPr>
                <w:color w:val="000000" w:themeColor="text1"/>
                <w:sz w:val="20"/>
                <w:szCs w:val="20"/>
              </w:rPr>
            </w:pPr>
          </w:p>
        </w:tc>
        <w:tc>
          <w:tcPr>
            <w:tcW w:w="524" w:type="pct"/>
            <w:tcBorders>
              <w:top w:val="nil"/>
            </w:tcBorders>
          </w:tcPr>
          <w:p w14:paraId="6DBA8951" w14:textId="77777777" w:rsidR="00555C30" w:rsidRPr="00C951F0" w:rsidDel="00555C30" w:rsidRDefault="00555C30" w:rsidP="0039543A">
            <w:pPr>
              <w:spacing w:line="240" w:lineRule="auto"/>
              <w:jc w:val="center"/>
              <w:rPr>
                <w:color w:val="000000" w:themeColor="text1"/>
                <w:sz w:val="20"/>
                <w:szCs w:val="20"/>
              </w:rPr>
            </w:pPr>
          </w:p>
        </w:tc>
        <w:tc>
          <w:tcPr>
            <w:tcW w:w="1750" w:type="pct"/>
            <w:tcBorders>
              <w:top w:val="nil"/>
            </w:tcBorders>
          </w:tcPr>
          <w:p w14:paraId="2832E568" w14:textId="30C34329" w:rsidR="00555C30" w:rsidRPr="00C951F0" w:rsidRDefault="00555C30" w:rsidP="00555C30">
            <w:pPr>
              <w:spacing w:line="240" w:lineRule="auto"/>
              <w:rPr>
                <w:color w:val="000000" w:themeColor="text1"/>
                <w:sz w:val="20"/>
                <w:szCs w:val="20"/>
              </w:rPr>
            </w:pPr>
            <w:r w:rsidRPr="00C951F0">
              <w:rPr>
                <w:color w:val="000000" w:themeColor="text1"/>
                <w:sz w:val="20"/>
                <w:szCs w:val="20"/>
              </w:rPr>
              <w:t>Semaglutide 2·4 mg / semaglutide 1·0 mg</w:t>
            </w:r>
            <w:r w:rsidR="00C921B3" w:rsidRPr="00C951F0">
              <w:rPr>
                <w:color w:val="000000" w:themeColor="text1"/>
                <w:sz w:val="20"/>
                <w:szCs w:val="20"/>
              </w:rPr>
              <w:t>;</w:t>
            </w:r>
            <w:r w:rsidRPr="00C951F0">
              <w:rPr>
                <w:color w:val="000000" w:themeColor="text1"/>
                <w:sz w:val="20"/>
                <w:szCs w:val="20"/>
              </w:rPr>
              <w:t xml:space="preserve"> OR: 1·62 </w:t>
            </w:r>
            <w:r w:rsidR="00433982" w:rsidRPr="00C951F0">
              <w:rPr>
                <w:color w:val="000000" w:themeColor="text1"/>
                <w:sz w:val="20"/>
                <w:szCs w:val="20"/>
              </w:rPr>
              <w:t>(</w:t>
            </w:r>
            <w:r w:rsidRPr="00C951F0">
              <w:rPr>
                <w:color w:val="000000" w:themeColor="text1"/>
                <w:sz w:val="20"/>
                <w:szCs w:val="20"/>
              </w:rPr>
              <w:t>1·21 to 2·18</w:t>
            </w:r>
            <w:r w:rsidR="00433982" w:rsidRPr="00C951F0">
              <w:rPr>
                <w:color w:val="000000" w:themeColor="text1"/>
                <w:sz w:val="20"/>
                <w:szCs w:val="20"/>
              </w:rPr>
              <w:t>)</w:t>
            </w:r>
          </w:p>
        </w:tc>
      </w:tr>
      <w:tr w:rsidR="00C951F0" w:rsidRPr="00C951F0" w14:paraId="61B8725F" w14:textId="77777777" w:rsidTr="00934A10">
        <w:tc>
          <w:tcPr>
            <w:tcW w:w="5000" w:type="pct"/>
            <w:gridSpan w:val="5"/>
            <w:tcBorders>
              <w:bottom w:val="single" w:sz="4" w:space="0" w:color="auto"/>
            </w:tcBorders>
          </w:tcPr>
          <w:p w14:paraId="058F3387" w14:textId="77777777" w:rsidR="00B1644A" w:rsidRPr="00C951F0" w:rsidRDefault="00B1644A" w:rsidP="0039543A">
            <w:pPr>
              <w:spacing w:line="240" w:lineRule="auto"/>
              <w:rPr>
                <w:b/>
                <w:color w:val="000000" w:themeColor="text1"/>
                <w:sz w:val="20"/>
                <w:szCs w:val="20"/>
              </w:rPr>
            </w:pPr>
            <w:r w:rsidRPr="00C951F0">
              <w:rPr>
                <w:b/>
                <w:color w:val="000000" w:themeColor="text1"/>
                <w:sz w:val="20"/>
                <w:szCs w:val="20"/>
              </w:rPr>
              <w:t>Confirmatory secondary endpoints</w:t>
            </w:r>
          </w:p>
        </w:tc>
      </w:tr>
      <w:tr w:rsidR="00C951F0" w:rsidRPr="00C951F0" w14:paraId="19AC0C61" w14:textId="77777777" w:rsidTr="00934A10">
        <w:tc>
          <w:tcPr>
            <w:tcW w:w="1674" w:type="pct"/>
            <w:tcBorders>
              <w:bottom w:val="nil"/>
            </w:tcBorders>
          </w:tcPr>
          <w:p w14:paraId="19B74ACB" w14:textId="28FCCB77" w:rsidR="00555C30" w:rsidRPr="00C951F0" w:rsidRDefault="00555C30" w:rsidP="0039543A">
            <w:pPr>
              <w:spacing w:line="240" w:lineRule="auto"/>
              <w:rPr>
                <w:color w:val="000000" w:themeColor="text1"/>
                <w:sz w:val="20"/>
                <w:szCs w:val="20"/>
              </w:rPr>
            </w:pPr>
            <w:r w:rsidRPr="00C951F0">
              <w:rPr>
                <w:color w:val="000000" w:themeColor="text1"/>
                <w:sz w:val="20"/>
                <w:szCs w:val="20"/>
              </w:rPr>
              <w:t>Body weight reduction ≥10%</w:t>
            </w:r>
          </w:p>
        </w:tc>
        <w:tc>
          <w:tcPr>
            <w:tcW w:w="526" w:type="pct"/>
            <w:tcBorders>
              <w:bottom w:val="nil"/>
            </w:tcBorders>
          </w:tcPr>
          <w:p w14:paraId="27BCFF6D" w14:textId="77777777" w:rsidR="00555C30" w:rsidRPr="00C951F0" w:rsidRDefault="00555C30" w:rsidP="0039543A">
            <w:pPr>
              <w:spacing w:line="240" w:lineRule="auto"/>
              <w:jc w:val="center"/>
              <w:rPr>
                <w:color w:val="000000" w:themeColor="text1"/>
                <w:sz w:val="20"/>
                <w:szCs w:val="20"/>
              </w:rPr>
            </w:pPr>
          </w:p>
        </w:tc>
        <w:tc>
          <w:tcPr>
            <w:tcW w:w="526" w:type="pct"/>
            <w:tcBorders>
              <w:bottom w:val="nil"/>
            </w:tcBorders>
          </w:tcPr>
          <w:p w14:paraId="189FBC7C" w14:textId="77777777" w:rsidR="00555C30" w:rsidRPr="00C951F0" w:rsidRDefault="00555C30" w:rsidP="0039543A">
            <w:pPr>
              <w:spacing w:line="240" w:lineRule="auto"/>
              <w:jc w:val="center"/>
              <w:rPr>
                <w:color w:val="000000" w:themeColor="text1"/>
                <w:sz w:val="20"/>
                <w:szCs w:val="20"/>
              </w:rPr>
            </w:pPr>
          </w:p>
        </w:tc>
        <w:tc>
          <w:tcPr>
            <w:tcW w:w="524" w:type="pct"/>
            <w:tcBorders>
              <w:bottom w:val="nil"/>
            </w:tcBorders>
          </w:tcPr>
          <w:p w14:paraId="430EAA41" w14:textId="77777777" w:rsidR="00555C30" w:rsidRPr="00C951F0" w:rsidRDefault="00555C30" w:rsidP="0039543A">
            <w:pPr>
              <w:spacing w:line="240" w:lineRule="auto"/>
              <w:jc w:val="center"/>
              <w:rPr>
                <w:color w:val="000000" w:themeColor="text1"/>
                <w:sz w:val="20"/>
                <w:szCs w:val="20"/>
              </w:rPr>
            </w:pPr>
          </w:p>
        </w:tc>
        <w:tc>
          <w:tcPr>
            <w:tcW w:w="1750" w:type="pct"/>
            <w:tcBorders>
              <w:bottom w:val="nil"/>
            </w:tcBorders>
          </w:tcPr>
          <w:p w14:paraId="24A644D9" w14:textId="77777777" w:rsidR="00555C30" w:rsidRPr="00C951F0" w:rsidRDefault="00555C30" w:rsidP="0039543A">
            <w:pPr>
              <w:spacing w:line="240" w:lineRule="auto"/>
              <w:rPr>
                <w:color w:val="000000" w:themeColor="text1"/>
                <w:sz w:val="20"/>
                <w:szCs w:val="20"/>
              </w:rPr>
            </w:pPr>
          </w:p>
        </w:tc>
      </w:tr>
      <w:tr w:rsidR="00C25CC5" w:rsidRPr="00C951F0" w14:paraId="5FF70CE9" w14:textId="77777777" w:rsidTr="00934A10">
        <w:tc>
          <w:tcPr>
            <w:tcW w:w="1674" w:type="pct"/>
            <w:tcBorders>
              <w:top w:val="nil"/>
              <w:bottom w:val="nil"/>
            </w:tcBorders>
          </w:tcPr>
          <w:p w14:paraId="0CECD604" w14:textId="23B73A90" w:rsidR="00C25CC5" w:rsidRPr="00C951F0" w:rsidRDefault="00C25CC5"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74DAFFC3" w14:textId="6E4B2CD1" w:rsidR="00C25CC5" w:rsidRPr="00C951F0" w:rsidRDefault="00C25CC5" w:rsidP="0039543A">
            <w:pPr>
              <w:spacing w:line="240" w:lineRule="auto"/>
              <w:jc w:val="center"/>
              <w:rPr>
                <w:color w:val="000000" w:themeColor="text1"/>
                <w:sz w:val="20"/>
                <w:szCs w:val="20"/>
              </w:rPr>
            </w:pPr>
            <w:r>
              <w:rPr>
                <w:color w:val="000000" w:themeColor="text1"/>
                <w:sz w:val="20"/>
                <w:szCs w:val="20"/>
              </w:rPr>
              <w:t>388</w:t>
            </w:r>
          </w:p>
        </w:tc>
        <w:tc>
          <w:tcPr>
            <w:tcW w:w="526" w:type="pct"/>
            <w:tcBorders>
              <w:top w:val="nil"/>
              <w:bottom w:val="nil"/>
            </w:tcBorders>
          </w:tcPr>
          <w:p w14:paraId="1092D168" w14:textId="0E052FB5" w:rsidR="00C25CC5" w:rsidRPr="00C951F0" w:rsidRDefault="00C25CC5" w:rsidP="0039543A">
            <w:pPr>
              <w:spacing w:line="240" w:lineRule="auto"/>
              <w:jc w:val="center"/>
              <w:rPr>
                <w:color w:val="000000" w:themeColor="text1"/>
                <w:sz w:val="20"/>
                <w:szCs w:val="20"/>
              </w:rPr>
            </w:pPr>
            <w:r>
              <w:rPr>
                <w:color w:val="000000" w:themeColor="text1"/>
                <w:sz w:val="20"/>
                <w:szCs w:val="20"/>
              </w:rPr>
              <w:t>380</w:t>
            </w:r>
          </w:p>
        </w:tc>
        <w:tc>
          <w:tcPr>
            <w:tcW w:w="524" w:type="pct"/>
            <w:tcBorders>
              <w:top w:val="nil"/>
              <w:bottom w:val="nil"/>
            </w:tcBorders>
          </w:tcPr>
          <w:p w14:paraId="6B78361B" w14:textId="72643D69" w:rsidR="00C25CC5" w:rsidRPr="00C951F0" w:rsidRDefault="00C25CC5" w:rsidP="0039543A">
            <w:pPr>
              <w:spacing w:line="240" w:lineRule="auto"/>
              <w:jc w:val="center"/>
              <w:rPr>
                <w:color w:val="000000" w:themeColor="text1"/>
                <w:sz w:val="20"/>
                <w:szCs w:val="20"/>
              </w:rPr>
            </w:pPr>
            <w:r>
              <w:rPr>
                <w:color w:val="000000" w:themeColor="text1"/>
                <w:sz w:val="20"/>
                <w:szCs w:val="20"/>
              </w:rPr>
              <w:t>376</w:t>
            </w:r>
          </w:p>
        </w:tc>
        <w:tc>
          <w:tcPr>
            <w:tcW w:w="1750" w:type="pct"/>
            <w:tcBorders>
              <w:top w:val="nil"/>
              <w:bottom w:val="nil"/>
            </w:tcBorders>
          </w:tcPr>
          <w:p w14:paraId="7DC093E7" w14:textId="77777777" w:rsidR="00C25CC5" w:rsidRPr="00C951F0" w:rsidRDefault="00C25CC5">
            <w:pPr>
              <w:spacing w:line="240" w:lineRule="auto"/>
              <w:rPr>
                <w:color w:val="000000" w:themeColor="text1"/>
                <w:sz w:val="20"/>
                <w:szCs w:val="20"/>
              </w:rPr>
            </w:pPr>
          </w:p>
        </w:tc>
      </w:tr>
      <w:tr w:rsidR="00C951F0" w:rsidRPr="00C951F0" w14:paraId="3B7E7727" w14:textId="77777777" w:rsidTr="00934A10">
        <w:tc>
          <w:tcPr>
            <w:tcW w:w="1674" w:type="pct"/>
            <w:tcBorders>
              <w:top w:val="nil"/>
              <w:bottom w:val="nil"/>
            </w:tcBorders>
          </w:tcPr>
          <w:p w14:paraId="6E19A3E4" w14:textId="670C7C57" w:rsidR="00B1644A" w:rsidRPr="00C951F0" w:rsidRDefault="00B1644A" w:rsidP="00934A10">
            <w:pPr>
              <w:spacing w:line="240" w:lineRule="auto"/>
              <w:ind w:left="306"/>
              <w:rPr>
                <w:color w:val="000000" w:themeColor="text1"/>
                <w:sz w:val="20"/>
                <w:szCs w:val="20"/>
              </w:rPr>
            </w:pPr>
            <w:r w:rsidRPr="00C951F0">
              <w:rPr>
                <w:rFonts w:cs="Arial"/>
                <w:color w:val="000000" w:themeColor="text1"/>
                <w:sz w:val="20"/>
                <w:szCs w:val="20"/>
              </w:rPr>
              <w:t>Proportion of patients at week 68</w:t>
            </w:r>
            <w:r w:rsidR="00D2651E" w:rsidRPr="00C951F0">
              <w:rPr>
                <w:rFonts w:cs="Arial"/>
                <w:color w:val="000000" w:themeColor="text1"/>
                <w:sz w:val="20"/>
                <w:szCs w:val="20"/>
              </w:rPr>
              <w:t xml:space="preserve"> — </w:t>
            </w:r>
            <w:r w:rsidR="00C25CC5">
              <w:rPr>
                <w:rFonts w:cs="Arial"/>
                <w:color w:val="000000" w:themeColor="text1"/>
                <w:sz w:val="20"/>
                <w:szCs w:val="20"/>
              </w:rPr>
              <w:t>n (</w:t>
            </w:r>
            <w:r w:rsidR="00D2651E" w:rsidRPr="00C951F0">
              <w:rPr>
                <w:rFonts w:cs="Arial"/>
                <w:color w:val="000000" w:themeColor="text1"/>
                <w:sz w:val="20"/>
                <w:szCs w:val="20"/>
              </w:rPr>
              <w:t>%</w:t>
            </w:r>
            <w:r w:rsidR="00C25CC5">
              <w:rPr>
                <w:rFonts w:cs="Arial"/>
                <w:color w:val="000000" w:themeColor="text1"/>
                <w:sz w:val="20"/>
                <w:szCs w:val="20"/>
              </w:rPr>
              <w:t>)</w:t>
            </w:r>
          </w:p>
        </w:tc>
        <w:tc>
          <w:tcPr>
            <w:tcW w:w="526" w:type="pct"/>
            <w:tcBorders>
              <w:top w:val="nil"/>
              <w:bottom w:val="nil"/>
            </w:tcBorders>
          </w:tcPr>
          <w:p w14:paraId="73F44DBA" w14:textId="69F84A5B" w:rsidR="00B1644A" w:rsidRPr="00C951F0" w:rsidRDefault="00C25CC5" w:rsidP="0039543A">
            <w:pPr>
              <w:spacing w:line="240" w:lineRule="auto"/>
              <w:jc w:val="center"/>
              <w:rPr>
                <w:color w:val="000000" w:themeColor="text1"/>
                <w:sz w:val="20"/>
                <w:szCs w:val="20"/>
              </w:rPr>
            </w:pPr>
            <w:r>
              <w:rPr>
                <w:color w:val="000000" w:themeColor="text1"/>
                <w:sz w:val="20"/>
                <w:szCs w:val="20"/>
              </w:rPr>
              <w:t>177 (</w:t>
            </w:r>
            <w:r w:rsidR="00B1644A" w:rsidRPr="00C951F0">
              <w:rPr>
                <w:color w:val="000000" w:themeColor="text1"/>
                <w:sz w:val="20"/>
                <w:szCs w:val="20"/>
              </w:rPr>
              <w:t>45</w:t>
            </w:r>
            <w:r w:rsidR="00C5236B" w:rsidRPr="00C951F0">
              <w:rPr>
                <w:color w:val="000000" w:themeColor="text1"/>
                <w:sz w:val="20"/>
                <w:szCs w:val="20"/>
              </w:rPr>
              <w:t>·</w:t>
            </w:r>
            <w:r w:rsidR="00B1644A" w:rsidRPr="00C951F0">
              <w:rPr>
                <w:color w:val="000000" w:themeColor="text1"/>
                <w:sz w:val="20"/>
                <w:szCs w:val="20"/>
              </w:rPr>
              <w:t>6</w:t>
            </w:r>
            <w:r>
              <w:rPr>
                <w:color w:val="000000" w:themeColor="text1"/>
                <w:sz w:val="20"/>
                <w:szCs w:val="20"/>
              </w:rPr>
              <w:t>)</w:t>
            </w:r>
          </w:p>
        </w:tc>
        <w:tc>
          <w:tcPr>
            <w:tcW w:w="526" w:type="pct"/>
            <w:tcBorders>
              <w:top w:val="nil"/>
              <w:bottom w:val="nil"/>
            </w:tcBorders>
          </w:tcPr>
          <w:p w14:paraId="6096C5FD" w14:textId="69B6CF74" w:rsidR="00B1644A" w:rsidRPr="00C951F0" w:rsidRDefault="00C25CC5" w:rsidP="0039543A">
            <w:pPr>
              <w:spacing w:line="240" w:lineRule="auto"/>
              <w:jc w:val="center"/>
              <w:rPr>
                <w:color w:val="000000" w:themeColor="text1"/>
                <w:sz w:val="20"/>
                <w:szCs w:val="20"/>
              </w:rPr>
            </w:pPr>
            <w:r>
              <w:rPr>
                <w:color w:val="000000" w:themeColor="text1"/>
                <w:sz w:val="20"/>
                <w:szCs w:val="20"/>
              </w:rPr>
              <w:t>109 (</w:t>
            </w:r>
            <w:r w:rsidR="00B1644A" w:rsidRPr="00C951F0">
              <w:rPr>
                <w:color w:val="000000" w:themeColor="text1"/>
                <w:sz w:val="20"/>
                <w:szCs w:val="20"/>
              </w:rPr>
              <w:t>28</w:t>
            </w:r>
            <w:r w:rsidR="00C5236B" w:rsidRPr="00C951F0">
              <w:rPr>
                <w:color w:val="000000" w:themeColor="text1"/>
                <w:sz w:val="20"/>
                <w:szCs w:val="20"/>
              </w:rPr>
              <w:t>·</w:t>
            </w:r>
            <w:r w:rsidR="00B1644A" w:rsidRPr="00C951F0">
              <w:rPr>
                <w:color w:val="000000" w:themeColor="text1"/>
                <w:sz w:val="20"/>
                <w:szCs w:val="20"/>
              </w:rPr>
              <w:t>7</w:t>
            </w:r>
            <w:r>
              <w:rPr>
                <w:color w:val="000000" w:themeColor="text1"/>
                <w:sz w:val="20"/>
                <w:szCs w:val="20"/>
              </w:rPr>
              <w:t>)</w:t>
            </w:r>
          </w:p>
        </w:tc>
        <w:tc>
          <w:tcPr>
            <w:tcW w:w="524" w:type="pct"/>
            <w:tcBorders>
              <w:top w:val="nil"/>
              <w:bottom w:val="nil"/>
            </w:tcBorders>
          </w:tcPr>
          <w:p w14:paraId="28CAFF7D" w14:textId="547FBBF8" w:rsidR="00B1644A" w:rsidRPr="00C951F0" w:rsidRDefault="00C25CC5" w:rsidP="0039543A">
            <w:pPr>
              <w:spacing w:line="240" w:lineRule="auto"/>
              <w:jc w:val="center"/>
              <w:rPr>
                <w:color w:val="000000" w:themeColor="text1"/>
                <w:sz w:val="20"/>
                <w:szCs w:val="20"/>
              </w:rPr>
            </w:pPr>
            <w:r>
              <w:rPr>
                <w:color w:val="000000" w:themeColor="text1"/>
                <w:sz w:val="20"/>
                <w:szCs w:val="20"/>
              </w:rPr>
              <w:t>31 (</w:t>
            </w:r>
            <w:r w:rsidR="00B1644A" w:rsidRPr="00C951F0">
              <w:rPr>
                <w:color w:val="000000" w:themeColor="text1"/>
                <w:sz w:val="20"/>
                <w:szCs w:val="20"/>
              </w:rPr>
              <w:t>8</w:t>
            </w:r>
            <w:r w:rsidR="00C5236B" w:rsidRPr="00C951F0">
              <w:rPr>
                <w:color w:val="000000" w:themeColor="text1"/>
                <w:sz w:val="20"/>
                <w:szCs w:val="20"/>
              </w:rPr>
              <w:t>·</w:t>
            </w:r>
            <w:r w:rsidR="00B1644A" w:rsidRPr="00C951F0">
              <w:rPr>
                <w:color w:val="000000" w:themeColor="text1"/>
                <w:sz w:val="20"/>
                <w:szCs w:val="20"/>
              </w:rPr>
              <w:t>2</w:t>
            </w:r>
            <w:r>
              <w:rPr>
                <w:color w:val="000000" w:themeColor="text1"/>
                <w:sz w:val="20"/>
                <w:szCs w:val="20"/>
              </w:rPr>
              <w:t>)</w:t>
            </w:r>
          </w:p>
        </w:tc>
        <w:tc>
          <w:tcPr>
            <w:tcW w:w="1750" w:type="pct"/>
            <w:tcBorders>
              <w:top w:val="nil"/>
              <w:bottom w:val="nil"/>
            </w:tcBorders>
          </w:tcPr>
          <w:p w14:paraId="4B168F26" w14:textId="38A811E8" w:rsidR="00B1644A" w:rsidRPr="00C951F0" w:rsidRDefault="00B1644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placebo</w:t>
            </w:r>
            <w:r w:rsidR="00C921B3" w:rsidRPr="00C951F0">
              <w:rPr>
                <w:color w:val="000000" w:themeColor="text1"/>
                <w:sz w:val="20"/>
                <w:szCs w:val="20"/>
              </w:rPr>
              <w:t>;</w:t>
            </w:r>
            <w:r w:rsidR="00555C30" w:rsidRPr="00C951F0">
              <w:rPr>
                <w:color w:val="000000" w:themeColor="text1"/>
                <w:sz w:val="20"/>
                <w:szCs w:val="20"/>
              </w:rPr>
              <w:t xml:space="preserve"> </w:t>
            </w:r>
            <w:r w:rsidRPr="00C951F0">
              <w:rPr>
                <w:color w:val="000000" w:themeColor="text1"/>
                <w:sz w:val="20"/>
                <w:szCs w:val="20"/>
              </w:rPr>
              <w:t>OR: 7</w:t>
            </w:r>
            <w:r w:rsidR="00C5236B" w:rsidRPr="00C951F0">
              <w:rPr>
                <w:color w:val="000000" w:themeColor="text1"/>
                <w:sz w:val="20"/>
                <w:szCs w:val="20"/>
              </w:rPr>
              <w:t>·</w:t>
            </w:r>
            <w:r w:rsidRPr="00C951F0">
              <w:rPr>
                <w:color w:val="000000" w:themeColor="text1"/>
                <w:sz w:val="20"/>
                <w:szCs w:val="20"/>
              </w:rPr>
              <w:t xml:space="preserve">41 </w:t>
            </w:r>
            <w:r w:rsidR="00433982" w:rsidRPr="00C951F0">
              <w:rPr>
                <w:color w:val="000000" w:themeColor="text1"/>
                <w:sz w:val="20"/>
                <w:szCs w:val="20"/>
              </w:rPr>
              <w:t>(</w:t>
            </w:r>
            <w:r w:rsidRPr="00C951F0">
              <w:rPr>
                <w:color w:val="000000" w:themeColor="text1"/>
                <w:sz w:val="20"/>
                <w:szCs w:val="20"/>
              </w:rPr>
              <w:t>4</w:t>
            </w:r>
            <w:r w:rsidR="00C5236B" w:rsidRPr="00C951F0">
              <w:rPr>
                <w:color w:val="000000" w:themeColor="text1"/>
                <w:sz w:val="20"/>
                <w:szCs w:val="20"/>
              </w:rPr>
              <w:t>·</w:t>
            </w:r>
            <w:r w:rsidRPr="00C951F0">
              <w:rPr>
                <w:color w:val="000000" w:themeColor="text1"/>
                <w:sz w:val="20"/>
                <w:szCs w:val="20"/>
              </w:rPr>
              <w:t>89</w:t>
            </w:r>
            <w:r w:rsidR="00227D23" w:rsidRPr="00C951F0">
              <w:rPr>
                <w:color w:val="000000" w:themeColor="text1"/>
                <w:sz w:val="20"/>
                <w:szCs w:val="20"/>
              </w:rPr>
              <w:t xml:space="preserve"> to</w:t>
            </w:r>
            <w:r w:rsidRPr="00C951F0">
              <w:rPr>
                <w:color w:val="000000" w:themeColor="text1"/>
                <w:sz w:val="20"/>
                <w:szCs w:val="20"/>
              </w:rPr>
              <w:t xml:space="preserve"> 11</w:t>
            </w:r>
            <w:r w:rsidR="00C5236B" w:rsidRPr="00C951F0">
              <w:rPr>
                <w:color w:val="000000" w:themeColor="text1"/>
                <w:sz w:val="20"/>
                <w:szCs w:val="20"/>
              </w:rPr>
              <w:t>·</w:t>
            </w:r>
            <w:r w:rsidRPr="00C951F0">
              <w:rPr>
                <w:color w:val="000000" w:themeColor="text1"/>
                <w:sz w:val="20"/>
                <w:szCs w:val="20"/>
              </w:rPr>
              <w:t>24</w:t>
            </w:r>
            <w:r w:rsidR="00433982" w:rsidRPr="00C951F0">
              <w:rPr>
                <w:color w:val="000000" w:themeColor="text1"/>
                <w:sz w:val="20"/>
                <w:szCs w:val="20"/>
              </w:rPr>
              <w:t>)</w:t>
            </w:r>
            <w:r w:rsidRPr="00C951F0">
              <w:rPr>
                <w:color w:val="000000" w:themeColor="text1"/>
                <w:sz w:val="20"/>
                <w:szCs w:val="20"/>
              </w:rPr>
              <w:t xml:space="preserve">; </w:t>
            </w:r>
            <w:r w:rsidR="008F1F91" w:rsidRPr="00C951F0">
              <w:rPr>
                <w:color w:val="000000" w:themeColor="text1"/>
                <w:sz w:val="20"/>
                <w:szCs w:val="20"/>
              </w:rPr>
              <w:t>p</w:t>
            </w:r>
            <w:r w:rsidRPr="00C951F0">
              <w:rPr>
                <w:color w:val="000000" w:themeColor="text1"/>
                <w:sz w:val="20"/>
                <w:szCs w:val="20"/>
              </w:rPr>
              <w:t>&lt;0</w:t>
            </w:r>
            <w:r w:rsidR="00C5236B" w:rsidRPr="00C951F0">
              <w:rPr>
                <w:color w:val="000000" w:themeColor="text1"/>
                <w:sz w:val="20"/>
                <w:szCs w:val="20"/>
              </w:rPr>
              <w:t>·</w:t>
            </w:r>
            <w:r w:rsidRPr="00C951F0">
              <w:rPr>
                <w:color w:val="000000" w:themeColor="text1"/>
                <w:sz w:val="20"/>
                <w:szCs w:val="20"/>
              </w:rPr>
              <w:t>001</w:t>
            </w:r>
          </w:p>
        </w:tc>
      </w:tr>
      <w:tr w:rsidR="00C951F0" w:rsidRPr="00C951F0" w14:paraId="4D20B849" w14:textId="77777777" w:rsidTr="00934A10">
        <w:tc>
          <w:tcPr>
            <w:tcW w:w="1674" w:type="pct"/>
            <w:tcBorders>
              <w:top w:val="nil"/>
              <w:bottom w:val="single" w:sz="4" w:space="0" w:color="auto"/>
            </w:tcBorders>
          </w:tcPr>
          <w:p w14:paraId="40AC4F91" w14:textId="77777777" w:rsidR="00555C30" w:rsidRPr="00C951F0" w:rsidDel="00555C30" w:rsidRDefault="00555C30" w:rsidP="00D2651E">
            <w:pPr>
              <w:spacing w:line="240" w:lineRule="auto"/>
              <w:rPr>
                <w:color w:val="000000" w:themeColor="text1"/>
                <w:sz w:val="20"/>
                <w:szCs w:val="20"/>
              </w:rPr>
            </w:pPr>
          </w:p>
        </w:tc>
        <w:tc>
          <w:tcPr>
            <w:tcW w:w="526" w:type="pct"/>
            <w:tcBorders>
              <w:top w:val="nil"/>
              <w:bottom w:val="single" w:sz="4" w:space="0" w:color="auto"/>
            </w:tcBorders>
          </w:tcPr>
          <w:p w14:paraId="2D753708" w14:textId="77777777" w:rsidR="00555C30" w:rsidRPr="00C951F0" w:rsidDel="00555C30" w:rsidRDefault="00555C30" w:rsidP="0039543A">
            <w:pPr>
              <w:spacing w:line="240" w:lineRule="auto"/>
              <w:jc w:val="center"/>
              <w:rPr>
                <w:color w:val="000000" w:themeColor="text1"/>
                <w:sz w:val="20"/>
                <w:szCs w:val="20"/>
              </w:rPr>
            </w:pPr>
          </w:p>
        </w:tc>
        <w:tc>
          <w:tcPr>
            <w:tcW w:w="526" w:type="pct"/>
            <w:tcBorders>
              <w:top w:val="nil"/>
              <w:bottom w:val="single" w:sz="4" w:space="0" w:color="auto"/>
            </w:tcBorders>
          </w:tcPr>
          <w:p w14:paraId="04CD0115" w14:textId="77777777" w:rsidR="00555C30" w:rsidRPr="00C951F0" w:rsidDel="00555C30" w:rsidRDefault="00555C30" w:rsidP="0039543A">
            <w:pPr>
              <w:spacing w:line="240" w:lineRule="auto"/>
              <w:jc w:val="center"/>
              <w:rPr>
                <w:color w:val="000000" w:themeColor="text1"/>
                <w:sz w:val="20"/>
                <w:szCs w:val="20"/>
              </w:rPr>
            </w:pPr>
          </w:p>
        </w:tc>
        <w:tc>
          <w:tcPr>
            <w:tcW w:w="524" w:type="pct"/>
            <w:tcBorders>
              <w:top w:val="nil"/>
              <w:bottom w:val="single" w:sz="4" w:space="0" w:color="auto"/>
            </w:tcBorders>
          </w:tcPr>
          <w:p w14:paraId="47AF2792" w14:textId="77777777" w:rsidR="00555C30" w:rsidRPr="00C951F0" w:rsidDel="00555C30" w:rsidRDefault="00555C30" w:rsidP="0039543A">
            <w:pPr>
              <w:spacing w:line="240" w:lineRule="auto"/>
              <w:jc w:val="center"/>
              <w:rPr>
                <w:color w:val="000000" w:themeColor="text1"/>
                <w:sz w:val="20"/>
                <w:szCs w:val="20"/>
              </w:rPr>
            </w:pPr>
          </w:p>
        </w:tc>
        <w:tc>
          <w:tcPr>
            <w:tcW w:w="1750" w:type="pct"/>
            <w:tcBorders>
              <w:top w:val="nil"/>
              <w:bottom w:val="single" w:sz="4" w:space="0" w:color="auto"/>
            </w:tcBorders>
          </w:tcPr>
          <w:p w14:paraId="258DD492" w14:textId="767684F8" w:rsidR="00555C30" w:rsidRPr="00C951F0" w:rsidRDefault="00555C30" w:rsidP="0039543A">
            <w:pPr>
              <w:spacing w:line="240" w:lineRule="auto"/>
              <w:rPr>
                <w:color w:val="000000" w:themeColor="text1"/>
                <w:sz w:val="20"/>
                <w:szCs w:val="20"/>
              </w:rPr>
            </w:pPr>
            <w:r w:rsidRPr="00C951F0">
              <w:rPr>
                <w:color w:val="000000" w:themeColor="text1"/>
                <w:sz w:val="20"/>
                <w:szCs w:val="20"/>
              </w:rPr>
              <w:t>Semaglutide 2·4 mg / semaglutide 1·0 mg</w:t>
            </w:r>
            <w:r w:rsidR="00C921B3" w:rsidRPr="00C951F0">
              <w:rPr>
                <w:color w:val="000000" w:themeColor="text1"/>
                <w:sz w:val="20"/>
                <w:szCs w:val="20"/>
              </w:rPr>
              <w:t>;</w:t>
            </w:r>
            <w:r w:rsidRPr="00C951F0">
              <w:rPr>
                <w:color w:val="000000" w:themeColor="text1"/>
                <w:sz w:val="20"/>
                <w:szCs w:val="20"/>
              </w:rPr>
              <w:t xml:space="preserve"> OR: 2·07 </w:t>
            </w:r>
            <w:r w:rsidR="00433982" w:rsidRPr="00C951F0">
              <w:rPr>
                <w:color w:val="000000" w:themeColor="text1"/>
                <w:sz w:val="20"/>
                <w:szCs w:val="20"/>
              </w:rPr>
              <w:t>(</w:t>
            </w:r>
            <w:r w:rsidRPr="00C951F0">
              <w:rPr>
                <w:color w:val="000000" w:themeColor="text1"/>
                <w:sz w:val="20"/>
                <w:szCs w:val="20"/>
              </w:rPr>
              <w:t>1·53 to 2·80</w:t>
            </w:r>
            <w:r w:rsidR="00433982" w:rsidRPr="00C951F0">
              <w:rPr>
                <w:color w:val="000000" w:themeColor="text1"/>
                <w:sz w:val="20"/>
                <w:szCs w:val="20"/>
              </w:rPr>
              <w:t>)</w:t>
            </w:r>
          </w:p>
        </w:tc>
      </w:tr>
      <w:tr w:rsidR="00C951F0" w:rsidRPr="00C951F0" w14:paraId="0C212212" w14:textId="77777777" w:rsidTr="00934A10">
        <w:tc>
          <w:tcPr>
            <w:tcW w:w="1674" w:type="pct"/>
            <w:tcBorders>
              <w:top w:val="single" w:sz="4" w:space="0" w:color="auto"/>
              <w:bottom w:val="nil"/>
            </w:tcBorders>
          </w:tcPr>
          <w:p w14:paraId="21E5FD47" w14:textId="3B379A73" w:rsidR="00555C30" w:rsidRPr="00C951F0" w:rsidDel="00555C30" w:rsidRDefault="00555C30" w:rsidP="00D2651E">
            <w:pPr>
              <w:spacing w:line="240" w:lineRule="auto"/>
              <w:rPr>
                <w:color w:val="000000" w:themeColor="text1"/>
                <w:sz w:val="20"/>
                <w:szCs w:val="20"/>
              </w:rPr>
            </w:pPr>
            <w:r w:rsidRPr="00C951F0">
              <w:rPr>
                <w:color w:val="000000" w:themeColor="text1"/>
                <w:sz w:val="20"/>
                <w:szCs w:val="20"/>
              </w:rPr>
              <w:t>Body weight reduction ≥15%</w:t>
            </w:r>
          </w:p>
        </w:tc>
        <w:tc>
          <w:tcPr>
            <w:tcW w:w="526" w:type="pct"/>
            <w:tcBorders>
              <w:top w:val="single" w:sz="4" w:space="0" w:color="auto"/>
              <w:bottom w:val="nil"/>
            </w:tcBorders>
          </w:tcPr>
          <w:p w14:paraId="0F326091" w14:textId="77777777" w:rsidR="00555C30" w:rsidRPr="00C951F0" w:rsidDel="00555C30" w:rsidRDefault="00555C30" w:rsidP="0039543A">
            <w:pPr>
              <w:spacing w:line="240" w:lineRule="auto"/>
              <w:jc w:val="center"/>
              <w:rPr>
                <w:color w:val="000000" w:themeColor="text1"/>
                <w:sz w:val="20"/>
                <w:szCs w:val="20"/>
              </w:rPr>
            </w:pPr>
          </w:p>
        </w:tc>
        <w:tc>
          <w:tcPr>
            <w:tcW w:w="526" w:type="pct"/>
            <w:tcBorders>
              <w:top w:val="single" w:sz="4" w:space="0" w:color="auto"/>
              <w:bottom w:val="nil"/>
            </w:tcBorders>
          </w:tcPr>
          <w:p w14:paraId="1AAF5100" w14:textId="77777777" w:rsidR="00555C30" w:rsidRPr="00C951F0" w:rsidDel="00555C30" w:rsidRDefault="00555C30" w:rsidP="0039543A">
            <w:pPr>
              <w:spacing w:line="240" w:lineRule="auto"/>
              <w:jc w:val="center"/>
              <w:rPr>
                <w:color w:val="000000" w:themeColor="text1"/>
                <w:sz w:val="20"/>
                <w:szCs w:val="20"/>
              </w:rPr>
            </w:pPr>
          </w:p>
        </w:tc>
        <w:tc>
          <w:tcPr>
            <w:tcW w:w="524" w:type="pct"/>
            <w:tcBorders>
              <w:top w:val="single" w:sz="4" w:space="0" w:color="auto"/>
              <w:bottom w:val="nil"/>
            </w:tcBorders>
          </w:tcPr>
          <w:p w14:paraId="52C33AED" w14:textId="77777777" w:rsidR="00555C30" w:rsidRPr="00C951F0" w:rsidDel="00555C30" w:rsidRDefault="00555C30" w:rsidP="0039543A">
            <w:pPr>
              <w:spacing w:line="240" w:lineRule="auto"/>
              <w:jc w:val="center"/>
              <w:rPr>
                <w:color w:val="000000" w:themeColor="text1"/>
                <w:sz w:val="20"/>
                <w:szCs w:val="20"/>
              </w:rPr>
            </w:pPr>
          </w:p>
        </w:tc>
        <w:tc>
          <w:tcPr>
            <w:tcW w:w="1750" w:type="pct"/>
            <w:tcBorders>
              <w:top w:val="single" w:sz="4" w:space="0" w:color="auto"/>
              <w:bottom w:val="nil"/>
            </w:tcBorders>
          </w:tcPr>
          <w:p w14:paraId="26B86C58" w14:textId="77777777" w:rsidR="00555C30" w:rsidRPr="00C951F0" w:rsidRDefault="00555C30" w:rsidP="0039543A">
            <w:pPr>
              <w:spacing w:line="240" w:lineRule="auto"/>
              <w:rPr>
                <w:color w:val="000000" w:themeColor="text1"/>
                <w:sz w:val="20"/>
                <w:szCs w:val="20"/>
              </w:rPr>
            </w:pPr>
          </w:p>
        </w:tc>
      </w:tr>
      <w:tr w:rsidR="00C25CC5" w:rsidRPr="00C951F0" w14:paraId="491202E6" w14:textId="77777777" w:rsidTr="00934A10">
        <w:tc>
          <w:tcPr>
            <w:tcW w:w="1674" w:type="pct"/>
            <w:tcBorders>
              <w:top w:val="nil"/>
              <w:bottom w:val="nil"/>
            </w:tcBorders>
          </w:tcPr>
          <w:p w14:paraId="781B7304" w14:textId="530616EF" w:rsidR="00C25CC5" w:rsidRPr="00C951F0" w:rsidRDefault="00C25CC5" w:rsidP="00934A10">
            <w:pPr>
              <w:spacing w:line="240" w:lineRule="auto"/>
              <w:ind w:left="306"/>
              <w:rPr>
                <w:rFonts w:cs="Arial"/>
                <w:color w:val="000000" w:themeColor="text1"/>
                <w:sz w:val="20"/>
                <w:szCs w:val="20"/>
              </w:rPr>
            </w:pPr>
            <w:r>
              <w:rPr>
                <w:rFonts w:cs="Arial"/>
                <w:color w:val="000000" w:themeColor="text1"/>
                <w:sz w:val="20"/>
                <w:szCs w:val="20"/>
              </w:rPr>
              <w:lastRenderedPageBreak/>
              <w:t>n</w:t>
            </w:r>
          </w:p>
        </w:tc>
        <w:tc>
          <w:tcPr>
            <w:tcW w:w="526" w:type="pct"/>
            <w:tcBorders>
              <w:top w:val="nil"/>
              <w:bottom w:val="nil"/>
            </w:tcBorders>
          </w:tcPr>
          <w:p w14:paraId="50185305" w14:textId="4A599BCC" w:rsidR="00C25CC5" w:rsidRPr="00C951F0" w:rsidRDefault="00C25CC5" w:rsidP="0039543A">
            <w:pPr>
              <w:spacing w:line="240" w:lineRule="auto"/>
              <w:jc w:val="center"/>
              <w:rPr>
                <w:color w:val="000000" w:themeColor="text1"/>
                <w:sz w:val="20"/>
                <w:szCs w:val="20"/>
              </w:rPr>
            </w:pPr>
            <w:r>
              <w:rPr>
                <w:color w:val="000000" w:themeColor="text1"/>
                <w:sz w:val="20"/>
                <w:szCs w:val="20"/>
              </w:rPr>
              <w:t>388</w:t>
            </w:r>
          </w:p>
        </w:tc>
        <w:tc>
          <w:tcPr>
            <w:tcW w:w="526" w:type="pct"/>
            <w:tcBorders>
              <w:top w:val="nil"/>
              <w:bottom w:val="nil"/>
            </w:tcBorders>
          </w:tcPr>
          <w:p w14:paraId="5035B651" w14:textId="22A0CCE6" w:rsidR="00C25CC5" w:rsidRPr="00C951F0" w:rsidRDefault="00C25CC5" w:rsidP="0039543A">
            <w:pPr>
              <w:spacing w:line="240" w:lineRule="auto"/>
              <w:jc w:val="center"/>
              <w:rPr>
                <w:color w:val="000000" w:themeColor="text1"/>
                <w:sz w:val="20"/>
                <w:szCs w:val="20"/>
              </w:rPr>
            </w:pPr>
            <w:r>
              <w:rPr>
                <w:color w:val="000000" w:themeColor="text1"/>
                <w:sz w:val="20"/>
                <w:szCs w:val="20"/>
              </w:rPr>
              <w:t>380</w:t>
            </w:r>
          </w:p>
        </w:tc>
        <w:tc>
          <w:tcPr>
            <w:tcW w:w="524" w:type="pct"/>
            <w:tcBorders>
              <w:top w:val="nil"/>
              <w:bottom w:val="nil"/>
            </w:tcBorders>
          </w:tcPr>
          <w:p w14:paraId="37A0108D" w14:textId="6725DE34" w:rsidR="00C25CC5" w:rsidRPr="00C951F0" w:rsidRDefault="00C25CC5" w:rsidP="0039543A">
            <w:pPr>
              <w:spacing w:line="240" w:lineRule="auto"/>
              <w:jc w:val="center"/>
              <w:rPr>
                <w:color w:val="000000" w:themeColor="text1"/>
                <w:sz w:val="20"/>
                <w:szCs w:val="20"/>
              </w:rPr>
            </w:pPr>
            <w:r>
              <w:rPr>
                <w:color w:val="000000" w:themeColor="text1"/>
                <w:sz w:val="20"/>
                <w:szCs w:val="20"/>
              </w:rPr>
              <w:t>376</w:t>
            </w:r>
          </w:p>
        </w:tc>
        <w:tc>
          <w:tcPr>
            <w:tcW w:w="1750" w:type="pct"/>
            <w:tcBorders>
              <w:top w:val="nil"/>
              <w:bottom w:val="nil"/>
            </w:tcBorders>
          </w:tcPr>
          <w:p w14:paraId="12A7C3DF" w14:textId="77777777" w:rsidR="00C25CC5" w:rsidRPr="00C951F0" w:rsidRDefault="00C25CC5">
            <w:pPr>
              <w:spacing w:line="240" w:lineRule="auto"/>
              <w:rPr>
                <w:color w:val="000000" w:themeColor="text1"/>
                <w:sz w:val="20"/>
                <w:szCs w:val="20"/>
              </w:rPr>
            </w:pPr>
          </w:p>
        </w:tc>
      </w:tr>
      <w:tr w:rsidR="00C951F0" w:rsidRPr="00C951F0" w14:paraId="43573136" w14:textId="77777777" w:rsidTr="00934A10">
        <w:tc>
          <w:tcPr>
            <w:tcW w:w="1674" w:type="pct"/>
            <w:tcBorders>
              <w:top w:val="nil"/>
              <w:bottom w:val="nil"/>
            </w:tcBorders>
          </w:tcPr>
          <w:p w14:paraId="123F705D" w14:textId="1811C616" w:rsidR="00B1644A" w:rsidRPr="00C951F0" w:rsidRDefault="00B1644A" w:rsidP="00934A10">
            <w:pPr>
              <w:spacing w:line="240" w:lineRule="auto"/>
              <w:ind w:left="306"/>
              <w:rPr>
                <w:color w:val="000000" w:themeColor="text1"/>
                <w:sz w:val="20"/>
                <w:szCs w:val="20"/>
              </w:rPr>
            </w:pPr>
            <w:r w:rsidRPr="00C951F0">
              <w:rPr>
                <w:rFonts w:cs="Arial"/>
                <w:color w:val="000000" w:themeColor="text1"/>
                <w:sz w:val="20"/>
                <w:szCs w:val="20"/>
              </w:rPr>
              <w:t>Proportion of patients at week 68</w:t>
            </w:r>
            <w:r w:rsidR="00D2651E" w:rsidRPr="00C951F0">
              <w:rPr>
                <w:rFonts w:cs="Arial"/>
                <w:color w:val="000000" w:themeColor="text1"/>
                <w:sz w:val="20"/>
                <w:szCs w:val="20"/>
              </w:rPr>
              <w:t xml:space="preserve"> — </w:t>
            </w:r>
            <w:r w:rsidR="00C25CC5">
              <w:rPr>
                <w:rFonts w:cs="Arial"/>
                <w:color w:val="000000" w:themeColor="text1"/>
                <w:sz w:val="20"/>
                <w:szCs w:val="20"/>
              </w:rPr>
              <w:t>n (</w:t>
            </w:r>
            <w:r w:rsidR="00D2651E" w:rsidRPr="00C951F0">
              <w:rPr>
                <w:rFonts w:cs="Arial"/>
                <w:color w:val="000000" w:themeColor="text1"/>
                <w:sz w:val="20"/>
                <w:szCs w:val="20"/>
              </w:rPr>
              <w:t>%</w:t>
            </w:r>
            <w:r w:rsidR="00C25CC5">
              <w:rPr>
                <w:rFonts w:cs="Arial"/>
                <w:color w:val="000000" w:themeColor="text1"/>
                <w:sz w:val="20"/>
                <w:szCs w:val="20"/>
              </w:rPr>
              <w:t>)</w:t>
            </w:r>
          </w:p>
        </w:tc>
        <w:tc>
          <w:tcPr>
            <w:tcW w:w="526" w:type="pct"/>
            <w:tcBorders>
              <w:top w:val="nil"/>
              <w:bottom w:val="nil"/>
            </w:tcBorders>
          </w:tcPr>
          <w:p w14:paraId="1FDCD561" w14:textId="08B91904" w:rsidR="00B1644A" w:rsidRPr="00C951F0" w:rsidRDefault="00C25CC5" w:rsidP="0039543A">
            <w:pPr>
              <w:spacing w:line="240" w:lineRule="auto"/>
              <w:jc w:val="center"/>
              <w:rPr>
                <w:color w:val="000000" w:themeColor="text1"/>
                <w:sz w:val="20"/>
                <w:szCs w:val="20"/>
              </w:rPr>
            </w:pPr>
            <w:r>
              <w:rPr>
                <w:color w:val="000000" w:themeColor="text1"/>
                <w:sz w:val="20"/>
                <w:szCs w:val="20"/>
              </w:rPr>
              <w:t>100 (</w:t>
            </w:r>
            <w:r w:rsidR="00B1644A" w:rsidRPr="00C951F0">
              <w:rPr>
                <w:color w:val="000000" w:themeColor="text1"/>
                <w:sz w:val="20"/>
                <w:szCs w:val="20"/>
              </w:rPr>
              <w:t>25</w:t>
            </w:r>
            <w:r w:rsidR="00C5236B" w:rsidRPr="00C951F0">
              <w:rPr>
                <w:color w:val="000000" w:themeColor="text1"/>
                <w:sz w:val="20"/>
                <w:szCs w:val="20"/>
              </w:rPr>
              <w:t>·</w:t>
            </w:r>
            <w:r w:rsidR="00B1644A" w:rsidRPr="00C951F0">
              <w:rPr>
                <w:color w:val="000000" w:themeColor="text1"/>
                <w:sz w:val="20"/>
                <w:szCs w:val="20"/>
              </w:rPr>
              <w:t>8</w:t>
            </w:r>
            <w:r>
              <w:rPr>
                <w:color w:val="000000" w:themeColor="text1"/>
                <w:sz w:val="20"/>
                <w:szCs w:val="20"/>
              </w:rPr>
              <w:t>)</w:t>
            </w:r>
          </w:p>
        </w:tc>
        <w:tc>
          <w:tcPr>
            <w:tcW w:w="526" w:type="pct"/>
            <w:tcBorders>
              <w:top w:val="nil"/>
              <w:bottom w:val="nil"/>
            </w:tcBorders>
          </w:tcPr>
          <w:p w14:paraId="78FDB71D" w14:textId="033014F3" w:rsidR="00B1644A" w:rsidRPr="00C951F0" w:rsidRDefault="00C25CC5" w:rsidP="0039543A">
            <w:pPr>
              <w:spacing w:line="240" w:lineRule="auto"/>
              <w:jc w:val="center"/>
              <w:rPr>
                <w:color w:val="000000" w:themeColor="text1"/>
                <w:sz w:val="20"/>
                <w:szCs w:val="20"/>
              </w:rPr>
            </w:pPr>
            <w:r>
              <w:rPr>
                <w:color w:val="000000" w:themeColor="text1"/>
                <w:sz w:val="20"/>
                <w:szCs w:val="20"/>
              </w:rPr>
              <w:t>52 (</w:t>
            </w:r>
            <w:r w:rsidR="00B1644A" w:rsidRPr="00C951F0">
              <w:rPr>
                <w:color w:val="000000" w:themeColor="text1"/>
                <w:sz w:val="20"/>
                <w:szCs w:val="20"/>
              </w:rPr>
              <w:t>13</w:t>
            </w:r>
            <w:r w:rsidR="00C5236B" w:rsidRPr="00C951F0">
              <w:rPr>
                <w:color w:val="000000" w:themeColor="text1"/>
                <w:sz w:val="20"/>
                <w:szCs w:val="20"/>
              </w:rPr>
              <w:t>·</w:t>
            </w:r>
            <w:r w:rsidR="00B1644A" w:rsidRPr="00C951F0">
              <w:rPr>
                <w:color w:val="000000" w:themeColor="text1"/>
                <w:sz w:val="20"/>
                <w:szCs w:val="20"/>
              </w:rPr>
              <w:t>7</w:t>
            </w:r>
            <w:r>
              <w:rPr>
                <w:color w:val="000000" w:themeColor="text1"/>
                <w:sz w:val="20"/>
                <w:szCs w:val="20"/>
              </w:rPr>
              <w:t>)</w:t>
            </w:r>
          </w:p>
        </w:tc>
        <w:tc>
          <w:tcPr>
            <w:tcW w:w="524" w:type="pct"/>
            <w:tcBorders>
              <w:top w:val="nil"/>
              <w:bottom w:val="nil"/>
            </w:tcBorders>
          </w:tcPr>
          <w:p w14:paraId="59F2E122" w14:textId="4C3805FE" w:rsidR="00B1644A" w:rsidRPr="00C951F0" w:rsidRDefault="00C25CC5" w:rsidP="0039543A">
            <w:pPr>
              <w:spacing w:line="240" w:lineRule="auto"/>
              <w:jc w:val="center"/>
              <w:rPr>
                <w:color w:val="000000" w:themeColor="text1"/>
                <w:sz w:val="20"/>
                <w:szCs w:val="20"/>
              </w:rPr>
            </w:pPr>
            <w:r>
              <w:rPr>
                <w:color w:val="000000" w:themeColor="text1"/>
                <w:sz w:val="20"/>
                <w:szCs w:val="20"/>
              </w:rPr>
              <w:t>12 (</w:t>
            </w:r>
            <w:r w:rsidR="00B1644A" w:rsidRPr="00C951F0">
              <w:rPr>
                <w:color w:val="000000" w:themeColor="text1"/>
                <w:sz w:val="20"/>
                <w:szCs w:val="20"/>
              </w:rPr>
              <w:t>3</w:t>
            </w:r>
            <w:r w:rsidR="00C5236B" w:rsidRPr="00C951F0">
              <w:rPr>
                <w:color w:val="000000" w:themeColor="text1"/>
                <w:sz w:val="20"/>
                <w:szCs w:val="20"/>
              </w:rPr>
              <w:t>·</w:t>
            </w:r>
            <w:r w:rsidR="00B1644A" w:rsidRPr="00C951F0">
              <w:rPr>
                <w:color w:val="000000" w:themeColor="text1"/>
                <w:sz w:val="20"/>
                <w:szCs w:val="20"/>
              </w:rPr>
              <w:t>2</w:t>
            </w:r>
            <w:r>
              <w:rPr>
                <w:color w:val="000000" w:themeColor="text1"/>
                <w:sz w:val="20"/>
                <w:szCs w:val="20"/>
              </w:rPr>
              <w:t>)</w:t>
            </w:r>
          </w:p>
        </w:tc>
        <w:tc>
          <w:tcPr>
            <w:tcW w:w="1750" w:type="pct"/>
            <w:tcBorders>
              <w:top w:val="nil"/>
              <w:bottom w:val="nil"/>
            </w:tcBorders>
          </w:tcPr>
          <w:p w14:paraId="6A93CE1D" w14:textId="486CA499" w:rsidR="00B1644A" w:rsidRPr="00C951F0" w:rsidRDefault="00B1644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placebo</w:t>
            </w:r>
            <w:r w:rsidR="00C921B3" w:rsidRPr="00C951F0">
              <w:rPr>
                <w:color w:val="000000" w:themeColor="text1"/>
                <w:sz w:val="20"/>
                <w:szCs w:val="20"/>
              </w:rPr>
              <w:t>;</w:t>
            </w:r>
            <w:r w:rsidRPr="00C951F0">
              <w:rPr>
                <w:color w:val="000000" w:themeColor="text1"/>
                <w:sz w:val="20"/>
                <w:szCs w:val="20"/>
              </w:rPr>
              <w:t xml:space="preserve"> OR: 7</w:t>
            </w:r>
            <w:r w:rsidR="00C5236B" w:rsidRPr="00C951F0">
              <w:rPr>
                <w:color w:val="000000" w:themeColor="text1"/>
                <w:sz w:val="20"/>
                <w:szCs w:val="20"/>
              </w:rPr>
              <w:t>·</w:t>
            </w:r>
            <w:r w:rsidRPr="00C951F0">
              <w:rPr>
                <w:color w:val="000000" w:themeColor="text1"/>
                <w:sz w:val="20"/>
                <w:szCs w:val="20"/>
              </w:rPr>
              <w:t xml:space="preserve">65 </w:t>
            </w:r>
            <w:r w:rsidR="00433982" w:rsidRPr="00C951F0">
              <w:rPr>
                <w:color w:val="000000" w:themeColor="text1"/>
                <w:sz w:val="20"/>
                <w:szCs w:val="20"/>
              </w:rPr>
              <w:t>(</w:t>
            </w:r>
            <w:r w:rsidRPr="00C951F0">
              <w:rPr>
                <w:color w:val="000000" w:themeColor="text1"/>
                <w:sz w:val="20"/>
                <w:szCs w:val="20"/>
              </w:rPr>
              <w:t>4</w:t>
            </w:r>
            <w:r w:rsidR="00C5236B" w:rsidRPr="00C951F0">
              <w:rPr>
                <w:color w:val="000000" w:themeColor="text1"/>
                <w:sz w:val="20"/>
                <w:szCs w:val="20"/>
              </w:rPr>
              <w:t>·</w:t>
            </w:r>
            <w:r w:rsidRPr="00C951F0">
              <w:rPr>
                <w:color w:val="000000" w:themeColor="text1"/>
                <w:sz w:val="20"/>
                <w:szCs w:val="20"/>
              </w:rPr>
              <w:t>11</w:t>
            </w:r>
            <w:r w:rsidR="00227D23" w:rsidRPr="00C951F0">
              <w:rPr>
                <w:color w:val="000000" w:themeColor="text1"/>
                <w:sz w:val="20"/>
                <w:szCs w:val="20"/>
              </w:rPr>
              <w:t xml:space="preserve"> to</w:t>
            </w:r>
            <w:r w:rsidRPr="00C951F0">
              <w:rPr>
                <w:color w:val="000000" w:themeColor="text1"/>
                <w:sz w:val="20"/>
                <w:szCs w:val="20"/>
              </w:rPr>
              <w:t xml:space="preserve"> 14</w:t>
            </w:r>
            <w:r w:rsidR="00C5236B" w:rsidRPr="00C951F0">
              <w:rPr>
                <w:color w:val="000000" w:themeColor="text1"/>
                <w:sz w:val="20"/>
                <w:szCs w:val="20"/>
              </w:rPr>
              <w:t>·</w:t>
            </w:r>
            <w:r w:rsidRPr="00C951F0">
              <w:rPr>
                <w:color w:val="000000" w:themeColor="text1"/>
                <w:sz w:val="20"/>
                <w:szCs w:val="20"/>
              </w:rPr>
              <w:t>22</w:t>
            </w:r>
            <w:r w:rsidR="00433982" w:rsidRPr="00C951F0">
              <w:rPr>
                <w:color w:val="000000" w:themeColor="text1"/>
                <w:sz w:val="20"/>
                <w:szCs w:val="20"/>
              </w:rPr>
              <w:t>)</w:t>
            </w:r>
            <w:r w:rsidRPr="00C951F0">
              <w:rPr>
                <w:color w:val="000000" w:themeColor="text1"/>
                <w:sz w:val="20"/>
                <w:szCs w:val="20"/>
              </w:rPr>
              <w:t xml:space="preserve">; </w:t>
            </w:r>
            <w:r w:rsidR="008F1F91" w:rsidRPr="00C951F0">
              <w:rPr>
                <w:color w:val="000000" w:themeColor="text1"/>
                <w:sz w:val="20"/>
                <w:szCs w:val="20"/>
              </w:rPr>
              <w:t>p</w:t>
            </w:r>
            <w:r w:rsidRPr="00C951F0">
              <w:rPr>
                <w:color w:val="000000" w:themeColor="text1"/>
                <w:sz w:val="20"/>
                <w:szCs w:val="20"/>
              </w:rPr>
              <w:t>&lt;0</w:t>
            </w:r>
            <w:r w:rsidR="00C5236B" w:rsidRPr="00C951F0">
              <w:rPr>
                <w:color w:val="000000" w:themeColor="text1"/>
                <w:sz w:val="20"/>
                <w:szCs w:val="20"/>
              </w:rPr>
              <w:t>·</w:t>
            </w:r>
            <w:r w:rsidRPr="00C951F0">
              <w:rPr>
                <w:color w:val="000000" w:themeColor="text1"/>
                <w:sz w:val="20"/>
                <w:szCs w:val="20"/>
              </w:rPr>
              <w:t>0001</w:t>
            </w:r>
          </w:p>
        </w:tc>
      </w:tr>
      <w:tr w:rsidR="00C951F0" w:rsidRPr="00C951F0" w14:paraId="24D738DC" w14:textId="77777777" w:rsidTr="00934A10">
        <w:tc>
          <w:tcPr>
            <w:tcW w:w="1674" w:type="pct"/>
            <w:tcBorders>
              <w:top w:val="nil"/>
              <w:bottom w:val="single" w:sz="4" w:space="0" w:color="auto"/>
            </w:tcBorders>
          </w:tcPr>
          <w:p w14:paraId="344B9757" w14:textId="77777777" w:rsidR="00555C30" w:rsidRPr="00C951F0" w:rsidDel="00555C30" w:rsidRDefault="00555C30" w:rsidP="00D2651E">
            <w:pPr>
              <w:spacing w:line="240" w:lineRule="auto"/>
              <w:rPr>
                <w:color w:val="000000" w:themeColor="text1"/>
                <w:sz w:val="20"/>
                <w:szCs w:val="20"/>
              </w:rPr>
            </w:pPr>
          </w:p>
        </w:tc>
        <w:tc>
          <w:tcPr>
            <w:tcW w:w="526" w:type="pct"/>
            <w:tcBorders>
              <w:top w:val="nil"/>
              <w:bottom w:val="single" w:sz="4" w:space="0" w:color="auto"/>
            </w:tcBorders>
          </w:tcPr>
          <w:p w14:paraId="52F9A784" w14:textId="77777777" w:rsidR="00555C30" w:rsidRPr="00C951F0" w:rsidDel="00555C30" w:rsidRDefault="00555C30" w:rsidP="0039543A">
            <w:pPr>
              <w:spacing w:line="240" w:lineRule="auto"/>
              <w:jc w:val="center"/>
              <w:rPr>
                <w:color w:val="000000" w:themeColor="text1"/>
                <w:sz w:val="20"/>
                <w:szCs w:val="20"/>
              </w:rPr>
            </w:pPr>
          </w:p>
        </w:tc>
        <w:tc>
          <w:tcPr>
            <w:tcW w:w="526" w:type="pct"/>
            <w:tcBorders>
              <w:top w:val="nil"/>
              <w:bottom w:val="single" w:sz="4" w:space="0" w:color="auto"/>
            </w:tcBorders>
          </w:tcPr>
          <w:p w14:paraId="4E9C54A9" w14:textId="77777777" w:rsidR="00555C30" w:rsidRPr="00C951F0" w:rsidDel="00555C30" w:rsidRDefault="00555C30" w:rsidP="0039543A">
            <w:pPr>
              <w:spacing w:line="240" w:lineRule="auto"/>
              <w:jc w:val="center"/>
              <w:rPr>
                <w:color w:val="000000" w:themeColor="text1"/>
                <w:sz w:val="20"/>
                <w:szCs w:val="20"/>
              </w:rPr>
            </w:pPr>
          </w:p>
        </w:tc>
        <w:tc>
          <w:tcPr>
            <w:tcW w:w="524" w:type="pct"/>
            <w:tcBorders>
              <w:top w:val="nil"/>
              <w:bottom w:val="single" w:sz="4" w:space="0" w:color="auto"/>
            </w:tcBorders>
          </w:tcPr>
          <w:p w14:paraId="5E68ABD6" w14:textId="77777777" w:rsidR="00555C30" w:rsidRPr="00C951F0" w:rsidDel="00555C30" w:rsidRDefault="00555C30" w:rsidP="0039543A">
            <w:pPr>
              <w:spacing w:line="240" w:lineRule="auto"/>
              <w:jc w:val="center"/>
              <w:rPr>
                <w:color w:val="000000" w:themeColor="text1"/>
                <w:sz w:val="20"/>
                <w:szCs w:val="20"/>
              </w:rPr>
            </w:pPr>
          </w:p>
        </w:tc>
        <w:tc>
          <w:tcPr>
            <w:tcW w:w="1750" w:type="pct"/>
            <w:tcBorders>
              <w:top w:val="nil"/>
              <w:bottom w:val="single" w:sz="4" w:space="0" w:color="auto"/>
            </w:tcBorders>
          </w:tcPr>
          <w:p w14:paraId="709525C7" w14:textId="4D7F2837" w:rsidR="00555C30" w:rsidRPr="00C951F0" w:rsidRDefault="00555C30" w:rsidP="0039543A">
            <w:pPr>
              <w:spacing w:line="240" w:lineRule="auto"/>
              <w:rPr>
                <w:color w:val="000000" w:themeColor="text1"/>
                <w:sz w:val="20"/>
                <w:szCs w:val="20"/>
              </w:rPr>
            </w:pPr>
            <w:r w:rsidRPr="00C951F0">
              <w:rPr>
                <w:color w:val="000000" w:themeColor="text1"/>
                <w:sz w:val="20"/>
                <w:szCs w:val="20"/>
              </w:rPr>
              <w:t>Semaglutide 2·4 mg / semaglutide 1·0 mg</w:t>
            </w:r>
            <w:r w:rsidR="00C921B3" w:rsidRPr="00C951F0">
              <w:rPr>
                <w:color w:val="000000" w:themeColor="text1"/>
                <w:sz w:val="20"/>
                <w:szCs w:val="20"/>
              </w:rPr>
              <w:t>;</w:t>
            </w:r>
            <w:r w:rsidRPr="00C951F0">
              <w:rPr>
                <w:color w:val="000000" w:themeColor="text1"/>
                <w:sz w:val="20"/>
                <w:szCs w:val="20"/>
              </w:rPr>
              <w:t xml:space="preserve"> OR: 2·17 </w:t>
            </w:r>
            <w:r w:rsidR="00433982" w:rsidRPr="00C951F0">
              <w:rPr>
                <w:color w:val="000000" w:themeColor="text1"/>
                <w:sz w:val="20"/>
                <w:szCs w:val="20"/>
              </w:rPr>
              <w:t>(</w:t>
            </w:r>
            <w:r w:rsidRPr="00C951F0">
              <w:rPr>
                <w:color w:val="000000" w:themeColor="text1"/>
                <w:sz w:val="20"/>
                <w:szCs w:val="20"/>
              </w:rPr>
              <w:t>1·50 to 3·15</w:t>
            </w:r>
            <w:r w:rsidR="00433982" w:rsidRPr="00C951F0">
              <w:rPr>
                <w:color w:val="000000" w:themeColor="text1"/>
                <w:sz w:val="20"/>
                <w:szCs w:val="20"/>
              </w:rPr>
              <w:t>)</w:t>
            </w:r>
          </w:p>
        </w:tc>
      </w:tr>
      <w:tr w:rsidR="00C951F0" w:rsidRPr="00C951F0" w14:paraId="1F801B8A" w14:textId="77777777" w:rsidTr="00934A10">
        <w:tc>
          <w:tcPr>
            <w:tcW w:w="1674" w:type="pct"/>
            <w:tcBorders>
              <w:top w:val="single" w:sz="4" w:space="0" w:color="auto"/>
              <w:bottom w:val="nil"/>
            </w:tcBorders>
          </w:tcPr>
          <w:p w14:paraId="06CAB7EE" w14:textId="1AF6F256" w:rsidR="00E47DB7" w:rsidRPr="00C951F0" w:rsidDel="00555C30" w:rsidRDefault="00E47DB7" w:rsidP="00D2651E">
            <w:pPr>
              <w:spacing w:line="240" w:lineRule="auto"/>
              <w:rPr>
                <w:rFonts w:cs="Arial"/>
                <w:color w:val="000000" w:themeColor="text1"/>
                <w:sz w:val="20"/>
                <w:szCs w:val="20"/>
              </w:rPr>
            </w:pPr>
            <w:r w:rsidRPr="00C951F0">
              <w:rPr>
                <w:color w:val="000000" w:themeColor="text1"/>
                <w:sz w:val="20"/>
                <w:szCs w:val="20"/>
              </w:rPr>
              <w:t xml:space="preserve">Waist circumference </w:t>
            </w:r>
            <w:r w:rsidRPr="00C951F0">
              <w:rPr>
                <w:rFonts w:cs="Arial"/>
                <w:color w:val="000000" w:themeColor="text1"/>
                <w:sz w:val="20"/>
                <w:szCs w:val="20"/>
              </w:rPr>
              <w:t>—</w:t>
            </w:r>
            <w:r w:rsidRPr="00C951F0">
              <w:rPr>
                <w:color w:val="000000" w:themeColor="text1"/>
                <w:sz w:val="20"/>
                <w:szCs w:val="20"/>
              </w:rPr>
              <w:t xml:space="preserve"> cm</w:t>
            </w:r>
          </w:p>
        </w:tc>
        <w:tc>
          <w:tcPr>
            <w:tcW w:w="526" w:type="pct"/>
            <w:tcBorders>
              <w:top w:val="single" w:sz="4" w:space="0" w:color="auto"/>
              <w:bottom w:val="nil"/>
            </w:tcBorders>
          </w:tcPr>
          <w:p w14:paraId="29FEE06E" w14:textId="77777777" w:rsidR="00E47DB7" w:rsidRPr="00C951F0" w:rsidDel="00555C30" w:rsidRDefault="00E47DB7" w:rsidP="0039543A">
            <w:pPr>
              <w:spacing w:line="240" w:lineRule="auto"/>
              <w:jc w:val="center"/>
              <w:rPr>
                <w:color w:val="000000" w:themeColor="text1"/>
                <w:sz w:val="20"/>
                <w:szCs w:val="20"/>
              </w:rPr>
            </w:pPr>
          </w:p>
        </w:tc>
        <w:tc>
          <w:tcPr>
            <w:tcW w:w="526" w:type="pct"/>
            <w:tcBorders>
              <w:top w:val="single" w:sz="4" w:space="0" w:color="auto"/>
              <w:bottom w:val="nil"/>
            </w:tcBorders>
          </w:tcPr>
          <w:p w14:paraId="31F4B3EE" w14:textId="77777777" w:rsidR="00E47DB7" w:rsidRPr="00C951F0" w:rsidDel="00555C30" w:rsidRDefault="00E47DB7" w:rsidP="0039543A">
            <w:pPr>
              <w:spacing w:line="240" w:lineRule="auto"/>
              <w:jc w:val="center"/>
              <w:rPr>
                <w:color w:val="000000" w:themeColor="text1"/>
                <w:sz w:val="20"/>
                <w:szCs w:val="20"/>
              </w:rPr>
            </w:pPr>
          </w:p>
        </w:tc>
        <w:tc>
          <w:tcPr>
            <w:tcW w:w="524" w:type="pct"/>
            <w:tcBorders>
              <w:top w:val="single" w:sz="4" w:space="0" w:color="auto"/>
              <w:bottom w:val="nil"/>
            </w:tcBorders>
          </w:tcPr>
          <w:p w14:paraId="13A76E61" w14:textId="77777777" w:rsidR="00E47DB7" w:rsidRPr="00C951F0" w:rsidDel="00555C30" w:rsidRDefault="00E47DB7" w:rsidP="0039543A">
            <w:pPr>
              <w:spacing w:line="240" w:lineRule="auto"/>
              <w:jc w:val="center"/>
              <w:rPr>
                <w:color w:val="000000" w:themeColor="text1"/>
                <w:sz w:val="20"/>
                <w:szCs w:val="20"/>
              </w:rPr>
            </w:pPr>
          </w:p>
        </w:tc>
        <w:tc>
          <w:tcPr>
            <w:tcW w:w="1750" w:type="pct"/>
            <w:tcBorders>
              <w:top w:val="single" w:sz="4" w:space="0" w:color="auto"/>
              <w:bottom w:val="nil"/>
            </w:tcBorders>
          </w:tcPr>
          <w:p w14:paraId="19424C91" w14:textId="77777777" w:rsidR="00E47DB7" w:rsidRPr="00C951F0" w:rsidRDefault="00E47DB7" w:rsidP="0039543A">
            <w:pPr>
              <w:spacing w:line="240" w:lineRule="auto"/>
              <w:rPr>
                <w:color w:val="000000" w:themeColor="text1"/>
                <w:sz w:val="20"/>
                <w:szCs w:val="20"/>
              </w:rPr>
            </w:pPr>
          </w:p>
        </w:tc>
      </w:tr>
      <w:tr w:rsidR="00C25CC5" w:rsidRPr="00C951F0" w14:paraId="149D4C43" w14:textId="77777777" w:rsidTr="00934A10">
        <w:tc>
          <w:tcPr>
            <w:tcW w:w="1674" w:type="pct"/>
            <w:tcBorders>
              <w:top w:val="nil"/>
              <w:bottom w:val="nil"/>
            </w:tcBorders>
          </w:tcPr>
          <w:p w14:paraId="7655BF1D" w14:textId="718363A1" w:rsidR="00C25CC5" w:rsidRPr="00C951F0" w:rsidRDefault="00C25CC5"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5291B298" w14:textId="2F3C2F1E" w:rsidR="00C25CC5" w:rsidRPr="00C951F0" w:rsidRDefault="00C25CC5">
            <w:pPr>
              <w:spacing w:line="240" w:lineRule="auto"/>
              <w:jc w:val="center"/>
              <w:rPr>
                <w:color w:val="000000" w:themeColor="text1"/>
                <w:sz w:val="20"/>
                <w:szCs w:val="20"/>
              </w:rPr>
            </w:pPr>
            <w:r>
              <w:rPr>
                <w:color w:val="000000" w:themeColor="text1"/>
                <w:sz w:val="20"/>
                <w:szCs w:val="20"/>
              </w:rPr>
              <w:t>387</w:t>
            </w:r>
          </w:p>
        </w:tc>
        <w:tc>
          <w:tcPr>
            <w:tcW w:w="526" w:type="pct"/>
            <w:tcBorders>
              <w:top w:val="nil"/>
              <w:bottom w:val="nil"/>
            </w:tcBorders>
          </w:tcPr>
          <w:p w14:paraId="3A7D632F" w14:textId="3274C942" w:rsidR="00C25CC5" w:rsidRPr="00C951F0" w:rsidRDefault="00C25CC5">
            <w:pPr>
              <w:spacing w:line="240" w:lineRule="auto"/>
              <w:jc w:val="center"/>
              <w:rPr>
                <w:color w:val="000000" w:themeColor="text1"/>
                <w:sz w:val="20"/>
                <w:szCs w:val="20"/>
              </w:rPr>
            </w:pPr>
            <w:r>
              <w:rPr>
                <w:color w:val="000000" w:themeColor="text1"/>
                <w:sz w:val="20"/>
                <w:szCs w:val="20"/>
              </w:rPr>
              <w:t>380</w:t>
            </w:r>
          </w:p>
        </w:tc>
        <w:tc>
          <w:tcPr>
            <w:tcW w:w="524" w:type="pct"/>
            <w:tcBorders>
              <w:top w:val="nil"/>
              <w:bottom w:val="nil"/>
            </w:tcBorders>
          </w:tcPr>
          <w:p w14:paraId="7752E67A" w14:textId="7ED996ED" w:rsidR="00C25CC5" w:rsidRPr="00C951F0" w:rsidRDefault="00C25CC5">
            <w:pPr>
              <w:spacing w:line="240" w:lineRule="auto"/>
              <w:jc w:val="center"/>
              <w:rPr>
                <w:color w:val="000000" w:themeColor="text1"/>
                <w:sz w:val="20"/>
                <w:szCs w:val="20"/>
              </w:rPr>
            </w:pPr>
            <w:r>
              <w:rPr>
                <w:color w:val="000000" w:themeColor="text1"/>
                <w:sz w:val="20"/>
                <w:szCs w:val="20"/>
              </w:rPr>
              <w:t>375</w:t>
            </w:r>
          </w:p>
        </w:tc>
        <w:tc>
          <w:tcPr>
            <w:tcW w:w="1750" w:type="pct"/>
            <w:tcBorders>
              <w:top w:val="nil"/>
              <w:bottom w:val="nil"/>
            </w:tcBorders>
          </w:tcPr>
          <w:p w14:paraId="4260BF72" w14:textId="77777777" w:rsidR="00C25CC5" w:rsidRPr="00C951F0" w:rsidRDefault="00C25CC5">
            <w:pPr>
              <w:spacing w:line="240" w:lineRule="auto"/>
              <w:rPr>
                <w:color w:val="000000" w:themeColor="text1"/>
                <w:sz w:val="20"/>
                <w:szCs w:val="20"/>
              </w:rPr>
            </w:pPr>
          </w:p>
        </w:tc>
      </w:tr>
      <w:tr w:rsidR="00C951F0" w:rsidRPr="00C951F0" w14:paraId="61ECA7F9" w14:textId="77777777" w:rsidTr="00934A10">
        <w:tc>
          <w:tcPr>
            <w:tcW w:w="1674" w:type="pct"/>
            <w:tcBorders>
              <w:top w:val="nil"/>
              <w:bottom w:val="nil"/>
            </w:tcBorders>
          </w:tcPr>
          <w:p w14:paraId="120223FD" w14:textId="5CCF3672"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 xml:space="preserve">Week 68 mean </w:t>
            </w:r>
            <w:r w:rsidR="00D2651E" w:rsidRPr="00C951F0">
              <w:rPr>
                <w:rFonts w:cs="Arial"/>
                <w:color w:val="000000" w:themeColor="text1"/>
                <w:sz w:val="20"/>
                <w:szCs w:val="20"/>
              </w:rPr>
              <w:t xml:space="preserve">± </w:t>
            </w:r>
            <w:r w:rsidRPr="00C951F0">
              <w:rPr>
                <w:rFonts w:cs="Arial"/>
                <w:color w:val="000000" w:themeColor="text1"/>
                <w:sz w:val="20"/>
                <w:szCs w:val="20"/>
              </w:rPr>
              <w:t>SD</w:t>
            </w:r>
          </w:p>
        </w:tc>
        <w:tc>
          <w:tcPr>
            <w:tcW w:w="526" w:type="pct"/>
            <w:tcBorders>
              <w:top w:val="nil"/>
              <w:bottom w:val="nil"/>
            </w:tcBorders>
          </w:tcPr>
          <w:p w14:paraId="159EEA63" w14:textId="3C5621EA" w:rsidR="00B1644A" w:rsidRPr="00C951F0" w:rsidRDefault="00B1644A">
            <w:pPr>
              <w:spacing w:line="240" w:lineRule="auto"/>
              <w:jc w:val="center"/>
              <w:rPr>
                <w:color w:val="000000" w:themeColor="text1"/>
                <w:sz w:val="20"/>
                <w:szCs w:val="20"/>
              </w:rPr>
            </w:pPr>
            <w:r w:rsidRPr="00C951F0">
              <w:rPr>
                <w:color w:val="000000" w:themeColor="text1"/>
                <w:sz w:val="20"/>
                <w:szCs w:val="20"/>
              </w:rPr>
              <w:t>104</w:t>
            </w:r>
            <w:r w:rsidR="00C5236B" w:rsidRPr="00C951F0">
              <w:rPr>
                <w:color w:val="000000" w:themeColor="text1"/>
                <w:sz w:val="20"/>
                <w:szCs w:val="20"/>
              </w:rPr>
              <w:t>·</w:t>
            </w:r>
            <w:r w:rsidRPr="00C951F0">
              <w:rPr>
                <w:color w:val="000000" w:themeColor="text1"/>
                <w:sz w:val="20"/>
                <w:szCs w:val="20"/>
              </w:rPr>
              <w:t xml:space="preserve">4 </w:t>
            </w:r>
            <w:r w:rsidR="00D2651E" w:rsidRPr="00C951F0">
              <w:rPr>
                <w:color w:val="000000" w:themeColor="text1"/>
                <w:sz w:val="20"/>
                <w:szCs w:val="20"/>
              </w:rPr>
              <w:t xml:space="preserve">± </w:t>
            </w:r>
            <w:r w:rsidRPr="00C951F0">
              <w:rPr>
                <w:color w:val="000000" w:themeColor="text1"/>
                <w:sz w:val="20"/>
                <w:szCs w:val="20"/>
              </w:rPr>
              <w:t>14</w:t>
            </w:r>
            <w:r w:rsidR="00C5236B" w:rsidRPr="00C951F0">
              <w:rPr>
                <w:color w:val="000000" w:themeColor="text1"/>
                <w:sz w:val="20"/>
                <w:szCs w:val="20"/>
              </w:rPr>
              <w:t>·</w:t>
            </w:r>
            <w:r w:rsidRPr="00C951F0">
              <w:rPr>
                <w:color w:val="000000" w:themeColor="text1"/>
                <w:sz w:val="20"/>
                <w:szCs w:val="20"/>
              </w:rPr>
              <w:t>7</w:t>
            </w:r>
          </w:p>
        </w:tc>
        <w:tc>
          <w:tcPr>
            <w:tcW w:w="526" w:type="pct"/>
            <w:tcBorders>
              <w:top w:val="nil"/>
              <w:bottom w:val="nil"/>
            </w:tcBorders>
          </w:tcPr>
          <w:p w14:paraId="70DF9754" w14:textId="470FBBF9" w:rsidR="00B1644A" w:rsidRPr="00C951F0" w:rsidRDefault="00B1644A">
            <w:pPr>
              <w:spacing w:line="240" w:lineRule="auto"/>
              <w:jc w:val="center"/>
              <w:rPr>
                <w:color w:val="000000" w:themeColor="text1"/>
                <w:sz w:val="20"/>
                <w:szCs w:val="20"/>
              </w:rPr>
            </w:pPr>
            <w:r w:rsidRPr="00C951F0">
              <w:rPr>
                <w:color w:val="000000" w:themeColor="text1"/>
                <w:sz w:val="20"/>
                <w:szCs w:val="20"/>
              </w:rPr>
              <w:t>107</w:t>
            </w:r>
            <w:r w:rsidR="00C5236B" w:rsidRPr="00C951F0">
              <w:rPr>
                <w:color w:val="000000" w:themeColor="text1"/>
                <w:sz w:val="20"/>
                <w:szCs w:val="20"/>
              </w:rPr>
              <w:t>·</w:t>
            </w:r>
            <w:r w:rsidRPr="00C951F0">
              <w:rPr>
                <w:color w:val="000000" w:themeColor="text1"/>
                <w:sz w:val="20"/>
                <w:szCs w:val="20"/>
              </w:rPr>
              <w:t xml:space="preserve">2 </w:t>
            </w:r>
            <w:r w:rsidR="00D2651E" w:rsidRPr="00C951F0">
              <w:rPr>
                <w:color w:val="000000" w:themeColor="text1"/>
                <w:sz w:val="20"/>
                <w:szCs w:val="20"/>
              </w:rPr>
              <w:t xml:space="preserve">± </w:t>
            </w:r>
            <w:r w:rsidRPr="00C951F0">
              <w:rPr>
                <w:color w:val="000000" w:themeColor="text1"/>
                <w:sz w:val="20"/>
                <w:szCs w:val="20"/>
              </w:rPr>
              <w:t>14</w:t>
            </w:r>
            <w:r w:rsidR="00C5236B" w:rsidRPr="00C951F0">
              <w:rPr>
                <w:color w:val="000000" w:themeColor="text1"/>
                <w:sz w:val="20"/>
                <w:szCs w:val="20"/>
              </w:rPr>
              <w:t>·</w:t>
            </w:r>
            <w:r w:rsidRPr="00C951F0">
              <w:rPr>
                <w:color w:val="000000" w:themeColor="text1"/>
                <w:sz w:val="20"/>
                <w:szCs w:val="20"/>
              </w:rPr>
              <w:t>6</w:t>
            </w:r>
          </w:p>
        </w:tc>
        <w:tc>
          <w:tcPr>
            <w:tcW w:w="524" w:type="pct"/>
            <w:tcBorders>
              <w:top w:val="nil"/>
              <w:bottom w:val="nil"/>
            </w:tcBorders>
          </w:tcPr>
          <w:p w14:paraId="1ED319D8" w14:textId="7675D382" w:rsidR="00B1644A" w:rsidRPr="00C951F0" w:rsidRDefault="00B1644A">
            <w:pPr>
              <w:spacing w:line="240" w:lineRule="auto"/>
              <w:jc w:val="center"/>
              <w:rPr>
                <w:color w:val="000000" w:themeColor="text1"/>
                <w:sz w:val="20"/>
                <w:szCs w:val="20"/>
              </w:rPr>
            </w:pPr>
            <w:r w:rsidRPr="00C951F0">
              <w:rPr>
                <w:color w:val="000000" w:themeColor="text1"/>
                <w:sz w:val="20"/>
                <w:szCs w:val="20"/>
              </w:rPr>
              <w:t>111</w:t>
            </w:r>
            <w:r w:rsidR="00C5236B" w:rsidRPr="00C951F0">
              <w:rPr>
                <w:color w:val="000000" w:themeColor="text1"/>
                <w:sz w:val="20"/>
                <w:szCs w:val="20"/>
              </w:rPr>
              <w:t>·</w:t>
            </w:r>
            <w:r w:rsidRPr="00C951F0">
              <w:rPr>
                <w:color w:val="000000" w:themeColor="text1"/>
                <w:sz w:val="20"/>
                <w:szCs w:val="20"/>
              </w:rPr>
              <w:t xml:space="preserve">0 </w:t>
            </w:r>
            <w:r w:rsidR="00D2651E" w:rsidRPr="00C951F0">
              <w:rPr>
                <w:color w:val="000000" w:themeColor="text1"/>
                <w:sz w:val="20"/>
                <w:szCs w:val="20"/>
              </w:rPr>
              <w:t>±</w:t>
            </w:r>
            <w:r w:rsidRPr="00C951F0">
              <w:rPr>
                <w:color w:val="000000" w:themeColor="text1"/>
                <w:sz w:val="20"/>
                <w:szCs w:val="20"/>
              </w:rPr>
              <w:t>13</w:t>
            </w:r>
            <w:r w:rsidR="00C5236B" w:rsidRPr="00C951F0">
              <w:rPr>
                <w:color w:val="000000" w:themeColor="text1"/>
                <w:sz w:val="20"/>
                <w:szCs w:val="20"/>
              </w:rPr>
              <w:t>·</w:t>
            </w:r>
            <w:r w:rsidRPr="00C951F0">
              <w:rPr>
                <w:color w:val="000000" w:themeColor="text1"/>
                <w:sz w:val="20"/>
                <w:szCs w:val="20"/>
              </w:rPr>
              <w:t>7</w:t>
            </w:r>
          </w:p>
        </w:tc>
        <w:tc>
          <w:tcPr>
            <w:tcW w:w="1750" w:type="pct"/>
            <w:tcBorders>
              <w:top w:val="nil"/>
              <w:bottom w:val="nil"/>
            </w:tcBorders>
          </w:tcPr>
          <w:p w14:paraId="5F2D24E1" w14:textId="22C3BC83" w:rsidR="00B1644A" w:rsidRPr="00C951F0" w:rsidRDefault="00B1644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placebo (cm)</w:t>
            </w:r>
            <w:r w:rsidR="00C921B3" w:rsidRPr="00C951F0">
              <w:rPr>
                <w:color w:val="000000" w:themeColor="text1"/>
                <w:sz w:val="20"/>
                <w:szCs w:val="20"/>
              </w:rPr>
              <w:t>;</w:t>
            </w:r>
            <w:r w:rsidRPr="00C951F0">
              <w:rPr>
                <w:color w:val="000000" w:themeColor="text1"/>
                <w:sz w:val="20"/>
                <w:szCs w:val="20"/>
              </w:rPr>
              <w:t xml:space="preserve"> ETD: </w:t>
            </w:r>
            <w:r w:rsidR="00B81AAF" w:rsidRPr="00C951F0">
              <w:rPr>
                <w:color w:val="000000" w:themeColor="text1"/>
                <w:sz w:val="20"/>
                <w:szCs w:val="20"/>
              </w:rPr>
              <w:t>−</w:t>
            </w:r>
            <w:r w:rsidRPr="00C951F0">
              <w:rPr>
                <w:color w:val="000000" w:themeColor="text1"/>
                <w:sz w:val="20"/>
                <w:szCs w:val="20"/>
              </w:rPr>
              <w:t>4</w:t>
            </w:r>
            <w:r w:rsidR="00C5236B" w:rsidRPr="00C951F0">
              <w:rPr>
                <w:color w:val="000000" w:themeColor="text1"/>
                <w:sz w:val="20"/>
                <w:szCs w:val="20"/>
              </w:rPr>
              <w:t>·</w:t>
            </w:r>
            <w:r w:rsidRPr="00C951F0">
              <w:rPr>
                <w:color w:val="000000" w:themeColor="text1"/>
                <w:sz w:val="20"/>
                <w:szCs w:val="20"/>
              </w:rPr>
              <w:t xml:space="preserve">9 </w:t>
            </w:r>
            <w:r w:rsidR="00433982" w:rsidRPr="00C951F0">
              <w:rPr>
                <w:color w:val="000000" w:themeColor="text1"/>
                <w:sz w:val="20"/>
                <w:szCs w:val="20"/>
              </w:rPr>
              <w:t>(</w:t>
            </w:r>
            <w:r w:rsidR="00B81AAF" w:rsidRPr="00C951F0">
              <w:rPr>
                <w:color w:val="000000" w:themeColor="text1"/>
                <w:sz w:val="20"/>
                <w:szCs w:val="20"/>
              </w:rPr>
              <w:t>−</w:t>
            </w:r>
            <w:r w:rsidRPr="00C951F0">
              <w:rPr>
                <w:color w:val="000000" w:themeColor="text1"/>
                <w:sz w:val="20"/>
                <w:szCs w:val="20"/>
              </w:rPr>
              <w:t>6</w:t>
            </w:r>
            <w:r w:rsidR="00C5236B" w:rsidRPr="00C951F0">
              <w:rPr>
                <w:color w:val="000000" w:themeColor="text1"/>
                <w:sz w:val="20"/>
                <w:szCs w:val="20"/>
              </w:rPr>
              <w:t>·</w:t>
            </w:r>
            <w:r w:rsidRPr="00C951F0">
              <w:rPr>
                <w:color w:val="000000" w:themeColor="text1"/>
                <w:sz w:val="20"/>
                <w:szCs w:val="20"/>
              </w:rPr>
              <w:t>0</w:t>
            </w:r>
            <w:r w:rsidR="00227D23" w:rsidRPr="00C951F0">
              <w:rPr>
                <w:color w:val="000000" w:themeColor="text1"/>
                <w:sz w:val="20"/>
                <w:szCs w:val="20"/>
              </w:rPr>
              <w:t xml:space="preserve"> to</w:t>
            </w:r>
            <w:r w:rsidRPr="00C951F0">
              <w:rPr>
                <w:color w:val="000000" w:themeColor="text1"/>
                <w:sz w:val="20"/>
                <w:szCs w:val="20"/>
              </w:rPr>
              <w:t xml:space="preserve"> </w:t>
            </w:r>
            <w:r w:rsidR="00B81AAF" w:rsidRPr="00C951F0">
              <w:rPr>
                <w:color w:val="000000" w:themeColor="text1"/>
                <w:sz w:val="20"/>
                <w:szCs w:val="20"/>
              </w:rPr>
              <w:t>−</w:t>
            </w:r>
            <w:r w:rsidRPr="00C951F0">
              <w:rPr>
                <w:color w:val="000000" w:themeColor="text1"/>
                <w:sz w:val="20"/>
                <w:szCs w:val="20"/>
              </w:rPr>
              <w:t>3</w:t>
            </w:r>
            <w:r w:rsidR="00C5236B" w:rsidRPr="00C951F0">
              <w:rPr>
                <w:color w:val="000000" w:themeColor="text1"/>
                <w:sz w:val="20"/>
                <w:szCs w:val="20"/>
              </w:rPr>
              <w:t>·</w:t>
            </w:r>
            <w:r w:rsidRPr="00C951F0">
              <w:rPr>
                <w:color w:val="000000" w:themeColor="text1"/>
                <w:sz w:val="20"/>
                <w:szCs w:val="20"/>
              </w:rPr>
              <w:t>8</w:t>
            </w:r>
            <w:r w:rsidR="00433982" w:rsidRPr="00C951F0">
              <w:rPr>
                <w:color w:val="000000" w:themeColor="text1"/>
                <w:sz w:val="20"/>
                <w:szCs w:val="20"/>
              </w:rPr>
              <w:t>)</w:t>
            </w:r>
            <w:r w:rsidRPr="00C951F0">
              <w:rPr>
                <w:color w:val="000000" w:themeColor="text1"/>
                <w:sz w:val="20"/>
                <w:szCs w:val="20"/>
              </w:rPr>
              <w:t xml:space="preserve">; </w:t>
            </w:r>
            <w:r w:rsidR="008F1F91" w:rsidRPr="00C951F0">
              <w:rPr>
                <w:color w:val="000000" w:themeColor="text1"/>
                <w:sz w:val="20"/>
                <w:szCs w:val="20"/>
              </w:rPr>
              <w:t>p</w:t>
            </w:r>
            <w:r w:rsidRPr="00C951F0">
              <w:rPr>
                <w:color w:val="000000" w:themeColor="text1"/>
                <w:sz w:val="20"/>
                <w:szCs w:val="20"/>
              </w:rPr>
              <w:t>&lt;0</w:t>
            </w:r>
            <w:r w:rsidR="00C5236B" w:rsidRPr="00C951F0">
              <w:rPr>
                <w:color w:val="000000" w:themeColor="text1"/>
                <w:sz w:val="20"/>
                <w:szCs w:val="20"/>
              </w:rPr>
              <w:t>·</w:t>
            </w:r>
            <w:r w:rsidRPr="00C951F0">
              <w:rPr>
                <w:color w:val="000000" w:themeColor="text1"/>
                <w:sz w:val="20"/>
                <w:szCs w:val="20"/>
              </w:rPr>
              <w:t>001</w:t>
            </w:r>
          </w:p>
        </w:tc>
      </w:tr>
      <w:tr w:rsidR="00C951F0" w:rsidRPr="00C951F0" w14:paraId="169F6913" w14:textId="77777777" w:rsidTr="00934A10">
        <w:tc>
          <w:tcPr>
            <w:tcW w:w="1674" w:type="pct"/>
            <w:tcBorders>
              <w:top w:val="nil"/>
              <w:bottom w:val="single" w:sz="4" w:space="0" w:color="auto"/>
            </w:tcBorders>
          </w:tcPr>
          <w:p w14:paraId="159E05A1" w14:textId="7C315EE3" w:rsidR="00555C30" w:rsidRPr="00C951F0" w:rsidRDefault="00555C30" w:rsidP="00934A10">
            <w:pPr>
              <w:spacing w:line="240" w:lineRule="auto"/>
              <w:ind w:left="306"/>
              <w:rPr>
                <w:rFonts w:cs="Arial"/>
                <w:color w:val="000000" w:themeColor="text1"/>
                <w:sz w:val="20"/>
                <w:szCs w:val="20"/>
              </w:rPr>
            </w:pPr>
            <w:r w:rsidRPr="00C951F0">
              <w:rPr>
                <w:rFonts w:cs="Arial"/>
                <w:color w:val="000000" w:themeColor="text1"/>
                <w:sz w:val="20"/>
                <w:szCs w:val="20"/>
              </w:rPr>
              <w:t>Change from baseline to week 68 — cm</w:t>
            </w:r>
            <w:r w:rsidR="00CE771D">
              <w:rPr>
                <w:rFonts w:cs="Arial"/>
                <w:color w:val="000000" w:themeColor="text1"/>
                <w:sz w:val="20"/>
                <w:szCs w:val="20"/>
              </w:rPr>
              <w:t xml:space="preserve"> (SE)</w:t>
            </w:r>
          </w:p>
        </w:tc>
        <w:tc>
          <w:tcPr>
            <w:tcW w:w="526" w:type="pct"/>
            <w:tcBorders>
              <w:top w:val="nil"/>
              <w:bottom w:val="single" w:sz="4" w:space="0" w:color="auto"/>
            </w:tcBorders>
          </w:tcPr>
          <w:p w14:paraId="6A4A9BF8" w14:textId="06E75E42" w:rsidR="00555C30" w:rsidRPr="00C951F0" w:rsidRDefault="00555C30" w:rsidP="0039543A">
            <w:pPr>
              <w:spacing w:line="240" w:lineRule="auto"/>
              <w:jc w:val="center"/>
              <w:rPr>
                <w:color w:val="000000" w:themeColor="text1"/>
                <w:sz w:val="20"/>
                <w:szCs w:val="20"/>
              </w:rPr>
            </w:pPr>
            <w:r w:rsidRPr="00C951F0">
              <w:rPr>
                <w:color w:val="000000" w:themeColor="text1"/>
                <w:sz w:val="20"/>
                <w:szCs w:val="20"/>
              </w:rPr>
              <w:t>−9·4</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4)</w:t>
            </w:r>
          </w:p>
        </w:tc>
        <w:tc>
          <w:tcPr>
            <w:tcW w:w="526" w:type="pct"/>
            <w:tcBorders>
              <w:top w:val="nil"/>
              <w:bottom w:val="single" w:sz="4" w:space="0" w:color="auto"/>
            </w:tcBorders>
          </w:tcPr>
          <w:p w14:paraId="4B4E78EC" w14:textId="2A58E1FD" w:rsidR="00555C30" w:rsidRPr="00C951F0" w:rsidRDefault="00555C30" w:rsidP="00934A10">
            <w:pPr>
              <w:spacing w:line="240" w:lineRule="auto"/>
              <w:jc w:val="center"/>
              <w:rPr>
                <w:color w:val="000000" w:themeColor="text1"/>
                <w:sz w:val="20"/>
                <w:szCs w:val="20"/>
              </w:rPr>
            </w:pPr>
            <w:r w:rsidRPr="00C951F0">
              <w:rPr>
                <w:color w:val="000000" w:themeColor="text1"/>
                <w:sz w:val="20"/>
                <w:szCs w:val="20"/>
              </w:rPr>
              <w:t>−6·7</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4)</w:t>
            </w:r>
          </w:p>
        </w:tc>
        <w:tc>
          <w:tcPr>
            <w:tcW w:w="524" w:type="pct"/>
            <w:tcBorders>
              <w:top w:val="nil"/>
              <w:bottom w:val="single" w:sz="4" w:space="0" w:color="auto"/>
            </w:tcBorders>
          </w:tcPr>
          <w:p w14:paraId="1C81CAEE" w14:textId="3E5BC67F" w:rsidR="00555C30" w:rsidRPr="00C951F0" w:rsidRDefault="00555C30" w:rsidP="0039543A">
            <w:pPr>
              <w:spacing w:line="240" w:lineRule="auto"/>
              <w:jc w:val="center"/>
              <w:rPr>
                <w:color w:val="000000" w:themeColor="text1"/>
                <w:sz w:val="20"/>
                <w:szCs w:val="20"/>
              </w:rPr>
            </w:pPr>
            <w:r w:rsidRPr="00C951F0">
              <w:rPr>
                <w:color w:val="000000" w:themeColor="text1"/>
                <w:sz w:val="20"/>
                <w:szCs w:val="20"/>
              </w:rPr>
              <w:t>−4·5</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4)</w:t>
            </w:r>
          </w:p>
        </w:tc>
        <w:tc>
          <w:tcPr>
            <w:tcW w:w="1750" w:type="pct"/>
            <w:tcBorders>
              <w:top w:val="nil"/>
              <w:bottom w:val="single" w:sz="4" w:space="0" w:color="auto"/>
            </w:tcBorders>
          </w:tcPr>
          <w:p w14:paraId="3A52D418" w14:textId="61F6FD4C" w:rsidR="00555C30" w:rsidRPr="00C951F0" w:rsidRDefault="00555C30" w:rsidP="0039543A">
            <w:pPr>
              <w:spacing w:line="240" w:lineRule="auto"/>
              <w:rPr>
                <w:color w:val="000000" w:themeColor="text1"/>
                <w:sz w:val="20"/>
                <w:szCs w:val="20"/>
              </w:rPr>
            </w:pPr>
            <w:r w:rsidRPr="00C951F0">
              <w:rPr>
                <w:color w:val="000000" w:themeColor="text1"/>
                <w:sz w:val="20"/>
                <w:szCs w:val="20"/>
              </w:rPr>
              <w:t>Semaglutide 2·4 mg – semaglutide 1·0 mg (cm)</w:t>
            </w:r>
            <w:r w:rsidR="00C921B3" w:rsidRPr="00C951F0">
              <w:rPr>
                <w:color w:val="000000" w:themeColor="text1"/>
                <w:sz w:val="20"/>
                <w:szCs w:val="20"/>
              </w:rPr>
              <w:t xml:space="preserve">; </w:t>
            </w:r>
            <w:r w:rsidRPr="00C951F0">
              <w:rPr>
                <w:color w:val="000000" w:themeColor="text1"/>
                <w:sz w:val="20"/>
                <w:szCs w:val="20"/>
              </w:rPr>
              <w:t xml:space="preserve">ETD: −2·7 </w:t>
            </w:r>
            <w:r w:rsidR="00433982" w:rsidRPr="00C951F0">
              <w:rPr>
                <w:color w:val="000000" w:themeColor="text1"/>
                <w:sz w:val="20"/>
                <w:szCs w:val="20"/>
              </w:rPr>
              <w:t>(</w:t>
            </w:r>
            <w:r w:rsidRPr="00C951F0">
              <w:rPr>
                <w:color w:val="000000" w:themeColor="text1"/>
                <w:sz w:val="20"/>
                <w:szCs w:val="20"/>
              </w:rPr>
              <w:t>−3·7 to −1·7</w:t>
            </w:r>
            <w:r w:rsidR="00433982" w:rsidRPr="00C951F0">
              <w:rPr>
                <w:color w:val="000000" w:themeColor="text1"/>
                <w:sz w:val="20"/>
                <w:szCs w:val="20"/>
              </w:rPr>
              <w:t>)</w:t>
            </w:r>
          </w:p>
        </w:tc>
      </w:tr>
      <w:tr w:rsidR="00C951F0" w:rsidRPr="00C951F0" w14:paraId="267B0BA0" w14:textId="77777777" w:rsidTr="00934A10">
        <w:tc>
          <w:tcPr>
            <w:tcW w:w="1674" w:type="pct"/>
            <w:tcBorders>
              <w:top w:val="single" w:sz="4" w:space="0" w:color="auto"/>
              <w:bottom w:val="nil"/>
            </w:tcBorders>
          </w:tcPr>
          <w:p w14:paraId="6444B6A9" w14:textId="0EBB921B" w:rsidR="00E47DB7" w:rsidRPr="00C951F0" w:rsidRDefault="00E47DB7" w:rsidP="00934A10">
            <w:pPr>
              <w:spacing w:line="240" w:lineRule="auto"/>
              <w:rPr>
                <w:color w:val="000000" w:themeColor="text1"/>
                <w:sz w:val="20"/>
                <w:szCs w:val="20"/>
              </w:rPr>
            </w:pPr>
            <w:r w:rsidRPr="00C951F0">
              <w:rPr>
                <w:color w:val="000000" w:themeColor="text1"/>
                <w:sz w:val="20"/>
                <w:szCs w:val="20"/>
              </w:rPr>
              <w:t>HbA</w:t>
            </w:r>
            <w:r w:rsidRPr="00C951F0">
              <w:rPr>
                <w:color w:val="000000" w:themeColor="text1"/>
                <w:sz w:val="20"/>
                <w:szCs w:val="20"/>
                <w:vertAlign w:val="subscript"/>
              </w:rPr>
              <w:t>1c</w:t>
            </w:r>
            <w:r w:rsidRPr="00C951F0">
              <w:rPr>
                <w:color w:val="000000" w:themeColor="text1"/>
                <w:sz w:val="20"/>
                <w:szCs w:val="20"/>
              </w:rPr>
              <w:t xml:space="preserve"> </w:t>
            </w:r>
            <w:r w:rsidRPr="00C951F0">
              <w:rPr>
                <w:rFonts w:cs="Arial"/>
                <w:color w:val="000000" w:themeColor="text1"/>
                <w:sz w:val="20"/>
                <w:szCs w:val="20"/>
              </w:rPr>
              <w:t>—</w:t>
            </w:r>
            <w:r w:rsidRPr="00C951F0">
              <w:rPr>
                <w:color w:val="000000" w:themeColor="text1"/>
                <w:sz w:val="20"/>
                <w:szCs w:val="20"/>
              </w:rPr>
              <w:t xml:space="preserve"> %</w:t>
            </w:r>
          </w:p>
        </w:tc>
        <w:tc>
          <w:tcPr>
            <w:tcW w:w="526" w:type="pct"/>
            <w:tcBorders>
              <w:top w:val="single" w:sz="4" w:space="0" w:color="auto"/>
              <w:bottom w:val="nil"/>
            </w:tcBorders>
          </w:tcPr>
          <w:p w14:paraId="3B204E75" w14:textId="77777777" w:rsidR="00E47DB7" w:rsidRPr="00C951F0" w:rsidRDefault="00E47DB7" w:rsidP="0039543A">
            <w:pPr>
              <w:spacing w:line="240" w:lineRule="auto"/>
              <w:jc w:val="center"/>
              <w:rPr>
                <w:color w:val="000000" w:themeColor="text1"/>
                <w:sz w:val="20"/>
                <w:szCs w:val="20"/>
              </w:rPr>
            </w:pPr>
          </w:p>
        </w:tc>
        <w:tc>
          <w:tcPr>
            <w:tcW w:w="526" w:type="pct"/>
            <w:tcBorders>
              <w:top w:val="single" w:sz="4" w:space="0" w:color="auto"/>
              <w:bottom w:val="nil"/>
            </w:tcBorders>
          </w:tcPr>
          <w:p w14:paraId="616EA8E8" w14:textId="77777777" w:rsidR="00E47DB7" w:rsidRPr="00C951F0" w:rsidRDefault="00E47DB7" w:rsidP="00555C30">
            <w:pPr>
              <w:spacing w:line="240" w:lineRule="auto"/>
              <w:jc w:val="center"/>
              <w:rPr>
                <w:color w:val="000000" w:themeColor="text1"/>
                <w:sz w:val="20"/>
                <w:szCs w:val="20"/>
              </w:rPr>
            </w:pPr>
          </w:p>
        </w:tc>
        <w:tc>
          <w:tcPr>
            <w:tcW w:w="524" w:type="pct"/>
            <w:tcBorders>
              <w:top w:val="single" w:sz="4" w:space="0" w:color="auto"/>
              <w:bottom w:val="nil"/>
            </w:tcBorders>
          </w:tcPr>
          <w:p w14:paraId="6D52B447" w14:textId="77777777" w:rsidR="00E47DB7" w:rsidRPr="00C951F0" w:rsidRDefault="00E47DB7" w:rsidP="0039543A">
            <w:pPr>
              <w:spacing w:line="240" w:lineRule="auto"/>
              <w:jc w:val="center"/>
              <w:rPr>
                <w:color w:val="000000" w:themeColor="text1"/>
                <w:sz w:val="20"/>
                <w:szCs w:val="20"/>
              </w:rPr>
            </w:pPr>
          </w:p>
        </w:tc>
        <w:tc>
          <w:tcPr>
            <w:tcW w:w="1750" w:type="pct"/>
            <w:tcBorders>
              <w:top w:val="single" w:sz="4" w:space="0" w:color="auto"/>
              <w:bottom w:val="nil"/>
            </w:tcBorders>
          </w:tcPr>
          <w:p w14:paraId="18DB0C7E" w14:textId="77777777" w:rsidR="00E47DB7" w:rsidRPr="00C951F0" w:rsidRDefault="00E47DB7" w:rsidP="0039543A">
            <w:pPr>
              <w:spacing w:line="240" w:lineRule="auto"/>
              <w:rPr>
                <w:color w:val="000000" w:themeColor="text1"/>
                <w:sz w:val="20"/>
                <w:szCs w:val="20"/>
              </w:rPr>
            </w:pPr>
          </w:p>
        </w:tc>
      </w:tr>
      <w:tr w:rsidR="00C25CC5" w:rsidRPr="00C951F0" w14:paraId="036021C6" w14:textId="77777777" w:rsidTr="00934A10">
        <w:tc>
          <w:tcPr>
            <w:tcW w:w="1674" w:type="pct"/>
            <w:tcBorders>
              <w:top w:val="nil"/>
              <w:bottom w:val="nil"/>
            </w:tcBorders>
          </w:tcPr>
          <w:p w14:paraId="0F27A36C" w14:textId="19FC65C6" w:rsidR="00C25CC5" w:rsidRPr="00C951F0" w:rsidRDefault="00C25CC5"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7EB529AB" w14:textId="264772FB" w:rsidR="00C25CC5" w:rsidRPr="00C951F0" w:rsidRDefault="00C25CC5">
            <w:pPr>
              <w:spacing w:line="240" w:lineRule="auto"/>
              <w:jc w:val="center"/>
              <w:rPr>
                <w:color w:val="000000" w:themeColor="text1"/>
                <w:sz w:val="20"/>
                <w:szCs w:val="20"/>
              </w:rPr>
            </w:pPr>
            <w:r>
              <w:rPr>
                <w:color w:val="000000" w:themeColor="text1"/>
                <w:sz w:val="20"/>
                <w:szCs w:val="20"/>
              </w:rPr>
              <w:t>381</w:t>
            </w:r>
          </w:p>
        </w:tc>
        <w:tc>
          <w:tcPr>
            <w:tcW w:w="526" w:type="pct"/>
            <w:tcBorders>
              <w:top w:val="nil"/>
              <w:bottom w:val="nil"/>
            </w:tcBorders>
          </w:tcPr>
          <w:p w14:paraId="070C713F" w14:textId="7A275E24" w:rsidR="00C25CC5" w:rsidRPr="00C951F0" w:rsidRDefault="00C25CC5">
            <w:pPr>
              <w:spacing w:line="240" w:lineRule="auto"/>
              <w:jc w:val="center"/>
              <w:rPr>
                <w:color w:val="000000" w:themeColor="text1"/>
                <w:sz w:val="20"/>
                <w:szCs w:val="20"/>
              </w:rPr>
            </w:pPr>
            <w:r>
              <w:rPr>
                <w:color w:val="000000" w:themeColor="text1"/>
                <w:sz w:val="20"/>
                <w:szCs w:val="20"/>
              </w:rPr>
              <w:t>376</w:t>
            </w:r>
          </w:p>
        </w:tc>
        <w:tc>
          <w:tcPr>
            <w:tcW w:w="524" w:type="pct"/>
            <w:tcBorders>
              <w:top w:val="nil"/>
              <w:bottom w:val="nil"/>
            </w:tcBorders>
          </w:tcPr>
          <w:p w14:paraId="03613590" w14:textId="78A24728" w:rsidR="00C25CC5" w:rsidRPr="00C951F0" w:rsidRDefault="00C25CC5">
            <w:pPr>
              <w:spacing w:line="240" w:lineRule="auto"/>
              <w:jc w:val="center"/>
              <w:rPr>
                <w:color w:val="000000" w:themeColor="text1"/>
                <w:sz w:val="20"/>
                <w:szCs w:val="20"/>
              </w:rPr>
            </w:pPr>
            <w:r>
              <w:rPr>
                <w:color w:val="000000" w:themeColor="text1"/>
                <w:sz w:val="20"/>
                <w:szCs w:val="20"/>
              </w:rPr>
              <w:t>374</w:t>
            </w:r>
          </w:p>
        </w:tc>
        <w:tc>
          <w:tcPr>
            <w:tcW w:w="1750" w:type="pct"/>
            <w:tcBorders>
              <w:top w:val="nil"/>
              <w:bottom w:val="nil"/>
            </w:tcBorders>
          </w:tcPr>
          <w:p w14:paraId="43508737" w14:textId="77777777" w:rsidR="00C25CC5" w:rsidRPr="00C951F0" w:rsidRDefault="00C25CC5" w:rsidP="00E47DB7">
            <w:pPr>
              <w:spacing w:line="240" w:lineRule="auto"/>
              <w:rPr>
                <w:color w:val="000000" w:themeColor="text1"/>
                <w:sz w:val="20"/>
                <w:szCs w:val="20"/>
              </w:rPr>
            </w:pPr>
          </w:p>
        </w:tc>
      </w:tr>
      <w:tr w:rsidR="00C951F0" w:rsidRPr="00C951F0" w14:paraId="01861E1A" w14:textId="77777777" w:rsidTr="00934A10">
        <w:tc>
          <w:tcPr>
            <w:tcW w:w="1674" w:type="pct"/>
            <w:tcBorders>
              <w:top w:val="nil"/>
              <w:bottom w:val="nil"/>
            </w:tcBorders>
          </w:tcPr>
          <w:p w14:paraId="73AE1DFA" w14:textId="56034289"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 xml:space="preserve">Week 68 mean </w:t>
            </w:r>
            <w:r w:rsidR="00C25CC5" w:rsidRPr="00C951F0">
              <w:rPr>
                <w:rFonts w:cs="Arial"/>
                <w:color w:val="000000" w:themeColor="text1"/>
                <w:sz w:val="20"/>
                <w:szCs w:val="20"/>
              </w:rPr>
              <w:t xml:space="preserve">± </w:t>
            </w:r>
            <w:r w:rsidRPr="00C951F0">
              <w:rPr>
                <w:rFonts w:cs="Arial"/>
                <w:color w:val="000000" w:themeColor="text1"/>
                <w:sz w:val="20"/>
                <w:szCs w:val="20"/>
              </w:rPr>
              <w:t>SD</w:t>
            </w:r>
          </w:p>
        </w:tc>
        <w:tc>
          <w:tcPr>
            <w:tcW w:w="526" w:type="pct"/>
            <w:tcBorders>
              <w:top w:val="nil"/>
              <w:bottom w:val="nil"/>
            </w:tcBorders>
          </w:tcPr>
          <w:p w14:paraId="5AF65896" w14:textId="17C28F0E" w:rsidR="00B1644A" w:rsidRPr="00C951F0" w:rsidRDefault="00B1644A">
            <w:pPr>
              <w:spacing w:line="240" w:lineRule="auto"/>
              <w:jc w:val="center"/>
              <w:rPr>
                <w:color w:val="000000" w:themeColor="text1"/>
                <w:sz w:val="20"/>
                <w:szCs w:val="20"/>
              </w:rPr>
            </w:pPr>
            <w:r w:rsidRPr="00C951F0">
              <w:rPr>
                <w:color w:val="000000" w:themeColor="text1"/>
                <w:sz w:val="20"/>
                <w:szCs w:val="20"/>
              </w:rPr>
              <w:t>6</w:t>
            </w:r>
            <w:r w:rsidR="00C5236B" w:rsidRPr="00C951F0">
              <w:rPr>
                <w:color w:val="000000" w:themeColor="text1"/>
                <w:sz w:val="20"/>
                <w:szCs w:val="20"/>
              </w:rPr>
              <w:t>·</w:t>
            </w:r>
            <w:r w:rsidRPr="00C951F0">
              <w:rPr>
                <w:color w:val="000000" w:themeColor="text1"/>
                <w:sz w:val="20"/>
                <w:szCs w:val="20"/>
              </w:rPr>
              <w:t xml:space="preserve">4 </w:t>
            </w:r>
            <w:r w:rsidR="00C25CC5" w:rsidRPr="00C951F0">
              <w:rPr>
                <w:rFonts w:cs="Arial"/>
                <w:color w:val="000000" w:themeColor="text1"/>
                <w:sz w:val="20"/>
                <w:szCs w:val="20"/>
              </w:rPr>
              <w:t>±</w:t>
            </w:r>
            <w:r w:rsidR="00C25CC5" w:rsidRPr="00C951F0">
              <w:rPr>
                <w:color w:val="000000" w:themeColor="text1"/>
                <w:sz w:val="20"/>
                <w:szCs w:val="20"/>
              </w:rPr>
              <w:t xml:space="preserve"> </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2</w:t>
            </w:r>
          </w:p>
        </w:tc>
        <w:tc>
          <w:tcPr>
            <w:tcW w:w="526" w:type="pct"/>
            <w:tcBorders>
              <w:top w:val="nil"/>
              <w:bottom w:val="nil"/>
            </w:tcBorders>
          </w:tcPr>
          <w:p w14:paraId="35042E9E" w14:textId="2047B028" w:rsidR="00B1644A" w:rsidRPr="00C951F0" w:rsidRDefault="00B1644A">
            <w:pPr>
              <w:spacing w:line="240" w:lineRule="auto"/>
              <w:jc w:val="center"/>
              <w:rPr>
                <w:color w:val="000000" w:themeColor="text1"/>
                <w:sz w:val="20"/>
                <w:szCs w:val="20"/>
              </w:rPr>
            </w:pPr>
            <w:r w:rsidRPr="00C951F0">
              <w:rPr>
                <w:color w:val="000000" w:themeColor="text1"/>
                <w:sz w:val="20"/>
                <w:szCs w:val="20"/>
              </w:rPr>
              <w:t>6</w:t>
            </w:r>
            <w:r w:rsidR="00C5236B" w:rsidRPr="00C951F0">
              <w:rPr>
                <w:color w:val="000000" w:themeColor="text1"/>
                <w:sz w:val="20"/>
                <w:szCs w:val="20"/>
              </w:rPr>
              <w:t>·</w:t>
            </w:r>
            <w:r w:rsidRPr="00C951F0">
              <w:rPr>
                <w:color w:val="000000" w:themeColor="text1"/>
                <w:sz w:val="20"/>
                <w:szCs w:val="20"/>
              </w:rPr>
              <w:t xml:space="preserve">6 </w:t>
            </w:r>
            <w:r w:rsidR="00C25CC5" w:rsidRPr="00C951F0">
              <w:rPr>
                <w:rFonts w:cs="Arial"/>
                <w:color w:val="000000" w:themeColor="text1"/>
                <w:sz w:val="20"/>
                <w:szCs w:val="20"/>
              </w:rPr>
              <w:t>±</w:t>
            </w:r>
            <w:r w:rsidR="00C25CC5" w:rsidRPr="00C951F0">
              <w:rPr>
                <w:color w:val="000000" w:themeColor="text1"/>
                <w:sz w:val="20"/>
                <w:szCs w:val="20"/>
              </w:rPr>
              <w:t xml:space="preserve"> </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1</w:t>
            </w:r>
          </w:p>
        </w:tc>
        <w:tc>
          <w:tcPr>
            <w:tcW w:w="524" w:type="pct"/>
            <w:tcBorders>
              <w:top w:val="nil"/>
              <w:bottom w:val="nil"/>
            </w:tcBorders>
          </w:tcPr>
          <w:p w14:paraId="4A757FCC" w14:textId="4E93A058" w:rsidR="00B1644A" w:rsidRPr="00C951F0" w:rsidRDefault="00B1644A">
            <w:pPr>
              <w:spacing w:line="240" w:lineRule="auto"/>
              <w:jc w:val="center"/>
              <w:rPr>
                <w:color w:val="000000" w:themeColor="text1"/>
                <w:sz w:val="20"/>
                <w:szCs w:val="20"/>
              </w:rPr>
            </w:pPr>
            <w:r w:rsidRPr="00C951F0">
              <w:rPr>
                <w:color w:val="000000" w:themeColor="text1"/>
                <w:sz w:val="20"/>
                <w:szCs w:val="20"/>
              </w:rPr>
              <w:t>7</w:t>
            </w:r>
            <w:r w:rsidR="00C5236B" w:rsidRPr="00C951F0">
              <w:rPr>
                <w:color w:val="000000" w:themeColor="text1"/>
                <w:sz w:val="20"/>
                <w:szCs w:val="20"/>
              </w:rPr>
              <w:t>·</w:t>
            </w:r>
            <w:r w:rsidRPr="00C951F0">
              <w:rPr>
                <w:color w:val="000000" w:themeColor="text1"/>
                <w:sz w:val="20"/>
                <w:szCs w:val="20"/>
              </w:rPr>
              <w:t xml:space="preserve">8 </w:t>
            </w:r>
            <w:r w:rsidR="00C25CC5" w:rsidRPr="00C951F0">
              <w:rPr>
                <w:rFonts w:cs="Arial"/>
                <w:color w:val="000000" w:themeColor="text1"/>
                <w:sz w:val="20"/>
                <w:szCs w:val="20"/>
              </w:rPr>
              <w:t>±</w:t>
            </w:r>
            <w:r w:rsidR="00C25CC5" w:rsidRPr="00C951F0">
              <w:rPr>
                <w:color w:val="000000" w:themeColor="text1"/>
                <w:sz w:val="20"/>
                <w:szCs w:val="20"/>
              </w:rPr>
              <w:t xml:space="preserve"> </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3</w:t>
            </w:r>
          </w:p>
        </w:tc>
        <w:tc>
          <w:tcPr>
            <w:tcW w:w="1750" w:type="pct"/>
            <w:tcBorders>
              <w:top w:val="nil"/>
              <w:bottom w:val="nil"/>
            </w:tcBorders>
          </w:tcPr>
          <w:p w14:paraId="5FA96B4C" w14:textId="107B2A1C" w:rsidR="00B1644A" w:rsidRPr="00C951F0" w:rsidRDefault="00B1644A" w:rsidP="00E47DB7">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placebo (percentage points)</w:t>
            </w:r>
            <w:r w:rsidR="00C921B3" w:rsidRPr="00C951F0">
              <w:rPr>
                <w:color w:val="000000" w:themeColor="text1"/>
                <w:sz w:val="20"/>
                <w:szCs w:val="20"/>
              </w:rPr>
              <w:t>;</w:t>
            </w:r>
            <w:r w:rsidRPr="00C951F0">
              <w:rPr>
                <w:color w:val="000000" w:themeColor="text1"/>
                <w:sz w:val="20"/>
                <w:szCs w:val="20"/>
              </w:rPr>
              <w:t xml:space="preserve"> ETD: </w:t>
            </w:r>
            <w:r w:rsidR="00227D23" w:rsidRPr="00C951F0">
              <w:rPr>
                <w:color w:val="000000" w:themeColor="text1"/>
                <w:sz w:val="20"/>
                <w:szCs w:val="20"/>
              </w:rPr>
              <w:t>−</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 xml:space="preserve">2 </w:t>
            </w:r>
            <w:r w:rsidR="00433982" w:rsidRPr="00C951F0">
              <w:rPr>
                <w:color w:val="000000" w:themeColor="text1"/>
                <w:sz w:val="20"/>
                <w:szCs w:val="20"/>
              </w:rPr>
              <w:t>(</w:t>
            </w:r>
            <w:r w:rsidR="00B81AAF" w:rsidRPr="00C951F0">
              <w:rPr>
                <w:color w:val="000000" w:themeColor="text1"/>
                <w:sz w:val="20"/>
                <w:szCs w:val="20"/>
              </w:rPr>
              <w:t>−</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4</w:t>
            </w:r>
            <w:r w:rsidR="00227D23" w:rsidRPr="00C951F0">
              <w:rPr>
                <w:color w:val="000000" w:themeColor="text1"/>
                <w:sz w:val="20"/>
                <w:szCs w:val="20"/>
              </w:rPr>
              <w:t xml:space="preserve"> to</w:t>
            </w:r>
            <w:r w:rsidRPr="00C951F0">
              <w:rPr>
                <w:color w:val="000000" w:themeColor="text1"/>
                <w:sz w:val="20"/>
                <w:szCs w:val="20"/>
              </w:rPr>
              <w:t xml:space="preserve"> </w:t>
            </w:r>
            <w:r w:rsidR="00227D23" w:rsidRPr="00C951F0">
              <w:rPr>
                <w:color w:val="000000" w:themeColor="text1"/>
                <w:sz w:val="20"/>
                <w:szCs w:val="20"/>
              </w:rPr>
              <w:t>−</w:t>
            </w:r>
            <w:r w:rsidRPr="00C951F0">
              <w:rPr>
                <w:color w:val="000000" w:themeColor="text1"/>
                <w:sz w:val="20"/>
                <w:szCs w:val="20"/>
              </w:rPr>
              <w:t>1</w:t>
            </w:r>
            <w:r w:rsidR="00C5236B" w:rsidRPr="00C951F0">
              <w:rPr>
                <w:color w:val="000000" w:themeColor="text1"/>
                <w:sz w:val="20"/>
                <w:szCs w:val="20"/>
              </w:rPr>
              <w:t>·</w:t>
            </w:r>
            <w:r w:rsidR="00DE601F" w:rsidRPr="00C951F0">
              <w:rPr>
                <w:color w:val="000000" w:themeColor="text1"/>
                <w:sz w:val="20"/>
                <w:szCs w:val="20"/>
              </w:rPr>
              <w:t>1</w:t>
            </w:r>
            <w:r w:rsidR="00433982" w:rsidRPr="00C951F0">
              <w:rPr>
                <w:color w:val="000000" w:themeColor="text1"/>
                <w:sz w:val="20"/>
                <w:szCs w:val="20"/>
              </w:rPr>
              <w:t>)</w:t>
            </w:r>
            <w:r w:rsidRPr="00C951F0">
              <w:rPr>
                <w:color w:val="000000" w:themeColor="text1"/>
                <w:sz w:val="20"/>
                <w:szCs w:val="20"/>
              </w:rPr>
              <w:t xml:space="preserve">; </w:t>
            </w:r>
            <w:r w:rsidR="008F1F91" w:rsidRPr="00C951F0">
              <w:rPr>
                <w:color w:val="000000" w:themeColor="text1"/>
                <w:sz w:val="20"/>
                <w:szCs w:val="20"/>
              </w:rPr>
              <w:t>p</w:t>
            </w:r>
            <w:r w:rsidRPr="00C951F0">
              <w:rPr>
                <w:color w:val="000000" w:themeColor="text1"/>
                <w:sz w:val="20"/>
                <w:szCs w:val="20"/>
              </w:rPr>
              <w:t>&lt;0</w:t>
            </w:r>
            <w:r w:rsidR="00C5236B" w:rsidRPr="00C951F0">
              <w:rPr>
                <w:color w:val="000000" w:themeColor="text1"/>
                <w:sz w:val="20"/>
                <w:szCs w:val="20"/>
              </w:rPr>
              <w:t>·</w:t>
            </w:r>
            <w:r w:rsidRPr="00C951F0">
              <w:rPr>
                <w:color w:val="000000" w:themeColor="text1"/>
                <w:sz w:val="20"/>
                <w:szCs w:val="20"/>
              </w:rPr>
              <w:t>001</w:t>
            </w:r>
          </w:p>
        </w:tc>
      </w:tr>
      <w:tr w:rsidR="00C951F0" w:rsidRPr="00C951F0" w14:paraId="2A5B88FE" w14:textId="77777777" w:rsidTr="00E47DB7">
        <w:tc>
          <w:tcPr>
            <w:tcW w:w="1674" w:type="pct"/>
            <w:tcBorders>
              <w:top w:val="nil"/>
              <w:bottom w:val="nil"/>
            </w:tcBorders>
          </w:tcPr>
          <w:p w14:paraId="5A19741D" w14:textId="0A16751B" w:rsidR="00E47DB7" w:rsidRPr="00C951F0" w:rsidDel="00E47DB7" w:rsidRDefault="00E47DB7" w:rsidP="00934A10">
            <w:pPr>
              <w:spacing w:line="240" w:lineRule="auto"/>
              <w:ind w:left="306"/>
              <w:rPr>
                <w:rFonts w:cs="Arial"/>
                <w:color w:val="000000" w:themeColor="text1"/>
                <w:sz w:val="20"/>
                <w:szCs w:val="20"/>
              </w:rPr>
            </w:pPr>
            <w:r w:rsidRPr="00C951F0">
              <w:rPr>
                <w:rFonts w:cs="Arial"/>
                <w:color w:val="000000" w:themeColor="text1"/>
                <w:sz w:val="20"/>
                <w:szCs w:val="20"/>
              </w:rPr>
              <w:t>Change from baseline to week 68 — % points</w:t>
            </w:r>
            <w:r w:rsidR="00F43EB8">
              <w:rPr>
                <w:rFonts w:cs="Arial"/>
                <w:color w:val="000000" w:themeColor="text1"/>
                <w:sz w:val="20"/>
                <w:szCs w:val="20"/>
              </w:rPr>
              <w:t xml:space="preserve"> (SE)</w:t>
            </w:r>
          </w:p>
        </w:tc>
        <w:tc>
          <w:tcPr>
            <w:tcW w:w="526" w:type="pct"/>
            <w:tcBorders>
              <w:top w:val="nil"/>
              <w:bottom w:val="nil"/>
            </w:tcBorders>
          </w:tcPr>
          <w:p w14:paraId="1D887506" w14:textId="2A7CEEF6" w:rsidR="00E47DB7" w:rsidRPr="00C951F0" w:rsidRDefault="00E47DB7" w:rsidP="0039543A">
            <w:pPr>
              <w:spacing w:line="240" w:lineRule="auto"/>
              <w:jc w:val="center"/>
              <w:rPr>
                <w:color w:val="000000" w:themeColor="text1"/>
                <w:sz w:val="20"/>
                <w:szCs w:val="20"/>
              </w:rPr>
            </w:pPr>
            <w:r w:rsidRPr="00C951F0">
              <w:rPr>
                <w:color w:val="000000" w:themeColor="text1"/>
                <w:sz w:val="20"/>
                <w:szCs w:val="20"/>
              </w:rPr>
              <w:t>−1·6</w:t>
            </w:r>
            <w:r w:rsidR="00F43EB8">
              <w:rPr>
                <w:color w:val="000000" w:themeColor="text1"/>
                <w:sz w:val="20"/>
                <w:szCs w:val="20"/>
              </w:rPr>
              <w:t xml:space="preserve"> (0</w:t>
            </w:r>
            <w:r w:rsidR="00CE771D" w:rsidRPr="00C951F0">
              <w:rPr>
                <w:color w:val="000000" w:themeColor="text1"/>
                <w:sz w:val="20"/>
                <w:szCs w:val="20"/>
              </w:rPr>
              <w:t>·</w:t>
            </w:r>
            <w:r w:rsidR="00F43EB8">
              <w:rPr>
                <w:color w:val="000000" w:themeColor="text1"/>
                <w:sz w:val="20"/>
                <w:szCs w:val="20"/>
              </w:rPr>
              <w:t>1)</w:t>
            </w:r>
          </w:p>
        </w:tc>
        <w:tc>
          <w:tcPr>
            <w:tcW w:w="526" w:type="pct"/>
            <w:tcBorders>
              <w:top w:val="nil"/>
              <w:bottom w:val="nil"/>
            </w:tcBorders>
          </w:tcPr>
          <w:p w14:paraId="16FE1DA8" w14:textId="5B8558AC" w:rsidR="00E47DB7" w:rsidRPr="00C951F0" w:rsidRDefault="00E47DB7" w:rsidP="0039543A">
            <w:pPr>
              <w:spacing w:line="240" w:lineRule="auto"/>
              <w:jc w:val="center"/>
              <w:rPr>
                <w:color w:val="000000" w:themeColor="text1"/>
                <w:sz w:val="20"/>
                <w:szCs w:val="20"/>
              </w:rPr>
            </w:pPr>
            <w:r w:rsidRPr="00C951F0">
              <w:rPr>
                <w:color w:val="000000" w:themeColor="text1"/>
                <w:sz w:val="20"/>
                <w:szCs w:val="20"/>
              </w:rPr>
              <w:t>−1·5</w:t>
            </w:r>
            <w:r w:rsidR="00F43EB8">
              <w:rPr>
                <w:color w:val="000000" w:themeColor="text1"/>
                <w:sz w:val="20"/>
                <w:szCs w:val="20"/>
              </w:rPr>
              <w:t xml:space="preserve"> (0</w:t>
            </w:r>
            <w:r w:rsidR="00CE771D" w:rsidRPr="00C951F0">
              <w:rPr>
                <w:color w:val="000000" w:themeColor="text1"/>
                <w:sz w:val="20"/>
                <w:szCs w:val="20"/>
              </w:rPr>
              <w:t>·</w:t>
            </w:r>
            <w:r w:rsidR="00F43EB8">
              <w:rPr>
                <w:color w:val="000000" w:themeColor="text1"/>
                <w:sz w:val="20"/>
                <w:szCs w:val="20"/>
              </w:rPr>
              <w:t>1)</w:t>
            </w:r>
          </w:p>
        </w:tc>
        <w:tc>
          <w:tcPr>
            <w:tcW w:w="524" w:type="pct"/>
            <w:tcBorders>
              <w:top w:val="nil"/>
              <w:bottom w:val="nil"/>
            </w:tcBorders>
          </w:tcPr>
          <w:p w14:paraId="2DC46B88" w14:textId="075259E3" w:rsidR="00E47DB7" w:rsidRPr="00C951F0" w:rsidRDefault="00E47DB7" w:rsidP="0039543A">
            <w:pPr>
              <w:spacing w:line="240" w:lineRule="auto"/>
              <w:jc w:val="center"/>
              <w:rPr>
                <w:color w:val="000000" w:themeColor="text1"/>
                <w:sz w:val="20"/>
                <w:szCs w:val="20"/>
              </w:rPr>
            </w:pPr>
            <w:r w:rsidRPr="00C951F0">
              <w:rPr>
                <w:color w:val="000000" w:themeColor="text1"/>
                <w:sz w:val="20"/>
                <w:szCs w:val="20"/>
              </w:rPr>
              <w:t>−0·4</w:t>
            </w:r>
            <w:r w:rsidR="00F43EB8">
              <w:rPr>
                <w:color w:val="000000" w:themeColor="text1"/>
                <w:sz w:val="20"/>
                <w:szCs w:val="20"/>
              </w:rPr>
              <w:t xml:space="preserve"> (0</w:t>
            </w:r>
            <w:r w:rsidR="00CE771D" w:rsidRPr="00C951F0">
              <w:rPr>
                <w:color w:val="000000" w:themeColor="text1"/>
                <w:sz w:val="20"/>
                <w:szCs w:val="20"/>
              </w:rPr>
              <w:t>·</w:t>
            </w:r>
            <w:r w:rsidR="00F43EB8">
              <w:rPr>
                <w:color w:val="000000" w:themeColor="text1"/>
                <w:sz w:val="20"/>
                <w:szCs w:val="20"/>
              </w:rPr>
              <w:t>1)</w:t>
            </w:r>
          </w:p>
        </w:tc>
        <w:tc>
          <w:tcPr>
            <w:tcW w:w="1750" w:type="pct"/>
            <w:tcBorders>
              <w:top w:val="nil"/>
              <w:bottom w:val="nil"/>
            </w:tcBorders>
          </w:tcPr>
          <w:p w14:paraId="635E0E68" w14:textId="0ADC25C9" w:rsidR="00E47DB7" w:rsidRPr="00C951F0" w:rsidRDefault="00E47DB7" w:rsidP="0039543A">
            <w:pPr>
              <w:spacing w:line="240" w:lineRule="auto"/>
              <w:rPr>
                <w:color w:val="000000" w:themeColor="text1"/>
                <w:sz w:val="20"/>
                <w:szCs w:val="20"/>
              </w:rPr>
            </w:pPr>
            <w:r w:rsidRPr="00C951F0">
              <w:rPr>
                <w:color w:val="000000" w:themeColor="text1"/>
                <w:sz w:val="20"/>
                <w:szCs w:val="20"/>
              </w:rPr>
              <w:t>Semaglutide 2·4 mg – semaglutide 1·0 mg (percentage points)</w:t>
            </w:r>
            <w:r w:rsidR="00C921B3" w:rsidRPr="00C951F0">
              <w:rPr>
                <w:color w:val="000000" w:themeColor="text1"/>
                <w:sz w:val="20"/>
                <w:szCs w:val="20"/>
              </w:rPr>
              <w:t>;</w:t>
            </w:r>
            <w:r w:rsidRPr="00C951F0">
              <w:rPr>
                <w:color w:val="000000" w:themeColor="text1"/>
                <w:sz w:val="20"/>
                <w:szCs w:val="20"/>
              </w:rPr>
              <w:t xml:space="preserve"> ETD: −0·2 </w:t>
            </w:r>
            <w:r w:rsidR="00433982" w:rsidRPr="00C951F0">
              <w:rPr>
                <w:color w:val="000000" w:themeColor="text1"/>
                <w:sz w:val="20"/>
                <w:szCs w:val="20"/>
              </w:rPr>
              <w:t>(</w:t>
            </w:r>
            <w:r w:rsidRPr="00C951F0">
              <w:rPr>
                <w:color w:val="000000" w:themeColor="text1"/>
                <w:sz w:val="20"/>
                <w:szCs w:val="20"/>
              </w:rPr>
              <w:t>−0·3 to 0·0</w:t>
            </w:r>
            <w:r w:rsidR="00433982" w:rsidRPr="00C951F0">
              <w:rPr>
                <w:color w:val="000000" w:themeColor="text1"/>
                <w:sz w:val="20"/>
                <w:szCs w:val="20"/>
              </w:rPr>
              <w:t>)</w:t>
            </w:r>
          </w:p>
        </w:tc>
      </w:tr>
      <w:tr w:rsidR="00C951F0" w:rsidRPr="00C951F0" w14:paraId="0072DC22" w14:textId="77777777" w:rsidTr="00934A10">
        <w:tc>
          <w:tcPr>
            <w:tcW w:w="1674" w:type="pct"/>
            <w:tcBorders>
              <w:top w:val="nil"/>
              <w:bottom w:val="single" w:sz="4" w:space="0" w:color="auto"/>
            </w:tcBorders>
          </w:tcPr>
          <w:p w14:paraId="11A513B0" w14:textId="77777777" w:rsidR="00E47DB7" w:rsidRPr="00C951F0" w:rsidRDefault="00E47DB7" w:rsidP="0039543A">
            <w:pPr>
              <w:spacing w:line="240" w:lineRule="auto"/>
              <w:rPr>
                <w:color w:val="000000" w:themeColor="text1"/>
                <w:sz w:val="20"/>
                <w:szCs w:val="20"/>
              </w:rPr>
            </w:pPr>
          </w:p>
        </w:tc>
        <w:tc>
          <w:tcPr>
            <w:tcW w:w="526" w:type="pct"/>
            <w:tcBorders>
              <w:top w:val="nil"/>
              <w:bottom w:val="single" w:sz="4" w:space="0" w:color="auto"/>
            </w:tcBorders>
          </w:tcPr>
          <w:p w14:paraId="04F10E7F" w14:textId="77777777" w:rsidR="00E47DB7" w:rsidRPr="00C951F0" w:rsidRDefault="00E47DB7" w:rsidP="0039543A">
            <w:pPr>
              <w:spacing w:line="240" w:lineRule="auto"/>
              <w:jc w:val="center"/>
              <w:rPr>
                <w:color w:val="000000" w:themeColor="text1"/>
                <w:sz w:val="20"/>
                <w:szCs w:val="20"/>
              </w:rPr>
            </w:pPr>
          </w:p>
        </w:tc>
        <w:tc>
          <w:tcPr>
            <w:tcW w:w="526" w:type="pct"/>
            <w:tcBorders>
              <w:top w:val="nil"/>
              <w:bottom w:val="single" w:sz="4" w:space="0" w:color="auto"/>
            </w:tcBorders>
          </w:tcPr>
          <w:p w14:paraId="2EC5E386" w14:textId="77777777" w:rsidR="00E47DB7" w:rsidRPr="00C951F0" w:rsidRDefault="00E47DB7" w:rsidP="0039543A">
            <w:pPr>
              <w:spacing w:line="240" w:lineRule="auto"/>
              <w:jc w:val="center"/>
              <w:rPr>
                <w:color w:val="000000" w:themeColor="text1"/>
                <w:sz w:val="20"/>
                <w:szCs w:val="20"/>
              </w:rPr>
            </w:pPr>
          </w:p>
        </w:tc>
        <w:tc>
          <w:tcPr>
            <w:tcW w:w="524" w:type="pct"/>
            <w:tcBorders>
              <w:top w:val="nil"/>
              <w:bottom w:val="single" w:sz="4" w:space="0" w:color="auto"/>
            </w:tcBorders>
          </w:tcPr>
          <w:p w14:paraId="78B646CC" w14:textId="77777777" w:rsidR="00E47DB7" w:rsidRPr="00C951F0" w:rsidRDefault="00E47DB7" w:rsidP="0039543A">
            <w:pPr>
              <w:spacing w:line="240" w:lineRule="auto"/>
              <w:jc w:val="center"/>
              <w:rPr>
                <w:color w:val="000000" w:themeColor="text1"/>
                <w:sz w:val="20"/>
                <w:szCs w:val="20"/>
              </w:rPr>
            </w:pPr>
          </w:p>
        </w:tc>
        <w:tc>
          <w:tcPr>
            <w:tcW w:w="1750" w:type="pct"/>
            <w:tcBorders>
              <w:top w:val="nil"/>
              <w:bottom w:val="single" w:sz="4" w:space="0" w:color="auto"/>
            </w:tcBorders>
          </w:tcPr>
          <w:p w14:paraId="03C6E604" w14:textId="7FB63D47" w:rsidR="00E47DB7" w:rsidRPr="00C951F0" w:rsidRDefault="00E47DB7" w:rsidP="0039543A">
            <w:pPr>
              <w:spacing w:line="240" w:lineRule="auto"/>
              <w:rPr>
                <w:color w:val="000000" w:themeColor="text1"/>
                <w:sz w:val="20"/>
                <w:szCs w:val="20"/>
              </w:rPr>
            </w:pPr>
            <w:r w:rsidRPr="00C951F0">
              <w:rPr>
                <w:color w:val="000000" w:themeColor="text1"/>
                <w:sz w:val="20"/>
                <w:szCs w:val="20"/>
              </w:rPr>
              <w:t>Semaglutide 1·0 mg – placebo (percentage points)</w:t>
            </w:r>
            <w:r w:rsidR="00C921B3" w:rsidRPr="00C951F0">
              <w:rPr>
                <w:color w:val="000000" w:themeColor="text1"/>
                <w:sz w:val="20"/>
                <w:szCs w:val="20"/>
              </w:rPr>
              <w:t>;</w:t>
            </w:r>
            <w:r w:rsidRPr="00C951F0">
              <w:rPr>
                <w:color w:val="000000" w:themeColor="text1"/>
                <w:sz w:val="20"/>
                <w:szCs w:val="20"/>
              </w:rPr>
              <w:t xml:space="preserve"> ETD: −1·1 </w:t>
            </w:r>
            <w:r w:rsidR="00433982" w:rsidRPr="00C951F0">
              <w:rPr>
                <w:color w:val="000000" w:themeColor="text1"/>
                <w:sz w:val="20"/>
                <w:szCs w:val="20"/>
              </w:rPr>
              <w:t>(</w:t>
            </w:r>
            <w:r w:rsidRPr="00C951F0">
              <w:rPr>
                <w:color w:val="000000" w:themeColor="text1"/>
                <w:sz w:val="20"/>
                <w:szCs w:val="20"/>
              </w:rPr>
              <w:t>−1·3 to −0·9</w:t>
            </w:r>
            <w:r w:rsidR="00433982" w:rsidRPr="00C951F0">
              <w:rPr>
                <w:color w:val="000000" w:themeColor="text1"/>
                <w:sz w:val="20"/>
                <w:szCs w:val="20"/>
              </w:rPr>
              <w:t>)</w:t>
            </w:r>
          </w:p>
        </w:tc>
      </w:tr>
      <w:tr w:rsidR="00C951F0" w:rsidRPr="00C951F0" w14:paraId="3AD166EF" w14:textId="77777777" w:rsidTr="00934A10">
        <w:tc>
          <w:tcPr>
            <w:tcW w:w="1674" w:type="pct"/>
            <w:tcBorders>
              <w:top w:val="single" w:sz="4" w:space="0" w:color="auto"/>
              <w:bottom w:val="nil"/>
            </w:tcBorders>
          </w:tcPr>
          <w:p w14:paraId="0D59C459" w14:textId="3DD4A6F5" w:rsidR="00E47DB7" w:rsidRPr="00C951F0" w:rsidRDefault="00E47DB7" w:rsidP="0039543A">
            <w:pPr>
              <w:spacing w:line="240" w:lineRule="auto"/>
              <w:rPr>
                <w:color w:val="000000" w:themeColor="text1"/>
                <w:sz w:val="20"/>
                <w:szCs w:val="20"/>
              </w:rPr>
            </w:pPr>
            <w:r w:rsidRPr="00C951F0">
              <w:rPr>
                <w:color w:val="000000" w:themeColor="text1"/>
                <w:sz w:val="20"/>
                <w:szCs w:val="20"/>
              </w:rPr>
              <w:t>HbA</w:t>
            </w:r>
            <w:r w:rsidRPr="00C951F0">
              <w:rPr>
                <w:color w:val="000000" w:themeColor="text1"/>
                <w:sz w:val="20"/>
                <w:szCs w:val="20"/>
                <w:vertAlign w:val="subscript"/>
              </w:rPr>
              <w:t>1c</w:t>
            </w:r>
            <w:r w:rsidRPr="00C951F0">
              <w:rPr>
                <w:color w:val="000000" w:themeColor="text1"/>
                <w:sz w:val="20"/>
                <w:szCs w:val="20"/>
              </w:rPr>
              <w:t xml:space="preserve"> </w:t>
            </w:r>
            <w:r w:rsidRPr="00C951F0">
              <w:rPr>
                <w:rFonts w:cs="Arial"/>
                <w:color w:val="000000" w:themeColor="text1"/>
                <w:sz w:val="20"/>
                <w:szCs w:val="20"/>
              </w:rPr>
              <w:t>—</w:t>
            </w:r>
            <w:r w:rsidRPr="00C951F0">
              <w:rPr>
                <w:color w:val="000000" w:themeColor="text1"/>
                <w:sz w:val="20"/>
                <w:szCs w:val="20"/>
              </w:rPr>
              <w:t xml:space="preserve"> mmol/mol</w:t>
            </w:r>
          </w:p>
        </w:tc>
        <w:tc>
          <w:tcPr>
            <w:tcW w:w="526" w:type="pct"/>
            <w:tcBorders>
              <w:top w:val="single" w:sz="4" w:space="0" w:color="auto"/>
              <w:bottom w:val="nil"/>
            </w:tcBorders>
          </w:tcPr>
          <w:p w14:paraId="47CE3ACF" w14:textId="77777777" w:rsidR="00E47DB7" w:rsidRPr="00C951F0" w:rsidRDefault="00E47DB7" w:rsidP="0039543A">
            <w:pPr>
              <w:spacing w:line="240" w:lineRule="auto"/>
              <w:jc w:val="center"/>
              <w:rPr>
                <w:color w:val="000000" w:themeColor="text1"/>
                <w:sz w:val="20"/>
                <w:szCs w:val="20"/>
              </w:rPr>
            </w:pPr>
          </w:p>
        </w:tc>
        <w:tc>
          <w:tcPr>
            <w:tcW w:w="526" w:type="pct"/>
            <w:tcBorders>
              <w:top w:val="single" w:sz="4" w:space="0" w:color="auto"/>
              <w:bottom w:val="nil"/>
            </w:tcBorders>
          </w:tcPr>
          <w:p w14:paraId="4DB3050B" w14:textId="77777777" w:rsidR="00E47DB7" w:rsidRPr="00C951F0" w:rsidRDefault="00E47DB7" w:rsidP="0039543A">
            <w:pPr>
              <w:spacing w:line="240" w:lineRule="auto"/>
              <w:jc w:val="center"/>
              <w:rPr>
                <w:color w:val="000000" w:themeColor="text1"/>
                <w:sz w:val="20"/>
                <w:szCs w:val="20"/>
              </w:rPr>
            </w:pPr>
          </w:p>
        </w:tc>
        <w:tc>
          <w:tcPr>
            <w:tcW w:w="524" w:type="pct"/>
            <w:tcBorders>
              <w:top w:val="single" w:sz="4" w:space="0" w:color="auto"/>
              <w:bottom w:val="nil"/>
            </w:tcBorders>
          </w:tcPr>
          <w:p w14:paraId="67D55BC6" w14:textId="77777777" w:rsidR="00E47DB7" w:rsidRPr="00C951F0" w:rsidRDefault="00E47DB7" w:rsidP="0039543A">
            <w:pPr>
              <w:spacing w:line="240" w:lineRule="auto"/>
              <w:jc w:val="center"/>
              <w:rPr>
                <w:color w:val="000000" w:themeColor="text1"/>
                <w:sz w:val="20"/>
                <w:szCs w:val="20"/>
              </w:rPr>
            </w:pPr>
          </w:p>
        </w:tc>
        <w:tc>
          <w:tcPr>
            <w:tcW w:w="1750" w:type="pct"/>
            <w:tcBorders>
              <w:top w:val="single" w:sz="4" w:space="0" w:color="auto"/>
              <w:bottom w:val="nil"/>
            </w:tcBorders>
          </w:tcPr>
          <w:p w14:paraId="7F2EA087" w14:textId="77777777" w:rsidR="00E47DB7" w:rsidRPr="00C951F0" w:rsidRDefault="00E47DB7" w:rsidP="0039543A">
            <w:pPr>
              <w:spacing w:line="240" w:lineRule="auto"/>
              <w:rPr>
                <w:color w:val="000000" w:themeColor="text1"/>
                <w:sz w:val="20"/>
                <w:szCs w:val="20"/>
              </w:rPr>
            </w:pPr>
          </w:p>
        </w:tc>
      </w:tr>
      <w:tr w:rsidR="00C25CC5" w:rsidRPr="00C951F0" w14:paraId="229E45B5" w14:textId="77777777" w:rsidTr="00934A10">
        <w:tc>
          <w:tcPr>
            <w:tcW w:w="1674" w:type="pct"/>
            <w:tcBorders>
              <w:top w:val="nil"/>
              <w:bottom w:val="nil"/>
            </w:tcBorders>
          </w:tcPr>
          <w:p w14:paraId="3214D030" w14:textId="2CE5038D" w:rsidR="00C25CC5" w:rsidRPr="00C951F0" w:rsidRDefault="00C25CC5"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63837EA7" w14:textId="4C2FBD82" w:rsidR="00C25CC5" w:rsidRPr="00C951F0" w:rsidRDefault="00C25CC5">
            <w:pPr>
              <w:spacing w:line="240" w:lineRule="auto"/>
              <w:jc w:val="center"/>
              <w:rPr>
                <w:color w:val="000000" w:themeColor="text1"/>
                <w:sz w:val="20"/>
                <w:szCs w:val="20"/>
              </w:rPr>
            </w:pPr>
            <w:r>
              <w:rPr>
                <w:color w:val="000000" w:themeColor="text1"/>
                <w:sz w:val="20"/>
                <w:szCs w:val="20"/>
              </w:rPr>
              <w:t>381</w:t>
            </w:r>
          </w:p>
        </w:tc>
        <w:tc>
          <w:tcPr>
            <w:tcW w:w="526" w:type="pct"/>
            <w:tcBorders>
              <w:top w:val="nil"/>
              <w:bottom w:val="nil"/>
            </w:tcBorders>
          </w:tcPr>
          <w:p w14:paraId="469EB5DE" w14:textId="16260293" w:rsidR="00C25CC5" w:rsidRPr="00C951F0" w:rsidRDefault="00C25CC5">
            <w:pPr>
              <w:spacing w:line="240" w:lineRule="auto"/>
              <w:jc w:val="center"/>
              <w:rPr>
                <w:color w:val="000000" w:themeColor="text1"/>
                <w:sz w:val="20"/>
                <w:szCs w:val="20"/>
              </w:rPr>
            </w:pPr>
            <w:r>
              <w:rPr>
                <w:color w:val="000000" w:themeColor="text1"/>
                <w:sz w:val="20"/>
                <w:szCs w:val="20"/>
              </w:rPr>
              <w:t>376</w:t>
            </w:r>
          </w:p>
        </w:tc>
        <w:tc>
          <w:tcPr>
            <w:tcW w:w="524" w:type="pct"/>
            <w:tcBorders>
              <w:top w:val="nil"/>
              <w:bottom w:val="nil"/>
            </w:tcBorders>
          </w:tcPr>
          <w:p w14:paraId="51B3E063" w14:textId="2C11AC35" w:rsidR="00C25CC5" w:rsidRPr="00C951F0" w:rsidRDefault="00C25CC5">
            <w:pPr>
              <w:spacing w:line="240" w:lineRule="auto"/>
              <w:jc w:val="center"/>
              <w:rPr>
                <w:color w:val="000000" w:themeColor="text1"/>
                <w:sz w:val="20"/>
                <w:szCs w:val="20"/>
              </w:rPr>
            </w:pPr>
            <w:r>
              <w:rPr>
                <w:color w:val="000000" w:themeColor="text1"/>
                <w:sz w:val="20"/>
                <w:szCs w:val="20"/>
              </w:rPr>
              <w:t>374</w:t>
            </w:r>
          </w:p>
        </w:tc>
        <w:tc>
          <w:tcPr>
            <w:tcW w:w="1750" w:type="pct"/>
            <w:tcBorders>
              <w:top w:val="nil"/>
              <w:bottom w:val="nil"/>
            </w:tcBorders>
          </w:tcPr>
          <w:p w14:paraId="7CB40E87" w14:textId="77777777" w:rsidR="00C25CC5" w:rsidRPr="00C951F0" w:rsidRDefault="00C25CC5" w:rsidP="0039543A">
            <w:pPr>
              <w:spacing w:line="240" w:lineRule="auto"/>
              <w:rPr>
                <w:color w:val="000000" w:themeColor="text1"/>
                <w:sz w:val="20"/>
                <w:szCs w:val="20"/>
              </w:rPr>
            </w:pPr>
          </w:p>
        </w:tc>
      </w:tr>
      <w:tr w:rsidR="00C951F0" w:rsidRPr="00C951F0" w14:paraId="7BB70C28" w14:textId="77777777" w:rsidTr="00934A10">
        <w:tc>
          <w:tcPr>
            <w:tcW w:w="1674" w:type="pct"/>
            <w:tcBorders>
              <w:top w:val="nil"/>
              <w:bottom w:val="nil"/>
            </w:tcBorders>
          </w:tcPr>
          <w:p w14:paraId="435D91CF" w14:textId="72B39E84"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 xml:space="preserve">Week 68 mean </w:t>
            </w:r>
            <w:r w:rsidR="006C2D21" w:rsidRPr="00C951F0">
              <w:rPr>
                <w:rFonts w:cs="Arial"/>
                <w:color w:val="000000" w:themeColor="text1"/>
                <w:sz w:val="20"/>
                <w:szCs w:val="20"/>
              </w:rPr>
              <w:t xml:space="preserve">± </w:t>
            </w:r>
            <w:r w:rsidRPr="00C951F0">
              <w:rPr>
                <w:rFonts w:cs="Arial"/>
                <w:color w:val="000000" w:themeColor="text1"/>
                <w:sz w:val="20"/>
                <w:szCs w:val="20"/>
              </w:rPr>
              <w:t>SD</w:t>
            </w:r>
          </w:p>
        </w:tc>
        <w:tc>
          <w:tcPr>
            <w:tcW w:w="526" w:type="pct"/>
            <w:tcBorders>
              <w:top w:val="nil"/>
              <w:bottom w:val="nil"/>
            </w:tcBorders>
          </w:tcPr>
          <w:p w14:paraId="39F60EF2" w14:textId="6256F823" w:rsidR="00B1644A" w:rsidRPr="00C951F0" w:rsidRDefault="00B1644A">
            <w:pPr>
              <w:spacing w:line="240" w:lineRule="auto"/>
              <w:jc w:val="center"/>
              <w:rPr>
                <w:color w:val="000000" w:themeColor="text1"/>
                <w:sz w:val="20"/>
                <w:szCs w:val="20"/>
              </w:rPr>
            </w:pPr>
            <w:r w:rsidRPr="00C951F0">
              <w:rPr>
                <w:color w:val="000000" w:themeColor="text1"/>
                <w:sz w:val="20"/>
                <w:szCs w:val="20"/>
              </w:rPr>
              <w:t>46</w:t>
            </w:r>
            <w:r w:rsidR="00C5236B" w:rsidRPr="00C951F0">
              <w:rPr>
                <w:color w:val="000000" w:themeColor="text1"/>
                <w:sz w:val="20"/>
                <w:szCs w:val="20"/>
              </w:rPr>
              <w:t>·</w:t>
            </w:r>
            <w:r w:rsidRPr="00C951F0">
              <w:rPr>
                <w:color w:val="000000" w:themeColor="text1"/>
                <w:sz w:val="20"/>
                <w:szCs w:val="20"/>
              </w:rPr>
              <w:t xml:space="preserve">7 </w:t>
            </w:r>
            <w:r w:rsidR="006C2D21" w:rsidRPr="00C951F0">
              <w:rPr>
                <w:rFonts w:cs="Arial"/>
                <w:color w:val="000000" w:themeColor="text1"/>
                <w:sz w:val="20"/>
                <w:szCs w:val="20"/>
              </w:rPr>
              <w:t xml:space="preserve">± </w:t>
            </w:r>
            <w:r w:rsidRPr="00C951F0">
              <w:rPr>
                <w:color w:val="000000" w:themeColor="text1"/>
                <w:sz w:val="20"/>
                <w:szCs w:val="20"/>
              </w:rPr>
              <w:t>12</w:t>
            </w:r>
            <w:r w:rsidR="00C5236B" w:rsidRPr="00C951F0">
              <w:rPr>
                <w:color w:val="000000" w:themeColor="text1"/>
                <w:sz w:val="20"/>
                <w:szCs w:val="20"/>
              </w:rPr>
              <w:t>·</w:t>
            </w:r>
            <w:r w:rsidRPr="00C951F0">
              <w:rPr>
                <w:color w:val="000000" w:themeColor="text1"/>
                <w:sz w:val="20"/>
                <w:szCs w:val="20"/>
              </w:rPr>
              <w:t>9</w:t>
            </w:r>
          </w:p>
        </w:tc>
        <w:tc>
          <w:tcPr>
            <w:tcW w:w="526" w:type="pct"/>
            <w:tcBorders>
              <w:top w:val="nil"/>
              <w:bottom w:val="nil"/>
            </w:tcBorders>
          </w:tcPr>
          <w:p w14:paraId="3DB76C73" w14:textId="35FC1CA1" w:rsidR="00B1644A" w:rsidRPr="00C951F0" w:rsidRDefault="00B1644A">
            <w:pPr>
              <w:spacing w:line="240" w:lineRule="auto"/>
              <w:jc w:val="center"/>
              <w:rPr>
                <w:color w:val="000000" w:themeColor="text1"/>
                <w:sz w:val="20"/>
                <w:szCs w:val="20"/>
              </w:rPr>
            </w:pPr>
            <w:r w:rsidRPr="00C951F0">
              <w:rPr>
                <w:color w:val="000000" w:themeColor="text1"/>
                <w:sz w:val="20"/>
                <w:szCs w:val="20"/>
              </w:rPr>
              <w:t>48</w:t>
            </w:r>
            <w:r w:rsidR="00C5236B" w:rsidRPr="00C951F0">
              <w:rPr>
                <w:color w:val="000000" w:themeColor="text1"/>
                <w:sz w:val="20"/>
                <w:szCs w:val="20"/>
              </w:rPr>
              <w:t>·</w:t>
            </w:r>
            <w:r w:rsidRPr="00C951F0">
              <w:rPr>
                <w:color w:val="000000" w:themeColor="text1"/>
                <w:sz w:val="20"/>
                <w:szCs w:val="20"/>
              </w:rPr>
              <w:t xml:space="preserve">4 </w:t>
            </w:r>
            <w:r w:rsidR="006C2D21" w:rsidRPr="00C951F0">
              <w:rPr>
                <w:rFonts w:cs="Arial"/>
                <w:color w:val="000000" w:themeColor="text1"/>
                <w:sz w:val="20"/>
                <w:szCs w:val="20"/>
              </w:rPr>
              <w:t xml:space="preserve">± </w:t>
            </w:r>
            <w:r w:rsidRPr="00C951F0">
              <w:rPr>
                <w:color w:val="000000" w:themeColor="text1"/>
                <w:sz w:val="20"/>
                <w:szCs w:val="20"/>
              </w:rPr>
              <w:t>12</w:t>
            </w:r>
            <w:r w:rsidR="00C5236B" w:rsidRPr="00C951F0">
              <w:rPr>
                <w:color w:val="000000" w:themeColor="text1"/>
                <w:sz w:val="20"/>
                <w:szCs w:val="20"/>
              </w:rPr>
              <w:t>·</w:t>
            </w:r>
            <w:r w:rsidRPr="00C951F0">
              <w:rPr>
                <w:color w:val="000000" w:themeColor="text1"/>
                <w:sz w:val="20"/>
                <w:szCs w:val="20"/>
              </w:rPr>
              <w:t>0</w:t>
            </w:r>
          </w:p>
        </w:tc>
        <w:tc>
          <w:tcPr>
            <w:tcW w:w="524" w:type="pct"/>
            <w:tcBorders>
              <w:top w:val="nil"/>
              <w:bottom w:val="nil"/>
            </w:tcBorders>
          </w:tcPr>
          <w:p w14:paraId="065A7B1F" w14:textId="420F450F" w:rsidR="00B1644A" w:rsidRPr="00C951F0" w:rsidRDefault="00B1644A">
            <w:pPr>
              <w:spacing w:line="240" w:lineRule="auto"/>
              <w:jc w:val="center"/>
              <w:rPr>
                <w:color w:val="000000" w:themeColor="text1"/>
                <w:sz w:val="20"/>
                <w:szCs w:val="20"/>
              </w:rPr>
            </w:pPr>
            <w:r w:rsidRPr="00C951F0">
              <w:rPr>
                <w:color w:val="000000" w:themeColor="text1"/>
                <w:sz w:val="20"/>
                <w:szCs w:val="20"/>
              </w:rPr>
              <w:t>61</w:t>
            </w:r>
            <w:r w:rsidR="00C5236B" w:rsidRPr="00C951F0">
              <w:rPr>
                <w:color w:val="000000" w:themeColor="text1"/>
                <w:sz w:val="20"/>
                <w:szCs w:val="20"/>
              </w:rPr>
              <w:t>·</w:t>
            </w:r>
            <w:r w:rsidRPr="00C951F0">
              <w:rPr>
                <w:color w:val="000000" w:themeColor="text1"/>
                <w:sz w:val="20"/>
                <w:szCs w:val="20"/>
              </w:rPr>
              <w:t xml:space="preserve">8 </w:t>
            </w:r>
            <w:r w:rsidR="006C2D21" w:rsidRPr="00C951F0">
              <w:rPr>
                <w:rFonts w:cs="Arial"/>
                <w:color w:val="000000" w:themeColor="text1"/>
                <w:sz w:val="20"/>
                <w:szCs w:val="20"/>
              </w:rPr>
              <w:t xml:space="preserve">± </w:t>
            </w:r>
            <w:r w:rsidRPr="00C951F0">
              <w:rPr>
                <w:color w:val="000000" w:themeColor="text1"/>
                <w:sz w:val="20"/>
                <w:szCs w:val="20"/>
              </w:rPr>
              <w:t>14</w:t>
            </w:r>
            <w:r w:rsidR="00C5236B" w:rsidRPr="00C951F0">
              <w:rPr>
                <w:color w:val="000000" w:themeColor="text1"/>
                <w:sz w:val="20"/>
                <w:szCs w:val="20"/>
              </w:rPr>
              <w:t>·</w:t>
            </w:r>
            <w:r w:rsidRPr="00C951F0">
              <w:rPr>
                <w:color w:val="000000" w:themeColor="text1"/>
                <w:sz w:val="20"/>
                <w:szCs w:val="20"/>
              </w:rPr>
              <w:t>4</w:t>
            </w:r>
          </w:p>
        </w:tc>
        <w:tc>
          <w:tcPr>
            <w:tcW w:w="1750" w:type="pct"/>
            <w:tcBorders>
              <w:top w:val="nil"/>
              <w:bottom w:val="nil"/>
            </w:tcBorders>
          </w:tcPr>
          <w:p w14:paraId="131A86EE" w14:textId="600B3B5A"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placebo (mmol/mol)</w:t>
            </w:r>
            <w:r w:rsidR="00C921B3" w:rsidRPr="00C951F0">
              <w:rPr>
                <w:color w:val="000000" w:themeColor="text1"/>
                <w:sz w:val="20"/>
                <w:szCs w:val="20"/>
              </w:rPr>
              <w:t>;</w:t>
            </w:r>
            <w:r w:rsidRPr="00C951F0">
              <w:rPr>
                <w:color w:val="000000" w:themeColor="text1"/>
                <w:sz w:val="20"/>
                <w:szCs w:val="20"/>
              </w:rPr>
              <w:t xml:space="preserve"> ETD: </w:t>
            </w:r>
            <w:r w:rsidR="00227D23" w:rsidRPr="00C951F0">
              <w:rPr>
                <w:color w:val="000000" w:themeColor="text1"/>
                <w:sz w:val="20"/>
                <w:szCs w:val="20"/>
              </w:rPr>
              <w:t>−</w:t>
            </w:r>
            <w:r w:rsidRPr="00C951F0">
              <w:rPr>
                <w:color w:val="000000" w:themeColor="text1"/>
                <w:sz w:val="20"/>
                <w:szCs w:val="20"/>
              </w:rPr>
              <w:t>13</w:t>
            </w:r>
            <w:r w:rsidR="00C5236B" w:rsidRPr="00C951F0">
              <w:rPr>
                <w:color w:val="000000" w:themeColor="text1"/>
                <w:sz w:val="20"/>
                <w:szCs w:val="20"/>
              </w:rPr>
              <w:t>·</w:t>
            </w:r>
            <w:r w:rsidRPr="00C951F0">
              <w:rPr>
                <w:color w:val="000000" w:themeColor="text1"/>
                <w:sz w:val="20"/>
                <w:szCs w:val="20"/>
              </w:rPr>
              <w:t xml:space="preserve">5 </w:t>
            </w:r>
            <w:r w:rsidR="00433982" w:rsidRPr="00C951F0">
              <w:rPr>
                <w:color w:val="000000" w:themeColor="text1"/>
                <w:sz w:val="20"/>
                <w:szCs w:val="20"/>
              </w:rPr>
              <w:t>(</w:t>
            </w:r>
            <w:r w:rsidR="00227D23" w:rsidRPr="00C951F0">
              <w:rPr>
                <w:color w:val="000000" w:themeColor="text1"/>
                <w:sz w:val="20"/>
                <w:szCs w:val="20"/>
              </w:rPr>
              <w:t>−</w:t>
            </w:r>
            <w:r w:rsidRPr="00C951F0">
              <w:rPr>
                <w:color w:val="000000" w:themeColor="text1"/>
                <w:sz w:val="20"/>
                <w:szCs w:val="20"/>
              </w:rPr>
              <w:t>15</w:t>
            </w:r>
            <w:r w:rsidR="00C5236B" w:rsidRPr="00C951F0">
              <w:rPr>
                <w:color w:val="000000" w:themeColor="text1"/>
                <w:sz w:val="20"/>
                <w:szCs w:val="20"/>
              </w:rPr>
              <w:t>·</w:t>
            </w:r>
            <w:r w:rsidRPr="00C951F0">
              <w:rPr>
                <w:color w:val="000000" w:themeColor="text1"/>
                <w:sz w:val="20"/>
                <w:szCs w:val="20"/>
              </w:rPr>
              <w:t>5</w:t>
            </w:r>
            <w:r w:rsidR="00227D23" w:rsidRPr="00C951F0">
              <w:rPr>
                <w:color w:val="000000" w:themeColor="text1"/>
                <w:sz w:val="20"/>
                <w:szCs w:val="20"/>
              </w:rPr>
              <w:t xml:space="preserve"> to</w:t>
            </w:r>
            <w:r w:rsidRPr="00C951F0">
              <w:rPr>
                <w:color w:val="000000" w:themeColor="text1"/>
                <w:sz w:val="20"/>
                <w:szCs w:val="20"/>
              </w:rPr>
              <w:t xml:space="preserve"> </w:t>
            </w:r>
            <w:r w:rsidR="00B81AAF" w:rsidRPr="00C951F0">
              <w:rPr>
                <w:color w:val="000000" w:themeColor="text1"/>
                <w:sz w:val="20"/>
                <w:szCs w:val="20"/>
              </w:rPr>
              <w:t>−</w:t>
            </w:r>
            <w:r w:rsidRPr="00C951F0">
              <w:rPr>
                <w:color w:val="000000" w:themeColor="text1"/>
                <w:sz w:val="20"/>
                <w:szCs w:val="20"/>
              </w:rPr>
              <w:t>11</w:t>
            </w:r>
            <w:r w:rsidR="00C5236B" w:rsidRPr="00C951F0">
              <w:rPr>
                <w:color w:val="000000" w:themeColor="text1"/>
                <w:sz w:val="20"/>
                <w:szCs w:val="20"/>
              </w:rPr>
              <w:t>·</w:t>
            </w:r>
            <w:r w:rsidRPr="00C951F0">
              <w:rPr>
                <w:color w:val="000000" w:themeColor="text1"/>
                <w:sz w:val="20"/>
                <w:szCs w:val="20"/>
              </w:rPr>
              <w:t>4</w:t>
            </w:r>
            <w:r w:rsidR="00433982" w:rsidRPr="00C951F0">
              <w:rPr>
                <w:color w:val="000000" w:themeColor="text1"/>
                <w:sz w:val="20"/>
                <w:szCs w:val="20"/>
              </w:rPr>
              <w:t>)</w:t>
            </w:r>
            <w:r w:rsidRPr="00C951F0">
              <w:rPr>
                <w:color w:val="000000" w:themeColor="text1"/>
                <w:sz w:val="20"/>
                <w:szCs w:val="20"/>
              </w:rPr>
              <w:t xml:space="preserve">; </w:t>
            </w:r>
            <w:r w:rsidR="008F1F91" w:rsidRPr="00C951F0">
              <w:rPr>
                <w:color w:val="000000" w:themeColor="text1"/>
                <w:sz w:val="20"/>
                <w:szCs w:val="20"/>
              </w:rPr>
              <w:t>p</w:t>
            </w:r>
            <w:r w:rsidRPr="00C951F0">
              <w:rPr>
                <w:color w:val="000000" w:themeColor="text1"/>
                <w:sz w:val="20"/>
                <w:szCs w:val="20"/>
              </w:rPr>
              <w:t>&lt;0</w:t>
            </w:r>
            <w:r w:rsidR="00C5236B" w:rsidRPr="00C951F0">
              <w:rPr>
                <w:color w:val="000000" w:themeColor="text1"/>
                <w:sz w:val="20"/>
                <w:szCs w:val="20"/>
              </w:rPr>
              <w:t>·</w:t>
            </w:r>
            <w:r w:rsidRPr="00C951F0">
              <w:rPr>
                <w:color w:val="000000" w:themeColor="text1"/>
                <w:sz w:val="20"/>
                <w:szCs w:val="20"/>
              </w:rPr>
              <w:t>001</w:t>
            </w:r>
          </w:p>
        </w:tc>
      </w:tr>
      <w:tr w:rsidR="00C951F0" w:rsidRPr="00C951F0" w14:paraId="000702BF" w14:textId="77777777" w:rsidTr="00934A10">
        <w:tc>
          <w:tcPr>
            <w:tcW w:w="1674" w:type="pct"/>
            <w:tcBorders>
              <w:top w:val="nil"/>
              <w:bottom w:val="nil"/>
            </w:tcBorders>
          </w:tcPr>
          <w:p w14:paraId="1548C161" w14:textId="3B63D19A" w:rsidR="00E47DB7" w:rsidRPr="00C951F0" w:rsidRDefault="00E47DB7" w:rsidP="00934A10">
            <w:pPr>
              <w:spacing w:line="240" w:lineRule="auto"/>
              <w:ind w:left="306"/>
              <w:rPr>
                <w:rFonts w:cs="Arial"/>
                <w:color w:val="000000" w:themeColor="text1"/>
                <w:sz w:val="20"/>
                <w:szCs w:val="20"/>
              </w:rPr>
            </w:pPr>
            <w:r w:rsidRPr="00C951F0">
              <w:rPr>
                <w:rFonts w:cs="Arial"/>
                <w:color w:val="000000" w:themeColor="text1"/>
                <w:sz w:val="20"/>
                <w:szCs w:val="20"/>
              </w:rPr>
              <w:lastRenderedPageBreak/>
              <w:t>Change from baseline to week 68 — mmol/mol</w:t>
            </w:r>
            <w:r w:rsidR="00CE771D">
              <w:rPr>
                <w:rFonts w:cs="Arial"/>
                <w:color w:val="000000" w:themeColor="text1"/>
                <w:sz w:val="20"/>
                <w:szCs w:val="20"/>
              </w:rPr>
              <w:t xml:space="preserve"> (SE)</w:t>
            </w:r>
          </w:p>
        </w:tc>
        <w:tc>
          <w:tcPr>
            <w:tcW w:w="526" w:type="pct"/>
            <w:tcBorders>
              <w:top w:val="nil"/>
              <w:bottom w:val="nil"/>
            </w:tcBorders>
          </w:tcPr>
          <w:p w14:paraId="232F6C26" w14:textId="0F3ABAD3" w:rsidR="00E47DB7" w:rsidRPr="00C951F0" w:rsidRDefault="00E47DB7" w:rsidP="0039543A">
            <w:pPr>
              <w:spacing w:line="240" w:lineRule="auto"/>
              <w:jc w:val="center"/>
              <w:rPr>
                <w:color w:val="000000" w:themeColor="text1"/>
                <w:sz w:val="20"/>
                <w:szCs w:val="20"/>
              </w:rPr>
            </w:pPr>
            <w:r w:rsidRPr="00C951F0">
              <w:rPr>
                <w:color w:val="000000" w:themeColor="text1"/>
                <w:sz w:val="20"/>
                <w:szCs w:val="20"/>
              </w:rPr>
              <w:t>−17·5</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7)</w:t>
            </w:r>
          </w:p>
        </w:tc>
        <w:tc>
          <w:tcPr>
            <w:tcW w:w="526" w:type="pct"/>
            <w:tcBorders>
              <w:top w:val="nil"/>
              <w:bottom w:val="nil"/>
            </w:tcBorders>
          </w:tcPr>
          <w:p w14:paraId="6D54B356" w14:textId="22CE8E4B" w:rsidR="00E47DB7" w:rsidRPr="00C951F0" w:rsidRDefault="00E47DB7" w:rsidP="0039543A">
            <w:pPr>
              <w:spacing w:line="240" w:lineRule="auto"/>
              <w:jc w:val="center"/>
              <w:rPr>
                <w:color w:val="000000" w:themeColor="text1"/>
                <w:sz w:val="20"/>
                <w:szCs w:val="20"/>
              </w:rPr>
            </w:pPr>
            <w:r w:rsidRPr="00C951F0">
              <w:rPr>
                <w:color w:val="000000" w:themeColor="text1"/>
                <w:sz w:val="20"/>
                <w:szCs w:val="20"/>
              </w:rPr>
              <w:t>−15·9</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8)</w:t>
            </w:r>
          </w:p>
        </w:tc>
        <w:tc>
          <w:tcPr>
            <w:tcW w:w="524" w:type="pct"/>
            <w:tcBorders>
              <w:top w:val="nil"/>
              <w:bottom w:val="nil"/>
            </w:tcBorders>
          </w:tcPr>
          <w:p w14:paraId="6570D9A9" w14:textId="4A04A4C3" w:rsidR="00E47DB7" w:rsidRPr="00C951F0" w:rsidRDefault="00E47DB7" w:rsidP="0039543A">
            <w:pPr>
              <w:spacing w:line="240" w:lineRule="auto"/>
              <w:jc w:val="center"/>
              <w:rPr>
                <w:color w:val="000000" w:themeColor="text1"/>
                <w:sz w:val="20"/>
                <w:szCs w:val="20"/>
              </w:rPr>
            </w:pPr>
            <w:r w:rsidRPr="00C951F0">
              <w:rPr>
                <w:color w:val="000000" w:themeColor="text1"/>
                <w:sz w:val="20"/>
                <w:szCs w:val="20"/>
              </w:rPr>
              <w:t>−4·1</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8)</w:t>
            </w:r>
          </w:p>
        </w:tc>
        <w:tc>
          <w:tcPr>
            <w:tcW w:w="1750" w:type="pct"/>
            <w:tcBorders>
              <w:top w:val="nil"/>
              <w:bottom w:val="nil"/>
            </w:tcBorders>
          </w:tcPr>
          <w:p w14:paraId="355B0621" w14:textId="22C92C74" w:rsidR="00E47DB7" w:rsidRPr="00C951F0" w:rsidRDefault="00E47DB7" w:rsidP="0039543A">
            <w:pPr>
              <w:spacing w:line="240" w:lineRule="auto"/>
              <w:rPr>
                <w:color w:val="000000" w:themeColor="text1"/>
                <w:sz w:val="20"/>
                <w:szCs w:val="20"/>
              </w:rPr>
            </w:pPr>
            <w:r w:rsidRPr="00C951F0">
              <w:rPr>
                <w:color w:val="000000" w:themeColor="text1"/>
                <w:sz w:val="20"/>
                <w:szCs w:val="20"/>
              </w:rPr>
              <w:t>Semaglutide 2·4 mg – semaglutide 1·0 mg (mmol/mol)</w:t>
            </w:r>
            <w:r w:rsidR="00C921B3" w:rsidRPr="00C951F0">
              <w:rPr>
                <w:color w:val="000000" w:themeColor="text1"/>
                <w:sz w:val="20"/>
                <w:szCs w:val="20"/>
              </w:rPr>
              <w:t>;</w:t>
            </w:r>
            <w:r w:rsidRPr="00C951F0">
              <w:rPr>
                <w:color w:val="000000" w:themeColor="text1"/>
                <w:sz w:val="20"/>
                <w:szCs w:val="20"/>
              </w:rPr>
              <w:t xml:space="preserve"> ETD: −1·7 </w:t>
            </w:r>
            <w:r w:rsidR="00433982" w:rsidRPr="00C951F0">
              <w:rPr>
                <w:color w:val="000000" w:themeColor="text1"/>
                <w:sz w:val="20"/>
                <w:szCs w:val="20"/>
              </w:rPr>
              <w:t>(</w:t>
            </w:r>
            <w:r w:rsidRPr="00C951F0">
              <w:rPr>
                <w:color w:val="000000" w:themeColor="text1"/>
                <w:sz w:val="20"/>
                <w:szCs w:val="20"/>
              </w:rPr>
              <w:t>−3·7 to 0·4</w:t>
            </w:r>
            <w:r w:rsidR="00433982" w:rsidRPr="00C951F0">
              <w:rPr>
                <w:color w:val="000000" w:themeColor="text1"/>
                <w:sz w:val="20"/>
                <w:szCs w:val="20"/>
              </w:rPr>
              <w:t>)</w:t>
            </w:r>
          </w:p>
        </w:tc>
      </w:tr>
      <w:tr w:rsidR="00C951F0" w:rsidRPr="00C951F0" w14:paraId="0BDB3417" w14:textId="77777777" w:rsidTr="00934A10">
        <w:tc>
          <w:tcPr>
            <w:tcW w:w="1674" w:type="pct"/>
            <w:tcBorders>
              <w:top w:val="nil"/>
              <w:bottom w:val="single" w:sz="4" w:space="0" w:color="auto"/>
            </w:tcBorders>
          </w:tcPr>
          <w:p w14:paraId="33162B7B" w14:textId="77777777" w:rsidR="00E47DB7" w:rsidRPr="00C951F0" w:rsidRDefault="00E47DB7" w:rsidP="0039543A">
            <w:pPr>
              <w:spacing w:line="240" w:lineRule="auto"/>
              <w:rPr>
                <w:color w:val="000000" w:themeColor="text1"/>
                <w:sz w:val="20"/>
                <w:szCs w:val="20"/>
              </w:rPr>
            </w:pPr>
          </w:p>
        </w:tc>
        <w:tc>
          <w:tcPr>
            <w:tcW w:w="526" w:type="pct"/>
            <w:tcBorders>
              <w:top w:val="nil"/>
              <w:bottom w:val="single" w:sz="4" w:space="0" w:color="auto"/>
            </w:tcBorders>
          </w:tcPr>
          <w:p w14:paraId="748ED204" w14:textId="77777777" w:rsidR="00E47DB7" w:rsidRPr="00C951F0" w:rsidRDefault="00E47DB7" w:rsidP="0039543A">
            <w:pPr>
              <w:spacing w:line="240" w:lineRule="auto"/>
              <w:jc w:val="center"/>
              <w:rPr>
                <w:color w:val="000000" w:themeColor="text1"/>
                <w:sz w:val="20"/>
                <w:szCs w:val="20"/>
              </w:rPr>
            </w:pPr>
          </w:p>
        </w:tc>
        <w:tc>
          <w:tcPr>
            <w:tcW w:w="526" w:type="pct"/>
            <w:tcBorders>
              <w:top w:val="nil"/>
              <w:bottom w:val="single" w:sz="4" w:space="0" w:color="auto"/>
            </w:tcBorders>
          </w:tcPr>
          <w:p w14:paraId="261BD678" w14:textId="77777777" w:rsidR="00E47DB7" w:rsidRPr="00C951F0" w:rsidRDefault="00E47DB7" w:rsidP="0039543A">
            <w:pPr>
              <w:spacing w:line="240" w:lineRule="auto"/>
              <w:jc w:val="center"/>
              <w:rPr>
                <w:color w:val="000000" w:themeColor="text1"/>
                <w:sz w:val="20"/>
                <w:szCs w:val="20"/>
              </w:rPr>
            </w:pPr>
          </w:p>
        </w:tc>
        <w:tc>
          <w:tcPr>
            <w:tcW w:w="524" w:type="pct"/>
            <w:tcBorders>
              <w:top w:val="nil"/>
              <w:bottom w:val="single" w:sz="4" w:space="0" w:color="auto"/>
            </w:tcBorders>
          </w:tcPr>
          <w:p w14:paraId="14FF8C8B" w14:textId="77777777" w:rsidR="00E47DB7" w:rsidRPr="00C951F0" w:rsidRDefault="00E47DB7" w:rsidP="0039543A">
            <w:pPr>
              <w:spacing w:line="240" w:lineRule="auto"/>
              <w:jc w:val="center"/>
              <w:rPr>
                <w:color w:val="000000" w:themeColor="text1"/>
                <w:sz w:val="20"/>
                <w:szCs w:val="20"/>
              </w:rPr>
            </w:pPr>
          </w:p>
        </w:tc>
        <w:tc>
          <w:tcPr>
            <w:tcW w:w="1750" w:type="pct"/>
            <w:tcBorders>
              <w:top w:val="nil"/>
              <w:bottom w:val="single" w:sz="4" w:space="0" w:color="auto"/>
            </w:tcBorders>
          </w:tcPr>
          <w:p w14:paraId="2ABF66E5" w14:textId="18D2E737" w:rsidR="00E47DB7" w:rsidRPr="00C951F0" w:rsidRDefault="00E47DB7" w:rsidP="0039543A">
            <w:pPr>
              <w:spacing w:line="240" w:lineRule="auto"/>
              <w:rPr>
                <w:color w:val="000000" w:themeColor="text1"/>
                <w:sz w:val="20"/>
                <w:szCs w:val="20"/>
              </w:rPr>
            </w:pPr>
            <w:r w:rsidRPr="00C951F0">
              <w:rPr>
                <w:color w:val="000000" w:themeColor="text1"/>
                <w:sz w:val="20"/>
                <w:szCs w:val="20"/>
              </w:rPr>
              <w:t>Semaglutide 1·0 mg – placebo (mmol/mol)</w:t>
            </w:r>
            <w:r w:rsidR="00C921B3" w:rsidRPr="00C951F0">
              <w:rPr>
                <w:color w:val="000000" w:themeColor="text1"/>
                <w:sz w:val="20"/>
                <w:szCs w:val="20"/>
              </w:rPr>
              <w:t>;</w:t>
            </w:r>
            <w:r w:rsidRPr="00C951F0">
              <w:rPr>
                <w:color w:val="000000" w:themeColor="text1"/>
                <w:sz w:val="20"/>
                <w:szCs w:val="20"/>
              </w:rPr>
              <w:t xml:space="preserve"> ETD: −11·8 </w:t>
            </w:r>
            <w:r w:rsidR="00433982" w:rsidRPr="00C951F0">
              <w:rPr>
                <w:color w:val="000000" w:themeColor="text1"/>
                <w:sz w:val="20"/>
                <w:szCs w:val="20"/>
              </w:rPr>
              <w:t>(</w:t>
            </w:r>
            <w:r w:rsidRPr="00C951F0">
              <w:rPr>
                <w:color w:val="000000" w:themeColor="text1"/>
                <w:sz w:val="20"/>
                <w:szCs w:val="20"/>
              </w:rPr>
              <w:t>−14·0 to −9·7</w:t>
            </w:r>
            <w:r w:rsidR="00433982" w:rsidRPr="00C951F0">
              <w:rPr>
                <w:color w:val="000000" w:themeColor="text1"/>
                <w:sz w:val="20"/>
                <w:szCs w:val="20"/>
              </w:rPr>
              <w:t>)</w:t>
            </w:r>
          </w:p>
        </w:tc>
      </w:tr>
      <w:tr w:rsidR="00C951F0" w:rsidRPr="00C951F0" w14:paraId="7C3053BE" w14:textId="77777777" w:rsidTr="00934A10">
        <w:tc>
          <w:tcPr>
            <w:tcW w:w="1674" w:type="pct"/>
            <w:tcBorders>
              <w:top w:val="single" w:sz="4" w:space="0" w:color="auto"/>
              <w:bottom w:val="nil"/>
            </w:tcBorders>
          </w:tcPr>
          <w:p w14:paraId="583B3180" w14:textId="4AEAF329" w:rsidR="00E47DB7" w:rsidRPr="00C951F0" w:rsidRDefault="00E47DB7" w:rsidP="0039543A">
            <w:pPr>
              <w:spacing w:line="240" w:lineRule="auto"/>
              <w:rPr>
                <w:rFonts w:cs="Arial"/>
                <w:color w:val="000000" w:themeColor="text1"/>
                <w:sz w:val="20"/>
                <w:szCs w:val="20"/>
              </w:rPr>
            </w:pPr>
            <w:r w:rsidRPr="00C951F0">
              <w:rPr>
                <w:color w:val="000000" w:themeColor="text1"/>
                <w:sz w:val="20"/>
                <w:szCs w:val="20"/>
              </w:rPr>
              <w:t xml:space="preserve">Systolic blood pressure </w:t>
            </w:r>
            <w:r w:rsidRPr="00C951F0">
              <w:rPr>
                <w:rFonts w:cs="Arial"/>
                <w:color w:val="000000" w:themeColor="text1"/>
                <w:sz w:val="20"/>
                <w:szCs w:val="20"/>
              </w:rPr>
              <w:t xml:space="preserve">— </w:t>
            </w:r>
            <w:r w:rsidRPr="00C951F0">
              <w:rPr>
                <w:color w:val="000000" w:themeColor="text1"/>
                <w:sz w:val="20"/>
                <w:szCs w:val="20"/>
              </w:rPr>
              <w:t>mmHg</w:t>
            </w:r>
          </w:p>
        </w:tc>
        <w:tc>
          <w:tcPr>
            <w:tcW w:w="526" w:type="pct"/>
            <w:tcBorders>
              <w:top w:val="single" w:sz="4" w:space="0" w:color="auto"/>
              <w:bottom w:val="nil"/>
            </w:tcBorders>
          </w:tcPr>
          <w:p w14:paraId="71E6D8A2" w14:textId="77777777" w:rsidR="00E47DB7" w:rsidRPr="00C951F0" w:rsidRDefault="00E47DB7" w:rsidP="0039543A">
            <w:pPr>
              <w:spacing w:line="240" w:lineRule="auto"/>
              <w:jc w:val="center"/>
              <w:rPr>
                <w:color w:val="000000" w:themeColor="text1"/>
                <w:sz w:val="20"/>
                <w:szCs w:val="20"/>
              </w:rPr>
            </w:pPr>
          </w:p>
        </w:tc>
        <w:tc>
          <w:tcPr>
            <w:tcW w:w="526" w:type="pct"/>
            <w:tcBorders>
              <w:top w:val="single" w:sz="4" w:space="0" w:color="auto"/>
              <w:bottom w:val="nil"/>
            </w:tcBorders>
          </w:tcPr>
          <w:p w14:paraId="4011B696" w14:textId="77777777" w:rsidR="00E47DB7" w:rsidRPr="00C951F0" w:rsidRDefault="00E47DB7" w:rsidP="0039543A">
            <w:pPr>
              <w:spacing w:line="240" w:lineRule="auto"/>
              <w:jc w:val="center"/>
              <w:rPr>
                <w:color w:val="000000" w:themeColor="text1"/>
                <w:sz w:val="20"/>
                <w:szCs w:val="20"/>
              </w:rPr>
            </w:pPr>
          </w:p>
        </w:tc>
        <w:tc>
          <w:tcPr>
            <w:tcW w:w="524" w:type="pct"/>
            <w:tcBorders>
              <w:top w:val="single" w:sz="4" w:space="0" w:color="auto"/>
              <w:bottom w:val="nil"/>
            </w:tcBorders>
          </w:tcPr>
          <w:p w14:paraId="02967C87" w14:textId="77777777" w:rsidR="00E47DB7" w:rsidRPr="00C951F0" w:rsidRDefault="00E47DB7" w:rsidP="0039543A">
            <w:pPr>
              <w:spacing w:line="240" w:lineRule="auto"/>
              <w:jc w:val="center"/>
              <w:rPr>
                <w:color w:val="000000" w:themeColor="text1"/>
                <w:sz w:val="20"/>
                <w:szCs w:val="20"/>
              </w:rPr>
            </w:pPr>
          </w:p>
        </w:tc>
        <w:tc>
          <w:tcPr>
            <w:tcW w:w="1750" w:type="pct"/>
            <w:tcBorders>
              <w:top w:val="single" w:sz="4" w:space="0" w:color="auto"/>
              <w:bottom w:val="nil"/>
            </w:tcBorders>
          </w:tcPr>
          <w:p w14:paraId="6233E6F6" w14:textId="77777777" w:rsidR="00E47DB7" w:rsidRPr="00C951F0" w:rsidRDefault="00E47DB7" w:rsidP="0039543A">
            <w:pPr>
              <w:spacing w:line="240" w:lineRule="auto"/>
              <w:rPr>
                <w:color w:val="000000" w:themeColor="text1"/>
                <w:sz w:val="20"/>
                <w:szCs w:val="20"/>
              </w:rPr>
            </w:pPr>
          </w:p>
        </w:tc>
      </w:tr>
      <w:tr w:rsidR="00C25CC5" w:rsidRPr="00C951F0" w14:paraId="6A706D59" w14:textId="77777777" w:rsidTr="00934A10">
        <w:tc>
          <w:tcPr>
            <w:tcW w:w="1674" w:type="pct"/>
            <w:tcBorders>
              <w:top w:val="nil"/>
              <w:bottom w:val="nil"/>
            </w:tcBorders>
          </w:tcPr>
          <w:p w14:paraId="642F627D" w14:textId="761FDBD3" w:rsidR="00C25CC5" w:rsidRPr="00C951F0" w:rsidRDefault="00C25CC5"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08E23399" w14:textId="0E776BD3" w:rsidR="00C25CC5" w:rsidRPr="00C951F0" w:rsidRDefault="00C25CC5" w:rsidP="00433982">
            <w:pPr>
              <w:spacing w:line="240" w:lineRule="auto"/>
              <w:jc w:val="center"/>
              <w:rPr>
                <w:color w:val="000000" w:themeColor="text1"/>
                <w:sz w:val="20"/>
                <w:szCs w:val="20"/>
              </w:rPr>
            </w:pPr>
            <w:r>
              <w:rPr>
                <w:color w:val="000000" w:themeColor="text1"/>
                <w:sz w:val="20"/>
                <w:szCs w:val="20"/>
              </w:rPr>
              <w:t>387</w:t>
            </w:r>
          </w:p>
        </w:tc>
        <w:tc>
          <w:tcPr>
            <w:tcW w:w="526" w:type="pct"/>
            <w:tcBorders>
              <w:top w:val="nil"/>
              <w:bottom w:val="nil"/>
            </w:tcBorders>
          </w:tcPr>
          <w:p w14:paraId="68E2346B" w14:textId="5A0D2B5F" w:rsidR="00C25CC5" w:rsidRPr="00C951F0" w:rsidRDefault="00C25CC5">
            <w:pPr>
              <w:spacing w:line="240" w:lineRule="auto"/>
              <w:jc w:val="center"/>
              <w:rPr>
                <w:color w:val="000000" w:themeColor="text1"/>
                <w:sz w:val="20"/>
                <w:szCs w:val="20"/>
              </w:rPr>
            </w:pPr>
            <w:r>
              <w:rPr>
                <w:color w:val="000000" w:themeColor="text1"/>
                <w:sz w:val="20"/>
                <w:szCs w:val="20"/>
              </w:rPr>
              <w:t>379</w:t>
            </w:r>
          </w:p>
        </w:tc>
        <w:tc>
          <w:tcPr>
            <w:tcW w:w="524" w:type="pct"/>
            <w:tcBorders>
              <w:top w:val="nil"/>
              <w:bottom w:val="nil"/>
            </w:tcBorders>
          </w:tcPr>
          <w:p w14:paraId="4901E3C8" w14:textId="38D33E76" w:rsidR="00C25CC5" w:rsidRPr="00C951F0" w:rsidRDefault="00C25CC5">
            <w:pPr>
              <w:spacing w:line="240" w:lineRule="auto"/>
              <w:jc w:val="center"/>
              <w:rPr>
                <w:color w:val="000000" w:themeColor="text1"/>
                <w:sz w:val="20"/>
                <w:szCs w:val="20"/>
              </w:rPr>
            </w:pPr>
            <w:r>
              <w:rPr>
                <w:color w:val="000000" w:themeColor="text1"/>
                <w:sz w:val="20"/>
                <w:szCs w:val="20"/>
              </w:rPr>
              <w:t>376</w:t>
            </w:r>
          </w:p>
        </w:tc>
        <w:tc>
          <w:tcPr>
            <w:tcW w:w="1750" w:type="pct"/>
            <w:tcBorders>
              <w:top w:val="nil"/>
              <w:bottom w:val="nil"/>
            </w:tcBorders>
          </w:tcPr>
          <w:p w14:paraId="688C539C" w14:textId="77777777" w:rsidR="00C25CC5" w:rsidRPr="00C951F0" w:rsidRDefault="00C25CC5" w:rsidP="0039543A">
            <w:pPr>
              <w:spacing w:line="240" w:lineRule="auto"/>
              <w:rPr>
                <w:color w:val="000000" w:themeColor="text1"/>
                <w:sz w:val="20"/>
                <w:szCs w:val="20"/>
              </w:rPr>
            </w:pPr>
          </w:p>
        </w:tc>
      </w:tr>
      <w:tr w:rsidR="00C951F0" w:rsidRPr="00C951F0" w14:paraId="6F449B0E" w14:textId="77777777" w:rsidTr="00934A10">
        <w:tc>
          <w:tcPr>
            <w:tcW w:w="1674" w:type="pct"/>
            <w:tcBorders>
              <w:top w:val="nil"/>
              <w:bottom w:val="nil"/>
            </w:tcBorders>
          </w:tcPr>
          <w:p w14:paraId="4D5E485E" w14:textId="47268AD8" w:rsidR="00E47DB7" w:rsidRPr="00C951F0" w:rsidRDefault="00E47DB7" w:rsidP="00934A10">
            <w:pPr>
              <w:spacing w:line="240" w:lineRule="auto"/>
              <w:ind w:left="306"/>
              <w:rPr>
                <w:rFonts w:cs="Arial"/>
                <w:color w:val="000000" w:themeColor="text1"/>
                <w:sz w:val="20"/>
                <w:szCs w:val="20"/>
              </w:rPr>
            </w:pPr>
            <w:r w:rsidRPr="00C951F0">
              <w:rPr>
                <w:rFonts w:cs="Arial"/>
                <w:color w:val="000000" w:themeColor="text1"/>
                <w:sz w:val="20"/>
                <w:szCs w:val="20"/>
              </w:rPr>
              <w:t>Week 68 mean ± SD</w:t>
            </w:r>
          </w:p>
        </w:tc>
        <w:tc>
          <w:tcPr>
            <w:tcW w:w="526" w:type="pct"/>
            <w:tcBorders>
              <w:top w:val="nil"/>
              <w:bottom w:val="nil"/>
            </w:tcBorders>
          </w:tcPr>
          <w:p w14:paraId="350B1A63" w14:textId="15894216" w:rsidR="00E47DB7" w:rsidRPr="00C951F0" w:rsidRDefault="00E47DB7" w:rsidP="00433982">
            <w:pPr>
              <w:spacing w:line="240" w:lineRule="auto"/>
              <w:jc w:val="center"/>
              <w:rPr>
                <w:color w:val="000000" w:themeColor="text1"/>
                <w:sz w:val="20"/>
                <w:szCs w:val="20"/>
              </w:rPr>
            </w:pPr>
            <w:r w:rsidRPr="00C951F0">
              <w:rPr>
                <w:color w:val="000000" w:themeColor="text1"/>
                <w:sz w:val="20"/>
                <w:szCs w:val="20"/>
              </w:rPr>
              <w:t xml:space="preserve">126 </w:t>
            </w:r>
            <w:r w:rsidRPr="00C951F0">
              <w:rPr>
                <w:rFonts w:cs="Arial"/>
                <w:color w:val="000000" w:themeColor="text1"/>
                <w:sz w:val="20"/>
                <w:szCs w:val="20"/>
              </w:rPr>
              <w:t xml:space="preserve">± </w:t>
            </w:r>
            <w:r w:rsidRPr="00C951F0">
              <w:rPr>
                <w:color w:val="000000" w:themeColor="text1"/>
                <w:sz w:val="20"/>
                <w:szCs w:val="20"/>
              </w:rPr>
              <w:t>14</w:t>
            </w:r>
          </w:p>
        </w:tc>
        <w:tc>
          <w:tcPr>
            <w:tcW w:w="526" w:type="pct"/>
            <w:tcBorders>
              <w:top w:val="nil"/>
              <w:bottom w:val="nil"/>
            </w:tcBorders>
          </w:tcPr>
          <w:p w14:paraId="06001273" w14:textId="0B3F46BC" w:rsidR="00E47DB7" w:rsidRPr="00C951F0" w:rsidRDefault="00E47DB7">
            <w:pPr>
              <w:spacing w:line="240" w:lineRule="auto"/>
              <w:jc w:val="center"/>
              <w:rPr>
                <w:color w:val="000000" w:themeColor="text1"/>
                <w:sz w:val="20"/>
                <w:szCs w:val="20"/>
              </w:rPr>
            </w:pPr>
            <w:r w:rsidRPr="00C951F0">
              <w:rPr>
                <w:color w:val="000000" w:themeColor="text1"/>
                <w:sz w:val="20"/>
                <w:szCs w:val="20"/>
              </w:rPr>
              <w:t xml:space="preserve">127 </w:t>
            </w:r>
            <w:r w:rsidRPr="00C951F0">
              <w:rPr>
                <w:rFonts w:cs="Arial"/>
                <w:color w:val="000000" w:themeColor="text1"/>
                <w:sz w:val="20"/>
                <w:szCs w:val="20"/>
              </w:rPr>
              <w:t xml:space="preserve">± </w:t>
            </w:r>
            <w:r w:rsidRPr="00C951F0">
              <w:rPr>
                <w:color w:val="000000" w:themeColor="text1"/>
                <w:sz w:val="20"/>
                <w:szCs w:val="20"/>
              </w:rPr>
              <w:t>15</w:t>
            </w:r>
          </w:p>
        </w:tc>
        <w:tc>
          <w:tcPr>
            <w:tcW w:w="524" w:type="pct"/>
            <w:tcBorders>
              <w:top w:val="nil"/>
              <w:bottom w:val="nil"/>
            </w:tcBorders>
          </w:tcPr>
          <w:p w14:paraId="4BD06805" w14:textId="70C9DD64" w:rsidR="00E47DB7" w:rsidRPr="00C951F0" w:rsidRDefault="00E47DB7">
            <w:pPr>
              <w:spacing w:line="240" w:lineRule="auto"/>
              <w:jc w:val="center"/>
              <w:rPr>
                <w:color w:val="000000" w:themeColor="text1"/>
                <w:sz w:val="20"/>
                <w:szCs w:val="20"/>
              </w:rPr>
            </w:pPr>
            <w:r w:rsidRPr="00C951F0">
              <w:rPr>
                <w:color w:val="000000" w:themeColor="text1"/>
                <w:sz w:val="20"/>
                <w:szCs w:val="20"/>
              </w:rPr>
              <w:t xml:space="preserve">130 </w:t>
            </w:r>
            <w:r w:rsidRPr="00C951F0">
              <w:rPr>
                <w:rFonts w:cs="Arial"/>
                <w:color w:val="000000" w:themeColor="text1"/>
                <w:sz w:val="20"/>
                <w:szCs w:val="20"/>
              </w:rPr>
              <w:t xml:space="preserve">± </w:t>
            </w:r>
            <w:r w:rsidRPr="00C951F0">
              <w:rPr>
                <w:color w:val="000000" w:themeColor="text1"/>
                <w:sz w:val="20"/>
                <w:szCs w:val="20"/>
              </w:rPr>
              <w:t>14</w:t>
            </w:r>
          </w:p>
        </w:tc>
        <w:tc>
          <w:tcPr>
            <w:tcW w:w="1750" w:type="pct"/>
            <w:tcBorders>
              <w:top w:val="nil"/>
              <w:bottom w:val="nil"/>
            </w:tcBorders>
          </w:tcPr>
          <w:p w14:paraId="15336208" w14:textId="1AC74D7A" w:rsidR="00E47DB7" w:rsidRPr="00C951F0" w:rsidRDefault="00E47DB7" w:rsidP="0039543A">
            <w:pPr>
              <w:spacing w:line="240" w:lineRule="auto"/>
              <w:rPr>
                <w:color w:val="000000" w:themeColor="text1"/>
                <w:sz w:val="20"/>
                <w:szCs w:val="20"/>
              </w:rPr>
            </w:pPr>
            <w:r w:rsidRPr="00C951F0">
              <w:rPr>
                <w:color w:val="000000" w:themeColor="text1"/>
                <w:sz w:val="20"/>
                <w:szCs w:val="20"/>
              </w:rPr>
              <w:t>Semaglutide 2·4 mg – placebo (mmHg)</w:t>
            </w:r>
            <w:r w:rsidR="00C921B3" w:rsidRPr="00C951F0">
              <w:rPr>
                <w:color w:val="000000" w:themeColor="text1"/>
                <w:sz w:val="20"/>
                <w:szCs w:val="20"/>
              </w:rPr>
              <w:t>;</w:t>
            </w:r>
            <w:r w:rsidRPr="00C951F0">
              <w:rPr>
                <w:color w:val="000000" w:themeColor="text1"/>
                <w:sz w:val="20"/>
                <w:szCs w:val="20"/>
              </w:rPr>
              <w:t xml:space="preserve"> ETD: −3·4 </w:t>
            </w:r>
            <w:r w:rsidR="00433982" w:rsidRPr="00C951F0">
              <w:rPr>
                <w:color w:val="000000" w:themeColor="text1"/>
                <w:sz w:val="20"/>
                <w:szCs w:val="20"/>
              </w:rPr>
              <w:t>(</w:t>
            </w:r>
            <w:r w:rsidRPr="00C951F0">
              <w:rPr>
                <w:color w:val="000000" w:themeColor="text1"/>
                <w:sz w:val="20"/>
                <w:szCs w:val="20"/>
              </w:rPr>
              <w:t>–5·6 to –1·3</w:t>
            </w:r>
            <w:r w:rsidR="00433982" w:rsidRPr="00C951F0">
              <w:rPr>
                <w:color w:val="000000" w:themeColor="text1"/>
                <w:sz w:val="20"/>
                <w:szCs w:val="20"/>
              </w:rPr>
              <w:t>)</w:t>
            </w:r>
            <w:r w:rsidRPr="00C951F0">
              <w:rPr>
                <w:color w:val="000000" w:themeColor="text1"/>
                <w:sz w:val="20"/>
                <w:szCs w:val="20"/>
              </w:rPr>
              <w:t>; p=0·0016</w:t>
            </w:r>
          </w:p>
        </w:tc>
      </w:tr>
      <w:tr w:rsidR="00C951F0" w:rsidRPr="00C951F0" w14:paraId="638FB28D" w14:textId="77777777" w:rsidTr="00934A10">
        <w:tc>
          <w:tcPr>
            <w:tcW w:w="1674" w:type="pct"/>
            <w:tcBorders>
              <w:top w:val="nil"/>
              <w:bottom w:val="single" w:sz="4" w:space="0" w:color="auto"/>
            </w:tcBorders>
          </w:tcPr>
          <w:p w14:paraId="62CBC7C4" w14:textId="29F0DAF7"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 xml:space="preserve">Change from </w:t>
            </w:r>
            <w:proofErr w:type="gramStart"/>
            <w:r w:rsidRPr="00C951F0">
              <w:rPr>
                <w:rFonts w:cs="Arial"/>
                <w:color w:val="000000" w:themeColor="text1"/>
                <w:sz w:val="20"/>
                <w:szCs w:val="20"/>
              </w:rPr>
              <w:t>baseline  to</w:t>
            </w:r>
            <w:proofErr w:type="gramEnd"/>
            <w:r w:rsidRPr="00C951F0">
              <w:rPr>
                <w:rFonts w:cs="Arial"/>
                <w:color w:val="000000" w:themeColor="text1"/>
                <w:sz w:val="20"/>
                <w:szCs w:val="20"/>
              </w:rPr>
              <w:t xml:space="preserve"> week 68</w:t>
            </w:r>
            <w:r w:rsidR="00CE771D">
              <w:rPr>
                <w:rFonts w:cs="Arial"/>
                <w:color w:val="000000" w:themeColor="text1"/>
                <w:sz w:val="20"/>
                <w:szCs w:val="20"/>
              </w:rPr>
              <w:t xml:space="preserve"> – </w:t>
            </w:r>
            <w:r w:rsidR="00CE771D" w:rsidRPr="00C951F0">
              <w:rPr>
                <w:rFonts w:cs="Arial"/>
                <w:color w:val="000000" w:themeColor="text1"/>
                <w:sz w:val="20"/>
                <w:szCs w:val="20"/>
              </w:rPr>
              <w:t>mmHg</w:t>
            </w:r>
            <w:r w:rsidR="00CE771D">
              <w:rPr>
                <w:rFonts w:cs="Arial"/>
                <w:color w:val="000000" w:themeColor="text1"/>
                <w:sz w:val="20"/>
                <w:szCs w:val="20"/>
              </w:rPr>
              <w:t xml:space="preserve"> (SE)</w:t>
            </w:r>
          </w:p>
        </w:tc>
        <w:tc>
          <w:tcPr>
            <w:tcW w:w="526" w:type="pct"/>
            <w:tcBorders>
              <w:top w:val="nil"/>
              <w:bottom w:val="single" w:sz="4" w:space="0" w:color="auto"/>
            </w:tcBorders>
          </w:tcPr>
          <w:p w14:paraId="65F54A83" w14:textId="7B0D2FC2"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3</w:t>
            </w:r>
            <w:r w:rsidR="00C5236B" w:rsidRPr="00C951F0">
              <w:rPr>
                <w:color w:val="000000" w:themeColor="text1"/>
                <w:sz w:val="20"/>
                <w:szCs w:val="20"/>
              </w:rPr>
              <w:t>·</w:t>
            </w:r>
            <w:r w:rsidR="00B1644A" w:rsidRPr="00C951F0">
              <w:rPr>
                <w:color w:val="000000" w:themeColor="text1"/>
                <w:sz w:val="20"/>
                <w:szCs w:val="20"/>
              </w:rPr>
              <w:t>9</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7)</w:t>
            </w:r>
          </w:p>
        </w:tc>
        <w:tc>
          <w:tcPr>
            <w:tcW w:w="526" w:type="pct"/>
            <w:tcBorders>
              <w:top w:val="nil"/>
              <w:bottom w:val="single" w:sz="4" w:space="0" w:color="auto"/>
            </w:tcBorders>
          </w:tcPr>
          <w:p w14:paraId="6388BB36" w14:textId="6CEF1BDB"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2</w:t>
            </w:r>
            <w:r w:rsidR="00C5236B" w:rsidRPr="00C951F0">
              <w:rPr>
                <w:color w:val="000000" w:themeColor="text1"/>
                <w:sz w:val="20"/>
                <w:szCs w:val="20"/>
              </w:rPr>
              <w:t>·</w:t>
            </w:r>
            <w:r w:rsidR="00B1644A" w:rsidRPr="00C951F0">
              <w:rPr>
                <w:color w:val="000000" w:themeColor="text1"/>
                <w:sz w:val="20"/>
                <w:szCs w:val="20"/>
              </w:rPr>
              <w:t>9</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9)</w:t>
            </w:r>
          </w:p>
        </w:tc>
        <w:tc>
          <w:tcPr>
            <w:tcW w:w="524" w:type="pct"/>
            <w:tcBorders>
              <w:top w:val="nil"/>
              <w:bottom w:val="single" w:sz="4" w:space="0" w:color="auto"/>
            </w:tcBorders>
          </w:tcPr>
          <w:p w14:paraId="04A7FD78" w14:textId="45AE7139"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5</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8)</w:t>
            </w:r>
          </w:p>
        </w:tc>
        <w:tc>
          <w:tcPr>
            <w:tcW w:w="1750" w:type="pct"/>
            <w:tcBorders>
              <w:top w:val="nil"/>
              <w:bottom w:val="single" w:sz="4" w:space="0" w:color="auto"/>
            </w:tcBorders>
          </w:tcPr>
          <w:p w14:paraId="73176522" w14:textId="7E253134" w:rsidR="00B1644A" w:rsidRPr="00C951F0" w:rsidRDefault="00B1644A" w:rsidP="00B81AAF">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 (mmHg)</w:t>
            </w:r>
            <w:r w:rsidR="00C921B3" w:rsidRPr="00C951F0">
              <w:rPr>
                <w:color w:val="000000" w:themeColor="text1"/>
                <w:sz w:val="20"/>
                <w:szCs w:val="20"/>
              </w:rPr>
              <w:t>;</w:t>
            </w:r>
            <w:r w:rsidR="00E47DB7" w:rsidRPr="00C951F0">
              <w:rPr>
                <w:color w:val="000000" w:themeColor="text1"/>
                <w:sz w:val="20"/>
                <w:szCs w:val="20"/>
              </w:rPr>
              <w:t xml:space="preserve"> </w:t>
            </w:r>
            <w:r w:rsidRPr="00C951F0">
              <w:rPr>
                <w:color w:val="000000" w:themeColor="text1"/>
                <w:sz w:val="20"/>
                <w:szCs w:val="20"/>
              </w:rPr>
              <w:t xml:space="preserve">ETD: </w:t>
            </w:r>
            <w:r w:rsidR="00227D23" w:rsidRPr="00C951F0">
              <w:rPr>
                <w:color w:val="000000" w:themeColor="text1"/>
                <w:sz w:val="20"/>
                <w:szCs w:val="20"/>
              </w:rPr>
              <w:t>−</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 xml:space="preserve">0 </w:t>
            </w:r>
            <w:r w:rsidR="00433982" w:rsidRPr="00C951F0">
              <w:rPr>
                <w:color w:val="000000" w:themeColor="text1"/>
                <w:sz w:val="20"/>
                <w:szCs w:val="20"/>
              </w:rPr>
              <w:t>(</w:t>
            </w:r>
            <w:r w:rsidR="00227D23" w:rsidRPr="00C951F0">
              <w:rPr>
                <w:color w:val="000000" w:themeColor="text1"/>
                <w:sz w:val="20"/>
                <w:szCs w:val="20"/>
              </w:rPr>
              <w:t>−</w:t>
            </w:r>
            <w:r w:rsidRPr="00C951F0">
              <w:rPr>
                <w:color w:val="000000" w:themeColor="text1"/>
                <w:sz w:val="20"/>
                <w:szCs w:val="20"/>
              </w:rPr>
              <w:t>3</w:t>
            </w:r>
            <w:r w:rsidR="00C5236B" w:rsidRPr="00C951F0">
              <w:rPr>
                <w:color w:val="000000" w:themeColor="text1"/>
                <w:sz w:val="20"/>
                <w:szCs w:val="20"/>
              </w:rPr>
              <w:t>·</w:t>
            </w:r>
            <w:r w:rsidRPr="00C951F0">
              <w:rPr>
                <w:color w:val="000000" w:themeColor="text1"/>
                <w:sz w:val="20"/>
                <w:szCs w:val="20"/>
              </w:rPr>
              <w:t>3</w:t>
            </w:r>
            <w:r w:rsidR="00227D23" w:rsidRPr="00C951F0">
              <w:rPr>
                <w:color w:val="000000" w:themeColor="text1"/>
                <w:sz w:val="20"/>
                <w:szCs w:val="20"/>
              </w:rPr>
              <w:t xml:space="preserve"> to</w:t>
            </w:r>
            <w:r w:rsidRPr="00C951F0">
              <w:rPr>
                <w:color w:val="000000" w:themeColor="text1"/>
                <w:sz w:val="20"/>
                <w:szCs w:val="20"/>
              </w:rPr>
              <w:t xml:space="preserve"> 1</w:t>
            </w:r>
            <w:r w:rsidR="00C5236B" w:rsidRPr="00C951F0">
              <w:rPr>
                <w:color w:val="000000" w:themeColor="text1"/>
                <w:sz w:val="20"/>
                <w:szCs w:val="20"/>
              </w:rPr>
              <w:t>·</w:t>
            </w:r>
            <w:r w:rsidRPr="00C951F0">
              <w:rPr>
                <w:color w:val="000000" w:themeColor="text1"/>
                <w:sz w:val="20"/>
                <w:szCs w:val="20"/>
              </w:rPr>
              <w:t>2</w:t>
            </w:r>
            <w:r w:rsidR="00433982" w:rsidRPr="00C951F0">
              <w:rPr>
                <w:color w:val="000000" w:themeColor="text1"/>
                <w:sz w:val="20"/>
                <w:szCs w:val="20"/>
              </w:rPr>
              <w:t>)</w:t>
            </w:r>
          </w:p>
        </w:tc>
      </w:tr>
      <w:tr w:rsidR="00C951F0" w:rsidRPr="00C951F0" w14:paraId="14336AB1" w14:textId="77777777" w:rsidTr="00934A10">
        <w:tc>
          <w:tcPr>
            <w:tcW w:w="1674" w:type="pct"/>
            <w:tcBorders>
              <w:top w:val="single" w:sz="4" w:space="0" w:color="auto"/>
              <w:bottom w:val="nil"/>
            </w:tcBorders>
          </w:tcPr>
          <w:p w14:paraId="31F79E81" w14:textId="10718087" w:rsidR="00E47DB7" w:rsidRPr="00C951F0" w:rsidDel="00E47DB7" w:rsidRDefault="00E47DB7" w:rsidP="00934A10">
            <w:pPr>
              <w:spacing w:line="240" w:lineRule="auto"/>
              <w:rPr>
                <w:rFonts w:cs="Arial"/>
                <w:color w:val="000000" w:themeColor="text1"/>
                <w:sz w:val="20"/>
                <w:szCs w:val="20"/>
              </w:rPr>
            </w:pPr>
            <w:r w:rsidRPr="00C951F0">
              <w:rPr>
                <w:color w:val="000000" w:themeColor="text1"/>
                <w:sz w:val="20"/>
                <w:szCs w:val="20"/>
              </w:rPr>
              <w:t>SF-36 physical functioning score</w:t>
            </w:r>
          </w:p>
        </w:tc>
        <w:tc>
          <w:tcPr>
            <w:tcW w:w="526" w:type="pct"/>
            <w:tcBorders>
              <w:top w:val="single" w:sz="4" w:space="0" w:color="auto"/>
              <w:bottom w:val="nil"/>
            </w:tcBorders>
          </w:tcPr>
          <w:p w14:paraId="038892AF" w14:textId="77777777" w:rsidR="00E47DB7" w:rsidRPr="00C951F0" w:rsidDel="00E47DB7" w:rsidRDefault="00E47DB7" w:rsidP="0039543A">
            <w:pPr>
              <w:spacing w:line="240" w:lineRule="auto"/>
              <w:jc w:val="center"/>
              <w:rPr>
                <w:color w:val="000000" w:themeColor="text1"/>
                <w:sz w:val="20"/>
                <w:szCs w:val="20"/>
              </w:rPr>
            </w:pPr>
          </w:p>
        </w:tc>
        <w:tc>
          <w:tcPr>
            <w:tcW w:w="526" w:type="pct"/>
            <w:tcBorders>
              <w:top w:val="single" w:sz="4" w:space="0" w:color="auto"/>
              <w:bottom w:val="nil"/>
            </w:tcBorders>
          </w:tcPr>
          <w:p w14:paraId="296FF28E" w14:textId="77777777" w:rsidR="00E47DB7" w:rsidRPr="00C951F0" w:rsidDel="00E47DB7" w:rsidRDefault="00E47DB7" w:rsidP="0039543A">
            <w:pPr>
              <w:spacing w:line="240" w:lineRule="auto"/>
              <w:jc w:val="center"/>
              <w:rPr>
                <w:color w:val="000000" w:themeColor="text1"/>
                <w:sz w:val="20"/>
                <w:szCs w:val="20"/>
              </w:rPr>
            </w:pPr>
          </w:p>
        </w:tc>
        <w:tc>
          <w:tcPr>
            <w:tcW w:w="524" w:type="pct"/>
            <w:tcBorders>
              <w:top w:val="single" w:sz="4" w:space="0" w:color="auto"/>
              <w:bottom w:val="nil"/>
            </w:tcBorders>
          </w:tcPr>
          <w:p w14:paraId="46B90727" w14:textId="77777777" w:rsidR="00E47DB7" w:rsidRPr="00C951F0" w:rsidDel="00E47DB7" w:rsidRDefault="00E47DB7" w:rsidP="0039543A">
            <w:pPr>
              <w:spacing w:line="240" w:lineRule="auto"/>
              <w:jc w:val="center"/>
              <w:rPr>
                <w:color w:val="000000" w:themeColor="text1"/>
                <w:sz w:val="20"/>
                <w:szCs w:val="20"/>
              </w:rPr>
            </w:pPr>
          </w:p>
        </w:tc>
        <w:tc>
          <w:tcPr>
            <w:tcW w:w="1750" w:type="pct"/>
            <w:tcBorders>
              <w:top w:val="single" w:sz="4" w:space="0" w:color="auto"/>
              <w:bottom w:val="nil"/>
            </w:tcBorders>
          </w:tcPr>
          <w:p w14:paraId="43544DA4" w14:textId="77777777" w:rsidR="00E47DB7" w:rsidRPr="00C951F0" w:rsidDel="00E47DB7" w:rsidRDefault="00E47DB7" w:rsidP="00B81AAF">
            <w:pPr>
              <w:spacing w:line="240" w:lineRule="auto"/>
              <w:rPr>
                <w:color w:val="000000" w:themeColor="text1"/>
                <w:sz w:val="20"/>
                <w:szCs w:val="20"/>
              </w:rPr>
            </w:pPr>
          </w:p>
        </w:tc>
      </w:tr>
      <w:tr w:rsidR="00C25CC5" w:rsidRPr="00C951F0" w14:paraId="7626FEB5" w14:textId="77777777" w:rsidTr="00934A10">
        <w:tc>
          <w:tcPr>
            <w:tcW w:w="1674" w:type="pct"/>
            <w:tcBorders>
              <w:top w:val="nil"/>
              <w:bottom w:val="nil"/>
            </w:tcBorders>
          </w:tcPr>
          <w:p w14:paraId="411A2F68" w14:textId="51066CD9" w:rsidR="00C25CC5" w:rsidRPr="00C951F0" w:rsidRDefault="00C25CC5" w:rsidP="00433982">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24996D58" w14:textId="0D96DE15" w:rsidR="00C25CC5" w:rsidRPr="00C951F0" w:rsidRDefault="00C25CC5" w:rsidP="0039543A">
            <w:pPr>
              <w:spacing w:line="240" w:lineRule="auto"/>
              <w:jc w:val="center"/>
              <w:rPr>
                <w:color w:val="000000" w:themeColor="text1"/>
                <w:sz w:val="20"/>
                <w:szCs w:val="20"/>
              </w:rPr>
            </w:pPr>
            <w:r>
              <w:rPr>
                <w:color w:val="000000" w:themeColor="text1"/>
                <w:sz w:val="20"/>
                <w:szCs w:val="20"/>
              </w:rPr>
              <w:t>381</w:t>
            </w:r>
          </w:p>
        </w:tc>
        <w:tc>
          <w:tcPr>
            <w:tcW w:w="526" w:type="pct"/>
            <w:tcBorders>
              <w:top w:val="nil"/>
              <w:bottom w:val="nil"/>
            </w:tcBorders>
          </w:tcPr>
          <w:p w14:paraId="2D04842A" w14:textId="0706FEC6" w:rsidR="00C25CC5" w:rsidRPr="00C951F0" w:rsidRDefault="00C25CC5" w:rsidP="0039543A">
            <w:pPr>
              <w:spacing w:line="240" w:lineRule="auto"/>
              <w:jc w:val="center"/>
              <w:rPr>
                <w:color w:val="000000" w:themeColor="text1"/>
                <w:sz w:val="20"/>
                <w:szCs w:val="20"/>
              </w:rPr>
            </w:pPr>
            <w:r>
              <w:rPr>
                <w:color w:val="000000" w:themeColor="text1"/>
                <w:sz w:val="20"/>
                <w:szCs w:val="20"/>
              </w:rPr>
              <w:t>377</w:t>
            </w:r>
          </w:p>
        </w:tc>
        <w:tc>
          <w:tcPr>
            <w:tcW w:w="524" w:type="pct"/>
            <w:tcBorders>
              <w:top w:val="nil"/>
              <w:bottom w:val="nil"/>
            </w:tcBorders>
          </w:tcPr>
          <w:p w14:paraId="214F05C4" w14:textId="5425313E" w:rsidR="00C25CC5" w:rsidRPr="00C951F0" w:rsidRDefault="00C25CC5" w:rsidP="0039543A">
            <w:pPr>
              <w:spacing w:line="240" w:lineRule="auto"/>
              <w:jc w:val="center"/>
              <w:rPr>
                <w:color w:val="000000" w:themeColor="text1"/>
                <w:sz w:val="20"/>
                <w:szCs w:val="20"/>
              </w:rPr>
            </w:pPr>
            <w:r>
              <w:rPr>
                <w:color w:val="000000" w:themeColor="text1"/>
                <w:sz w:val="20"/>
                <w:szCs w:val="20"/>
              </w:rPr>
              <w:t>374</w:t>
            </w:r>
          </w:p>
        </w:tc>
        <w:tc>
          <w:tcPr>
            <w:tcW w:w="1750" w:type="pct"/>
            <w:tcBorders>
              <w:top w:val="nil"/>
              <w:bottom w:val="nil"/>
            </w:tcBorders>
          </w:tcPr>
          <w:p w14:paraId="6F9D071E" w14:textId="77777777" w:rsidR="00C25CC5" w:rsidRPr="00C951F0" w:rsidRDefault="00C25CC5" w:rsidP="00B81AAF">
            <w:pPr>
              <w:spacing w:line="240" w:lineRule="auto"/>
              <w:rPr>
                <w:color w:val="000000" w:themeColor="text1"/>
                <w:sz w:val="20"/>
                <w:szCs w:val="20"/>
              </w:rPr>
            </w:pPr>
          </w:p>
        </w:tc>
      </w:tr>
      <w:tr w:rsidR="00C951F0" w:rsidRPr="00C951F0" w14:paraId="0ADA1CC6" w14:textId="77777777" w:rsidTr="00934A10">
        <w:tc>
          <w:tcPr>
            <w:tcW w:w="1674" w:type="pct"/>
            <w:tcBorders>
              <w:top w:val="nil"/>
              <w:bottom w:val="nil"/>
            </w:tcBorders>
          </w:tcPr>
          <w:p w14:paraId="4944C180" w14:textId="76251AB2" w:rsidR="00E47DB7" w:rsidRPr="00C951F0" w:rsidDel="00E47DB7" w:rsidRDefault="00E47DB7" w:rsidP="00433982">
            <w:pPr>
              <w:spacing w:line="240" w:lineRule="auto"/>
              <w:ind w:left="306"/>
              <w:rPr>
                <w:rFonts w:cs="Arial"/>
                <w:color w:val="000000" w:themeColor="text1"/>
                <w:sz w:val="20"/>
                <w:szCs w:val="20"/>
              </w:rPr>
            </w:pPr>
            <w:r w:rsidRPr="00C951F0">
              <w:rPr>
                <w:rFonts w:cs="Arial"/>
                <w:color w:val="000000" w:themeColor="text1"/>
                <w:sz w:val="20"/>
                <w:szCs w:val="20"/>
              </w:rPr>
              <w:t>Week 68 mean ± SD</w:t>
            </w:r>
          </w:p>
        </w:tc>
        <w:tc>
          <w:tcPr>
            <w:tcW w:w="526" w:type="pct"/>
            <w:tcBorders>
              <w:top w:val="nil"/>
              <w:bottom w:val="nil"/>
            </w:tcBorders>
          </w:tcPr>
          <w:p w14:paraId="6DC019CC" w14:textId="79886ACB" w:rsidR="00E47DB7" w:rsidRPr="00C951F0" w:rsidDel="00E47DB7" w:rsidRDefault="00E47DB7" w:rsidP="0039543A">
            <w:pPr>
              <w:spacing w:line="240" w:lineRule="auto"/>
              <w:jc w:val="center"/>
              <w:rPr>
                <w:color w:val="000000" w:themeColor="text1"/>
                <w:sz w:val="20"/>
                <w:szCs w:val="20"/>
              </w:rPr>
            </w:pPr>
            <w:r w:rsidRPr="00C951F0">
              <w:rPr>
                <w:color w:val="000000" w:themeColor="text1"/>
                <w:sz w:val="20"/>
                <w:szCs w:val="20"/>
              </w:rPr>
              <w:t xml:space="preserve">52·1 </w:t>
            </w:r>
            <w:r w:rsidRPr="00C951F0">
              <w:rPr>
                <w:rFonts w:cs="Arial"/>
                <w:color w:val="000000" w:themeColor="text1"/>
                <w:sz w:val="20"/>
                <w:szCs w:val="20"/>
              </w:rPr>
              <w:t xml:space="preserve">± </w:t>
            </w:r>
            <w:r w:rsidRPr="00C951F0">
              <w:rPr>
                <w:color w:val="000000" w:themeColor="text1"/>
                <w:sz w:val="20"/>
                <w:szCs w:val="20"/>
              </w:rPr>
              <w:t>7·9</w:t>
            </w:r>
          </w:p>
        </w:tc>
        <w:tc>
          <w:tcPr>
            <w:tcW w:w="526" w:type="pct"/>
            <w:tcBorders>
              <w:top w:val="nil"/>
              <w:bottom w:val="nil"/>
            </w:tcBorders>
          </w:tcPr>
          <w:p w14:paraId="7DAAA031" w14:textId="6A1BE9C0" w:rsidR="00E47DB7" w:rsidRPr="00C951F0" w:rsidDel="00E47DB7" w:rsidRDefault="00E47DB7" w:rsidP="0039543A">
            <w:pPr>
              <w:spacing w:line="240" w:lineRule="auto"/>
              <w:jc w:val="center"/>
              <w:rPr>
                <w:color w:val="000000" w:themeColor="text1"/>
                <w:sz w:val="20"/>
                <w:szCs w:val="20"/>
              </w:rPr>
            </w:pPr>
            <w:r w:rsidRPr="00C951F0">
              <w:rPr>
                <w:color w:val="000000" w:themeColor="text1"/>
                <w:sz w:val="20"/>
                <w:szCs w:val="20"/>
              </w:rPr>
              <w:t xml:space="preserve">52·6 </w:t>
            </w:r>
            <w:r w:rsidRPr="00C951F0">
              <w:rPr>
                <w:rFonts w:cs="Arial"/>
                <w:color w:val="000000" w:themeColor="text1"/>
                <w:sz w:val="20"/>
                <w:szCs w:val="20"/>
              </w:rPr>
              <w:t xml:space="preserve">± </w:t>
            </w:r>
            <w:r w:rsidRPr="00C951F0">
              <w:rPr>
                <w:color w:val="000000" w:themeColor="text1"/>
                <w:sz w:val="20"/>
                <w:szCs w:val="20"/>
              </w:rPr>
              <w:t>7·1</w:t>
            </w:r>
          </w:p>
        </w:tc>
        <w:tc>
          <w:tcPr>
            <w:tcW w:w="524" w:type="pct"/>
            <w:tcBorders>
              <w:top w:val="nil"/>
              <w:bottom w:val="nil"/>
            </w:tcBorders>
          </w:tcPr>
          <w:p w14:paraId="15D06606" w14:textId="1B1652ED" w:rsidR="00E47DB7" w:rsidRPr="00C951F0" w:rsidDel="00E47DB7" w:rsidRDefault="00E47DB7" w:rsidP="0039543A">
            <w:pPr>
              <w:spacing w:line="240" w:lineRule="auto"/>
              <w:jc w:val="center"/>
              <w:rPr>
                <w:color w:val="000000" w:themeColor="text1"/>
                <w:sz w:val="20"/>
                <w:szCs w:val="20"/>
              </w:rPr>
            </w:pPr>
            <w:r w:rsidRPr="00C951F0">
              <w:rPr>
                <w:color w:val="000000" w:themeColor="text1"/>
                <w:sz w:val="20"/>
                <w:szCs w:val="20"/>
              </w:rPr>
              <w:t xml:space="preserve">50·5 </w:t>
            </w:r>
            <w:r w:rsidRPr="00C951F0">
              <w:rPr>
                <w:rFonts w:cs="Arial"/>
                <w:color w:val="000000" w:themeColor="text1"/>
                <w:sz w:val="20"/>
                <w:szCs w:val="20"/>
              </w:rPr>
              <w:t xml:space="preserve">± </w:t>
            </w:r>
            <w:r w:rsidRPr="00C951F0">
              <w:rPr>
                <w:color w:val="000000" w:themeColor="text1"/>
                <w:sz w:val="20"/>
                <w:szCs w:val="20"/>
              </w:rPr>
              <w:t>9·0</w:t>
            </w:r>
          </w:p>
        </w:tc>
        <w:tc>
          <w:tcPr>
            <w:tcW w:w="1750" w:type="pct"/>
            <w:tcBorders>
              <w:top w:val="nil"/>
              <w:bottom w:val="nil"/>
            </w:tcBorders>
          </w:tcPr>
          <w:p w14:paraId="76E6AF25" w14:textId="767834A7" w:rsidR="00E47DB7" w:rsidRPr="00C951F0" w:rsidDel="00E47DB7" w:rsidRDefault="00E47DB7" w:rsidP="00B81AAF">
            <w:pPr>
              <w:spacing w:line="240" w:lineRule="auto"/>
              <w:rPr>
                <w:color w:val="000000" w:themeColor="text1"/>
                <w:sz w:val="20"/>
                <w:szCs w:val="20"/>
              </w:rPr>
            </w:pPr>
            <w:r w:rsidRPr="00C951F0">
              <w:rPr>
                <w:color w:val="000000" w:themeColor="text1"/>
                <w:sz w:val="20"/>
                <w:szCs w:val="20"/>
              </w:rPr>
              <w:t>Semaglutide 2·4 mg – placebo</w:t>
            </w:r>
            <w:r w:rsidR="00C921B3" w:rsidRPr="00C951F0">
              <w:rPr>
                <w:color w:val="000000" w:themeColor="text1"/>
                <w:sz w:val="20"/>
                <w:szCs w:val="20"/>
              </w:rPr>
              <w:t>;</w:t>
            </w:r>
            <w:r w:rsidRPr="00C951F0">
              <w:rPr>
                <w:color w:val="000000" w:themeColor="text1"/>
                <w:sz w:val="20"/>
                <w:szCs w:val="20"/>
              </w:rPr>
              <w:t xml:space="preserve"> ETD: 1·5 </w:t>
            </w:r>
            <w:r w:rsidR="00433982" w:rsidRPr="00C951F0">
              <w:rPr>
                <w:color w:val="000000" w:themeColor="text1"/>
                <w:sz w:val="20"/>
                <w:szCs w:val="20"/>
              </w:rPr>
              <w:t>(</w:t>
            </w:r>
            <w:r w:rsidRPr="00C951F0">
              <w:rPr>
                <w:color w:val="000000" w:themeColor="text1"/>
                <w:sz w:val="20"/>
                <w:szCs w:val="20"/>
              </w:rPr>
              <w:t>0·4 to 2·6</w:t>
            </w:r>
            <w:r w:rsidR="00433982" w:rsidRPr="00C951F0">
              <w:rPr>
                <w:color w:val="000000" w:themeColor="text1"/>
                <w:sz w:val="20"/>
                <w:szCs w:val="20"/>
              </w:rPr>
              <w:t>)</w:t>
            </w:r>
            <w:r w:rsidRPr="00C951F0">
              <w:rPr>
                <w:color w:val="000000" w:themeColor="text1"/>
                <w:sz w:val="20"/>
                <w:szCs w:val="20"/>
              </w:rPr>
              <w:t>; p=0·0061</w:t>
            </w:r>
          </w:p>
        </w:tc>
      </w:tr>
      <w:tr w:rsidR="00C951F0" w:rsidRPr="00C951F0" w14:paraId="35ADE939" w14:textId="77777777" w:rsidTr="00934A10">
        <w:tc>
          <w:tcPr>
            <w:tcW w:w="1674" w:type="pct"/>
            <w:tcBorders>
              <w:top w:val="nil"/>
              <w:bottom w:val="single" w:sz="4" w:space="0" w:color="auto"/>
            </w:tcBorders>
          </w:tcPr>
          <w:p w14:paraId="70F8ED1F" w14:textId="39B7D0B4"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Change from baseline to week 68</w:t>
            </w:r>
            <w:r w:rsidR="00CE771D">
              <w:rPr>
                <w:rFonts w:cs="Arial"/>
                <w:color w:val="000000" w:themeColor="text1"/>
                <w:sz w:val="20"/>
                <w:szCs w:val="20"/>
              </w:rPr>
              <w:t xml:space="preserve"> (SE)</w:t>
            </w:r>
          </w:p>
        </w:tc>
        <w:tc>
          <w:tcPr>
            <w:tcW w:w="526" w:type="pct"/>
            <w:tcBorders>
              <w:top w:val="nil"/>
              <w:bottom w:val="single" w:sz="4" w:space="0" w:color="auto"/>
            </w:tcBorders>
          </w:tcPr>
          <w:p w14:paraId="7D84A7B1" w14:textId="0DE4BE47"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2</w:t>
            </w:r>
            <w:r w:rsidR="00C5236B" w:rsidRPr="00C951F0">
              <w:rPr>
                <w:color w:val="000000" w:themeColor="text1"/>
                <w:sz w:val="20"/>
                <w:szCs w:val="20"/>
              </w:rPr>
              <w:t>·</w:t>
            </w:r>
            <w:r w:rsidRPr="00C951F0">
              <w:rPr>
                <w:color w:val="000000" w:themeColor="text1"/>
                <w:sz w:val="20"/>
                <w:szCs w:val="20"/>
              </w:rPr>
              <w:t>5</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4)</w:t>
            </w:r>
          </w:p>
        </w:tc>
        <w:tc>
          <w:tcPr>
            <w:tcW w:w="526" w:type="pct"/>
            <w:tcBorders>
              <w:top w:val="nil"/>
              <w:bottom w:val="single" w:sz="4" w:space="0" w:color="auto"/>
            </w:tcBorders>
          </w:tcPr>
          <w:p w14:paraId="1C06B8EF" w14:textId="741314F8"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2</w:t>
            </w:r>
            <w:r w:rsidR="00C5236B" w:rsidRPr="00C951F0">
              <w:rPr>
                <w:color w:val="000000" w:themeColor="text1"/>
                <w:sz w:val="20"/>
                <w:szCs w:val="20"/>
              </w:rPr>
              <w:t>·</w:t>
            </w:r>
            <w:r w:rsidRPr="00C951F0">
              <w:rPr>
                <w:color w:val="000000" w:themeColor="text1"/>
                <w:sz w:val="20"/>
                <w:szCs w:val="20"/>
              </w:rPr>
              <w:t>4</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4)</w:t>
            </w:r>
          </w:p>
        </w:tc>
        <w:tc>
          <w:tcPr>
            <w:tcW w:w="524" w:type="pct"/>
            <w:tcBorders>
              <w:top w:val="nil"/>
              <w:bottom w:val="single" w:sz="4" w:space="0" w:color="auto"/>
            </w:tcBorders>
          </w:tcPr>
          <w:p w14:paraId="288A85D7" w14:textId="116C20E2"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0</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4)</w:t>
            </w:r>
          </w:p>
        </w:tc>
        <w:tc>
          <w:tcPr>
            <w:tcW w:w="1750" w:type="pct"/>
            <w:tcBorders>
              <w:top w:val="nil"/>
              <w:bottom w:val="single" w:sz="4" w:space="0" w:color="auto"/>
            </w:tcBorders>
          </w:tcPr>
          <w:p w14:paraId="7E62F715" w14:textId="6E6C4140"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w:t>
            </w:r>
            <w:r w:rsidR="00C921B3" w:rsidRPr="00C951F0">
              <w:rPr>
                <w:color w:val="000000" w:themeColor="text1"/>
                <w:sz w:val="20"/>
                <w:szCs w:val="20"/>
              </w:rPr>
              <w:t>;</w:t>
            </w:r>
            <w:r w:rsidRPr="00C951F0">
              <w:rPr>
                <w:color w:val="000000" w:themeColor="text1"/>
                <w:sz w:val="20"/>
                <w:szCs w:val="20"/>
              </w:rPr>
              <w:t xml:space="preserve"> ETD: 0</w:t>
            </w:r>
            <w:r w:rsidR="00C5236B" w:rsidRPr="00C951F0">
              <w:rPr>
                <w:color w:val="000000" w:themeColor="text1"/>
                <w:sz w:val="20"/>
                <w:szCs w:val="20"/>
              </w:rPr>
              <w:t>·</w:t>
            </w:r>
            <w:r w:rsidRPr="00C951F0">
              <w:rPr>
                <w:color w:val="000000" w:themeColor="text1"/>
                <w:sz w:val="20"/>
                <w:szCs w:val="20"/>
              </w:rPr>
              <w:t xml:space="preserve">1 </w:t>
            </w:r>
            <w:r w:rsidR="00433982" w:rsidRPr="00C951F0">
              <w:rPr>
                <w:color w:val="000000" w:themeColor="text1"/>
                <w:sz w:val="20"/>
                <w:szCs w:val="20"/>
              </w:rPr>
              <w:t>(</w:t>
            </w:r>
            <w:r w:rsidR="00B81AAF" w:rsidRPr="00C951F0">
              <w:rPr>
                <w:color w:val="000000" w:themeColor="text1"/>
                <w:sz w:val="20"/>
                <w:szCs w:val="20"/>
              </w:rPr>
              <w:t>−</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0</w:t>
            </w:r>
            <w:r w:rsidR="00227D23" w:rsidRPr="00C951F0">
              <w:rPr>
                <w:color w:val="000000" w:themeColor="text1"/>
                <w:sz w:val="20"/>
                <w:szCs w:val="20"/>
              </w:rPr>
              <w:t xml:space="preserve"> to</w:t>
            </w:r>
            <w:r w:rsidRPr="00C951F0">
              <w:rPr>
                <w:color w:val="000000" w:themeColor="text1"/>
                <w:sz w:val="20"/>
                <w:szCs w:val="20"/>
              </w:rPr>
              <w:t xml:space="preserve"> 1</w:t>
            </w:r>
            <w:r w:rsidR="00C5236B" w:rsidRPr="00C951F0">
              <w:rPr>
                <w:color w:val="000000" w:themeColor="text1"/>
                <w:sz w:val="20"/>
                <w:szCs w:val="20"/>
              </w:rPr>
              <w:t>·</w:t>
            </w:r>
            <w:r w:rsidRPr="00C951F0">
              <w:rPr>
                <w:color w:val="000000" w:themeColor="text1"/>
                <w:sz w:val="20"/>
                <w:szCs w:val="20"/>
              </w:rPr>
              <w:t>2</w:t>
            </w:r>
            <w:r w:rsidR="00433982" w:rsidRPr="00C951F0">
              <w:rPr>
                <w:color w:val="000000" w:themeColor="text1"/>
                <w:sz w:val="20"/>
                <w:szCs w:val="20"/>
              </w:rPr>
              <w:t>)</w:t>
            </w:r>
          </w:p>
        </w:tc>
      </w:tr>
      <w:tr w:rsidR="00C951F0" w:rsidRPr="00C951F0" w14:paraId="52C7D3A5" w14:textId="77777777" w:rsidTr="00934A10">
        <w:tc>
          <w:tcPr>
            <w:tcW w:w="1674" w:type="pct"/>
            <w:tcBorders>
              <w:top w:val="single" w:sz="4" w:space="0" w:color="auto"/>
              <w:bottom w:val="nil"/>
            </w:tcBorders>
          </w:tcPr>
          <w:p w14:paraId="0F10F700" w14:textId="75FCBF0C" w:rsidR="003E71DC" w:rsidRPr="00C951F0" w:rsidDel="00E47DB7" w:rsidRDefault="003E71DC" w:rsidP="00934A10">
            <w:pPr>
              <w:spacing w:line="240" w:lineRule="auto"/>
              <w:rPr>
                <w:rFonts w:cs="Arial"/>
                <w:color w:val="000000" w:themeColor="text1"/>
                <w:sz w:val="20"/>
                <w:szCs w:val="20"/>
              </w:rPr>
            </w:pPr>
            <w:r w:rsidRPr="00C951F0">
              <w:rPr>
                <w:color w:val="000000" w:themeColor="text1"/>
                <w:sz w:val="20"/>
                <w:szCs w:val="20"/>
              </w:rPr>
              <w:t>IWQOL-Lite-CT physical function score</w:t>
            </w:r>
          </w:p>
        </w:tc>
        <w:tc>
          <w:tcPr>
            <w:tcW w:w="526" w:type="pct"/>
            <w:tcBorders>
              <w:top w:val="single" w:sz="4" w:space="0" w:color="auto"/>
              <w:bottom w:val="nil"/>
            </w:tcBorders>
          </w:tcPr>
          <w:p w14:paraId="18E06EC7" w14:textId="77777777" w:rsidR="003E71DC" w:rsidRPr="00C951F0" w:rsidDel="00E47DB7" w:rsidRDefault="003E71DC" w:rsidP="0039543A">
            <w:pPr>
              <w:spacing w:line="240" w:lineRule="auto"/>
              <w:jc w:val="center"/>
              <w:rPr>
                <w:color w:val="000000" w:themeColor="text1"/>
                <w:sz w:val="20"/>
                <w:szCs w:val="20"/>
              </w:rPr>
            </w:pPr>
          </w:p>
        </w:tc>
        <w:tc>
          <w:tcPr>
            <w:tcW w:w="526" w:type="pct"/>
            <w:tcBorders>
              <w:top w:val="single" w:sz="4" w:space="0" w:color="auto"/>
              <w:bottom w:val="nil"/>
            </w:tcBorders>
          </w:tcPr>
          <w:p w14:paraId="75068F79" w14:textId="77777777" w:rsidR="003E71DC" w:rsidRPr="00C951F0" w:rsidDel="00E47DB7" w:rsidRDefault="003E71DC" w:rsidP="0039543A">
            <w:pPr>
              <w:spacing w:line="240" w:lineRule="auto"/>
              <w:jc w:val="center"/>
              <w:rPr>
                <w:color w:val="000000" w:themeColor="text1"/>
                <w:sz w:val="20"/>
                <w:szCs w:val="20"/>
              </w:rPr>
            </w:pPr>
          </w:p>
        </w:tc>
        <w:tc>
          <w:tcPr>
            <w:tcW w:w="524" w:type="pct"/>
            <w:tcBorders>
              <w:top w:val="single" w:sz="4" w:space="0" w:color="auto"/>
              <w:bottom w:val="nil"/>
            </w:tcBorders>
          </w:tcPr>
          <w:p w14:paraId="17BB043A" w14:textId="77777777" w:rsidR="003E71DC" w:rsidRPr="00C951F0" w:rsidDel="00E47DB7" w:rsidRDefault="003E71DC" w:rsidP="0039543A">
            <w:pPr>
              <w:spacing w:line="240" w:lineRule="auto"/>
              <w:jc w:val="center"/>
              <w:rPr>
                <w:color w:val="000000" w:themeColor="text1"/>
                <w:sz w:val="20"/>
                <w:szCs w:val="20"/>
              </w:rPr>
            </w:pPr>
          </w:p>
        </w:tc>
        <w:tc>
          <w:tcPr>
            <w:tcW w:w="1750" w:type="pct"/>
            <w:tcBorders>
              <w:top w:val="single" w:sz="4" w:space="0" w:color="auto"/>
              <w:bottom w:val="nil"/>
            </w:tcBorders>
          </w:tcPr>
          <w:p w14:paraId="7C9DF4DE" w14:textId="77777777" w:rsidR="003E71DC" w:rsidRPr="00C951F0" w:rsidDel="00E47DB7" w:rsidRDefault="003E71DC" w:rsidP="0039543A">
            <w:pPr>
              <w:spacing w:line="240" w:lineRule="auto"/>
              <w:rPr>
                <w:color w:val="000000" w:themeColor="text1"/>
                <w:sz w:val="20"/>
                <w:szCs w:val="20"/>
              </w:rPr>
            </w:pPr>
          </w:p>
        </w:tc>
      </w:tr>
      <w:tr w:rsidR="00C25CC5" w:rsidRPr="00C951F0" w14:paraId="142F8F35" w14:textId="77777777" w:rsidTr="00934A10">
        <w:tc>
          <w:tcPr>
            <w:tcW w:w="1674" w:type="pct"/>
            <w:tcBorders>
              <w:top w:val="nil"/>
              <w:bottom w:val="nil"/>
            </w:tcBorders>
          </w:tcPr>
          <w:p w14:paraId="2D4CD583" w14:textId="7F95A8F6" w:rsidR="00C25CC5" w:rsidRPr="00C951F0" w:rsidRDefault="00C25CC5" w:rsidP="00433982">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77A7DB9A" w14:textId="3AC83532" w:rsidR="00C25CC5" w:rsidRPr="00C951F0" w:rsidRDefault="00C25CC5">
            <w:pPr>
              <w:spacing w:line="240" w:lineRule="auto"/>
              <w:jc w:val="center"/>
              <w:rPr>
                <w:color w:val="000000" w:themeColor="text1"/>
                <w:sz w:val="20"/>
                <w:szCs w:val="20"/>
              </w:rPr>
            </w:pPr>
            <w:r>
              <w:rPr>
                <w:color w:val="000000" w:themeColor="text1"/>
                <w:sz w:val="20"/>
                <w:szCs w:val="20"/>
              </w:rPr>
              <w:t>381</w:t>
            </w:r>
          </w:p>
        </w:tc>
        <w:tc>
          <w:tcPr>
            <w:tcW w:w="526" w:type="pct"/>
            <w:tcBorders>
              <w:top w:val="nil"/>
              <w:bottom w:val="nil"/>
            </w:tcBorders>
          </w:tcPr>
          <w:p w14:paraId="7DA09B0D" w14:textId="72C580AD" w:rsidR="00C25CC5" w:rsidRPr="00C951F0" w:rsidRDefault="00C25CC5">
            <w:pPr>
              <w:spacing w:line="240" w:lineRule="auto"/>
              <w:jc w:val="center"/>
              <w:rPr>
                <w:color w:val="000000" w:themeColor="text1"/>
                <w:sz w:val="20"/>
                <w:szCs w:val="20"/>
              </w:rPr>
            </w:pPr>
            <w:r>
              <w:rPr>
                <w:color w:val="000000" w:themeColor="text1"/>
                <w:sz w:val="20"/>
                <w:szCs w:val="20"/>
              </w:rPr>
              <w:t>377</w:t>
            </w:r>
          </w:p>
        </w:tc>
        <w:tc>
          <w:tcPr>
            <w:tcW w:w="524" w:type="pct"/>
            <w:tcBorders>
              <w:top w:val="nil"/>
              <w:bottom w:val="nil"/>
            </w:tcBorders>
          </w:tcPr>
          <w:p w14:paraId="15694886" w14:textId="68C3B2F2" w:rsidR="00C25CC5" w:rsidRPr="00C951F0" w:rsidRDefault="00C25CC5">
            <w:pPr>
              <w:spacing w:line="240" w:lineRule="auto"/>
              <w:jc w:val="center"/>
              <w:rPr>
                <w:color w:val="000000" w:themeColor="text1"/>
                <w:sz w:val="20"/>
                <w:szCs w:val="20"/>
              </w:rPr>
            </w:pPr>
            <w:r>
              <w:rPr>
                <w:color w:val="000000" w:themeColor="text1"/>
                <w:sz w:val="20"/>
                <w:szCs w:val="20"/>
              </w:rPr>
              <w:t>374</w:t>
            </w:r>
          </w:p>
        </w:tc>
        <w:tc>
          <w:tcPr>
            <w:tcW w:w="1750" w:type="pct"/>
            <w:tcBorders>
              <w:top w:val="nil"/>
              <w:bottom w:val="nil"/>
            </w:tcBorders>
          </w:tcPr>
          <w:p w14:paraId="030FE778" w14:textId="77777777" w:rsidR="00C25CC5" w:rsidRPr="00C951F0" w:rsidRDefault="00C25CC5">
            <w:pPr>
              <w:spacing w:line="240" w:lineRule="auto"/>
              <w:rPr>
                <w:color w:val="000000" w:themeColor="text1"/>
                <w:sz w:val="20"/>
                <w:szCs w:val="20"/>
              </w:rPr>
            </w:pPr>
          </w:p>
        </w:tc>
      </w:tr>
      <w:tr w:rsidR="00C951F0" w:rsidRPr="00C951F0" w14:paraId="59E2BD3C" w14:textId="77777777" w:rsidTr="00934A10">
        <w:tc>
          <w:tcPr>
            <w:tcW w:w="1674" w:type="pct"/>
            <w:tcBorders>
              <w:top w:val="nil"/>
              <w:bottom w:val="nil"/>
            </w:tcBorders>
          </w:tcPr>
          <w:p w14:paraId="5194B602" w14:textId="285CD56F" w:rsidR="003E71DC" w:rsidRPr="00C951F0" w:rsidDel="00E47DB7" w:rsidRDefault="003E71DC" w:rsidP="00433982">
            <w:pPr>
              <w:spacing w:line="240" w:lineRule="auto"/>
              <w:ind w:left="306"/>
              <w:rPr>
                <w:rFonts w:cs="Arial"/>
                <w:color w:val="000000" w:themeColor="text1"/>
                <w:sz w:val="20"/>
                <w:szCs w:val="20"/>
              </w:rPr>
            </w:pPr>
            <w:r w:rsidRPr="00C951F0">
              <w:rPr>
                <w:rFonts w:cs="Arial"/>
                <w:color w:val="000000" w:themeColor="text1"/>
                <w:sz w:val="20"/>
                <w:szCs w:val="20"/>
              </w:rPr>
              <w:t>Week 68 mean ± SD</w:t>
            </w:r>
          </w:p>
        </w:tc>
        <w:tc>
          <w:tcPr>
            <w:tcW w:w="526" w:type="pct"/>
            <w:tcBorders>
              <w:top w:val="nil"/>
              <w:bottom w:val="nil"/>
            </w:tcBorders>
          </w:tcPr>
          <w:p w14:paraId="51175234" w14:textId="10C03ED8" w:rsidR="003E71DC" w:rsidRPr="00C951F0" w:rsidDel="00E47DB7" w:rsidRDefault="003E71DC">
            <w:pPr>
              <w:spacing w:line="240" w:lineRule="auto"/>
              <w:jc w:val="center"/>
              <w:rPr>
                <w:color w:val="000000" w:themeColor="text1"/>
                <w:sz w:val="20"/>
                <w:szCs w:val="20"/>
              </w:rPr>
            </w:pPr>
            <w:r w:rsidRPr="00C951F0">
              <w:rPr>
                <w:color w:val="000000" w:themeColor="text1"/>
                <w:sz w:val="20"/>
                <w:szCs w:val="20"/>
              </w:rPr>
              <w:t xml:space="preserve">79·0 </w:t>
            </w:r>
            <w:r w:rsidRPr="00C951F0">
              <w:rPr>
                <w:rFonts w:cs="Arial"/>
                <w:color w:val="000000" w:themeColor="text1"/>
                <w:sz w:val="20"/>
                <w:szCs w:val="20"/>
              </w:rPr>
              <w:t xml:space="preserve">± </w:t>
            </w:r>
            <w:r w:rsidRPr="00C951F0">
              <w:rPr>
                <w:color w:val="000000" w:themeColor="text1"/>
                <w:sz w:val="20"/>
                <w:szCs w:val="20"/>
              </w:rPr>
              <w:t>23·3</w:t>
            </w:r>
          </w:p>
        </w:tc>
        <w:tc>
          <w:tcPr>
            <w:tcW w:w="526" w:type="pct"/>
            <w:tcBorders>
              <w:top w:val="nil"/>
              <w:bottom w:val="nil"/>
            </w:tcBorders>
          </w:tcPr>
          <w:p w14:paraId="06B968D0" w14:textId="7CEFA600" w:rsidR="003E71DC" w:rsidRPr="00C951F0" w:rsidDel="00E47DB7" w:rsidRDefault="003E71DC">
            <w:pPr>
              <w:spacing w:line="240" w:lineRule="auto"/>
              <w:jc w:val="center"/>
              <w:rPr>
                <w:color w:val="000000" w:themeColor="text1"/>
                <w:sz w:val="20"/>
                <w:szCs w:val="20"/>
              </w:rPr>
            </w:pPr>
            <w:r w:rsidRPr="00C951F0">
              <w:rPr>
                <w:color w:val="000000" w:themeColor="text1"/>
                <w:sz w:val="20"/>
                <w:szCs w:val="20"/>
              </w:rPr>
              <w:t xml:space="preserve">79·6 </w:t>
            </w:r>
            <w:r w:rsidRPr="00C951F0">
              <w:rPr>
                <w:rFonts w:cs="Arial"/>
                <w:color w:val="000000" w:themeColor="text1"/>
                <w:sz w:val="20"/>
                <w:szCs w:val="20"/>
              </w:rPr>
              <w:t xml:space="preserve">± </w:t>
            </w:r>
            <w:r w:rsidRPr="00C951F0">
              <w:rPr>
                <w:color w:val="000000" w:themeColor="text1"/>
                <w:sz w:val="20"/>
                <w:szCs w:val="20"/>
              </w:rPr>
              <w:t>20·8</w:t>
            </w:r>
          </w:p>
        </w:tc>
        <w:tc>
          <w:tcPr>
            <w:tcW w:w="524" w:type="pct"/>
            <w:tcBorders>
              <w:top w:val="nil"/>
              <w:bottom w:val="nil"/>
            </w:tcBorders>
          </w:tcPr>
          <w:p w14:paraId="11F6B7D3" w14:textId="577D4C94" w:rsidR="003E71DC" w:rsidRPr="00C951F0" w:rsidDel="00E47DB7" w:rsidRDefault="003E71DC">
            <w:pPr>
              <w:spacing w:line="240" w:lineRule="auto"/>
              <w:jc w:val="center"/>
              <w:rPr>
                <w:color w:val="000000" w:themeColor="text1"/>
                <w:sz w:val="20"/>
                <w:szCs w:val="20"/>
              </w:rPr>
            </w:pPr>
            <w:r w:rsidRPr="00C951F0">
              <w:rPr>
                <w:color w:val="000000" w:themeColor="text1"/>
                <w:sz w:val="20"/>
                <w:szCs w:val="20"/>
              </w:rPr>
              <w:t xml:space="preserve">74·8 </w:t>
            </w:r>
            <w:r w:rsidRPr="00C951F0">
              <w:rPr>
                <w:rFonts w:cs="Arial"/>
                <w:color w:val="000000" w:themeColor="text1"/>
                <w:sz w:val="20"/>
                <w:szCs w:val="20"/>
              </w:rPr>
              <w:t xml:space="preserve">± </w:t>
            </w:r>
            <w:r w:rsidRPr="00C951F0">
              <w:rPr>
                <w:color w:val="000000" w:themeColor="text1"/>
                <w:sz w:val="20"/>
                <w:szCs w:val="20"/>
              </w:rPr>
              <w:t>24·6</w:t>
            </w:r>
          </w:p>
        </w:tc>
        <w:tc>
          <w:tcPr>
            <w:tcW w:w="1750" w:type="pct"/>
            <w:tcBorders>
              <w:top w:val="nil"/>
              <w:bottom w:val="nil"/>
            </w:tcBorders>
          </w:tcPr>
          <w:p w14:paraId="40F6DF56" w14:textId="5D98F74B" w:rsidR="003E71DC" w:rsidRPr="00C951F0" w:rsidDel="00E47DB7" w:rsidRDefault="003E71DC">
            <w:pPr>
              <w:spacing w:line="240" w:lineRule="auto"/>
              <w:rPr>
                <w:color w:val="000000" w:themeColor="text1"/>
                <w:sz w:val="20"/>
                <w:szCs w:val="20"/>
              </w:rPr>
            </w:pPr>
            <w:r w:rsidRPr="00C951F0">
              <w:rPr>
                <w:color w:val="000000" w:themeColor="text1"/>
                <w:sz w:val="20"/>
                <w:szCs w:val="20"/>
              </w:rPr>
              <w:t>Semaglutide 2·4 mg – placebo</w:t>
            </w:r>
            <w:r w:rsidR="00C921B3" w:rsidRPr="00C951F0">
              <w:rPr>
                <w:color w:val="000000" w:themeColor="text1"/>
                <w:sz w:val="20"/>
                <w:szCs w:val="20"/>
              </w:rPr>
              <w:t>;</w:t>
            </w:r>
            <w:r w:rsidRPr="00C951F0">
              <w:rPr>
                <w:color w:val="000000" w:themeColor="text1"/>
                <w:sz w:val="20"/>
                <w:szCs w:val="20"/>
              </w:rPr>
              <w:t xml:space="preserve"> ETD: 4·8 </w:t>
            </w:r>
            <w:r w:rsidR="00433982" w:rsidRPr="00C951F0">
              <w:rPr>
                <w:color w:val="000000" w:themeColor="text1"/>
                <w:sz w:val="20"/>
                <w:szCs w:val="20"/>
              </w:rPr>
              <w:t>(</w:t>
            </w:r>
            <w:r w:rsidRPr="00C951F0">
              <w:rPr>
                <w:color w:val="000000" w:themeColor="text1"/>
                <w:sz w:val="20"/>
                <w:szCs w:val="20"/>
              </w:rPr>
              <w:t>1·8 to 7·9</w:t>
            </w:r>
            <w:r w:rsidR="00433982" w:rsidRPr="00C951F0">
              <w:rPr>
                <w:color w:val="000000" w:themeColor="text1"/>
                <w:sz w:val="20"/>
                <w:szCs w:val="20"/>
              </w:rPr>
              <w:t>)</w:t>
            </w:r>
            <w:r w:rsidRPr="00C951F0">
              <w:rPr>
                <w:color w:val="000000" w:themeColor="text1"/>
                <w:sz w:val="20"/>
                <w:szCs w:val="20"/>
              </w:rPr>
              <w:t>; p=0·0018</w:t>
            </w:r>
          </w:p>
        </w:tc>
      </w:tr>
      <w:tr w:rsidR="00C951F0" w:rsidRPr="00C951F0" w14:paraId="69EF2474" w14:textId="77777777" w:rsidTr="00934A10">
        <w:tc>
          <w:tcPr>
            <w:tcW w:w="1674" w:type="pct"/>
            <w:tcBorders>
              <w:top w:val="nil"/>
            </w:tcBorders>
          </w:tcPr>
          <w:p w14:paraId="65718882" w14:textId="10C11D6C"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Change from baseline to week 68</w:t>
            </w:r>
            <w:r w:rsidR="00CE771D">
              <w:rPr>
                <w:rFonts w:cs="Arial"/>
                <w:color w:val="000000" w:themeColor="text1"/>
                <w:sz w:val="20"/>
                <w:szCs w:val="20"/>
              </w:rPr>
              <w:t xml:space="preserve"> (SE)</w:t>
            </w:r>
          </w:p>
        </w:tc>
        <w:tc>
          <w:tcPr>
            <w:tcW w:w="526" w:type="pct"/>
            <w:tcBorders>
              <w:top w:val="nil"/>
            </w:tcBorders>
          </w:tcPr>
          <w:p w14:paraId="64EECDDE" w14:textId="7AF14651"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10</w:t>
            </w:r>
            <w:r w:rsidR="00C5236B" w:rsidRPr="00C951F0">
              <w:rPr>
                <w:color w:val="000000" w:themeColor="text1"/>
                <w:sz w:val="20"/>
                <w:szCs w:val="20"/>
              </w:rPr>
              <w:t>·</w:t>
            </w:r>
            <w:r w:rsidRPr="00C951F0">
              <w:rPr>
                <w:color w:val="000000" w:themeColor="text1"/>
                <w:sz w:val="20"/>
                <w:szCs w:val="20"/>
              </w:rPr>
              <w:t>1</w:t>
            </w:r>
            <w:r w:rsidR="00CE771D">
              <w:rPr>
                <w:color w:val="000000" w:themeColor="text1"/>
                <w:sz w:val="20"/>
                <w:szCs w:val="20"/>
              </w:rPr>
              <w:t xml:space="preserve"> (1</w:t>
            </w:r>
            <w:r w:rsidR="00CE771D" w:rsidRPr="00C951F0">
              <w:rPr>
                <w:color w:val="000000" w:themeColor="text1"/>
                <w:sz w:val="20"/>
                <w:szCs w:val="20"/>
              </w:rPr>
              <w:t>·</w:t>
            </w:r>
            <w:r w:rsidR="00CE771D">
              <w:rPr>
                <w:color w:val="000000" w:themeColor="text1"/>
                <w:sz w:val="20"/>
                <w:szCs w:val="20"/>
              </w:rPr>
              <w:t>0)</w:t>
            </w:r>
          </w:p>
        </w:tc>
        <w:tc>
          <w:tcPr>
            <w:tcW w:w="526" w:type="pct"/>
            <w:tcBorders>
              <w:top w:val="nil"/>
            </w:tcBorders>
          </w:tcPr>
          <w:p w14:paraId="0C3B277E" w14:textId="2F47ABB4"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8</w:t>
            </w:r>
            <w:r w:rsidR="00C5236B" w:rsidRPr="00C951F0">
              <w:rPr>
                <w:color w:val="000000" w:themeColor="text1"/>
                <w:sz w:val="20"/>
                <w:szCs w:val="20"/>
              </w:rPr>
              <w:t>·</w:t>
            </w:r>
            <w:r w:rsidRPr="00C951F0">
              <w:rPr>
                <w:color w:val="000000" w:themeColor="text1"/>
                <w:sz w:val="20"/>
                <w:szCs w:val="20"/>
              </w:rPr>
              <w:t>7</w:t>
            </w:r>
            <w:r w:rsidR="00CE771D">
              <w:rPr>
                <w:color w:val="000000" w:themeColor="text1"/>
                <w:sz w:val="20"/>
                <w:szCs w:val="20"/>
              </w:rPr>
              <w:t xml:space="preserve"> (1</w:t>
            </w:r>
            <w:r w:rsidR="00CE771D" w:rsidRPr="00C951F0">
              <w:rPr>
                <w:color w:val="000000" w:themeColor="text1"/>
                <w:sz w:val="20"/>
                <w:szCs w:val="20"/>
              </w:rPr>
              <w:t>·</w:t>
            </w:r>
            <w:r w:rsidR="00CE771D">
              <w:rPr>
                <w:color w:val="000000" w:themeColor="text1"/>
                <w:sz w:val="20"/>
                <w:szCs w:val="20"/>
              </w:rPr>
              <w:t>1)</w:t>
            </w:r>
          </w:p>
        </w:tc>
        <w:tc>
          <w:tcPr>
            <w:tcW w:w="524" w:type="pct"/>
            <w:tcBorders>
              <w:top w:val="nil"/>
            </w:tcBorders>
          </w:tcPr>
          <w:p w14:paraId="5B3E6458" w14:textId="5B93D711"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5</w:t>
            </w:r>
            <w:r w:rsidR="00C5236B" w:rsidRPr="00C951F0">
              <w:rPr>
                <w:color w:val="000000" w:themeColor="text1"/>
                <w:sz w:val="20"/>
                <w:szCs w:val="20"/>
              </w:rPr>
              <w:t>·</w:t>
            </w:r>
            <w:r w:rsidRPr="00C951F0">
              <w:rPr>
                <w:color w:val="000000" w:themeColor="text1"/>
                <w:sz w:val="20"/>
                <w:szCs w:val="20"/>
              </w:rPr>
              <w:t>3</w:t>
            </w:r>
            <w:r w:rsidR="00CE771D">
              <w:rPr>
                <w:color w:val="000000" w:themeColor="text1"/>
                <w:sz w:val="20"/>
                <w:szCs w:val="20"/>
              </w:rPr>
              <w:t xml:space="preserve"> (1</w:t>
            </w:r>
            <w:r w:rsidR="00CE771D" w:rsidRPr="00C951F0">
              <w:rPr>
                <w:color w:val="000000" w:themeColor="text1"/>
                <w:sz w:val="20"/>
                <w:szCs w:val="20"/>
              </w:rPr>
              <w:t>·</w:t>
            </w:r>
            <w:r w:rsidR="00CE771D">
              <w:rPr>
                <w:color w:val="000000" w:themeColor="text1"/>
                <w:sz w:val="20"/>
                <w:szCs w:val="20"/>
              </w:rPr>
              <w:t>1)</w:t>
            </w:r>
          </w:p>
        </w:tc>
        <w:tc>
          <w:tcPr>
            <w:tcW w:w="1750" w:type="pct"/>
            <w:tcBorders>
              <w:top w:val="nil"/>
            </w:tcBorders>
          </w:tcPr>
          <w:p w14:paraId="22852BD4" w14:textId="6BC879EA"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w:t>
            </w:r>
            <w:r w:rsidR="00C921B3" w:rsidRPr="00C951F0">
              <w:rPr>
                <w:color w:val="000000" w:themeColor="text1"/>
                <w:sz w:val="20"/>
                <w:szCs w:val="20"/>
              </w:rPr>
              <w:t>;</w:t>
            </w:r>
            <w:r w:rsidRPr="00C951F0">
              <w:rPr>
                <w:color w:val="000000" w:themeColor="text1"/>
                <w:sz w:val="20"/>
                <w:szCs w:val="20"/>
              </w:rPr>
              <w:t xml:space="preserve"> ETD: 1</w:t>
            </w:r>
            <w:r w:rsidR="00C5236B" w:rsidRPr="00C951F0">
              <w:rPr>
                <w:color w:val="000000" w:themeColor="text1"/>
                <w:sz w:val="20"/>
                <w:szCs w:val="20"/>
              </w:rPr>
              <w:t>·</w:t>
            </w:r>
            <w:r w:rsidRPr="00C951F0">
              <w:rPr>
                <w:color w:val="000000" w:themeColor="text1"/>
                <w:sz w:val="20"/>
                <w:szCs w:val="20"/>
              </w:rPr>
              <w:t xml:space="preserve">4 </w:t>
            </w:r>
            <w:r w:rsidR="00433982" w:rsidRPr="00C951F0">
              <w:rPr>
                <w:color w:val="000000" w:themeColor="text1"/>
                <w:sz w:val="20"/>
                <w:szCs w:val="20"/>
              </w:rPr>
              <w:t>(</w:t>
            </w:r>
            <w:r w:rsidR="00B81AAF" w:rsidRPr="00C951F0">
              <w:rPr>
                <w:color w:val="000000" w:themeColor="text1"/>
                <w:sz w:val="20"/>
                <w:szCs w:val="20"/>
              </w:rPr>
              <w:t>−</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5</w:t>
            </w:r>
            <w:r w:rsidR="00227D23" w:rsidRPr="00C951F0">
              <w:rPr>
                <w:color w:val="000000" w:themeColor="text1"/>
                <w:sz w:val="20"/>
                <w:szCs w:val="20"/>
              </w:rPr>
              <w:t xml:space="preserve"> to</w:t>
            </w:r>
            <w:r w:rsidRPr="00C951F0">
              <w:rPr>
                <w:color w:val="000000" w:themeColor="text1"/>
                <w:sz w:val="20"/>
                <w:szCs w:val="20"/>
              </w:rPr>
              <w:t xml:space="preserve"> 4</w:t>
            </w:r>
            <w:r w:rsidR="00C5236B" w:rsidRPr="00C951F0">
              <w:rPr>
                <w:color w:val="000000" w:themeColor="text1"/>
                <w:sz w:val="20"/>
                <w:szCs w:val="20"/>
              </w:rPr>
              <w:t>·</w:t>
            </w:r>
            <w:r w:rsidRPr="00C951F0">
              <w:rPr>
                <w:color w:val="000000" w:themeColor="text1"/>
                <w:sz w:val="20"/>
                <w:szCs w:val="20"/>
              </w:rPr>
              <w:t>3</w:t>
            </w:r>
            <w:r w:rsidR="00433982" w:rsidRPr="00C951F0">
              <w:rPr>
                <w:color w:val="000000" w:themeColor="text1"/>
                <w:sz w:val="20"/>
                <w:szCs w:val="20"/>
              </w:rPr>
              <w:t>)</w:t>
            </w:r>
          </w:p>
        </w:tc>
      </w:tr>
      <w:tr w:rsidR="00C951F0" w:rsidRPr="00C951F0" w14:paraId="097D93E4" w14:textId="77777777" w:rsidTr="00934A10">
        <w:tc>
          <w:tcPr>
            <w:tcW w:w="5000" w:type="pct"/>
            <w:gridSpan w:val="5"/>
            <w:tcBorders>
              <w:bottom w:val="single" w:sz="4" w:space="0" w:color="auto"/>
            </w:tcBorders>
          </w:tcPr>
          <w:p w14:paraId="16565813" w14:textId="180D0575" w:rsidR="00B1644A" w:rsidRPr="00C951F0" w:rsidRDefault="004D5D21" w:rsidP="0039543A">
            <w:pPr>
              <w:spacing w:line="240" w:lineRule="auto"/>
              <w:rPr>
                <w:b/>
                <w:color w:val="000000" w:themeColor="text1"/>
                <w:sz w:val="20"/>
                <w:szCs w:val="20"/>
              </w:rPr>
            </w:pPr>
            <w:r>
              <w:rPr>
                <w:b/>
                <w:color w:val="000000" w:themeColor="text1"/>
                <w:sz w:val="20"/>
                <w:szCs w:val="20"/>
              </w:rPr>
              <w:t>Exploratory</w:t>
            </w:r>
            <w:r w:rsidRPr="00C951F0">
              <w:rPr>
                <w:b/>
                <w:color w:val="000000" w:themeColor="text1"/>
                <w:sz w:val="20"/>
                <w:szCs w:val="20"/>
              </w:rPr>
              <w:t xml:space="preserve"> </w:t>
            </w:r>
            <w:r w:rsidR="00B1644A" w:rsidRPr="00C951F0">
              <w:rPr>
                <w:b/>
                <w:color w:val="000000" w:themeColor="text1"/>
                <w:sz w:val="20"/>
                <w:szCs w:val="20"/>
              </w:rPr>
              <w:t>secondary endpoints</w:t>
            </w:r>
          </w:p>
        </w:tc>
      </w:tr>
      <w:tr w:rsidR="00C951F0" w:rsidRPr="00C951F0" w14:paraId="5408379D" w14:textId="77777777" w:rsidTr="00934A10">
        <w:tc>
          <w:tcPr>
            <w:tcW w:w="1674" w:type="pct"/>
            <w:tcBorders>
              <w:bottom w:val="nil"/>
            </w:tcBorders>
          </w:tcPr>
          <w:p w14:paraId="6E54FAE9" w14:textId="572E717E" w:rsidR="003E71DC" w:rsidRPr="00C951F0" w:rsidRDefault="003E71DC" w:rsidP="0039543A">
            <w:pPr>
              <w:spacing w:line="240" w:lineRule="auto"/>
              <w:rPr>
                <w:rFonts w:cs="Arial"/>
                <w:color w:val="000000" w:themeColor="text1"/>
                <w:sz w:val="20"/>
                <w:szCs w:val="20"/>
                <w:vertAlign w:val="superscript"/>
              </w:rPr>
            </w:pPr>
            <w:r w:rsidRPr="00C951F0">
              <w:rPr>
                <w:color w:val="000000" w:themeColor="text1"/>
                <w:sz w:val="20"/>
                <w:szCs w:val="20"/>
              </w:rPr>
              <w:lastRenderedPageBreak/>
              <w:t xml:space="preserve">Body weight </w:t>
            </w:r>
            <w:r w:rsidRPr="00C951F0">
              <w:rPr>
                <w:rFonts w:cs="Arial"/>
                <w:color w:val="000000" w:themeColor="text1"/>
                <w:sz w:val="20"/>
                <w:szCs w:val="20"/>
              </w:rPr>
              <w:t xml:space="preserve">— </w:t>
            </w:r>
            <w:r w:rsidRPr="00C951F0">
              <w:rPr>
                <w:color w:val="000000" w:themeColor="text1"/>
                <w:sz w:val="20"/>
                <w:szCs w:val="20"/>
              </w:rPr>
              <w:t>kg</w:t>
            </w:r>
          </w:p>
        </w:tc>
        <w:tc>
          <w:tcPr>
            <w:tcW w:w="526" w:type="pct"/>
            <w:tcBorders>
              <w:bottom w:val="nil"/>
            </w:tcBorders>
          </w:tcPr>
          <w:p w14:paraId="4D2A9BF4" w14:textId="77777777" w:rsidR="003E71DC" w:rsidRPr="00C951F0" w:rsidRDefault="003E71DC" w:rsidP="0039543A">
            <w:pPr>
              <w:spacing w:line="240" w:lineRule="auto"/>
              <w:jc w:val="center"/>
              <w:rPr>
                <w:color w:val="000000" w:themeColor="text1"/>
                <w:sz w:val="20"/>
                <w:szCs w:val="20"/>
              </w:rPr>
            </w:pPr>
          </w:p>
        </w:tc>
        <w:tc>
          <w:tcPr>
            <w:tcW w:w="526" w:type="pct"/>
            <w:tcBorders>
              <w:bottom w:val="nil"/>
            </w:tcBorders>
          </w:tcPr>
          <w:p w14:paraId="76ADBB46" w14:textId="77777777" w:rsidR="003E71DC" w:rsidRPr="00C951F0" w:rsidRDefault="003E71DC" w:rsidP="0039543A">
            <w:pPr>
              <w:spacing w:line="240" w:lineRule="auto"/>
              <w:jc w:val="center"/>
              <w:rPr>
                <w:color w:val="000000" w:themeColor="text1"/>
                <w:sz w:val="20"/>
                <w:szCs w:val="20"/>
              </w:rPr>
            </w:pPr>
          </w:p>
        </w:tc>
        <w:tc>
          <w:tcPr>
            <w:tcW w:w="524" w:type="pct"/>
            <w:tcBorders>
              <w:bottom w:val="nil"/>
            </w:tcBorders>
          </w:tcPr>
          <w:p w14:paraId="01F67241" w14:textId="77777777" w:rsidR="003E71DC" w:rsidRPr="00C951F0" w:rsidRDefault="003E71DC" w:rsidP="0039543A">
            <w:pPr>
              <w:spacing w:line="240" w:lineRule="auto"/>
              <w:jc w:val="center"/>
              <w:rPr>
                <w:color w:val="000000" w:themeColor="text1"/>
                <w:sz w:val="20"/>
                <w:szCs w:val="20"/>
              </w:rPr>
            </w:pPr>
          </w:p>
        </w:tc>
        <w:tc>
          <w:tcPr>
            <w:tcW w:w="1750" w:type="pct"/>
            <w:tcBorders>
              <w:bottom w:val="nil"/>
            </w:tcBorders>
          </w:tcPr>
          <w:p w14:paraId="6689EAF9" w14:textId="77777777" w:rsidR="003E71DC" w:rsidRPr="00C951F0" w:rsidRDefault="003E71DC" w:rsidP="0039543A">
            <w:pPr>
              <w:spacing w:line="240" w:lineRule="auto"/>
              <w:rPr>
                <w:color w:val="000000" w:themeColor="text1"/>
                <w:sz w:val="20"/>
                <w:szCs w:val="20"/>
              </w:rPr>
            </w:pPr>
          </w:p>
        </w:tc>
      </w:tr>
      <w:tr w:rsidR="00C25CC5" w:rsidRPr="00C951F0" w14:paraId="317CC1F4" w14:textId="77777777" w:rsidTr="00934A10">
        <w:tc>
          <w:tcPr>
            <w:tcW w:w="1674" w:type="pct"/>
            <w:tcBorders>
              <w:top w:val="nil"/>
              <w:bottom w:val="nil"/>
            </w:tcBorders>
          </w:tcPr>
          <w:p w14:paraId="238C575A" w14:textId="1A298DA0" w:rsidR="00C25CC5" w:rsidRPr="00C951F0" w:rsidRDefault="00C25CC5"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59FFDB48" w14:textId="47A7A9A1" w:rsidR="00C25CC5" w:rsidRPr="00C951F0" w:rsidRDefault="00C25CC5" w:rsidP="0039543A">
            <w:pPr>
              <w:spacing w:line="240" w:lineRule="auto"/>
              <w:jc w:val="center"/>
              <w:rPr>
                <w:color w:val="000000" w:themeColor="text1"/>
                <w:sz w:val="20"/>
                <w:szCs w:val="20"/>
              </w:rPr>
            </w:pPr>
            <w:r>
              <w:rPr>
                <w:color w:val="000000" w:themeColor="text1"/>
                <w:sz w:val="20"/>
                <w:szCs w:val="20"/>
              </w:rPr>
              <w:t>388</w:t>
            </w:r>
          </w:p>
        </w:tc>
        <w:tc>
          <w:tcPr>
            <w:tcW w:w="526" w:type="pct"/>
            <w:tcBorders>
              <w:top w:val="nil"/>
              <w:bottom w:val="nil"/>
            </w:tcBorders>
          </w:tcPr>
          <w:p w14:paraId="478C2CDA" w14:textId="4B81BFEC" w:rsidR="00C25CC5" w:rsidRPr="00C951F0" w:rsidRDefault="00C25CC5" w:rsidP="0039543A">
            <w:pPr>
              <w:spacing w:line="240" w:lineRule="auto"/>
              <w:jc w:val="center"/>
              <w:rPr>
                <w:color w:val="000000" w:themeColor="text1"/>
                <w:sz w:val="20"/>
                <w:szCs w:val="20"/>
              </w:rPr>
            </w:pPr>
            <w:r>
              <w:rPr>
                <w:color w:val="000000" w:themeColor="text1"/>
                <w:sz w:val="20"/>
                <w:szCs w:val="20"/>
              </w:rPr>
              <w:t>380</w:t>
            </w:r>
          </w:p>
        </w:tc>
        <w:tc>
          <w:tcPr>
            <w:tcW w:w="524" w:type="pct"/>
            <w:tcBorders>
              <w:top w:val="nil"/>
              <w:bottom w:val="nil"/>
            </w:tcBorders>
          </w:tcPr>
          <w:p w14:paraId="67A17CE9" w14:textId="6AC702B7" w:rsidR="00C25CC5" w:rsidRPr="00C951F0" w:rsidRDefault="00C25CC5" w:rsidP="0039543A">
            <w:pPr>
              <w:spacing w:line="240" w:lineRule="auto"/>
              <w:jc w:val="center"/>
              <w:rPr>
                <w:color w:val="000000" w:themeColor="text1"/>
                <w:sz w:val="20"/>
                <w:szCs w:val="20"/>
              </w:rPr>
            </w:pPr>
            <w:r>
              <w:rPr>
                <w:color w:val="000000" w:themeColor="text1"/>
                <w:sz w:val="20"/>
                <w:szCs w:val="20"/>
              </w:rPr>
              <w:t>376</w:t>
            </w:r>
          </w:p>
        </w:tc>
        <w:tc>
          <w:tcPr>
            <w:tcW w:w="1750" w:type="pct"/>
            <w:tcBorders>
              <w:top w:val="nil"/>
              <w:bottom w:val="nil"/>
            </w:tcBorders>
          </w:tcPr>
          <w:p w14:paraId="3941EF0E" w14:textId="77777777" w:rsidR="00C25CC5" w:rsidRPr="00C951F0" w:rsidRDefault="00C25CC5" w:rsidP="0039543A">
            <w:pPr>
              <w:spacing w:line="240" w:lineRule="auto"/>
              <w:rPr>
                <w:color w:val="000000" w:themeColor="text1"/>
                <w:sz w:val="20"/>
                <w:szCs w:val="20"/>
              </w:rPr>
            </w:pPr>
          </w:p>
        </w:tc>
      </w:tr>
      <w:tr w:rsidR="00C951F0" w:rsidRPr="00C951F0" w14:paraId="1FB055DE" w14:textId="77777777" w:rsidTr="00934A10">
        <w:tc>
          <w:tcPr>
            <w:tcW w:w="1674" w:type="pct"/>
            <w:tcBorders>
              <w:top w:val="nil"/>
              <w:bottom w:val="nil"/>
            </w:tcBorders>
          </w:tcPr>
          <w:p w14:paraId="6085830C" w14:textId="3EC1962E" w:rsidR="003E71DC" w:rsidRPr="00C951F0" w:rsidRDefault="003E71DC" w:rsidP="00934A10">
            <w:pPr>
              <w:spacing w:line="240" w:lineRule="auto"/>
              <w:ind w:left="306"/>
              <w:rPr>
                <w:rFonts w:cs="Arial"/>
                <w:color w:val="000000" w:themeColor="text1"/>
                <w:sz w:val="20"/>
                <w:szCs w:val="20"/>
              </w:rPr>
            </w:pPr>
            <w:r w:rsidRPr="00C951F0">
              <w:rPr>
                <w:rFonts w:cs="Arial"/>
                <w:color w:val="000000" w:themeColor="text1"/>
                <w:sz w:val="20"/>
                <w:szCs w:val="20"/>
              </w:rPr>
              <w:t>Week 68 mean ± SD</w:t>
            </w:r>
          </w:p>
        </w:tc>
        <w:tc>
          <w:tcPr>
            <w:tcW w:w="526" w:type="pct"/>
            <w:tcBorders>
              <w:top w:val="nil"/>
              <w:bottom w:val="nil"/>
            </w:tcBorders>
          </w:tcPr>
          <w:p w14:paraId="7D0152D9" w14:textId="096EA131" w:rsidR="003E71DC" w:rsidRPr="00C951F0" w:rsidRDefault="003E71DC" w:rsidP="0039543A">
            <w:pPr>
              <w:spacing w:line="240" w:lineRule="auto"/>
              <w:jc w:val="center"/>
              <w:rPr>
                <w:color w:val="000000" w:themeColor="text1"/>
                <w:sz w:val="20"/>
                <w:szCs w:val="20"/>
              </w:rPr>
            </w:pPr>
            <w:r w:rsidRPr="00C951F0">
              <w:rPr>
                <w:color w:val="000000" w:themeColor="text1"/>
                <w:sz w:val="20"/>
                <w:szCs w:val="20"/>
              </w:rPr>
              <w:t xml:space="preserve">89·6 </w:t>
            </w:r>
            <w:r w:rsidRPr="00C951F0">
              <w:rPr>
                <w:rFonts w:cs="Arial"/>
                <w:color w:val="000000" w:themeColor="text1"/>
                <w:sz w:val="20"/>
                <w:szCs w:val="20"/>
              </w:rPr>
              <w:t xml:space="preserve">± </w:t>
            </w:r>
            <w:r w:rsidRPr="00C951F0">
              <w:rPr>
                <w:color w:val="000000" w:themeColor="text1"/>
                <w:sz w:val="20"/>
                <w:szCs w:val="20"/>
              </w:rPr>
              <w:t>21·0</w:t>
            </w:r>
          </w:p>
        </w:tc>
        <w:tc>
          <w:tcPr>
            <w:tcW w:w="526" w:type="pct"/>
            <w:tcBorders>
              <w:top w:val="nil"/>
              <w:bottom w:val="nil"/>
            </w:tcBorders>
          </w:tcPr>
          <w:p w14:paraId="36D459D3" w14:textId="5684169E" w:rsidR="003E71DC" w:rsidRPr="00C951F0" w:rsidRDefault="003E71DC" w:rsidP="0039543A">
            <w:pPr>
              <w:spacing w:line="240" w:lineRule="auto"/>
              <w:jc w:val="center"/>
              <w:rPr>
                <w:color w:val="000000" w:themeColor="text1"/>
                <w:sz w:val="20"/>
                <w:szCs w:val="20"/>
              </w:rPr>
            </w:pPr>
            <w:r w:rsidRPr="00C951F0">
              <w:rPr>
                <w:color w:val="000000" w:themeColor="text1"/>
                <w:sz w:val="20"/>
                <w:szCs w:val="20"/>
              </w:rPr>
              <w:t xml:space="preserve">92·3 </w:t>
            </w:r>
            <w:r w:rsidRPr="00C951F0">
              <w:rPr>
                <w:rFonts w:cs="Arial"/>
                <w:color w:val="000000" w:themeColor="text1"/>
                <w:sz w:val="20"/>
                <w:szCs w:val="20"/>
              </w:rPr>
              <w:t xml:space="preserve">± </w:t>
            </w:r>
            <w:r w:rsidRPr="00C951F0">
              <w:rPr>
                <w:color w:val="000000" w:themeColor="text1"/>
                <w:sz w:val="20"/>
                <w:szCs w:val="20"/>
              </w:rPr>
              <w:t>20·7</w:t>
            </w:r>
          </w:p>
        </w:tc>
        <w:tc>
          <w:tcPr>
            <w:tcW w:w="524" w:type="pct"/>
            <w:tcBorders>
              <w:top w:val="nil"/>
              <w:bottom w:val="nil"/>
            </w:tcBorders>
          </w:tcPr>
          <w:p w14:paraId="0B86CB66" w14:textId="054CC6BC" w:rsidR="003E71DC" w:rsidRPr="00C951F0" w:rsidRDefault="003E71DC" w:rsidP="0039543A">
            <w:pPr>
              <w:spacing w:line="240" w:lineRule="auto"/>
              <w:jc w:val="center"/>
              <w:rPr>
                <w:color w:val="000000" w:themeColor="text1"/>
                <w:sz w:val="20"/>
                <w:szCs w:val="20"/>
              </w:rPr>
            </w:pPr>
            <w:r w:rsidRPr="00C951F0">
              <w:rPr>
                <w:color w:val="000000" w:themeColor="text1"/>
                <w:sz w:val="20"/>
                <w:szCs w:val="20"/>
              </w:rPr>
              <w:t xml:space="preserve">96·8 </w:t>
            </w:r>
            <w:r w:rsidRPr="00C951F0">
              <w:rPr>
                <w:rFonts w:cs="Arial"/>
                <w:color w:val="000000" w:themeColor="text1"/>
                <w:sz w:val="20"/>
                <w:szCs w:val="20"/>
              </w:rPr>
              <w:t xml:space="preserve">± </w:t>
            </w:r>
            <w:r w:rsidRPr="00C951F0">
              <w:rPr>
                <w:color w:val="000000" w:themeColor="text1"/>
                <w:sz w:val="20"/>
                <w:szCs w:val="20"/>
              </w:rPr>
              <w:t>20·3</w:t>
            </w:r>
          </w:p>
        </w:tc>
        <w:tc>
          <w:tcPr>
            <w:tcW w:w="1750" w:type="pct"/>
            <w:tcBorders>
              <w:top w:val="nil"/>
              <w:bottom w:val="nil"/>
            </w:tcBorders>
          </w:tcPr>
          <w:p w14:paraId="4D35B011" w14:textId="5B61FAAC" w:rsidR="003E71DC" w:rsidRPr="00C951F0" w:rsidRDefault="003E71DC" w:rsidP="0039543A">
            <w:pPr>
              <w:spacing w:line="240" w:lineRule="auto"/>
              <w:rPr>
                <w:color w:val="000000" w:themeColor="text1"/>
                <w:sz w:val="20"/>
                <w:szCs w:val="20"/>
              </w:rPr>
            </w:pPr>
            <w:r w:rsidRPr="00C951F0">
              <w:rPr>
                <w:color w:val="000000" w:themeColor="text1"/>
                <w:sz w:val="20"/>
                <w:szCs w:val="20"/>
              </w:rPr>
              <w:t>Semaglutide 2·4 mg – placebo (kg)</w:t>
            </w:r>
            <w:r w:rsidR="00C921B3" w:rsidRPr="00C951F0">
              <w:rPr>
                <w:color w:val="000000" w:themeColor="text1"/>
                <w:sz w:val="20"/>
                <w:szCs w:val="20"/>
              </w:rPr>
              <w:t>;</w:t>
            </w:r>
            <w:r w:rsidRPr="00C951F0">
              <w:rPr>
                <w:color w:val="000000" w:themeColor="text1"/>
                <w:sz w:val="20"/>
                <w:szCs w:val="20"/>
              </w:rPr>
              <w:t xml:space="preserve"> ETD: −6·1 </w:t>
            </w:r>
            <w:r w:rsidR="00433982" w:rsidRPr="00C951F0">
              <w:rPr>
                <w:color w:val="000000" w:themeColor="text1"/>
                <w:sz w:val="20"/>
                <w:szCs w:val="20"/>
              </w:rPr>
              <w:t>(</w:t>
            </w:r>
            <w:r w:rsidRPr="00C951F0">
              <w:rPr>
                <w:color w:val="000000" w:themeColor="text1"/>
                <w:sz w:val="20"/>
                <w:szCs w:val="20"/>
              </w:rPr>
              <w:t>−7·2 to −5·0</w:t>
            </w:r>
            <w:r w:rsidR="00433982" w:rsidRPr="00C951F0">
              <w:rPr>
                <w:color w:val="000000" w:themeColor="text1"/>
                <w:sz w:val="20"/>
                <w:szCs w:val="20"/>
              </w:rPr>
              <w:t>)</w:t>
            </w:r>
          </w:p>
        </w:tc>
      </w:tr>
      <w:tr w:rsidR="00C951F0" w:rsidRPr="00C951F0" w14:paraId="1676736F" w14:textId="77777777" w:rsidTr="00934A10">
        <w:tc>
          <w:tcPr>
            <w:tcW w:w="1674" w:type="pct"/>
            <w:tcBorders>
              <w:top w:val="nil"/>
              <w:bottom w:val="single" w:sz="4" w:space="0" w:color="auto"/>
            </w:tcBorders>
          </w:tcPr>
          <w:p w14:paraId="67B47377" w14:textId="6B2ACDB5"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Change from baseline to week 68</w:t>
            </w:r>
            <w:r w:rsidR="006C2D21" w:rsidRPr="00C951F0">
              <w:rPr>
                <w:rFonts w:cs="Arial"/>
                <w:color w:val="000000" w:themeColor="text1"/>
                <w:sz w:val="20"/>
                <w:szCs w:val="20"/>
              </w:rPr>
              <w:t xml:space="preserve"> — kg</w:t>
            </w:r>
            <w:r w:rsidR="00CE771D">
              <w:rPr>
                <w:rFonts w:cs="Arial"/>
                <w:color w:val="000000" w:themeColor="text1"/>
                <w:sz w:val="20"/>
                <w:szCs w:val="20"/>
              </w:rPr>
              <w:t xml:space="preserve"> (SE)</w:t>
            </w:r>
          </w:p>
        </w:tc>
        <w:tc>
          <w:tcPr>
            <w:tcW w:w="526" w:type="pct"/>
            <w:tcBorders>
              <w:top w:val="nil"/>
              <w:bottom w:val="single" w:sz="4" w:space="0" w:color="auto"/>
            </w:tcBorders>
          </w:tcPr>
          <w:p w14:paraId="2CD025B1" w14:textId="0E9BE3C5"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9</w:t>
            </w:r>
            <w:r w:rsidR="00C5236B" w:rsidRPr="00C951F0">
              <w:rPr>
                <w:color w:val="000000" w:themeColor="text1"/>
                <w:sz w:val="20"/>
                <w:szCs w:val="20"/>
              </w:rPr>
              <w:t>·</w:t>
            </w:r>
            <w:r w:rsidR="00B1644A" w:rsidRPr="00C951F0">
              <w:rPr>
                <w:color w:val="000000" w:themeColor="text1"/>
                <w:sz w:val="20"/>
                <w:szCs w:val="20"/>
              </w:rPr>
              <w:t>7</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4)</w:t>
            </w:r>
          </w:p>
        </w:tc>
        <w:tc>
          <w:tcPr>
            <w:tcW w:w="526" w:type="pct"/>
            <w:tcBorders>
              <w:top w:val="nil"/>
              <w:bottom w:val="single" w:sz="4" w:space="0" w:color="auto"/>
            </w:tcBorders>
          </w:tcPr>
          <w:p w14:paraId="67A6E672" w14:textId="2BE57001"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4E2B67" w:rsidRPr="00C951F0">
              <w:rPr>
                <w:color w:val="000000" w:themeColor="text1"/>
                <w:sz w:val="20"/>
                <w:szCs w:val="20"/>
              </w:rPr>
              <w:t>6</w:t>
            </w:r>
            <w:r w:rsidR="00C5236B" w:rsidRPr="00C951F0">
              <w:rPr>
                <w:color w:val="000000" w:themeColor="text1"/>
                <w:sz w:val="20"/>
                <w:szCs w:val="20"/>
              </w:rPr>
              <w:t>·</w:t>
            </w:r>
            <w:r w:rsidR="004E2B67" w:rsidRPr="00C951F0">
              <w:rPr>
                <w:color w:val="000000" w:themeColor="text1"/>
                <w:sz w:val="20"/>
                <w:szCs w:val="20"/>
              </w:rPr>
              <w:t>9</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4)</w:t>
            </w:r>
          </w:p>
        </w:tc>
        <w:tc>
          <w:tcPr>
            <w:tcW w:w="524" w:type="pct"/>
            <w:tcBorders>
              <w:top w:val="nil"/>
              <w:bottom w:val="single" w:sz="4" w:space="0" w:color="auto"/>
            </w:tcBorders>
          </w:tcPr>
          <w:p w14:paraId="20EA2672" w14:textId="43C898EC" w:rsidR="00B1644A" w:rsidRPr="00C951F0" w:rsidRDefault="00236FEA" w:rsidP="00B81AAF">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3</w:t>
            </w:r>
            <w:r w:rsidR="00C5236B" w:rsidRPr="00C951F0">
              <w:rPr>
                <w:color w:val="000000" w:themeColor="text1"/>
                <w:sz w:val="20"/>
                <w:szCs w:val="20"/>
              </w:rPr>
              <w:t>·</w:t>
            </w:r>
            <w:r w:rsidR="00B1644A" w:rsidRPr="00C951F0">
              <w:rPr>
                <w:color w:val="000000" w:themeColor="text1"/>
                <w:sz w:val="20"/>
                <w:szCs w:val="20"/>
              </w:rPr>
              <w:t>5</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4)</w:t>
            </w:r>
          </w:p>
        </w:tc>
        <w:tc>
          <w:tcPr>
            <w:tcW w:w="1750" w:type="pct"/>
            <w:tcBorders>
              <w:top w:val="nil"/>
              <w:bottom w:val="single" w:sz="4" w:space="0" w:color="auto"/>
            </w:tcBorders>
          </w:tcPr>
          <w:p w14:paraId="734E1B33" w14:textId="063E7F85"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 (kg)</w:t>
            </w:r>
            <w:r w:rsidR="00C921B3" w:rsidRPr="00C951F0">
              <w:rPr>
                <w:color w:val="000000" w:themeColor="text1"/>
                <w:sz w:val="20"/>
                <w:szCs w:val="20"/>
              </w:rPr>
              <w:t>;</w:t>
            </w:r>
            <w:r w:rsidR="003E71DC" w:rsidRPr="00C951F0">
              <w:rPr>
                <w:color w:val="000000" w:themeColor="text1"/>
                <w:sz w:val="20"/>
                <w:szCs w:val="20"/>
              </w:rPr>
              <w:t xml:space="preserve"> </w:t>
            </w:r>
            <w:r w:rsidRPr="00C951F0">
              <w:rPr>
                <w:color w:val="000000" w:themeColor="text1"/>
                <w:sz w:val="20"/>
                <w:szCs w:val="20"/>
              </w:rPr>
              <w:t xml:space="preserve">ETD: </w:t>
            </w:r>
            <w:r w:rsidR="00236FEA" w:rsidRPr="00C951F0">
              <w:rPr>
                <w:color w:val="000000" w:themeColor="text1"/>
                <w:sz w:val="20"/>
                <w:szCs w:val="20"/>
              </w:rPr>
              <w:t>−</w:t>
            </w:r>
            <w:r w:rsidRPr="00C951F0">
              <w:rPr>
                <w:color w:val="000000" w:themeColor="text1"/>
                <w:sz w:val="20"/>
                <w:szCs w:val="20"/>
              </w:rPr>
              <w:t>2</w:t>
            </w:r>
            <w:r w:rsidR="00C5236B" w:rsidRPr="00C951F0">
              <w:rPr>
                <w:color w:val="000000" w:themeColor="text1"/>
                <w:sz w:val="20"/>
                <w:szCs w:val="20"/>
              </w:rPr>
              <w:t>·</w:t>
            </w:r>
            <w:r w:rsidRPr="00C951F0">
              <w:rPr>
                <w:color w:val="000000" w:themeColor="text1"/>
                <w:sz w:val="20"/>
                <w:szCs w:val="20"/>
              </w:rPr>
              <w:t xml:space="preserve">7 </w:t>
            </w:r>
            <w:r w:rsidR="00433982" w:rsidRPr="00C951F0">
              <w:rPr>
                <w:color w:val="000000" w:themeColor="text1"/>
                <w:sz w:val="20"/>
                <w:szCs w:val="20"/>
              </w:rPr>
              <w:t>(</w:t>
            </w:r>
            <w:r w:rsidR="00236FEA" w:rsidRPr="00C951F0">
              <w:rPr>
                <w:color w:val="000000" w:themeColor="text1"/>
                <w:sz w:val="20"/>
                <w:szCs w:val="20"/>
              </w:rPr>
              <w:t>−</w:t>
            </w:r>
            <w:r w:rsidRPr="00C951F0">
              <w:rPr>
                <w:color w:val="000000" w:themeColor="text1"/>
                <w:sz w:val="20"/>
                <w:szCs w:val="20"/>
              </w:rPr>
              <w:t>3</w:t>
            </w:r>
            <w:r w:rsidR="00C5236B" w:rsidRPr="00C951F0">
              <w:rPr>
                <w:color w:val="000000" w:themeColor="text1"/>
                <w:sz w:val="20"/>
                <w:szCs w:val="20"/>
              </w:rPr>
              <w:t>·</w:t>
            </w:r>
            <w:r w:rsidRPr="00C951F0">
              <w:rPr>
                <w:color w:val="000000" w:themeColor="text1"/>
                <w:sz w:val="20"/>
                <w:szCs w:val="20"/>
              </w:rPr>
              <w:t>8</w:t>
            </w:r>
            <w:r w:rsidR="00227D23" w:rsidRPr="00C951F0">
              <w:rPr>
                <w:color w:val="000000" w:themeColor="text1"/>
                <w:sz w:val="20"/>
                <w:szCs w:val="20"/>
              </w:rPr>
              <w:t xml:space="preserve"> to</w:t>
            </w:r>
            <w:r w:rsidRPr="00C951F0">
              <w:rPr>
                <w:color w:val="000000" w:themeColor="text1"/>
                <w:sz w:val="20"/>
                <w:szCs w:val="20"/>
              </w:rPr>
              <w:t xml:space="preserve"> </w:t>
            </w:r>
            <w:r w:rsidR="00236FEA" w:rsidRPr="00C951F0">
              <w:rPr>
                <w:color w:val="000000" w:themeColor="text1"/>
                <w:sz w:val="20"/>
                <w:szCs w:val="20"/>
              </w:rPr>
              <w:t>−</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7</w:t>
            </w:r>
            <w:r w:rsidR="00433982" w:rsidRPr="00C951F0">
              <w:rPr>
                <w:color w:val="000000" w:themeColor="text1"/>
                <w:sz w:val="20"/>
                <w:szCs w:val="20"/>
              </w:rPr>
              <w:t>)</w:t>
            </w:r>
          </w:p>
        </w:tc>
      </w:tr>
      <w:tr w:rsidR="00C951F0" w:rsidRPr="00C951F0" w14:paraId="7FC46E02" w14:textId="77777777" w:rsidTr="00934A10">
        <w:tc>
          <w:tcPr>
            <w:tcW w:w="1674" w:type="pct"/>
            <w:tcBorders>
              <w:top w:val="single" w:sz="4" w:space="0" w:color="auto"/>
              <w:bottom w:val="nil"/>
            </w:tcBorders>
          </w:tcPr>
          <w:p w14:paraId="593CC14F" w14:textId="55D0731C" w:rsidR="003E71DC" w:rsidRPr="00C951F0" w:rsidDel="003E71DC" w:rsidRDefault="003E71DC" w:rsidP="00934A10">
            <w:pPr>
              <w:spacing w:line="240" w:lineRule="auto"/>
              <w:rPr>
                <w:rFonts w:cs="Arial"/>
                <w:color w:val="000000" w:themeColor="text1"/>
                <w:sz w:val="20"/>
                <w:szCs w:val="20"/>
              </w:rPr>
            </w:pPr>
            <w:r w:rsidRPr="00C951F0">
              <w:rPr>
                <w:color w:val="000000" w:themeColor="text1"/>
                <w:sz w:val="20"/>
                <w:szCs w:val="20"/>
              </w:rPr>
              <w:t xml:space="preserve">BMI </w:t>
            </w:r>
            <w:r w:rsidRPr="00C951F0">
              <w:rPr>
                <w:rFonts w:cs="Arial"/>
                <w:color w:val="000000" w:themeColor="text1"/>
                <w:sz w:val="20"/>
                <w:szCs w:val="20"/>
              </w:rPr>
              <w:t xml:space="preserve">— </w:t>
            </w:r>
            <w:r w:rsidRPr="00C951F0">
              <w:rPr>
                <w:color w:val="000000" w:themeColor="text1"/>
                <w:sz w:val="20"/>
                <w:szCs w:val="20"/>
              </w:rPr>
              <w:t>kg/m</w:t>
            </w:r>
            <w:r w:rsidRPr="00C951F0">
              <w:rPr>
                <w:color w:val="000000" w:themeColor="text1"/>
                <w:sz w:val="20"/>
                <w:szCs w:val="20"/>
                <w:vertAlign w:val="superscript"/>
              </w:rPr>
              <w:t>2</w:t>
            </w:r>
          </w:p>
        </w:tc>
        <w:tc>
          <w:tcPr>
            <w:tcW w:w="526" w:type="pct"/>
            <w:tcBorders>
              <w:top w:val="single" w:sz="4" w:space="0" w:color="auto"/>
              <w:bottom w:val="nil"/>
            </w:tcBorders>
          </w:tcPr>
          <w:p w14:paraId="0AD0D69C" w14:textId="77777777" w:rsidR="003E71DC" w:rsidRPr="00C951F0" w:rsidDel="003E71DC" w:rsidRDefault="003E71DC" w:rsidP="0039543A">
            <w:pPr>
              <w:spacing w:line="240" w:lineRule="auto"/>
              <w:jc w:val="center"/>
              <w:rPr>
                <w:color w:val="000000" w:themeColor="text1"/>
                <w:sz w:val="20"/>
                <w:szCs w:val="20"/>
              </w:rPr>
            </w:pPr>
          </w:p>
        </w:tc>
        <w:tc>
          <w:tcPr>
            <w:tcW w:w="526" w:type="pct"/>
            <w:tcBorders>
              <w:top w:val="single" w:sz="4" w:space="0" w:color="auto"/>
              <w:bottom w:val="nil"/>
            </w:tcBorders>
          </w:tcPr>
          <w:p w14:paraId="08C5C929" w14:textId="77777777" w:rsidR="003E71DC" w:rsidRPr="00C951F0" w:rsidDel="003E71DC" w:rsidRDefault="003E71DC" w:rsidP="0039543A">
            <w:pPr>
              <w:spacing w:line="240" w:lineRule="auto"/>
              <w:jc w:val="center"/>
              <w:rPr>
                <w:color w:val="000000" w:themeColor="text1"/>
                <w:sz w:val="20"/>
                <w:szCs w:val="20"/>
              </w:rPr>
            </w:pPr>
          </w:p>
        </w:tc>
        <w:tc>
          <w:tcPr>
            <w:tcW w:w="524" w:type="pct"/>
            <w:tcBorders>
              <w:top w:val="single" w:sz="4" w:space="0" w:color="auto"/>
              <w:bottom w:val="nil"/>
            </w:tcBorders>
          </w:tcPr>
          <w:p w14:paraId="26C2DCFF" w14:textId="77777777" w:rsidR="003E71DC" w:rsidRPr="00C951F0" w:rsidDel="003E71DC" w:rsidRDefault="003E71DC" w:rsidP="00B81AAF">
            <w:pPr>
              <w:spacing w:line="240" w:lineRule="auto"/>
              <w:jc w:val="center"/>
              <w:rPr>
                <w:color w:val="000000" w:themeColor="text1"/>
                <w:sz w:val="20"/>
                <w:szCs w:val="20"/>
              </w:rPr>
            </w:pPr>
          </w:p>
        </w:tc>
        <w:tc>
          <w:tcPr>
            <w:tcW w:w="1750" w:type="pct"/>
            <w:tcBorders>
              <w:top w:val="single" w:sz="4" w:space="0" w:color="auto"/>
              <w:bottom w:val="nil"/>
            </w:tcBorders>
          </w:tcPr>
          <w:p w14:paraId="1CA4F7D5" w14:textId="77777777" w:rsidR="003E71DC" w:rsidRPr="00C951F0" w:rsidDel="003E71DC" w:rsidRDefault="003E71DC" w:rsidP="0039543A">
            <w:pPr>
              <w:spacing w:line="240" w:lineRule="auto"/>
              <w:rPr>
                <w:color w:val="000000" w:themeColor="text1"/>
                <w:sz w:val="20"/>
                <w:szCs w:val="20"/>
              </w:rPr>
            </w:pPr>
          </w:p>
        </w:tc>
      </w:tr>
      <w:tr w:rsidR="00C25CC5" w:rsidRPr="00C951F0" w14:paraId="046C83C5" w14:textId="77777777" w:rsidTr="00934A10">
        <w:tc>
          <w:tcPr>
            <w:tcW w:w="1674" w:type="pct"/>
            <w:tcBorders>
              <w:top w:val="nil"/>
              <w:bottom w:val="nil"/>
            </w:tcBorders>
          </w:tcPr>
          <w:p w14:paraId="7D32DD39" w14:textId="5207CB65" w:rsidR="00C25CC5" w:rsidRPr="00C951F0" w:rsidRDefault="00C25CC5" w:rsidP="00433982">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235DD543" w14:textId="3B72773E" w:rsidR="00C25CC5" w:rsidRPr="00C951F0" w:rsidRDefault="00C25CC5">
            <w:pPr>
              <w:spacing w:line="240" w:lineRule="auto"/>
              <w:jc w:val="center"/>
              <w:rPr>
                <w:color w:val="000000" w:themeColor="text1"/>
                <w:sz w:val="20"/>
                <w:szCs w:val="20"/>
              </w:rPr>
            </w:pPr>
            <w:r>
              <w:rPr>
                <w:color w:val="000000" w:themeColor="text1"/>
                <w:sz w:val="20"/>
                <w:szCs w:val="20"/>
              </w:rPr>
              <w:t>388</w:t>
            </w:r>
          </w:p>
        </w:tc>
        <w:tc>
          <w:tcPr>
            <w:tcW w:w="526" w:type="pct"/>
            <w:tcBorders>
              <w:top w:val="nil"/>
              <w:bottom w:val="nil"/>
            </w:tcBorders>
          </w:tcPr>
          <w:p w14:paraId="61CB2110" w14:textId="124FBFBF" w:rsidR="00C25CC5" w:rsidRPr="00C951F0" w:rsidRDefault="00C25CC5">
            <w:pPr>
              <w:spacing w:line="240" w:lineRule="auto"/>
              <w:jc w:val="center"/>
              <w:rPr>
                <w:color w:val="000000" w:themeColor="text1"/>
                <w:sz w:val="20"/>
                <w:szCs w:val="20"/>
              </w:rPr>
            </w:pPr>
            <w:r>
              <w:rPr>
                <w:color w:val="000000" w:themeColor="text1"/>
                <w:sz w:val="20"/>
                <w:szCs w:val="20"/>
              </w:rPr>
              <w:t>380</w:t>
            </w:r>
          </w:p>
        </w:tc>
        <w:tc>
          <w:tcPr>
            <w:tcW w:w="524" w:type="pct"/>
            <w:tcBorders>
              <w:top w:val="nil"/>
              <w:bottom w:val="nil"/>
            </w:tcBorders>
          </w:tcPr>
          <w:p w14:paraId="48C045B8" w14:textId="1BF2EC93" w:rsidR="00C25CC5" w:rsidRPr="00C951F0" w:rsidRDefault="00C25CC5">
            <w:pPr>
              <w:spacing w:line="240" w:lineRule="auto"/>
              <w:jc w:val="center"/>
              <w:rPr>
                <w:color w:val="000000" w:themeColor="text1"/>
                <w:sz w:val="20"/>
                <w:szCs w:val="20"/>
              </w:rPr>
            </w:pPr>
            <w:r>
              <w:rPr>
                <w:color w:val="000000" w:themeColor="text1"/>
                <w:sz w:val="20"/>
                <w:szCs w:val="20"/>
              </w:rPr>
              <w:t>376</w:t>
            </w:r>
          </w:p>
        </w:tc>
        <w:tc>
          <w:tcPr>
            <w:tcW w:w="1750" w:type="pct"/>
            <w:tcBorders>
              <w:top w:val="nil"/>
              <w:bottom w:val="nil"/>
            </w:tcBorders>
          </w:tcPr>
          <w:p w14:paraId="133F74B2" w14:textId="77777777" w:rsidR="00C25CC5" w:rsidRPr="00C951F0" w:rsidRDefault="00C25CC5" w:rsidP="0039543A">
            <w:pPr>
              <w:spacing w:line="240" w:lineRule="auto"/>
              <w:rPr>
                <w:color w:val="000000" w:themeColor="text1"/>
                <w:sz w:val="20"/>
                <w:szCs w:val="20"/>
              </w:rPr>
            </w:pPr>
          </w:p>
        </w:tc>
      </w:tr>
      <w:tr w:rsidR="00C951F0" w:rsidRPr="00C951F0" w14:paraId="7D3D19A4" w14:textId="77777777" w:rsidTr="00934A10">
        <w:tc>
          <w:tcPr>
            <w:tcW w:w="1674" w:type="pct"/>
            <w:tcBorders>
              <w:top w:val="nil"/>
              <w:bottom w:val="nil"/>
            </w:tcBorders>
          </w:tcPr>
          <w:p w14:paraId="78F2B9D6" w14:textId="44F8DE9C" w:rsidR="003E71DC" w:rsidRPr="00C951F0" w:rsidDel="003E71DC" w:rsidRDefault="003E71DC" w:rsidP="00433982">
            <w:pPr>
              <w:spacing w:line="240" w:lineRule="auto"/>
              <w:ind w:left="306"/>
              <w:rPr>
                <w:rFonts w:cs="Arial"/>
                <w:color w:val="000000" w:themeColor="text1"/>
                <w:sz w:val="20"/>
                <w:szCs w:val="20"/>
              </w:rPr>
            </w:pPr>
            <w:r w:rsidRPr="00C951F0">
              <w:rPr>
                <w:rFonts w:cs="Arial"/>
                <w:color w:val="000000" w:themeColor="text1"/>
                <w:sz w:val="20"/>
                <w:szCs w:val="20"/>
              </w:rPr>
              <w:t>Week 68 mean ± SD)</w:t>
            </w:r>
          </w:p>
        </w:tc>
        <w:tc>
          <w:tcPr>
            <w:tcW w:w="526" w:type="pct"/>
            <w:tcBorders>
              <w:top w:val="nil"/>
              <w:bottom w:val="nil"/>
            </w:tcBorders>
          </w:tcPr>
          <w:p w14:paraId="12D03A6F" w14:textId="77BBC93C" w:rsidR="003E71DC" w:rsidRPr="00C951F0" w:rsidDel="003E71DC" w:rsidRDefault="003E71DC">
            <w:pPr>
              <w:spacing w:line="240" w:lineRule="auto"/>
              <w:jc w:val="center"/>
              <w:rPr>
                <w:color w:val="000000" w:themeColor="text1"/>
                <w:sz w:val="20"/>
                <w:szCs w:val="20"/>
              </w:rPr>
            </w:pPr>
            <w:r w:rsidRPr="00C951F0">
              <w:rPr>
                <w:color w:val="000000" w:themeColor="text1"/>
                <w:sz w:val="20"/>
                <w:szCs w:val="20"/>
              </w:rPr>
              <w:t xml:space="preserve">32·3 </w:t>
            </w:r>
            <w:r w:rsidRPr="00C951F0">
              <w:rPr>
                <w:rFonts w:cs="Arial"/>
                <w:color w:val="000000" w:themeColor="text1"/>
                <w:sz w:val="20"/>
                <w:szCs w:val="20"/>
              </w:rPr>
              <w:t xml:space="preserve">± </w:t>
            </w:r>
            <w:r w:rsidRPr="00C951F0">
              <w:rPr>
                <w:color w:val="000000" w:themeColor="text1"/>
                <w:sz w:val="20"/>
                <w:szCs w:val="20"/>
              </w:rPr>
              <w:t>6·1</w:t>
            </w:r>
          </w:p>
        </w:tc>
        <w:tc>
          <w:tcPr>
            <w:tcW w:w="526" w:type="pct"/>
            <w:tcBorders>
              <w:top w:val="nil"/>
              <w:bottom w:val="nil"/>
            </w:tcBorders>
          </w:tcPr>
          <w:p w14:paraId="595E792F" w14:textId="7061EC86" w:rsidR="003E71DC" w:rsidRPr="00C951F0" w:rsidDel="003E71DC" w:rsidRDefault="003E71DC">
            <w:pPr>
              <w:spacing w:line="240" w:lineRule="auto"/>
              <w:jc w:val="center"/>
              <w:rPr>
                <w:color w:val="000000" w:themeColor="text1"/>
                <w:sz w:val="20"/>
                <w:szCs w:val="20"/>
              </w:rPr>
            </w:pPr>
            <w:r w:rsidRPr="00C951F0">
              <w:rPr>
                <w:color w:val="000000" w:themeColor="text1"/>
                <w:sz w:val="20"/>
                <w:szCs w:val="20"/>
              </w:rPr>
              <w:t xml:space="preserve">32·9 </w:t>
            </w:r>
            <w:r w:rsidRPr="00C951F0">
              <w:rPr>
                <w:rFonts w:cs="Arial"/>
                <w:color w:val="000000" w:themeColor="text1"/>
                <w:sz w:val="20"/>
                <w:szCs w:val="20"/>
              </w:rPr>
              <w:t xml:space="preserve">± </w:t>
            </w:r>
            <w:r w:rsidRPr="00C951F0">
              <w:rPr>
                <w:color w:val="000000" w:themeColor="text1"/>
                <w:sz w:val="20"/>
                <w:szCs w:val="20"/>
              </w:rPr>
              <w:t>5·9</w:t>
            </w:r>
          </w:p>
        </w:tc>
        <w:tc>
          <w:tcPr>
            <w:tcW w:w="524" w:type="pct"/>
            <w:tcBorders>
              <w:top w:val="nil"/>
              <w:bottom w:val="nil"/>
            </w:tcBorders>
          </w:tcPr>
          <w:p w14:paraId="185BD725" w14:textId="6B387809" w:rsidR="003E71DC" w:rsidRPr="00C951F0" w:rsidDel="003E71DC" w:rsidRDefault="003E71DC">
            <w:pPr>
              <w:spacing w:line="240" w:lineRule="auto"/>
              <w:jc w:val="center"/>
              <w:rPr>
                <w:color w:val="000000" w:themeColor="text1"/>
                <w:sz w:val="20"/>
                <w:szCs w:val="20"/>
              </w:rPr>
            </w:pPr>
            <w:r w:rsidRPr="00C951F0">
              <w:rPr>
                <w:color w:val="000000" w:themeColor="text1"/>
                <w:sz w:val="20"/>
                <w:szCs w:val="20"/>
              </w:rPr>
              <w:t xml:space="preserve">34·6 </w:t>
            </w:r>
            <w:r w:rsidRPr="00C951F0">
              <w:rPr>
                <w:rFonts w:cs="Arial"/>
                <w:color w:val="000000" w:themeColor="text1"/>
                <w:sz w:val="20"/>
                <w:szCs w:val="20"/>
              </w:rPr>
              <w:t xml:space="preserve">± </w:t>
            </w:r>
            <w:r w:rsidRPr="00C951F0">
              <w:rPr>
                <w:color w:val="000000" w:themeColor="text1"/>
                <w:sz w:val="20"/>
                <w:szCs w:val="20"/>
              </w:rPr>
              <w:t>6·4</w:t>
            </w:r>
          </w:p>
        </w:tc>
        <w:tc>
          <w:tcPr>
            <w:tcW w:w="1750" w:type="pct"/>
            <w:tcBorders>
              <w:top w:val="nil"/>
              <w:bottom w:val="nil"/>
            </w:tcBorders>
          </w:tcPr>
          <w:p w14:paraId="16595C78" w14:textId="74375F84" w:rsidR="003E71DC" w:rsidRPr="00C951F0" w:rsidDel="003E71DC" w:rsidRDefault="003E71DC" w:rsidP="0039543A">
            <w:pPr>
              <w:spacing w:line="240" w:lineRule="auto"/>
              <w:rPr>
                <w:color w:val="000000" w:themeColor="text1"/>
                <w:sz w:val="20"/>
                <w:szCs w:val="20"/>
              </w:rPr>
            </w:pPr>
            <w:r w:rsidRPr="00C951F0">
              <w:rPr>
                <w:color w:val="000000" w:themeColor="text1"/>
                <w:sz w:val="20"/>
                <w:szCs w:val="20"/>
              </w:rPr>
              <w:t>Semaglutide 2·4 mg – placebo (kg/m</w:t>
            </w:r>
            <w:r w:rsidRPr="00C951F0">
              <w:rPr>
                <w:color w:val="000000" w:themeColor="text1"/>
                <w:sz w:val="20"/>
                <w:szCs w:val="20"/>
                <w:vertAlign w:val="superscript"/>
              </w:rPr>
              <w:t>2</w:t>
            </w:r>
            <w:r w:rsidRPr="00C951F0">
              <w:rPr>
                <w:color w:val="000000" w:themeColor="text1"/>
                <w:sz w:val="20"/>
                <w:szCs w:val="20"/>
              </w:rPr>
              <w:t>)</w:t>
            </w:r>
            <w:r w:rsidR="00C921B3" w:rsidRPr="00C951F0">
              <w:rPr>
                <w:color w:val="000000" w:themeColor="text1"/>
                <w:sz w:val="20"/>
                <w:szCs w:val="20"/>
              </w:rPr>
              <w:t>;</w:t>
            </w:r>
            <w:r w:rsidRPr="00C951F0">
              <w:rPr>
                <w:color w:val="000000" w:themeColor="text1"/>
                <w:sz w:val="20"/>
                <w:szCs w:val="20"/>
              </w:rPr>
              <w:t xml:space="preserve"> ETD: −2·3 </w:t>
            </w:r>
            <w:r w:rsidR="00433982" w:rsidRPr="00C951F0">
              <w:rPr>
                <w:color w:val="000000" w:themeColor="text1"/>
                <w:sz w:val="20"/>
                <w:szCs w:val="20"/>
              </w:rPr>
              <w:t>(</w:t>
            </w:r>
            <w:r w:rsidRPr="00C951F0">
              <w:rPr>
                <w:color w:val="000000" w:themeColor="text1"/>
                <w:sz w:val="20"/>
                <w:szCs w:val="20"/>
              </w:rPr>
              <w:t>−2·6 to −1·9</w:t>
            </w:r>
            <w:r w:rsidR="00433982" w:rsidRPr="00C951F0">
              <w:rPr>
                <w:color w:val="000000" w:themeColor="text1"/>
                <w:sz w:val="20"/>
                <w:szCs w:val="20"/>
              </w:rPr>
              <w:t>)</w:t>
            </w:r>
          </w:p>
        </w:tc>
      </w:tr>
      <w:tr w:rsidR="00C951F0" w:rsidRPr="00C951F0" w14:paraId="3AC2E879" w14:textId="77777777" w:rsidTr="00934A10">
        <w:tc>
          <w:tcPr>
            <w:tcW w:w="1674" w:type="pct"/>
            <w:tcBorders>
              <w:top w:val="nil"/>
              <w:bottom w:val="single" w:sz="4" w:space="0" w:color="auto"/>
            </w:tcBorders>
          </w:tcPr>
          <w:p w14:paraId="591DBF55" w14:textId="6BC87D05"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Change from baseline to week 68</w:t>
            </w:r>
            <w:r w:rsidR="006C2D21" w:rsidRPr="00C951F0">
              <w:rPr>
                <w:rFonts w:cs="Arial"/>
                <w:color w:val="000000" w:themeColor="text1"/>
                <w:sz w:val="20"/>
                <w:szCs w:val="20"/>
              </w:rPr>
              <w:t xml:space="preserve"> — kg/m</w:t>
            </w:r>
            <w:r w:rsidR="006C2D21" w:rsidRPr="0037035E">
              <w:rPr>
                <w:rFonts w:cs="Arial"/>
                <w:color w:val="000000" w:themeColor="text1"/>
                <w:sz w:val="20"/>
                <w:szCs w:val="20"/>
                <w:vertAlign w:val="superscript"/>
              </w:rPr>
              <w:t>2</w:t>
            </w:r>
            <w:r w:rsidR="00CE771D">
              <w:rPr>
                <w:rFonts w:cs="Arial"/>
                <w:color w:val="000000" w:themeColor="text1"/>
                <w:sz w:val="20"/>
                <w:szCs w:val="20"/>
              </w:rPr>
              <w:t xml:space="preserve"> (SE)</w:t>
            </w:r>
          </w:p>
        </w:tc>
        <w:tc>
          <w:tcPr>
            <w:tcW w:w="526" w:type="pct"/>
            <w:tcBorders>
              <w:top w:val="nil"/>
              <w:bottom w:val="single" w:sz="4" w:space="0" w:color="auto"/>
            </w:tcBorders>
          </w:tcPr>
          <w:p w14:paraId="1BA687CC" w14:textId="2FEBF2BC"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3</w:t>
            </w:r>
            <w:r w:rsidR="00C5236B" w:rsidRPr="00C951F0">
              <w:rPr>
                <w:color w:val="000000" w:themeColor="text1"/>
                <w:sz w:val="20"/>
                <w:szCs w:val="20"/>
              </w:rPr>
              <w:t>·</w:t>
            </w:r>
            <w:r w:rsidR="00B1644A" w:rsidRPr="00C951F0">
              <w:rPr>
                <w:color w:val="000000" w:themeColor="text1"/>
                <w:sz w:val="20"/>
                <w:szCs w:val="20"/>
              </w:rPr>
              <w:t>5</w:t>
            </w:r>
            <w:r w:rsidR="00CE771D">
              <w:rPr>
                <w:color w:val="000000" w:themeColor="text1"/>
                <w:sz w:val="20"/>
                <w:szCs w:val="20"/>
              </w:rPr>
              <w:t xml:space="preserve"> (0.1)</w:t>
            </w:r>
          </w:p>
        </w:tc>
        <w:tc>
          <w:tcPr>
            <w:tcW w:w="526" w:type="pct"/>
            <w:tcBorders>
              <w:top w:val="nil"/>
              <w:bottom w:val="single" w:sz="4" w:space="0" w:color="auto"/>
            </w:tcBorders>
          </w:tcPr>
          <w:p w14:paraId="6BE292E1" w14:textId="1FCDD86E"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2</w:t>
            </w:r>
            <w:r w:rsidR="00C5236B" w:rsidRPr="00C951F0">
              <w:rPr>
                <w:color w:val="000000" w:themeColor="text1"/>
                <w:sz w:val="20"/>
                <w:szCs w:val="20"/>
              </w:rPr>
              <w:t>·</w:t>
            </w:r>
            <w:r w:rsidR="00B1644A" w:rsidRPr="00C951F0">
              <w:rPr>
                <w:color w:val="000000" w:themeColor="text1"/>
                <w:sz w:val="20"/>
                <w:szCs w:val="20"/>
              </w:rPr>
              <w:t>5</w:t>
            </w:r>
            <w:r w:rsidR="00CE771D">
              <w:rPr>
                <w:color w:val="000000" w:themeColor="text1"/>
                <w:sz w:val="20"/>
                <w:szCs w:val="20"/>
              </w:rPr>
              <w:t xml:space="preserve"> (0.1)</w:t>
            </w:r>
          </w:p>
        </w:tc>
        <w:tc>
          <w:tcPr>
            <w:tcW w:w="524" w:type="pct"/>
            <w:tcBorders>
              <w:top w:val="nil"/>
              <w:bottom w:val="single" w:sz="4" w:space="0" w:color="auto"/>
            </w:tcBorders>
          </w:tcPr>
          <w:p w14:paraId="5A0A4DF2" w14:textId="6B26F3DA"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1</w:t>
            </w:r>
            <w:r w:rsidR="00C5236B" w:rsidRPr="00C951F0">
              <w:rPr>
                <w:color w:val="000000" w:themeColor="text1"/>
                <w:sz w:val="20"/>
                <w:szCs w:val="20"/>
              </w:rPr>
              <w:t>·</w:t>
            </w:r>
            <w:r w:rsidR="00B1644A" w:rsidRPr="00C951F0">
              <w:rPr>
                <w:color w:val="000000" w:themeColor="text1"/>
                <w:sz w:val="20"/>
                <w:szCs w:val="20"/>
              </w:rPr>
              <w:t>3</w:t>
            </w:r>
            <w:r w:rsidR="00CE771D">
              <w:rPr>
                <w:color w:val="000000" w:themeColor="text1"/>
                <w:sz w:val="20"/>
                <w:szCs w:val="20"/>
              </w:rPr>
              <w:t xml:space="preserve"> (0.1)</w:t>
            </w:r>
          </w:p>
        </w:tc>
        <w:tc>
          <w:tcPr>
            <w:tcW w:w="1750" w:type="pct"/>
            <w:tcBorders>
              <w:top w:val="nil"/>
              <w:bottom w:val="single" w:sz="4" w:space="0" w:color="auto"/>
            </w:tcBorders>
          </w:tcPr>
          <w:p w14:paraId="0ADC26A3" w14:textId="5BB91BD2"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 (kg/m</w:t>
            </w:r>
            <w:r w:rsidRPr="00C951F0">
              <w:rPr>
                <w:color w:val="000000" w:themeColor="text1"/>
                <w:sz w:val="20"/>
                <w:szCs w:val="20"/>
                <w:vertAlign w:val="superscript"/>
              </w:rPr>
              <w:t>2</w:t>
            </w:r>
            <w:r w:rsidRPr="00C951F0">
              <w:rPr>
                <w:color w:val="000000" w:themeColor="text1"/>
                <w:sz w:val="20"/>
                <w:szCs w:val="20"/>
              </w:rPr>
              <w:t>)</w:t>
            </w:r>
            <w:r w:rsidR="00C921B3" w:rsidRPr="00C951F0">
              <w:rPr>
                <w:color w:val="000000" w:themeColor="text1"/>
                <w:sz w:val="20"/>
                <w:szCs w:val="20"/>
              </w:rPr>
              <w:t>;</w:t>
            </w:r>
            <w:r w:rsidRPr="00C951F0">
              <w:rPr>
                <w:color w:val="000000" w:themeColor="text1"/>
                <w:sz w:val="20"/>
                <w:szCs w:val="20"/>
              </w:rPr>
              <w:t xml:space="preserve"> ETD: </w:t>
            </w:r>
            <w:r w:rsidR="00236FEA" w:rsidRPr="00C951F0">
              <w:rPr>
                <w:color w:val="000000" w:themeColor="text1"/>
                <w:sz w:val="20"/>
                <w:szCs w:val="20"/>
              </w:rPr>
              <w:t>−</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 xml:space="preserve">0 </w:t>
            </w:r>
            <w:r w:rsidR="00433982" w:rsidRPr="00C951F0">
              <w:rPr>
                <w:color w:val="000000" w:themeColor="text1"/>
                <w:sz w:val="20"/>
                <w:szCs w:val="20"/>
              </w:rPr>
              <w:t>(</w:t>
            </w:r>
            <w:r w:rsidR="00236FEA" w:rsidRPr="00C951F0">
              <w:rPr>
                <w:color w:val="000000" w:themeColor="text1"/>
                <w:sz w:val="20"/>
                <w:szCs w:val="20"/>
              </w:rPr>
              <w:t>−</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3</w:t>
            </w:r>
            <w:r w:rsidR="00227D23" w:rsidRPr="00C951F0">
              <w:rPr>
                <w:color w:val="000000" w:themeColor="text1"/>
                <w:sz w:val="20"/>
                <w:szCs w:val="20"/>
              </w:rPr>
              <w:t xml:space="preserve"> to</w:t>
            </w:r>
            <w:r w:rsidRPr="00C951F0">
              <w:rPr>
                <w:color w:val="000000" w:themeColor="text1"/>
                <w:sz w:val="20"/>
                <w:szCs w:val="20"/>
              </w:rPr>
              <w:t xml:space="preserve"> </w:t>
            </w:r>
            <w:r w:rsidR="00B81AAF" w:rsidRPr="00C951F0">
              <w:rPr>
                <w:color w:val="000000" w:themeColor="text1"/>
                <w:sz w:val="20"/>
                <w:szCs w:val="20"/>
              </w:rPr>
              <w:t>−</w:t>
            </w: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6</w:t>
            </w:r>
            <w:r w:rsidR="00433982" w:rsidRPr="00C951F0">
              <w:rPr>
                <w:color w:val="000000" w:themeColor="text1"/>
                <w:sz w:val="20"/>
                <w:szCs w:val="20"/>
              </w:rPr>
              <w:t>)</w:t>
            </w:r>
          </w:p>
        </w:tc>
      </w:tr>
      <w:tr w:rsidR="00C951F0" w:rsidRPr="00C951F0" w14:paraId="5519BF52" w14:textId="77777777" w:rsidTr="00934A10">
        <w:tc>
          <w:tcPr>
            <w:tcW w:w="1674" w:type="pct"/>
            <w:tcBorders>
              <w:top w:val="single" w:sz="4" w:space="0" w:color="auto"/>
              <w:bottom w:val="nil"/>
            </w:tcBorders>
          </w:tcPr>
          <w:p w14:paraId="56C8161D" w14:textId="0936EE6D" w:rsidR="003E71DC" w:rsidRPr="00C951F0" w:rsidDel="003E71DC" w:rsidRDefault="003E71DC" w:rsidP="00934A10">
            <w:pPr>
              <w:spacing w:line="240" w:lineRule="auto"/>
              <w:rPr>
                <w:color w:val="000000" w:themeColor="text1"/>
                <w:sz w:val="20"/>
                <w:szCs w:val="20"/>
              </w:rPr>
            </w:pPr>
            <w:r w:rsidRPr="00C951F0">
              <w:rPr>
                <w:color w:val="000000" w:themeColor="text1"/>
                <w:sz w:val="20"/>
                <w:szCs w:val="20"/>
              </w:rPr>
              <w:t>HbA</w:t>
            </w:r>
            <w:r w:rsidRPr="00C951F0">
              <w:rPr>
                <w:color w:val="000000" w:themeColor="text1"/>
                <w:sz w:val="20"/>
                <w:szCs w:val="20"/>
                <w:vertAlign w:val="subscript"/>
              </w:rPr>
              <w:t>1c</w:t>
            </w:r>
            <w:r w:rsidRPr="00C951F0">
              <w:rPr>
                <w:color w:val="000000" w:themeColor="text1"/>
                <w:sz w:val="20"/>
                <w:szCs w:val="20"/>
              </w:rPr>
              <w:t xml:space="preserve"> ≤6·5%</w:t>
            </w:r>
          </w:p>
        </w:tc>
        <w:tc>
          <w:tcPr>
            <w:tcW w:w="526" w:type="pct"/>
            <w:tcBorders>
              <w:top w:val="single" w:sz="4" w:space="0" w:color="auto"/>
              <w:bottom w:val="nil"/>
            </w:tcBorders>
          </w:tcPr>
          <w:p w14:paraId="5505431B" w14:textId="77777777" w:rsidR="003E71DC" w:rsidRPr="00C951F0" w:rsidDel="003E71DC" w:rsidRDefault="003E71DC" w:rsidP="0039543A">
            <w:pPr>
              <w:spacing w:line="240" w:lineRule="auto"/>
              <w:jc w:val="center"/>
              <w:rPr>
                <w:color w:val="000000" w:themeColor="text1"/>
                <w:sz w:val="20"/>
                <w:szCs w:val="20"/>
              </w:rPr>
            </w:pPr>
          </w:p>
        </w:tc>
        <w:tc>
          <w:tcPr>
            <w:tcW w:w="526" w:type="pct"/>
            <w:tcBorders>
              <w:top w:val="single" w:sz="4" w:space="0" w:color="auto"/>
              <w:bottom w:val="nil"/>
            </w:tcBorders>
          </w:tcPr>
          <w:p w14:paraId="45EC4437" w14:textId="77777777" w:rsidR="003E71DC" w:rsidRPr="00C951F0" w:rsidDel="003E71DC" w:rsidRDefault="003E71DC" w:rsidP="0039543A">
            <w:pPr>
              <w:spacing w:line="240" w:lineRule="auto"/>
              <w:jc w:val="center"/>
              <w:rPr>
                <w:color w:val="000000" w:themeColor="text1"/>
                <w:sz w:val="20"/>
                <w:szCs w:val="20"/>
              </w:rPr>
            </w:pPr>
          </w:p>
        </w:tc>
        <w:tc>
          <w:tcPr>
            <w:tcW w:w="524" w:type="pct"/>
            <w:tcBorders>
              <w:top w:val="single" w:sz="4" w:space="0" w:color="auto"/>
              <w:bottom w:val="nil"/>
            </w:tcBorders>
          </w:tcPr>
          <w:p w14:paraId="1401D0EB" w14:textId="77777777" w:rsidR="003E71DC" w:rsidRPr="00C951F0" w:rsidDel="003E71DC" w:rsidRDefault="003E71DC" w:rsidP="0039543A">
            <w:pPr>
              <w:spacing w:line="240" w:lineRule="auto"/>
              <w:jc w:val="center"/>
              <w:rPr>
                <w:color w:val="000000" w:themeColor="text1"/>
                <w:sz w:val="20"/>
                <w:szCs w:val="20"/>
              </w:rPr>
            </w:pPr>
          </w:p>
        </w:tc>
        <w:tc>
          <w:tcPr>
            <w:tcW w:w="1750" w:type="pct"/>
            <w:tcBorders>
              <w:top w:val="single" w:sz="4" w:space="0" w:color="auto"/>
              <w:bottom w:val="nil"/>
            </w:tcBorders>
          </w:tcPr>
          <w:p w14:paraId="24B8802B" w14:textId="77777777" w:rsidR="003E71DC" w:rsidRPr="00C951F0" w:rsidDel="003E71DC" w:rsidRDefault="003E71DC" w:rsidP="0039543A">
            <w:pPr>
              <w:spacing w:line="240" w:lineRule="auto"/>
              <w:rPr>
                <w:color w:val="000000" w:themeColor="text1"/>
                <w:sz w:val="20"/>
                <w:szCs w:val="20"/>
              </w:rPr>
            </w:pPr>
          </w:p>
        </w:tc>
      </w:tr>
      <w:tr w:rsidR="00C25CC5" w:rsidRPr="00C951F0" w14:paraId="3139F1E5" w14:textId="77777777" w:rsidTr="00934A10">
        <w:tc>
          <w:tcPr>
            <w:tcW w:w="1674" w:type="pct"/>
            <w:tcBorders>
              <w:top w:val="nil"/>
              <w:bottom w:val="nil"/>
            </w:tcBorders>
          </w:tcPr>
          <w:p w14:paraId="15CDB594" w14:textId="17019963" w:rsidR="00C25CC5" w:rsidRPr="00C951F0" w:rsidRDefault="00C25CC5"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0FBB9B0D" w14:textId="7EF8E5EF" w:rsidR="00C25CC5" w:rsidRPr="00C951F0" w:rsidRDefault="00C25CC5" w:rsidP="0039543A">
            <w:pPr>
              <w:spacing w:line="240" w:lineRule="auto"/>
              <w:jc w:val="center"/>
              <w:rPr>
                <w:color w:val="000000" w:themeColor="text1"/>
                <w:sz w:val="20"/>
                <w:szCs w:val="20"/>
              </w:rPr>
            </w:pPr>
            <w:r>
              <w:rPr>
                <w:color w:val="000000" w:themeColor="text1"/>
                <w:sz w:val="20"/>
                <w:szCs w:val="20"/>
              </w:rPr>
              <w:t>381</w:t>
            </w:r>
          </w:p>
        </w:tc>
        <w:tc>
          <w:tcPr>
            <w:tcW w:w="526" w:type="pct"/>
            <w:tcBorders>
              <w:top w:val="nil"/>
              <w:bottom w:val="nil"/>
            </w:tcBorders>
          </w:tcPr>
          <w:p w14:paraId="2B38029D" w14:textId="0F53E276" w:rsidR="00C25CC5" w:rsidRPr="00C951F0" w:rsidRDefault="00C25CC5" w:rsidP="0039543A">
            <w:pPr>
              <w:spacing w:line="240" w:lineRule="auto"/>
              <w:jc w:val="center"/>
              <w:rPr>
                <w:color w:val="000000" w:themeColor="text1"/>
                <w:sz w:val="20"/>
                <w:szCs w:val="20"/>
              </w:rPr>
            </w:pPr>
            <w:r>
              <w:rPr>
                <w:color w:val="000000" w:themeColor="text1"/>
                <w:sz w:val="20"/>
                <w:szCs w:val="20"/>
              </w:rPr>
              <w:t>376</w:t>
            </w:r>
          </w:p>
        </w:tc>
        <w:tc>
          <w:tcPr>
            <w:tcW w:w="524" w:type="pct"/>
            <w:tcBorders>
              <w:top w:val="nil"/>
              <w:bottom w:val="nil"/>
            </w:tcBorders>
          </w:tcPr>
          <w:p w14:paraId="1EC9000D" w14:textId="32729108" w:rsidR="00C25CC5" w:rsidRPr="00C951F0" w:rsidRDefault="00C25CC5" w:rsidP="0039543A">
            <w:pPr>
              <w:spacing w:line="240" w:lineRule="auto"/>
              <w:jc w:val="center"/>
              <w:rPr>
                <w:color w:val="000000" w:themeColor="text1"/>
                <w:sz w:val="20"/>
                <w:szCs w:val="20"/>
              </w:rPr>
            </w:pPr>
            <w:r>
              <w:rPr>
                <w:color w:val="000000" w:themeColor="text1"/>
                <w:sz w:val="20"/>
                <w:szCs w:val="20"/>
              </w:rPr>
              <w:t>374</w:t>
            </w:r>
          </w:p>
        </w:tc>
        <w:tc>
          <w:tcPr>
            <w:tcW w:w="1750" w:type="pct"/>
            <w:tcBorders>
              <w:top w:val="nil"/>
              <w:bottom w:val="nil"/>
            </w:tcBorders>
          </w:tcPr>
          <w:p w14:paraId="2013C359" w14:textId="77777777" w:rsidR="00C25CC5" w:rsidRPr="00C951F0" w:rsidRDefault="00C25CC5">
            <w:pPr>
              <w:spacing w:line="240" w:lineRule="auto"/>
              <w:rPr>
                <w:color w:val="000000" w:themeColor="text1"/>
                <w:sz w:val="20"/>
                <w:szCs w:val="20"/>
              </w:rPr>
            </w:pPr>
          </w:p>
        </w:tc>
      </w:tr>
      <w:tr w:rsidR="00C951F0" w:rsidRPr="00C951F0" w14:paraId="77E1C2D0" w14:textId="77777777" w:rsidTr="00934A10">
        <w:tc>
          <w:tcPr>
            <w:tcW w:w="1674" w:type="pct"/>
            <w:tcBorders>
              <w:top w:val="nil"/>
              <w:bottom w:val="nil"/>
            </w:tcBorders>
          </w:tcPr>
          <w:p w14:paraId="2D554DEC" w14:textId="67C78862"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 xml:space="preserve">Proportion of patients </w:t>
            </w:r>
            <w:r w:rsidR="006C2D21" w:rsidRPr="00C951F0">
              <w:rPr>
                <w:rFonts w:cs="Arial"/>
                <w:color w:val="000000" w:themeColor="text1"/>
                <w:sz w:val="20"/>
                <w:szCs w:val="20"/>
              </w:rPr>
              <w:t xml:space="preserve">— </w:t>
            </w:r>
            <w:r w:rsidR="00C25CC5">
              <w:rPr>
                <w:rFonts w:cs="Arial"/>
                <w:color w:val="000000" w:themeColor="text1"/>
                <w:sz w:val="20"/>
                <w:szCs w:val="20"/>
              </w:rPr>
              <w:t>n (</w:t>
            </w:r>
            <w:r w:rsidRPr="00C951F0">
              <w:rPr>
                <w:rFonts w:cs="Arial"/>
                <w:color w:val="000000" w:themeColor="text1"/>
                <w:sz w:val="20"/>
                <w:szCs w:val="20"/>
              </w:rPr>
              <w:t>%</w:t>
            </w:r>
            <w:r w:rsidR="00C25CC5">
              <w:rPr>
                <w:rFonts w:cs="Arial"/>
                <w:color w:val="000000" w:themeColor="text1"/>
                <w:sz w:val="20"/>
                <w:szCs w:val="20"/>
              </w:rPr>
              <w:t>)</w:t>
            </w:r>
            <w:r w:rsidRPr="00C951F0">
              <w:rPr>
                <w:rFonts w:cs="Arial"/>
                <w:color w:val="000000" w:themeColor="text1"/>
                <w:sz w:val="20"/>
                <w:szCs w:val="20"/>
              </w:rPr>
              <w:t xml:space="preserve"> at week 68</w:t>
            </w:r>
          </w:p>
        </w:tc>
        <w:tc>
          <w:tcPr>
            <w:tcW w:w="526" w:type="pct"/>
            <w:tcBorders>
              <w:top w:val="nil"/>
              <w:bottom w:val="nil"/>
            </w:tcBorders>
          </w:tcPr>
          <w:p w14:paraId="27FC9094" w14:textId="5F687BB0" w:rsidR="00B1644A" w:rsidRPr="00C951F0" w:rsidRDefault="00C25CC5" w:rsidP="0039543A">
            <w:pPr>
              <w:spacing w:line="240" w:lineRule="auto"/>
              <w:jc w:val="center"/>
              <w:rPr>
                <w:color w:val="000000" w:themeColor="text1"/>
                <w:sz w:val="20"/>
                <w:szCs w:val="20"/>
              </w:rPr>
            </w:pPr>
            <w:r>
              <w:rPr>
                <w:color w:val="000000" w:themeColor="text1"/>
                <w:sz w:val="20"/>
                <w:szCs w:val="20"/>
              </w:rPr>
              <w:t>257 (</w:t>
            </w:r>
            <w:r w:rsidR="00B1644A" w:rsidRPr="00C951F0">
              <w:rPr>
                <w:color w:val="000000" w:themeColor="text1"/>
                <w:sz w:val="20"/>
                <w:szCs w:val="20"/>
              </w:rPr>
              <w:t>67</w:t>
            </w:r>
            <w:r w:rsidR="00C5236B" w:rsidRPr="00C951F0">
              <w:rPr>
                <w:color w:val="000000" w:themeColor="text1"/>
                <w:sz w:val="20"/>
                <w:szCs w:val="20"/>
              </w:rPr>
              <w:t>·</w:t>
            </w:r>
            <w:r w:rsidR="00B1644A" w:rsidRPr="00C951F0">
              <w:rPr>
                <w:color w:val="000000" w:themeColor="text1"/>
                <w:sz w:val="20"/>
                <w:szCs w:val="20"/>
              </w:rPr>
              <w:t>5</w:t>
            </w:r>
            <w:r>
              <w:rPr>
                <w:color w:val="000000" w:themeColor="text1"/>
                <w:sz w:val="20"/>
                <w:szCs w:val="20"/>
              </w:rPr>
              <w:t>)</w:t>
            </w:r>
          </w:p>
        </w:tc>
        <w:tc>
          <w:tcPr>
            <w:tcW w:w="526" w:type="pct"/>
            <w:tcBorders>
              <w:top w:val="nil"/>
              <w:bottom w:val="nil"/>
            </w:tcBorders>
          </w:tcPr>
          <w:p w14:paraId="7106DAB5" w14:textId="30A74BE5" w:rsidR="00B1644A" w:rsidRPr="00C951F0" w:rsidRDefault="00C25CC5" w:rsidP="0039543A">
            <w:pPr>
              <w:spacing w:line="240" w:lineRule="auto"/>
              <w:jc w:val="center"/>
              <w:rPr>
                <w:color w:val="000000" w:themeColor="text1"/>
                <w:sz w:val="20"/>
                <w:szCs w:val="20"/>
              </w:rPr>
            </w:pPr>
            <w:r>
              <w:rPr>
                <w:color w:val="000000" w:themeColor="text1"/>
                <w:sz w:val="20"/>
                <w:szCs w:val="20"/>
              </w:rPr>
              <w:t>226 (</w:t>
            </w:r>
            <w:r w:rsidR="00B1644A" w:rsidRPr="00C951F0">
              <w:rPr>
                <w:color w:val="000000" w:themeColor="text1"/>
                <w:sz w:val="20"/>
                <w:szCs w:val="20"/>
              </w:rPr>
              <w:t>60</w:t>
            </w:r>
            <w:r w:rsidR="00C5236B" w:rsidRPr="00C951F0">
              <w:rPr>
                <w:color w:val="000000" w:themeColor="text1"/>
                <w:sz w:val="20"/>
                <w:szCs w:val="20"/>
              </w:rPr>
              <w:t>·</w:t>
            </w:r>
            <w:r w:rsidR="00B1644A" w:rsidRPr="00C951F0">
              <w:rPr>
                <w:color w:val="000000" w:themeColor="text1"/>
                <w:sz w:val="20"/>
                <w:szCs w:val="20"/>
              </w:rPr>
              <w:t>1</w:t>
            </w:r>
            <w:r>
              <w:rPr>
                <w:color w:val="000000" w:themeColor="text1"/>
                <w:sz w:val="20"/>
                <w:szCs w:val="20"/>
              </w:rPr>
              <w:t>)</w:t>
            </w:r>
          </w:p>
        </w:tc>
        <w:tc>
          <w:tcPr>
            <w:tcW w:w="524" w:type="pct"/>
            <w:tcBorders>
              <w:top w:val="nil"/>
              <w:bottom w:val="nil"/>
            </w:tcBorders>
          </w:tcPr>
          <w:p w14:paraId="6072B898" w14:textId="7FA1EB0E" w:rsidR="00B1644A" w:rsidRPr="00C951F0" w:rsidRDefault="00C25CC5" w:rsidP="0039543A">
            <w:pPr>
              <w:spacing w:line="240" w:lineRule="auto"/>
              <w:jc w:val="center"/>
              <w:rPr>
                <w:color w:val="000000" w:themeColor="text1"/>
                <w:sz w:val="20"/>
                <w:szCs w:val="20"/>
              </w:rPr>
            </w:pPr>
            <w:r>
              <w:rPr>
                <w:color w:val="000000" w:themeColor="text1"/>
                <w:sz w:val="20"/>
                <w:szCs w:val="20"/>
              </w:rPr>
              <w:t>58 (</w:t>
            </w:r>
            <w:r w:rsidR="00B1644A" w:rsidRPr="00C951F0">
              <w:rPr>
                <w:color w:val="000000" w:themeColor="text1"/>
                <w:sz w:val="20"/>
                <w:szCs w:val="20"/>
              </w:rPr>
              <w:t>15</w:t>
            </w:r>
            <w:r w:rsidR="00C5236B" w:rsidRPr="00C951F0">
              <w:rPr>
                <w:color w:val="000000" w:themeColor="text1"/>
                <w:sz w:val="20"/>
                <w:szCs w:val="20"/>
              </w:rPr>
              <w:t>·</w:t>
            </w:r>
            <w:r w:rsidR="00B1644A" w:rsidRPr="00C951F0">
              <w:rPr>
                <w:color w:val="000000" w:themeColor="text1"/>
                <w:sz w:val="20"/>
                <w:szCs w:val="20"/>
              </w:rPr>
              <w:t>5</w:t>
            </w:r>
            <w:r>
              <w:rPr>
                <w:color w:val="000000" w:themeColor="text1"/>
                <w:sz w:val="20"/>
                <w:szCs w:val="20"/>
              </w:rPr>
              <w:t>)</w:t>
            </w:r>
          </w:p>
        </w:tc>
        <w:tc>
          <w:tcPr>
            <w:tcW w:w="1750" w:type="pct"/>
            <w:tcBorders>
              <w:top w:val="nil"/>
              <w:bottom w:val="nil"/>
            </w:tcBorders>
          </w:tcPr>
          <w:p w14:paraId="2C208D84" w14:textId="24B7408A" w:rsidR="0039543A" w:rsidRPr="00C951F0" w:rsidRDefault="00B1644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placebo</w:t>
            </w:r>
            <w:r w:rsidR="00C921B3" w:rsidRPr="00C951F0">
              <w:rPr>
                <w:color w:val="000000" w:themeColor="text1"/>
                <w:sz w:val="20"/>
                <w:szCs w:val="20"/>
              </w:rPr>
              <w:t>;</w:t>
            </w:r>
            <w:r w:rsidRPr="00C951F0">
              <w:rPr>
                <w:color w:val="000000" w:themeColor="text1"/>
                <w:sz w:val="20"/>
                <w:szCs w:val="20"/>
              </w:rPr>
              <w:t xml:space="preserve"> OR: 10</w:t>
            </w:r>
            <w:r w:rsidR="00C5236B" w:rsidRPr="00C951F0">
              <w:rPr>
                <w:color w:val="000000" w:themeColor="text1"/>
                <w:sz w:val="20"/>
                <w:szCs w:val="20"/>
              </w:rPr>
              <w:t>·</w:t>
            </w:r>
            <w:r w:rsidRPr="00C951F0">
              <w:rPr>
                <w:color w:val="000000" w:themeColor="text1"/>
                <w:sz w:val="20"/>
                <w:szCs w:val="20"/>
              </w:rPr>
              <w:t xml:space="preserve">91 </w:t>
            </w:r>
            <w:r w:rsidR="00433982" w:rsidRPr="00C951F0">
              <w:rPr>
                <w:color w:val="000000" w:themeColor="text1"/>
                <w:sz w:val="20"/>
                <w:szCs w:val="20"/>
              </w:rPr>
              <w:t>(</w:t>
            </w:r>
            <w:r w:rsidRPr="00C951F0">
              <w:rPr>
                <w:color w:val="000000" w:themeColor="text1"/>
                <w:sz w:val="20"/>
                <w:szCs w:val="20"/>
              </w:rPr>
              <w:t>7</w:t>
            </w:r>
            <w:r w:rsidR="00C5236B" w:rsidRPr="00C951F0">
              <w:rPr>
                <w:color w:val="000000" w:themeColor="text1"/>
                <w:sz w:val="20"/>
                <w:szCs w:val="20"/>
              </w:rPr>
              <w:t>·</w:t>
            </w:r>
            <w:r w:rsidRPr="00C951F0">
              <w:rPr>
                <w:color w:val="000000" w:themeColor="text1"/>
                <w:sz w:val="20"/>
                <w:szCs w:val="20"/>
              </w:rPr>
              <w:t>51</w:t>
            </w:r>
            <w:r w:rsidR="00227D23" w:rsidRPr="00C951F0">
              <w:rPr>
                <w:color w:val="000000" w:themeColor="text1"/>
                <w:sz w:val="20"/>
                <w:szCs w:val="20"/>
              </w:rPr>
              <w:t xml:space="preserve"> to</w:t>
            </w:r>
            <w:r w:rsidRPr="00C951F0">
              <w:rPr>
                <w:color w:val="000000" w:themeColor="text1"/>
                <w:sz w:val="20"/>
                <w:szCs w:val="20"/>
              </w:rPr>
              <w:t xml:space="preserve"> 15</w:t>
            </w:r>
            <w:r w:rsidR="00C5236B" w:rsidRPr="00C951F0">
              <w:rPr>
                <w:color w:val="000000" w:themeColor="text1"/>
                <w:sz w:val="20"/>
                <w:szCs w:val="20"/>
              </w:rPr>
              <w:t>·</w:t>
            </w:r>
            <w:r w:rsidRPr="00C951F0">
              <w:rPr>
                <w:color w:val="000000" w:themeColor="text1"/>
                <w:sz w:val="20"/>
                <w:szCs w:val="20"/>
              </w:rPr>
              <w:t>85</w:t>
            </w:r>
            <w:r w:rsidR="00433982" w:rsidRPr="00C951F0">
              <w:rPr>
                <w:color w:val="000000" w:themeColor="text1"/>
                <w:sz w:val="20"/>
                <w:szCs w:val="20"/>
              </w:rPr>
              <w:t>)</w:t>
            </w:r>
          </w:p>
        </w:tc>
      </w:tr>
      <w:tr w:rsidR="00C951F0" w:rsidRPr="00C951F0" w14:paraId="71934768" w14:textId="77777777" w:rsidTr="00934A10">
        <w:tc>
          <w:tcPr>
            <w:tcW w:w="1674" w:type="pct"/>
            <w:tcBorders>
              <w:top w:val="nil"/>
              <w:bottom w:val="single" w:sz="4" w:space="0" w:color="auto"/>
            </w:tcBorders>
          </w:tcPr>
          <w:p w14:paraId="48A78CF0" w14:textId="77777777" w:rsidR="003E71DC" w:rsidRPr="00C951F0" w:rsidDel="003E71DC" w:rsidRDefault="003E71DC" w:rsidP="00934A10">
            <w:pPr>
              <w:spacing w:line="240" w:lineRule="auto"/>
              <w:ind w:left="306"/>
              <w:rPr>
                <w:rFonts w:cs="Arial"/>
                <w:color w:val="000000" w:themeColor="text1"/>
                <w:sz w:val="20"/>
                <w:szCs w:val="20"/>
              </w:rPr>
            </w:pPr>
          </w:p>
        </w:tc>
        <w:tc>
          <w:tcPr>
            <w:tcW w:w="526" w:type="pct"/>
            <w:tcBorders>
              <w:top w:val="nil"/>
              <w:bottom w:val="single" w:sz="4" w:space="0" w:color="auto"/>
            </w:tcBorders>
          </w:tcPr>
          <w:p w14:paraId="5ED6A3A9" w14:textId="77777777" w:rsidR="003E71DC" w:rsidRPr="00C951F0" w:rsidRDefault="003E71DC" w:rsidP="0039543A">
            <w:pPr>
              <w:spacing w:line="240" w:lineRule="auto"/>
              <w:jc w:val="center"/>
              <w:rPr>
                <w:color w:val="000000" w:themeColor="text1"/>
                <w:sz w:val="20"/>
                <w:szCs w:val="20"/>
              </w:rPr>
            </w:pPr>
          </w:p>
        </w:tc>
        <w:tc>
          <w:tcPr>
            <w:tcW w:w="526" w:type="pct"/>
            <w:tcBorders>
              <w:top w:val="nil"/>
              <w:bottom w:val="single" w:sz="4" w:space="0" w:color="auto"/>
            </w:tcBorders>
          </w:tcPr>
          <w:p w14:paraId="6B517E62" w14:textId="77777777" w:rsidR="003E71DC" w:rsidRPr="00C951F0" w:rsidRDefault="003E71DC" w:rsidP="0039543A">
            <w:pPr>
              <w:spacing w:line="240" w:lineRule="auto"/>
              <w:jc w:val="center"/>
              <w:rPr>
                <w:color w:val="000000" w:themeColor="text1"/>
                <w:sz w:val="20"/>
                <w:szCs w:val="20"/>
              </w:rPr>
            </w:pPr>
          </w:p>
        </w:tc>
        <w:tc>
          <w:tcPr>
            <w:tcW w:w="524" w:type="pct"/>
            <w:tcBorders>
              <w:top w:val="nil"/>
              <w:bottom w:val="single" w:sz="4" w:space="0" w:color="auto"/>
            </w:tcBorders>
          </w:tcPr>
          <w:p w14:paraId="306A5656" w14:textId="77777777" w:rsidR="003E71DC" w:rsidRPr="00C951F0" w:rsidRDefault="003E71DC" w:rsidP="0039543A">
            <w:pPr>
              <w:spacing w:line="240" w:lineRule="auto"/>
              <w:jc w:val="center"/>
              <w:rPr>
                <w:color w:val="000000" w:themeColor="text1"/>
                <w:sz w:val="20"/>
                <w:szCs w:val="20"/>
              </w:rPr>
            </w:pPr>
          </w:p>
        </w:tc>
        <w:tc>
          <w:tcPr>
            <w:tcW w:w="1750" w:type="pct"/>
            <w:tcBorders>
              <w:top w:val="nil"/>
              <w:bottom w:val="single" w:sz="4" w:space="0" w:color="auto"/>
            </w:tcBorders>
          </w:tcPr>
          <w:p w14:paraId="7A7EE7E5" w14:textId="661B92D5" w:rsidR="003E71DC" w:rsidRPr="00C951F0" w:rsidRDefault="003E71DC" w:rsidP="0039543A">
            <w:pPr>
              <w:spacing w:line="240" w:lineRule="auto"/>
              <w:rPr>
                <w:color w:val="000000" w:themeColor="text1"/>
                <w:sz w:val="20"/>
                <w:szCs w:val="20"/>
              </w:rPr>
            </w:pPr>
            <w:r w:rsidRPr="00C951F0">
              <w:rPr>
                <w:color w:val="000000" w:themeColor="text1"/>
                <w:sz w:val="20"/>
                <w:szCs w:val="20"/>
              </w:rPr>
              <w:t>Semaglutide 2·4 mg / semaglutide 1·0 mg</w:t>
            </w:r>
            <w:r w:rsidR="00C921B3" w:rsidRPr="00C951F0">
              <w:rPr>
                <w:color w:val="000000" w:themeColor="text1"/>
                <w:sz w:val="20"/>
                <w:szCs w:val="20"/>
              </w:rPr>
              <w:t>;</w:t>
            </w:r>
            <w:r w:rsidRPr="00C951F0">
              <w:rPr>
                <w:color w:val="000000" w:themeColor="text1"/>
                <w:sz w:val="20"/>
                <w:szCs w:val="20"/>
              </w:rPr>
              <w:t xml:space="preserve"> OR: 1·39 </w:t>
            </w:r>
            <w:r w:rsidR="00433982" w:rsidRPr="00C951F0">
              <w:rPr>
                <w:color w:val="000000" w:themeColor="text1"/>
                <w:sz w:val="20"/>
                <w:szCs w:val="20"/>
              </w:rPr>
              <w:t>(</w:t>
            </w:r>
            <w:r w:rsidRPr="00C951F0">
              <w:rPr>
                <w:color w:val="000000" w:themeColor="text1"/>
                <w:sz w:val="20"/>
                <w:szCs w:val="20"/>
              </w:rPr>
              <w:t>1·03 to 1·88</w:t>
            </w:r>
            <w:r w:rsidR="00433982" w:rsidRPr="00C951F0">
              <w:rPr>
                <w:color w:val="000000" w:themeColor="text1"/>
                <w:sz w:val="20"/>
                <w:szCs w:val="20"/>
              </w:rPr>
              <w:t>)</w:t>
            </w:r>
          </w:p>
        </w:tc>
      </w:tr>
      <w:tr w:rsidR="00C951F0" w:rsidRPr="00C951F0" w14:paraId="5953500D" w14:textId="77777777" w:rsidTr="00934A10">
        <w:tc>
          <w:tcPr>
            <w:tcW w:w="1674" w:type="pct"/>
            <w:tcBorders>
              <w:top w:val="single" w:sz="4" w:space="0" w:color="auto"/>
              <w:bottom w:val="nil"/>
            </w:tcBorders>
          </w:tcPr>
          <w:p w14:paraId="7779AA06" w14:textId="4C17F9B2" w:rsidR="003E71DC" w:rsidRPr="00C951F0" w:rsidDel="003E71DC" w:rsidRDefault="003E71DC" w:rsidP="00934A10">
            <w:pPr>
              <w:spacing w:line="240" w:lineRule="auto"/>
              <w:rPr>
                <w:color w:val="000000" w:themeColor="text1"/>
                <w:sz w:val="20"/>
                <w:szCs w:val="20"/>
              </w:rPr>
            </w:pPr>
            <w:r w:rsidRPr="00C951F0">
              <w:rPr>
                <w:color w:val="000000" w:themeColor="text1"/>
                <w:sz w:val="20"/>
                <w:szCs w:val="20"/>
              </w:rPr>
              <w:t>HbA</w:t>
            </w:r>
            <w:r w:rsidRPr="00C951F0">
              <w:rPr>
                <w:color w:val="000000" w:themeColor="text1"/>
                <w:sz w:val="20"/>
                <w:szCs w:val="20"/>
                <w:vertAlign w:val="subscript"/>
              </w:rPr>
              <w:t>1c</w:t>
            </w:r>
            <w:r w:rsidRPr="00C951F0">
              <w:rPr>
                <w:color w:val="000000" w:themeColor="text1"/>
                <w:sz w:val="20"/>
                <w:szCs w:val="20"/>
              </w:rPr>
              <w:t xml:space="preserve"> &lt;7·0%</w:t>
            </w:r>
          </w:p>
        </w:tc>
        <w:tc>
          <w:tcPr>
            <w:tcW w:w="526" w:type="pct"/>
            <w:tcBorders>
              <w:top w:val="single" w:sz="4" w:space="0" w:color="auto"/>
              <w:bottom w:val="nil"/>
            </w:tcBorders>
          </w:tcPr>
          <w:p w14:paraId="117CADB5" w14:textId="77777777" w:rsidR="003E71DC" w:rsidRPr="00C951F0" w:rsidRDefault="003E71DC" w:rsidP="0039543A">
            <w:pPr>
              <w:spacing w:line="240" w:lineRule="auto"/>
              <w:jc w:val="center"/>
              <w:rPr>
                <w:color w:val="000000" w:themeColor="text1"/>
                <w:sz w:val="20"/>
                <w:szCs w:val="20"/>
              </w:rPr>
            </w:pPr>
          </w:p>
        </w:tc>
        <w:tc>
          <w:tcPr>
            <w:tcW w:w="526" w:type="pct"/>
            <w:tcBorders>
              <w:top w:val="single" w:sz="4" w:space="0" w:color="auto"/>
              <w:bottom w:val="nil"/>
            </w:tcBorders>
          </w:tcPr>
          <w:p w14:paraId="7720A03D" w14:textId="77777777" w:rsidR="003E71DC" w:rsidRPr="00C951F0" w:rsidRDefault="003E71DC" w:rsidP="0039543A">
            <w:pPr>
              <w:spacing w:line="240" w:lineRule="auto"/>
              <w:jc w:val="center"/>
              <w:rPr>
                <w:color w:val="000000" w:themeColor="text1"/>
                <w:sz w:val="20"/>
                <w:szCs w:val="20"/>
              </w:rPr>
            </w:pPr>
          </w:p>
        </w:tc>
        <w:tc>
          <w:tcPr>
            <w:tcW w:w="524" w:type="pct"/>
            <w:tcBorders>
              <w:top w:val="single" w:sz="4" w:space="0" w:color="auto"/>
              <w:bottom w:val="nil"/>
            </w:tcBorders>
          </w:tcPr>
          <w:p w14:paraId="39B039CC" w14:textId="77777777" w:rsidR="003E71DC" w:rsidRPr="00C951F0" w:rsidRDefault="003E71DC" w:rsidP="0039543A">
            <w:pPr>
              <w:spacing w:line="240" w:lineRule="auto"/>
              <w:jc w:val="center"/>
              <w:rPr>
                <w:color w:val="000000" w:themeColor="text1"/>
                <w:sz w:val="20"/>
                <w:szCs w:val="20"/>
              </w:rPr>
            </w:pPr>
          </w:p>
        </w:tc>
        <w:tc>
          <w:tcPr>
            <w:tcW w:w="1750" w:type="pct"/>
            <w:tcBorders>
              <w:top w:val="single" w:sz="4" w:space="0" w:color="auto"/>
              <w:bottom w:val="nil"/>
            </w:tcBorders>
          </w:tcPr>
          <w:p w14:paraId="38A627D8" w14:textId="77777777" w:rsidR="003E71DC" w:rsidRPr="00C951F0" w:rsidRDefault="003E71DC" w:rsidP="0039543A">
            <w:pPr>
              <w:spacing w:line="240" w:lineRule="auto"/>
              <w:rPr>
                <w:color w:val="000000" w:themeColor="text1"/>
                <w:sz w:val="20"/>
                <w:szCs w:val="20"/>
              </w:rPr>
            </w:pPr>
          </w:p>
        </w:tc>
      </w:tr>
      <w:tr w:rsidR="00C25CC5" w:rsidRPr="00C951F0" w14:paraId="31F0FF59" w14:textId="77777777" w:rsidTr="00934A10">
        <w:tc>
          <w:tcPr>
            <w:tcW w:w="1674" w:type="pct"/>
            <w:tcBorders>
              <w:top w:val="nil"/>
              <w:bottom w:val="nil"/>
            </w:tcBorders>
          </w:tcPr>
          <w:p w14:paraId="0F8C92CE" w14:textId="0580C84F" w:rsidR="00C25CC5" w:rsidRPr="00C951F0" w:rsidRDefault="00C25CC5"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1EE8981E" w14:textId="55B64E0F" w:rsidR="00C25CC5" w:rsidRPr="00C951F0" w:rsidRDefault="00C25CC5" w:rsidP="0039543A">
            <w:pPr>
              <w:spacing w:line="240" w:lineRule="auto"/>
              <w:jc w:val="center"/>
              <w:rPr>
                <w:color w:val="000000" w:themeColor="text1"/>
                <w:sz w:val="20"/>
                <w:szCs w:val="20"/>
              </w:rPr>
            </w:pPr>
            <w:r>
              <w:rPr>
                <w:color w:val="000000" w:themeColor="text1"/>
                <w:sz w:val="20"/>
                <w:szCs w:val="20"/>
              </w:rPr>
              <w:t>381</w:t>
            </w:r>
          </w:p>
        </w:tc>
        <w:tc>
          <w:tcPr>
            <w:tcW w:w="526" w:type="pct"/>
            <w:tcBorders>
              <w:top w:val="nil"/>
              <w:bottom w:val="nil"/>
            </w:tcBorders>
          </w:tcPr>
          <w:p w14:paraId="5C2081FA" w14:textId="70169125" w:rsidR="00C25CC5" w:rsidRPr="00C951F0" w:rsidRDefault="00C25CC5" w:rsidP="0039543A">
            <w:pPr>
              <w:spacing w:line="240" w:lineRule="auto"/>
              <w:jc w:val="center"/>
              <w:rPr>
                <w:color w:val="000000" w:themeColor="text1"/>
                <w:sz w:val="20"/>
                <w:szCs w:val="20"/>
              </w:rPr>
            </w:pPr>
            <w:r>
              <w:rPr>
                <w:color w:val="000000" w:themeColor="text1"/>
                <w:sz w:val="20"/>
                <w:szCs w:val="20"/>
              </w:rPr>
              <w:t>376</w:t>
            </w:r>
          </w:p>
        </w:tc>
        <w:tc>
          <w:tcPr>
            <w:tcW w:w="524" w:type="pct"/>
            <w:tcBorders>
              <w:top w:val="nil"/>
              <w:bottom w:val="nil"/>
            </w:tcBorders>
          </w:tcPr>
          <w:p w14:paraId="66272DCF" w14:textId="4BCFA019" w:rsidR="00C25CC5" w:rsidRPr="00C951F0" w:rsidRDefault="00C25CC5" w:rsidP="0039543A">
            <w:pPr>
              <w:spacing w:line="240" w:lineRule="auto"/>
              <w:jc w:val="center"/>
              <w:rPr>
                <w:color w:val="000000" w:themeColor="text1"/>
                <w:sz w:val="20"/>
                <w:szCs w:val="20"/>
              </w:rPr>
            </w:pPr>
            <w:r>
              <w:rPr>
                <w:color w:val="000000" w:themeColor="text1"/>
                <w:sz w:val="20"/>
                <w:szCs w:val="20"/>
              </w:rPr>
              <w:t>374</w:t>
            </w:r>
          </w:p>
        </w:tc>
        <w:tc>
          <w:tcPr>
            <w:tcW w:w="1750" w:type="pct"/>
            <w:tcBorders>
              <w:top w:val="nil"/>
              <w:bottom w:val="nil"/>
            </w:tcBorders>
          </w:tcPr>
          <w:p w14:paraId="08153DD0" w14:textId="77777777" w:rsidR="00C25CC5" w:rsidRPr="00C951F0" w:rsidRDefault="00C25CC5">
            <w:pPr>
              <w:spacing w:line="240" w:lineRule="auto"/>
              <w:rPr>
                <w:color w:val="000000" w:themeColor="text1"/>
                <w:sz w:val="20"/>
                <w:szCs w:val="20"/>
              </w:rPr>
            </w:pPr>
          </w:p>
        </w:tc>
      </w:tr>
      <w:tr w:rsidR="00C951F0" w:rsidRPr="00C951F0" w14:paraId="245392EF" w14:textId="77777777" w:rsidTr="00934A10">
        <w:tc>
          <w:tcPr>
            <w:tcW w:w="1674" w:type="pct"/>
            <w:tcBorders>
              <w:top w:val="nil"/>
              <w:bottom w:val="nil"/>
            </w:tcBorders>
          </w:tcPr>
          <w:p w14:paraId="1121D867" w14:textId="1F7FB4EE" w:rsidR="00B1644A" w:rsidRPr="00C951F0" w:rsidRDefault="00B1644A" w:rsidP="00934A10">
            <w:pPr>
              <w:spacing w:line="240" w:lineRule="auto"/>
              <w:ind w:left="306"/>
              <w:rPr>
                <w:color w:val="000000" w:themeColor="text1"/>
                <w:sz w:val="20"/>
                <w:szCs w:val="20"/>
              </w:rPr>
            </w:pPr>
            <w:r w:rsidRPr="00C951F0">
              <w:rPr>
                <w:rFonts w:cs="Arial"/>
                <w:color w:val="000000" w:themeColor="text1"/>
                <w:sz w:val="20"/>
                <w:szCs w:val="20"/>
              </w:rPr>
              <w:t xml:space="preserve">Proportion of patients </w:t>
            </w:r>
            <w:r w:rsidR="006C2D21" w:rsidRPr="00C951F0">
              <w:rPr>
                <w:rFonts w:cs="Arial"/>
                <w:color w:val="000000" w:themeColor="text1"/>
                <w:sz w:val="20"/>
                <w:szCs w:val="20"/>
              </w:rPr>
              <w:t xml:space="preserve">— </w:t>
            </w:r>
            <w:r w:rsidR="00C25CC5">
              <w:rPr>
                <w:rFonts w:cs="Arial"/>
                <w:color w:val="000000" w:themeColor="text1"/>
                <w:sz w:val="20"/>
                <w:szCs w:val="20"/>
              </w:rPr>
              <w:t>n (</w:t>
            </w:r>
            <w:r w:rsidRPr="00C951F0">
              <w:rPr>
                <w:rFonts w:cs="Arial"/>
                <w:color w:val="000000" w:themeColor="text1"/>
                <w:sz w:val="20"/>
                <w:szCs w:val="20"/>
              </w:rPr>
              <w:t>%</w:t>
            </w:r>
            <w:r w:rsidR="00C25CC5">
              <w:rPr>
                <w:rFonts w:cs="Arial"/>
                <w:color w:val="000000" w:themeColor="text1"/>
                <w:sz w:val="20"/>
                <w:szCs w:val="20"/>
              </w:rPr>
              <w:t>)</w:t>
            </w:r>
            <w:r w:rsidRPr="00C951F0">
              <w:rPr>
                <w:rFonts w:cs="Arial"/>
                <w:color w:val="000000" w:themeColor="text1"/>
                <w:sz w:val="20"/>
                <w:szCs w:val="20"/>
              </w:rPr>
              <w:t xml:space="preserve"> at week 68</w:t>
            </w:r>
          </w:p>
        </w:tc>
        <w:tc>
          <w:tcPr>
            <w:tcW w:w="526" w:type="pct"/>
            <w:tcBorders>
              <w:top w:val="nil"/>
              <w:bottom w:val="nil"/>
            </w:tcBorders>
          </w:tcPr>
          <w:p w14:paraId="391F3922" w14:textId="2171C230" w:rsidR="00B1644A" w:rsidRPr="00C951F0" w:rsidRDefault="00C25CC5" w:rsidP="0039543A">
            <w:pPr>
              <w:spacing w:line="240" w:lineRule="auto"/>
              <w:jc w:val="center"/>
              <w:rPr>
                <w:color w:val="000000" w:themeColor="text1"/>
                <w:sz w:val="20"/>
                <w:szCs w:val="20"/>
              </w:rPr>
            </w:pPr>
            <w:r>
              <w:rPr>
                <w:color w:val="000000" w:themeColor="text1"/>
                <w:sz w:val="20"/>
                <w:szCs w:val="20"/>
              </w:rPr>
              <w:t>299 (</w:t>
            </w:r>
            <w:r w:rsidR="00B1644A" w:rsidRPr="00C951F0">
              <w:rPr>
                <w:color w:val="000000" w:themeColor="text1"/>
                <w:sz w:val="20"/>
                <w:szCs w:val="20"/>
              </w:rPr>
              <w:t>78</w:t>
            </w:r>
            <w:r w:rsidR="00C5236B" w:rsidRPr="00C951F0">
              <w:rPr>
                <w:color w:val="000000" w:themeColor="text1"/>
                <w:sz w:val="20"/>
                <w:szCs w:val="20"/>
              </w:rPr>
              <w:t>·</w:t>
            </w:r>
            <w:r w:rsidR="00B1644A" w:rsidRPr="00C951F0">
              <w:rPr>
                <w:color w:val="000000" w:themeColor="text1"/>
                <w:sz w:val="20"/>
                <w:szCs w:val="20"/>
              </w:rPr>
              <w:t>5</w:t>
            </w:r>
            <w:r>
              <w:rPr>
                <w:color w:val="000000" w:themeColor="text1"/>
                <w:sz w:val="20"/>
                <w:szCs w:val="20"/>
              </w:rPr>
              <w:t>)</w:t>
            </w:r>
          </w:p>
        </w:tc>
        <w:tc>
          <w:tcPr>
            <w:tcW w:w="526" w:type="pct"/>
            <w:tcBorders>
              <w:top w:val="nil"/>
              <w:bottom w:val="nil"/>
            </w:tcBorders>
          </w:tcPr>
          <w:p w14:paraId="056ED363" w14:textId="72EA45D7" w:rsidR="00B1644A" w:rsidRPr="00C951F0" w:rsidRDefault="00C25CC5" w:rsidP="0039543A">
            <w:pPr>
              <w:spacing w:line="240" w:lineRule="auto"/>
              <w:jc w:val="center"/>
              <w:rPr>
                <w:color w:val="000000" w:themeColor="text1"/>
                <w:sz w:val="20"/>
                <w:szCs w:val="20"/>
              </w:rPr>
            </w:pPr>
            <w:r>
              <w:rPr>
                <w:color w:val="000000" w:themeColor="text1"/>
                <w:sz w:val="20"/>
                <w:szCs w:val="20"/>
              </w:rPr>
              <w:t>272 (</w:t>
            </w:r>
            <w:r w:rsidR="00B1644A" w:rsidRPr="00C951F0">
              <w:rPr>
                <w:color w:val="000000" w:themeColor="text1"/>
                <w:sz w:val="20"/>
                <w:szCs w:val="20"/>
              </w:rPr>
              <w:t>72</w:t>
            </w:r>
            <w:r w:rsidR="00C5236B" w:rsidRPr="00C951F0">
              <w:rPr>
                <w:color w:val="000000" w:themeColor="text1"/>
                <w:sz w:val="20"/>
                <w:szCs w:val="20"/>
              </w:rPr>
              <w:t>·</w:t>
            </w:r>
            <w:r w:rsidR="00B1644A" w:rsidRPr="00C951F0">
              <w:rPr>
                <w:color w:val="000000" w:themeColor="text1"/>
                <w:sz w:val="20"/>
                <w:szCs w:val="20"/>
              </w:rPr>
              <w:t>3</w:t>
            </w:r>
            <w:r>
              <w:rPr>
                <w:color w:val="000000" w:themeColor="text1"/>
                <w:sz w:val="20"/>
                <w:szCs w:val="20"/>
              </w:rPr>
              <w:t>)</w:t>
            </w:r>
          </w:p>
        </w:tc>
        <w:tc>
          <w:tcPr>
            <w:tcW w:w="524" w:type="pct"/>
            <w:tcBorders>
              <w:top w:val="nil"/>
              <w:bottom w:val="nil"/>
            </w:tcBorders>
          </w:tcPr>
          <w:p w14:paraId="0B50C6F8" w14:textId="68A4E539" w:rsidR="00B1644A" w:rsidRPr="00C951F0" w:rsidRDefault="00C25CC5" w:rsidP="0039543A">
            <w:pPr>
              <w:spacing w:line="240" w:lineRule="auto"/>
              <w:jc w:val="center"/>
              <w:rPr>
                <w:color w:val="000000" w:themeColor="text1"/>
                <w:sz w:val="20"/>
                <w:szCs w:val="20"/>
              </w:rPr>
            </w:pPr>
            <w:r>
              <w:rPr>
                <w:color w:val="000000" w:themeColor="text1"/>
                <w:sz w:val="20"/>
                <w:szCs w:val="20"/>
              </w:rPr>
              <w:t>99 (</w:t>
            </w:r>
            <w:r w:rsidR="00B1644A" w:rsidRPr="00C951F0">
              <w:rPr>
                <w:color w:val="000000" w:themeColor="text1"/>
                <w:sz w:val="20"/>
                <w:szCs w:val="20"/>
              </w:rPr>
              <w:t>26</w:t>
            </w:r>
            <w:r w:rsidR="00C5236B" w:rsidRPr="00C951F0">
              <w:rPr>
                <w:color w:val="000000" w:themeColor="text1"/>
                <w:sz w:val="20"/>
                <w:szCs w:val="20"/>
              </w:rPr>
              <w:t>·</w:t>
            </w:r>
            <w:r w:rsidR="00B1644A" w:rsidRPr="00C951F0">
              <w:rPr>
                <w:color w:val="000000" w:themeColor="text1"/>
                <w:sz w:val="20"/>
                <w:szCs w:val="20"/>
              </w:rPr>
              <w:t>5</w:t>
            </w:r>
            <w:r>
              <w:rPr>
                <w:color w:val="000000" w:themeColor="text1"/>
                <w:sz w:val="20"/>
                <w:szCs w:val="20"/>
              </w:rPr>
              <w:t>)</w:t>
            </w:r>
          </w:p>
        </w:tc>
        <w:tc>
          <w:tcPr>
            <w:tcW w:w="1750" w:type="pct"/>
            <w:tcBorders>
              <w:top w:val="nil"/>
              <w:bottom w:val="nil"/>
            </w:tcBorders>
          </w:tcPr>
          <w:p w14:paraId="34EDDD67" w14:textId="30523949" w:rsidR="0039543A" w:rsidRPr="00C951F0" w:rsidRDefault="00B1644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placebo</w:t>
            </w:r>
            <w:r w:rsidR="00C921B3" w:rsidRPr="00C951F0">
              <w:rPr>
                <w:color w:val="000000" w:themeColor="text1"/>
                <w:sz w:val="20"/>
                <w:szCs w:val="20"/>
              </w:rPr>
              <w:t>;</w:t>
            </w:r>
            <w:r w:rsidRPr="00C951F0">
              <w:rPr>
                <w:color w:val="000000" w:themeColor="text1"/>
                <w:sz w:val="20"/>
                <w:szCs w:val="20"/>
              </w:rPr>
              <w:t xml:space="preserve"> OR: 9</w:t>
            </w:r>
            <w:r w:rsidR="00C5236B" w:rsidRPr="00C951F0">
              <w:rPr>
                <w:color w:val="000000" w:themeColor="text1"/>
                <w:sz w:val="20"/>
                <w:szCs w:val="20"/>
              </w:rPr>
              <w:t>·</w:t>
            </w:r>
            <w:r w:rsidRPr="00C951F0">
              <w:rPr>
                <w:color w:val="000000" w:themeColor="text1"/>
                <w:sz w:val="20"/>
                <w:szCs w:val="20"/>
              </w:rPr>
              <w:t xml:space="preserve">77 </w:t>
            </w:r>
            <w:r w:rsidR="00433982" w:rsidRPr="00C951F0">
              <w:rPr>
                <w:color w:val="000000" w:themeColor="text1"/>
                <w:sz w:val="20"/>
                <w:szCs w:val="20"/>
              </w:rPr>
              <w:t>(</w:t>
            </w:r>
            <w:r w:rsidRPr="00C951F0">
              <w:rPr>
                <w:color w:val="000000" w:themeColor="text1"/>
                <w:sz w:val="20"/>
                <w:szCs w:val="20"/>
              </w:rPr>
              <w:t>6</w:t>
            </w:r>
            <w:r w:rsidR="00C5236B" w:rsidRPr="00C951F0">
              <w:rPr>
                <w:color w:val="000000" w:themeColor="text1"/>
                <w:sz w:val="20"/>
                <w:szCs w:val="20"/>
              </w:rPr>
              <w:t>·</w:t>
            </w:r>
            <w:r w:rsidRPr="00C951F0">
              <w:rPr>
                <w:color w:val="000000" w:themeColor="text1"/>
                <w:sz w:val="20"/>
                <w:szCs w:val="20"/>
              </w:rPr>
              <w:t>85</w:t>
            </w:r>
            <w:r w:rsidR="00227D23" w:rsidRPr="00C951F0">
              <w:rPr>
                <w:color w:val="000000" w:themeColor="text1"/>
                <w:sz w:val="20"/>
                <w:szCs w:val="20"/>
              </w:rPr>
              <w:t xml:space="preserve"> to</w:t>
            </w:r>
            <w:r w:rsidRPr="00C951F0">
              <w:rPr>
                <w:color w:val="000000" w:themeColor="text1"/>
                <w:sz w:val="20"/>
                <w:szCs w:val="20"/>
              </w:rPr>
              <w:t xml:space="preserve"> 13</w:t>
            </w:r>
            <w:r w:rsidR="00C5236B" w:rsidRPr="00C951F0">
              <w:rPr>
                <w:color w:val="000000" w:themeColor="text1"/>
                <w:sz w:val="20"/>
                <w:szCs w:val="20"/>
              </w:rPr>
              <w:t>·</w:t>
            </w:r>
            <w:r w:rsidRPr="00C951F0">
              <w:rPr>
                <w:color w:val="000000" w:themeColor="text1"/>
                <w:sz w:val="20"/>
                <w:szCs w:val="20"/>
              </w:rPr>
              <w:t>93</w:t>
            </w:r>
            <w:r w:rsidR="00433982" w:rsidRPr="00C951F0">
              <w:rPr>
                <w:color w:val="000000" w:themeColor="text1"/>
                <w:sz w:val="20"/>
                <w:szCs w:val="20"/>
              </w:rPr>
              <w:t>)</w:t>
            </w:r>
          </w:p>
        </w:tc>
      </w:tr>
      <w:tr w:rsidR="00C951F0" w:rsidRPr="00C951F0" w14:paraId="4BD5AB2A" w14:textId="77777777" w:rsidTr="00934A10">
        <w:tc>
          <w:tcPr>
            <w:tcW w:w="1674" w:type="pct"/>
            <w:tcBorders>
              <w:top w:val="nil"/>
              <w:bottom w:val="single" w:sz="4" w:space="0" w:color="auto"/>
            </w:tcBorders>
          </w:tcPr>
          <w:p w14:paraId="145C241B" w14:textId="77777777" w:rsidR="003E71DC" w:rsidRPr="00C951F0" w:rsidDel="003E71DC" w:rsidRDefault="003E71DC" w:rsidP="006C2D21">
            <w:pPr>
              <w:spacing w:line="240" w:lineRule="auto"/>
              <w:rPr>
                <w:color w:val="000000" w:themeColor="text1"/>
                <w:sz w:val="20"/>
                <w:szCs w:val="20"/>
              </w:rPr>
            </w:pPr>
          </w:p>
        </w:tc>
        <w:tc>
          <w:tcPr>
            <w:tcW w:w="526" w:type="pct"/>
            <w:tcBorders>
              <w:top w:val="nil"/>
              <w:bottom w:val="single" w:sz="4" w:space="0" w:color="auto"/>
            </w:tcBorders>
          </w:tcPr>
          <w:p w14:paraId="2DE1E485" w14:textId="77777777" w:rsidR="003E71DC" w:rsidRPr="00C951F0" w:rsidRDefault="003E71DC" w:rsidP="0039543A">
            <w:pPr>
              <w:spacing w:line="240" w:lineRule="auto"/>
              <w:jc w:val="center"/>
              <w:rPr>
                <w:color w:val="000000" w:themeColor="text1"/>
                <w:sz w:val="20"/>
                <w:szCs w:val="20"/>
              </w:rPr>
            </w:pPr>
          </w:p>
        </w:tc>
        <w:tc>
          <w:tcPr>
            <w:tcW w:w="526" w:type="pct"/>
            <w:tcBorders>
              <w:top w:val="nil"/>
              <w:bottom w:val="single" w:sz="4" w:space="0" w:color="auto"/>
            </w:tcBorders>
          </w:tcPr>
          <w:p w14:paraId="4E088B72" w14:textId="77777777" w:rsidR="003E71DC" w:rsidRPr="00C951F0" w:rsidRDefault="003E71DC" w:rsidP="0039543A">
            <w:pPr>
              <w:spacing w:line="240" w:lineRule="auto"/>
              <w:jc w:val="center"/>
              <w:rPr>
                <w:color w:val="000000" w:themeColor="text1"/>
                <w:sz w:val="20"/>
                <w:szCs w:val="20"/>
              </w:rPr>
            </w:pPr>
          </w:p>
        </w:tc>
        <w:tc>
          <w:tcPr>
            <w:tcW w:w="524" w:type="pct"/>
            <w:tcBorders>
              <w:top w:val="nil"/>
              <w:bottom w:val="single" w:sz="4" w:space="0" w:color="auto"/>
            </w:tcBorders>
          </w:tcPr>
          <w:p w14:paraId="38DA790B" w14:textId="77777777" w:rsidR="003E71DC" w:rsidRPr="00C951F0" w:rsidRDefault="003E71DC" w:rsidP="0039543A">
            <w:pPr>
              <w:spacing w:line="240" w:lineRule="auto"/>
              <w:jc w:val="center"/>
              <w:rPr>
                <w:color w:val="000000" w:themeColor="text1"/>
                <w:sz w:val="20"/>
                <w:szCs w:val="20"/>
              </w:rPr>
            </w:pPr>
          </w:p>
        </w:tc>
        <w:tc>
          <w:tcPr>
            <w:tcW w:w="1750" w:type="pct"/>
            <w:tcBorders>
              <w:top w:val="nil"/>
              <w:bottom w:val="single" w:sz="4" w:space="0" w:color="auto"/>
            </w:tcBorders>
          </w:tcPr>
          <w:p w14:paraId="306272AA" w14:textId="31F9BE0E" w:rsidR="003E71DC" w:rsidRPr="00C951F0" w:rsidRDefault="003E71DC" w:rsidP="0039543A">
            <w:pPr>
              <w:spacing w:line="240" w:lineRule="auto"/>
              <w:rPr>
                <w:color w:val="000000" w:themeColor="text1"/>
                <w:sz w:val="20"/>
                <w:szCs w:val="20"/>
              </w:rPr>
            </w:pPr>
            <w:r w:rsidRPr="00C951F0">
              <w:rPr>
                <w:color w:val="000000" w:themeColor="text1"/>
                <w:sz w:val="20"/>
                <w:szCs w:val="20"/>
              </w:rPr>
              <w:t>Semaglutide 2·4 mg / semaglutide 1·0 mg</w:t>
            </w:r>
            <w:r w:rsidR="00C921B3" w:rsidRPr="00C951F0">
              <w:rPr>
                <w:color w:val="000000" w:themeColor="text1"/>
                <w:sz w:val="20"/>
                <w:szCs w:val="20"/>
              </w:rPr>
              <w:t>;</w:t>
            </w:r>
            <w:r w:rsidRPr="00C951F0">
              <w:rPr>
                <w:color w:val="000000" w:themeColor="text1"/>
                <w:sz w:val="20"/>
                <w:szCs w:val="20"/>
              </w:rPr>
              <w:t xml:space="preserve"> OR: 1·40 </w:t>
            </w:r>
            <w:r w:rsidR="00433982" w:rsidRPr="00C951F0">
              <w:rPr>
                <w:color w:val="000000" w:themeColor="text1"/>
                <w:sz w:val="20"/>
                <w:szCs w:val="20"/>
              </w:rPr>
              <w:t>(</w:t>
            </w:r>
            <w:r w:rsidRPr="00C951F0">
              <w:rPr>
                <w:color w:val="000000" w:themeColor="text1"/>
                <w:sz w:val="20"/>
                <w:szCs w:val="20"/>
              </w:rPr>
              <w:t>1·01 to 1·96</w:t>
            </w:r>
            <w:r w:rsidR="00433982" w:rsidRPr="00C951F0">
              <w:rPr>
                <w:color w:val="000000" w:themeColor="text1"/>
                <w:sz w:val="20"/>
                <w:szCs w:val="20"/>
              </w:rPr>
              <w:t>)</w:t>
            </w:r>
          </w:p>
        </w:tc>
      </w:tr>
      <w:tr w:rsidR="00C951F0" w:rsidRPr="00C951F0" w14:paraId="73726A7A" w14:textId="77777777" w:rsidTr="00934A10">
        <w:tc>
          <w:tcPr>
            <w:tcW w:w="1674" w:type="pct"/>
            <w:tcBorders>
              <w:top w:val="single" w:sz="4" w:space="0" w:color="auto"/>
              <w:bottom w:val="nil"/>
            </w:tcBorders>
          </w:tcPr>
          <w:p w14:paraId="4095C6C4" w14:textId="4697172B" w:rsidR="003E71DC" w:rsidRPr="00C951F0" w:rsidDel="003E71DC" w:rsidRDefault="003E71DC" w:rsidP="006C2D21">
            <w:pPr>
              <w:spacing w:line="240" w:lineRule="auto"/>
              <w:rPr>
                <w:rFonts w:cs="Arial"/>
                <w:color w:val="000000" w:themeColor="text1"/>
                <w:sz w:val="20"/>
                <w:szCs w:val="20"/>
              </w:rPr>
            </w:pPr>
            <w:r w:rsidRPr="00C951F0">
              <w:rPr>
                <w:color w:val="000000" w:themeColor="text1"/>
                <w:sz w:val="20"/>
                <w:szCs w:val="20"/>
              </w:rPr>
              <w:t xml:space="preserve">Fasting plasma glucose </w:t>
            </w:r>
            <w:r w:rsidRPr="00C951F0">
              <w:rPr>
                <w:rFonts w:cs="Arial"/>
                <w:color w:val="000000" w:themeColor="text1"/>
                <w:sz w:val="20"/>
                <w:szCs w:val="20"/>
              </w:rPr>
              <w:t xml:space="preserve">— </w:t>
            </w:r>
            <w:r w:rsidR="00A5423C">
              <w:rPr>
                <w:rFonts w:cs="Arial"/>
                <w:color w:val="000000" w:themeColor="text1"/>
                <w:sz w:val="20"/>
                <w:szCs w:val="20"/>
              </w:rPr>
              <w:t>mmol/L</w:t>
            </w:r>
          </w:p>
        </w:tc>
        <w:tc>
          <w:tcPr>
            <w:tcW w:w="526" w:type="pct"/>
            <w:tcBorders>
              <w:top w:val="single" w:sz="4" w:space="0" w:color="auto"/>
              <w:bottom w:val="nil"/>
            </w:tcBorders>
          </w:tcPr>
          <w:p w14:paraId="4CF71BCD" w14:textId="77777777" w:rsidR="003E71DC" w:rsidRPr="00C951F0" w:rsidRDefault="003E71DC" w:rsidP="0039543A">
            <w:pPr>
              <w:spacing w:line="240" w:lineRule="auto"/>
              <w:jc w:val="center"/>
              <w:rPr>
                <w:color w:val="000000" w:themeColor="text1"/>
                <w:sz w:val="20"/>
                <w:szCs w:val="20"/>
              </w:rPr>
            </w:pPr>
          </w:p>
        </w:tc>
        <w:tc>
          <w:tcPr>
            <w:tcW w:w="526" w:type="pct"/>
            <w:tcBorders>
              <w:top w:val="single" w:sz="4" w:space="0" w:color="auto"/>
              <w:bottom w:val="nil"/>
            </w:tcBorders>
          </w:tcPr>
          <w:p w14:paraId="3EF27611" w14:textId="77777777" w:rsidR="003E71DC" w:rsidRPr="00C951F0" w:rsidRDefault="003E71DC" w:rsidP="0039543A">
            <w:pPr>
              <w:spacing w:line="240" w:lineRule="auto"/>
              <w:jc w:val="center"/>
              <w:rPr>
                <w:color w:val="000000" w:themeColor="text1"/>
                <w:sz w:val="20"/>
                <w:szCs w:val="20"/>
              </w:rPr>
            </w:pPr>
          </w:p>
        </w:tc>
        <w:tc>
          <w:tcPr>
            <w:tcW w:w="524" w:type="pct"/>
            <w:tcBorders>
              <w:top w:val="single" w:sz="4" w:space="0" w:color="auto"/>
              <w:bottom w:val="nil"/>
            </w:tcBorders>
          </w:tcPr>
          <w:p w14:paraId="76A847E8" w14:textId="77777777" w:rsidR="003E71DC" w:rsidRPr="00C951F0" w:rsidRDefault="003E71DC" w:rsidP="0039543A">
            <w:pPr>
              <w:spacing w:line="240" w:lineRule="auto"/>
              <w:jc w:val="center"/>
              <w:rPr>
                <w:color w:val="000000" w:themeColor="text1"/>
                <w:sz w:val="20"/>
                <w:szCs w:val="20"/>
              </w:rPr>
            </w:pPr>
          </w:p>
        </w:tc>
        <w:tc>
          <w:tcPr>
            <w:tcW w:w="1750" w:type="pct"/>
            <w:tcBorders>
              <w:top w:val="single" w:sz="4" w:space="0" w:color="auto"/>
              <w:bottom w:val="nil"/>
            </w:tcBorders>
          </w:tcPr>
          <w:p w14:paraId="30DB9867" w14:textId="77777777" w:rsidR="003E71DC" w:rsidRPr="00C951F0" w:rsidRDefault="003E71DC" w:rsidP="0039543A">
            <w:pPr>
              <w:spacing w:line="240" w:lineRule="auto"/>
              <w:rPr>
                <w:color w:val="000000" w:themeColor="text1"/>
                <w:sz w:val="20"/>
                <w:szCs w:val="20"/>
              </w:rPr>
            </w:pPr>
          </w:p>
        </w:tc>
      </w:tr>
      <w:tr w:rsidR="00A5423C" w:rsidRPr="00C951F0" w14:paraId="4CD8D9FC" w14:textId="77777777" w:rsidTr="00934A10">
        <w:tc>
          <w:tcPr>
            <w:tcW w:w="1674" w:type="pct"/>
            <w:tcBorders>
              <w:top w:val="nil"/>
              <w:bottom w:val="nil"/>
            </w:tcBorders>
          </w:tcPr>
          <w:p w14:paraId="1F7B828B" w14:textId="362F649A" w:rsidR="00A5423C" w:rsidRPr="00C951F0" w:rsidRDefault="00A5423C"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604BC1F8" w14:textId="03372A3B" w:rsidR="00A5423C" w:rsidRPr="00C951F0" w:rsidRDefault="00A5423C" w:rsidP="00433982">
            <w:pPr>
              <w:spacing w:line="240" w:lineRule="auto"/>
              <w:jc w:val="center"/>
              <w:rPr>
                <w:color w:val="000000" w:themeColor="text1"/>
                <w:sz w:val="20"/>
                <w:szCs w:val="20"/>
              </w:rPr>
            </w:pPr>
            <w:r>
              <w:rPr>
                <w:color w:val="000000" w:themeColor="text1"/>
                <w:sz w:val="20"/>
                <w:szCs w:val="20"/>
              </w:rPr>
              <w:t>381</w:t>
            </w:r>
          </w:p>
        </w:tc>
        <w:tc>
          <w:tcPr>
            <w:tcW w:w="526" w:type="pct"/>
            <w:tcBorders>
              <w:top w:val="nil"/>
              <w:bottom w:val="nil"/>
            </w:tcBorders>
          </w:tcPr>
          <w:p w14:paraId="555D3F21" w14:textId="5DEA9E92" w:rsidR="00A5423C" w:rsidRPr="00C951F0" w:rsidRDefault="00A5423C">
            <w:pPr>
              <w:spacing w:line="240" w:lineRule="auto"/>
              <w:jc w:val="center"/>
              <w:rPr>
                <w:color w:val="000000" w:themeColor="text1"/>
                <w:sz w:val="20"/>
                <w:szCs w:val="20"/>
              </w:rPr>
            </w:pPr>
            <w:r>
              <w:rPr>
                <w:color w:val="000000" w:themeColor="text1"/>
                <w:sz w:val="20"/>
                <w:szCs w:val="20"/>
              </w:rPr>
              <w:t>374</w:t>
            </w:r>
          </w:p>
        </w:tc>
        <w:tc>
          <w:tcPr>
            <w:tcW w:w="524" w:type="pct"/>
            <w:tcBorders>
              <w:top w:val="nil"/>
              <w:bottom w:val="nil"/>
            </w:tcBorders>
          </w:tcPr>
          <w:p w14:paraId="754BAE60" w14:textId="408A7DFE" w:rsidR="00A5423C" w:rsidRPr="00C951F0" w:rsidRDefault="00A5423C">
            <w:pPr>
              <w:spacing w:line="240" w:lineRule="auto"/>
              <w:jc w:val="center"/>
              <w:rPr>
                <w:color w:val="000000" w:themeColor="text1"/>
                <w:sz w:val="20"/>
                <w:szCs w:val="20"/>
              </w:rPr>
            </w:pPr>
            <w:r>
              <w:rPr>
                <w:color w:val="000000" w:themeColor="text1"/>
                <w:sz w:val="20"/>
                <w:szCs w:val="20"/>
              </w:rPr>
              <w:t>373</w:t>
            </w:r>
          </w:p>
        </w:tc>
        <w:tc>
          <w:tcPr>
            <w:tcW w:w="1750" w:type="pct"/>
            <w:tcBorders>
              <w:top w:val="nil"/>
              <w:bottom w:val="nil"/>
            </w:tcBorders>
          </w:tcPr>
          <w:p w14:paraId="736D8D76" w14:textId="77777777" w:rsidR="00A5423C" w:rsidRPr="00C951F0" w:rsidRDefault="00A5423C">
            <w:pPr>
              <w:spacing w:line="240" w:lineRule="auto"/>
              <w:rPr>
                <w:color w:val="000000" w:themeColor="text1"/>
                <w:sz w:val="20"/>
                <w:szCs w:val="20"/>
              </w:rPr>
            </w:pPr>
          </w:p>
        </w:tc>
      </w:tr>
      <w:tr w:rsidR="00C951F0" w:rsidRPr="00C951F0" w14:paraId="3F2A4965" w14:textId="77777777" w:rsidTr="00934A10">
        <w:tc>
          <w:tcPr>
            <w:tcW w:w="1674" w:type="pct"/>
            <w:tcBorders>
              <w:top w:val="nil"/>
              <w:bottom w:val="nil"/>
            </w:tcBorders>
          </w:tcPr>
          <w:p w14:paraId="54932192" w14:textId="439CFE46" w:rsidR="003E71DC" w:rsidRPr="00C951F0" w:rsidRDefault="003E71DC" w:rsidP="00934A10">
            <w:pPr>
              <w:spacing w:line="240" w:lineRule="auto"/>
              <w:ind w:left="306"/>
              <w:rPr>
                <w:rFonts w:cs="Arial"/>
                <w:color w:val="000000" w:themeColor="text1"/>
                <w:sz w:val="20"/>
                <w:szCs w:val="20"/>
              </w:rPr>
            </w:pPr>
            <w:r w:rsidRPr="00C951F0">
              <w:rPr>
                <w:rFonts w:cs="Arial"/>
                <w:color w:val="000000" w:themeColor="text1"/>
                <w:sz w:val="20"/>
                <w:szCs w:val="20"/>
              </w:rPr>
              <w:t>Week 68 mean ± SD</w:t>
            </w:r>
          </w:p>
        </w:tc>
        <w:tc>
          <w:tcPr>
            <w:tcW w:w="526" w:type="pct"/>
            <w:tcBorders>
              <w:top w:val="nil"/>
              <w:bottom w:val="nil"/>
            </w:tcBorders>
          </w:tcPr>
          <w:p w14:paraId="2B7BB196" w14:textId="32314ECD" w:rsidR="003E71DC" w:rsidRPr="00C951F0" w:rsidRDefault="00110733" w:rsidP="00433982">
            <w:pPr>
              <w:spacing w:line="240" w:lineRule="auto"/>
              <w:jc w:val="center"/>
              <w:rPr>
                <w:color w:val="000000" w:themeColor="text1"/>
                <w:sz w:val="20"/>
                <w:szCs w:val="20"/>
              </w:rPr>
            </w:pPr>
            <w:r>
              <w:rPr>
                <w:color w:val="000000" w:themeColor="text1"/>
                <w:sz w:val="20"/>
                <w:szCs w:val="20"/>
              </w:rPr>
              <w:t>6</w:t>
            </w:r>
            <w:r w:rsidRPr="00C951F0">
              <w:rPr>
                <w:color w:val="000000" w:themeColor="text1"/>
                <w:sz w:val="20"/>
                <w:szCs w:val="20"/>
              </w:rPr>
              <w:t>·</w:t>
            </w:r>
            <w:r>
              <w:rPr>
                <w:color w:val="000000" w:themeColor="text1"/>
                <w:sz w:val="20"/>
                <w:szCs w:val="20"/>
              </w:rPr>
              <w:t>4</w:t>
            </w:r>
            <w:r w:rsidRPr="00C951F0">
              <w:rPr>
                <w:color w:val="000000" w:themeColor="text1"/>
                <w:sz w:val="20"/>
                <w:szCs w:val="20"/>
              </w:rPr>
              <w:t xml:space="preserve"> </w:t>
            </w:r>
            <w:r w:rsidRPr="00C951F0">
              <w:rPr>
                <w:rFonts w:cs="Arial"/>
                <w:color w:val="000000" w:themeColor="text1"/>
                <w:sz w:val="20"/>
                <w:szCs w:val="20"/>
              </w:rPr>
              <w:t xml:space="preserve">± </w:t>
            </w:r>
            <w:r>
              <w:rPr>
                <w:color w:val="000000" w:themeColor="text1"/>
                <w:sz w:val="20"/>
                <w:szCs w:val="20"/>
              </w:rPr>
              <w:t>2</w:t>
            </w:r>
            <w:r w:rsidRPr="00C951F0">
              <w:rPr>
                <w:color w:val="000000" w:themeColor="text1"/>
                <w:sz w:val="20"/>
                <w:szCs w:val="20"/>
              </w:rPr>
              <w:t>·</w:t>
            </w:r>
            <w:r>
              <w:rPr>
                <w:color w:val="000000" w:themeColor="text1"/>
                <w:sz w:val="20"/>
                <w:szCs w:val="20"/>
              </w:rPr>
              <w:t>0</w:t>
            </w:r>
          </w:p>
        </w:tc>
        <w:tc>
          <w:tcPr>
            <w:tcW w:w="526" w:type="pct"/>
            <w:tcBorders>
              <w:top w:val="nil"/>
              <w:bottom w:val="nil"/>
            </w:tcBorders>
          </w:tcPr>
          <w:p w14:paraId="43588F46" w14:textId="406FFA6E" w:rsidR="003E71DC" w:rsidRPr="00C951F0" w:rsidRDefault="00110733">
            <w:pPr>
              <w:spacing w:line="240" w:lineRule="auto"/>
              <w:jc w:val="center"/>
              <w:rPr>
                <w:color w:val="000000" w:themeColor="text1"/>
                <w:sz w:val="20"/>
                <w:szCs w:val="20"/>
              </w:rPr>
            </w:pPr>
            <w:r>
              <w:rPr>
                <w:color w:val="000000" w:themeColor="text1"/>
                <w:sz w:val="20"/>
                <w:szCs w:val="20"/>
              </w:rPr>
              <w:t>6</w:t>
            </w:r>
            <w:r w:rsidRPr="00C951F0">
              <w:rPr>
                <w:color w:val="000000" w:themeColor="text1"/>
                <w:sz w:val="20"/>
                <w:szCs w:val="20"/>
              </w:rPr>
              <w:t>·</w:t>
            </w:r>
            <w:r>
              <w:rPr>
                <w:color w:val="000000" w:themeColor="text1"/>
                <w:sz w:val="20"/>
                <w:szCs w:val="20"/>
              </w:rPr>
              <w:t>7</w:t>
            </w:r>
            <w:r w:rsidRPr="00C951F0">
              <w:rPr>
                <w:color w:val="000000" w:themeColor="text1"/>
                <w:sz w:val="20"/>
                <w:szCs w:val="20"/>
              </w:rPr>
              <w:t xml:space="preserve"> </w:t>
            </w:r>
            <w:r w:rsidRPr="00C951F0">
              <w:rPr>
                <w:rFonts w:cs="Arial"/>
                <w:color w:val="000000" w:themeColor="text1"/>
                <w:sz w:val="20"/>
                <w:szCs w:val="20"/>
              </w:rPr>
              <w:t xml:space="preserve">± </w:t>
            </w:r>
            <w:r>
              <w:rPr>
                <w:color w:val="000000" w:themeColor="text1"/>
                <w:sz w:val="20"/>
                <w:szCs w:val="20"/>
              </w:rPr>
              <w:t>2</w:t>
            </w:r>
            <w:r w:rsidRPr="00C951F0">
              <w:rPr>
                <w:color w:val="000000" w:themeColor="text1"/>
                <w:sz w:val="20"/>
                <w:szCs w:val="20"/>
              </w:rPr>
              <w:t>·</w:t>
            </w:r>
            <w:r>
              <w:rPr>
                <w:color w:val="000000" w:themeColor="text1"/>
                <w:sz w:val="20"/>
                <w:szCs w:val="20"/>
              </w:rPr>
              <w:t>1</w:t>
            </w:r>
          </w:p>
        </w:tc>
        <w:tc>
          <w:tcPr>
            <w:tcW w:w="524" w:type="pct"/>
            <w:tcBorders>
              <w:top w:val="nil"/>
              <w:bottom w:val="nil"/>
            </w:tcBorders>
          </w:tcPr>
          <w:p w14:paraId="377D4AB8" w14:textId="5DE5D46B" w:rsidR="003E71DC" w:rsidRPr="00C951F0" w:rsidRDefault="00110733">
            <w:pPr>
              <w:spacing w:line="240" w:lineRule="auto"/>
              <w:jc w:val="center"/>
              <w:rPr>
                <w:color w:val="000000" w:themeColor="text1"/>
                <w:sz w:val="20"/>
                <w:szCs w:val="20"/>
              </w:rPr>
            </w:pPr>
            <w:r>
              <w:rPr>
                <w:color w:val="000000" w:themeColor="text1"/>
                <w:sz w:val="20"/>
                <w:szCs w:val="20"/>
              </w:rPr>
              <w:t>8</w:t>
            </w:r>
            <w:r w:rsidRPr="00C951F0">
              <w:rPr>
                <w:color w:val="000000" w:themeColor="text1"/>
                <w:sz w:val="20"/>
                <w:szCs w:val="20"/>
              </w:rPr>
              <w:t>·</w:t>
            </w:r>
            <w:r>
              <w:rPr>
                <w:color w:val="000000" w:themeColor="text1"/>
                <w:sz w:val="20"/>
                <w:szCs w:val="20"/>
              </w:rPr>
              <w:t>5</w:t>
            </w:r>
            <w:r w:rsidRPr="00C951F0">
              <w:rPr>
                <w:color w:val="000000" w:themeColor="text1"/>
                <w:sz w:val="20"/>
                <w:szCs w:val="20"/>
              </w:rPr>
              <w:t xml:space="preserve"> </w:t>
            </w:r>
            <w:r w:rsidRPr="00C951F0">
              <w:rPr>
                <w:rFonts w:cs="Arial"/>
                <w:color w:val="000000" w:themeColor="text1"/>
                <w:sz w:val="20"/>
                <w:szCs w:val="20"/>
              </w:rPr>
              <w:t xml:space="preserve">± </w:t>
            </w:r>
            <w:r>
              <w:rPr>
                <w:color w:val="000000" w:themeColor="text1"/>
                <w:sz w:val="20"/>
                <w:szCs w:val="20"/>
              </w:rPr>
              <w:t>2</w:t>
            </w:r>
            <w:r w:rsidRPr="00C951F0">
              <w:rPr>
                <w:color w:val="000000" w:themeColor="text1"/>
                <w:sz w:val="20"/>
                <w:szCs w:val="20"/>
              </w:rPr>
              <w:t>·</w:t>
            </w:r>
            <w:r>
              <w:rPr>
                <w:color w:val="000000" w:themeColor="text1"/>
                <w:sz w:val="20"/>
                <w:szCs w:val="20"/>
              </w:rPr>
              <w:t>7</w:t>
            </w:r>
          </w:p>
        </w:tc>
        <w:tc>
          <w:tcPr>
            <w:tcW w:w="1750" w:type="pct"/>
            <w:tcBorders>
              <w:top w:val="nil"/>
              <w:bottom w:val="nil"/>
            </w:tcBorders>
          </w:tcPr>
          <w:p w14:paraId="5CA849F6" w14:textId="4B7E1CFE" w:rsidR="003E71DC" w:rsidRPr="00C951F0" w:rsidRDefault="003E71DC">
            <w:pPr>
              <w:spacing w:line="240" w:lineRule="auto"/>
              <w:rPr>
                <w:color w:val="000000" w:themeColor="text1"/>
                <w:sz w:val="20"/>
                <w:szCs w:val="20"/>
              </w:rPr>
            </w:pPr>
            <w:r w:rsidRPr="00C951F0">
              <w:rPr>
                <w:color w:val="000000" w:themeColor="text1"/>
                <w:sz w:val="20"/>
                <w:szCs w:val="20"/>
              </w:rPr>
              <w:t>Semaglutide 2·4 mg – placebo (</w:t>
            </w:r>
            <w:r w:rsidR="00110733">
              <w:rPr>
                <w:color w:val="000000" w:themeColor="text1"/>
                <w:sz w:val="20"/>
                <w:szCs w:val="20"/>
              </w:rPr>
              <w:t>mmol/L</w:t>
            </w:r>
            <w:r w:rsidRPr="00C951F0">
              <w:rPr>
                <w:color w:val="000000" w:themeColor="text1"/>
                <w:sz w:val="20"/>
                <w:szCs w:val="20"/>
              </w:rPr>
              <w:t>)</w:t>
            </w:r>
            <w:r w:rsidR="00C921B3" w:rsidRPr="00C951F0">
              <w:rPr>
                <w:color w:val="000000" w:themeColor="text1"/>
                <w:sz w:val="20"/>
                <w:szCs w:val="20"/>
              </w:rPr>
              <w:t>;</w:t>
            </w:r>
            <w:r w:rsidRPr="00C951F0">
              <w:rPr>
                <w:color w:val="000000" w:themeColor="text1"/>
                <w:sz w:val="20"/>
                <w:szCs w:val="20"/>
              </w:rPr>
              <w:t xml:space="preserve"> ETD: </w:t>
            </w:r>
            <w:r w:rsidR="00110733" w:rsidRPr="00C951F0">
              <w:rPr>
                <w:color w:val="000000" w:themeColor="text1"/>
                <w:sz w:val="20"/>
                <w:szCs w:val="20"/>
              </w:rPr>
              <w:t>−</w:t>
            </w:r>
            <w:r w:rsidR="00110733">
              <w:rPr>
                <w:color w:val="000000" w:themeColor="text1"/>
                <w:sz w:val="20"/>
                <w:szCs w:val="20"/>
              </w:rPr>
              <w:t>2</w:t>
            </w:r>
            <w:r w:rsidR="00110733" w:rsidRPr="00C951F0">
              <w:rPr>
                <w:color w:val="000000" w:themeColor="text1"/>
                <w:sz w:val="20"/>
                <w:szCs w:val="20"/>
              </w:rPr>
              <w:t>·</w:t>
            </w:r>
            <w:r w:rsidR="00110733">
              <w:rPr>
                <w:color w:val="000000" w:themeColor="text1"/>
                <w:sz w:val="20"/>
                <w:szCs w:val="20"/>
              </w:rPr>
              <w:t>0</w:t>
            </w:r>
            <w:r w:rsidR="00110733" w:rsidRPr="00C951F0">
              <w:rPr>
                <w:color w:val="000000" w:themeColor="text1"/>
                <w:sz w:val="20"/>
                <w:szCs w:val="20"/>
              </w:rPr>
              <w:t xml:space="preserve"> (−</w:t>
            </w:r>
            <w:r w:rsidR="00110733">
              <w:rPr>
                <w:color w:val="000000" w:themeColor="text1"/>
                <w:sz w:val="20"/>
                <w:szCs w:val="20"/>
              </w:rPr>
              <w:t>2</w:t>
            </w:r>
            <w:r w:rsidR="00110733" w:rsidRPr="00C951F0">
              <w:rPr>
                <w:color w:val="000000" w:themeColor="text1"/>
                <w:sz w:val="20"/>
                <w:szCs w:val="20"/>
              </w:rPr>
              <w:t>·</w:t>
            </w:r>
            <w:r w:rsidR="00110733">
              <w:rPr>
                <w:color w:val="000000" w:themeColor="text1"/>
                <w:sz w:val="20"/>
                <w:szCs w:val="20"/>
              </w:rPr>
              <w:t>4</w:t>
            </w:r>
            <w:r w:rsidR="00110733" w:rsidRPr="00C951F0">
              <w:rPr>
                <w:color w:val="000000" w:themeColor="text1"/>
                <w:sz w:val="20"/>
                <w:szCs w:val="20"/>
              </w:rPr>
              <w:t xml:space="preserve"> to −</w:t>
            </w:r>
            <w:r w:rsidR="00110733">
              <w:rPr>
                <w:color w:val="000000" w:themeColor="text1"/>
                <w:sz w:val="20"/>
                <w:szCs w:val="20"/>
              </w:rPr>
              <w:t>1</w:t>
            </w:r>
            <w:r w:rsidR="00110733" w:rsidRPr="00C951F0">
              <w:rPr>
                <w:color w:val="000000" w:themeColor="text1"/>
                <w:sz w:val="20"/>
                <w:szCs w:val="20"/>
              </w:rPr>
              <w:t>·</w:t>
            </w:r>
            <w:r w:rsidR="00110733">
              <w:rPr>
                <w:color w:val="000000" w:themeColor="text1"/>
                <w:sz w:val="20"/>
                <w:szCs w:val="20"/>
              </w:rPr>
              <w:t>7</w:t>
            </w:r>
            <w:r w:rsidR="00110733" w:rsidRPr="00C951F0">
              <w:rPr>
                <w:color w:val="000000" w:themeColor="text1"/>
                <w:sz w:val="20"/>
                <w:szCs w:val="20"/>
              </w:rPr>
              <w:t>)</w:t>
            </w:r>
          </w:p>
        </w:tc>
      </w:tr>
      <w:tr w:rsidR="00C951F0" w:rsidRPr="00C951F0" w14:paraId="4D0F5632" w14:textId="77777777" w:rsidTr="00934A10">
        <w:tc>
          <w:tcPr>
            <w:tcW w:w="1674" w:type="pct"/>
            <w:tcBorders>
              <w:top w:val="nil"/>
              <w:bottom w:val="single" w:sz="4" w:space="0" w:color="auto"/>
            </w:tcBorders>
          </w:tcPr>
          <w:p w14:paraId="182778B8" w14:textId="402B29D2"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Change from baseline to week 68</w:t>
            </w:r>
            <w:r w:rsidR="006C2D21" w:rsidRPr="00C951F0">
              <w:rPr>
                <w:rFonts w:cs="Arial"/>
                <w:color w:val="000000" w:themeColor="text1"/>
                <w:sz w:val="20"/>
                <w:szCs w:val="20"/>
              </w:rPr>
              <w:t xml:space="preserve"> — </w:t>
            </w:r>
            <w:r w:rsidR="00110733">
              <w:rPr>
                <w:rFonts w:cs="Arial"/>
                <w:color w:val="000000" w:themeColor="text1"/>
                <w:sz w:val="20"/>
                <w:szCs w:val="20"/>
              </w:rPr>
              <w:t>mmol/L</w:t>
            </w:r>
            <w:r w:rsidR="00CE771D">
              <w:rPr>
                <w:rFonts w:cs="Arial"/>
                <w:color w:val="000000" w:themeColor="text1"/>
                <w:sz w:val="20"/>
                <w:szCs w:val="20"/>
              </w:rPr>
              <w:t xml:space="preserve"> (SE)</w:t>
            </w:r>
          </w:p>
        </w:tc>
        <w:tc>
          <w:tcPr>
            <w:tcW w:w="526" w:type="pct"/>
            <w:tcBorders>
              <w:top w:val="nil"/>
              <w:bottom w:val="single" w:sz="4" w:space="0" w:color="auto"/>
            </w:tcBorders>
          </w:tcPr>
          <w:p w14:paraId="06D6B216" w14:textId="3998B77F"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110733">
              <w:rPr>
                <w:color w:val="000000" w:themeColor="text1"/>
                <w:sz w:val="20"/>
                <w:szCs w:val="20"/>
              </w:rPr>
              <w:t>2</w:t>
            </w:r>
            <w:r w:rsidR="00110733" w:rsidRPr="00C951F0">
              <w:rPr>
                <w:color w:val="000000" w:themeColor="text1"/>
                <w:sz w:val="20"/>
                <w:szCs w:val="20"/>
              </w:rPr>
              <w:t>·</w:t>
            </w:r>
            <w:r w:rsidR="00110733">
              <w:rPr>
                <w:color w:val="000000" w:themeColor="text1"/>
                <w:sz w:val="20"/>
                <w:szCs w:val="20"/>
              </w:rPr>
              <w:t>1</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1)</w:t>
            </w:r>
          </w:p>
        </w:tc>
        <w:tc>
          <w:tcPr>
            <w:tcW w:w="526" w:type="pct"/>
            <w:tcBorders>
              <w:top w:val="nil"/>
              <w:bottom w:val="single" w:sz="4" w:space="0" w:color="auto"/>
            </w:tcBorders>
          </w:tcPr>
          <w:p w14:paraId="78D41F2E" w14:textId="7D6229B2"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110733">
              <w:rPr>
                <w:color w:val="000000" w:themeColor="text1"/>
                <w:sz w:val="20"/>
                <w:szCs w:val="20"/>
              </w:rPr>
              <w:t>1</w:t>
            </w:r>
            <w:r w:rsidR="00110733" w:rsidRPr="00C951F0">
              <w:rPr>
                <w:color w:val="000000" w:themeColor="text1"/>
                <w:sz w:val="20"/>
                <w:szCs w:val="20"/>
              </w:rPr>
              <w:t>·</w:t>
            </w:r>
            <w:r w:rsidR="00110733">
              <w:rPr>
                <w:color w:val="000000" w:themeColor="text1"/>
                <w:sz w:val="20"/>
                <w:szCs w:val="20"/>
              </w:rPr>
              <w:t>8</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1)</w:t>
            </w:r>
          </w:p>
        </w:tc>
        <w:tc>
          <w:tcPr>
            <w:tcW w:w="524" w:type="pct"/>
            <w:tcBorders>
              <w:top w:val="nil"/>
              <w:bottom w:val="single" w:sz="4" w:space="0" w:color="auto"/>
            </w:tcBorders>
          </w:tcPr>
          <w:p w14:paraId="431831D9" w14:textId="6D1A49BD"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110733">
              <w:rPr>
                <w:color w:val="000000" w:themeColor="text1"/>
                <w:sz w:val="20"/>
                <w:szCs w:val="20"/>
              </w:rPr>
              <w:t>0</w:t>
            </w:r>
            <w:r w:rsidR="00110733" w:rsidRPr="00C951F0">
              <w:rPr>
                <w:color w:val="000000" w:themeColor="text1"/>
                <w:sz w:val="20"/>
                <w:szCs w:val="20"/>
              </w:rPr>
              <w:t>·</w:t>
            </w:r>
            <w:r w:rsidR="00110733">
              <w:rPr>
                <w:color w:val="000000" w:themeColor="text1"/>
                <w:sz w:val="20"/>
                <w:szCs w:val="20"/>
              </w:rPr>
              <w:t>1</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1)</w:t>
            </w:r>
          </w:p>
        </w:tc>
        <w:tc>
          <w:tcPr>
            <w:tcW w:w="1750" w:type="pct"/>
            <w:tcBorders>
              <w:top w:val="nil"/>
              <w:bottom w:val="single" w:sz="4" w:space="0" w:color="auto"/>
            </w:tcBorders>
          </w:tcPr>
          <w:p w14:paraId="123D19B1" w14:textId="6045C4DD" w:rsidR="0039543A" w:rsidRPr="00C951F0" w:rsidRDefault="0039543A" w:rsidP="00C5470D">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 (</w:t>
            </w:r>
            <w:r w:rsidR="00110733">
              <w:rPr>
                <w:color w:val="000000" w:themeColor="text1"/>
                <w:sz w:val="20"/>
                <w:szCs w:val="20"/>
              </w:rPr>
              <w:t>mmol/L</w:t>
            </w:r>
            <w:r w:rsidRPr="00C951F0">
              <w:rPr>
                <w:color w:val="000000" w:themeColor="text1"/>
                <w:sz w:val="20"/>
                <w:szCs w:val="20"/>
              </w:rPr>
              <w:t>)</w:t>
            </w:r>
            <w:r w:rsidR="00C921B3" w:rsidRPr="00C951F0">
              <w:rPr>
                <w:color w:val="000000" w:themeColor="text1"/>
                <w:sz w:val="20"/>
                <w:szCs w:val="20"/>
              </w:rPr>
              <w:t>;</w:t>
            </w:r>
            <w:r w:rsidRPr="00C951F0">
              <w:rPr>
                <w:color w:val="000000" w:themeColor="text1"/>
                <w:sz w:val="20"/>
                <w:szCs w:val="20"/>
              </w:rPr>
              <w:t xml:space="preserve"> ETD: </w:t>
            </w:r>
            <w:r w:rsidR="00110733" w:rsidRPr="00C951F0">
              <w:rPr>
                <w:color w:val="000000" w:themeColor="text1"/>
                <w:sz w:val="20"/>
                <w:szCs w:val="20"/>
              </w:rPr>
              <w:t>−</w:t>
            </w:r>
            <w:r w:rsidR="00110733">
              <w:rPr>
                <w:color w:val="000000" w:themeColor="text1"/>
                <w:sz w:val="20"/>
                <w:szCs w:val="20"/>
              </w:rPr>
              <w:t>0</w:t>
            </w:r>
            <w:r w:rsidR="00110733" w:rsidRPr="00C951F0">
              <w:rPr>
                <w:color w:val="000000" w:themeColor="text1"/>
                <w:sz w:val="20"/>
                <w:szCs w:val="20"/>
              </w:rPr>
              <w:t>·</w:t>
            </w:r>
            <w:r w:rsidR="00110733">
              <w:rPr>
                <w:color w:val="000000" w:themeColor="text1"/>
                <w:sz w:val="20"/>
                <w:szCs w:val="20"/>
              </w:rPr>
              <w:t>3</w:t>
            </w:r>
            <w:r w:rsidR="00110733" w:rsidRPr="00C951F0">
              <w:rPr>
                <w:color w:val="000000" w:themeColor="text1"/>
                <w:sz w:val="20"/>
                <w:szCs w:val="20"/>
              </w:rPr>
              <w:t xml:space="preserve"> (−</w:t>
            </w:r>
            <w:r w:rsidR="00110733">
              <w:rPr>
                <w:color w:val="000000" w:themeColor="text1"/>
                <w:sz w:val="20"/>
                <w:szCs w:val="20"/>
              </w:rPr>
              <w:t>0</w:t>
            </w:r>
            <w:r w:rsidR="00110733" w:rsidRPr="00C951F0">
              <w:rPr>
                <w:color w:val="000000" w:themeColor="text1"/>
                <w:sz w:val="20"/>
                <w:szCs w:val="20"/>
              </w:rPr>
              <w:t>·</w:t>
            </w:r>
            <w:r w:rsidR="00110733">
              <w:rPr>
                <w:color w:val="000000" w:themeColor="text1"/>
                <w:sz w:val="20"/>
                <w:szCs w:val="20"/>
              </w:rPr>
              <w:t>7</w:t>
            </w:r>
            <w:r w:rsidR="00110733" w:rsidRPr="00C951F0">
              <w:rPr>
                <w:color w:val="000000" w:themeColor="text1"/>
                <w:sz w:val="20"/>
                <w:szCs w:val="20"/>
              </w:rPr>
              <w:t xml:space="preserve"> to </w:t>
            </w:r>
            <w:r w:rsidR="00110733">
              <w:rPr>
                <w:color w:val="000000" w:themeColor="text1"/>
                <w:sz w:val="20"/>
                <w:szCs w:val="20"/>
              </w:rPr>
              <w:t>0</w:t>
            </w:r>
            <w:r w:rsidR="00110733" w:rsidRPr="00C951F0">
              <w:rPr>
                <w:color w:val="000000" w:themeColor="text1"/>
                <w:sz w:val="20"/>
                <w:szCs w:val="20"/>
              </w:rPr>
              <w:t>·</w:t>
            </w:r>
            <w:r w:rsidR="00110733">
              <w:rPr>
                <w:color w:val="000000" w:themeColor="text1"/>
                <w:sz w:val="20"/>
                <w:szCs w:val="20"/>
              </w:rPr>
              <w:t>1</w:t>
            </w:r>
            <w:r w:rsidR="00110733" w:rsidRPr="00C951F0">
              <w:rPr>
                <w:color w:val="000000" w:themeColor="text1"/>
                <w:sz w:val="20"/>
                <w:szCs w:val="20"/>
              </w:rPr>
              <w:t>)</w:t>
            </w:r>
          </w:p>
        </w:tc>
      </w:tr>
      <w:tr w:rsidR="00C951F0" w:rsidRPr="00C951F0" w14:paraId="1A41AD80" w14:textId="77777777" w:rsidTr="00934A10">
        <w:tc>
          <w:tcPr>
            <w:tcW w:w="1674" w:type="pct"/>
            <w:tcBorders>
              <w:top w:val="single" w:sz="4" w:space="0" w:color="auto"/>
              <w:bottom w:val="nil"/>
            </w:tcBorders>
          </w:tcPr>
          <w:p w14:paraId="06EC0D9D" w14:textId="6F9E3FAE" w:rsidR="00985A90" w:rsidRPr="00C951F0" w:rsidDel="003E71DC" w:rsidRDefault="00985A90" w:rsidP="00934A10">
            <w:pPr>
              <w:spacing w:line="240" w:lineRule="auto"/>
              <w:rPr>
                <w:rFonts w:cs="Arial"/>
                <w:color w:val="000000" w:themeColor="text1"/>
                <w:sz w:val="20"/>
                <w:szCs w:val="20"/>
                <w:vertAlign w:val="superscript"/>
              </w:rPr>
            </w:pPr>
            <w:r w:rsidRPr="00C951F0">
              <w:rPr>
                <w:color w:val="000000" w:themeColor="text1"/>
                <w:sz w:val="20"/>
                <w:szCs w:val="20"/>
              </w:rPr>
              <w:t xml:space="preserve">Fasting serum insulin </w:t>
            </w:r>
            <w:r w:rsidRPr="00C951F0">
              <w:rPr>
                <w:rFonts w:cs="Arial"/>
                <w:color w:val="000000" w:themeColor="text1"/>
                <w:sz w:val="20"/>
                <w:szCs w:val="20"/>
              </w:rPr>
              <w:t xml:space="preserve">— </w:t>
            </w:r>
            <w:proofErr w:type="spellStart"/>
            <w:r w:rsidR="00AE3697">
              <w:rPr>
                <w:rFonts w:cs="Arial"/>
                <w:color w:val="000000" w:themeColor="text1"/>
                <w:sz w:val="20"/>
                <w:szCs w:val="20"/>
              </w:rPr>
              <w:t>pmol</w:t>
            </w:r>
            <w:proofErr w:type="spellEnd"/>
            <w:r w:rsidR="00AE3697">
              <w:rPr>
                <w:rFonts w:cs="Arial"/>
                <w:color w:val="000000" w:themeColor="text1"/>
                <w:sz w:val="20"/>
                <w:szCs w:val="20"/>
              </w:rPr>
              <w:t>/L</w:t>
            </w:r>
          </w:p>
        </w:tc>
        <w:tc>
          <w:tcPr>
            <w:tcW w:w="526" w:type="pct"/>
            <w:tcBorders>
              <w:top w:val="single" w:sz="4" w:space="0" w:color="auto"/>
              <w:bottom w:val="nil"/>
            </w:tcBorders>
          </w:tcPr>
          <w:p w14:paraId="28D2FB9B" w14:textId="77777777" w:rsidR="00985A90" w:rsidRPr="00C951F0" w:rsidDel="003E71DC" w:rsidRDefault="00985A90" w:rsidP="0039543A">
            <w:pPr>
              <w:spacing w:line="240" w:lineRule="auto"/>
              <w:jc w:val="center"/>
              <w:rPr>
                <w:color w:val="000000" w:themeColor="text1"/>
                <w:sz w:val="20"/>
                <w:szCs w:val="20"/>
              </w:rPr>
            </w:pPr>
          </w:p>
        </w:tc>
        <w:tc>
          <w:tcPr>
            <w:tcW w:w="526" w:type="pct"/>
            <w:tcBorders>
              <w:top w:val="single" w:sz="4" w:space="0" w:color="auto"/>
              <w:bottom w:val="nil"/>
            </w:tcBorders>
          </w:tcPr>
          <w:p w14:paraId="410B2C4B" w14:textId="77777777" w:rsidR="00985A90" w:rsidRPr="00C951F0" w:rsidDel="003E71DC" w:rsidRDefault="00985A90" w:rsidP="0039543A">
            <w:pPr>
              <w:spacing w:line="240" w:lineRule="auto"/>
              <w:jc w:val="center"/>
              <w:rPr>
                <w:color w:val="000000" w:themeColor="text1"/>
                <w:sz w:val="20"/>
                <w:szCs w:val="20"/>
              </w:rPr>
            </w:pPr>
          </w:p>
        </w:tc>
        <w:tc>
          <w:tcPr>
            <w:tcW w:w="524" w:type="pct"/>
            <w:tcBorders>
              <w:top w:val="single" w:sz="4" w:space="0" w:color="auto"/>
              <w:bottom w:val="nil"/>
            </w:tcBorders>
          </w:tcPr>
          <w:p w14:paraId="64AF21EB" w14:textId="77777777" w:rsidR="00985A90" w:rsidRPr="00C951F0" w:rsidDel="003E71DC" w:rsidRDefault="00985A90" w:rsidP="0039543A">
            <w:pPr>
              <w:spacing w:line="240" w:lineRule="auto"/>
              <w:jc w:val="center"/>
              <w:rPr>
                <w:color w:val="000000" w:themeColor="text1"/>
                <w:sz w:val="20"/>
                <w:szCs w:val="20"/>
              </w:rPr>
            </w:pPr>
          </w:p>
        </w:tc>
        <w:tc>
          <w:tcPr>
            <w:tcW w:w="1750" w:type="pct"/>
            <w:tcBorders>
              <w:top w:val="single" w:sz="4" w:space="0" w:color="auto"/>
              <w:bottom w:val="nil"/>
            </w:tcBorders>
          </w:tcPr>
          <w:p w14:paraId="2DB52B0F" w14:textId="77777777" w:rsidR="00985A90" w:rsidRPr="00C951F0" w:rsidDel="003E71DC" w:rsidRDefault="00985A90" w:rsidP="00C5470D">
            <w:pPr>
              <w:spacing w:line="240" w:lineRule="auto"/>
              <w:rPr>
                <w:color w:val="000000" w:themeColor="text1"/>
                <w:sz w:val="20"/>
                <w:szCs w:val="20"/>
              </w:rPr>
            </w:pPr>
          </w:p>
        </w:tc>
      </w:tr>
      <w:tr w:rsidR="00A5423C" w:rsidRPr="00C951F0" w14:paraId="7CE8163F" w14:textId="77777777" w:rsidTr="00934A10">
        <w:tc>
          <w:tcPr>
            <w:tcW w:w="1674" w:type="pct"/>
            <w:tcBorders>
              <w:top w:val="nil"/>
              <w:bottom w:val="nil"/>
            </w:tcBorders>
          </w:tcPr>
          <w:p w14:paraId="608CD51A" w14:textId="6EAA6B57" w:rsidR="00A5423C" w:rsidRPr="00C951F0" w:rsidRDefault="00A5423C" w:rsidP="00433982">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15D82EE6" w14:textId="13A1FEAD" w:rsidR="00A5423C" w:rsidRPr="00C951F0" w:rsidRDefault="00A5423C">
            <w:pPr>
              <w:spacing w:line="240" w:lineRule="auto"/>
              <w:jc w:val="center"/>
              <w:rPr>
                <w:color w:val="000000" w:themeColor="text1"/>
                <w:sz w:val="20"/>
                <w:szCs w:val="20"/>
              </w:rPr>
            </w:pPr>
            <w:r>
              <w:rPr>
                <w:color w:val="000000" w:themeColor="text1"/>
                <w:sz w:val="20"/>
                <w:szCs w:val="20"/>
              </w:rPr>
              <w:t>373</w:t>
            </w:r>
          </w:p>
        </w:tc>
        <w:tc>
          <w:tcPr>
            <w:tcW w:w="526" w:type="pct"/>
            <w:tcBorders>
              <w:top w:val="nil"/>
              <w:bottom w:val="nil"/>
            </w:tcBorders>
          </w:tcPr>
          <w:p w14:paraId="218BE8FA" w14:textId="44A7240B" w:rsidR="00A5423C" w:rsidRPr="00C951F0" w:rsidRDefault="00A5423C">
            <w:pPr>
              <w:spacing w:line="240" w:lineRule="auto"/>
              <w:jc w:val="center"/>
              <w:rPr>
                <w:color w:val="000000" w:themeColor="text1"/>
                <w:sz w:val="20"/>
                <w:szCs w:val="20"/>
              </w:rPr>
            </w:pPr>
            <w:r>
              <w:rPr>
                <w:color w:val="000000" w:themeColor="text1"/>
                <w:sz w:val="20"/>
                <w:szCs w:val="20"/>
              </w:rPr>
              <w:t>364</w:t>
            </w:r>
          </w:p>
        </w:tc>
        <w:tc>
          <w:tcPr>
            <w:tcW w:w="524" w:type="pct"/>
            <w:tcBorders>
              <w:top w:val="nil"/>
              <w:bottom w:val="nil"/>
            </w:tcBorders>
          </w:tcPr>
          <w:p w14:paraId="0F7573DF" w14:textId="472F5B0D" w:rsidR="00A5423C" w:rsidRPr="00C951F0" w:rsidRDefault="00A5423C">
            <w:pPr>
              <w:spacing w:line="240" w:lineRule="auto"/>
              <w:jc w:val="center"/>
              <w:rPr>
                <w:color w:val="000000" w:themeColor="text1"/>
                <w:sz w:val="20"/>
                <w:szCs w:val="20"/>
              </w:rPr>
            </w:pPr>
            <w:r w:rsidRPr="0037035E">
              <w:rPr>
                <w:color w:val="000000" w:themeColor="text1"/>
                <w:sz w:val="20"/>
                <w:szCs w:val="20"/>
              </w:rPr>
              <w:t>3</w:t>
            </w:r>
            <w:r w:rsidR="00A20FBC" w:rsidRPr="0037035E">
              <w:rPr>
                <w:color w:val="000000" w:themeColor="text1"/>
                <w:sz w:val="20"/>
                <w:szCs w:val="20"/>
              </w:rPr>
              <w:t>76</w:t>
            </w:r>
          </w:p>
        </w:tc>
        <w:tc>
          <w:tcPr>
            <w:tcW w:w="1750" w:type="pct"/>
            <w:tcBorders>
              <w:top w:val="nil"/>
              <w:bottom w:val="nil"/>
            </w:tcBorders>
          </w:tcPr>
          <w:p w14:paraId="27EAFC91" w14:textId="77777777" w:rsidR="00A5423C" w:rsidRPr="00C951F0" w:rsidRDefault="00A5423C" w:rsidP="00C5470D">
            <w:pPr>
              <w:spacing w:line="240" w:lineRule="auto"/>
              <w:rPr>
                <w:color w:val="000000" w:themeColor="text1"/>
                <w:sz w:val="20"/>
                <w:szCs w:val="20"/>
              </w:rPr>
            </w:pPr>
          </w:p>
        </w:tc>
      </w:tr>
      <w:tr w:rsidR="00C951F0" w:rsidRPr="00C951F0" w14:paraId="72F5966E" w14:textId="77777777" w:rsidTr="00934A10">
        <w:tc>
          <w:tcPr>
            <w:tcW w:w="1674" w:type="pct"/>
            <w:tcBorders>
              <w:top w:val="nil"/>
              <w:bottom w:val="nil"/>
            </w:tcBorders>
          </w:tcPr>
          <w:p w14:paraId="1CC0113C" w14:textId="1E5800F6" w:rsidR="00985A90" w:rsidRPr="00C951F0" w:rsidDel="003E71DC" w:rsidRDefault="00985A90" w:rsidP="00433982">
            <w:pPr>
              <w:spacing w:line="240" w:lineRule="auto"/>
              <w:ind w:left="306"/>
              <w:rPr>
                <w:rFonts w:cs="Arial"/>
                <w:color w:val="000000" w:themeColor="text1"/>
                <w:sz w:val="20"/>
                <w:szCs w:val="20"/>
              </w:rPr>
            </w:pPr>
            <w:r w:rsidRPr="00C951F0">
              <w:rPr>
                <w:rFonts w:cs="Arial"/>
                <w:color w:val="000000" w:themeColor="text1"/>
                <w:sz w:val="20"/>
                <w:szCs w:val="20"/>
              </w:rPr>
              <w:t>Week 68 geometric mean (CV)</w:t>
            </w:r>
          </w:p>
        </w:tc>
        <w:tc>
          <w:tcPr>
            <w:tcW w:w="526" w:type="pct"/>
            <w:tcBorders>
              <w:top w:val="nil"/>
              <w:bottom w:val="nil"/>
            </w:tcBorders>
          </w:tcPr>
          <w:p w14:paraId="0F61DC8D" w14:textId="24FDD78B" w:rsidR="00985A90" w:rsidRPr="00C951F0" w:rsidDel="003E71DC" w:rsidRDefault="00AE3697">
            <w:pPr>
              <w:spacing w:line="240" w:lineRule="auto"/>
              <w:jc w:val="center"/>
              <w:rPr>
                <w:color w:val="000000" w:themeColor="text1"/>
                <w:sz w:val="20"/>
                <w:szCs w:val="20"/>
              </w:rPr>
            </w:pPr>
            <w:r>
              <w:rPr>
                <w:color w:val="000000" w:themeColor="text1"/>
                <w:sz w:val="20"/>
                <w:szCs w:val="20"/>
              </w:rPr>
              <w:t>84</w:t>
            </w:r>
            <w:r w:rsidR="00CE771D" w:rsidRPr="00C951F0">
              <w:rPr>
                <w:color w:val="000000" w:themeColor="text1"/>
                <w:sz w:val="20"/>
                <w:szCs w:val="20"/>
              </w:rPr>
              <w:t>·</w:t>
            </w:r>
            <w:r>
              <w:rPr>
                <w:color w:val="000000" w:themeColor="text1"/>
                <w:sz w:val="20"/>
                <w:szCs w:val="20"/>
              </w:rPr>
              <w:t>5</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74·3)</w:t>
            </w:r>
          </w:p>
        </w:tc>
        <w:tc>
          <w:tcPr>
            <w:tcW w:w="526" w:type="pct"/>
            <w:tcBorders>
              <w:top w:val="nil"/>
              <w:bottom w:val="nil"/>
            </w:tcBorders>
          </w:tcPr>
          <w:p w14:paraId="3856D814" w14:textId="3942C78A" w:rsidR="00985A90" w:rsidRPr="00C951F0" w:rsidDel="003E71DC" w:rsidRDefault="00AE3697">
            <w:pPr>
              <w:spacing w:line="240" w:lineRule="auto"/>
              <w:jc w:val="center"/>
              <w:rPr>
                <w:color w:val="000000" w:themeColor="text1"/>
                <w:sz w:val="20"/>
                <w:szCs w:val="20"/>
              </w:rPr>
            </w:pPr>
            <w:r>
              <w:rPr>
                <w:color w:val="000000" w:themeColor="text1"/>
                <w:sz w:val="20"/>
                <w:szCs w:val="20"/>
              </w:rPr>
              <w:t>92</w:t>
            </w:r>
            <w:r w:rsidR="00CE771D" w:rsidRPr="00C951F0">
              <w:rPr>
                <w:color w:val="000000" w:themeColor="text1"/>
                <w:sz w:val="20"/>
                <w:szCs w:val="20"/>
              </w:rPr>
              <w:t>·</w:t>
            </w:r>
            <w:r>
              <w:rPr>
                <w:color w:val="000000" w:themeColor="text1"/>
                <w:sz w:val="20"/>
                <w:szCs w:val="20"/>
              </w:rPr>
              <w:t>5</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75·1)</w:t>
            </w:r>
          </w:p>
        </w:tc>
        <w:tc>
          <w:tcPr>
            <w:tcW w:w="524" w:type="pct"/>
            <w:tcBorders>
              <w:top w:val="nil"/>
              <w:bottom w:val="nil"/>
            </w:tcBorders>
          </w:tcPr>
          <w:p w14:paraId="76AC3C59" w14:textId="51EDBD04" w:rsidR="00985A90" w:rsidRPr="00C951F0" w:rsidDel="003E71DC" w:rsidRDefault="00AE3697">
            <w:pPr>
              <w:spacing w:line="240" w:lineRule="auto"/>
              <w:jc w:val="center"/>
              <w:rPr>
                <w:color w:val="000000" w:themeColor="text1"/>
                <w:sz w:val="20"/>
                <w:szCs w:val="20"/>
              </w:rPr>
            </w:pPr>
            <w:r>
              <w:rPr>
                <w:color w:val="000000" w:themeColor="text1"/>
                <w:sz w:val="20"/>
                <w:szCs w:val="20"/>
              </w:rPr>
              <w:t>92</w:t>
            </w:r>
            <w:r w:rsidR="00CE771D" w:rsidRPr="00C951F0">
              <w:rPr>
                <w:color w:val="000000" w:themeColor="text1"/>
                <w:sz w:val="20"/>
                <w:szCs w:val="20"/>
              </w:rPr>
              <w:t>·</w:t>
            </w:r>
            <w:r>
              <w:rPr>
                <w:color w:val="000000" w:themeColor="text1"/>
                <w:sz w:val="20"/>
                <w:szCs w:val="20"/>
              </w:rPr>
              <w:t>7</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72·6)</w:t>
            </w:r>
          </w:p>
        </w:tc>
        <w:tc>
          <w:tcPr>
            <w:tcW w:w="1750" w:type="pct"/>
            <w:tcBorders>
              <w:top w:val="nil"/>
              <w:bottom w:val="nil"/>
            </w:tcBorders>
          </w:tcPr>
          <w:p w14:paraId="48940E4E" w14:textId="3B4EF787" w:rsidR="00985A90" w:rsidRPr="00C951F0" w:rsidDel="003E71DC" w:rsidRDefault="00985A90" w:rsidP="00C5470D">
            <w:pPr>
              <w:spacing w:line="240" w:lineRule="auto"/>
              <w:rPr>
                <w:color w:val="000000" w:themeColor="text1"/>
                <w:sz w:val="20"/>
                <w:szCs w:val="20"/>
              </w:rPr>
            </w:pPr>
            <w:r w:rsidRPr="00C951F0">
              <w:rPr>
                <w:color w:val="000000" w:themeColor="text1"/>
                <w:sz w:val="20"/>
                <w:szCs w:val="20"/>
              </w:rPr>
              <w:t>Semaglutide 2·4 mg / placebo</w:t>
            </w:r>
            <w:r w:rsidR="00C921B3" w:rsidRPr="00C951F0">
              <w:rPr>
                <w:color w:val="000000" w:themeColor="text1"/>
                <w:sz w:val="20"/>
                <w:szCs w:val="20"/>
              </w:rPr>
              <w:t>;</w:t>
            </w:r>
            <w:r w:rsidRPr="00C951F0">
              <w:rPr>
                <w:color w:val="000000" w:themeColor="text1"/>
                <w:sz w:val="20"/>
                <w:szCs w:val="20"/>
              </w:rPr>
              <w:t xml:space="preserve"> ETR: 0·94 </w:t>
            </w:r>
            <w:r w:rsidR="00433982" w:rsidRPr="00C951F0">
              <w:rPr>
                <w:color w:val="000000" w:themeColor="text1"/>
                <w:sz w:val="20"/>
                <w:szCs w:val="20"/>
              </w:rPr>
              <w:t>(</w:t>
            </w:r>
            <w:r w:rsidRPr="00C951F0">
              <w:rPr>
                <w:color w:val="000000" w:themeColor="text1"/>
                <w:sz w:val="20"/>
                <w:szCs w:val="20"/>
              </w:rPr>
              <w:t>0·87 to 1·02</w:t>
            </w:r>
            <w:r w:rsidR="00433982" w:rsidRPr="00C951F0">
              <w:rPr>
                <w:color w:val="000000" w:themeColor="text1"/>
                <w:sz w:val="20"/>
                <w:szCs w:val="20"/>
              </w:rPr>
              <w:t>)</w:t>
            </w:r>
          </w:p>
        </w:tc>
      </w:tr>
      <w:tr w:rsidR="00C951F0" w:rsidRPr="00C951F0" w14:paraId="138D3362" w14:textId="77777777" w:rsidTr="00934A10">
        <w:tc>
          <w:tcPr>
            <w:tcW w:w="1674" w:type="pct"/>
            <w:tcBorders>
              <w:top w:val="nil"/>
              <w:bottom w:val="single" w:sz="4" w:space="0" w:color="auto"/>
            </w:tcBorders>
          </w:tcPr>
          <w:p w14:paraId="558D418F" w14:textId="3BB61465"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Ratio to baseline</w:t>
            </w:r>
            <w:r w:rsidR="00433982" w:rsidRPr="00C951F0">
              <w:rPr>
                <w:rFonts w:cs="Arial"/>
                <w:color w:val="000000" w:themeColor="text1"/>
                <w:sz w:val="20"/>
                <w:szCs w:val="20"/>
              </w:rPr>
              <w:t>†</w:t>
            </w:r>
          </w:p>
        </w:tc>
        <w:tc>
          <w:tcPr>
            <w:tcW w:w="526" w:type="pct"/>
            <w:tcBorders>
              <w:top w:val="nil"/>
              <w:bottom w:val="single" w:sz="4" w:space="0" w:color="auto"/>
            </w:tcBorders>
          </w:tcPr>
          <w:p w14:paraId="2B0322DD" w14:textId="695D1E2B"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88</w:t>
            </w:r>
          </w:p>
        </w:tc>
        <w:tc>
          <w:tcPr>
            <w:tcW w:w="526" w:type="pct"/>
            <w:tcBorders>
              <w:top w:val="nil"/>
              <w:bottom w:val="single" w:sz="4" w:space="0" w:color="auto"/>
            </w:tcBorders>
          </w:tcPr>
          <w:p w14:paraId="529149D1" w14:textId="2F54B5B0"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93</w:t>
            </w:r>
          </w:p>
        </w:tc>
        <w:tc>
          <w:tcPr>
            <w:tcW w:w="524" w:type="pct"/>
            <w:tcBorders>
              <w:top w:val="nil"/>
              <w:bottom w:val="single" w:sz="4" w:space="0" w:color="auto"/>
            </w:tcBorders>
          </w:tcPr>
          <w:p w14:paraId="2B926EDB" w14:textId="205F68B9"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94</w:t>
            </w:r>
          </w:p>
        </w:tc>
        <w:tc>
          <w:tcPr>
            <w:tcW w:w="1750" w:type="pct"/>
            <w:tcBorders>
              <w:top w:val="nil"/>
              <w:bottom w:val="single" w:sz="4" w:space="0" w:color="auto"/>
            </w:tcBorders>
          </w:tcPr>
          <w:p w14:paraId="251E3969" w14:textId="60A4BD17" w:rsidR="00B1644A" w:rsidRPr="00C951F0" w:rsidRDefault="0039543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w:t>
            </w:r>
            <w:r w:rsidR="00C921B3" w:rsidRPr="00C951F0">
              <w:rPr>
                <w:color w:val="000000" w:themeColor="text1"/>
                <w:sz w:val="20"/>
                <w:szCs w:val="20"/>
              </w:rPr>
              <w:t>;</w:t>
            </w:r>
            <w:r w:rsidRPr="00C951F0">
              <w:rPr>
                <w:color w:val="000000" w:themeColor="text1"/>
                <w:sz w:val="20"/>
                <w:szCs w:val="20"/>
              </w:rPr>
              <w:t xml:space="preserve"> ETR: 0</w:t>
            </w:r>
            <w:r w:rsidR="00C5236B" w:rsidRPr="00C951F0">
              <w:rPr>
                <w:color w:val="000000" w:themeColor="text1"/>
                <w:sz w:val="20"/>
                <w:szCs w:val="20"/>
              </w:rPr>
              <w:t>·</w:t>
            </w:r>
            <w:r w:rsidRPr="00C951F0">
              <w:rPr>
                <w:color w:val="000000" w:themeColor="text1"/>
                <w:sz w:val="20"/>
                <w:szCs w:val="20"/>
              </w:rPr>
              <w:t xml:space="preserve">95 </w:t>
            </w:r>
            <w:r w:rsidR="00433982" w:rsidRPr="00C951F0">
              <w:rPr>
                <w:color w:val="000000" w:themeColor="text1"/>
                <w:sz w:val="20"/>
                <w:szCs w:val="20"/>
              </w:rPr>
              <w:t>(</w:t>
            </w: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87</w:t>
            </w:r>
            <w:r w:rsidR="00227D23" w:rsidRPr="00C951F0">
              <w:rPr>
                <w:color w:val="000000" w:themeColor="text1"/>
                <w:sz w:val="20"/>
                <w:szCs w:val="20"/>
              </w:rPr>
              <w:t xml:space="preserve"> to</w:t>
            </w:r>
            <w:r w:rsidRPr="00C951F0">
              <w:rPr>
                <w:color w:val="000000" w:themeColor="text1"/>
                <w:sz w:val="20"/>
                <w:szCs w:val="20"/>
              </w:rPr>
              <w:t xml:space="preserve"> 1</w:t>
            </w:r>
            <w:r w:rsidR="00C5236B" w:rsidRPr="00C951F0">
              <w:rPr>
                <w:color w:val="000000" w:themeColor="text1"/>
                <w:sz w:val="20"/>
                <w:szCs w:val="20"/>
              </w:rPr>
              <w:t>·</w:t>
            </w:r>
            <w:r w:rsidRPr="00C951F0">
              <w:rPr>
                <w:color w:val="000000" w:themeColor="text1"/>
                <w:sz w:val="20"/>
                <w:szCs w:val="20"/>
              </w:rPr>
              <w:t>03</w:t>
            </w:r>
            <w:r w:rsidR="00433982" w:rsidRPr="00C951F0">
              <w:rPr>
                <w:color w:val="000000" w:themeColor="text1"/>
                <w:sz w:val="20"/>
                <w:szCs w:val="20"/>
              </w:rPr>
              <w:t>)</w:t>
            </w:r>
          </w:p>
        </w:tc>
      </w:tr>
      <w:tr w:rsidR="00C951F0" w:rsidRPr="00C951F0" w14:paraId="03E464BB" w14:textId="77777777" w:rsidTr="00934A10">
        <w:tc>
          <w:tcPr>
            <w:tcW w:w="1674" w:type="pct"/>
            <w:tcBorders>
              <w:top w:val="single" w:sz="4" w:space="0" w:color="auto"/>
              <w:bottom w:val="nil"/>
            </w:tcBorders>
          </w:tcPr>
          <w:p w14:paraId="0693CEB0" w14:textId="12CBCD73" w:rsidR="00985A90" w:rsidRPr="00C951F0" w:rsidDel="00985A90" w:rsidRDefault="00985A90" w:rsidP="00934A10">
            <w:pPr>
              <w:spacing w:line="240" w:lineRule="auto"/>
              <w:rPr>
                <w:rFonts w:cs="Arial"/>
                <w:color w:val="000000" w:themeColor="text1"/>
                <w:sz w:val="20"/>
                <w:szCs w:val="20"/>
              </w:rPr>
            </w:pPr>
            <w:r w:rsidRPr="00C951F0">
              <w:rPr>
                <w:color w:val="000000" w:themeColor="text1"/>
                <w:sz w:val="20"/>
                <w:szCs w:val="20"/>
              </w:rPr>
              <w:t xml:space="preserve">Diastolic blood pressure </w:t>
            </w:r>
            <w:r w:rsidRPr="00C951F0">
              <w:rPr>
                <w:rFonts w:cs="Arial"/>
                <w:color w:val="000000" w:themeColor="text1"/>
                <w:sz w:val="20"/>
                <w:szCs w:val="20"/>
              </w:rPr>
              <w:t xml:space="preserve">— </w:t>
            </w:r>
            <w:r w:rsidRPr="00C951F0">
              <w:rPr>
                <w:color w:val="000000" w:themeColor="text1"/>
                <w:sz w:val="20"/>
                <w:szCs w:val="20"/>
              </w:rPr>
              <w:t>mmHg</w:t>
            </w:r>
          </w:p>
        </w:tc>
        <w:tc>
          <w:tcPr>
            <w:tcW w:w="526" w:type="pct"/>
            <w:tcBorders>
              <w:top w:val="single" w:sz="4" w:space="0" w:color="auto"/>
              <w:bottom w:val="nil"/>
            </w:tcBorders>
          </w:tcPr>
          <w:p w14:paraId="6F6CF34D" w14:textId="77777777" w:rsidR="00985A90" w:rsidRPr="00C951F0" w:rsidDel="00985A90" w:rsidRDefault="00985A90" w:rsidP="0039543A">
            <w:pPr>
              <w:spacing w:line="240" w:lineRule="auto"/>
              <w:jc w:val="center"/>
              <w:rPr>
                <w:color w:val="000000" w:themeColor="text1"/>
                <w:sz w:val="20"/>
                <w:szCs w:val="20"/>
              </w:rPr>
            </w:pPr>
          </w:p>
        </w:tc>
        <w:tc>
          <w:tcPr>
            <w:tcW w:w="526" w:type="pct"/>
            <w:tcBorders>
              <w:top w:val="single" w:sz="4" w:space="0" w:color="auto"/>
              <w:bottom w:val="nil"/>
            </w:tcBorders>
          </w:tcPr>
          <w:p w14:paraId="41BEC81C" w14:textId="77777777" w:rsidR="00985A90" w:rsidRPr="00C951F0" w:rsidDel="00985A90" w:rsidRDefault="00985A90" w:rsidP="0039543A">
            <w:pPr>
              <w:spacing w:line="240" w:lineRule="auto"/>
              <w:jc w:val="center"/>
              <w:rPr>
                <w:color w:val="000000" w:themeColor="text1"/>
                <w:sz w:val="20"/>
                <w:szCs w:val="20"/>
              </w:rPr>
            </w:pPr>
          </w:p>
        </w:tc>
        <w:tc>
          <w:tcPr>
            <w:tcW w:w="524" w:type="pct"/>
            <w:tcBorders>
              <w:top w:val="single" w:sz="4" w:space="0" w:color="auto"/>
              <w:bottom w:val="nil"/>
            </w:tcBorders>
          </w:tcPr>
          <w:p w14:paraId="4F0FACD1" w14:textId="77777777" w:rsidR="00985A90" w:rsidRPr="00C951F0" w:rsidDel="00985A90" w:rsidRDefault="00985A90" w:rsidP="0039543A">
            <w:pPr>
              <w:spacing w:line="240" w:lineRule="auto"/>
              <w:jc w:val="center"/>
              <w:rPr>
                <w:color w:val="000000" w:themeColor="text1"/>
                <w:sz w:val="20"/>
                <w:szCs w:val="20"/>
              </w:rPr>
            </w:pPr>
          </w:p>
        </w:tc>
        <w:tc>
          <w:tcPr>
            <w:tcW w:w="1750" w:type="pct"/>
            <w:tcBorders>
              <w:top w:val="single" w:sz="4" w:space="0" w:color="auto"/>
              <w:bottom w:val="nil"/>
            </w:tcBorders>
          </w:tcPr>
          <w:p w14:paraId="2765B52E" w14:textId="77777777" w:rsidR="00985A90" w:rsidRPr="00C951F0" w:rsidDel="00985A90" w:rsidRDefault="00985A90" w:rsidP="0039543A">
            <w:pPr>
              <w:spacing w:line="240" w:lineRule="auto"/>
              <w:rPr>
                <w:color w:val="000000" w:themeColor="text1"/>
                <w:sz w:val="20"/>
                <w:szCs w:val="20"/>
              </w:rPr>
            </w:pPr>
          </w:p>
        </w:tc>
      </w:tr>
      <w:tr w:rsidR="00A5423C" w:rsidRPr="00C951F0" w14:paraId="5A185310" w14:textId="77777777" w:rsidTr="00934A10">
        <w:tc>
          <w:tcPr>
            <w:tcW w:w="1674" w:type="pct"/>
            <w:tcBorders>
              <w:top w:val="nil"/>
              <w:bottom w:val="nil"/>
            </w:tcBorders>
          </w:tcPr>
          <w:p w14:paraId="28760FAD" w14:textId="72376347" w:rsidR="00A5423C" w:rsidRPr="00C951F0" w:rsidRDefault="00A5423C" w:rsidP="00433982">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54442B00" w14:textId="7A4DFF78" w:rsidR="00A5423C" w:rsidRPr="00C951F0" w:rsidRDefault="00A5423C">
            <w:pPr>
              <w:spacing w:line="240" w:lineRule="auto"/>
              <w:jc w:val="center"/>
              <w:rPr>
                <w:color w:val="000000" w:themeColor="text1"/>
                <w:sz w:val="20"/>
                <w:szCs w:val="20"/>
              </w:rPr>
            </w:pPr>
            <w:r>
              <w:rPr>
                <w:color w:val="000000" w:themeColor="text1"/>
                <w:sz w:val="20"/>
                <w:szCs w:val="20"/>
              </w:rPr>
              <w:t>387</w:t>
            </w:r>
          </w:p>
        </w:tc>
        <w:tc>
          <w:tcPr>
            <w:tcW w:w="526" w:type="pct"/>
            <w:tcBorders>
              <w:top w:val="nil"/>
              <w:bottom w:val="nil"/>
            </w:tcBorders>
          </w:tcPr>
          <w:p w14:paraId="56327FF5" w14:textId="544E0AB9" w:rsidR="00A5423C" w:rsidRPr="00C951F0" w:rsidRDefault="00A5423C">
            <w:pPr>
              <w:spacing w:line="240" w:lineRule="auto"/>
              <w:jc w:val="center"/>
              <w:rPr>
                <w:color w:val="000000" w:themeColor="text1"/>
                <w:sz w:val="20"/>
                <w:szCs w:val="20"/>
              </w:rPr>
            </w:pPr>
            <w:r>
              <w:rPr>
                <w:color w:val="000000" w:themeColor="text1"/>
                <w:sz w:val="20"/>
                <w:szCs w:val="20"/>
              </w:rPr>
              <w:t>379</w:t>
            </w:r>
          </w:p>
        </w:tc>
        <w:tc>
          <w:tcPr>
            <w:tcW w:w="524" w:type="pct"/>
            <w:tcBorders>
              <w:top w:val="nil"/>
              <w:bottom w:val="nil"/>
            </w:tcBorders>
          </w:tcPr>
          <w:p w14:paraId="6A63B57D" w14:textId="4E74391E" w:rsidR="00A5423C" w:rsidRPr="00C951F0" w:rsidRDefault="00A5423C">
            <w:pPr>
              <w:spacing w:line="240" w:lineRule="auto"/>
              <w:jc w:val="center"/>
              <w:rPr>
                <w:color w:val="000000" w:themeColor="text1"/>
                <w:sz w:val="20"/>
                <w:szCs w:val="20"/>
              </w:rPr>
            </w:pPr>
            <w:r>
              <w:rPr>
                <w:color w:val="000000" w:themeColor="text1"/>
                <w:sz w:val="20"/>
                <w:szCs w:val="20"/>
              </w:rPr>
              <w:t>362</w:t>
            </w:r>
          </w:p>
        </w:tc>
        <w:tc>
          <w:tcPr>
            <w:tcW w:w="1750" w:type="pct"/>
            <w:tcBorders>
              <w:top w:val="nil"/>
              <w:bottom w:val="nil"/>
            </w:tcBorders>
          </w:tcPr>
          <w:p w14:paraId="0E36744C" w14:textId="77777777" w:rsidR="00A5423C" w:rsidRPr="00C951F0" w:rsidRDefault="00A5423C" w:rsidP="0039543A">
            <w:pPr>
              <w:spacing w:line="240" w:lineRule="auto"/>
              <w:rPr>
                <w:color w:val="000000" w:themeColor="text1"/>
                <w:sz w:val="20"/>
                <w:szCs w:val="20"/>
              </w:rPr>
            </w:pPr>
          </w:p>
        </w:tc>
      </w:tr>
      <w:tr w:rsidR="00C951F0" w:rsidRPr="00C951F0" w14:paraId="558D97F2" w14:textId="77777777" w:rsidTr="00934A10">
        <w:tc>
          <w:tcPr>
            <w:tcW w:w="1674" w:type="pct"/>
            <w:tcBorders>
              <w:top w:val="nil"/>
              <w:bottom w:val="nil"/>
            </w:tcBorders>
          </w:tcPr>
          <w:p w14:paraId="394EA5EC" w14:textId="6916D3D5" w:rsidR="00985A90" w:rsidRPr="00C951F0" w:rsidDel="00985A90" w:rsidRDefault="00985A90" w:rsidP="00433982">
            <w:pPr>
              <w:spacing w:line="240" w:lineRule="auto"/>
              <w:ind w:left="306"/>
              <w:rPr>
                <w:rFonts w:cs="Arial"/>
                <w:color w:val="000000" w:themeColor="text1"/>
                <w:sz w:val="20"/>
                <w:szCs w:val="20"/>
              </w:rPr>
            </w:pPr>
            <w:r w:rsidRPr="00C951F0">
              <w:rPr>
                <w:rFonts w:cs="Arial"/>
                <w:color w:val="000000" w:themeColor="text1"/>
                <w:sz w:val="20"/>
                <w:szCs w:val="20"/>
              </w:rPr>
              <w:t>Week 68 ± SD</w:t>
            </w:r>
          </w:p>
        </w:tc>
        <w:tc>
          <w:tcPr>
            <w:tcW w:w="526" w:type="pct"/>
            <w:tcBorders>
              <w:top w:val="nil"/>
              <w:bottom w:val="nil"/>
            </w:tcBorders>
          </w:tcPr>
          <w:p w14:paraId="19402BDF" w14:textId="0BDA160C" w:rsidR="00985A90" w:rsidRPr="00C951F0" w:rsidDel="00985A90" w:rsidRDefault="00985A90">
            <w:pPr>
              <w:spacing w:line="240" w:lineRule="auto"/>
              <w:jc w:val="center"/>
              <w:rPr>
                <w:color w:val="000000" w:themeColor="text1"/>
                <w:sz w:val="20"/>
                <w:szCs w:val="20"/>
              </w:rPr>
            </w:pPr>
            <w:r w:rsidRPr="00C951F0">
              <w:rPr>
                <w:color w:val="000000" w:themeColor="text1"/>
                <w:sz w:val="20"/>
                <w:szCs w:val="20"/>
              </w:rPr>
              <w:t xml:space="preserve">78 </w:t>
            </w:r>
            <w:r w:rsidRPr="00C951F0">
              <w:rPr>
                <w:rFonts w:cs="Arial"/>
                <w:color w:val="000000" w:themeColor="text1"/>
                <w:sz w:val="20"/>
                <w:szCs w:val="20"/>
              </w:rPr>
              <w:t xml:space="preserve">± </w:t>
            </w:r>
            <w:r w:rsidRPr="00C951F0">
              <w:rPr>
                <w:color w:val="000000" w:themeColor="text1"/>
                <w:sz w:val="20"/>
                <w:szCs w:val="20"/>
              </w:rPr>
              <w:t>9</w:t>
            </w:r>
          </w:p>
        </w:tc>
        <w:tc>
          <w:tcPr>
            <w:tcW w:w="526" w:type="pct"/>
            <w:tcBorders>
              <w:top w:val="nil"/>
              <w:bottom w:val="nil"/>
            </w:tcBorders>
          </w:tcPr>
          <w:p w14:paraId="4DDFDB62" w14:textId="488C73DF" w:rsidR="00985A90" w:rsidRPr="00C951F0" w:rsidDel="00985A90" w:rsidRDefault="00985A90">
            <w:pPr>
              <w:spacing w:line="240" w:lineRule="auto"/>
              <w:jc w:val="center"/>
              <w:rPr>
                <w:color w:val="000000" w:themeColor="text1"/>
                <w:sz w:val="20"/>
                <w:szCs w:val="20"/>
              </w:rPr>
            </w:pPr>
            <w:r w:rsidRPr="00C951F0">
              <w:rPr>
                <w:color w:val="000000" w:themeColor="text1"/>
                <w:sz w:val="20"/>
                <w:szCs w:val="20"/>
              </w:rPr>
              <w:t xml:space="preserve">79 </w:t>
            </w:r>
            <w:r w:rsidRPr="00C951F0">
              <w:rPr>
                <w:rFonts w:cs="Arial"/>
                <w:color w:val="000000" w:themeColor="text1"/>
                <w:sz w:val="20"/>
                <w:szCs w:val="20"/>
              </w:rPr>
              <w:t xml:space="preserve">± </w:t>
            </w:r>
            <w:r w:rsidRPr="00C951F0">
              <w:rPr>
                <w:color w:val="000000" w:themeColor="text1"/>
                <w:sz w:val="20"/>
                <w:szCs w:val="20"/>
              </w:rPr>
              <w:t>9</w:t>
            </w:r>
          </w:p>
        </w:tc>
        <w:tc>
          <w:tcPr>
            <w:tcW w:w="524" w:type="pct"/>
            <w:tcBorders>
              <w:top w:val="nil"/>
              <w:bottom w:val="nil"/>
            </w:tcBorders>
          </w:tcPr>
          <w:p w14:paraId="1FF0227C" w14:textId="4F45FD9D" w:rsidR="00985A90" w:rsidRPr="00C951F0" w:rsidDel="00985A90" w:rsidRDefault="00985A90">
            <w:pPr>
              <w:spacing w:line="240" w:lineRule="auto"/>
              <w:jc w:val="center"/>
              <w:rPr>
                <w:color w:val="000000" w:themeColor="text1"/>
                <w:sz w:val="20"/>
                <w:szCs w:val="20"/>
              </w:rPr>
            </w:pPr>
            <w:r w:rsidRPr="00C951F0">
              <w:rPr>
                <w:color w:val="000000" w:themeColor="text1"/>
                <w:sz w:val="20"/>
                <w:szCs w:val="20"/>
              </w:rPr>
              <w:t xml:space="preserve">79 </w:t>
            </w:r>
            <w:r w:rsidRPr="00C951F0">
              <w:rPr>
                <w:rFonts w:cs="Arial"/>
                <w:color w:val="000000" w:themeColor="text1"/>
                <w:sz w:val="20"/>
                <w:szCs w:val="20"/>
              </w:rPr>
              <w:t xml:space="preserve">± </w:t>
            </w:r>
            <w:r w:rsidRPr="00C951F0">
              <w:rPr>
                <w:color w:val="000000" w:themeColor="text1"/>
                <w:sz w:val="20"/>
                <w:szCs w:val="20"/>
              </w:rPr>
              <w:t>9</w:t>
            </w:r>
          </w:p>
        </w:tc>
        <w:tc>
          <w:tcPr>
            <w:tcW w:w="1750" w:type="pct"/>
            <w:tcBorders>
              <w:top w:val="nil"/>
              <w:bottom w:val="nil"/>
            </w:tcBorders>
          </w:tcPr>
          <w:p w14:paraId="5A67A764" w14:textId="331BE581" w:rsidR="00985A90" w:rsidRPr="00C951F0" w:rsidDel="00985A90" w:rsidRDefault="00985A90" w:rsidP="0039543A">
            <w:pPr>
              <w:spacing w:line="240" w:lineRule="auto"/>
              <w:rPr>
                <w:color w:val="000000" w:themeColor="text1"/>
                <w:sz w:val="20"/>
                <w:szCs w:val="20"/>
              </w:rPr>
            </w:pPr>
            <w:r w:rsidRPr="00C951F0">
              <w:rPr>
                <w:color w:val="000000" w:themeColor="text1"/>
                <w:sz w:val="20"/>
                <w:szCs w:val="20"/>
              </w:rPr>
              <w:t>Semaglutide 2·4 mg – placebo (mmHg)</w:t>
            </w:r>
            <w:r w:rsidR="00C921B3" w:rsidRPr="00C951F0">
              <w:rPr>
                <w:color w:val="000000" w:themeColor="text1"/>
                <w:sz w:val="20"/>
                <w:szCs w:val="20"/>
              </w:rPr>
              <w:t>;</w:t>
            </w:r>
            <w:r w:rsidRPr="00C951F0">
              <w:rPr>
                <w:color w:val="000000" w:themeColor="text1"/>
                <w:sz w:val="20"/>
                <w:szCs w:val="20"/>
              </w:rPr>
              <w:t xml:space="preserve"> ETD: −0·7 </w:t>
            </w:r>
            <w:r w:rsidR="00433982" w:rsidRPr="00C951F0">
              <w:rPr>
                <w:color w:val="000000" w:themeColor="text1"/>
                <w:sz w:val="20"/>
                <w:szCs w:val="20"/>
              </w:rPr>
              <w:t>(</w:t>
            </w:r>
            <w:r w:rsidRPr="00C951F0">
              <w:rPr>
                <w:color w:val="000000" w:themeColor="text1"/>
                <w:sz w:val="20"/>
                <w:szCs w:val="20"/>
              </w:rPr>
              <w:t>−2·0 to 0·6</w:t>
            </w:r>
            <w:r w:rsidR="00433982" w:rsidRPr="00C951F0">
              <w:rPr>
                <w:color w:val="000000" w:themeColor="text1"/>
                <w:sz w:val="20"/>
                <w:szCs w:val="20"/>
              </w:rPr>
              <w:t>)</w:t>
            </w:r>
          </w:p>
        </w:tc>
      </w:tr>
      <w:tr w:rsidR="00C951F0" w:rsidRPr="00C951F0" w14:paraId="0D80BE0F" w14:textId="77777777" w:rsidTr="00934A10">
        <w:tc>
          <w:tcPr>
            <w:tcW w:w="1674" w:type="pct"/>
            <w:tcBorders>
              <w:top w:val="nil"/>
            </w:tcBorders>
          </w:tcPr>
          <w:p w14:paraId="2951E2A7" w14:textId="04904B27"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Change from baseline to week 68</w:t>
            </w:r>
            <w:r w:rsidR="006C2D21" w:rsidRPr="00C951F0">
              <w:rPr>
                <w:rFonts w:cs="Arial"/>
                <w:color w:val="000000" w:themeColor="text1"/>
                <w:sz w:val="20"/>
                <w:szCs w:val="20"/>
              </w:rPr>
              <w:t xml:space="preserve"> — mmHg</w:t>
            </w:r>
            <w:r w:rsidR="00CE771D">
              <w:rPr>
                <w:rFonts w:cs="Arial"/>
                <w:color w:val="000000" w:themeColor="text1"/>
                <w:sz w:val="20"/>
                <w:szCs w:val="20"/>
              </w:rPr>
              <w:t xml:space="preserve"> (SE)</w:t>
            </w:r>
          </w:p>
        </w:tc>
        <w:tc>
          <w:tcPr>
            <w:tcW w:w="526" w:type="pct"/>
            <w:tcBorders>
              <w:top w:val="nil"/>
            </w:tcBorders>
          </w:tcPr>
          <w:p w14:paraId="33EFAA34" w14:textId="66D9769C"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1</w:t>
            </w:r>
            <w:r w:rsidR="00C5236B" w:rsidRPr="00C951F0">
              <w:rPr>
                <w:color w:val="000000" w:themeColor="text1"/>
                <w:sz w:val="20"/>
                <w:szCs w:val="20"/>
              </w:rPr>
              <w:t>·</w:t>
            </w:r>
            <w:r w:rsidR="00B1644A" w:rsidRPr="00C951F0">
              <w:rPr>
                <w:color w:val="000000" w:themeColor="text1"/>
                <w:sz w:val="20"/>
                <w:szCs w:val="20"/>
              </w:rPr>
              <w:t>6</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4)</w:t>
            </w:r>
          </w:p>
        </w:tc>
        <w:tc>
          <w:tcPr>
            <w:tcW w:w="526" w:type="pct"/>
            <w:tcBorders>
              <w:top w:val="nil"/>
            </w:tcBorders>
          </w:tcPr>
          <w:p w14:paraId="1100F7F9" w14:textId="2FCC7F3C"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0</w:t>
            </w:r>
            <w:r w:rsidR="00C5236B" w:rsidRPr="00C951F0">
              <w:rPr>
                <w:color w:val="000000" w:themeColor="text1"/>
                <w:sz w:val="20"/>
                <w:szCs w:val="20"/>
              </w:rPr>
              <w:t>·</w:t>
            </w:r>
            <w:r w:rsidR="00B1644A" w:rsidRPr="00C951F0">
              <w:rPr>
                <w:color w:val="000000" w:themeColor="text1"/>
                <w:sz w:val="20"/>
                <w:szCs w:val="20"/>
              </w:rPr>
              <w:t>6</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5)</w:t>
            </w:r>
          </w:p>
        </w:tc>
        <w:tc>
          <w:tcPr>
            <w:tcW w:w="524" w:type="pct"/>
            <w:tcBorders>
              <w:top w:val="nil"/>
            </w:tcBorders>
          </w:tcPr>
          <w:p w14:paraId="46D4A4F5" w14:textId="724E3103" w:rsidR="00B1644A" w:rsidRPr="00C951F0" w:rsidRDefault="00236FEA" w:rsidP="0039543A">
            <w:pPr>
              <w:spacing w:line="240" w:lineRule="auto"/>
              <w:jc w:val="center"/>
              <w:rPr>
                <w:color w:val="000000" w:themeColor="text1"/>
                <w:sz w:val="20"/>
                <w:szCs w:val="20"/>
              </w:rPr>
            </w:pPr>
            <w:r w:rsidRPr="00C951F0">
              <w:rPr>
                <w:color w:val="000000" w:themeColor="text1"/>
                <w:sz w:val="20"/>
                <w:szCs w:val="20"/>
              </w:rPr>
              <w:t>−</w:t>
            </w:r>
            <w:r w:rsidR="00B1644A" w:rsidRPr="00C951F0">
              <w:rPr>
                <w:color w:val="000000" w:themeColor="text1"/>
                <w:sz w:val="20"/>
                <w:szCs w:val="20"/>
              </w:rPr>
              <w:t>0</w:t>
            </w:r>
            <w:r w:rsidR="00C5236B" w:rsidRPr="00C951F0">
              <w:rPr>
                <w:color w:val="000000" w:themeColor="text1"/>
                <w:sz w:val="20"/>
                <w:szCs w:val="20"/>
              </w:rPr>
              <w:t>·</w:t>
            </w:r>
            <w:r w:rsidR="00B1644A" w:rsidRPr="00C951F0">
              <w:rPr>
                <w:color w:val="000000" w:themeColor="text1"/>
                <w:sz w:val="20"/>
                <w:szCs w:val="20"/>
              </w:rPr>
              <w:t>9</w:t>
            </w:r>
            <w:r w:rsidR="00CE771D">
              <w:rPr>
                <w:color w:val="000000" w:themeColor="text1"/>
                <w:sz w:val="20"/>
                <w:szCs w:val="20"/>
              </w:rPr>
              <w:t xml:space="preserve"> (0</w:t>
            </w:r>
            <w:r w:rsidR="00CE771D" w:rsidRPr="00C951F0">
              <w:rPr>
                <w:color w:val="000000" w:themeColor="text1"/>
                <w:sz w:val="20"/>
                <w:szCs w:val="20"/>
              </w:rPr>
              <w:t>·</w:t>
            </w:r>
            <w:r w:rsidR="00CE771D">
              <w:rPr>
                <w:color w:val="000000" w:themeColor="text1"/>
                <w:sz w:val="20"/>
                <w:szCs w:val="20"/>
              </w:rPr>
              <w:t>5)</w:t>
            </w:r>
          </w:p>
        </w:tc>
        <w:tc>
          <w:tcPr>
            <w:tcW w:w="1750" w:type="pct"/>
            <w:tcBorders>
              <w:top w:val="nil"/>
            </w:tcBorders>
          </w:tcPr>
          <w:p w14:paraId="4FE489A1" w14:textId="6AAD5D15" w:rsidR="00B1644A" w:rsidRPr="00C951F0" w:rsidRDefault="00B1644A" w:rsidP="00C5470D">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 (mmHg)</w:t>
            </w:r>
            <w:r w:rsidR="00C921B3" w:rsidRPr="00C951F0">
              <w:rPr>
                <w:color w:val="000000" w:themeColor="text1"/>
                <w:sz w:val="20"/>
                <w:szCs w:val="20"/>
              </w:rPr>
              <w:t>;</w:t>
            </w:r>
            <w:r w:rsidRPr="00C951F0">
              <w:rPr>
                <w:color w:val="000000" w:themeColor="text1"/>
                <w:sz w:val="20"/>
                <w:szCs w:val="20"/>
              </w:rPr>
              <w:t xml:space="preserve"> ETD: </w:t>
            </w:r>
            <w:r w:rsidR="00236FEA" w:rsidRPr="00C951F0">
              <w:rPr>
                <w:color w:val="000000" w:themeColor="text1"/>
                <w:sz w:val="20"/>
                <w:szCs w:val="20"/>
              </w:rPr>
              <w:t>−</w:t>
            </w: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 xml:space="preserve">9 </w:t>
            </w:r>
            <w:r w:rsidR="00433982" w:rsidRPr="00C951F0">
              <w:rPr>
                <w:color w:val="000000" w:themeColor="text1"/>
                <w:sz w:val="20"/>
                <w:szCs w:val="20"/>
              </w:rPr>
              <w:t>(</w:t>
            </w:r>
            <w:r w:rsidR="00236FEA" w:rsidRPr="00C951F0">
              <w:rPr>
                <w:color w:val="000000" w:themeColor="text1"/>
                <w:sz w:val="20"/>
                <w:szCs w:val="20"/>
              </w:rPr>
              <w:t>−</w:t>
            </w:r>
            <w:r w:rsidRPr="00C951F0">
              <w:rPr>
                <w:color w:val="000000" w:themeColor="text1"/>
                <w:sz w:val="20"/>
                <w:szCs w:val="20"/>
              </w:rPr>
              <w:t>2</w:t>
            </w:r>
            <w:r w:rsidR="00C5236B" w:rsidRPr="00C951F0">
              <w:rPr>
                <w:color w:val="000000" w:themeColor="text1"/>
                <w:sz w:val="20"/>
                <w:szCs w:val="20"/>
              </w:rPr>
              <w:t>·</w:t>
            </w:r>
            <w:r w:rsidRPr="00C951F0">
              <w:rPr>
                <w:color w:val="000000" w:themeColor="text1"/>
                <w:sz w:val="20"/>
                <w:szCs w:val="20"/>
              </w:rPr>
              <w:t>2</w:t>
            </w:r>
            <w:r w:rsidR="00227D23" w:rsidRPr="00C951F0">
              <w:rPr>
                <w:color w:val="000000" w:themeColor="text1"/>
                <w:sz w:val="20"/>
                <w:szCs w:val="20"/>
              </w:rPr>
              <w:t xml:space="preserve"> to</w:t>
            </w:r>
            <w:r w:rsidRPr="00C951F0">
              <w:rPr>
                <w:color w:val="000000" w:themeColor="text1"/>
                <w:sz w:val="20"/>
                <w:szCs w:val="20"/>
              </w:rPr>
              <w:t xml:space="preserve"> 0</w:t>
            </w:r>
            <w:r w:rsidR="00C5236B" w:rsidRPr="00C951F0">
              <w:rPr>
                <w:color w:val="000000" w:themeColor="text1"/>
                <w:sz w:val="20"/>
                <w:szCs w:val="20"/>
              </w:rPr>
              <w:t>·</w:t>
            </w:r>
            <w:r w:rsidRPr="00C951F0">
              <w:rPr>
                <w:color w:val="000000" w:themeColor="text1"/>
                <w:sz w:val="20"/>
                <w:szCs w:val="20"/>
              </w:rPr>
              <w:t>4</w:t>
            </w:r>
            <w:r w:rsidR="00433982" w:rsidRPr="00C951F0">
              <w:rPr>
                <w:color w:val="000000" w:themeColor="text1"/>
                <w:sz w:val="20"/>
                <w:szCs w:val="20"/>
              </w:rPr>
              <w:t>)</w:t>
            </w:r>
          </w:p>
        </w:tc>
      </w:tr>
      <w:tr w:rsidR="00C951F0" w:rsidRPr="00C951F0" w14:paraId="431D34E6" w14:textId="77777777" w:rsidTr="00934A10">
        <w:tc>
          <w:tcPr>
            <w:tcW w:w="1674" w:type="pct"/>
            <w:tcBorders>
              <w:bottom w:val="single" w:sz="4" w:space="0" w:color="auto"/>
            </w:tcBorders>
          </w:tcPr>
          <w:p w14:paraId="1F07ED63" w14:textId="77777777" w:rsidR="00B1644A" w:rsidRPr="00C951F0" w:rsidRDefault="00B1644A" w:rsidP="0039543A">
            <w:pPr>
              <w:spacing w:line="240" w:lineRule="auto"/>
              <w:rPr>
                <w:color w:val="000000" w:themeColor="text1"/>
                <w:sz w:val="20"/>
                <w:szCs w:val="20"/>
              </w:rPr>
            </w:pPr>
            <w:r w:rsidRPr="00C951F0">
              <w:rPr>
                <w:color w:val="000000" w:themeColor="text1"/>
                <w:sz w:val="20"/>
                <w:szCs w:val="20"/>
              </w:rPr>
              <w:t>Lipids</w:t>
            </w:r>
          </w:p>
        </w:tc>
        <w:tc>
          <w:tcPr>
            <w:tcW w:w="526" w:type="pct"/>
            <w:tcBorders>
              <w:bottom w:val="single" w:sz="4" w:space="0" w:color="auto"/>
            </w:tcBorders>
          </w:tcPr>
          <w:p w14:paraId="0E2AC1B0" w14:textId="77777777" w:rsidR="00B1644A" w:rsidRPr="00C951F0" w:rsidRDefault="00B1644A" w:rsidP="0039543A">
            <w:pPr>
              <w:spacing w:line="240" w:lineRule="auto"/>
              <w:rPr>
                <w:color w:val="000000" w:themeColor="text1"/>
                <w:sz w:val="20"/>
                <w:szCs w:val="20"/>
              </w:rPr>
            </w:pPr>
          </w:p>
        </w:tc>
        <w:tc>
          <w:tcPr>
            <w:tcW w:w="526" w:type="pct"/>
            <w:tcBorders>
              <w:bottom w:val="single" w:sz="4" w:space="0" w:color="auto"/>
            </w:tcBorders>
          </w:tcPr>
          <w:p w14:paraId="195544CC" w14:textId="77777777" w:rsidR="00B1644A" w:rsidRPr="00C951F0" w:rsidRDefault="00B1644A" w:rsidP="0039543A">
            <w:pPr>
              <w:spacing w:line="240" w:lineRule="auto"/>
              <w:rPr>
                <w:color w:val="000000" w:themeColor="text1"/>
                <w:sz w:val="20"/>
                <w:szCs w:val="20"/>
              </w:rPr>
            </w:pPr>
          </w:p>
        </w:tc>
        <w:tc>
          <w:tcPr>
            <w:tcW w:w="524" w:type="pct"/>
            <w:tcBorders>
              <w:bottom w:val="single" w:sz="4" w:space="0" w:color="auto"/>
            </w:tcBorders>
          </w:tcPr>
          <w:p w14:paraId="773D0100" w14:textId="77777777" w:rsidR="00B1644A" w:rsidRPr="00C951F0" w:rsidRDefault="00B1644A" w:rsidP="0039543A">
            <w:pPr>
              <w:spacing w:line="240" w:lineRule="auto"/>
              <w:rPr>
                <w:color w:val="000000" w:themeColor="text1"/>
                <w:sz w:val="20"/>
                <w:szCs w:val="20"/>
              </w:rPr>
            </w:pPr>
          </w:p>
        </w:tc>
        <w:tc>
          <w:tcPr>
            <w:tcW w:w="1750" w:type="pct"/>
            <w:tcBorders>
              <w:bottom w:val="single" w:sz="4" w:space="0" w:color="auto"/>
            </w:tcBorders>
          </w:tcPr>
          <w:p w14:paraId="7A5C545C" w14:textId="77777777" w:rsidR="00B1644A" w:rsidRPr="00C951F0" w:rsidRDefault="00B1644A" w:rsidP="0039543A">
            <w:pPr>
              <w:spacing w:line="240" w:lineRule="auto"/>
              <w:rPr>
                <w:color w:val="000000" w:themeColor="text1"/>
                <w:sz w:val="20"/>
                <w:szCs w:val="20"/>
              </w:rPr>
            </w:pPr>
          </w:p>
        </w:tc>
      </w:tr>
      <w:tr w:rsidR="00C951F0" w:rsidRPr="00C951F0" w14:paraId="5C6C7630" w14:textId="77777777" w:rsidTr="00934A10">
        <w:tc>
          <w:tcPr>
            <w:tcW w:w="1674" w:type="pct"/>
            <w:tcBorders>
              <w:bottom w:val="nil"/>
            </w:tcBorders>
          </w:tcPr>
          <w:p w14:paraId="442C8D85" w14:textId="28793206" w:rsidR="00985A90" w:rsidRPr="00C951F0" w:rsidRDefault="00985A90" w:rsidP="00433982">
            <w:pPr>
              <w:spacing w:line="240" w:lineRule="auto"/>
              <w:rPr>
                <w:rFonts w:cs="Arial"/>
                <w:color w:val="000000" w:themeColor="text1"/>
                <w:sz w:val="20"/>
                <w:szCs w:val="20"/>
              </w:rPr>
            </w:pPr>
            <w:r w:rsidRPr="00C951F0">
              <w:rPr>
                <w:color w:val="000000" w:themeColor="text1"/>
                <w:sz w:val="20"/>
                <w:szCs w:val="20"/>
              </w:rPr>
              <w:t xml:space="preserve">Total cholesterol — </w:t>
            </w:r>
            <w:r w:rsidR="00A5423C">
              <w:rPr>
                <w:color w:val="000000" w:themeColor="text1"/>
                <w:sz w:val="20"/>
                <w:szCs w:val="20"/>
              </w:rPr>
              <w:t>mmol/L</w:t>
            </w:r>
          </w:p>
        </w:tc>
        <w:tc>
          <w:tcPr>
            <w:tcW w:w="526" w:type="pct"/>
            <w:tcBorders>
              <w:bottom w:val="nil"/>
            </w:tcBorders>
          </w:tcPr>
          <w:p w14:paraId="7C3E0B58" w14:textId="77777777" w:rsidR="00985A90" w:rsidRPr="00C951F0" w:rsidRDefault="00985A90" w:rsidP="0039543A">
            <w:pPr>
              <w:spacing w:line="240" w:lineRule="auto"/>
              <w:rPr>
                <w:color w:val="000000" w:themeColor="text1"/>
                <w:sz w:val="20"/>
                <w:szCs w:val="20"/>
              </w:rPr>
            </w:pPr>
          </w:p>
        </w:tc>
        <w:tc>
          <w:tcPr>
            <w:tcW w:w="526" w:type="pct"/>
            <w:tcBorders>
              <w:bottom w:val="nil"/>
            </w:tcBorders>
          </w:tcPr>
          <w:p w14:paraId="73461B9D" w14:textId="77777777" w:rsidR="00985A90" w:rsidRPr="00C951F0" w:rsidRDefault="00985A90" w:rsidP="0039543A">
            <w:pPr>
              <w:spacing w:line="240" w:lineRule="auto"/>
              <w:rPr>
                <w:color w:val="000000" w:themeColor="text1"/>
                <w:sz w:val="20"/>
                <w:szCs w:val="20"/>
              </w:rPr>
            </w:pPr>
          </w:p>
        </w:tc>
        <w:tc>
          <w:tcPr>
            <w:tcW w:w="524" w:type="pct"/>
            <w:tcBorders>
              <w:bottom w:val="nil"/>
            </w:tcBorders>
          </w:tcPr>
          <w:p w14:paraId="639E3E8F" w14:textId="77777777" w:rsidR="00985A90" w:rsidRPr="00C951F0" w:rsidRDefault="00985A90" w:rsidP="0039543A">
            <w:pPr>
              <w:spacing w:line="240" w:lineRule="auto"/>
              <w:rPr>
                <w:color w:val="000000" w:themeColor="text1"/>
                <w:sz w:val="20"/>
                <w:szCs w:val="20"/>
              </w:rPr>
            </w:pPr>
          </w:p>
        </w:tc>
        <w:tc>
          <w:tcPr>
            <w:tcW w:w="1750" w:type="pct"/>
            <w:tcBorders>
              <w:bottom w:val="nil"/>
            </w:tcBorders>
          </w:tcPr>
          <w:p w14:paraId="48D2DCC6" w14:textId="77777777" w:rsidR="00985A90" w:rsidRPr="00C951F0" w:rsidRDefault="00985A90" w:rsidP="0039543A">
            <w:pPr>
              <w:spacing w:line="240" w:lineRule="auto"/>
              <w:rPr>
                <w:color w:val="000000" w:themeColor="text1"/>
                <w:sz w:val="20"/>
                <w:szCs w:val="20"/>
              </w:rPr>
            </w:pPr>
          </w:p>
        </w:tc>
      </w:tr>
      <w:tr w:rsidR="00A5423C" w:rsidRPr="00C951F0" w14:paraId="512EB327" w14:textId="77777777" w:rsidTr="00934A10">
        <w:tc>
          <w:tcPr>
            <w:tcW w:w="1674" w:type="pct"/>
            <w:tcBorders>
              <w:top w:val="nil"/>
              <w:bottom w:val="nil"/>
            </w:tcBorders>
          </w:tcPr>
          <w:p w14:paraId="3CF3AE1B" w14:textId="079BC347" w:rsidR="00A5423C" w:rsidRPr="00C951F0" w:rsidRDefault="00A5423C" w:rsidP="00934A10">
            <w:pPr>
              <w:spacing w:line="240" w:lineRule="auto"/>
              <w:ind w:left="306"/>
              <w:rPr>
                <w:rFonts w:cs="Arial"/>
                <w:color w:val="000000" w:themeColor="text1"/>
                <w:sz w:val="20"/>
                <w:szCs w:val="20"/>
              </w:rPr>
            </w:pPr>
            <w:r>
              <w:rPr>
                <w:rFonts w:cs="Arial"/>
                <w:color w:val="000000" w:themeColor="text1"/>
                <w:sz w:val="20"/>
                <w:szCs w:val="20"/>
              </w:rPr>
              <w:lastRenderedPageBreak/>
              <w:t>n</w:t>
            </w:r>
          </w:p>
        </w:tc>
        <w:tc>
          <w:tcPr>
            <w:tcW w:w="526" w:type="pct"/>
            <w:tcBorders>
              <w:top w:val="nil"/>
              <w:bottom w:val="nil"/>
            </w:tcBorders>
          </w:tcPr>
          <w:p w14:paraId="6B6B1354" w14:textId="7D3E5491" w:rsidR="00A5423C" w:rsidRPr="00C951F0" w:rsidRDefault="00A5423C" w:rsidP="00934A10">
            <w:pPr>
              <w:spacing w:line="240" w:lineRule="auto"/>
              <w:jc w:val="center"/>
              <w:rPr>
                <w:color w:val="000000" w:themeColor="text1"/>
                <w:sz w:val="20"/>
                <w:szCs w:val="20"/>
              </w:rPr>
            </w:pPr>
            <w:r>
              <w:rPr>
                <w:color w:val="000000" w:themeColor="text1"/>
                <w:sz w:val="20"/>
                <w:szCs w:val="20"/>
              </w:rPr>
              <w:t>382</w:t>
            </w:r>
          </w:p>
        </w:tc>
        <w:tc>
          <w:tcPr>
            <w:tcW w:w="526" w:type="pct"/>
            <w:tcBorders>
              <w:top w:val="nil"/>
              <w:bottom w:val="nil"/>
            </w:tcBorders>
          </w:tcPr>
          <w:p w14:paraId="05D16F56" w14:textId="0B1CEEC0" w:rsidR="00A5423C" w:rsidRPr="00C951F0" w:rsidRDefault="00A5423C" w:rsidP="00934A10">
            <w:pPr>
              <w:spacing w:line="240" w:lineRule="auto"/>
              <w:jc w:val="center"/>
              <w:rPr>
                <w:color w:val="000000" w:themeColor="text1"/>
                <w:sz w:val="20"/>
                <w:szCs w:val="20"/>
              </w:rPr>
            </w:pPr>
            <w:r>
              <w:rPr>
                <w:color w:val="000000" w:themeColor="text1"/>
                <w:sz w:val="20"/>
                <w:szCs w:val="20"/>
              </w:rPr>
              <w:t>376</w:t>
            </w:r>
          </w:p>
        </w:tc>
        <w:tc>
          <w:tcPr>
            <w:tcW w:w="524" w:type="pct"/>
            <w:tcBorders>
              <w:top w:val="nil"/>
              <w:bottom w:val="nil"/>
            </w:tcBorders>
          </w:tcPr>
          <w:p w14:paraId="4EA8E66C" w14:textId="35A276D5" w:rsidR="00A5423C" w:rsidRPr="00C951F0" w:rsidRDefault="00A5423C" w:rsidP="00934A10">
            <w:pPr>
              <w:spacing w:line="240" w:lineRule="auto"/>
              <w:jc w:val="center"/>
              <w:rPr>
                <w:color w:val="000000" w:themeColor="text1"/>
                <w:sz w:val="20"/>
                <w:szCs w:val="20"/>
              </w:rPr>
            </w:pPr>
            <w:r>
              <w:rPr>
                <w:color w:val="000000" w:themeColor="text1"/>
                <w:sz w:val="20"/>
                <w:szCs w:val="20"/>
              </w:rPr>
              <w:t>374</w:t>
            </w:r>
          </w:p>
        </w:tc>
        <w:tc>
          <w:tcPr>
            <w:tcW w:w="1750" w:type="pct"/>
            <w:tcBorders>
              <w:top w:val="nil"/>
              <w:bottom w:val="nil"/>
            </w:tcBorders>
          </w:tcPr>
          <w:p w14:paraId="409C8F35" w14:textId="77777777" w:rsidR="00A5423C" w:rsidRPr="00C951F0" w:rsidRDefault="00A5423C" w:rsidP="00433982">
            <w:pPr>
              <w:spacing w:line="240" w:lineRule="auto"/>
              <w:rPr>
                <w:color w:val="000000" w:themeColor="text1"/>
                <w:sz w:val="20"/>
                <w:szCs w:val="20"/>
              </w:rPr>
            </w:pPr>
          </w:p>
        </w:tc>
      </w:tr>
      <w:tr w:rsidR="00C951F0" w:rsidRPr="00C951F0" w14:paraId="5B926AE2" w14:textId="77777777" w:rsidTr="00934A10">
        <w:tc>
          <w:tcPr>
            <w:tcW w:w="1674" w:type="pct"/>
            <w:tcBorders>
              <w:top w:val="nil"/>
              <w:bottom w:val="nil"/>
            </w:tcBorders>
          </w:tcPr>
          <w:p w14:paraId="0C1D6A4F" w14:textId="6B155D52" w:rsidR="00985A90" w:rsidRPr="00C951F0" w:rsidRDefault="00985A90" w:rsidP="00934A10">
            <w:pPr>
              <w:spacing w:line="240" w:lineRule="auto"/>
              <w:ind w:left="306"/>
              <w:rPr>
                <w:rFonts w:cs="Arial"/>
                <w:color w:val="000000" w:themeColor="text1"/>
                <w:sz w:val="20"/>
                <w:szCs w:val="20"/>
              </w:rPr>
            </w:pPr>
            <w:r w:rsidRPr="00C951F0">
              <w:rPr>
                <w:rFonts w:cs="Arial"/>
                <w:color w:val="000000" w:themeColor="text1"/>
                <w:sz w:val="20"/>
                <w:szCs w:val="20"/>
              </w:rPr>
              <w:t>Week 68 geometric mean (CV)</w:t>
            </w:r>
          </w:p>
        </w:tc>
        <w:tc>
          <w:tcPr>
            <w:tcW w:w="526" w:type="pct"/>
            <w:tcBorders>
              <w:top w:val="nil"/>
              <w:bottom w:val="nil"/>
            </w:tcBorders>
          </w:tcPr>
          <w:p w14:paraId="5F840FEB" w14:textId="0588170F" w:rsidR="00985A90" w:rsidRPr="00C951F0" w:rsidRDefault="007B717D" w:rsidP="00934A10">
            <w:pPr>
              <w:spacing w:line="240" w:lineRule="auto"/>
              <w:jc w:val="center"/>
              <w:rPr>
                <w:color w:val="000000" w:themeColor="text1"/>
                <w:sz w:val="20"/>
                <w:szCs w:val="20"/>
              </w:rPr>
            </w:pPr>
            <w:r>
              <w:rPr>
                <w:color w:val="000000" w:themeColor="text1"/>
                <w:sz w:val="20"/>
                <w:szCs w:val="20"/>
              </w:rPr>
              <w:t>4</w:t>
            </w:r>
            <w:r w:rsidRPr="00C951F0">
              <w:rPr>
                <w:color w:val="000000" w:themeColor="text1"/>
                <w:sz w:val="20"/>
                <w:szCs w:val="20"/>
              </w:rPr>
              <w:t>·</w:t>
            </w:r>
            <w:r>
              <w:rPr>
                <w:color w:val="000000" w:themeColor="text1"/>
                <w:sz w:val="20"/>
                <w:szCs w:val="20"/>
              </w:rPr>
              <w:t>4</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23·7)</w:t>
            </w:r>
          </w:p>
        </w:tc>
        <w:tc>
          <w:tcPr>
            <w:tcW w:w="526" w:type="pct"/>
            <w:tcBorders>
              <w:top w:val="nil"/>
              <w:bottom w:val="nil"/>
            </w:tcBorders>
          </w:tcPr>
          <w:p w14:paraId="6863A58D" w14:textId="50E93BDE" w:rsidR="00985A90" w:rsidRPr="00C951F0" w:rsidRDefault="007B717D" w:rsidP="00934A10">
            <w:pPr>
              <w:spacing w:line="240" w:lineRule="auto"/>
              <w:jc w:val="center"/>
              <w:rPr>
                <w:color w:val="000000" w:themeColor="text1"/>
                <w:sz w:val="20"/>
                <w:szCs w:val="20"/>
              </w:rPr>
            </w:pPr>
            <w:r>
              <w:rPr>
                <w:color w:val="000000" w:themeColor="text1"/>
                <w:sz w:val="20"/>
                <w:szCs w:val="20"/>
              </w:rPr>
              <w:t>4</w:t>
            </w:r>
            <w:r w:rsidRPr="00C951F0">
              <w:rPr>
                <w:color w:val="000000" w:themeColor="text1"/>
                <w:sz w:val="20"/>
                <w:szCs w:val="20"/>
              </w:rPr>
              <w:t>·</w:t>
            </w:r>
            <w:r>
              <w:rPr>
                <w:color w:val="000000" w:themeColor="text1"/>
                <w:sz w:val="20"/>
                <w:szCs w:val="20"/>
              </w:rPr>
              <w:t>3</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25·6)</w:t>
            </w:r>
          </w:p>
        </w:tc>
        <w:tc>
          <w:tcPr>
            <w:tcW w:w="524" w:type="pct"/>
            <w:tcBorders>
              <w:top w:val="nil"/>
              <w:bottom w:val="nil"/>
            </w:tcBorders>
          </w:tcPr>
          <w:p w14:paraId="51D303BD" w14:textId="1EAA8DF0" w:rsidR="00985A90" w:rsidRPr="00C951F0" w:rsidRDefault="007B717D" w:rsidP="00934A10">
            <w:pPr>
              <w:spacing w:line="240" w:lineRule="auto"/>
              <w:jc w:val="center"/>
              <w:rPr>
                <w:color w:val="000000" w:themeColor="text1"/>
                <w:sz w:val="20"/>
                <w:szCs w:val="20"/>
              </w:rPr>
            </w:pPr>
            <w:r>
              <w:rPr>
                <w:color w:val="000000" w:themeColor="text1"/>
                <w:sz w:val="20"/>
                <w:szCs w:val="20"/>
              </w:rPr>
              <w:t>4</w:t>
            </w:r>
            <w:r w:rsidRPr="00C951F0">
              <w:rPr>
                <w:color w:val="000000" w:themeColor="text1"/>
                <w:sz w:val="20"/>
                <w:szCs w:val="20"/>
              </w:rPr>
              <w:t>·</w:t>
            </w:r>
            <w:r>
              <w:rPr>
                <w:color w:val="000000" w:themeColor="text1"/>
                <w:sz w:val="20"/>
                <w:szCs w:val="20"/>
              </w:rPr>
              <w:t>4</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24·4)</w:t>
            </w:r>
          </w:p>
        </w:tc>
        <w:tc>
          <w:tcPr>
            <w:tcW w:w="1750" w:type="pct"/>
            <w:tcBorders>
              <w:top w:val="nil"/>
              <w:bottom w:val="nil"/>
            </w:tcBorders>
          </w:tcPr>
          <w:p w14:paraId="27434A9F" w14:textId="79D6022B" w:rsidR="00985A90" w:rsidRPr="00C951F0" w:rsidRDefault="00985A90" w:rsidP="00433982">
            <w:pPr>
              <w:spacing w:line="240" w:lineRule="auto"/>
              <w:rPr>
                <w:color w:val="000000" w:themeColor="text1"/>
                <w:sz w:val="20"/>
                <w:szCs w:val="20"/>
              </w:rPr>
            </w:pPr>
            <w:r w:rsidRPr="00C951F0">
              <w:rPr>
                <w:color w:val="000000" w:themeColor="text1"/>
                <w:sz w:val="20"/>
                <w:szCs w:val="20"/>
              </w:rPr>
              <w:t>Semaglutide 2·4 mg / placebo</w:t>
            </w:r>
            <w:r w:rsidR="00C921B3" w:rsidRPr="00C951F0">
              <w:rPr>
                <w:color w:val="000000" w:themeColor="text1"/>
                <w:sz w:val="20"/>
                <w:szCs w:val="20"/>
              </w:rPr>
              <w:t>;</w:t>
            </w:r>
            <w:r w:rsidRPr="00C951F0">
              <w:rPr>
                <w:color w:val="000000" w:themeColor="text1"/>
                <w:sz w:val="20"/>
                <w:szCs w:val="20"/>
              </w:rPr>
              <w:t xml:space="preserve"> ETR: 0·99 </w:t>
            </w:r>
            <w:r w:rsidR="00433982" w:rsidRPr="00C951F0">
              <w:rPr>
                <w:color w:val="000000" w:themeColor="text1"/>
                <w:sz w:val="20"/>
                <w:szCs w:val="20"/>
              </w:rPr>
              <w:t>(</w:t>
            </w:r>
            <w:r w:rsidRPr="00C951F0">
              <w:rPr>
                <w:color w:val="000000" w:themeColor="text1"/>
                <w:sz w:val="20"/>
                <w:szCs w:val="20"/>
              </w:rPr>
              <w:t>0·96 to 1·02</w:t>
            </w:r>
            <w:r w:rsidR="00433982" w:rsidRPr="00C951F0">
              <w:rPr>
                <w:color w:val="000000" w:themeColor="text1"/>
                <w:sz w:val="20"/>
                <w:szCs w:val="20"/>
              </w:rPr>
              <w:t>)</w:t>
            </w:r>
          </w:p>
        </w:tc>
      </w:tr>
      <w:tr w:rsidR="00C951F0" w:rsidRPr="00C951F0" w14:paraId="2CDA6368" w14:textId="77777777" w:rsidTr="00934A10">
        <w:tc>
          <w:tcPr>
            <w:tcW w:w="1674" w:type="pct"/>
            <w:tcBorders>
              <w:top w:val="nil"/>
              <w:bottom w:val="single" w:sz="4" w:space="0" w:color="auto"/>
            </w:tcBorders>
          </w:tcPr>
          <w:p w14:paraId="332BC6B4" w14:textId="2251BAA3"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Ratio to baseline</w:t>
            </w:r>
            <w:r w:rsidR="00433982" w:rsidRPr="00C951F0">
              <w:rPr>
                <w:rFonts w:cs="Arial"/>
                <w:color w:val="000000" w:themeColor="text1"/>
                <w:sz w:val="20"/>
                <w:szCs w:val="20"/>
              </w:rPr>
              <w:t>†</w:t>
            </w:r>
            <w:r w:rsidRPr="00C951F0">
              <w:rPr>
                <w:rFonts w:cs="Arial"/>
                <w:color w:val="000000" w:themeColor="text1"/>
                <w:sz w:val="20"/>
                <w:szCs w:val="20"/>
              </w:rPr>
              <w:t xml:space="preserve"> </w:t>
            </w:r>
          </w:p>
        </w:tc>
        <w:tc>
          <w:tcPr>
            <w:tcW w:w="526" w:type="pct"/>
            <w:tcBorders>
              <w:top w:val="nil"/>
              <w:bottom w:val="single" w:sz="4" w:space="0" w:color="auto"/>
            </w:tcBorders>
          </w:tcPr>
          <w:p w14:paraId="7C882CCE" w14:textId="1731BB51"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99</w:t>
            </w:r>
          </w:p>
        </w:tc>
        <w:tc>
          <w:tcPr>
            <w:tcW w:w="526" w:type="pct"/>
            <w:tcBorders>
              <w:top w:val="nil"/>
              <w:bottom w:val="single" w:sz="4" w:space="0" w:color="auto"/>
            </w:tcBorders>
          </w:tcPr>
          <w:p w14:paraId="666E6C95" w14:textId="72EEDC34"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98</w:t>
            </w:r>
          </w:p>
        </w:tc>
        <w:tc>
          <w:tcPr>
            <w:tcW w:w="524" w:type="pct"/>
            <w:tcBorders>
              <w:top w:val="nil"/>
              <w:bottom w:val="single" w:sz="4" w:space="0" w:color="auto"/>
            </w:tcBorders>
          </w:tcPr>
          <w:p w14:paraId="0F6A4A93" w14:textId="5EAE9E6A"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99</w:t>
            </w:r>
          </w:p>
        </w:tc>
        <w:tc>
          <w:tcPr>
            <w:tcW w:w="1750" w:type="pct"/>
            <w:tcBorders>
              <w:top w:val="nil"/>
              <w:bottom w:val="single" w:sz="4" w:space="0" w:color="auto"/>
            </w:tcBorders>
          </w:tcPr>
          <w:p w14:paraId="679DD3FC" w14:textId="62D98E0E"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w:t>
            </w:r>
            <w:r w:rsidR="00C921B3" w:rsidRPr="00C951F0">
              <w:rPr>
                <w:color w:val="000000" w:themeColor="text1"/>
                <w:sz w:val="20"/>
                <w:szCs w:val="20"/>
              </w:rPr>
              <w:t>;</w:t>
            </w:r>
            <w:r w:rsidRPr="00C951F0">
              <w:rPr>
                <w:color w:val="000000" w:themeColor="text1"/>
                <w:sz w:val="20"/>
                <w:szCs w:val="20"/>
              </w:rPr>
              <w:t xml:space="preserve"> ETR: 1</w:t>
            </w:r>
            <w:r w:rsidR="00C5236B" w:rsidRPr="00C951F0">
              <w:rPr>
                <w:color w:val="000000" w:themeColor="text1"/>
                <w:sz w:val="20"/>
                <w:szCs w:val="20"/>
              </w:rPr>
              <w:t>·</w:t>
            </w:r>
            <w:r w:rsidRPr="00C951F0">
              <w:rPr>
                <w:color w:val="000000" w:themeColor="text1"/>
                <w:sz w:val="20"/>
                <w:szCs w:val="20"/>
              </w:rPr>
              <w:t xml:space="preserve">01 </w:t>
            </w:r>
            <w:r w:rsidR="00433982" w:rsidRPr="00C951F0">
              <w:rPr>
                <w:color w:val="000000" w:themeColor="text1"/>
                <w:sz w:val="20"/>
                <w:szCs w:val="20"/>
              </w:rPr>
              <w:t>(</w:t>
            </w: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98</w:t>
            </w:r>
            <w:r w:rsidR="00227D23" w:rsidRPr="00C951F0">
              <w:rPr>
                <w:color w:val="000000" w:themeColor="text1"/>
                <w:sz w:val="20"/>
                <w:szCs w:val="20"/>
              </w:rPr>
              <w:t xml:space="preserve"> to</w:t>
            </w:r>
            <w:r w:rsidRPr="00C951F0">
              <w:rPr>
                <w:color w:val="000000" w:themeColor="text1"/>
                <w:sz w:val="20"/>
                <w:szCs w:val="20"/>
              </w:rPr>
              <w:t xml:space="preserve"> 1</w:t>
            </w:r>
            <w:r w:rsidR="00C5236B" w:rsidRPr="00C951F0">
              <w:rPr>
                <w:color w:val="000000" w:themeColor="text1"/>
                <w:sz w:val="20"/>
                <w:szCs w:val="20"/>
              </w:rPr>
              <w:t>·</w:t>
            </w:r>
            <w:r w:rsidRPr="00C951F0">
              <w:rPr>
                <w:color w:val="000000" w:themeColor="text1"/>
                <w:sz w:val="20"/>
                <w:szCs w:val="20"/>
              </w:rPr>
              <w:t>04</w:t>
            </w:r>
            <w:r w:rsidR="00433982" w:rsidRPr="00C951F0">
              <w:rPr>
                <w:color w:val="000000" w:themeColor="text1"/>
                <w:sz w:val="20"/>
                <w:szCs w:val="20"/>
              </w:rPr>
              <w:t>)</w:t>
            </w:r>
          </w:p>
        </w:tc>
      </w:tr>
      <w:tr w:rsidR="00C951F0" w:rsidRPr="00C951F0" w14:paraId="6CCE14C5" w14:textId="77777777" w:rsidTr="00934A10">
        <w:tc>
          <w:tcPr>
            <w:tcW w:w="1674" w:type="pct"/>
            <w:tcBorders>
              <w:top w:val="single" w:sz="4" w:space="0" w:color="auto"/>
              <w:bottom w:val="nil"/>
            </w:tcBorders>
          </w:tcPr>
          <w:p w14:paraId="7D6E7374" w14:textId="1014054F" w:rsidR="00985A90" w:rsidRPr="00C951F0" w:rsidDel="00985A90" w:rsidRDefault="00985A90" w:rsidP="0039543A">
            <w:pPr>
              <w:spacing w:line="240" w:lineRule="auto"/>
              <w:rPr>
                <w:color w:val="000000" w:themeColor="text1"/>
                <w:sz w:val="20"/>
                <w:szCs w:val="20"/>
              </w:rPr>
            </w:pPr>
            <w:r w:rsidRPr="00C951F0">
              <w:rPr>
                <w:color w:val="000000" w:themeColor="text1"/>
                <w:sz w:val="20"/>
                <w:szCs w:val="20"/>
              </w:rPr>
              <w:t xml:space="preserve">HDL cholesterol </w:t>
            </w:r>
            <w:r w:rsidRPr="00C951F0">
              <w:rPr>
                <w:rFonts w:cs="Arial"/>
                <w:color w:val="000000" w:themeColor="text1"/>
                <w:sz w:val="20"/>
                <w:szCs w:val="20"/>
              </w:rPr>
              <w:t xml:space="preserve">— </w:t>
            </w:r>
            <w:r w:rsidR="00A5423C">
              <w:rPr>
                <w:rFonts w:cs="Arial"/>
                <w:color w:val="000000" w:themeColor="text1"/>
                <w:sz w:val="20"/>
                <w:szCs w:val="20"/>
              </w:rPr>
              <w:t>mmol/L</w:t>
            </w:r>
          </w:p>
        </w:tc>
        <w:tc>
          <w:tcPr>
            <w:tcW w:w="526" w:type="pct"/>
            <w:tcBorders>
              <w:top w:val="single" w:sz="4" w:space="0" w:color="auto"/>
              <w:bottom w:val="nil"/>
            </w:tcBorders>
          </w:tcPr>
          <w:p w14:paraId="115025E6" w14:textId="77777777" w:rsidR="00985A90" w:rsidRPr="00C951F0" w:rsidDel="00985A90" w:rsidRDefault="00985A90" w:rsidP="0039543A">
            <w:pPr>
              <w:spacing w:line="240" w:lineRule="auto"/>
              <w:jc w:val="center"/>
              <w:rPr>
                <w:color w:val="000000" w:themeColor="text1"/>
                <w:sz w:val="20"/>
                <w:szCs w:val="20"/>
              </w:rPr>
            </w:pPr>
          </w:p>
        </w:tc>
        <w:tc>
          <w:tcPr>
            <w:tcW w:w="526" w:type="pct"/>
            <w:tcBorders>
              <w:top w:val="single" w:sz="4" w:space="0" w:color="auto"/>
              <w:bottom w:val="nil"/>
            </w:tcBorders>
          </w:tcPr>
          <w:p w14:paraId="4ACAACAA" w14:textId="77777777" w:rsidR="00985A90" w:rsidRPr="00C951F0" w:rsidDel="00985A90" w:rsidRDefault="00985A90" w:rsidP="0039543A">
            <w:pPr>
              <w:spacing w:line="240" w:lineRule="auto"/>
              <w:jc w:val="center"/>
              <w:rPr>
                <w:color w:val="000000" w:themeColor="text1"/>
                <w:sz w:val="20"/>
                <w:szCs w:val="20"/>
              </w:rPr>
            </w:pPr>
          </w:p>
        </w:tc>
        <w:tc>
          <w:tcPr>
            <w:tcW w:w="524" w:type="pct"/>
            <w:tcBorders>
              <w:top w:val="single" w:sz="4" w:space="0" w:color="auto"/>
              <w:bottom w:val="nil"/>
            </w:tcBorders>
          </w:tcPr>
          <w:p w14:paraId="5C4ED3DE" w14:textId="77777777" w:rsidR="00985A90" w:rsidRPr="00C951F0" w:rsidDel="00985A90" w:rsidRDefault="00985A90" w:rsidP="0039543A">
            <w:pPr>
              <w:spacing w:line="240" w:lineRule="auto"/>
              <w:jc w:val="center"/>
              <w:rPr>
                <w:color w:val="000000" w:themeColor="text1"/>
                <w:sz w:val="20"/>
                <w:szCs w:val="20"/>
              </w:rPr>
            </w:pPr>
          </w:p>
        </w:tc>
        <w:tc>
          <w:tcPr>
            <w:tcW w:w="1750" w:type="pct"/>
            <w:tcBorders>
              <w:top w:val="single" w:sz="4" w:space="0" w:color="auto"/>
              <w:bottom w:val="nil"/>
            </w:tcBorders>
          </w:tcPr>
          <w:p w14:paraId="5722CAE2" w14:textId="77777777" w:rsidR="00985A90" w:rsidRPr="00C951F0" w:rsidDel="00985A90" w:rsidRDefault="00985A90" w:rsidP="0039543A">
            <w:pPr>
              <w:spacing w:line="240" w:lineRule="auto"/>
              <w:rPr>
                <w:color w:val="000000" w:themeColor="text1"/>
                <w:sz w:val="20"/>
                <w:szCs w:val="20"/>
              </w:rPr>
            </w:pPr>
          </w:p>
        </w:tc>
      </w:tr>
      <w:tr w:rsidR="00A5423C" w:rsidRPr="00C951F0" w14:paraId="23EA6780" w14:textId="77777777" w:rsidTr="00934A10">
        <w:tc>
          <w:tcPr>
            <w:tcW w:w="1674" w:type="pct"/>
            <w:tcBorders>
              <w:top w:val="nil"/>
              <w:bottom w:val="nil"/>
            </w:tcBorders>
          </w:tcPr>
          <w:p w14:paraId="4A79DA56" w14:textId="72916ED7" w:rsidR="00A5423C" w:rsidRPr="00C951F0" w:rsidRDefault="00A5423C"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3FB9EB8F" w14:textId="13F867E1" w:rsidR="00A5423C" w:rsidRPr="00C951F0" w:rsidRDefault="00A5423C" w:rsidP="00433982">
            <w:pPr>
              <w:spacing w:line="240" w:lineRule="auto"/>
              <w:jc w:val="center"/>
              <w:rPr>
                <w:color w:val="000000" w:themeColor="text1"/>
                <w:sz w:val="20"/>
                <w:szCs w:val="20"/>
              </w:rPr>
            </w:pPr>
            <w:r>
              <w:rPr>
                <w:color w:val="000000" w:themeColor="text1"/>
                <w:sz w:val="20"/>
                <w:szCs w:val="20"/>
              </w:rPr>
              <w:t>377</w:t>
            </w:r>
          </w:p>
        </w:tc>
        <w:tc>
          <w:tcPr>
            <w:tcW w:w="526" w:type="pct"/>
            <w:tcBorders>
              <w:top w:val="nil"/>
              <w:bottom w:val="nil"/>
            </w:tcBorders>
          </w:tcPr>
          <w:p w14:paraId="5A8EB061" w14:textId="7E55A135" w:rsidR="00A5423C" w:rsidRPr="00C951F0" w:rsidRDefault="00A5423C">
            <w:pPr>
              <w:spacing w:line="240" w:lineRule="auto"/>
              <w:jc w:val="center"/>
              <w:rPr>
                <w:color w:val="000000" w:themeColor="text1"/>
                <w:sz w:val="20"/>
                <w:szCs w:val="20"/>
              </w:rPr>
            </w:pPr>
            <w:r>
              <w:rPr>
                <w:color w:val="000000" w:themeColor="text1"/>
                <w:sz w:val="20"/>
                <w:szCs w:val="20"/>
              </w:rPr>
              <w:t>376</w:t>
            </w:r>
          </w:p>
        </w:tc>
        <w:tc>
          <w:tcPr>
            <w:tcW w:w="524" w:type="pct"/>
            <w:tcBorders>
              <w:top w:val="nil"/>
              <w:bottom w:val="nil"/>
            </w:tcBorders>
          </w:tcPr>
          <w:p w14:paraId="2F115481" w14:textId="7F3D7B37" w:rsidR="00A5423C" w:rsidRPr="00C951F0" w:rsidRDefault="00A5423C">
            <w:pPr>
              <w:spacing w:line="240" w:lineRule="auto"/>
              <w:jc w:val="center"/>
              <w:rPr>
                <w:color w:val="000000" w:themeColor="text1"/>
                <w:sz w:val="20"/>
                <w:szCs w:val="20"/>
              </w:rPr>
            </w:pPr>
            <w:r>
              <w:rPr>
                <w:color w:val="000000" w:themeColor="text1"/>
                <w:sz w:val="20"/>
                <w:szCs w:val="20"/>
              </w:rPr>
              <w:t>370</w:t>
            </w:r>
          </w:p>
        </w:tc>
        <w:tc>
          <w:tcPr>
            <w:tcW w:w="1750" w:type="pct"/>
            <w:tcBorders>
              <w:top w:val="nil"/>
              <w:bottom w:val="nil"/>
            </w:tcBorders>
          </w:tcPr>
          <w:p w14:paraId="46E3957B" w14:textId="77777777" w:rsidR="00A5423C" w:rsidRPr="00C951F0" w:rsidRDefault="00A5423C">
            <w:pPr>
              <w:spacing w:line="240" w:lineRule="auto"/>
              <w:rPr>
                <w:color w:val="000000" w:themeColor="text1"/>
                <w:sz w:val="20"/>
                <w:szCs w:val="20"/>
              </w:rPr>
            </w:pPr>
          </w:p>
        </w:tc>
      </w:tr>
      <w:tr w:rsidR="00C951F0" w:rsidRPr="00C951F0" w14:paraId="41A60BF9" w14:textId="77777777" w:rsidTr="00934A10">
        <w:tc>
          <w:tcPr>
            <w:tcW w:w="1674" w:type="pct"/>
            <w:tcBorders>
              <w:top w:val="nil"/>
              <w:bottom w:val="nil"/>
            </w:tcBorders>
          </w:tcPr>
          <w:p w14:paraId="21F3E494" w14:textId="71D9AB53" w:rsidR="00985A90" w:rsidRPr="00C951F0" w:rsidRDefault="00985A90" w:rsidP="00934A10">
            <w:pPr>
              <w:spacing w:line="240" w:lineRule="auto"/>
              <w:ind w:left="306"/>
              <w:rPr>
                <w:rFonts w:cs="Arial"/>
                <w:color w:val="000000" w:themeColor="text1"/>
                <w:sz w:val="20"/>
                <w:szCs w:val="20"/>
              </w:rPr>
            </w:pPr>
            <w:r w:rsidRPr="00C951F0">
              <w:rPr>
                <w:rFonts w:cs="Arial"/>
                <w:color w:val="000000" w:themeColor="text1"/>
                <w:sz w:val="20"/>
                <w:szCs w:val="20"/>
              </w:rPr>
              <w:t>Week 68 geometric mean (CV)</w:t>
            </w:r>
          </w:p>
        </w:tc>
        <w:tc>
          <w:tcPr>
            <w:tcW w:w="526" w:type="pct"/>
            <w:tcBorders>
              <w:top w:val="nil"/>
              <w:bottom w:val="nil"/>
            </w:tcBorders>
          </w:tcPr>
          <w:p w14:paraId="2494B4CB" w14:textId="6B1C685C" w:rsidR="00985A90" w:rsidRPr="00C951F0" w:rsidDel="00985A90" w:rsidRDefault="007B717D" w:rsidP="00433982">
            <w:pPr>
              <w:spacing w:line="240" w:lineRule="auto"/>
              <w:jc w:val="center"/>
              <w:rPr>
                <w:color w:val="000000" w:themeColor="text1"/>
                <w:sz w:val="20"/>
                <w:szCs w:val="20"/>
              </w:rPr>
            </w:pPr>
            <w:r>
              <w:rPr>
                <w:color w:val="000000" w:themeColor="text1"/>
                <w:sz w:val="20"/>
                <w:szCs w:val="20"/>
              </w:rPr>
              <w:t>1</w:t>
            </w:r>
            <w:r w:rsidRPr="00C951F0">
              <w:rPr>
                <w:color w:val="000000" w:themeColor="text1"/>
                <w:sz w:val="20"/>
                <w:szCs w:val="20"/>
              </w:rPr>
              <w:t>·</w:t>
            </w:r>
            <w:r>
              <w:rPr>
                <w:color w:val="000000" w:themeColor="text1"/>
                <w:sz w:val="20"/>
                <w:szCs w:val="20"/>
              </w:rPr>
              <w:t>2</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23·6)</w:t>
            </w:r>
          </w:p>
        </w:tc>
        <w:tc>
          <w:tcPr>
            <w:tcW w:w="526" w:type="pct"/>
            <w:tcBorders>
              <w:top w:val="nil"/>
              <w:bottom w:val="nil"/>
            </w:tcBorders>
          </w:tcPr>
          <w:p w14:paraId="77E89DF8" w14:textId="3BDC8842" w:rsidR="00985A90" w:rsidRPr="00C951F0" w:rsidDel="00985A90" w:rsidRDefault="007B717D">
            <w:pPr>
              <w:spacing w:line="240" w:lineRule="auto"/>
              <w:jc w:val="center"/>
              <w:rPr>
                <w:color w:val="000000" w:themeColor="text1"/>
                <w:sz w:val="20"/>
                <w:szCs w:val="20"/>
              </w:rPr>
            </w:pPr>
            <w:r>
              <w:rPr>
                <w:color w:val="000000" w:themeColor="text1"/>
                <w:sz w:val="20"/>
                <w:szCs w:val="20"/>
              </w:rPr>
              <w:t>1</w:t>
            </w:r>
            <w:r w:rsidRPr="00C951F0">
              <w:rPr>
                <w:color w:val="000000" w:themeColor="text1"/>
                <w:sz w:val="20"/>
                <w:szCs w:val="20"/>
              </w:rPr>
              <w:t>·</w:t>
            </w:r>
            <w:r>
              <w:rPr>
                <w:color w:val="000000" w:themeColor="text1"/>
                <w:sz w:val="20"/>
                <w:szCs w:val="20"/>
              </w:rPr>
              <w:t>2</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23·8)</w:t>
            </w:r>
          </w:p>
        </w:tc>
        <w:tc>
          <w:tcPr>
            <w:tcW w:w="524" w:type="pct"/>
            <w:tcBorders>
              <w:top w:val="nil"/>
              <w:bottom w:val="nil"/>
            </w:tcBorders>
          </w:tcPr>
          <w:p w14:paraId="32012536" w14:textId="1664291E" w:rsidR="00985A90" w:rsidRPr="00C951F0" w:rsidDel="00985A90" w:rsidRDefault="007B717D">
            <w:pPr>
              <w:spacing w:line="240" w:lineRule="auto"/>
              <w:jc w:val="center"/>
              <w:rPr>
                <w:color w:val="000000" w:themeColor="text1"/>
                <w:sz w:val="20"/>
                <w:szCs w:val="20"/>
              </w:rPr>
            </w:pPr>
            <w:r>
              <w:rPr>
                <w:color w:val="000000" w:themeColor="text1"/>
                <w:sz w:val="20"/>
                <w:szCs w:val="20"/>
              </w:rPr>
              <w:t>1</w:t>
            </w:r>
            <w:r w:rsidRPr="00C951F0">
              <w:rPr>
                <w:color w:val="000000" w:themeColor="text1"/>
                <w:sz w:val="20"/>
                <w:szCs w:val="20"/>
              </w:rPr>
              <w:t>·</w:t>
            </w:r>
            <w:r>
              <w:rPr>
                <w:color w:val="000000" w:themeColor="text1"/>
                <w:sz w:val="20"/>
                <w:szCs w:val="20"/>
              </w:rPr>
              <w:t>2</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23·1)</w:t>
            </w:r>
          </w:p>
        </w:tc>
        <w:tc>
          <w:tcPr>
            <w:tcW w:w="1750" w:type="pct"/>
            <w:tcBorders>
              <w:top w:val="nil"/>
              <w:bottom w:val="nil"/>
            </w:tcBorders>
          </w:tcPr>
          <w:p w14:paraId="70FD54AB" w14:textId="29433B91" w:rsidR="00985A90" w:rsidRPr="00C951F0" w:rsidDel="00985A90" w:rsidRDefault="00985A90">
            <w:pPr>
              <w:spacing w:line="240" w:lineRule="auto"/>
              <w:rPr>
                <w:color w:val="000000" w:themeColor="text1"/>
                <w:sz w:val="20"/>
                <w:szCs w:val="20"/>
              </w:rPr>
            </w:pPr>
            <w:r w:rsidRPr="00C951F0">
              <w:rPr>
                <w:color w:val="000000" w:themeColor="text1"/>
                <w:sz w:val="20"/>
                <w:szCs w:val="20"/>
              </w:rPr>
              <w:t>Semaglutide 2·4 mg / placebo</w:t>
            </w:r>
            <w:r w:rsidR="002A7A09" w:rsidRPr="00C951F0">
              <w:rPr>
                <w:color w:val="000000" w:themeColor="text1"/>
                <w:sz w:val="20"/>
                <w:szCs w:val="20"/>
              </w:rPr>
              <w:t>;</w:t>
            </w:r>
            <w:r w:rsidRPr="00C951F0">
              <w:rPr>
                <w:color w:val="000000" w:themeColor="text1"/>
                <w:sz w:val="20"/>
                <w:szCs w:val="20"/>
              </w:rPr>
              <w:t xml:space="preserve"> ETR: 1·03 </w:t>
            </w:r>
            <w:r w:rsidR="00433982" w:rsidRPr="00C951F0">
              <w:rPr>
                <w:color w:val="000000" w:themeColor="text1"/>
                <w:sz w:val="20"/>
                <w:szCs w:val="20"/>
              </w:rPr>
              <w:t>(</w:t>
            </w:r>
            <w:r w:rsidRPr="00C951F0">
              <w:rPr>
                <w:color w:val="000000" w:themeColor="text1"/>
                <w:sz w:val="20"/>
                <w:szCs w:val="20"/>
              </w:rPr>
              <w:t>1·00 to 1·05</w:t>
            </w:r>
            <w:r w:rsidR="00433982" w:rsidRPr="00C951F0">
              <w:rPr>
                <w:color w:val="000000" w:themeColor="text1"/>
                <w:sz w:val="20"/>
                <w:szCs w:val="20"/>
              </w:rPr>
              <w:t>)</w:t>
            </w:r>
          </w:p>
        </w:tc>
      </w:tr>
      <w:tr w:rsidR="00C951F0" w:rsidRPr="00C951F0" w14:paraId="2B33D925" w14:textId="77777777" w:rsidTr="00934A10">
        <w:tc>
          <w:tcPr>
            <w:tcW w:w="1674" w:type="pct"/>
            <w:tcBorders>
              <w:top w:val="nil"/>
              <w:bottom w:val="single" w:sz="4" w:space="0" w:color="auto"/>
            </w:tcBorders>
          </w:tcPr>
          <w:p w14:paraId="12E09D7B" w14:textId="7FC556E6"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Ratio to baseline</w:t>
            </w:r>
            <w:r w:rsidR="00433982" w:rsidRPr="00C951F0">
              <w:rPr>
                <w:rFonts w:cs="Arial"/>
                <w:color w:val="000000" w:themeColor="text1"/>
                <w:sz w:val="20"/>
                <w:szCs w:val="20"/>
              </w:rPr>
              <w:t>†</w:t>
            </w:r>
          </w:p>
        </w:tc>
        <w:tc>
          <w:tcPr>
            <w:tcW w:w="526" w:type="pct"/>
            <w:tcBorders>
              <w:top w:val="nil"/>
              <w:bottom w:val="single" w:sz="4" w:space="0" w:color="auto"/>
            </w:tcBorders>
          </w:tcPr>
          <w:p w14:paraId="383EB9A4" w14:textId="6A89B479"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07</w:t>
            </w:r>
          </w:p>
        </w:tc>
        <w:tc>
          <w:tcPr>
            <w:tcW w:w="526" w:type="pct"/>
            <w:tcBorders>
              <w:top w:val="nil"/>
              <w:bottom w:val="single" w:sz="4" w:space="0" w:color="auto"/>
            </w:tcBorders>
          </w:tcPr>
          <w:p w14:paraId="010EB3A7" w14:textId="4631454C"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05</w:t>
            </w:r>
          </w:p>
        </w:tc>
        <w:tc>
          <w:tcPr>
            <w:tcW w:w="524" w:type="pct"/>
            <w:tcBorders>
              <w:top w:val="nil"/>
              <w:bottom w:val="single" w:sz="4" w:space="0" w:color="auto"/>
            </w:tcBorders>
          </w:tcPr>
          <w:p w14:paraId="022A6336" w14:textId="2D293BD9"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04</w:t>
            </w:r>
          </w:p>
        </w:tc>
        <w:tc>
          <w:tcPr>
            <w:tcW w:w="1750" w:type="pct"/>
            <w:tcBorders>
              <w:top w:val="nil"/>
              <w:bottom w:val="single" w:sz="4" w:space="0" w:color="auto"/>
            </w:tcBorders>
          </w:tcPr>
          <w:p w14:paraId="63B17DCC" w14:textId="29382918"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w:t>
            </w:r>
            <w:r w:rsidR="002A7A09" w:rsidRPr="00C951F0">
              <w:rPr>
                <w:color w:val="000000" w:themeColor="text1"/>
                <w:sz w:val="20"/>
                <w:szCs w:val="20"/>
              </w:rPr>
              <w:t>;</w:t>
            </w:r>
            <w:r w:rsidRPr="00C951F0">
              <w:rPr>
                <w:color w:val="000000" w:themeColor="text1"/>
                <w:sz w:val="20"/>
                <w:szCs w:val="20"/>
              </w:rPr>
              <w:t xml:space="preserve"> ETR: 1</w:t>
            </w:r>
            <w:r w:rsidR="00C5236B" w:rsidRPr="00C951F0">
              <w:rPr>
                <w:color w:val="000000" w:themeColor="text1"/>
                <w:sz w:val="20"/>
                <w:szCs w:val="20"/>
              </w:rPr>
              <w:t>·</w:t>
            </w:r>
            <w:r w:rsidRPr="00C951F0">
              <w:rPr>
                <w:color w:val="000000" w:themeColor="text1"/>
                <w:sz w:val="20"/>
                <w:szCs w:val="20"/>
              </w:rPr>
              <w:t xml:space="preserve">02 </w:t>
            </w:r>
            <w:r w:rsidR="00433982" w:rsidRPr="00C951F0">
              <w:rPr>
                <w:color w:val="000000" w:themeColor="text1"/>
                <w:sz w:val="20"/>
                <w:szCs w:val="20"/>
              </w:rPr>
              <w:t>(</w:t>
            </w: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00</w:t>
            </w:r>
            <w:r w:rsidR="00227D23" w:rsidRPr="00C951F0">
              <w:rPr>
                <w:color w:val="000000" w:themeColor="text1"/>
                <w:sz w:val="20"/>
                <w:szCs w:val="20"/>
              </w:rPr>
              <w:t xml:space="preserve"> to</w:t>
            </w:r>
            <w:r w:rsidRPr="00C951F0">
              <w:rPr>
                <w:color w:val="000000" w:themeColor="text1"/>
                <w:sz w:val="20"/>
                <w:szCs w:val="20"/>
              </w:rPr>
              <w:t xml:space="preserve"> 1</w:t>
            </w:r>
            <w:r w:rsidR="00C5236B" w:rsidRPr="00C951F0">
              <w:rPr>
                <w:color w:val="000000" w:themeColor="text1"/>
                <w:sz w:val="20"/>
                <w:szCs w:val="20"/>
              </w:rPr>
              <w:t>·</w:t>
            </w:r>
            <w:r w:rsidRPr="00C951F0">
              <w:rPr>
                <w:color w:val="000000" w:themeColor="text1"/>
                <w:sz w:val="20"/>
                <w:szCs w:val="20"/>
              </w:rPr>
              <w:t>04</w:t>
            </w:r>
            <w:r w:rsidR="00433982" w:rsidRPr="00C951F0">
              <w:rPr>
                <w:color w:val="000000" w:themeColor="text1"/>
                <w:sz w:val="20"/>
                <w:szCs w:val="20"/>
              </w:rPr>
              <w:t>)</w:t>
            </w:r>
          </w:p>
        </w:tc>
      </w:tr>
      <w:tr w:rsidR="00C951F0" w:rsidRPr="00C951F0" w14:paraId="57356E26" w14:textId="77777777" w:rsidTr="00934A10">
        <w:tc>
          <w:tcPr>
            <w:tcW w:w="1674" w:type="pct"/>
            <w:tcBorders>
              <w:top w:val="single" w:sz="4" w:space="0" w:color="auto"/>
              <w:bottom w:val="nil"/>
            </w:tcBorders>
          </w:tcPr>
          <w:p w14:paraId="2742AA3E" w14:textId="1B8A0EE9" w:rsidR="00985A90" w:rsidRPr="00C951F0" w:rsidDel="00985A90" w:rsidRDefault="00985A90" w:rsidP="0039543A">
            <w:pPr>
              <w:spacing w:line="240" w:lineRule="auto"/>
              <w:rPr>
                <w:color w:val="000000" w:themeColor="text1"/>
                <w:sz w:val="20"/>
                <w:szCs w:val="20"/>
              </w:rPr>
            </w:pPr>
            <w:r w:rsidRPr="00C951F0">
              <w:rPr>
                <w:color w:val="000000" w:themeColor="text1"/>
                <w:sz w:val="20"/>
                <w:szCs w:val="20"/>
              </w:rPr>
              <w:t xml:space="preserve">LDL cholesterol </w:t>
            </w:r>
            <w:r w:rsidRPr="00C951F0">
              <w:rPr>
                <w:rFonts w:cs="Arial"/>
                <w:color w:val="000000" w:themeColor="text1"/>
                <w:sz w:val="20"/>
                <w:szCs w:val="20"/>
              </w:rPr>
              <w:t xml:space="preserve">— </w:t>
            </w:r>
            <w:r w:rsidR="00A5423C">
              <w:rPr>
                <w:rFonts w:cs="Arial"/>
                <w:color w:val="000000" w:themeColor="text1"/>
                <w:sz w:val="20"/>
                <w:szCs w:val="20"/>
              </w:rPr>
              <w:t>mmol/L</w:t>
            </w:r>
          </w:p>
        </w:tc>
        <w:tc>
          <w:tcPr>
            <w:tcW w:w="526" w:type="pct"/>
            <w:tcBorders>
              <w:top w:val="single" w:sz="4" w:space="0" w:color="auto"/>
              <w:bottom w:val="nil"/>
            </w:tcBorders>
          </w:tcPr>
          <w:p w14:paraId="4389E610" w14:textId="77777777" w:rsidR="00985A90" w:rsidRPr="00C951F0" w:rsidDel="00985A90" w:rsidRDefault="00985A90" w:rsidP="0039543A">
            <w:pPr>
              <w:spacing w:line="240" w:lineRule="auto"/>
              <w:jc w:val="center"/>
              <w:rPr>
                <w:color w:val="000000" w:themeColor="text1"/>
                <w:sz w:val="20"/>
                <w:szCs w:val="20"/>
              </w:rPr>
            </w:pPr>
          </w:p>
        </w:tc>
        <w:tc>
          <w:tcPr>
            <w:tcW w:w="526" w:type="pct"/>
            <w:tcBorders>
              <w:top w:val="single" w:sz="4" w:space="0" w:color="auto"/>
              <w:bottom w:val="nil"/>
            </w:tcBorders>
          </w:tcPr>
          <w:p w14:paraId="1C4BCFFA" w14:textId="77777777" w:rsidR="00985A90" w:rsidRPr="00C951F0" w:rsidDel="00985A90" w:rsidRDefault="00985A90" w:rsidP="0039543A">
            <w:pPr>
              <w:spacing w:line="240" w:lineRule="auto"/>
              <w:jc w:val="center"/>
              <w:rPr>
                <w:color w:val="000000" w:themeColor="text1"/>
                <w:sz w:val="20"/>
                <w:szCs w:val="20"/>
              </w:rPr>
            </w:pPr>
          </w:p>
        </w:tc>
        <w:tc>
          <w:tcPr>
            <w:tcW w:w="524" w:type="pct"/>
            <w:tcBorders>
              <w:top w:val="single" w:sz="4" w:space="0" w:color="auto"/>
              <w:bottom w:val="nil"/>
            </w:tcBorders>
          </w:tcPr>
          <w:p w14:paraId="23766D55" w14:textId="77777777" w:rsidR="00985A90" w:rsidRPr="00C951F0" w:rsidDel="00985A90" w:rsidRDefault="00985A90" w:rsidP="0039543A">
            <w:pPr>
              <w:spacing w:line="240" w:lineRule="auto"/>
              <w:jc w:val="center"/>
              <w:rPr>
                <w:color w:val="000000" w:themeColor="text1"/>
                <w:sz w:val="20"/>
                <w:szCs w:val="20"/>
              </w:rPr>
            </w:pPr>
          </w:p>
        </w:tc>
        <w:tc>
          <w:tcPr>
            <w:tcW w:w="1750" w:type="pct"/>
            <w:tcBorders>
              <w:top w:val="single" w:sz="4" w:space="0" w:color="auto"/>
              <w:bottom w:val="nil"/>
            </w:tcBorders>
          </w:tcPr>
          <w:p w14:paraId="114D229C" w14:textId="77777777" w:rsidR="00985A90" w:rsidRPr="00C951F0" w:rsidDel="00985A90" w:rsidRDefault="00985A90" w:rsidP="0039543A">
            <w:pPr>
              <w:spacing w:line="240" w:lineRule="auto"/>
              <w:rPr>
                <w:color w:val="000000" w:themeColor="text1"/>
                <w:sz w:val="20"/>
                <w:szCs w:val="20"/>
              </w:rPr>
            </w:pPr>
          </w:p>
        </w:tc>
      </w:tr>
      <w:tr w:rsidR="00A5423C" w:rsidRPr="00C951F0" w14:paraId="27230C4F" w14:textId="77777777" w:rsidTr="00934A10">
        <w:tc>
          <w:tcPr>
            <w:tcW w:w="1674" w:type="pct"/>
            <w:tcBorders>
              <w:top w:val="nil"/>
              <w:bottom w:val="nil"/>
            </w:tcBorders>
          </w:tcPr>
          <w:p w14:paraId="08D780DA" w14:textId="069C0174" w:rsidR="00A5423C" w:rsidRPr="00C951F0" w:rsidRDefault="00A5423C"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4E76E291" w14:textId="46A4EC49" w:rsidR="00A5423C" w:rsidRPr="00C951F0" w:rsidRDefault="00A5423C" w:rsidP="00433982">
            <w:pPr>
              <w:spacing w:line="240" w:lineRule="auto"/>
              <w:jc w:val="center"/>
              <w:rPr>
                <w:color w:val="000000" w:themeColor="text1"/>
                <w:sz w:val="20"/>
                <w:szCs w:val="20"/>
              </w:rPr>
            </w:pPr>
            <w:r>
              <w:rPr>
                <w:color w:val="000000" w:themeColor="text1"/>
                <w:sz w:val="20"/>
                <w:szCs w:val="20"/>
              </w:rPr>
              <w:t>382</w:t>
            </w:r>
          </w:p>
        </w:tc>
        <w:tc>
          <w:tcPr>
            <w:tcW w:w="526" w:type="pct"/>
            <w:tcBorders>
              <w:top w:val="nil"/>
              <w:bottom w:val="nil"/>
            </w:tcBorders>
          </w:tcPr>
          <w:p w14:paraId="41DEB76E" w14:textId="6EF34ADC" w:rsidR="00A5423C" w:rsidRPr="00C951F0" w:rsidRDefault="00A5423C">
            <w:pPr>
              <w:spacing w:line="240" w:lineRule="auto"/>
              <w:jc w:val="center"/>
              <w:rPr>
                <w:color w:val="000000" w:themeColor="text1"/>
                <w:sz w:val="20"/>
                <w:szCs w:val="20"/>
              </w:rPr>
            </w:pPr>
            <w:r>
              <w:rPr>
                <w:color w:val="000000" w:themeColor="text1"/>
                <w:sz w:val="20"/>
                <w:szCs w:val="20"/>
              </w:rPr>
              <w:t>376</w:t>
            </w:r>
          </w:p>
        </w:tc>
        <w:tc>
          <w:tcPr>
            <w:tcW w:w="524" w:type="pct"/>
            <w:tcBorders>
              <w:top w:val="nil"/>
              <w:bottom w:val="nil"/>
            </w:tcBorders>
          </w:tcPr>
          <w:p w14:paraId="182FE03D" w14:textId="001E2DB4" w:rsidR="00A5423C" w:rsidRPr="00C951F0" w:rsidRDefault="00A5423C">
            <w:pPr>
              <w:spacing w:line="240" w:lineRule="auto"/>
              <w:jc w:val="center"/>
              <w:rPr>
                <w:color w:val="000000" w:themeColor="text1"/>
                <w:sz w:val="20"/>
                <w:szCs w:val="20"/>
              </w:rPr>
            </w:pPr>
            <w:r>
              <w:rPr>
                <w:color w:val="000000" w:themeColor="text1"/>
                <w:sz w:val="20"/>
                <w:szCs w:val="20"/>
              </w:rPr>
              <w:t>374</w:t>
            </w:r>
          </w:p>
        </w:tc>
        <w:tc>
          <w:tcPr>
            <w:tcW w:w="1750" w:type="pct"/>
            <w:tcBorders>
              <w:top w:val="nil"/>
              <w:bottom w:val="nil"/>
            </w:tcBorders>
          </w:tcPr>
          <w:p w14:paraId="7FBA3F80" w14:textId="77777777" w:rsidR="00A5423C" w:rsidRPr="00C951F0" w:rsidRDefault="00A5423C" w:rsidP="0039543A">
            <w:pPr>
              <w:spacing w:line="240" w:lineRule="auto"/>
              <w:rPr>
                <w:color w:val="000000" w:themeColor="text1"/>
                <w:sz w:val="20"/>
                <w:szCs w:val="20"/>
              </w:rPr>
            </w:pPr>
          </w:p>
        </w:tc>
      </w:tr>
      <w:tr w:rsidR="00C951F0" w:rsidRPr="00C951F0" w14:paraId="74EA30D7" w14:textId="77777777" w:rsidTr="00934A10">
        <w:tc>
          <w:tcPr>
            <w:tcW w:w="1674" w:type="pct"/>
            <w:tcBorders>
              <w:top w:val="nil"/>
              <w:bottom w:val="nil"/>
            </w:tcBorders>
          </w:tcPr>
          <w:p w14:paraId="1B47A9F6" w14:textId="63C882B4" w:rsidR="00985A90" w:rsidRPr="00C951F0" w:rsidDel="00985A90" w:rsidRDefault="00985A90" w:rsidP="00934A10">
            <w:pPr>
              <w:spacing w:line="240" w:lineRule="auto"/>
              <w:ind w:left="306"/>
              <w:rPr>
                <w:rFonts w:cs="Arial"/>
                <w:color w:val="000000" w:themeColor="text1"/>
                <w:sz w:val="20"/>
                <w:szCs w:val="20"/>
              </w:rPr>
            </w:pPr>
            <w:r w:rsidRPr="00C951F0">
              <w:rPr>
                <w:rFonts w:cs="Arial"/>
                <w:color w:val="000000" w:themeColor="text1"/>
                <w:sz w:val="20"/>
                <w:szCs w:val="20"/>
              </w:rPr>
              <w:t>Week 68 geometric mean (CV)</w:t>
            </w:r>
          </w:p>
        </w:tc>
        <w:tc>
          <w:tcPr>
            <w:tcW w:w="526" w:type="pct"/>
            <w:tcBorders>
              <w:top w:val="nil"/>
              <w:bottom w:val="nil"/>
            </w:tcBorders>
          </w:tcPr>
          <w:p w14:paraId="274FF086" w14:textId="1A6ABE2A" w:rsidR="00985A90" w:rsidRPr="00C951F0" w:rsidDel="00985A90" w:rsidRDefault="007B717D" w:rsidP="00433982">
            <w:pPr>
              <w:spacing w:line="240" w:lineRule="auto"/>
              <w:jc w:val="center"/>
              <w:rPr>
                <w:color w:val="000000" w:themeColor="text1"/>
                <w:sz w:val="20"/>
                <w:szCs w:val="20"/>
              </w:rPr>
            </w:pPr>
            <w:r>
              <w:rPr>
                <w:color w:val="000000" w:themeColor="text1"/>
                <w:sz w:val="20"/>
                <w:szCs w:val="20"/>
              </w:rPr>
              <w:t>2</w:t>
            </w:r>
            <w:r w:rsidRPr="00C951F0">
              <w:rPr>
                <w:color w:val="000000" w:themeColor="text1"/>
                <w:sz w:val="20"/>
                <w:szCs w:val="20"/>
              </w:rPr>
              <w:t>·</w:t>
            </w:r>
            <w:r>
              <w:rPr>
                <w:color w:val="000000" w:themeColor="text1"/>
                <w:sz w:val="20"/>
                <w:szCs w:val="20"/>
              </w:rPr>
              <w:t>3</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39·2)</w:t>
            </w:r>
          </w:p>
        </w:tc>
        <w:tc>
          <w:tcPr>
            <w:tcW w:w="526" w:type="pct"/>
            <w:tcBorders>
              <w:top w:val="nil"/>
              <w:bottom w:val="nil"/>
            </w:tcBorders>
          </w:tcPr>
          <w:p w14:paraId="40CB1A53" w14:textId="0C0E099B" w:rsidR="00985A90" w:rsidRPr="00C951F0" w:rsidDel="00985A90" w:rsidRDefault="007B717D">
            <w:pPr>
              <w:spacing w:line="240" w:lineRule="auto"/>
              <w:jc w:val="center"/>
              <w:rPr>
                <w:color w:val="000000" w:themeColor="text1"/>
                <w:sz w:val="20"/>
                <w:szCs w:val="20"/>
              </w:rPr>
            </w:pPr>
            <w:r>
              <w:rPr>
                <w:color w:val="000000" w:themeColor="text1"/>
                <w:sz w:val="20"/>
                <w:szCs w:val="20"/>
              </w:rPr>
              <w:t>2</w:t>
            </w:r>
            <w:r w:rsidRPr="00C951F0">
              <w:rPr>
                <w:color w:val="000000" w:themeColor="text1"/>
                <w:sz w:val="20"/>
                <w:szCs w:val="20"/>
              </w:rPr>
              <w:t>·</w:t>
            </w:r>
            <w:r>
              <w:rPr>
                <w:color w:val="000000" w:themeColor="text1"/>
                <w:sz w:val="20"/>
                <w:szCs w:val="20"/>
              </w:rPr>
              <w:t>3</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41·0)</w:t>
            </w:r>
          </w:p>
        </w:tc>
        <w:tc>
          <w:tcPr>
            <w:tcW w:w="524" w:type="pct"/>
            <w:tcBorders>
              <w:top w:val="nil"/>
              <w:bottom w:val="nil"/>
            </w:tcBorders>
          </w:tcPr>
          <w:p w14:paraId="4ABDAD3B" w14:textId="11934991" w:rsidR="00985A90" w:rsidRPr="00C951F0" w:rsidDel="00985A90" w:rsidRDefault="007B717D">
            <w:pPr>
              <w:spacing w:line="240" w:lineRule="auto"/>
              <w:jc w:val="center"/>
              <w:rPr>
                <w:color w:val="000000" w:themeColor="text1"/>
                <w:sz w:val="20"/>
                <w:szCs w:val="20"/>
              </w:rPr>
            </w:pPr>
            <w:r>
              <w:rPr>
                <w:color w:val="000000" w:themeColor="text1"/>
                <w:sz w:val="20"/>
                <w:szCs w:val="20"/>
              </w:rPr>
              <w:t>2</w:t>
            </w:r>
            <w:r w:rsidRPr="00C951F0">
              <w:rPr>
                <w:color w:val="000000" w:themeColor="text1"/>
                <w:sz w:val="20"/>
                <w:szCs w:val="20"/>
              </w:rPr>
              <w:t>·</w:t>
            </w:r>
            <w:r>
              <w:rPr>
                <w:color w:val="000000" w:themeColor="text1"/>
                <w:sz w:val="20"/>
                <w:szCs w:val="20"/>
              </w:rPr>
              <w:t>3</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39·3)</w:t>
            </w:r>
          </w:p>
        </w:tc>
        <w:tc>
          <w:tcPr>
            <w:tcW w:w="1750" w:type="pct"/>
            <w:tcBorders>
              <w:top w:val="nil"/>
              <w:bottom w:val="nil"/>
            </w:tcBorders>
          </w:tcPr>
          <w:p w14:paraId="69AB8A6C" w14:textId="79F50CAD" w:rsidR="00985A90" w:rsidRPr="00C951F0" w:rsidDel="00985A90" w:rsidRDefault="00985A90" w:rsidP="0039543A">
            <w:pPr>
              <w:spacing w:line="240" w:lineRule="auto"/>
              <w:rPr>
                <w:color w:val="000000" w:themeColor="text1"/>
                <w:sz w:val="20"/>
                <w:szCs w:val="20"/>
              </w:rPr>
            </w:pPr>
            <w:r w:rsidRPr="00C951F0">
              <w:rPr>
                <w:color w:val="000000" w:themeColor="text1"/>
                <w:sz w:val="20"/>
                <w:szCs w:val="20"/>
              </w:rPr>
              <w:t>Semaglutide 2·4 mg / placebo</w:t>
            </w:r>
            <w:r w:rsidR="002A7A09" w:rsidRPr="00C951F0">
              <w:rPr>
                <w:color w:val="000000" w:themeColor="text1"/>
                <w:sz w:val="20"/>
                <w:szCs w:val="20"/>
              </w:rPr>
              <w:t>;</w:t>
            </w:r>
            <w:r w:rsidRPr="00C951F0">
              <w:rPr>
                <w:color w:val="000000" w:themeColor="text1"/>
                <w:sz w:val="20"/>
                <w:szCs w:val="20"/>
              </w:rPr>
              <w:t xml:space="preserve"> ETR: 1·00 </w:t>
            </w:r>
            <w:r w:rsidR="00433982" w:rsidRPr="00C951F0">
              <w:rPr>
                <w:color w:val="000000" w:themeColor="text1"/>
                <w:sz w:val="20"/>
                <w:szCs w:val="20"/>
              </w:rPr>
              <w:t>(</w:t>
            </w:r>
            <w:r w:rsidRPr="00C951F0">
              <w:rPr>
                <w:color w:val="000000" w:themeColor="text1"/>
                <w:sz w:val="20"/>
                <w:szCs w:val="20"/>
              </w:rPr>
              <w:t>0·96 to 1·05</w:t>
            </w:r>
            <w:r w:rsidR="00433982" w:rsidRPr="00C951F0">
              <w:rPr>
                <w:color w:val="000000" w:themeColor="text1"/>
                <w:sz w:val="20"/>
                <w:szCs w:val="20"/>
              </w:rPr>
              <w:t>)</w:t>
            </w:r>
          </w:p>
        </w:tc>
      </w:tr>
      <w:tr w:rsidR="00C951F0" w:rsidRPr="00C951F0" w14:paraId="49150527" w14:textId="77777777" w:rsidTr="00934A10">
        <w:tc>
          <w:tcPr>
            <w:tcW w:w="1674" w:type="pct"/>
            <w:tcBorders>
              <w:top w:val="nil"/>
              <w:bottom w:val="single" w:sz="4" w:space="0" w:color="auto"/>
            </w:tcBorders>
          </w:tcPr>
          <w:p w14:paraId="4D88C7C7" w14:textId="6A513DCD"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Ratio to baseline</w:t>
            </w:r>
            <w:r w:rsidR="00433982" w:rsidRPr="00C951F0">
              <w:rPr>
                <w:rFonts w:cs="Arial"/>
                <w:color w:val="000000" w:themeColor="text1"/>
                <w:sz w:val="20"/>
                <w:szCs w:val="20"/>
              </w:rPr>
              <w:t>†</w:t>
            </w:r>
          </w:p>
        </w:tc>
        <w:tc>
          <w:tcPr>
            <w:tcW w:w="526" w:type="pct"/>
            <w:tcBorders>
              <w:top w:val="nil"/>
              <w:bottom w:val="single" w:sz="4" w:space="0" w:color="auto"/>
            </w:tcBorders>
          </w:tcPr>
          <w:p w14:paraId="36FD9CD4" w14:textId="255C407D"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00</w:t>
            </w:r>
          </w:p>
        </w:tc>
        <w:tc>
          <w:tcPr>
            <w:tcW w:w="526" w:type="pct"/>
            <w:tcBorders>
              <w:top w:val="nil"/>
              <w:bottom w:val="single" w:sz="4" w:space="0" w:color="auto"/>
            </w:tcBorders>
          </w:tcPr>
          <w:p w14:paraId="57B8121B" w14:textId="69FB2C46"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99</w:t>
            </w:r>
          </w:p>
        </w:tc>
        <w:tc>
          <w:tcPr>
            <w:tcW w:w="524" w:type="pct"/>
            <w:tcBorders>
              <w:top w:val="nil"/>
              <w:bottom w:val="single" w:sz="4" w:space="0" w:color="auto"/>
            </w:tcBorders>
          </w:tcPr>
          <w:p w14:paraId="7546F891" w14:textId="1C3C32DE"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1</w:t>
            </w:r>
            <w:r w:rsidR="00C5236B" w:rsidRPr="00C951F0">
              <w:rPr>
                <w:color w:val="000000" w:themeColor="text1"/>
                <w:sz w:val="20"/>
                <w:szCs w:val="20"/>
              </w:rPr>
              <w:t>·</w:t>
            </w:r>
            <w:r w:rsidRPr="00C951F0">
              <w:rPr>
                <w:color w:val="000000" w:themeColor="text1"/>
                <w:sz w:val="20"/>
                <w:szCs w:val="20"/>
              </w:rPr>
              <w:t>00</w:t>
            </w:r>
          </w:p>
        </w:tc>
        <w:tc>
          <w:tcPr>
            <w:tcW w:w="1750" w:type="pct"/>
            <w:tcBorders>
              <w:top w:val="nil"/>
              <w:bottom w:val="single" w:sz="4" w:space="0" w:color="auto"/>
            </w:tcBorders>
          </w:tcPr>
          <w:p w14:paraId="1F52DDD5" w14:textId="5B975CA4"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w:t>
            </w:r>
            <w:r w:rsidR="002A7A09" w:rsidRPr="00C951F0">
              <w:rPr>
                <w:color w:val="000000" w:themeColor="text1"/>
                <w:sz w:val="20"/>
                <w:szCs w:val="20"/>
              </w:rPr>
              <w:t>;</w:t>
            </w:r>
            <w:r w:rsidRPr="00C951F0">
              <w:rPr>
                <w:color w:val="000000" w:themeColor="text1"/>
                <w:sz w:val="20"/>
                <w:szCs w:val="20"/>
              </w:rPr>
              <w:t xml:space="preserve"> ETR: 1</w:t>
            </w:r>
            <w:r w:rsidR="00C5236B" w:rsidRPr="00C951F0">
              <w:rPr>
                <w:color w:val="000000" w:themeColor="text1"/>
                <w:sz w:val="20"/>
                <w:szCs w:val="20"/>
              </w:rPr>
              <w:t>·</w:t>
            </w:r>
            <w:r w:rsidRPr="00C951F0">
              <w:rPr>
                <w:color w:val="000000" w:themeColor="text1"/>
                <w:sz w:val="20"/>
                <w:szCs w:val="20"/>
              </w:rPr>
              <w:t xml:space="preserve">01 </w:t>
            </w:r>
            <w:r w:rsidR="00433982" w:rsidRPr="00C951F0">
              <w:rPr>
                <w:color w:val="000000" w:themeColor="text1"/>
                <w:sz w:val="20"/>
                <w:szCs w:val="20"/>
              </w:rPr>
              <w:t>(</w:t>
            </w: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97</w:t>
            </w:r>
            <w:r w:rsidR="00227D23" w:rsidRPr="00C951F0">
              <w:rPr>
                <w:color w:val="000000" w:themeColor="text1"/>
                <w:sz w:val="20"/>
                <w:szCs w:val="20"/>
              </w:rPr>
              <w:t xml:space="preserve"> to</w:t>
            </w:r>
            <w:r w:rsidRPr="00C951F0">
              <w:rPr>
                <w:color w:val="000000" w:themeColor="text1"/>
                <w:sz w:val="20"/>
                <w:szCs w:val="20"/>
              </w:rPr>
              <w:t xml:space="preserve"> 1</w:t>
            </w:r>
            <w:r w:rsidR="00C5236B" w:rsidRPr="00C951F0">
              <w:rPr>
                <w:color w:val="000000" w:themeColor="text1"/>
                <w:sz w:val="20"/>
                <w:szCs w:val="20"/>
              </w:rPr>
              <w:t>·</w:t>
            </w:r>
            <w:r w:rsidRPr="00C951F0">
              <w:rPr>
                <w:color w:val="000000" w:themeColor="text1"/>
                <w:sz w:val="20"/>
                <w:szCs w:val="20"/>
              </w:rPr>
              <w:t>06</w:t>
            </w:r>
            <w:r w:rsidR="00433982" w:rsidRPr="00C951F0">
              <w:rPr>
                <w:color w:val="000000" w:themeColor="text1"/>
                <w:sz w:val="20"/>
                <w:szCs w:val="20"/>
              </w:rPr>
              <w:t>)</w:t>
            </w:r>
          </w:p>
        </w:tc>
      </w:tr>
      <w:tr w:rsidR="00C951F0" w:rsidRPr="00C951F0" w14:paraId="7EBC6488" w14:textId="77777777" w:rsidTr="00934A10">
        <w:tc>
          <w:tcPr>
            <w:tcW w:w="1674" w:type="pct"/>
            <w:tcBorders>
              <w:bottom w:val="nil"/>
            </w:tcBorders>
          </w:tcPr>
          <w:p w14:paraId="24DB1685" w14:textId="5A79F360" w:rsidR="00985A90" w:rsidRPr="00C951F0" w:rsidRDefault="00985A90" w:rsidP="0039543A">
            <w:pPr>
              <w:spacing w:line="240" w:lineRule="auto"/>
              <w:rPr>
                <w:color w:val="000000" w:themeColor="text1"/>
                <w:sz w:val="20"/>
                <w:szCs w:val="20"/>
              </w:rPr>
            </w:pPr>
            <w:r w:rsidRPr="00C951F0">
              <w:rPr>
                <w:color w:val="000000" w:themeColor="text1"/>
                <w:sz w:val="20"/>
                <w:szCs w:val="20"/>
              </w:rPr>
              <w:t xml:space="preserve">VLDL cholesterol </w:t>
            </w:r>
            <w:r w:rsidRPr="00C951F0">
              <w:rPr>
                <w:rFonts w:cs="Arial"/>
                <w:color w:val="000000" w:themeColor="text1"/>
                <w:sz w:val="20"/>
                <w:szCs w:val="20"/>
              </w:rPr>
              <w:t xml:space="preserve">— </w:t>
            </w:r>
            <w:r w:rsidR="00A5423C">
              <w:rPr>
                <w:rFonts w:cs="Arial"/>
                <w:color w:val="000000" w:themeColor="text1"/>
                <w:sz w:val="20"/>
                <w:szCs w:val="20"/>
              </w:rPr>
              <w:t>mmol/L</w:t>
            </w:r>
          </w:p>
        </w:tc>
        <w:tc>
          <w:tcPr>
            <w:tcW w:w="526" w:type="pct"/>
            <w:tcBorders>
              <w:bottom w:val="nil"/>
            </w:tcBorders>
          </w:tcPr>
          <w:p w14:paraId="03FBA411" w14:textId="77777777" w:rsidR="00985A90" w:rsidRPr="00C951F0" w:rsidRDefault="00985A90" w:rsidP="0039543A">
            <w:pPr>
              <w:spacing w:line="240" w:lineRule="auto"/>
              <w:jc w:val="center"/>
              <w:rPr>
                <w:color w:val="000000" w:themeColor="text1"/>
                <w:sz w:val="20"/>
                <w:szCs w:val="20"/>
              </w:rPr>
            </w:pPr>
          </w:p>
        </w:tc>
        <w:tc>
          <w:tcPr>
            <w:tcW w:w="526" w:type="pct"/>
            <w:tcBorders>
              <w:bottom w:val="nil"/>
            </w:tcBorders>
          </w:tcPr>
          <w:p w14:paraId="67D1D90B" w14:textId="77777777" w:rsidR="00985A90" w:rsidRPr="00C951F0" w:rsidRDefault="00985A90" w:rsidP="0039543A">
            <w:pPr>
              <w:spacing w:line="240" w:lineRule="auto"/>
              <w:jc w:val="center"/>
              <w:rPr>
                <w:color w:val="000000" w:themeColor="text1"/>
                <w:sz w:val="20"/>
                <w:szCs w:val="20"/>
              </w:rPr>
            </w:pPr>
          </w:p>
        </w:tc>
        <w:tc>
          <w:tcPr>
            <w:tcW w:w="524" w:type="pct"/>
            <w:tcBorders>
              <w:bottom w:val="nil"/>
            </w:tcBorders>
          </w:tcPr>
          <w:p w14:paraId="78807606" w14:textId="77777777" w:rsidR="00985A90" w:rsidRPr="00C951F0" w:rsidRDefault="00985A90" w:rsidP="0039543A">
            <w:pPr>
              <w:spacing w:line="240" w:lineRule="auto"/>
              <w:jc w:val="center"/>
              <w:rPr>
                <w:color w:val="000000" w:themeColor="text1"/>
                <w:sz w:val="20"/>
                <w:szCs w:val="20"/>
              </w:rPr>
            </w:pPr>
          </w:p>
        </w:tc>
        <w:tc>
          <w:tcPr>
            <w:tcW w:w="1750" w:type="pct"/>
            <w:tcBorders>
              <w:bottom w:val="nil"/>
            </w:tcBorders>
          </w:tcPr>
          <w:p w14:paraId="733CCE1F" w14:textId="77777777" w:rsidR="00985A90" w:rsidRPr="00C951F0" w:rsidRDefault="00985A90" w:rsidP="0039543A">
            <w:pPr>
              <w:spacing w:line="240" w:lineRule="auto"/>
              <w:rPr>
                <w:color w:val="000000" w:themeColor="text1"/>
                <w:sz w:val="20"/>
                <w:szCs w:val="20"/>
              </w:rPr>
            </w:pPr>
          </w:p>
        </w:tc>
      </w:tr>
      <w:tr w:rsidR="00A5423C" w:rsidRPr="00C951F0" w14:paraId="02EBD8C0" w14:textId="77777777" w:rsidTr="00934A10">
        <w:tc>
          <w:tcPr>
            <w:tcW w:w="1674" w:type="pct"/>
            <w:tcBorders>
              <w:top w:val="nil"/>
              <w:bottom w:val="nil"/>
            </w:tcBorders>
          </w:tcPr>
          <w:p w14:paraId="164576FA" w14:textId="2CE6E397" w:rsidR="00A5423C" w:rsidRPr="00C951F0" w:rsidRDefault="00A5423C"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01F2187C" w14:textId="5924B520" w:rsidR="00A5423C" w:rsidRPr="00C951F0" w:rsidRDefault="00A5423C" w:rsidP="00433982">
            <w:pPr>
              <w:spacing w:line="240" w:lineRule="auto"/>
              <w:jc w:val="center"/>
              <w:rPr>
                <w:color w:val="000000" w:themeColor="text1"/>
                <w:sz w:val="20"/>
                <w:szCs w:val="20"/>
              </w:rPr>
            </w:pPr>
            <w:r>
              <w:rPr>
                <w:color w:val="000000" w:themeColor="text1"/>
                <w:sz w:val="20"/>
                <w:szCs w:val="20"/>
              </w:rPr>
              <w:t>382</w:t>
            </w:r>
          </w:p>
        </w:tc>
        <w:tc>
          <w:tcPr>
            <w:tcW w:w="526" w:type="pct"/>
            <w:tcBorders>
              <w:top w:val="nil"/>
              <w:bottom w:val="nil"/>
            </w:tcBorders>
          </w:tcPr>
          <w:p w14:paraId="3FA20159" w14:textId="2FA36128" w:rsidR="00A5423C" w:rsidRPr="00C951F0" w:rsidRDefault="00A5423C">
            <w:pPr>
              <w:spacing w:line="240" w:lineRule="auto"/>
              <w:jc w:val="center"/>
              <w:rPr>
                <w:color w:val="000000" w:themeColor="text1"/>
                <w:sz w:val="20"/>
                <w:szCs w:val="20"/>
              </w:rPr>
            </w:pPr>
            <w:r>
              <w:rPr>
                <w:color w:val="000000" w:themeColor="text1"/>
                <w:sz w:val="20"/>
                <w:szCs w:val="20"/>
              </w:rPr>
              <w:t>376</w:t>
            </w:r>
          </w:p>
        </w:tc>
        <w:tc>
          <w:tcPr>
            <w:tcW w:w="524" w:type="pct"/>
            <w:tcBorders>
              <w:top w:val="nil"/>
              <w:bottom w:val="nil"/>
            </w:tcBorders>
          </w:tcPr>
          <w:p w14:paraId="451A84EE" w14:textId="75EFDF10" w:rsidR="00A5423C" w:rsidRPr="00C951F0" w:rsidRDefault="00A5423C">
            <w:pPr>
              <w:spacing w:line="240" w:lineRule="auto"/>
              <w:jc w:val="center"/>
              <w:rPr>
                <w:color w:val="000000" w:themeColor="text1"/>
                <w:sz w:val="20"/>
                <w:szCs w:val="20"/>
              </w:rPr>
            </w:pPr>
            <w:r>
              <w:rPr>
                <w:color w:val="000000" w:themeColor="text1"/>
                <w:sz w:val="20"/>
                <w:szCs w:val="20"/>
              </w:rPr>
              <w:t>374</w:t>
            </w:r>
          </w:p>
        </w:tc>
        <w:tc>
          <w:tcPr>
            <w:tcW w:w="1750" w:type="pct"/>
            <w:tcBorders>
              <w:top w:val="nil"/>
              <w:bottom w:val="nil"/>
            </w:tcBorders>
          </w:tcPr>
          <w:p w14:paraId="256A87E3" w14:textId="77777777" w:rsidR="00A5423C" w:rsidRPr="00C951F0" w:rsidRDefault="00A5423C" w:rsidP="0039543A">
            <w:pPr>
              <w:spacing w:line="240" w:lineRule="auto"/>
              <w:rPr>
                <w:color w:val="000000" w:themeColor="text1"/>
                <w:sz w:val="20"/>
                <w:szCs w:val="20"/>
              </w:rPr>
            </w:pPr>
          </w:p>
        </w:tc>
      </w:tr>
      <w:tr w:rsidR="00C951F0" w:rsidRPr="00C951F0" w14:paraId="47367E2E" w14:textId="77777777" w:rsidTr="00934A10">
        <w:tc>
          <w:tcPr>
            <w:tcW w:w="1674" w:type="pct"/>
            <w:tcBorders>
              <w:top w:val="nil"/>
              <w:bottom w:val="nil"/>
            </w:tcBorders>
          </w:tcPr>
          <w:p w14:paraId="01A4320B" w14:textId="433B6018" w:rsidR="00985A90" w:rsidRPr="00C951F0" w:rsidRDefault="00985A90" w:rsidP="00934A10">
            <w:pPr>
              <w:spacing w:line="240" w:lineRule="auto"/>
              <w:ind w:left="306"/>
              <w:rPr>
                <w:rFonts w:cs="Arial"/>
                <w:color w:val="000000" w:themeColor="text1"/>
                <w:sz w:val="20"/>
                <w:szCs w:val="20"/>
              </w:rPr>
            </w:pPr>
            <w:r w:rsidRPr="00C951F0">
              <w:rPr>
                <w:rFonts w:cs="Arial"/>
                <w:color w:val="000000" w:themeColor="text1"/>
                <w:sz w:val="20"/>
                <w:szCs w:val="20"/>
              </w:rPr>
              <w:t>Week 68 geometric mean (CV)</w:t>
            </w:r>
          </w:p>
        </w:tc>
        <w:tc>
          <w:tcPr>
            <w:tcW w:w="526" w:type="pct"/>
            <w:tcBorders>
              <w:top w:val="nil"/>
              <w:bottom w:val="nil"/>
            </w:tcBorders>
          </w:tcPr>
          <w:p w14:paraId="132082F3" w14:textId="137A9074" w:rsidR="00985A90" w:rsidRPr="00C951F0" w:rsidRDefault="007B717D" w:rsidP="00433982">
            <w:pPr>
              <w:spacing w:line="240" w:lineRule="auto"/>
              <w:jc w:val="center"/>
              <w:rPr>
                <w:color w:val="000000" w:themeColor="text1"/>
                <w:sz w:val="20"/>
                <w:szCs w:val="20"/>
              </w:rPr>
            </w:pPr>
            <w:r>
              <w:rPr>
                <w:color w:val="000000" w:themeColor="text1"/>
                <w:sz w:val="20"/>
                <w:szCs w:val="20"/>
              </w:rPr>
              <w:t>0</w:t>
            </w:r>
            <w:r w:rsidRPr="00C951F0">
              <w:rPr>
                <w:color w:val="000000" w:themeColor="text1"/>
                <w:sz w:val="20"/>
                <w:szCs w:val="20"/>
              </w:rPr>
              <w:t>·</w:t>
            </w:r>
            <w:r>
              <w:rPr>
                <w:color w:val="000000" w:themeColor="text1"/>
                <w:sz w:val="20"/>
                <w:szCs w:val="20"/>
              </w:rPr>
              <w:t>6</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52·9</w:t>
            </w:r>
            <w:r w:rsidR="00E74C9F" w:rsidRPr="00C951F0">
              <w:rPr>
                <w:color w:val="000000" w:themeColor="text1"/>
                <w:sz w:val="20"/>
                <w:szCs w:val="20"/>
              </w:rPr>
              <w:t>)</w:t>
            </w:r>
          </w:p>
        </w:tc>
        <w:tc>
          <w:tcPr>
            <w:tcW w:w="526" w:type="pct"/>
            <w:tcBorders>
              <w:top w:val="nil"/>
              <w:bottom w:val="nil"/>
            </w:tcBorders>
          </w:tcPr>
          <w:p w14:paraId="614C6B89" w14:textId="60047F2A" w:rsidR="00985A90" w:rsidRPr="00C951F0" w:rsidRDefault="007B717D">
            <w:pPr>
              <w:spacing w:line="240" w:lineRule="auto"/>
              <w:jc w:val="center"/>
              <w:rPr>
                <w:color w:val="000000" w:themeColor="text1"/>
                <w:sz w:val="20"/>
                <w:szCs w:val="20"/>
              </w:rPr>
            </w:pPr>
            <w:r>
              <w:rPr>
                <w:color w:val="000000" w:themeColor="text1"/>
                <w:sz w:val="20"/>
                <w:szCs w:val="20"/>
              </w:rPr>
              <w:t>0</w:t>
            </w:r>
            <w:r w:rsidRPr="00C951F0">
              <w:rPr>
                <w:color w:val="000000" w:themeColor="text1"/>
                <w:sz w:val="20"/>
                <w:szCs w:val="20"/>
              </w:rPr>
              <w:t>·</w:t>
            </w:r>
            <w:r>
              <w:rPr>
                <w:color w:val="000000" w:themeColor="text1"/>
                <w:sz w:val="20"/>
                <w:szCs w:val="20"/>
              </w:rPr>
              <w:t>7</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54·3)</w:t>
            </w:r>
          </w:p>
        </w:tc>
        <w:tc>
          <w:tcPr>
            <w:tcW w:w="524" w:type="pct"/>
            <w:tcBorders>
              <w:top w:val="nil"/>
              <w:bottom w:val="nil"/>
            </w:tcBorders>
          </w:tcPr>
          <w:p w14:paraId="4BC64225" w14:textId="278F63F9" w:rsidR="00985A90" w:rsidRPr="00C951F0" w:rsidRDefault="007B717D">
            <w:pPr>
              <w:spacing w:line="240" w:lineRule="auto"/>
              <w:jc w:val="center"/>
              <w:rPr>
                <w:color w:val="000000" w:themeColor="text1"/>
                <w:sz w:val="20"/>
                <w:szCs w:val="20"/>
              </w:rPr>
            </w:pPr>
            <w:r>
              <w:rPr>
                <w:color w:val="000000" w:themeColor="text1"/>
                <w:sz w:val="20"/>
                <w:szCs w:val="20"/>
              </w:rPr>
              <w:t>0</w:t>
            </w:r>
            <w:r w:rsidRPr="00C951F0">
              <w:rPr>
                <w:color w:val="000000" w:themeColor="text1"/>
                <w:sz w:val="20"/>
                <w:szCs w:val="20"/>
              </w:rPr>
              <w:t>·</w:t>
            </w:r>
            <w:r>
              <w:rPr>
                <w:color w:val="000000" w:themeColor="text1"/>
                <w:sz w:val="20"/>
                <w:szCs w:val="20"/>
              </w:rPr>
              <w:t>7</w:t>
            </w:r>
            <w:r w:rsidR="00985A90" w:rsidRPr="00C951F0">
              <w:rPr>
                <w:color w:val="000000" w:themeColor="text1"/>
                <w:sz w:val="20"/>
                <w:szCs w:val="20"/>
              </w:rPr>
              <w:t xml:space="preserve"> </w:t>
            </w:r>
            <w:r w:rsidR="00985A90" w:rsidRPr="00C951F0">
              <w:rPr>
                <w:rFonts w:cs="Arial"/>
                <w:color w:val="000000" w:themeColor="text1"/>
                <w:sz w:val="20"/>
                <w:szCs w:val="20"/>
              </w:rPr>
              <w:t>(</w:t>
            </w:r>
            <w:r w:rsidR="00985A90" w:rsidRPr="00C951F0">
              <w:rPr>
                <w:color w:val="000000" w:themeColor="text1"/>
                <w:sz w:val="20"/>
                <w:szCs w:val="20"/>
              </w:rPr>
              <w:t>54·0)</w:t>
            </w:r>
          </w:p>
        </w:tc>
        <w:tc>
          <w:tcPr>
            <w:tcW w:w="1750" w:type="pct"/>
            <w:tcBorders>
              <w:top w:val="nil"/>
              <w:bottom w:val="nil"/>
            </w:tcBorders>
          </w:tcPr>
          <w:p w14:paraId="0FE45FA9" w14:textId="232B73C5" w:rsidR="00985A90" w:rsidRPr="00C951F0" w:rsidRDefault="00985A90" w:rsidP="0039543A">
            <w:pPr>
              <w:spacing w:line="240" w:lineRule="auto"/>
              <w:rPr>
                <w:color w:val="000000" w:themeColor="text1"/>
                <w:sz w:val="20"/>
                <w:szCs w:val="20"/>
              </w:rPr>
            </w:pPr>
            <w:r w:rsidRPr="00C951F0">
              <w:rPr>
                <w:color w:val="000000" w:themeColor="text1"/>
                <w:sz w:val="20"/>
                <w:szCs w:val="20"/>
              </w:rPr>
              <w:t>Semaglutide 2·4 mg / placebo</w:t>
            </w:r>
            <w:r w:rsidR="002A7A09" w:rsidRPr="00C951F0">
              <w:rPr>
                <w:color w:val="000000" w:themeColor="text1"/>
                <w:sz w:val="20"/>
                <w:szCs w:val="20"/>
              </w:rPr>
              <w:t>;</w:t>
            </w:r>
            <w:r w:rsidRPr="00C951F0">
              <w:rPr>
                <w:color w:val="000000" w:themeColor="text1"/>
                <w:sz w:val="20"/>
                <w:szCs w:val="20"/>
              </w:rPr>
              <w:t xml:space="preserve"> ETR: 0·88 </w:t>
            </w:r>
            <w:r w:rsidR="00433982" w:rsidRPr="00C951F0">
              <w:rPr>
                <w:color w:val="000000" w:themeColor="text1"/>
                <w:sz w:val="20"/>
                <w:szCs w:val="20"/>
              </w:rPr>
              <w:t>(</w:t>
            </w:r>
            <w:r w:rsidRPr="00C951F0">
              <w:rPr>
                <w:color w:val="000000" w:themeColor="text1"/>
                <w:sz w:val="20"/>
                <w:szCs w:val="20"/>
              </w:rPr>
              <w:t>0·83 to 0·93</w:t>
            </w:r>
            <w:r w:rsidR="00433982" w:rsidRPr="00C951F0">
              <w:rPr>
                <w:color w:val="000000" w:themeColor="text1"/>
                <w:sz w:val="20"/>
                <w:szCs w:val="20"/>
              </w:rPr>
              <w:t>)</w:t>
            </w:r>
          </w:p>
        </w:tc>
      </w:tr>
      <w:tr w:rsidR="00C951F0" w:rsidRPr="00C951F0" w14:paraId="5C9EA535" w14:textId="77777777" w:rsidTr="00934A10">
        <w:tc>
          <w:tcPr>
            <w:tcW w:w="1674" w:type="pct"/>
            <w:tcBorders>
              <w:top w:val="nil"/>
              <w:bottom w:val="single" w:sz="4" w:space="0" w:color="auto"/>
            </w:tcBorders>
          </w:tcPr>
          <w:p w14:paraId="7FC85A28" w14:textId="2D063978"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Ratio to baseline</w:t>
            </w:r>
            <w:r w:rsidR="00433982" w:rsidRPr="00C951F0">
              <w:rPr>
                <w:rFonts w:cs="Arial"/>
                <w:color w:val="000000" w:themeColor="text1"/>
                <w:sz w:val="20"/>
                <w:szCs w:val="20"/>
              </w:rPr>
              <w:t>†</w:t>
            </w:r>
          </w:p>
        </w:tc>
        <w:tc>
          <w:tcPr>
            <w:tcW w:w="526" w:type="pct"/>
            <w:tcBorders>
              <w:top w:val="nil"/>
              <w:bottom w:val="single" w:sz="4" w:space="0" w:color="auto"/>
            </w:tcBorders>
          </w:tcPr>
          <w:p w14:paraId="40BDD8C4" w14:textId="629C759F"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79</w:t>
            </w:r>
          </w:p>
        </w:tc>
        <w:tc>
          <w:tcPr>
            <w:tcW w:w="526" w:type="pct"/>
            <w:tcBorders>
              <w:top w:val="nil"/>
              <w:bottom w:val="single" w:sz="4" w:space="0" w:color="auto"/>
            </w:tcBorders>
          </w:tcPr>
          <w:p w14:paraId="369D8F3C" w14:textId="31F33632"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83</w:t>
            </w:r>
          </w:p>
        </w:tc>
        <w:tc>
          <w:tcPr>
            <w:tcW w:w="524" w:type="pct"/>
            <w:tcBorders>
              <w:top w:val="nil"/>
              <w:bottom w:val="single" w:sz="4" w:space="0" w:color="auto"/>
            </w:tcBorders>
          </w:tcPr>
          <w:p w14:paraId="75678164" w14:textId="7BCDA940"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90</w:t>
            </w:r>
          </w:p>
        </w:tc>
        <w:tc>
          <w:tcPr>
            <w:tcW w:w="1750" w:type="pct"/>
            <w:tcBorders>
              <w:top w:val="nil"/>
              <w:bottom w:val="single" w:sz="4" w:space="0" w:color="auto"/>
            </w:tcBorders>
          </w:tcPr>
          <w:p w14:paraId="71E79727" w14:textId="29C5B6F9"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w:t>
            </w:r>
            <w:r w:rsidR="002A7A09" w:rsidRPr="00C951F0">
              <w:rPr>
                <w:color w:val="000000" w:themeColor="text1"/>
                <w:sz w:val="20"/>
                <w:szCs w:val="20"/>
              </w:rPr>
              <w:t>;</w:t>
            </w:r>
            <w:r w:rsidRPr="00C951F0">
              <w:rPr>
                <w:color w:val="000000" w:themeColor="text1"/>
                <w:sz w:val="20"/>
                <w:szCs w:val="20"/>
              </w:rPr>
              <w:t xml:space="preserve"> ETR: 0</w:t>
            </w:r>
            <w:r w:rsidR="00C5236B" w:rsidRPr="00C951F0">
              <w:rPr>
                <w:color w:val="000000" w:themeColor="text1"/>
                <w:sz w:val="20"/>
                <w:szCs w:val="20"/>
              </w:rPr>
              <w:t>·</w:t>
            </w:r>
            <w:r w:rsidRPr="00C951F0">
              <w:rPr>
                <w:color w:val="000000" w:themeColor="text1"/>
                <w:sz w:val="20"/>
                <w:szCs w:val="20"/>
              </w:rPr>
              <w:t xml:space="preserve">95 </w:t>
            </w:r>
            <w:r w:rsidR="00433982" w:rsidRPr="00C951F0">
              <w:rPr>
                <w:color w:val="000000" w:themeColor="text1"/>
                <w:sz w:val="20"/>
                <w:szCs w:val="20"/>
              </w:rPr>
              <w:t>(</w:t>
            </w: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90</w:t>
            </w:r>
            <w:r w:rsidR="00227D23" w:rsidRPr="00C951F0">
              <w:rPr>
                <w:color w:val="000000" w:themeColor="text1"/>
                <w:sz w:val="20"/>
                <w:szCs w:val="20"/>
              </w:rPr>
              <w:t xml:space="preserve"> to</w:t>
            </w:r>
            <w:r w:rsidRPr="00C951F0">
              <w:rPr>
                <w:color w:val="000000" w:themeColor="text1"/>
                <w:sz w:val="20"/>
                <w:szCs w:val="20"/>
              </w:rPr>
              <w:t xml:space="preserve"> 1</w:t>
            </w:r>
            <w:r w:rsidR="00C5236B" w:rsidRPr="00C951F0">
              <w:rPr>
                <w:color w:val="000000" w:themeColor="text1"/>
                <w:sz w:val="20"/>
                <w:szCs w:val="20"/>
              </w:rPr>
              <w:t>·</w:t>
            </w:r>
            <w:r w:rsidRPr="00C951F0">
              <w:rPr>
                <w:color w:val="000000" w:themeColor="text1"/>
                <w:sz w:val="20"/>
                <w:szCs w:val="20"/>
              </w:rPr>
              <w:t>01</w:t>
            </w:r>
            <w:r w:rsidR="00433982" w:rsidRPr="00C951F0">
              <w:rPr>
                <w:color w:val="000000" w:themeColor="text1"/>
                <w:sz w:val="20"/>
                <w:szCs w:val="20"/>
              </w:rPr>
              <w:t>)</w:t>
            </w:r>
          </w:p>
        </w:tc>
      </w:tr>
      <w:tr w:rsidR="00C951F0" w:rsidRPr="00C951F0" w14:paraId="2DE31605" w14:textId="77777777" w:rsidTr="00934A10">
        <w:tc>
          <w:tcPr>
            <w:tcW w:w="1674" w:type="pct"/>
            <w:tcBorders>
              <w:bottom w:val="nil"/>
            </w:tcBorders>
          </w:tcPr>
          <w:p w14:paraId="1EBA14F3" w14:textId="42FB08A5" w:rsidR="00E74C9F" w:rsidRPr="00C951F0" w:rsidRDefault="00E74C9F" w:rsidP="0039543A">
            <w:pPr>
              <w:spacing w:line="240" w:lineRule="auto"/>
              <w:rPr>
                <w:color w:val="000000" w:themeColor="text1"/>
                <w:sz w:val="20"/>
                <w:szCs w:val="20"/>
              </w:rPr>
            </w:pPr>
            <w:r w:rsidRPr="00C951F0">
              <w:rPr>
                <w:color w:val="000000" w:themeColor="text1"/>
                <w:sz w:val="20"/>
                <w:szCs w:val="20"/>
              </w:rPr>
              <w:lastRenderedPageBreak/>
              <w:t xml:space="preserve">Free fatty acids </w:t>
            </w:r>
            <w:r w:rsidRPr="00C951F0">
              <w:rPr>
                <w:rFonts w:cs="Arial"/>
                <w:color w:val="000000" w:themeColor="text1"/>
                <w:sz w:val="20"/>
                <w:szCs w:val="20"/>
              </w:rPr>
              <w:t xml:space="preserve">— </w:t>
            </w:r>
            <w:r w:rsidR="00A5423C">
              <w:rPr>
                <w:rFonts w:cs="Arial"/>
                <w:color w:val="000000" w:themeColor="text1"/>
                <w:sz w:val="20"/>
                <w:szCs w:val="20"/>
              </w:rPr>
              <w:t>mmol/L</w:t>
            </w:r>
          </w:p>
        </w:tc>
        <w:tc>
          <w:tcPr>
            <w:tcW w:w="526" w:type="pct"/>
            <w:tcBorders>
              <w:bottom w:val="nil"/>
            </w:tcBorders>
          </w:tcPr>
          <w:p w14:paraId="63C26B0B" w14:textId="77777777" w:rsidR="00E74C9F" w:rsidRPr="00C951F0" w:rsidRDefault="00E74C9F" w:rsidP="0039543A">
            <w:pPr>
              <w:spacing w:line="240" w:lineRule="auto"/>
              <w:jc w:val="center"/>
              <w:rPr>
                <w:color w:val="000000" w:themeColor="text1"/>
                <w:sz w:val="20"/>
                <w:szCs w:val="20"/>
              </w:rPr>
            </w:pPr>
          </w:p>
        </w:tc>
        <w:tc>
          <w:tcPr>
            <w:tcW w:w="526" w:type="pct"/>
            <w:tcBorders>
              <w:bottom w:val="nil"/>
            </w:tcBorders>
          </w:tcPr>
          <w:p w14:paraId="34916AC0" w14:textId="77777777" w:rsidR="00E74C9F" w:rsidRPr="00C951F0" w:rsidRDefault="00E74C9F" w:rsidP="0039543A">
            <w:pPr>
              <w:spacing w:line="240" w:lineRule="auto"/>
              <w:jc w:val="center"/>
              <w:rPr>
                <w:color w:val="000000" w:themeColor="text1"/>
                <w:sz w:val="20"/>
                <w:szCs w:val="20"/>
              </w:rPr>
            </w:pPr>
          </w:p>
        </w:tc>
        <w:tc>
          <w:tcPr>
            <w:tcW w:w="524" w:type="pct"/>
            <w:tcBorders>
              <w:bottom w:val="nil"/>
            </w:tcBorders>
          </w:tcPr>
          <w:p w14:paraId="49B914DA" w14:textId="77777777" w:rsidR="00E74C9F" w:rsidRPr="00C951F0" w:rsidRDefault="00E74C9F" w:rsidP="0039543A">
            <w:pPr>
              <w:spacing w:line="240" w:lineRule="auto"/>
              <w:jc w:val="center"/>
              <w:rPr>
                <w:color w:val="000000" w:themeColor="text1"/>
                <w:sz w:val="20"/>
                <w:szCs w:val="20"/>
              </w:rPr>
            </w:pPr>
          </w:p>
        </w:tc>
        <w:tc>
          <w:tcPr>
            <w:tcW w:w="1750" w:type="pct"/>
            <w:tcBorders>
              <w:bottom w:val="nil"/>
            </w:tcBorders>
          </w:tcPr>
          <w:p w14:paraId="5C61C583" w14:textId="77777777" w:rsidR="00E74C9F" w:rsidRPr="00C951F0" w:rsidRDefault="00E74C9F" w:rsidP="0039543A">
            <w:pPr>
              <w:spacing w:line="240" w:lineRule="auto"/>
              <w:rPr>
                <w:color w:val="000000" w:themeColor="text1"/>
                <w:sz w:val="20"/>
                <w:szCs w:val="20"/>
              </w:rPr>
            </w:pPr>
          </w:p>
        </w:tc>
      </w:tr>
      <w:tr w:rsidR="00A5423C" w:rsidRPr="00C951F0" w14:paraId="384327FD" w14:textId="77777777" w:rsidTr="00934A10">
        <w:tc>
          <w:tcPr>
            <w:tcW w:w="1674" w:type="pct"/>
            <w:tcBorders>
              <w:top w:val="nil"/>
              <w:bottom w:val="nil"/>
            </w:tcBorders>
          </w:tcPr>
          <w:p w14:paraId="1696E65C" w14:textId="0361F9C5" w:rsidR="00A5423C" w:rsidRPr="00C951F0" w:rsidRDefault="00A5423C"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361006ED" w14:textId="551FEF97" w:rsidR="00A5423C" w:rsidRPr="00C951F0" w:rsidRDefault="00A5423C" w:rsidP="0039543A">
            <w:pPr>
              <w:spacing w:line="240" w:lineRule="auto"/>
              <w:jc w:val="center"/>
              <w:rPr>
                <w:color w:val="000000" w:themeColor="text1"/>
                <w:sz w:val="20"/>
                <w:szCs w:val="20"/>
              </w:rPr>
            </w:pPr>
            <w:r>
              <w:rPr>
                <w:color w:val="000000" w:themeColor="text1"/>
                <w:sz w:val="20"/>
                <w:szCs w:val="20"/>
              </w:rPr>
              <w:t>373</w:t>
            </w:r>
          </w:p>
        </w:tc>
        <w:tc>
          <w:tcPr>
            <w:tcW w:w="526" w:type="pct"/>
            <w:tcBorders>
              <w:top w:val="nil"/>
              <w:bottom w:val="nil"/>
            </w:tcBorders>
          </w:tcPr>
          <w:p w14:paraId="1FE69215" w14:textId="1F1E6447" w:rsidR="00A5423C" w:rsidRPr="00C951F0" w:rsidRDefault="00A5423C" w:rsidP="0039543A">
            <w:pPr>
              <w:spacing w:line="240" w:lineRule="auto"/>
              <w:jc w:val="center"/>
              <w:rPr>
                <w:color w:val="000000" w:themeColor="text1"/>
                <w:sz w:val="20"/>
                <w:szCs w:val="20"/>
              </w:rPr>
            </w:pPr>
            <w:r>
              <w:rPr>
                <w:color w:val="000000" w:themeColor="text1"/>
                <w:sz w:val="20"/>
                <w:szCs w:val="20"/>
              </w:rPr>
              <w:t>364</w:t>
            </w:r>
          </w:p>
        </w:tc>
        <w:tc>
          <w:tcPr>
            <w:tcW w:w="524" w:type="pct"/>
            <w:tcBorders>
              <w:top w:val="nil"/>
              <w:bottom w:val="nil"/>
            </w:tcBorders>
          </w:tcPr>
          <w:p w14:paraId="6B7EFD41" w14:textId="2AFF0076" w:rsidR="00A5423C" w:rsidRPr="00C951F0" w:rsidRDefault="00A5423C" w:rsidP="0039543A">
            <w:pPr>
              <w:spacing w:line="240" w:lineRule="auto"/>
              <w:jc w:val="center"/>
              <w:rPr>
                <w:color w:val="000000" w:themeColor="text1"/>
                <w:sz w:val="20"/>
                <w:szCs w:val="20"/>
              </w:rPr>
            </w:pPr>
            <w:r>
              <w:rPr>
                <w:color w:val="000000" w:themeColor="text1"/>
                <w:sz w:val="20"/>
                <w:szCs w:val="20"/>
              </w:rPr>
              <w:t>362</w:t>
            </w:r>
          </w:p>
        </w:tc>
        <w:tc>
          <w:tcPr>
            <w:tcW w:w="1750" w:type="pct"/>
            <w:tcBorders>
              <w:top w:val="nil"/>
              <w:bottom w:val="nil"/>
            </w:tcBorders>
          </w:tcPr>
          <w:p w14:paraId="01C6875A" w14:textId="77777777" w:rsidR="00A5423C" w:rsidRPr="00C951F0" w:rsidRDefault="00A5423C" w:rsidP="0039543A">
            <w:pPr>
              <w:spacing w:line="240" w:lineRule="auto"/>
              <w:rPr>
                <w:color w:val="000000" w:themeColor="text1"/>
                <w:sz w:val="20"/>
                <w:szCs w:val="20"/>
              </w:rPr>
            </w:pPr>
          </w:p>
        </w:tc>
      </w:tr>
      <w:tr w:rsidR="00C951F0" w:rsidRPr="00C951F0" w14:paraId="72DBE0DA" w14:textId="77777777" w:rsidTr="00934A10">
        <w:tc>
          <w:tcPr>
            <w:tcW w:w="1674" w:type="pct"/>
            <w:tcBorders>
              <w:top w:val="nil"/>
              <w:bottom w:val="nil"/>
            </w:tcBorders>
          </w:tcPr>
          <w:p w14:paraId="10AE4038" w14:textId="1F01FB15" w:rsidR="00E74C9F" w:rsidRPr="00C951F0" w:rsidRDefault="00E74C9F" w:rsidP="00934A10">
            <w:pPr>
              <w:spacing w:line="240" w:lineRule="auto"/>
              <w:ind w:left="306"/>
              <w:rPr>
                <w:rFonts w:cs="Arial"/>
                <w:color w:val="000000" w:themeColor="text1"/>
                <w:sz w:val="20"/>
                <w:szCs w:val="20"/>
              </w:rPr>
            </w:pPr>
            <w:r w:rsidRPr="00C951F0">
              <w:rPr>
                <w:rFonts w:cs="Arial"/>
                <w:color w:val="000000" w:themeColor="text1"/>
                <w:sz w:val="20"/>
                <w:szCs w:val="20"/>
              </w:rPr>
              <w:t>Week 68 geometric mean (CV)</w:t>
            </w:r>
          </w:p>
        </w:tc>
        <w:tc>
          <w:tcPr>
            <w:tcW w:w="526" w:type="pct"/>
            <w:tcBorders>
              <w:top w:val="nil"/>
              <w:bottom w:val="nil"/>
            </w:tcBorders>
          </w:tcPr>
          <w:p w14:paraId="07E25B6B" w14:textId="33877CD5" w:rsidR="00E74C9F" w:rsidRPr="00C951F0" w:rsidRDefault="007B717D" w:rsidP="0039543A">
            <w:pPr>
              <w:spacing w:line="240" w:lineRule="auto"/>
              <w:jc w:val="center"/>
              <w:rPr>
                <w:color w:val="000000" w:themeColor="text1"/>
                <w:sz w:val="20"/>
                <w:szCs w:val="20"/>
              </w:rPr>
            </w:pPr>
            <w:r>
              <w:rPr>
                <w:color w:val="000000" w:themeColor="text1"/>
                <w:sz w:val="20"/>
                <w:szCs w:val="20"/>
              </w:rPr>
              <w:t>0</w:t>
            </w:r>
            <w:r w:rsidRPr="00C951F0">
              <w:rPr>
                <w:color w:val="000000" w:themeColor="text1"/>
                <w:sz w:val="20"/>
                <w:szCs w:val="20"/>
              </w:rPr>
              <w:t>·</w:t>
            </w:r>
            <w:r>
              <w:rPr>
                <w:color w:val="000000" w:themeColor="text1"/>
                <w:sz w:val="20"/>
                <w:szCs w:val="20"/>
              </w:rPr>
              <w:t>5</w:t>
            </w:r>
            <w:r w:rsidR="00E74C9F" w:rsidRPr="00C951F0">
              <w:rPr>
                <w:color w:val="000000" w:themeColor="text1"/>
                <w:sz w:val="20"/>
                <w:szCs w:val="20"/>
              </w:rPr>
              <w:t xml:space="preserve"> </w:t>
            </w:r>
            <w:r w:rsidR="00E74C9F" w:rsidRPr="00C951F0">
              <w:rPr>
                <w:rFonts w:cs="Arial"/>
                <w:color w:val="000000" w:themeColor="text1"/>
                <w:sz w:val="20"/>
                <w:szCs w:val="20"/>
              </w:rPr>
              <w:t>(</w:t>
            </w:r>
            <w:r w:rsidR="00E74C9F" w:rsidRPr="00C951F0">
              <w:rPr>
                <w:color w:val="000000" w:themeColor="text1"/>
                <w:sz w:val="20"/>
                <w:szCs w:val="20"/>
              </w:rPr>
              <w:t>61·6)</w:t>
            </w:r>
          </w:p>
        </w:tc>
        <w:tc>
          <w:tcPr>
            <w:tcW w:w="526" w:type="pct"/>
            <w:tcBorders>
              <w:top w:val="nil"/>
              <w:bottom w:val="nil"/>
            </w:tcBorders>
          </w:tcPr>
          <w:p w14:paraId="11D9DEC2" w14:textId="6FCCB784" w:rsidR="00E74C9F" w:rsidRPr="00C951F0" w:rsidRDefault="007B717D" w:rsidP="0039543A">
            <w:pPr>
              <w:spacing w:line="240" w:lineRule="auto"/>
              <w:jc w:val="center"/>
              <w:rPr>
                <w:color w:val="000000" w:themeColor="text1"/>
                <w:sz w:val="20"/>
                <w:szCs w:val="20"/>
              </w:rPr>
            </w:pPr>
            <w:r>
              <w:rPr>
                <w:color w:val="000000" w:themeColor="text1"/>
                <w:sz w:val="20"/>
                <w:szCs w:val="20"/>
              </w:rPr>
              <w:t>0</w:t>
            </w:r>
            <w:r w:rsidRPr="00C951F0">
              <w:rPr>
                <w:color w:val="000000" w:themeColor="text1"/>
                <w:sz w:val="20"/>
                <w:szCs w:val="20"/>
              </w:rPr>
              <w:t>·</w:t>
            </w:r>
            <w:r>
              <w:rPr>
                <w:color w:val="000000" w:themeColor="text1"/>
                <w:sz w:val="20"/>
                <w:szCs w:val="20"/>
              </w:rPr>
              <w:t>5</w:t>
            </w:r>
            <w:r w:rsidR="00E74C9F" w:rsidRPr="00C951F0">
              <w:rPr>
                <w:color w:val="000000" w:themeColor="text1"/>
                <w:sz w:val="20"/>
                <w:szCs w:val="20"/>
              </w:rPr>
              <w:t xml:space="preserve"> </w:t>
            </w:r>
            <w:r w:rsidR="00E74C9F" w:rsidRPr="00C951F0">
              <w:rPr>
                <w:rFonts w:cs="Arial"/>
                <w:color w:val="000000" w:themeColor="text1"/>
                <w:sz w:val="20"/>
                <w:szCs w:val="20"/>
              </w:rPr>
              <w:t>(</w:t>
            </w:r>
            <w:r w:rsidR="00E74C9F" w:rsidRPr="00C951F0">
              <w:rPr>
                <w:color w:val="000000" w:themeColor="text1"/>
                <w:sz w:val="20"/>
                <w:szCs w:val="20"/>
              </w:rPr>
              <w:t>54·4)</w:t>
            </w:r>
          </w:p>
        </w:tc>
        <w:tc>
          <w:tcPr>
            <w:tcW w:w="524" w:type="pct"/>
            <w:tcBorders>
              <w:top w:val="nil"/>
              <w:bottom w:val="nil"/>
            </w:tcBorders>
          </w:tcPr>
          <w:p w14:paraId="6E436582" w14:textId="1BA92F60" w:rsidR="00E74C9F" w:rsidRPr="00C951F0" w:rsidRDefault="007B717D" w:rsidP="0039543A">
            <w:pPr>
              <w:spacing w:line="240" w:lineRule="auto"/>
              <w:jc w:val="center"/>
              <w:rPr>
                <w:color w:val="000000" w:themeColor="text1"/>
                <w:sz w:val="20"/>
                <w:szCs w:val="20"/>
              </w:rPr>
            </w:pPr>
            <w:r>
              <w:rPr>
                <w:color w:val="000000" w:themeColor="text1"/>
                <w:sz w:val="20"/>
                <w:szCs w:val="20"/>
              </w:rPr>
              <w:t>0</w:t>
            </w:r>
            <w:r w:rsidRPr="00C951F0">
              <w:rPr>
                <w:color w:val="000000" w:themeColor="text1"/>
                <w:sz w:val="20"/>
                <w:szCs w:val="20"/>
              </w:rPr>
              <w:t>·</w:t>
            </w:r>
            <w:r>
              <w:rPr>
                <w:color w:val="000000" w:themeColor="text1"/>
                <w:sz w:val="20"/>
                <w:szCs w:val="20"/>
              </w:rPr>
              <w:t>6</w:t>
            </w:r>
            <w:r w:rsidR="00E74C9F" w:rsidRPr="00C951F0">
              <w:rPr>
                <w:color w:val="000000" w:themeColor="text1"/>
                <w:sz w:val="20"/>
                <w:szCs w:val="20"/>
              </w:rPr>
              <w:t xml:space="preserve"> </w:t>
            </w:r>
            <w:r w:rsidR="00E74C9F" w:rsidRPr="00C951F0">
              <w:rPr>
                <w:rFonts w:cs="Arial"/>
                <w:color w:val="000000" w:themeColor="text1"/>
                <w:sz w:val="20"/>
                <w:szCs w:val="20"/>
              </w:rPr>
              <w:t>(</w:t>
            </w:r>
            <w:r w:rsidR="00E74C9F" w:rsidRPr="00C951F0">
              <w:rPr>
                <w:color w:val="000000" w:themeColor="text1"/>
                <w:sz w:val="20"/>
                <w:szCs w:val="20"/>
              </w:rPr>
              <w:t>56·0)</w:t>
            </w:r>
          </w:p>
        </w:tc>
        <w:tc>
          <w:tcPr>
            <w:tcW w:w="1750" w:type="pct"/>
            <w:tcBorders>
              <w:top w:val="nil"/>
              <w:bottom w:val="nil"/>
            </w:tcBorders>
          </w:tcPr>
          <w:p w14:paraId="2A9A0C70" w14:textId="12F8A422" w:rsidR="00E74C9F" w:rsidRPr="00C951F0" w:rsidRDefault="00E74C9F" w:rsidP="0039543A">
            <w:pPr>
              <w:spacing w:line="240" w:lineRule="auto"/>
              <w:rPr>
                <w:color w:val="000000" w:themeColor="text1"/>
                <w:sz w:val="20"/>
                <w:szCs w:val="20"/>
              </w:rPr>
            </w:pPr>
            <w:r w:rsidRPr="00C951F0">
              <w:rPr>
                <w:color w:val="000000" w:themeColor="text1"/>
                <w:sz w:val="20"/>
                <w:szCs w:val="20"/>
              </w:rPr>
              <w:t>Semaglutide 2·4 mg / placebo</w:t>
            </w:r>
            <w:r w:rsidR="002A7A09" w:rsidRPr="00C951F0">
              <w:rPr>
                <w:color w:val="000000" w:themeColor="text1"/>
                <w:sz w:val="20"/>
                <w:szCs w:val="20"/>
              </w:rPr>
              <w:t>;</w:t>
            </w:r>
            <w:r w:rsidRPr="00C951F0">
              <w:rPr>
                <w:color w:val="000000" w:themeColor="text1"/>
                <w:sz w:val="20"/>
                <w:szCs w:val="20"/>
              </w:rPr>
              <w:t xml:space="preserve"> ETR: 0·84 </w:t>
            </w:r>
            <w:r w:rsidR="00433982" w:rsidRPr="00C951F0">
              <w:rPr>
                <w:color w:val="000000" w:themeColor="text1"/>
                <w:sz w:val="20"/>
                <w:szCs w:val="20"/>
              </w:rPr>
              <w:t>(</w:t>
            </w:r>
            <w:r w:rsidRPr="00C951F0">
              <w:rPr>
                <w:color w:val="000000" w:themeColor="text1"/>
                <w:sz w:val="20"/>
                <w:szCs w:val="20"/>
              </w:rPr>
              <w:t>0·78 to 0·91</w:t>
            </w:r>
            <w:r w:rsidR="00433982" w:rsidRPr="00C951F0">
              <w:rPr>
                <w:color w:val="000000" w:themeColor="text1"/>
                <w:sz w:val="20"/>
                <w:szCs w:val="20"/>
              </w:rPr>
              <w:t>)</w:t>
            </w:r>
          </w:p>
        </w:tc>
      </w:tr>
      <w:tr w:rsidR="00C951F0" w:rsidRPr="00C951F0" w14:paraId="7C827358" w14:textId="77777777" w:rsidTr="00934A10">
        <w:tc>
          <w:tcPr>
            <w:tcW w:w="1674" w:type="pct"/>
            <w:tcBorders>
              <w:top w:val="nil"/>
              <w:bottom w:val="single" w:sz="4" w:space="0" w:color="auto"/>
            </w:tcBorders>
          </w:tcPr>
          <w:p w14:paraId="59EB91EA" w14:textId="685562CC"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Ratio to baseline</w:t>
            </w:r>
            <w:r w:rsidR="00433982" w:rsidRPr="00C951F0">
              <w:rPr>
                <w:rFonts w:cs="Arial"/>
                <w:color w:val="000000" w:themeColor="text1"/>
                <w:sz w:val="20"/>
                <w:szCs w:val="20"/>
              </w:rPr>
              <w:t>†</w:t>
            </w:r>
          </w:p>
        </w:tc>
        <w:tc>
          <w:tcPr>
            <w:tcW w:w="526" w:type="pct"/>
            <w:tcBorders>
              <w:top w:val="nil"/>
              <w:bottom w:val="single" w:sz="4" w:space="0" w:color="auto"/>
            </w:tcBorders>
          </w:tcPr>
          <w:p w14:paraId="2E2BCF09" w14:textId="2E16D502"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84</w:t>
            </w:r>
          </w:p>
        </w:tc>
        <w:tc>
          <w:tcPr>
            <w:tcW w:w="526" w:type="pct"/>
            <w:tcBorders>
              <w:top w:val="nil"/>
              <w:bottom w:val="single" w:sz="4" w:space="0" w:color="auto"/>
            </w:tcBorders>
          </w:tcPr>
          <w:p w14:paraId="054B6AB7" w14:textId="4A8DEE5E"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86</w:t>
            </w:r>
          </w:p>
        </w:tc>
        <w:tc>
          <w:tcPr>
            <w:tcW w:w="524" w:type="pct"/>
            <w:tcBorders>
              <w:top w:val="nil"/>
              <w:bottom w:val="single" w:sz="4" w:space="0" w:color="auto"/>
            </w:tcBorders>
          </w:tcPr>
          <w:p w14:paraId="539D277E" w14:textId="7CF15A77"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99</w:t>
            </w:r>
          </w:p>
        </w:tc>
        <w:tc>
          <w:tcPr>
            <w:tcW w:w="1750" w:type="pct"/>
            <w:tcBorders>
              <w:top w:val="nil"/>
              <w:bottom w:val="single" w:sz="4" w:space="0" w:color="auto"/>
            </w:tcBorders>
          </w:tcPr>
          <w:p w14:paraId="71343FDA" w14:textId="1F8BEB2D"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w:t>
            </w:r>
            <w:r w:rsidR="002A7A09" w:rsidRPr="00C951F0">
              <w:rPr>
                <w:color w:val="000000" w:themeColor="text1"/>
                <w:sz w:val="20"/>
                <w:szCs w:val="20"/>
              </w:rPr>
              <w:t>;</w:t>
            </w:r>
            <w:r w:rsidRPr="00C951F0">
              <w:rPr>
                <w:color w:val="000000" w:themeColor="text1"/>
                <w:sz w:val="20"/>
                <w:szCs w:val="20"/>
              </w:rPr>
              <w:t xml:space="preserve"> ETR: 0</w:t>
            </w:r>
            <w:r w:rsidR="00C5236B" w:rsidRPr="00C951F0">
              <w:rPr>
                <w:color w:val="000000" w:themeColor="text1"/>
                <w:sz w:val="20"/>
                <w:szCs w:val="20"/>
              </w:rPr>
              <w:t>·</w:t>
            </w:r>
            <w:r w:rsidRPr="00C951F0">
              <w:rPr>
                <w:color w:val="000000" w:themeColor="text1"/>
                <w:sz w:val="20"/>
                <w:szCs w:val="20"/>
              </w:rPr>
              <w:t xml:space="preserve">97 </w:t>
            </w:r>
            <w:r w:rsidR="00433982" w:rsidRPr="00C951F0">
              <w:rPr>
                <w:color w:val="000000" w:themeColor="text1"/>
                <w:sz w:val="20"/>
                <w:szCs w:val="20"/>
              </w:rPr>
              <w:t>(</w:t>
            </w: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90</w:t>
            </w:r>
            <w:r w:rsidR="00227D23" w:rsidRPr="00C951F0">
              <w:rPr>
                <w:color w:val="000000" w:themeColor="text1"/>
                <w:sz w:val="20"/>
                <w:szCs w:val="20"/>
              </w:rPr>
              <w:t xml:space="preserve"> to</w:t>
            </w:r>
            <w:r w:rsidRPr="00C951F0">
              <w:rPr>
                <w:color w:val="000000" w:themeColor="text1"/>
                <w:sz w:val="20"/>
                <w:szCs w:val="20"/>
              </w:rPr>
              <w:t xml:space="preserve"> 1</w:t>
            </w:r>
            <w:r w:rsidR="00C5236B" w:rsidRPr="00C951F0">
              <w:rPr>
                <w:color w:val="000000" w:themeColor="text1"/>
                <w:sz w:val="20"/>
                <w:szCs w:val="20"/>
              </w:rPr>
              <w:t>·</w:t>
            </w:r>
            <w:r w:rsidRPr="00C951F0">
              <w:rPr>
                <w:color w:val="000000" w:themeColor="text1"/>
                <w:sz w:val="20"/>
                <w:szCs w:val="20"/>
              </w:rPr>
              <w:t>05</w:t>
            </w:r>
            <w:r w:rsidR="00433982" w:rsidRPr="00C951F0">
              <w:rPr>
                <w:color w:val="000000" w:themeColor="text1"/>
                <w:sz w:val="20"/>
                <w:szCs w:val="20"/>
              </w:rPr>
              <w:t>)</w:t>
            </w:r>
          </w:p>
        </w:tc>
      </w:tr>
      <w:tr w:rsidR="00C951F0" w:rsidRPr="00C951F0" w14:paraId="0D885FE9" w14:textId="77777777" w:rsidTr="00934A10">
        <w:tc>
          <w:tcPr>
            <w:tcW w:w="1674" w:type="pct"/>
            <w:tcBorders>
              <w:bottom w:val="nil"/>
            </w:tcBorders>
          </w:tcPr>
          <w:p w14:paraId="69EB6659" w14:textId="448B496C" w:rsidR="00E74C9F" w:rsidRPr="00C951F0" w:rsidRDefault="00E74C9F" w:rsidP="0039543A">
            <w:pPr>
              <w:spacing w:line="240" w:lineRule="auto"/>
              <w:rPr>
                <w:color w:val="000000" w:themeColor="text1"/>
                <w:sz w:val="20"/>
                <w:szCs w:val="20"/>
              </w:rPr>
            </w:pPr>
            <w:r w:rsidRPr="00C951F0">
              <w:rPr>
                <w:color w:val="000000" w:themeColor="text1"/>
                <w:sz w:val="20"/>
                <w:szCs w:val="20"/>
              </w:rPr>
              <w:t xml:space="preserve">Triglycerides </w:t>
            </w:r>
            <w:r w:rsidRPr="00C951F0">
              <w:rPr>
                <w:rFonts w:cs="Arial"/>
                <w:color w:val="000000" w:themeColor="text1"/>
                <w:sz w:val="20"/>
                <w:szCs w:val="20"/>
              </w:rPr>
              <w:t xml:space="preserve">— </w:t>
            </w:r>
            <w:r w:rsidR="00A5423C">
              <w:rPr>
                <w:rFonts w:cs="Arial"/>
                <w:color w:val="000000" w:themeColor="text1"/>
                <w:sz w:val="20"/>
                <w:szCs w:val="20"/>
              </w:rPr>
              <w:t>mmol/L</w:t>
            </w:r>
          </w:p>
        </w:tc>
        <w:tc>
          <w:tcPr>
            <w:tcW w:w="526" w:type="pct"/>
            <w:tcBorders>
              <w:bottom w:val="nil"/>
            </w:tcBorders>
          </w:tcPr>
          <w:p w14:paraId="06C24EE2" w14:textId="77777777" w:rsidR="00E74C9F" w:rsidRPr="00C951F0" w:rsidRDefault="00E74C9F" w:rsidP="0039543A">
            <w:pPr>
              <w:spacing w:line="240" w:lineRule="auto"/>
              <w:jc w:val="center"/>
              <w:rPr>
                <w:color w:val="000000" w:themeColor="text1"/>
                <w:sz w:val="20"/>
                <w:szCs w:val="20"/>
              </w:rPr>
            </w:pPr>
          </w:p>
        </w:tc>
        <w:tc>
          <w:tcPr>
            <w:tcW w:w="526" w:type="pct"/>
            <w:tcBorders>
              <w:bottom w:val="nil"/>
            </w:tcBorders>
          </w:tcPr>
          <w:p w14:paraId="6758F2D1" w14:textId="77777777" w:rsidR="00E74C9F" w:rsidRPr="00C951F0" w:rsidRDefault="00E74C9F" w:rsidP="0039543A">
            <w:pPr>
              <w:spacing w:line="240" w:lineRule="auto"/>
              <w:jc w:val="center"/>
              <w:rPr>
                <w:color w:val="000000" w:themeColor="text1"/>
                <w:sz w:val="20"/>
                <w:szCs w:val="20"/>
              </w:rPr>
            </w:pPr>
          </w:p>
        </w:tc>
        <w:tc>
          <w:tcPr>
            <w:tcW w:w="524" w:type="pct"/>
            <w:tcBorders>
              <w:bottom w:val="nil"/>
            </w:tcBorders>
          </w:tcPr>
          <w:p w14:paraId="5A68170A" w14:textId="77777777" w:rsidR="00E74C9F" w:rsidRPr="00C951F0" w:rsidRDefault="00E74C9F" w:rsidP="0039543A">
            <w:pPr>
              <w:spacing w:line="240" w:lineRule="auto"/>
              <w:jc w:val="center"/>
              <w:rPr>
                <w:color w:val="000000" w:themeColor="text1"/>
                <w:sz w:val="20"/>
                <w:szCs w:val="20"/>
              </w:rPr>
            </w:pPr>
          </w:p>
        </w:tc>
        <w:tc>
          <w:tcPr>
            <w:tcW w:w="1750" w:type="pct"/>
            <w:tcBorders>
              <w:bottom w:val="nil"/>
            </w:tcBorders>
          </w:tcPr>
          <w:p w14:paraId="6648AFAD" w14:textId="77777777" w:rsidR="00E74C9F" w:rsidRPr="00C951F0" w:rsidRDefault="00E74C9F" w:rsidP="0039543A">
            <w:pPr>
              <w:spacing w:line="240" w:lineRule="auto"/>
              <w:rPr>
                <w:color w:val="000000" w:themeColor="text1"/>
                <w:sz w:val="20"/>
                <w:szCs w:val="20"/>
              </w:rPr>
            </w:pPr>
          </w:p>
        </w:tc>
      </w:tr>
      <w:tr w:rsidR="00A5423C" w:rsidRPr="00C951F0" w14:paraId="446282D7" w14:textId="77777777" w:rsidTr="00934A10">
        <w:tc>
          <w:tcPr>
            <w:tcW w:w="1674" w:type="pct"/>
            <w:tcBorders>
              <w:top w:val="nil"/>
              <w:bottom w:val="nil"/>
            </w:tcBorders>
          </w:tcPr>
          <w:p w14:paraId="244C88E5" w14:textId="12425CE2" w:rsidR="00A5423C" w:rsidRPr="00C951F0" w:rsidRDefault="00A5423C"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272C6DA5" w14:textId="56A29527" w:rsidR="00A5423C" w:rsidRPr="00C951F0" w:rsidRDefault="00A5423C" w:rsidP="00433982">
            <w:pPr>
              <w:spacing w:line="240" w:lineRule="auto"/>
              <w:jc w:val="center"/>
              <w:rPr>
                <w:color w:val="000000" w:themeColor="text1"/>
                <w:sz w:val="20"/>
                <w:szCs w:val="20"/>
              </w:rPr>
            </w:pPr>
            <w:r>
              <w:rPr>
                <w:color w:val="000000" w:themeColor="text1"/>
                <w:sz w:val="20"/>
                <w:szCs w:val="20"/>
              </w:rPr>
              <w:t>382</w:t>
            </w:r>
          </w:p>
        </w:tc>
        <w:tc>
          <w:tcPr>
            <w:tcW w:w="526" w:type="pct"/>
            <w:tcBorders>
              <w:top w:val="nil"/>
              <w:bottom w:val="nil"/>
            </w:tcBorders>
          </w:tcPr>
          <w:p w14:paraId="6E770C1C" w14:textId="470CB5C9" w:rsidR="00A5423C" w:rsidRPr="00C951F0" w:rsidRDefault="00A5423C">
            <w:pPr>
              <w:spacing w:line="240" w:lineRule="auto"/>
              <w:jc w:val="center"/>
              <w:rPr>
                <w:color w:val="000000" w:themeColor="text1"/>
                <w:sz w:val="20"/>
                <w:szCs w:val="20"/>
              </w:rPr>
            </w:pPr>
            <w:r>
              <w:rPr>
                <w:color w:val="000000" w:themeColor="text1"/>
                <w:sz w:val="20"/>
                <w:szCs w:val="20"/>
              </w:rPr>
              <w:t>376</w:t>
            </w:r>
          </w:p>
        </w:tc>
        <w:tc>
          <w:tcPr>
            <w:tcW w:w="524" w:type="pct"/>
            <w:tcBorders>
              <w:top w:val="nil"/>
              <w:bottom w:val="nil"/>
            </w:tcBorders>
          </w:tcPr>
          <w:p w14:paraId="68187EB6" w14:textId="26CC072D" w:rsidR="00A5423C" w:rsidRPr="00C951F0" w:rsidRDefault="00A5423C">
            <w:pPr>
              <w:spacing w:line="240" w:lineRule="auto"/>
              <w:jc w:val="center"/>
              <w:rPr>
                <w:color w:val="000000" w:themeColor="text1"/>
                <w:sz w:val="20"/>
                <w:szCs w:val="20"/>
              </w:rPr>
            </w:pPr>
            <w:r>
              <w:rPr>
                <w:color w:val="000000" w:themeColor="text1"/>
                <w:sz w:val="20"/>
                <w:szCs w:val="20"/>
              </w:rPr>
              <w:t>374</w:t>
            </w:r>
          </w:p>
        </w:tc>
        <w:tc>
          <w:tcPr>
            <w:tcW w:w="1750" w:type="pct"/>
            <w:tcBorders>
              <w:top w:val="nil"/>
              <w:bottom w:val="nil"/>
            </w:tcBorders>
          </w:tcPr>
          <w:p w14:paraId="0EC205BB" w14:textId="77777777" w:rsidR="00A5423C" w:rsidRPr="00C951F0" w:rsidRDefault="00A5423C" w:rsidP="0039543A">
            <w:pPr>
              <w:spacing w:line="240" w:lineRule="auto"/>
              <w:rPr>
                <w:color w:val="000000" w:themeColor="text1"/>
                <w:sz w:val="20"/>
                <w:szCs w:val="20"/>
              </w:rPr>
            </w:pPr>
          </w:p>
        </w:tc>
      </w:tr>
      <w:tr w:rsidR="00C951F0" w:rsidRPr="00C951F0" w14:paraId="411C8ED4" w14:textId="77777777" w:rsidTr="00934A10">
        <w:tc>
          <w:tcPr>
            <w:tcW w:w="1674" w:type="pct"/>
            <w:tcBorders>
              <w:top w:val="nil"/>
              <w:bottom w:val="nil"/>
            </w:tcBorders>
          </w:tcPr>
          <w:p w14:paraId="72421FAD" w14:textId="60B74505" w:rsidR="00E74C9F" w:rsidRPr="00C951F0" w:rsidDel="00E74C9F" w:rsidRDefault="00E74C9F" w:rsidP="00934A10">
            <w:pPr>
              <w:spacing w:line="240" w:lineRule="auto"/>
              <w:ind w:left="306"/>
              <w:rPr>
                <w:rFonts w:cs="Arial"/>
                <w:color w:val="000000" w:themeColor="text1"/>
                <w:sz w:val="20"/>
                <w:szCs w:val="20"/>
              </w:rPr>
            </w:pPr>
            <w:r w:rsidRPr="00C951F0">
              <w:rPr>
                <w:rFonts w:cs="Arial"/>
                <w:color w:val="000000" w:themeColor="text1"/>
                <w:sz w:val="20"/>
                <w:szCs w:val="20"/>
              </w:rPr>
              <w:t>Week 68 geometric mean (CV)</w:t>
            </w:r>
          </w:p>
        </w:tc>
        <w:tc>
          <w:tcPr>
            <w:tcW w:w="526" w:type="pct"/>
            <w:tcBorders>
              <w:top w:val="nil"/>
              <w:bottom w:val="nil"/>
            </w:tcBorders>
          </w:tcPr>
          <w:p w14:paraId="6DC61C0B" w14:textId="2E8C7C04" w:rsidR="00E74C9F" w:rsidRPr="00C951F0" w:rsidRDefault="007B717D" w:rsidP="00433982">
            <w:pPr>
              <w:spacing w:line="240" w:lineRule="auto"/>
              <w:jc w:val="center"/>
              <w:rPr>
                <w:color w:val="000000" w:themeColor="text1"/>
                <w:sz w:val="20"/>
                <w:szCs w:val="20"/>
              </w:rPr>
            </w:pPr>
            <w:r>
              <w:rPr>
                <w:color w:val="000000" w:themeColor="text1"/>
                <w:sz w:val="20"/>
                <w:szCs w:val="20"/>
              </w:rPr>
              <w:t>1</w:t>
            </w:r>
            <w:r w:rsidRPr="00C951F0">
              <w:rPr>
                <w:color w:val="000000" w:themeColor="text1"/>
                <w:sz w:val="20"/>
                <w:szCs w:val="20"/>
              </w:rPr>
              <w:t>·</w:t>
            </w:r>
            <w:r>
              <w:rPr>
                <w:color w:val="000000" w:themeColor="text1"/>
                <w:sz w:val="20"/>
                <w:szCs w:val="20"/>
              </w:rPr>
              <w:t>4</w:t>
            </w:r>
            <w:r w:rsidR="00E74C9F" w:rsidRPr="00C951F0">
              <w:rPr>
                <w:color w:val="000000" w:themeColor="text1"/>
                <w:sz w:val="20"/>
                <w:szCs w:val="20"/>
              </w:rPr>
              <w:t xml:space="preserve"> </w:t>
            </w:r>
            <w:r w:rsidR="00E74C9F" w:rsidRPr="00C951F0">
              <w:rPr>
                <w:rFonts w:cs="Arial"/>
                <w:color w:val="000000" w:themeColor="text1"/>
                <w:sz w:val="20"/>
                <w:szCs w:val="20"/>
              </w:rPr>
              <w:t>(</w:t>
            </w:r>
            <w:r w:rsidR="00E74C9F" w:rsidRPr="00C951F0">
              <w:rPr>
                <w:color w:val="000000" w:themeColor="text1"/>
                <w:sz w:val="20"/>
                <w:szCs w:val="20"/>
              </w:rPr>
              <w:t>53·1)</w:t>
            </w:r>
          </w:p>
        </w:tc>
        <w:tc>
          <w:tcPr>
            <w:tcW w:w="526" w:type="pct"/>
            <w:tcBorders>
              <w:top w:val="nil"/>
              <w:bottom w:val="nil"/>
            </w:tcBorders>
          </w:tcPr>
          <w:p w14:paraId="642EB6EC" w14:textId="5E7E7FBD" w:rsidR="00E74C9F" w:rsidRPr="00C951F0" w:rsidRDefault="007B717D">
            <w:pPr>
              <w:spacing w:line="240" w:lineRule="auto"/>
              <w:jc w:val="center"/>
              <w:rPr>
                <w:color w:val="000000" w:themeColor="text1"/>
                <w:sz w:val="20"/>
                <w:szCs w:val="20"/>
              </w:rPr>
            </w:pPr>
            <w:r>
              <w:rPr>
                <w:color w:val="000000" w:themeColor="text1"/>
                <w:sz w:val="20"/>
                <w:szCs w:val="20"/>
              </w:rPr>
              <w:t>1</w:t>
            </w:r>
            <w:r w:rsidRPr="00C951F0">
              <w:rPr>
                <w:color w:val="000000" w:themeColor="text1"/>
                <w:sz w:val="20"/>
                <w:szCs w:val="20"/>
              </w:rPr>
              <w:t>·</w:t>
            </w:r>
            <w:r>
              <w:rPr>
                <w:color w:val="000000" w:themeColor="text1"/>
                <w:sz w:val="20"/>
                <w:szCs w:val="20"/>
              </w:rPr>
              <w:t>5</w:t>
            </w:r>
            <w:r w:rsidR="00E74C9F" w:rsidRPr="00C951F0">
              <w:rPr>
                <w:color w:val="000000" w:themeColor="text1"/>
                <w:sz w:val="20"/>
                <w:szCs w:val="20"/>
              </w:rPr>
              <w:t xml:space="preserve"> </w:t>
            </w:r>
            <w:r w:rsidR="00E74C9F" w:rsidRPr="00C951F0">
              <w:rPr>
                <w:rFonts w:cs="Arial"/>
                <w:color w:val="000000" w:themeColor="text1"/>
                <w:sz w:val="20"/>
                <w:szCs w:val="20"/>
              </w:rPr>
              <w:t>(</w:t>
            </w:r>
            <w:r w:rsidR="00E74C9F" w:rsidRPr="00C951F0">
              <w:rPr>
                <w:color w:val="000000" w:themeColor="text1"/>
                <w:sz w:val="20"/>
                <w:szCs w:val="20"/>
              </w:rPr>
              <w:t>56·8)</w:t>
            </w:r>
          </w:p>
        </w:tc>
        <w:tc>
          <w:tcPr>
            <w:tcW w:w="524" w:type="pct"/>
            <w:tcBorders>
              <w:top w:val="nil"/>
              <w:bottom w:val="nil"/>
            </w:tcBorders>
          </w:tcPr>
          <w:p w14:paraId="6F2C6F59" w14:textId="35F77125" w:rsidR="00E74C9F" w:rsidRPr="00C951F0" w:rsidRDefault="007B717D">
            <w:pPr>
              <w:spacing w:line="240" w:lineRule="auto"/>
              <w:jc w:val="center"/>
              <w:rPr>
                <w:color w:val="000000" w:themeColor="text1"/>
                <w:sz w:val="20"/>
                <w:szCs w:val="20"/>
              </w:rPr>
            </w:pPr>
            <w:r>
              <w:rPr>
                <w:color w:val="000000" w:themeColor="text1"/>
                <w:sz w:val="20"/>
                <w:szCs w:val="20"/>
              </w:rPr>
              <w:t>1</w:t>
            </w:r>
            <w:r w:rsidRPr="00C951F0">
              <w:rPr>
                <w:color w:val="000000" w:themeColor="text1"/>
                <w:sz w:val="20"/>
                <w:szCs w:val="20"/>
              </w:rPr>
              <w:t>·</w:t>
            </w:r>
            <w:r>
              <w:rPr>
                <w:color w:val="000000" w:themeColor="text1"/>
                <w:sz w:val="20"/>
                <w:szCs w:val="20"/>
              </w:rPr>
              <w:t>7</w:t>
            </w:r>
            <w:r w:rsidR="00E74C9F" w:rsidRPr="00C951F0">
              <w:rPr>
                <w:color w:val="000000" w:themeColor="text1"/>
                <w:sz w:val="20"/>
                <w:szCs w:val="20"/>
              </w:rPr>
              <w:t xml:space="preserve"> </w:t>
            </w:r>
            <w:r w:rsidR="00E74C9F" w:rsidRPr="00C951F0">
              <w:rPr>
                <w:rFonts w:cs="Arial"/>
                <w:color w:val="000000" w:themeColor="text1"/>
                <w:sz w:val="20"/>
                <w:szCs w:val="20"/>
              </w:rPr>
              <w:t>(</w:t>
            </w:r>
            <w:r w:rsidR="00E74C9F" w:rsidRPr="00C951F0">
              <w:rPr>
                <w:color w:val="000000" w:themeColor="text1"/>
                <w:sz w:val="20"/>
                <w:szCs w:val="20"/>
              </w:rPr>
              <w:t>58·7)</w:t>
            </w:r>
          </w:p>
        </w:tc>
        <w:tc>
          <w:tcPr>
            <w:tcW w:w="1750" w:type="pct"/>
            <w:tcBorders>
              <w:top w:val="nil"/>
              <w:bottom w:val="nil"/>
            </w:tcBorders>
          </w:tcPr>
          <w:p w14:paraId="16B88D97" w14:textId="6CF26DC8" w:rsidR="00E74C9F" w:rsidRPr="00C951F0" w:rsidRDefault="00E74C9F" w:rsidP="0039543A">
            <w:pPr>
              <w:spacing w:line="240" w:lineRule="auto"/>
              <w:rPr>
                <w:color w:val="000000" w:themeColor="text1"/>
                <w:sz w:val="20"/>
                <w:szCs w:val="20"/>
              </w:rPr>
            </w:pPr>
            <w:r w:rsidRPr="00C951F0">
              <w:rPr>
                <w:color w:val="000000" w:themeColor="text1"/>
                <w:sz w:val="20"/>
                <w:szCs w:val="20"/>
              </w:rPr>
              <w:t>Semaglutide 2·4 mg / placebo</w:t>
            </w:r>
            <w:r w:rsidR="002A7A09" w:rsidRPr="00C951F0">
              <w:rPr>
                <w:color w:val="000000" w:themeColor="text1"/>
                <w:sz w:val="20"/>
                <w:szCs w:val="20"/>
              </w:rPr>
              <w:t>;</w:t>
            </w:r>
            <w:r w:rsidRPr="00C951F0">
              <w:rPr>
                <w:color w:val="000000" w:themeColor="text1"/>
                <w:sz w:val="20"/>
                <w:szCs w:val="20"/>
              </w:rPr>
              <w:t xml:space="preserve"> ETR: 0·86 </w:t>
            </w:r>
            <w:r w:rsidR="00433982" w:rsidRPr="00C951F0">
              <w:rPr>
                <w:color w:val="000000" w:themeColor="text1"/>
                <w:sz w:val="20"/>
                <w:szCs w:val="20"/>
              </w:rPr>
              <w:t>(</w:t>
            </w:r>
            <w:r w:rsidRPr="00C951F0">
              <w:rPr>
                <w:color w:val="000000" w:themeColor="text1"/>
                <w:sz w:val="20"/>
                <w:szCs w:val="20"/>
              </w:rPr>
              <w:t>0·81 to 0·92</w:t>
            </w:r>
            <w:r w:rsidR="00433982" w:rsidRPr="00C951F0">
              <w:rPr>
                <w:color w:val="000000" w:themeColor="text1"/>
                <w:sz w:val="20"/>
                <w:szCs w:val="20"/>
              </w:rPr>
              <w:t>)</w:t>
            </w:r>
          </w:p>
        </w:tc>
      </w:tr>
      <w:tr w:rsidR="00C951F0" w:rsidRPr="00C951F0" w14:paraId="1A67EA54" w14:textId="77777777" w:rsidTr="00934A10">
        <w:tc>
          <w:tcPr>
            <w:tcW w:w="1674" w:type="pct"/>
            <w:tcBorders>
              <w:top w:val="nil"/>
              <w:bottom w:val="single" w:sz="4" w:space="0" w:color="auto"/>
            </w:tcBorders>
          </w:tcPr>
          <w:p w14:paraId="1FFE4E0C" w14:textId="071C5E31"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Ratio to baseline</w:t>
            </w:r>
            <w:r w:rsidR="00433982" w:rsidRPr="00C951F0">
              <w:rPr>
                <w:rFonts w:eastAsia="Calibri" w:cs="Calibri"/>
                <w:color w:val="000000" w:themeColor="text1"/>
              </w:rPr>
              <w:t>†</w:t>
            </w:r>
          </w:p>
        </w:tc>
        <w:tc>
          <w:tcPr>
            <w:tcW w:w="526" w:type="pct"/>
            <w:tcBorders>
              <w:top w:val="nil"/>
              <w:bottom w:val="single" w:sz="4" w:space="0" w:color="auto"/>
            </w:tcBorders>
          </w:tcPr>
          <w:p w14:paraId="326E35A1" w14:textId="75ACE859"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78</w:t>
            </w:r>
          </w:p>
        </w:tc>
        <w:tc>
          <w:tcPr>
            <w:tcW w:w="526" w:type="pct"/>
            <w:tcBorders>
              <w:top w:val="nil"/>
              <w:bottom w:val="single" w:sz="4" w:space="0" w:color="auto"/>
            </w:tcBorders>
          </w:tcPr>
          <w:p w14:paraId="0A228D61" w14:textId="326D057A"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83</w:t>
            </w:r>
          </w:p>
        </w:tc>
        <w:tc>
          <w:tcPr>
            <w:tcW w:w="524" w:type="pct"/>
            <w:tcBorders>
              <w:top w:val="nil"/>
              <w:bottom w:val="single" w:sz="4" w:space="0" w:color="auto"/>
            </w:tcBorders>
          </w:tcPr>
          <w:p w14:paraId="4FE9FD40" w14:textId="5C11E09C"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91</w:t>
            </w:r>
          </w:p>
        </w:tc>
        <w:tc>
          <w:tcPr>
            <w:tcW w:w="1750" w:type="pct"/>
            <w:tcBorders>
              <w:top w:val="nil"/>
              <w:bottom w:val="single" w:sz="4" w:space="0" w:color="auto"/>
            </w:tcBorders>
          </w:tcPr>
          <w:p w14:paraId="08DCD1C3" w14:textId="11CE2FB3"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w:t>
            </w:r>
            <w:r w:rsidR="002A7A09" w:rsidRPr="00C951F0">
              <w:rPr>
                <w:color w:val="000000" w:themeColor="text1"/>
                <w:sz w:val="20"/>
                <w:szCs w:val="20"/>
              </w:rPr>
              <w:t>;</w:t>
            </w:r>
            <w:r w:rsidRPr="00C951F0">
              <w:rPr>
                <w:color w:val="000000" w:themeColor="text1"/>
                <w:sz w:val="20"/>
                <w:szCs w:val="20"/>
              </w:rPr>
              <w:t xml:space="preserve"> ETR: 0</w:t>
            </w:r>
            <w:r w:rsidR="00C5236B" w:rsidRPr="00C951F0">
              <w:rPr>
                <w:color w:val="000000" w:themeColor="text1"/>
                <w:sz w:val="20"/>
                <w:szCs w:val="20"/>
              </w:rPr>
              <w:t>·</w:t>
            </w:r>
            <w:r w:rsidRPr="00C951F0">
              <w:rPr>
                <w:color w:val="000000" w:themeColor="text1"/>
                <w:sz w:val="20"/>
                <w:szCs w:val="20"/>
              </w:rPr>
              <w:t xml:space="preserve">94 </w:t>
            </w:r>
            <w:r w:rsidR="00433982" w:rsidRPr="00C951F0">
              <w:rPr>
                <w:color w:val="000000" w:themeColor="text1"/>
                <w:sz w:val="20"/>
                <w:szCs w:val="20"/>
              </w:rPr>
              <w:t>(</w:t>
            </w: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89</w:t>
            </w:r>
            <w:r w:rsidR="00227D23" w:rsidRPr="00C951F0">
              <w:rPr>
                <w:color w:val="000000" w:themeColor="text1"/>
                <w:sz w:val="20"/>
                <w:szCs w:val="20"/>
              </w:rPr>
              <w:t xml:space="preserve"> to</w:t>
            </w:r>
            <w:r w:rsidRPr="00C951F0">
              <w:rPr>
                <w:color w:val="000000" w:themeColor="text1"/>
                <w:sz w:val="20"/>
                <w:szCs w:val="20"/>
              </w:rPr>
              <w:t xml:space="preserve"> 1</w:t>
            </w:r>
            <w:r w:rsidR="00C5236B" w:rsidRPr="00C951F0">
              <w:rPr>
                <w:color w:val="000000" w:themeColor="text1"/>
                <w:sz w:val="20"/>
                <w:szCs w:val="20"/>
              </w:rPr>
              <w:t>·</w:t>
            </w:r>
            <w:r w:rsidRPr="00C951F0">
              <w:rPr>
                <w:color w:val="000000" w:themeColor="text1"/>
                <w:sz w:val="20"/>
                <w:szCs w:val="20"/>
              </w:rPr>
              <w:t>00</w:t>
            </w:r>
            <w:r w:rsidR="00433982" w:rsidRPr="00C951F0">
              <w:rPr>
                <w:color w:val="000000" w:themeColor="text1"/>
                <w:sz w:val="20"/>
                <w:szCs w:val="20"/>
              </w:rPr>
              <w:t>)</w:t>
            </w:r>
          </w:p>
        </w:tc>
      </w:tr>
      <w:tr w:rsidR="00C951F0" w:rsidRPr="00C951F0" w14:paraId="29231CD8" w14:textId="77777777" w:rsidTr="00934A10">
        <w:tc>
          <w:tcPr>
            <w:tcW w:w="1674" w:type="pct"/>
            <w:tcBorders>
              <w:bottom w:val="nil"/>
            </w:tcBorders>
          </w:tcPr>
          <w:p w14:paraId="2ADD496C" w14:textId="2A779028" w:rsidR="00E74C9F" w:rsidRPr="00C951F0" w:rsidRDefault="00E74C9F" w:rsidP="0039543A">
            <w:pPr>
              <w:spacing w:line="240" w:lineRule="auto"/>
              <w:rPr>
                <w:rFonts w:cs="Arial"/>
                <w:color w:val="000000" w:themeColor="text1"/>
                <w:sz w:val="20"/>
                <w:szCs w:val="20"/>
              </w:rPr>
            </w:pPr>
            <w:r w:rsidRPr="00C951F0">
              <w:rPr>
                <w:color w:val="000000" w:themeColor="text1"/>
                <w:sz w:val="20"/>
                <w:szCs w:val="20"/>
              </w:rPr>
              <w:t>C-reactive protein (mg/L)</w:t>
            </w:r>
          </w:p>
        </w:tc>
        <w:tc>
          <w:tcPr>
            <w:tcW w:w="526" w:type="pct"/>
            <w:tcBorders>
              <w:bottom w:val="nil"/>
            </w:tcBorders>
          </w:tcPr>
          <w:p w14:paraId="065679B2" w14:textId="77777777" w:rsidR="00E74C9F" w:rsidRPr="00C951F0" w:rsidRDefault="00E74C9F" w:rsidP="0039543A">
            <w:pPr>
              <w:spacing w:line="240" w:lineRule="auto"/>
              <w:jc w:val="center"/>
              <w:rPr>
                <w:color w:val="000000" w:themeColor="text1"/>
                <w:sz w:val="20"/>
                <w:szCs w:val="20"/>
              </w:rPr>
            </w:pPr>
          </w:p>
        </w:tc>
        <w:tc>
          <w:tcPr>
            <w:tcW w:w="526" w:type="pct"/>
            <w:tcBorders>
              <w:bottom w:val="nil"/>
            </w:tcBorders>
          </w:tcPr>
          <w:p w14:paraId="3E8763C0" w14:textId="77777777" w:rsidR="00E74C9F" w:rsidRPr="00C951F0" w:rsidRDefault="00E74C9F" w:rsidP="0039543A">
            <w:pPr>
              <w:spacing w:line="240" w:lineRule="auto"/>
              <w:jc w:val="center"/>
              <w:rPr>
                <w:color w:val="000000" w:themeColor="text1"/>
                <w:sz w:val="20"/>
                <w:szCs w:val="20"/>
              </w:rPr>
            </w:pPr>
          </w:p>
        </w:tc>
        <w:tc>
          <w:tcPr>
            <w:tcW w:w="524" w:type="pct"/>
            <w:tcBorders>
              <w:bottom w:val="nil"/>
            </w:tcBorders>
          </w:tcPr>
          <w:p w14:paraId="6B0A9E87" w14:textId="77777777" w:rsidR="00E74C9F" w:rsidRPr="00C951F0" w:rsidRDefault="00E74C9F" w:rsidP="0039543A">
            <w:pPr>
              <w:spacing w:line="240" w:lineRule="auto"/>
              <w:jc w:val="center"/>
              <w:rPr>
                <w:color w:val="000000" w:themeColor="text1"/>
                <w:sz w:val="20"/>
                <w:szCs w:val="20"/>
              </w:rPr>
            </w:pPr>
          </w:p>
        </w:tc>
        <w:tc>
          <w:tcPr>
            <w:tcW w:w="1750" w:type="pct"/>
            <w:tcBorders>
              <w:bottom w:val="nil"/>
            </w:tcBorders>
          </w:tcPr>
          <w:p w14:paraId="1170A2D2" w14:textId="77777777" w:rsidR="00E74C9F" w:rsidRPr="00C951F0" w:rsidRDefault="00E74C9F" w:rsidP="0039543A">
            <w:pPr>
              <w:spacing w:line="240" w:lineRule="auto"/>
              <w:rPr>
                <w:color w:val="000000" w:themeColor="text1"/>
                <w:sz w:val="20"/>
                <w:szCs w:val="20"/>
              </w:rPr>
            </w:pPr>
          </w:p>
        </w:tc>
      </w:tr>
      <w:tr w:rsidR="00A5423C" w:rsidRPr="00C951F0" w14:paraId="296506F9" w14:textId="77777777" w:rsidTr="00934A10">
        <w:tc>
          <w:tcPr>
            <w:tcW w:w="1674" w:type="pct"/>
            <w:tcBorders>
              <w:top w:val="nil"/>
              <w:bottom w:val="nil"/>
            </w:tcBorders>
          </w:tcPr>
          <w:p w14:paraId="14CFC9FB" w14:textId="55120C41" w:rsidR="00A5423C" w:rsidRPr="00C951F0" w:rsidRDefault="00A5423C" w:rsidP="00934A10">
            <w:pPr>
              <w:spacing w:line="240" w:lineRule="auto"/>
              <w:ind w:left="306"/>
              <w:rPr>
                <w:rFonts w:cs="Arial"/>
                <w:color w:val="000000" w:themeColor="text1"/>
                <w:sz w:val="20"/>
                <w:szCs w:val="20"/>
              </w:rPr>
            </w:pPr>
            <w:r>
              <w:rPr>
                <w:rFonts w:cs="Arial"/>
                <w:color w:val="000000" w:themeColor="text1"/>
                <w:sz w:val="20"/>
                <w:szCs w:val="20"/>
              </w:rPr>
              <w:t>n</w:t>
            </w:r>
          </w:p>
        </w:tc>
        <w:tc>
          <w:tcPr>
            <w:tcW w:w="526" w:type="pct"/>
            <w:tcBorders>
              <w:top w:val="nil"/>
              <w:bottom w:val="nil"/>
            </w:tcBorders>
          </w:tcPr>
          <w:p w14:paraId="028463AD" w14:textId="4D870A0F" w:rsidR="00A5423C" w:rsidRPr="00C951F0" w:rsidRDefault="00A5423C" w:rsidP="00433982">
            <w:pPr>
              <w:spacing w:line="240" w:lineRule="auto"/>
              <w:jc w:val="center"/>
              <w:rPr>
                <w:color w:val="000000" w:themeColor="text1"/>
                <w:sz w:val="20"/>
                <w:szCs w:val="20"/>
              </w:rPr>
            </w:pPr>
            <w:r>
              <w:rPr>
                <w:color w:val="000000" w:themeColor="text1"/>
                <w:sz w:val="20"/>
                <w:szCs w:val="20"/>
              </w:rPr>
              <w:t>382</w:t>
            </w:r>
          </w:p>
        </w:tc>
        <w:tc>
          <w:tcPr>
            <w:tcW w:w="526" w:type="pct"/>
            <w:tcBorders>
              <w:top w:val="nil"/>
              <w:bottom w:val="nil"/>
            </w:tcBorders>
          </w:tcPr>
          <w:p w14:paraId="2BF08DE2" w14:textId="67404667" w:rsidR="00A5423C" w:rsidRPr="00C951F0" w:rsidRDefault="00A5423C">
            <w:pPr>
              <w:spacing w:line="240" w:lineRule="auto"/>
              <w:jc w:val="center"/>
              <w:rPr>
                <w:color w:val="000000" w:themeColor="text1"/>
                <w:sz w:val="20"/>
                <w:szCs w:val="20"/>
              </w:rPr>
            </w:pPr>
            <w:r>
              <w:rPr>
                <w:color w:val="000000" w:themeColor="text1"/>
                <w:sz w:val="20"/>
                <w:szCs w:val="20"/>
              </w:rPr>
              <w:t>376</w:t>
            </w:r>
          </w:p>
        </w:tc>
        <w:tc>
          <w:tcPr>
            <w:tcW w:w="524" w:type="pct"/>
            <w:tcBorders>
              <w:top w:val="nil"/>
              <w:bottom w:val="nil"/>
            </w:tcBorders>
          </w:tcPr>
          <w:p w14:paraId="467FED1F" w14:textId="170578C5" w:rsidR="00A5423C" w:rsidRPr="00C951F0" w:rsidRDefault="00A5423C">
            <w:pPr>
              <w:spacing w:line="240" w:lineRule="auto"/>
              <w:jc w:val="center"/>
              <w:rPr>
                <w:color w:val="000000" w:themeColor="text1"/>
                <w:sz w:val="20"/>
                <w:szCs w:val="20"/>
              </w:rPr>
            </w:pPr>
            <w:r>
              <w:rPr>
                <w:color w:val="000000" w:themeColor="text1"/>
                <w:sz w:val="20"/>
                <w:szCs w:val="20"/>
              </w:rPr>
              <w:t>374</w:t>
            </w:r>
          </w:p>
        </w:tc>
        <w:tc>
          <w:tcPr>
            <w:tcW w:w="1750" w:type="pct"/>
            <w:tcBorders>
              <w:top w:val="nil"/>
              <w:bottom w:val="nil"/>
            </w:tcBorders>
          </w:tcPr>
          <w:p w14:paraId="34B89CD2" w14:textId="77777777" w:rsidR="00A5423C" w:rsidRPr="00C951F0" w:rsidRDefault="00A5423C" w:rsidP="0039543A">
            <w:pPr>
              <w:spacing w:line="240" w:lineRule="auto"/>
              <w:rPr>
                <w:color w:val="000000" w:themeColor="text1"/>
                <w:sz w:val="20"/>
                <w:szCs w:val="20"/>
              </w:rPr>
            </w:pPr>
          </w:p>
        </w:tc>
      </w:tr>
      <w:tr w:rsidR="00C951F0" w:rsidRPr="00C951F0" w14:paraId="3617A1C4" w14:textId="77777777" w:rsidTr="00934A10">
        <w:tc>
          <w:tcPr>
            <w:tcW w:w="1674" w:type="pct"/>
            <w:tcBorders>
              <w:top w:val="nil"/>
              <w:bottom w:val="nil"/>
            </w:tcBorders>
          </w:tcPr>
          <w:p w14:paraId="68B907F5" w14:textId="2CC81F06" w:rsidR="00E74C9F" w:rsidRPr="00C951F0" w:rsidRDefault="00E74C9F" w:rsidP="00934A10">
            <w:pPr>
              <w:spacing w:line="240" w:lineRule="auto"/>
              <w:ind w:left="306"/>
              <w:rPr>
                <w:rFonts w:cs="Arial"/>
                <w:color w:val="000000" w:themeColor="text1"/>
                <w:sz w:val="20"/>
                <w:szCs w:val="20"/>
              </w:rPr>
            </w:pPr>
            <w:r w:rsidRPr="00C951F0">
              <w:rPr>
                <w:rFonts w:cs="Arial"/>
                <w:color w:val="000000" w:themeColor="text1"/>
                <w:sz w:val="20"/>
                <w:szCs w:val="20"/>
              </w:rPr>
              <w:t>Week 68 geometric mean (CV)</w:t>
            </w:r>
          </w:p>
        </w:tc>
        <w:tc>
          <w:tcPr>
            <w:tcW w:w="526" w:type="pct"/>
            <w:tcBorders>
              <w:top w:val="nil"/>
              <w:bottom w:val="nil"/>
            </w:tcBorders>
          </w:tcPr>
          <w:p w14:paraId="1D732EE1" w14:textId="17491153" w:rsidR="00E74C9F" w:rsidRPr="00C951F0" w:rsidRDefault="00E74C9F" w:rsidP="00433982">
            <w:pPr>
              <w:spacing w:line="240" w:lineRule="auto"/>
              <w:jc w:val="center"/>
              <w:rPr>
                <w:color w:val="000000" w:themeColor="text1"/>
                <w:sz w:val="20"/>
                <w:szCs w:val="20"/>
              </w:rPr>
            </w:pPr>
            <w:r w:rsidRPr="00C951F0">
              <w:rPr>
                <w:color w:val="000000" w:themeColor="text1"/>
                <w:sz w:val="20"/>
                <w:szCs w:val="20"/>
              </w:rPr>
              <w:t xml:space="preserve">1·70 </w:t>
            </w:r>
            <w:r w:rsidRPr="00C951F0">
              <w:rPr>
                <w:rFonts w:cs="Arial"/>
                <w:color w:val="000000" w:themeColor="text1"/>
                <w:sz w:val="20"/>
                <w:szCs w:val="20"/>
              </w:rPr>
              <w:t>(</w:t>
            </w:r>
            <w:r w:rsidRPr="00C951F0">
              <w:rPr>
                <w:color w:val="000000" w:themeColor="text1"/>
                <w:sz w:val="20"/>
                <w:szCs w:val="20"/>
              </w:rPr>
              <w:t>224·6)</w:t>
            </w:r>
          </w:p>
        </w:tc>
        <w:tc>
          <w:tcPr>
            <w:tcW w:w="526" w:type="pct"/>
            <w:tcBorders>
              <w:top w:val="nil"/>
              <w:bottom w:val="nil"/>
            </w:tcBorders>
          </w:tcPr>
          <w:p w14:paraId="66DA1E4A" w14:textId="692A53C6" w:rsidR="00E74C9F" w:rsidRPr="00C951F0" w:rsidRDefault="00E74C9F">
            <w:pPr>
              <w:spacing w:line="240" w:lineRule="auto"/>
              <w:jc w:val="center"/>
              <w:rPr>
                <w:color w:val="000000" w:themeColor="text1"/>
                <w:sz w:val="20"/>
                <w:szCs w:val="20"/>
              </w:rPr>
            </w:pPr>
            <w:r w:rsidRPr="00C951F0">
              <w:rPr>
                <w:color w:val="000000" w:themeColor="text1"/>
                <w:sz w:val="20"/>
                <w:szCs w:val="20"/>
              </w:rPr>
              <w:t xml:space="preserve">1·93 </w:t>
            </w:r>
            <w:r w:rsidRPr="00C951F0">
              <w:rPr>
                <w:rFonts w:cs="Arial"/>
                <w:color w:val="000000" w:themeColor="text1"/>
                <w:sz w:val="20"/>
                <w:szCs w:val="20"/>
              </w:rPr>
              <w:t>(</w:t>
            </w:r>
            <w:r w:rsidRPr="00C951F0">
              <w:rPr>
                <w:color w:val="000000" w:themeColor="text1"/>
                <w:sz w:val="20"/>
                <w:szCs w:val="20"/>
              </w:rPr>
              <w:t>193·2)</w:t>
            </w:r>
          </w:p>
        </w:tc>
        <w:tc>
          <w:tcPr>
            <w:tcW w:w="524" w:type="pct"/>
            <w:tcBorders>
              <w:top w:val="nil"/>
              <w:bottom w:val="nil"/>
            </w:tcBorders>
          </w:tcPr>
          <w:p w14:paraId="58C8F1B2" w14:textId="17DCBCBB" w:rsidR="00E74C9F" w:rsidRPr="00C951F0" w:rsidRDefault="00E74C9F">
            <w:pPr>
              <w:spacing w:line="240" w:lineRule="auto"/>
              <w:jc w:val="center"/>
              <w:rPr>
                <w:color w:val="000000" w:themeColor="text1"/>
                <w:sz w:val="20"/>
                <w:szCs w:val="20"/>
              </w:rPr>
            </w:pPr>
            <w:r w:rsidRPr="00C951F0">
              <w:rPr>
                <w:color w:val="000000" w:themeColor="text1"/>
                <w:sz w:val="20"/>
                <w:szCs w:val="20"/>
              </w:rPr>
              <w:t xml:space="preserve">2·75 </w:t>
            </w:r>
            <w:r w:rsidRPr="00C951F0">
              <w:rPr>
                <w:rFonts w:cs="Arial"/>
                <w:color w:val="000000" w:themeColor="text1"/>
                <w:sz w:val="20"/>
                <w:szCs w:val="20"/>
              </w:rPr>
              <w:t>(</w:t>
            </w:r>
            <w:r w:rsidRPr="00C951F0">
              <w:rPr>
                <w:color w:val="000000" w:themeColor="text1"/>
                <w:sz w:val="20"/>
                <w:szCs w:val="20"/>
              </w:rPr>
              <w:t>176·1)</w:t>
            </w:r>
          </w:p>
        </w:tc>
        <w:tc>
          <w:tcPr>
            <w:tcW w:w="1750" w:type="pct"/>
            <w:tcBorders>
              <w:top w:val="nil"/>
              <w:bottom w:val="nil"/>
            </w:tcBorders>
          </w:tcPr>
          <w:p w14:paraId="2FED1A53" w14:textId="6D836B6C" w:rsidR="00E74C9F" w:rsidRPr="00C951F0" w:rsidRDefault="00E74C9F" w:rsidP="0039543A">
            <w:pPr>
              <w:spacing w:line="240" w:lineRule="auto"/>
              <w:rPr>
                <w:color w:val="000000" w:themeColor="text1"/>
                <w:sz w:val="20"/>
                <w:szCs w:val="20"/>
              </w:rPr>
            </w:pPr>
            <w:r w:rsidRPr="00C951F0">
              <w:rPr>
                <w:color w:val="000000" w:themeColor="text1"/>
                <w:sz w:val="20"/>
                <w:szCs w:val="20"/>
              </w:rPr>
              <w:t>Semaglutide 2·4 mg / placebo</w:t>
            </w:r>
            <w:r w:rsidR="002A7A09" w:rsidRPr="00C951F0">
              <w:rPr>
                <w:color w:val="000000" w:themeColor="text1"/>
                <w:sz w:val="20"/>
                <w:szCs w:val="20"/>
              </w:rPr>
              <w:t>;</w:t>
            </w:r>
            <w:r w:rsidRPr="00C951F0">
              <w:rPr>
                <w:color w:val="000000" w:themeColor="text1"/>
                <w:sz w:val="20"/>
                <w:szCs w:val="20"/>
              </w:rPr>
              <w:t xml:space="preserve"> ETR: 0·61 </w:t>
            </w:r>
            <w:r w:rsidR="00433982" w:rsidRPr="00C951F0">
              <w:rPr>
                <w:color w:val="000000" w:themeColor="text1"/>
                <w:sz w:val="20"/>
                <w:szCs w:val="20"/>
              </w:rPr>
              <w:t>(</w:t>
            </w:r>
            <w:r w:rsidRPr="00C951F0">
              <w:rPr>
                <w:color w:val="000000" w:themeColor="text1"/>
                <w:sz w:val="20"/>
                <w:szCs w:val="20"/>
              </w:rPr>
              <w:t>0·54 to 0·70</w:t>
            </w:r>
            <w:r w:rsidR="00433982" w:rsidRPr="00C951F0">
              <w:rPr>
                <w:color w:val="000000" w:themeColor="text1"/>
                <w:sz w:val="20"/>
                <w:szCs w:val="20"/>
              </w:rPr>
              <w:t>)</w:t>
            </w:r>
          </w:p>
        </w:tc>
      </w:tr>
      <w:tr w:rsidR="00C951F0" w:rsidRPr="00C951F0" w14:paraId="369D6DF8" w14:textId="77777777" w:rsidTr="00934A10">
        <w:tc>
          <w:tcPr>
            <w:tcW w:w="1674" w:type="pct"/>
            <w:tcBorders>
              <w:top w:val="nil"/>
            </w:tcBorders>
          </w:tcPr>
          <w:p w14:paraId="5269E036" w14:textId="4A2DB854" w:rsidR="00B1644A" w:rsidRPr="00C951F0" w:rsidRDefault="00B1644A" w:rsidP="00934A10">
            <w:pPr>
              <w:spacing w:line="240" w:lineRule="auto"/>
              <w:ind w:left="306"/>
              <w:rPr>
                <w:rFonts w:cs="Arial"/>
                <w:color w:val="000000" w:themeColor="text1"/>
                <w:sz w:val="20"/>
                <w:szCs w:val="20"/>
              </w:rPr>
            </w:pPr>
            <w:r w:rsidRPr="00C951F0">
              <w:rPr>
                <w:rFonts w:cs="Arial"/>
                <w:color w:val="000000" w:themeColor="text1"/>
                <w:sz w:val="20"/>
                <w:szCs w:val="20"/>
              </w:rPr>
              <w:t>Ratio to baseline</w:t>
            </w:r>
            <w:r w:rsidR="00433982" w:rsidRPr="00C951F0">
              <w:rPr>
                <w:rFonts w:eastAsia="Calibri" w:cs="Calibri"/>
                <w:color w:val="000000" w:themeColor="text1"/>
              </w:rPr>
              <w:t>†</w:t>
            </w:r>
          </w:p>
        </w:tc>
        <w:tc>
          <w:tcPr>
            <w:tcW w:w="526" w:type="pct"/>
            <w:tcBorders>
              <w:top w:val="nil"/>
            </w:tcBorders>
          </w:tcPr>
          <w:p w14:paraId="37047438" w14:textId="29D3EDC8"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51</w:t>
            </w:r>
          </w:p>
        </w:tc>
        <w:tc>
          <w:tcPr>
            <w:tcW w:w="526" w:type="pct"/>
            <w:tcBorders>
              <w:top w:val="nil"/>
            </w:tcBorders>
          </w:tcPr>
          <w:p w14:paraId="63FCD925" w14:textId="09FD0EB9"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58</w:t>
            </w:r>
          </w:p>
        </w:tc>
        <w:tc>
          <w:tcPr>
            <w:tcW w:w="524" w:type="pct"/>
            <w:tcBorders>
              <w:top w:val="nil"/>
            </w:tcBorders>
          </w:tcPr>
          <w:p w14:paraId="7B36764E" w14:textId="24A6926A" w:rsidR="00B1644A" w:rsidRPr="00C951F0" w:rsidRDefault="00B1644A" w:rsidP="0039543A">
            <w:pPr>
              <w:spacing w:line="240" w:lineRule="auto"/>
              <w:jc w:val="center"/>
              <w:rPr>
                <w:color w:val="000000" w:themeColor="text1"/>
                <w:sz w:val="20"/>
                <w:szCs w:val="20"/>
              </w:rPr>
            </w:pP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83</w:t>
            </w:r>
          </w:p>
        </w:tc>
        <w:tc>
          <w:tcPr>
            <w:tcW w:w="1750" w:type="pct"/>
            <w:tcBorders>
              <w:top w:val="nil"/>
            </w:tcBorders>
          </w:tcPr>
          <w:p w14:paraId="1B08AB39" w14:textId="62C4894E" w:rsidR="00B1644A" w:rsidRPr="00C951F0" w:rsidRDefault="00B1644A" w:rsidP="0039543A">
            <w:pPr>
              <w:spacing w:line="240" w:lineRule="auto"/>
              <w:rPr>
                <w:color w:val="000000" w:themeColor="text1"/>
                <w:sz w:val="20"/>
                <w:szCs w:val="20"/>
              </w:rPr>
            </w:pPr>
            <w:r w:rsidRPr="00C951F0">
              <w:rPr>
                <w:color w:val="000000" w:themeColor="text1"/>
                <w:sz w:val="20"/>
                <w:szCs w:val="20"/>
              </w:rPr>
              <w:t>Semaglutide 2</w:t>
            </w:r>
            <w:r w:rsidR="00C5236B" w:rsidRPr="00C951F0">
              <w:rPr>
                <w:color w:val="000000" w:themeColor="text1"/>
                <w:sz w:val="20"/>
                <w:szCs w:val="20"/>
              </w:rPr>
              <w:t>·</w:t>
            </w:r>
            <w:r w:rsidRPr="00C951F0">
              <w:rPr>
                <w:color w:val="000000" w:themeColor="text1"/>
                <w:sz w:val="20"/>
                <w:szCs w:val="20"/>
              </w:rPr>
              <w:t>4 mg / semaglutide 1</w:t>
            </w:r>
            <w:r w:rsidR="00C5236B" w:rsidRPr="00C951F0">
              <w:rPr>
                <w:color w:val="000000" w:themeColor="text1"/>
                <w:sz w:val="20"/>
                <w:szCs w:val="20"/>
              </w:rPr>
              <w:t>·</w:t>
            </w:r>
            <w:r w:rsidRPr="00C951F0">
              <w:rPr>
                <w:color w:val="000000" w:themeColor="text1"/>
                <w:sz w:val="20"/>
                <w:szCs w:val="20"/>
              </w:rPr>
              <w:t>0 mg</w:t>
            </w:r>
            <w:r w:rsidR="002A7A09" w:rsidRPr="00C951F0">
              <w:rPr>
                <w:color w:val="000000" w:themeColor="text1"/>
                <w:sz w:val="20"/>
                <w:szCs w:val="20"/>
              </w:rPr>
              <w:t>;</w:t>
            </w:r>
            <w:r w:rsidRPr="00C951F0">
              <w:rPr>
                <w:color w:val="000000" w:themeColor="text1"/>
                <w:sz w:val="20"/>
                <w:szCs w:val="20"/>
              </w:rPr>
              <w:t xml:space="preserve"> ETR: 0</w:t>
            </w:r>
            <w:r w:rsidR="00C5236B" w:rsidRPr="00C951F0">
              <w:rPr>
                <w:color w:val="000000" w:themeColor="text1"/>
                <w:sz w:val="20"/>
                <w:szCs w:val="20"/>
              </w:rPr>
              <w:t>·</w:t>
            </w:r>
            <w:r w:rsidRPr="00C951F0">
              <w:rPr>
                <w:color w:val="000000" w:themeColor="text1"/>
                <w:sz w:val="20"/>
                <w:szCs w:val="20"/>
              </w:rPr>
              <w:t xml:space="preserve">88 </w:t>
            </w:r>
            <w:r w:rsidR="00433982" w:rsidRPr="00C951F0">
              <w:rPr>
                <w:color w:val="000000" w:themeColor="text1"/>
                <w:sz w:val="20"/>
                <w:szCs w:val="20"/>
              </w:rPr>
              <w:t>(</w:t>
            </w:r>
            <w:r w:rsidRPr="00C951F0">
              <w:rPr>
                <w:color w:val="000000" w:themeColor="text1"/>
                <w:sz w:val="20"/>
                <w:szCs w:val="20"/>
              </w:rPr>
              <w:t>0</w:t>
            </w:r>
            <w:r w:rsidR="00C5236B" w:rsidRPr="00C951F0">
              <w:rPr>
                <w:color w:val="000000" w:themeColor="text1"/>
                <w:sz w:val="20"/>
                <w:szCs w:val="20"/>
              </w:rPr>
              <w:t>·</w:t>
            </w:r>
            <w:r w:rsidRPr="00C951F0">
              <w:rPr>
                <w:color w:val="000000" w:themeColor="text1"/>
                <w:sz w:val="20"/>
                <w:szCs w:val="20"/>
              </w:rPr>
              <w:t>77</w:t>
            </w:r>
            <w:r w:rsidR="00227D23" w:rsidRPr="00C951F0">
              <w:rPr>
                <w:color w:val="000000" w:themeColor="text1"/>
                <w:sz w:val="20"/>
                <w:szCs w:val="20"/>
              </w:rPr>
              <w:t xml:space="preserve"> to</w:t>
            </w:r>
            <w:r w:rsidRPr="00C951F0">
              <w:rPr>
                <w:color w:val="000000" w:themeColor="text1"/>
                <w:sz w:val="20"/>
                <w:szCs w:val="20"/>
              </w:rPr>
              <w:t xml:space="preserve"> 1</w:t>
            </w:r>
            <w:r w:rsidR="00C5236B" w:rsidRPr="00C951F0">
              <w:rPr>
                <w:color w:val="000000" w:themeColor="text1"/>
                <w:sz w:val="20"/>
                <w:szCs w:val="20"/>
              </w:rPr>
              <w:t>·</w:t>
            </w:r>
            <w:r w:rsidRPr="00C951F0">
              <w:rPr>
                <w:color w:val="000000" w:themeColor="text1"/>
                <w:sz w:val="20"/>
                <w:szCs w:val="20"/>
              </w:rPr>
              <w:t>01</w:t>
            </w:r>
            <w:r w:rsidR="00433982" w:rsidRPr="00C951F0">
              <w:rPr>
                <w:color w:val="000000" w:themeColor="text1"/>
                <w:sz w:val="20"/>
                <w:szCs w:val="20"/>
              </w:rPr>
              <w:t>)</w:t>
            </w:r>
          </w:p>
        </w:tc>
      </w:tr>
      <w:tr w:rsidR="00C951F0" w:rsidRPr="0037035E" w14:paraId="53DC1149" w14:textId="77777777" w:rsidTr="00934A10">
        <w:tc>
          <w:tcPr>
            <w:tcW w:w="5000" w:type="pct"/>
            <w:gridSpan w:val="5"/>
            <w:tcBorders>
              <w:bottom w:val="single" w:sz="4" w:space="0" w:color="auto"/>
            </w:tcBorders>
          </w:tcPr>
          <w:p w14:paraId="509088C7" w14:textId="77777777" w:rsidR="00B1644A" w:rsidRPr="0037035E" w:rsidRDefault="00B1644A" w:rsidP="0039543A">
            <w:pPr>
              <w:keepNext/>
              <w:spacing w:line="240" w:lineRule="auto"/>
              <w:rPr>
                <w:color w:val="000000" w:themeColor="text1"/>
                <w:sz w:val="20"/>
                <w:szCs w:val="20"/>
              </w:rPr>
            </w:pPr>
            <w:r w:rsidRPr="0037035E">
              <w:rPr>
                <w:b/>
                <w:color w:val="000000" w:themeColor="text1"/>
                <w:sz w:val="20"/>
                <w:szCs w:val="20"/>
              </w:rPr>
              <w:t>Exploratory endpoints</w:t>
            </w:r>
          </w:p>
        </w:tc>
      </w:tr>
      <w:tr w:rsidR="00C951F0" w:rsidRPr="0037035E" w14:paraId="0EE0EEC5" w14:textId="77777777" w:rsidTr="00934A10">
        <w:tc>
          <w:tcPr>
            <w:tcW w:w="1674" w:type="pct"/>
            <w:tcBorders>
              <w:bottom w:val="nil"/>
            </w:tcBorders>
          </w:tcPr>
          <w:p w14:paraId="300349D7" w14:textId="11EF7865" w:rsidR="00E74C9F" w:rsidRPr="0037035E" w:rsidRDefault="00E74C9F" w:rsidP="00433982">
            <w:pPr>
              <w:spacing w:line="240" w:lineRule="auto"/>
              <w:rPr>
                <w:color w:val="000000" w:themeColor="text1"/>
                <w:sz w:val="20"/>
                <w:szCs w:val="20"/>
              </w:rPr>
            </w:pPr>
            <w:r w:rsidRPr="0037035E">
              <w:rPr>
                <w:color w:val="000000" w:themeColor="text1"/>
                <w:sz w:val="20"/>
                <w:szCs w:val="20"/>
              </w:rPr>
              <w:t xml:space="preserve">Concomitant glucose-lowering medication </w:t>
            </w:r>
            <w:r w:rsidRPr="0037035E">
              <w:rPr>
                <w:rFonts w:cs="Arial"/>
                <w:color w:val="000000" w:themeColor="text1"/>
                <w:sz w:val="20"/>
                <w:szCs w:val="20"/>
              </w:rPr>
              <w:t xml:space="preserve">— </w:t>
            </w:r>
            <w:r w:rsidR="00A5423C" w:rsidRPr="0037035E">
              <w:rPr>
                <w:rFonts w:cs="Arial"/>
                <w:color w:val="000000" w:themeColor="text1"/>
                <w:sz w:val="20"/>
                <w:szCs w:val="20"/>
              </w:rPr>
              <w:t>n (</w:t>
            </w:r>
            <w:proofErr w:type="gramStart"/>
            <w:r w:rsidRPr="0037035E">
              <w:rPr>
                <w:color w:val="000000" w:themeColor="text1"/>
                <w:sz w:val="20"/>
                <w:szCs w:val="20"/>
              </w:rPr>
              <w:t>%</w:t>
            </w:r>
            <w:r w:rsidR="00A5423C" w:rsidRPr="0037035E">
              <w:rPr>
                <w:color w:val="000000" w:themeColor="text1"/>
                <w:sz w:val="20"/>
                <w:szCs w:val="20"/>
              </w:rPr>
              <w:t>)</w:t>
            </w:r>
            <w:r w:rsidR="00433982" w:rsidRPr="0037035E">
              <w:rPr>
                <w:color w:val="000000" w:themeColor="text1"/>
                <w:sz w:val="20"/>
                <w:szCs w:val="20"/>
              </w:rPr>
              <w:t>‡</w:t>
            </w:r>
            <w:proofErr w:type="gramEnd"/>
          </w:p>
        </w:tc>
        <w:tc>
          <w:tcPr>
            <w:tcW w:w="526" w:type="pct"/>
            <w:tcBorders>
              <w:bottom w:val="nil"/>
            </w:tcBorders>
          </w:tcPr>
          <w:p w14:paraId="093477C7" w14:textId="77777777" w:rsidR="00E74C9F" w:rsidRPr="0037035E" w:rsidRDefault="00E74C9F" w:rsidP="0039543A">
            <w:pPr>
              <w:spacing w:line="240" w:lineRule="auto"/>
              <w:jc w:val="center"/>
              <w:rPr>
                <w:color w:val="000000" w:themeColor="text1"/>
                <w:sz w:val="20"/>
                <w:szCs w:val="20"/>
              </w:rPr>
            </w:pPr>
          </w:p>
        </w:tc>
        <w:tc>
          <w:tcPr>
            <w:tcW w:w="526" w:type="pct"/>
            <w:tcBorders>
              <w:bottom w:val="nil"/>
            </w:tcBorders>
          </w:tcPr>
          <w:p w14:paraId="3CE3C963" w14:textId="77777777" w:rsidR="00E74C9F" w:rsidRPr="0037035E" w:rsidRDefault="00E74C9F" w:rsidP="0039543A">
            <w:pPr>
              <w:spacing w:line="240" w:lineRule="auto"/>
              <w:jc w:val="center"/>
              <w:rPr>
                <w:color w:val="000000" w:themeColor="text1"/>
                <w:sz w:val="20"/>
                <w:szCs w:val="20"/>
              </w:rPr>
            </w:pPr>
          </w:p>
        </w:tc>
        <w:tc>
          <w:tcPr>
            <w:tcW w:w="524" w:type="pct"/>
            <w:tcBorders>
              <w:bottom w:val="nil"/>
            </w:tcBorders>
          </w:tcPr>
          <w:p w14:paraId="09B1A85F" w14:textId="77777777" w:rsidR="00E74C9F" w:rsidRPr="0037035E" w:rsidRDefault="00E74C9F" w:rsidP="0039543A">
            <w:pPr>
              <w:spacing w:line="240" w:lineRule="auto"/>
              <w:jc w:val="center"/>
              <w:rPr>
                <w:color w:val="000000" w:themeColor="text1"/>
                <w:sz w:val="20"/>
                <w:szCs w:val="20"/>
              </w:rPr>
            </w:pPr>
          </w:p>
        </w:tc>
        <w:tc>
          <w:tcPr>
            <w:tcW w:w="1750" w:type="pct"/>
            <w:tcBorders>
              <w:bottom w:val="nil"/>
            </w:tcBorders>
          </w:tcPr>
          <w:p w14:paraId="7F94E9F9" w14:textId="77777777" w:rsidR="00E74C9F" w:rsidRPr="0037035E" w:rsidRDefault="00E74C9F" w:rsidP="0039543A">
            <w:pPr>
              <w:spacing w:line="240" w:lineRule="auto"/>
              <w:rPr>
                <w:color w:val="000000" w:themeColor="text1"/>
                <w:sz w:val="20"/>
                <w:szCs w:val="20"/>
              </w:rPr>
            </w:pPr>
          </w:p>
        </w:tc>
      </w:tr>
      <w:tr w:rsidR="00A20FBC" w:rsidRPr="0037035E" w14:paraId="55F31BC2" w14:textId="77777777" w:rsidTr="00934A10">
        <w:tc>
          <w:tcPr>
            <w:tcW w:w="1674" w:type="pct"/>
            <w:tcBorders>
              <w:top w:val="nil"/>
              <w:bottom w:val="nil"/>
            </w:tcBorders>
          </w:tcPr>
          <w:p w14:paraId="2D623CF4" w14:textId="6A7CBA0A" w:rsidR="00A20FBC" w:rsidRPr="0037035E" w:rsidRDefault="00A20FBC" w:rsidP="00795564">
            <w:pPr>
              <w:spacing w:line="240" w:lineRule="auto"/>
              <w:ind w:left="306"/>
              <w:rPr>
                <w:rFonts w:cs="Arial"/>
                <w:color w:val="000000" w:themeColor="text1"/>
                <w:sz w:val="20"/>
                <w:szCs w:val="20"/>
              </w:rPr>
            </w:pPr>
            <w:r w:rsidRPr="0037035E">
              <w:rPr>
                <w:rFonts w:cs="Arial"/>
                <w:color w:val="000000" w:themeColor="text1"/>
                <w:sz w:val="20"/>
                <w:szCs w:val="20"/>
              </w:rPr>
              <w:t>n</w:t>
            </w:r>
          </w:p>
        </w:tc>
        <w:tc>
          <w:tcPr>
            <w:tcW w:w="526" w:type="pct"/>
            <w:tcBorders>
              <w:top w:val="nil"/>
              <w:bottom w:val="nil"/>
            </w:tcBorders>
          </w:tcPr>
          <w:p w14:paraId="2CC91583" w14:textId="295F01D9" w:rsidR="00A20FBC" w:rsidRPr="0037035E" w:rsidRDefault="00A20FBC" w:rsidP="00A20FBC">
            <w:pPr>
              <w:spacing w:line="240" w:lineRule="auto"/>
              <w:jc w:val="center"/>
              <w:rPr>
                <w:color w:val="000000" w:themeColor="text1"/>
                <w:sz w:val="20"/>
                <w:szCs w:val="20"/>
              </w:rPr>
            </w:pPr>
            <w:r w:rsidRPr="0037035E">
              <w:rPr>
                <w:color w:val="000000" w:themeColor="text1"/>
                <w:sz w:val="20"/>
                <w:szCs w:val="20"/>
              </w:rPr>
              <w:t>371</w:t>
            </w:r>
          </w:p>
        </w:tc>
        <w:tc>
          <w:tcPr>
            <w:tcW w:w="526" w:type="pct"/>
            <w:tcBorders>
              <w:top w:val="nil"/>
              <w:bottom w:val="nil"/>
            </w:tcBorders>
          </w:tcPr>
          <w:p w14:paraId="394B1742" w14:textId="3CD6B275" w:rsidR="00A20FBC" w:rsidRPr="0037035E" w:rsidDel="00666D26" w:rsidRDefault="00A20FBC" w:rsidP="00A20FBC">
            <w:pPr>
              <w:spacing w:line="240" w:lineRule="auto"/>
              <w:jc w:val="center"/>
              <w:rPr>
                <w:color w:val="000000" w:themeColor="text1"/>
                <w:sz w:val="20"/>
                <w:szCs w:val="20"/>
              </w:rPr>
            </w:pPr>
            <w:r w:rsidRPr="0037035E">
              <w:rPr>
                <w:color w:val="000000" w:themeColor="text1"/>
                <w:sz w:val="20"/>
                <w:szCs w:val="20"/>
              </w:rPr>
              <w:t>371</w:t>
            </w:r>
          </w:p>
        </w:tc>
        <w:tc>
          <w:tcPr>
            <w:tcW w:w="524" w:type="pct"/>
            <w:tcBorders>
              <w:top w:val="nil"/>
              <w:bottom w:val="nil"/>
            </w:tcBorders>
          </w:tcPr>
          <w:p w14:paraId="10C8228F" w14:textId="1388F711" w:rsidR="00A20FBC" w:rsidRPr="0037035E" w:rsidRDefault="00A20FBC" w:rsidP="00A20FBC">
            <w:pPr>
              <w:spacing w:line="240" w:lineRule="auto"/>
              <w:jc w:val="center"/>
              <w:rPr>
                <w:color w:val="000000" w:themeColor="text1"/>
                <w:sz w:val="20"/>
                <w:szCs w:val="20"/>
              </w:rPr>
            </w:pPr>
            <w:r w:rsidRPr="0037035E">
              <w:rPr>
                <w:color w:val="000000" w:themeColor="text1"/>
                <w:sz w:val="20"/>
                <w:szCs w:val="20"/>
              </w:rPr>
              <w:t>364</w:t>
            </w:r>
          </w:p>
        </w:tc>
        <w:tc>
          <w:tcPr>
            <w:tcW w:w="1750" w:type="pct"/>
            <w:tcBorders>
              <w:top w:val="nil"/>
              <w:bottom w:val="nil"/>
            </w:tcBorders>
          </w:tcPr>
          <w:p w14:paraId="68E28AC8" w14:textId="77777777" w:rsidR="00A20FBC" w:rsidRPr="0037035E" w:rsidRDefault="00A20FBC" w:rsidP="00A20FBC">
            <w:pPr>
              <w:spacing w:line="240" w:lineRule="auto"/>
              <w:rPr>
                <w:color w:val="000000" w:themeColor="text1"/>
                <w:sz w:val="20"/>
                <w:szCs w:val="20"/>
              </w:rPr>
            </w:pPr>
          </w:p>
        </w:tc>
      </w:tr>
      <w:tr w:rsidR="00A20FBC" w:rsidRPr="0037035E" w14:paraId="43B16333" w14:textId="77777777" w:rsidTr="00934A10">
        <w:tc>
          <w:tcPr>
            <w:tcW w:w="1674" w:type="pct"/>
            <w:tcBorders>
              <w:top w:val="nil"/>
              <w:bottom w:val="nil"/>
            </w:tcBorders>
          </w:tcPr>
          <w:p w14:paraId="37885767" w14:textId="0039C364" w:rsidR="00A20FBC" w:rsidRPr="0037035E" w:rsidDel="00E74C9F" w:rsidRDefault="00A20FBC" w:rsidP="00A20FBC">
            <w:pPr>
              <w:spacing w:line="240" w:lineRule="auto"/>
              <w:ind w:left="306"/>
              <w:rPr>
                <w:rFonts w:cs="Arial"/>
                <w:color w:val="000000" w:themeColor="text1"/>
                <w:sz w:val="20"/>
                <w:szCs w:val="20"/>
              </w:rPr>
            </w:pPr>
            <w:r w:rsidRPr="0037035E">
              <w:rPr>
                <w:rFonts w:cs="Arial"/>
                <w:color w:val="000000" w:themeColor="text1"/>
                <w:sz w:val="20"/>
                <w:szCs w:val="20"/>
              </w:rPr>
              <w:lastRenderedPageBreak/>
              <w:t>Decreased</w:t>
            </w:r>
          </w:p>
        </w:tc>
        <w:tc>
          <w:tcPr>
            <w:tcW w:w="526" w:type="pct"/>
            <w:tcBorders>
              <w:top w:val="nil"/>
              <w:bottom w:val="nil"/>
            </w:tcBorders>
          </w:tcPr>
          <w:p w14:paraId="048DE2C3" w14:textId="70BC591A" w:rsidR="00A20FBC" w:rsidRPr="0037035E" w:rsidDel="00E74C9F" w:rsidRDefault="00A20FBC" w:rsidP="00A20FBC">
            <w:pPr>
              <w:spacing w:line="240" w:lineRule="auto"/>
              <w:jc w:val="center"/>
              <w:rPr>
                <w:color w:val="000000" w:themeColor="text1"/>
                <w:sz w:val="20"/>
                <w:szCs w:val="20"/>
              </w:rPr>
            </w:pPr>
            <w:r w:rsidRPr="0037035E">
              <w:rPr>
                <w:color w:val="000000" w:themeColor="text1"/>
                <w:sz w:val="20"/>
                <w:szCs w:val="20"/>
              </w:rPr>
              <w:t>106 (28·6)</w:t>
            </w:r>
          </w:p>
        </w:tc>
        <w:tc>
          <w:tcPr>
            <w:tcW w:w="526" w:type="pct"/>
            <w:tcBorders>
              <w:top w:val="nil"/>
              <w:bottom w:val="nil"/>
            </w:tcBorders>
          </w:tcPr>
          <w:p w14:paraId="52410C3C" w14:textId="6976744A" w:rsidR="00A20FBC" w:rsidRPr="0037035E" w:rsidDel="00E74C9F" w:rsidRDefault="00A20FBC" w:rsidP="00A20FBC">
            <w:pPr>
              <w:spacing w:line="240" w:lineRule="auto"/>
              <w:jc w:val="center"/>
              <w:rPr>
                <w:color w:val="000000" w:themeColor="text1"/>
                <w:sz w:val="20"/>
                <w:szCs w:val="20"/>
              </w:rPr>
            </w:pPr>
            <w:r w:rsidRPr="0037035E">
              <w:rPr>
                <w:color w:val="000000" w:themeColor="text1"/>
                <w:sz w:val="20"/>
                <w:szCs w:val="20"/>
              </w:rPr>
              <w:t>93 (25·1)</w:t>
            </w:r>
          </w:p>
        </w:tc>
        <w:tc>
          <w:tcPr>
            <w:tcW w:w="524" w:type="pct"/>
            <w:tcBorders>
              <w:top w:val="nil"/>
              <w:bottom w:val="nil"/>
            </w:tcBorders>
          </w:tcPr>
          <w:p w14:paraId="247F38E2" w14:textId="0058329F" w:rsidR="00A20FBC" w:rsidRPr="0037035E" w:rsidDel="00E74C9F" w:rsidRDefault="00A20FBC" w:rsidP="00A20FBC">
            <w:pPr>
              <w:spacing w:line="240" w:lineRule="auto"/>
              <w:jc w:val="center"/>
              <w:rPr>
                <w:color w:val="000000" w:themeColor="text1"/>
                <w:sz w:val="20"/>
                <w:szCs w:val="20"/>
              </w:rPr>
            </w:pPr>
            <w:r w:rsidRPr="0037035E">
              <w:rPr>
                <w:color w:val="000000" w:themeColor="text1"/>
                <w:sz w:val="20"/>
                <w:szCs w:val="20"/>
              </w:rPr>
              <w:t>26 (7·1)</w:t>
            </w:r>
          </w:p>
        </w:tc>
        <w:tc>
          <w:tcPr>
            <w:tcW w:w="1750" w:type="pct"/>
            <w:tcBorders>
              <w:top w:val="nil"/>
              <w:bottom w:val="nil"/>
            </w:tcBorders>
          </w:tcPr>
          <w:p w14:paraId="3FB5FCD6" w14:textId="77777777" w:rsidR="00A20FBC" w:rsidRPr="0037035E" w:rsidRDefault="00A20FBC" w:rsidP="00A20FBC">
            <w:pPr>
              <w:spacing w:line="240" w:lineRule="auto"/>
              <w:rPr>
                <w:color w:val="000000" w:themeColor="text1"/>
                <w:sz w:val="20"/>
                <w:szCs w:val="20"/>
              </w:rPr>
            </w:pPr>
          </w:p>
        </w:tc>
      </w:tr>
      <w:tr w:rsidR="00A20FBC" w:rsidRPr="0037035E" w14:paraId="0AFB0E77" w14:textId="77777777" w:rsidTr="00934A10">
        <w:tc>
          <w:tcPr>
            <w:tcW w:w="1674" w:type="pct"/>
            <w:tcBorders>
              <w:top w:val="nil"/>
              <w:bottom w:val="nil"/>
            </w:tcBorders>
          </w:tcPr>
          <w:p w14:paraId="3384E054" w14:textId="616E0886" w:rsidR="00A20FBC" w:rsidRPr="0037035E" w:rsidRDefault="00A20FBC" w:rsidP="00A20FBC">
            <w:pPr>
              <w:spacing w:line="240" w:lineRule="auto"/>
              <w:ind w:left="306"/>
              <w:rPr>
                <w:rFonts w:cs="Arial"/>
                <w:color w:val="000000" w:themeColor="text1"/>
                <w:sz w:val="20"/>
                <w:szCs w:val="20"/>
              </w:rPr>
            </w:pPr>
            <w:r w:rsidRPr="0037035E">
              <w:rPr>
                <w:rFonts w:cs="Arial"/>
                <w:color w:val="000000" w:themeColor="text1"/>
                <w:sz w:val="20"/>
                <w:szCs w:val="20"/>
              </w:rPr>
              <w:t>No change</w:t>
            </w:r>
          </w:p>
        </w:tc>
        <w:tc>
          <w:tcPr>
            <w:tcW w:w="526" w:type="pct"/>
            <w:tcBorders>
              <w:top w:val="nil"/>
              <w:bottom w:val="nil"/>
            </w:tcBorders>
          </w:tcPr>
          <w:p w14:paraId="0B9ED6F4" w14:textId="529ABB47" w:rsidR="00A20FBC" w:rsidRPr="0037035E" w:rsidRDefault="00A20FBC" w:rsidP="00A20FBC">
            <w:pPr>
              <w:spacing w:line="240" w:lineRule="auto"/>
              <w:jc w:val="center"/>
              <w:rPr>
                <w:color w:val="000000" w:themeColor="text1"/>
                <w:sz w:val="20"/>
                <w:szCs w:val="20"/>
              </w:rPr>
            </w:pPr>
            <w:r w:rsidRPr="0037035E">
              <w:rPr>
                <w:color w:val="000000" w:themeColor="text1"/>
                <w:sz w:val="20"/>
                <w:szCs w:val="20"/>
              </w:rPr>
              <w:t>247 (66·6)</w:t>
            </w:r>
          </w:p>
        </w:tc>
        <w:tc>
          <w:tcPr>
            <w:tcW w:w="526" w:type="pct"/>
            <w:tcBorders>
              <w:top w:val="nil"/>
              <w:bottom w:val="nil"/>
            </w:tcBorders>
          </w:tcPr>
          <w:p w14:paraId="67A8F959" w14:textId="150F7182" w:rsidR="00A20FBC" w:rsidRPr="0037035E" w:rsidRDefault="00A20FBC" w:rsidP="00A20FBC">
            <w:pPr>
              <w:spacing w:line="240" w:lineRule="auto"/>
              <w:jc w:val="center"/>
              <w:rPr>
                <w:color w:val="000000" w:themeColor="text1"/>
                <w:sz w:val="20"/>
                <w:szCs w:val="20"/>
              </w:rPr>
            </w:pPr>
            <w:r w:rsidRPr="0037035E">
              <w:rPr>
                <w:color w:val="000000" w:themeColor="text1"/>
                <w:sz w:val="20"/>
                <w:szCs w:val="20"/>
              </w:rPr>
              <w:t>258 (69·5)</w:t>
            </w:r>
          </w:p>
        </w:tc>
        <w:tc>
          <w:tcPr>
            <w:tcW w:w="524" w:type="pct"/>
            <w:tcBorders>
              <w:top w:val="nil"/>
              <w:bottom w:val="nil"/>
            </w:tcBorders>
          </w:tcPr>
          <w:p w14:paraId="5872B9B3" w14:textId="0C823A82" w:rsidR="00A20FBC" w:rsidRPr="0037035E" w:rsidRDefault="00A20FBC" w:rsidP="00A20FBC">
            <w:pPr>
              <w:spacing w:line="240" w:lineRule="auto"/>
              <w:jc w:val="center"/>
              <w:rPr>
                <w:color w:val="000000" w:themeColor="text1"/>
                <w:sz w:val="20"/>
                <w:szCs w:val="20"/>
              </w:rPr>
            </w:pPr>
            <w:r w:rsidRPr="0037035E">
              <w:rPr>
                <w:color w:val="000000" w:themeColor="text1"/>
                <w:sz w:val="20"/>
                <w:szCs w:val="20"/>
              </w:rPr>
              <w:t>249 (68·4)</w:t>
            </w:r>
          </w:p>
        </w:tc>
        <w:tc>
          <w:tcPr>
            <w:tcW w:w="1750" w:type="pct"/>
            <w:tcBorders>
              <w:top w:val="nil"/>
              <w:bottom w:val="nil"/>
            </w:tcBorders>
          </w:tcPr>
          <w:p w14:paraId="444AF739" w14:textId="77777777" w:rsidR="00A20FBC" w:rsidRPr="0037035E" w:rsidRDefault="00A20FBC" w:rsidP="00A20FBC">
            <w:pPr>
              <w:spacing w:line="240" w:lineRule="auto"/>
              <w:rPr>
                <w:color w:val="000000" w:themeColor="text1"/>
                <w:sz w:val="20"/>
                <w:szCs w:val="20"/>
              </w:rPr>
            </w:pPr>
          </w:p>
        </w:tc>
      </w:tr>
      <w:tr w:rsidR="00A20FBC" w:rsidRPr="0037035E" w14:paraId="2DFCAB37" w14:textId="77777777" w:rsidTr="00934A10">
        <w:tc>
          <w:tcPr>
            <w:tcW w:w="1674" w:type="pct"/>
            <w:tcBorders>
              <w:top w:val="nil"/>
              <w:bottom w:val="nil"/>
            </w:tcBorders>
          </w:tcPr>
          <w:p w14:paraId="3049093D" w14:textId="0D4CF744" w:rsidR="00A20FBC" w:rsidRPr="0037035E" w:rsidDel="00E74C9F" w:rsidRDefault="00A20FBC" w:rsidP="00A20FBC">
            <w:pPr>
              <w:spacing w:line="240" w:lineRule="auto"/>
              <w:ind w:left="306"/>
              <w:rPr>
                <w:rFonts w:cs="Arial"/>
                <w:color w:val="000000" w:themeColor="text1"/>
                <w:sz w:val="20"/>
                <w:szCs w:val="20"/>
              </w:rPr>
            </w:pPr>
            <w:r w:rsidRPr="0037035E">
              <w:rPr>
                <w:rFonts w:cs="Arial"/>
                <w:color w:val="000000" w:themeColor="text1"/>
                <w:sz w:val="20"/>
                <w:szCs w:val="20"/>
              </w:rPr>
              <w:t>Increased</w:t>
            </w:r>
          </w:p>
        </w:tc>
        <w:tc>
          <w:tcPr>
            <w:tcW w:w="526" w:type="pct"/>
            <w:tcBorders>
              <w:top w:val="nil"/>
              <w:bottom w:val="nil"/>
            </w:tcBorders>
          </w:tcPr>
          <w:p w14:paraId="7CF42CF8" w14:textId="7B0B3C21" w:rsidR="00A20FBC" w:rsidRPr="0037035E" w:rsidDel="00E74C9F" w:rsidRDefault="00A20FBC" w:rsidP="00A20FBC">
            <w:pPr>
              <w:spacing w:line="240" w:lineRule="auto"/>
              <w:jc w:val="center"/>
              <w:rPr>
                <w:color w:val="000000" w:themeColor="text1"/>
                <w:sz w:val="20"/>
                <w:szCs w:val="20"/>
              </w:rPr>
            </w:pPr>
            <w:r w:rsidRPr="0037035E">
              <w:rPr>
                <w:color w:val="000000" w:themeColor="text1"/>
                <w:sz w:val="20"/>
                <w:szCs w:val="20"/>
              </w:rPr>
              <w:t>18 (4·9)</w:t>
            </w:r>
          </w:p>
        </w:tc>
        <w:tc>
          <w:tcPr>
            <w:tcW w:w="526" w:type="pct"/>
            <w:tcBorders>
              <w:top w:val="nil"/>
              <w:bottom w:val="nil"/>
            </w:tcBorders>
          </w:tcPr>
          <w:p w14:paraId="3E6E0EB2" w14:textId="790EB2F3" w:rsidR="00A20FBC" w:rsidRPr="0037035E" w:rsidDel="00E74C9F" w:rsidRDefault="00A20FBC" w:rsidP="00A20FBC">
            <w:pPr>
              <w:spacing w:line="240" w:lineRule="auto"/>
              <w:jc w:val="center"/>
              <w:rPr>
                <w:color w:val="000000" w:themeColor="text1"/>
                <w:sz w:val="20"/>
                <w:szCs w:val="20"/>
              </w:rPr>
            </w:pPr>
            <w:r w:rsidRPr="0037035E">
              <w:rPr>
                <w:color w:val="000000" w:themeColor="text1"/>
                <w:sz w:val="20"/>
                <w:szCs w:val="20"/>
              </w:rPr>
              <w:t>19 (5·1)</w:t>
            </w:r>
          </w:p>
        </w:tc>
        <w:tc>
          <w:tcPr>
            <w:tcW w:w="524" w:type="pct"/>
            <w:tcBorders>
              <w:top w:val="nil"/>
              <w:bottom w:val="nil"/>
            </w:tcBorders>
          </w:tcPr>
          <w:p w14:paraId="1F368C05" w14:textId="43F402F2" w:rsidR="00A20FBC" w:rsidRPr="0037035E" w:rsidDel="00E74C9F" w:rsidRDefault="00A20FBC" w:rsidP="00A20FBC">
            <w:pPr>
              <w:spacing w:line="240" w:lineRule="auto"/>
              <w:jc w:val="center"/>
              <w:rPr>
                <w:color w:val="000000" w:themeColor="text1"/>
                <w:sz w:val="20"/>
                <w:szCs w:val="20"/>
              </w:rPr>
            </w:pPr>
            <w:r w:rsidRPr="0037035E">
              <w:rPr>
                <w:color w:val="000000" w:themeColor="text1"/>
                <w:sz w:val="20"/>
                <w:szCs w:val="20"/>
              </w:rPr>
              <w:t>88 (24·2)</w:t>
            </w:r>
          </w:p>
        </w:tc>
        <w:tc>
          <w:tcPr>
            <w:tcW w:w="1750" w:type="pct"/>
            <w:tcBorders>
              <w:top w:val="nil"/>
              <w:bottom w:val="nil"/>
            </w:tcBorders>
          </w:tcPr>
          <w:p w14:paraId="0AA66EFE" w14:textId="77777777" w:rsidR="00A20FBC" w:rsidRPr="0037035E" w:rsidRDefault="00A20FBC" w:rsidP="00A20FBC">
            <w:pPr>
              <w:spacing w:line="240" w:lineRule="auto"/>
              <w:rPr>
                <w:color w:val="000000" w:themeColor="text1"/>
                <w:sz w:val="20"/>
                <w:szCs w:val="20"/>
              </w:rPr>
            </w:pPr>
          </w:p>
        </w:tc>
      </w:tr>
      <w:tr w:rsidR="00A20FBC" w:rsidRPr="0037035E" w14:paraId="7C6220D5" w14:textId="77777777" w:rsidTr="00934A10">
        <w:tc>
          <w:tcPr>
            <w:tcW w:w="1674" w:type="pct"/>
            <w:tcBorders>
              <w:top w:val="nil"/>
            </w:tcBorders>
          </w:tcPr>
          <w:p w14:paraId="30D761C7" w14:textId="76459249" w:rsidR="00A20FBC" w:rsidRPr="0037035E" w:rsidRDefault="00A20FBC" w:rsidP="00A20FBC">
            <w:pPr>
              <w:spacing w:line="240" w:lineRule="auto"/>
              <w:ind w:left="306"/>
              <w:rPr>
                <w:rFonts w:cs="Arial"/>
                <w:color w:val="000000" w:themeColor="text1"/>
                <w:sz w:val="20"/>
                <w:szCs w:val="20"/>
              </w:rPr>
            </w:pPr>
            <w:r w:rsidRPr="0037035E">
              <w:rPr>
                <w:rFonts w:cs="Arial"/>
                <w:color w:val="000000" w:themeColor="text1"/>
                <w:sz w:val="20"/>
                <w:szCs w:val="20"/>
              </w:rPr>
              <w:t>Missing</w:t>
            </w:r>
          </w:p>
        </w:tc>
        <w:tc>
          <w:tcPr>
            <w:tcW w:w="526" w:type="pct"/>
            <w:tcBorders>
              <w:top w:val="nil"/>
            </w:tcBorders>
          </w:tcPr>
          <w:p w14:paraId="1CFFCB99" w14:textId="0321E2B2" w:rsidR="00A20FBC" w:rsidRPr="0037035E" w:rsidRDefault="00A20FBC" w:rsidP="00A20FBC">
            <w:pPr>
              <w:spacing w:line="240" w:lineRule="auto"/>
              <w:jc w:val="center"/>
              <w:rPr>
                <w:color w:val="000000" w:themeColor="text1"/>
                <w:sz w:val="20"/>
                <w:szCs w:val="20"/>
              </w:rPr>
            </w:pPr>
            <w:r w:rsidRPr="0037035E">
              <w:rPr>
                <w:color w:val="000000" w:themeColor="text1"/>
                <w:sz w:val="20"/>
                <w:szCs w:val="20"/>
              </w:rPr>
              <w:t>0</w:t>
            </w:r>
          </w:p>
        </w:tc>
        <w:tc>
          <w:tcPr>
            <w:tcW w:w="526" w:type="pct"/>
            <w:tcBorders>
              <w:top w:val="nil"/>
            </w:tcBorders>
          </w:tcPr>
          <w:p w14:paraId="520C46CD" w14:textId="460285E7" w:rsidR="00A20FBC" w:rsidRPr="0037035E" w:rsidRDefault="00A20FBC" w:rsidP="00A20FBC">
            <w:pPr>
              <w:spacing w:line="240" w:lineRule="auto"/>
              <w:jc w:val="center"/>
              <w:rPr>
                <w:color w:val="000000" w:themeColor="text1"/>
                <w:sz w:val="20"/>
                <w:szCs w:val="20"/>
              </w:rPr>
            </w:pPr>
            <w:r w:rsidRPr="0037035E">
              <w:rPr>
                <w:color w:val="000000" w:themeColor="text1"/>
                <w:sz w:val="20"/>
                <w:szCs w:val="20"/>
              </w:rPr>
              <w:t>1 (0·3)</w:t>
            </w:r>
          </w:p>
        </w:tc>
        <w:tc>
          <w:tcPr>
            <w:tcW w:w="524" w:type="pct"/>
            <w:tcBorders>
              <w:top w:val="nil"/>
            </w:tcBorders>
          </w:tcPr>
          <w:p w14:paraId="6CCEAC50" w14:textId="69D7D472" w:rsidR="00A20FBC" w:rsidRPr="0037035E" w:rsidRDefault="00A20FBC" w:rsidP="00A20FBC">
            <w:pPr>
              <w:spacing w:line="240" w:lineRule="auto"/>
              <w:jc w:val="center"/>
              <w:rPr>
                <w:color w:val="000000" w:themeColor="text1"/>
                <w:sz w:val="20"/>
                <w:szCs w:val="20"/>
              </w:rPr>
            </w:pPr>
            <w:r w:rsidRPr="0037035E">
              <w:rPr>
                <w:color w:val="000000" w:themeColor="text1"/>
                <w:sz w:val="20"/>
                <w:szCs w:val="20"/>
              </w:rPr>
              <w:t>1 (0·3)</w:t>
            </w:r>
          </w:p>
        </w:tc>
        <w:tc>
          <w:tcPr>
            <w:tcW w:w="1750" w:type="pct"/>
            <w:tcBorders>
              <w:top w:val="nil"/>
            </w:tcBorders>
          </w:tcPr>
          <w:p w14:paraId="4FB5614A" w14:textId="77777777" w:rsidR="00A20FBC" w:rsidRPr="0037035E" w:rsidRDefault="00A20FBC" w:rsidP="00A20FBC">
            <w:pPr>
              <w:spacing w:line="240" w:lineRule="auto"/>
              <w:rPr>
                <w:color w:val="000000" w:themeColor="text1"/>
                <w:sz w:val="20"/>
                <w:szCs w:val="20"/>
              </w:rPr>
            </w:pPr>
          </w:p>
        </w:tc>
      </w:tr>
    </w:tbl>
    <w:p w14:paraId="5B927A1F" w14:textId="17FE0EFB" w:rsidR="00B1644A" w:rsidRPr="00C951F0" w:rsidRDefault="00795564" w:rsidP="0039543A">
      <w:pPr>
        <w:rPr>
          <w:color w:val="000000" w:themeColor="text1"/>
        </w:rPr>
      </w:pPr>
      <w:r w:rsidRPr="0037035E">
        <w:rPr>
          <w:color w:val="000000" w:themeColor="text1"/>
        </w:rPr>
        <w:t xml:space="preserve">All patients in the full analysis set are included in the treatment comparisons. </w:t>
      </w:r>
      <w:r w:rsidR="00B1644A" w:rsidRPr="0037035E">
        <w:rPr>
          <w:color w:val="000000" w:themeColor="text1"/>
        </w:rPr>
        <w:t xml:space="preserve">*The treatment policy estimand assesses treatment effect regardless of treatment discontinuation or rescue intervention; see </w:t>
      </w:r>
      <w:r w:rsidR="00236FEA" w:rsidRPr="0037035E">
        <w:rPr>
          <w:color w:val="000000" w:themeColor="text1"/>
        </w:rPr>
        <w:t xml:space="preserve">Table S2 in the </w:t>
      </w:r>
      <w:r w:rsidR="00B1644A" w:rsidRPr="0037035E">
        <w:rPr>
          <w:color w:val="000000" w:themeColor="text1"/>
        </w:rPr>
        <w:t xml:space="preserve">Supplementary Appendix </w:t>
      </w:r>
      <w:r w:rsidR="00554670" w:rsidRPr="0037035E">
        <w:rPr>
          <w:color w:val="000000" w:themeColor="text1"/>
        </w:rPr>
        <w:t xml:space="preserve">(pp 10-13) </w:t>
      </w:r>
      <w:r w:rsidR="00B1644A" w:rsidRPr="0037035E">
        <w:rPr>
          <w:color w:val="000000" w:themeColor="text1"/>
        </w:rPr>
        <w:t xml:space="preserve">for corresponding data for the trial product estimand (assesses treatment effect if all </w:t>
      </w:r>
      <w:r w:rsidR="00CF7014" w:rsidRPr="0037035E">
        <w:rPr>
          <w:color w:val="000000" w:themeColor="text1"/>
        </w:rPr>
        <w:t xml:space="preserve">patients </w:t>
      </w:r>
      <w:r w:rsidR="00B1644A" w:rsidRPr="0037035E">
        <w:rPr>
          <w:color w:val="000000" w:themeColor="text1"/>
        </w:rPr>
        <w:t>adhered to treatment</w:t>
      </w:r>
      <w:r w:rsidR="00B1644A" w:rsidRPr="00C951F0">
        <w:rPr>
          <w:color w:val="000000" w:themeColor="text1"/>
        </w:rPr>
        <w:t xml:space="preserve"> and did not start any rescue intervention).</w:t>
      </w:r>
    </w:p>
    <w:p w14:paraId="1D63E316" w14:textId="2C3D166A" w:rsidR="00B1644A" w:rsidRPr="00C951F0" w:rsidRDefault="00433982" w:rsidP="0039543A">
      <w:pPr>
        <w:rPr>
          <w:rFonts w:cs="Arial"/>
          <w:color w:val="000000" w:themeColor="text1"/>
        </w:rPr>
      </w:pPr>
      <w:r w:rsidRPr="00C951F0">
        <w:rPr>
          <w:color w:val="000000" w:themeColor="text1"/>
        </w:rPr>
        <w:t>†</w:t>
      </w:r>
      <w:r w:rsidR="00B1644A" w:rsidRPr="00C951F0">
        <w:rPr>
          <w:rFonts w:cs="Arial"/>
          <w:color w:val="000000" w:themeColor="text1"/>
        </w:rPr>
        <w:t>Data presented as ratio from baseline to week 68 (ratio to baseline and corresponding baseline were log-transformed prior to analysis).</w:t>
      </w:r>
    </w:p>
    <w:p w14:paraId="1C0B8515" w14:textId="3E91BB3F" w:rsidR="00B1644A" w:rsidRPr="00C951F0" w:rsidRDefault="00433982" w:rsidP="0039543A">
      <w:pPr>
        <w:rPr>
          <w:color w:val="000000" w:themeColor="text1"/>
        </w:rPr>
      </w:pPr>
      <w:r w:rsidRPr="00C951F0">
        <w:rPr>
          <w:rFonts w:cs="Arial"/>
          <w:color w:val="000000" w:themeColor="text1"/>
        </w:rPr>
        <w:t>‡</w:t>
      </w:r>
      <w:r w:rsidR="00B1644A" w:rsidRPr="00C951F0">
        <w:rPr>
          <w:color w:val="000000" w:themeColor="text1"/>
        </w:rPr>
        <w:t>Proportion of patients with change in glucose</w:t>
      </w:r>
      <w:r w:rsidR="00352258" w:rsidRPr="00C951F0">
        <w:rPr>
          <w:color w:val="000000" w:themeColor="text1"/>
        </w:rPr>
        <w:t>-</w:t>
      </w:r>
      <w:r w:rsidR="00B1644A" w:rsidRPr="00C951F0">
        <w:rPr>
          <w:color w:val="000000" w:themeColor="text1"/>
        </w:rPr>
        <w:t>lowering medication from baseline to week 68.</w:t>
      </w:r>
    </w:p>
    <w:p w14:paraId="0C75D1C6" w14:textId="1DDEA8CC" w:rsidR="00B1644A" w:rsidRPr="00C951F0" w:rsidRDefault="00B1644A" w:rsidP="0039543A">
      <w:pPr>
        <w:rPr>
          <w:rFonts w:eastAsia="Calibri" w:cs="Arial"/>
          <w:color w:val="000000" w:themeColor="text1"/>
        </w:rPr>
      </w:pPr>
      <w:r w:rsidRPr="00C951F0">
        <w:rPr>
          <w:color w:val="000000" w:themeColor="text1"/>
        </w:rPr>
        <w:t>BMI</w:t>
      </w:r>
      <w:r w:rsidR="00433982" w:rsidRPr="00C951F0">
        <w:rPr>
          <w:color w:val="000000" w:themeColor="text1"/>
        </w:rPr>
        <w:t>=</w:t>
      </w:r>
      <w:r w:rsidRPr="00C951F0">
        <w:rPr>
          <w:color w:val="000000" w:themeColor="text1"/>
        </w:rPr>
        <w:t>body</w:t>
      </w:r>
      <w:r w:rsidR="00352258" w:rsidRPr="00C951F0">
        <w:rPr>
          <w:color w:val="000000" w:themeColor="text1"/>
        </w:rPr>
        <w:t xml:space="preserve"> </w:t>
      </w:r>
      <w:r w:rsidRPr="00C951F0">
        <w:rPr>
          <w:color w:val="000000" w:themeColor="text1"/>
        </w:rPr>
        <w:t>mass index</w:t>
      </w:r>
      <w:r w:rsidR="00433982" w:rsidRPr="00C951F0">
        <w:rPr>
          <w:color w:val="000000" w:themeColor="text1"/>
        </w:rPr>
        <w:t xml:space="preserve">. </w:t>
      </w:r>
      <w:r w:rsidRPr="00C951F0">
        <w:rPr>
          <w:color w:val="000000" w:themeColor="text1"/>
        </w:rPr>
        <w:t>CI</w:t>
      </w:r>
      <w:r w:rsidR="00433982" w:rsidRPr="00C951F0">
        <w:rPr>
          <w:color w:val="000000" w:themeColor="text1"/>
        </w:rPr>
        <w:t>=</w:t>
      </w:r>
      <w:r w:rsidRPr="00C951F0">
        <w:rPr>
          <w:color w:val="000000" w:themeColor="text1"/>
        </w:rPr>
        <w:t>confidence interval</w:t>
      </w:r>
      <w:r w:rsidR="00433982" w:rsidRPr="00C951F0">
        <w:rPr>
          <w:color w:val="000000" w:themeColor="text1"/>
        </w:rPr>
        <w:t xml:space="preserve">. </w:t>
      </w:r>
      <w:r w:rsidRPr="00C951F0">
        <w:rPr>
          <w:color w:val="000000" w:themeColor="text1"/>
        </w:rPr>
        <w:t>CV</w:t>
      </w:r>
      <w:r w:rsidR="00433982" w:rsidRPr="00C951F0">
        <w:rPr>
          <w:color w:val="000000" w:themeColor="text1"/>
        </w:rPr>
        <w:t>=</w:t>
      </w:r>
      <w:r w:rsidRPr="00C951F0">
        <w:rPr>
          <w:color w:val="000000" w:themeColor="text1"/>
        </w:rPr>
        <w:t>coefficient of variation in p</w:t>
      </w:r>
      <w:r w:rsidR="00EB1953" w:rsidRPr="00C951F0">
        <w:rPr>
          <w:color w:val="000000" w:themeColor="text1"/>
        </w:rPr>
        <w:t>e</w:t>
      </w:r>
      <w:r w:rsidRPr="00C951F0">
        <w:rPr>
          <w:color w:val="000000" w:themeColor="text1"/>
        </w:rPr>
        <w:t>rcent</w:t>
      </w:r>
      <w:r w:rsidR="00433982" w:rsidRPr="00C951F0">
        <w:rPr>
          <w:color w:val="000000" w:themeColor="text1"/>
        </w:rPr>
        <w:t xml:space="preserve">. </w:t>
      </w:r>
      <w:r w:rsidRPr="00C951F0">
        <w:rPr>
          <w:color w:val="000000" w:themeColor="text1"/>
        </w:rPr>
        <w:t>ETD</w:t>
      </w:r>
      <w:r w:rsidR="00433982" w:rsidRPr="00C951F0">
        <w:rPr>
          <w:color w:val="000000" w:themeColor="text1"/>
        </w:rPr>
        <w:t>=</w:t>
      </w:r>
      <w:r w:rsidRPr="00C951F0">
        <w:rPr>
          <w:color w:val="000000" w:themeColor="text1"/>
        </w:rPr>
        <w:t>estimated treatment difference</w:t>
      </w:r>
      <w:r w:rsidR="00433982" w:rsidRPr="00C951F0">
        <w:rPr>
          <w:color w:val="000000" w:themeColor="text1"/>
        </w:rPr>
        <w:t xml:space="preserve">. </w:t>
      </w:r>
      <w:r w:rsidRPr="00C951F0">
        <w:rPr>
          <w:color w:val="000000" w:themeColor="text1"/>
        </w:rPr>
        <w:t>ETR</w:t>
      </w:r>
      <w:r w:rsidR="00433982" w:rsidRPr="00C951F0">
        <w:rPr>
          <w:color w:val="000000" w:themeColor="text1"/>
        </w:rPr>
        <w:t>=</w:t>
      </w:r>
      <w:r w:rsidRPr="00C951F0">
        <w:rPr>
          <w:color w:val="000000" w:themeColor="text1"/>
        </w:rPr>
        <w:t>estimated treatment ratio</w:t>
      </w:r>
      <w:r w:rsidR="00433982" w:rsidRPr="00C951F0">
        <w:rPr>
          <w:color w:val="000000" w:themeColor="text1"/>
        </w:rPr>
        <w:t xml:space="preserve">. </w:t>
      </w:r>
      <w:r w:rsidRPr="00C951F0">
        <w:rPr>
          <w:color w:val="000000" w:themeColor="text1"/>
        </w:rPr>
        <w:t>HbA</w:t>
      </w:r>
      <w:r w:rsidRPr="00C951F0">
        <w:rPr>
          <w:color w:val="000000" w:themeColor="text1"/>
          <w:vertAlign w:val="subscript"/>
        </w:rPr>
        <w:t>1c</w:t>
      </w:r>
      <w:r w:rsidR="00433982" w:rsidRPr="00C951F0">
        <w:rPr>
          <w:color w:val="000000" w:themeColor="text1"/>
        </w:rPr>
        <w:t>=</w:t>
      </w:r>
      <w:r w:rsidRPr="00C951F0">
        <w:rPr>
          <w:color w:val="000000" w:themeColor="text1"/>
        </w:rPr>
        <w:t xml:space="preserve">glycated </w:t>
      </w:r>
      <w:proofErr w:type="spellStart"/>
      <w:r w:rsidR="007B5725" w:rsidRPr="00C951F0">
        <w:rPr>
          <w:color w:val="000000" w:themeColor="text1"/>
        </w:rPr>
        <w:t>haemo</w:t>
      </w:r>
      <w:r w:rsidRPr="00C951F0">
        <w:rPr>
          <w:color w:val="000000" w:themeColor="text1"/>
        </w:rPr>
        <w:t>globin</w:t>
      </w:r>
      <w:proofErr w:type="spellEnd"/>
      <w:r w:rsidR="00433982" w:rsidRPr="00C951F0">
        <w:rPr>
          <w:color w:val="000000" w:themeColor="text1"/>
        </w:rPr>
        <w:t xml:space="preserve">. </w:t>
      </w:r>
      <w:r w:rsidRPr="00C951F0">
        <w:rPr>
          <w:color w:val="000000" w:themeColor="text1"/>
        </w:rPr>
        <w:t>HDL</w:t>
      </w:r>
      <w:r w:rsidR="00433982" w:rsidRPr="00C951F0">
        <w:rPr>
          <w:color w:val="000000" w:themeColor="text1"/>
        </w:rPr>
        <w:t>=</w:t>
      </w:r>
      <w:r w:rsidRPr="00C951F0">
        <w:rPr>
          <w:color w:val="000000" w:themeColor="text1"/>
        </w:rPr>
        <w:t>high-density lipoprotein</w:t>
      </w:r>
      <w:r w:rsidR="00433982" w:rsidRPr="00C951F0">
        <w:rPr>
          <w:color w:val="000000" w:themeColor="text1"/>
        </w:rPr>
        <w:t xml:space="preserve">. </w:t>
      </w:r>
      <w:r w:rsidRPr="00C951F0">
        <w:rPr>
          <w:color w:val="000000" w:themeColor="text1"/>
        </w:rPr>
        <w:t>LDL</w:t>
      </w:r>
      <w:r w:rsidR="00433982" w:rsidRPr="00C951F0">
        <w:rPr>
          <w:color w:val="000000" w:themeColor="text1"/>
        </w:rPr>
        <w:t>=</w:t>
      </w:r>
      <w:r w:rsidRPr="00C951F0">
        <w:rPr>
          <w:color w:val="000000" w:themeColor="text1"/>
        </w:rPr>
        <w:t>low-density lipoprotein</w:t>
      </w:r>
      <w:r w:rsidR="00433982" w:rsidRPr="00C951F0">
        <w:rPr>
          <w:color w:val="000000" w:themeColor="text1"/>
        </w:rPr>
        <w:t xml:space="preserve">. </w:t>
      </w:r>
      <w:r w:rsidRPr="00C951F0">
        <w:rPr>
          <w:color w:val="000000" w:themeColor="text1"/>
        </w:rPr>
        <w:t>OR</w:t>
      </w:r>
      <w:r w:rsidR="00433982" w:rsidRPr="00C951F0">
        <w:rPr>
          <w:color w:val="000000" w:themeColor="text1"/>
        </w:rPr>
        <w:t>=</w:t>
      </w:r>
      <w:r w:rsidRPr="00C951F0">
        <w:rPr>
          <w:color w:val="000000" w:themeColor="text1"/>
        </w:rPr>
        <w:t>odds ratio</w:t>
      </w:r>
      <w:r w:rsidR="00433982" w:rsidRPr="00C951F0">
        <w:rPr>
          <w:color w:val="000000" w:themeColor="text1"/>
        </w:rPr>
        <w:t xml:space="preserve">. </w:t>
      </w:r>
      <w:r w:rsidRPr="00C951F0">
        <w:rPr>
          <w:color w:val="000000" w:themeColor="text1"/>
        </w:rPr>
        <w:t>SD</w:t>
      </w:r>
      <w:r w:rsidR="00433982" w:rsidRPr="00C951F0">
        <w:rPr>
          <w:color w:val="000000" w:themeColor="text1"/>
        </w:rPr>
        <w:t>=</w:t>
      </w:r>
      <w:r w:rsidRPr="00C951F0">
        <w:rPr>
          <w:color w:val="000000" w:themeColor="text1"/>
        </w:rPr>
        <w:t>standard deviation</w:t>
      </w:r>
      <w:r w:rsidR="00433982" w:rsidRPr="00C951F0">
        <w:rPr>
          <w:color w:val="000000" w:themeColor="text1"/>
        </w:rPr>
        <w:t xml:space="preserve">. </w:t>
      </w:r>
      <w:r w:rsidRPr="00C951F0">
        <w:rPr>
          <w:color w:val="000000" w:themeColor="text1"/>
        </w:rPr>
        <w:t>VLDL</w:t>
      </w:r>
      <w:r w:rsidR="00433982" w:rsidRPr="00C951F0">
        <w:rPr>
          <w:color w:val="000000" w:themeColor="text1"/>
        </w:rPr>
        <w:t>=</w:t>
      </w:r>
      <w:r w:rsidRPr="00C951F0">
        <w:rPr>
          <w:color w:val="000000" w:themeColor="text1"/>
        </w:rPr>
        <w:t>very low-density lipoprotein.</w:t>
      </w:r>
      <w:r w:rsidRPr="00C951F0">
        <w:rPr>
          <w:rFonts w:eastAsia="Calibri" w:cs="Arial"/>
          <w:b/>
          <w:color w:val="000000" w:themeColor="text1"/>
          <w:sz w:val="24"/>
          <w:szCs w:val="24"/>
        </w:rPr>
        <w:br w:type="page"/>
      </w:r>
    </w:p>
    <w:p w14:paraId="1EFD637D" w14:textId="72A5334E" w:rsidR="00B1644A" w:rsidRPr="00C951F0" w:rsidRDefault="00B1644A" w:rsidP="0039543A">
      <w:pPr>
        <w:spacing w:after="160" w:line="259" w:lineRule="auto"/>
        <w:outlineLvl w:val="2"/>
        <w:rPr>
          <w:rFonts w:eastAsia="Calibri" w:cs="Arial"/>
          <w:b/>
          <w:color w:val="000000" w:themeColor="text1"/>
          <w:sz w:val="24"/>
          <w:szCs w:val="24"/>
        </w:rPr>
      </w:pPr>
      <w:r w:rsidRPr="00C951F0">
        <w:rPr>
          <w:rFonts w:eastAsia="Calibri" w:cs="Arial"/>
          <w:b/>
          <w:i/>
          <w:iCs/>
          <w:color w:val="000000" w:themeColor="text1"/>
          <w:sz w:val="24"/>
          <w:szCs w:val="24"/>
        </w:rPr>
        <w:lastRenderedPageBreak/>
        <w:t>Table 3</w:t>
      </w:r>
      <w:r w:rsidR="00D12997" w:rsidRPr="00C951F0">
        <w:rPr>
          <w:rFonts w:eastAsia="Calibri" w:cs="Arial"/>
          <w:b/>
          <w:i/>
          <w:iCs/>
          <w:color w:val="000000" w:themeColor="text1"/>
          <w:sz w:val="24"/>
          <w:szCs w:val="24"/>
        </w:rPr>
        <w:t>:</w:t>
      </w:r>
      <w:r w:rsidR="00D12997" w:rsidRPr="00C951F0">
        <w:rPr>
          <w:rFonts w:eastAsia="Calibri" w:cs="Arial"/>
          <w:color w:val="000000" w:themeColor="text1"/>
          <w:sz w:val="24"/>
          <w:szCs w:val="24"/>
        </w:rPr>
        <w:t xml:space="preserve"> </w:t>
      </w:r>
      <w:r w:rsidRPr="00C951F0">
        <w:rPr>
          <w:rFonts w:eastAsia="Calibri" w:cs="Arial"/>
          <w:bCs/>
          <w:color w:val="000000" w:themeColor="text1"/>
          <w:sz w:val="24"/>
          <w:szCs w:val="24"/>
        </w:rPr>
        <w:t>Adverse Events</w:t>
      </w:r>
    </w:p>
    <w:tbl>
      <w:tblPr>
        <w:tblStyle w:val="TableGrid3"/>
        <w:tblW w:w="5000" w:type="pct"/>
        <w:tblBorders>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813"/>
        <w:gridCol w:w="1516"/>
        <w:gridCol w:w="1142"/>
        <w:gridCol w:w="1170"/>
        <w:gridCol w:w="1516"/>
        <w:gridCol w:w="1142"/>
        <w:gridCol w:w="1170"/>
        <w:gridCol w:w="1170"/>
        <w:gridCol w:w="1172"/>
        <w:gridCol w:w="1147"/>
      </w:tblGrid>
      <w:tr w:rsidR="00C951F0" w:rsidRPr="00C951F0" w14:paraId="4A3B9F9E" w14:textId="77777777" w:rsidTr="00934A10">
        <w:trPr>
          <w:tblHeader/>
        </w:trPr>
        <w:tc>
          <w:tcPr>
            <w:tcW w:w="1008" w:type="pct"/>
            <w:vMerge w:val="restart"/>
          </w:tcPr>
          <w:p w14:paraId="79DE671E" w14:textId="77777777" w:rsidR="00B1644A" w:rsidRPr="00C951F0" w:rsidRDefault="00B1644A" w:rsidP="0039543A">
            <w:pPr>
              <w:spacing w:line="240" w:lineRule="auto"/>
              <w:rPr>
                <w:rFonts w:eastAsia="Calibri" w:cs="Arial"/>
                <w:color w:val="000000" w:themeColor="text1"/>
                <w:sz w:val="20"/>
                <w:szCs w:val="20"/>
              </w:rPr>
            </w:pPr>
          </w:p>
        </w:tc>
        <w:tc>
          <w:tcPr>
            <w:tcW w:w="1371" w:type="pct"/>
            <w:gridSpan w:val="3"/>
            <w:vAlign w:val="bottom"/>
          </w:tcPr>
          <w:p w14:paraId="4591F66A" w14:textId="23CC43EF" w:rsidR="00B1644A" w:rsidRPr="00C951F0" w:rsidRDefault="00B1644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Semaglutide 2</w:t>
            </w:r>
            <w:r w:rsidR="00C5236B" w:rsidRPr="00C951F0">
              <w:rPr>
                <w:rFonts w:eastAsia="Calibri" w:cs="Arial"/>
                <w:b/>
                <w:bCs/>
                <w:color w:val="000000" w:themeColor="text1"/>
                <w:sz w:val="20"/>
                <w:szCs w:val="20"/>
              </w:rPr>
              <w:t>·</w:t>
            </w:r>
            <w:r w:rsidRPr="00C951F0">
              <w:rPr>
                <w:rFonts w:eastAsia="Calibri" w:cs="Arial"/>
                <w:b/>
                <w:bCs/>
                <w:color w:val="000000" w:themeColor="text1"/>
                <w:sz w:val="20"/>
                <w:szCs w:val="20"/>
              </w:rPr>
              <w:t>4 mg</w:t>
            </w:r>
            <w:r w:rsidR="00B6546C" w:rsidRPr="00C951F0">
              <w:rPr>
                <w:rFonts w:eastAsia="Calibri" w:cs="Arial"/>
                <w:b/>
                <w:bCs/>
                <w:color w:val="000000" w:themeColor="text1"/>
                <w:sz w:val="20"/>
                <w:szCs w:val="20"/>
              </w:rPr>
              <w:t xml:space="preserve"> </w:t>
            </w:r>
            <w:r w:rsidRPr="00C951F0">
              <w:rPr>
                <w:rFonts w:eastAsia="Calibri" w:cs="Arial"/>
                <w:b/>
                <w:bCs/>
                <w:color w:val="000000" w:themeColor="text1"/>
                <w:sz w:val="20"/>
                <w:szCs w:val="20"/>
              </w:rPr>
              <w:t>(N=403)</w:t>
            </w:r>
          </w:p>
        </w:tc>
        <w:tc>
          <w:tcPr>
            <w:tcW w:w="1371" w:type="pct"/>
            <w:gridSpan w:val="3"/>
            <w:vAlign w:val="bottom"/>
          </w:tcPr>
          <w:p w14:paraId="228B5273" w14:textId="191E9CFF" w:rsidR="00B1644A" w:rsidRPr="00C951F0" w:rsidRDefault="00B1644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Semaglutide 1</w:t>
            </w:r>
            <w:r w:rsidR="00C5236B" w:rsidRPr="00C951F0">
              <w:rPr>
                <w:rFonts w:eastAsia="Calibri" w:cs="Arial"/>
                <w:b/>
                <w:bCs/>
                <w:color w:val="000000" w:themeColor="text1"/>
                <w:sz w:val="20"/>
                <w:szCs w:val="20"/>
              </w:rPr>
              <w:t>·</w:t>
            </w:r>
            <w:r w:rsidRPr="00C951F0">
              <w:rPr>
                <w:rFonts w:eastAsia="Calibri" w:cs="Arial"/>
                <w:b/>
                <w:bCs/>
                <w:color w:val="000000" w:themeColor="text1"/>
                <w:sz w:val="20"/>
                <w:szCs w:val="20"/>
              </w:rPr>
              <w:t>0 mg</w:t>
            </w:r>
            <w:r w:rsidR="00B6546C" w:rsidRPr="00C951F0">
              <w:rPr>
                <w:rFonts w:eastAsia="Calibri" w:cs="Arial"/>
                <w:b/>
                <w:bCs/>
                <w:color w:val="000000" w:themeColor="text1"/>
                <w:sz w:val="20"/>
                <w:szCs w:val="20"/>
              </w:rPr>
              <w:t xml:space="preserve"> </w:t>
            </w:r>
            <w:r w:rsidRPr="00C951F0">
              <w:rPr>
                <w:rFonts w:eastAsia="Calibri" w:cs="Arial"/>
                <w:b/>
                <w:bCs/>
                <w:color w:val="000000" w:themeColor="text1"/>
                <w:sz w:val="20"/>
                <w:szCs w:val="20"/>
              </w:rPr>
              <w:t>(N=402)</w:t>
            </w:r>
          </w:p>
        </w:tc>
        <w:tc>
          <w:tcPr>
            <w:tcW w:w="1250" w:type="pct"/>
            <w:gridSpan w:val="3"/>
            <w:vAlign w:val="bottom"/>
          </w:tcPr>
          <w:p w14:paraId="110A1105" w14:textId="467998CF" w:rsidR="00B1644A" w:rsidRPr="00C951F0" w:rsidRDefault="00B1644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Placebo</w:t>
            </w:r>
            <w:r w:rsidR="00B6546C" w:rsidRPr="00C951F0">
              <w:rPr>
                <w:rFonts w:eastAsia="Calibri" w:cs="Arial"/>
                <w:b/>
                <w:bCs/>
                <w:color w:val="000000" w:themeColor="text1"/>
                <w:sz w:val="20"/>
                <w:szCs w:val="20"/>
              </w:rPr>
              <w:t xml:space="preserve"> </w:t>
            </w:r>
            <w:r w:rsidRPr="00C951F0">
              <w:rPr>
                <w:rFonts w:eastAsia="Calibri" w:cs="Arial"/>
                <w:b/>
                <w:bCs/>
                <w:color w:val="000000" w:themeColor="text1"/>
                <w:sz w:val="20"/>
                <w:szCs w:val="20"/>
              </w:rPr>
              <w:t>(N=402)</w:t>
            </w:r>
          </w:p>
        </w:tc>
      </w:tr>
      <w:tr w:rsidR="00C951F0" w:rsidRPr="00C951F0" w14:paraId="7F55C355" w14:textId="77777777" w:rsidTr="00934A10">
        <w:trPr>
          <w:tblHeader/>
        </w:trPr>
        <w:tc>
          <w:tcPr>
            <w:tcW w:w="1008" w:type="pct"/>
            <w:vMerge/>
          </w:tcPr>
          <w:p w14:paraId="6C675014" w14:textId="77777777" w:rsidR="00B1644A" w:rsidRPr="00C951F0" w:rsidRDefault="00B1644A" w:rsidP="0039543A">
            <w:pPr>
              <w:spacing w:line="240" w:lineRule="auto"/>
              <w:rPr>
                <w:rFonts w:eastAsia="Calibri" w:cs="Arial"/>
                <w:color w:val="000000" w:themeColor="text1"/>
                <w:sz w:val="20"/>
                <w:szCs w:val="20"/>
              </w:rPr>
            </w:pPr>
          </w:p>
        </w:tc>
        <w:tc>
          <w:tcPr>
            <w:tcW w:w="543" w:type="pct"/>
            <w:vAlign w:val="bottom"/>
          </w:tcPr>
          <w:p w14:paraId="52780DBE" w14:textId="77777777" w:rsidR="00B1644A" w:rsidRPr="00C951F0" w:rsidRDefault="00B1644A" w:rsidP="00236FE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n (%)</w:t>
            </w:r>
          </w:p>
        </w:tc>
        <w:tc>
          <w:tcPr>
            <w:tcW w:w="409" w:type="pct"/>
            <w:vAlign w:val="bottom"/>
          </w:tcPr>
          <w:p w14:paraId="62B4233D" w14:textId="77777777" w:rsidR="00B1644A" w:rsidRPr="00C951F0" w:rsidRDefault="00B1644A" w:rsidP="00236FE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Events</w:t>
            </w:r>
          </w:p>
        </w:tc>
        <w:tc>
          <w:tcPr>
            <w:tcW w:w="419" w:type="pct"/>
            <w:vAlign w:val="bottom"/>
          </w:tcPr>
          <w:p w14:paraId="33B8C69C" w14:textId="77777777" w:rsidR="00B1644A" w:rsidRPr="00C951F0" w:rsidRDefault="00B1644A" w:rsidP="00236FE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Events per 100 patient years</w:t>
            </w:r>
          </w:p>
        </w:tc>
        <w:tc>
          <w:tcPr>
            <w:tcW w:w="543" w:type="pct"/>
            <w:vAlign w:val="bottom"/>
          </w:tcPr>
          <w:p w14:paraId="52A81448" w14:textId="77777777" w:rsidR="00B1644A" w:rsidRPr="00C951F0" w:rsidRDefault="00B1644A" w:rsidP="00236FE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n (%)</w:t>
            </w:r>
          </w:p>
        </w:tc>
        <w:tc>
          <w:tcPr>
            <w:tcW w:w="409" w:type="pct"/>
            <w:vAlign w:val="bottom"/>
          </w:tcPr>
          <w:p w14:paraId="151EDE2F" w14:textId="77777777" w:rsidR="00B1644A" w:rsidRPr="00C951F0" w:rsidRDefault="00B1644A" w:rsidP="00236FE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Events</w:t>
            </w:r>
          </w:p>
        </w:tc>
        <w:tc>
          <w:tcPr>
            <w:tcW w:w="419" w:type="pct"/>
            <w:vAlign w:val="bottom"/>
          </w:tcPr>
          <w:p w14:paraId="5C3E6440" w14:textId="77777777" w:rsidR="00B1644A" w:rsidRPr="00C951F0" w:rsidRDefault="00B1644A" w:rsidP="00236FE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Events per 100 patient years</w:t>
            </w:r>
          </w:p>
        </w:tc>
        <w:tc>
          <w:tcPr>
            <w:tcW w:w="419" w:type="pct"/>
            <w:vAlign w:val="bottom"/>
          </w:tcPr>
          <w:p w14:paraId="6098C769" w14:textId="77777777" w:rsidR="00B1644A" w:rsidRPr="00C951F0" w:rsidRDefault="00B1644A" w:rsidP="00236FE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n (%)</w:t>
            </w:r>
          </w:p>
        </w:tc>
        <w:tc>
          <w:tcPr>
            <w:tcW w:w="420" w:type="pct"/>
            <w:vAlign w:val="bottom"/>
          </w:tcPr>
          <w:p w14:paraId="6026F104" w14:textId="77777777" w:rsidR="00B1644A" w:rsidRPr="00C951F0" w:rsidRDefault="00B1644A" w:rsidP="00236FE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Events</w:t>
            </w:r>
          </w:p>
        </w:tc>
        <w:tc>
          <w:tcPr>
            <w:tcW w:w="411" w:type="pct"/>
            <w:vAlign w:val="bottom"/>
          </w:tcPr>
          <w:p w14:paraId="50F9198B" w14:textId="77777777" w:rsidR="00B1644A" w:rsidRPr="00C951F0" w:rsidRDefault="00B1644A" w:rsidP="00236FEA">
            <w:pPr>
              <w:spacing w:line="240" w:lineRule="auto"/>
              <w:jc w:val="center"/>
              <w:rPr>
                <w:rFonts w:eastAsia="Calibri" w:cs="Arial"/>
                <w:b/>
                <w:bCs/>
                <w:color w:val="000000" w:themeColor="text1"/>
                <w:sz w:val="20"/>
                <w:szCs w:val="20"/>
              </w:rPr>
            </w:pPr>
            <w:r w:rsidRPr="00C951F0">
              <w:rPr>
                <w:rFonts w:eastAsia="Calibri" w:cs="Arial"/>
                <w:b/>
                <w:bCs/>
                <w:color w:val="000000" w:themeColor="text1"/>
                <w:sz w:val="20"/>
                <w:szCs w:val="20"/>
              </w:rPr>
              <w:t>Events per 100 patient years</w:t>
            </w:r>
          </w:p>
        </w:tc>
      </w:tr>
      <w:tr w:rsidR="00C951F0" w:rsidRPr="00C951F0" w14:paraId="45ADA9BB" w14:textId="77777777" w:rsidTr="00F5793D">
        <w:trPr>
          <w:trHeight w:val="397"/>
        </w:trPr>
        <w:tc>
          <w:tcPr>
            <w:tcW w:w="1008" w:type="pct"/>
          </w:tcPr>
          <w:p w14:paraId="18338BEB" w14:textId="77777777" w:rsidR="00B1644A" w:rsidRPr="00C951F0" w:rsidRDefault="00B1644A" w:rsidP="0039543A">
            <w:pPr>
              <w:spacing w:line="240" w:lineRule="auto"/>
              <w:rPr>
                <w:rFonts w:eastAsia="Calibri" w:cs="Arial"/>
                <w:color w:val="000000" w:themeColor="text1"/>
                <w:sz w:val="20"/>
                <w:szCs w:val="20"/>
              </w:rPr>
            </w:pPr>
            <w:r w:rsidRPr="00C951F0">
              <w:rPr>
                <w:rFonts w:eastAsia="Calibri" w:cs="Arial"/>
                <w:color w:val="000000" w:themeColor="text1"/>
                <w:sz w:val="20"/>
                <w:szCs w:val="20"/>
              </w:rPr>
              <w:t>Any adverse event</w:t>
            </w:r>
          </w:p>
        </w:tc>
        <w:tc>
          <w:tcPr>
            <w:tcW w:w="543" w:type="pct"/>
          </w:tcPr>
          <w:p w14:paraId="0C8B698D" w14:textId="41E8238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353 (87</w:t>
            </w:r>
            <w:r w:rsidR="00C5236B" w:rsidRPr="00C951F0">
              <w:rPr>
                <w:rFonts w:eastAsia="Calibri" w:cs="Arial"/>
                <w:color w:val="000000" w:themeColor="text1"/>
                <w:sz w:val="20"/>
                <w:szCs w:val="20"/>
              </w:rPr>
              <w:t>·</w:t>
            </w:r>
            <w:r w:rsidRPr="00C951F0">
              <w:rPr>
                <w:rFonts w:eastAsia="Calibri" w:cs="Arial"/>
                <w:color w:val="000000" w:themeColor="text1"/>
                <w:sz w:val="20"/>
                <w:szCs w:val="20"/>
              </w:rPr>
              <w:t>6)</w:t>
            </w:r>
          </w:p>
        </w:tc>
        <w:tc>
          <w:tcPr>
            <w:tcW w:w="409" w:type="pct"/>
          </w:tcPr>
          <w:p w14:paraId="5B5CFC05"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2197</w:t>
            </w:r>
          </w:p>
        </w:tc>
        <w:tc>
          <w:tcPr>
            <w:tcW w:w="419" w:type="pct"/>
          </w:tcPr>
          <w:p w14:paraId="193D35B1" w14:textId="01A8B6B6"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412</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543" w:type="pct"/>
          </w:tcPr>
          <w:p w14:paraId="5C419407" w14:textId="407619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329 (81</w:t>
            </w:r>
            <w:r w:rsidR="00C5236B" w:rsidRPr="00C951F0">
              <w:rPr>
                <w:rFonts w:eastAsia="Calibri" w:cs="Arial"/>
                <w:color w:val="000000" w:themeColor="text1"/>
                <w:sz w:val="20"/>
                <w:szCs w:val="20"/>
              </w:rPr>
              <w:t>·</w:t>
            </w:r>
            <w:r w:rsidRPr="00C951F0">
              <w:rPr>
                <w:rFonts w:eastAsia="Calibri" w:cs="Arial"/>
                <w:color w:val="000000" w:themeColor="text1"/>
                <w:sz w:val="20"/>
                <w:szCs w:val="20"/>
              </w:rPr>
              <w:t>8)</w:t>
            </w:r>
          </w:p>
        </w:tc>
        <w:tc>
          <w:tcPr>
            <w:tcW w:w="409" w:type="pct"/>
          </w:tcPr>
          <w:p w14:paraId="5AD8AA61"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1859</w:t>
            </w:r>
          </w:p>
        </w:tc>
        <w:tc>
          <w:tcPr>
            <w:tcW w:w="419" w:type="pct"/>
          </w:tcPr>
          <w:p w14:paraId="450D4346" w14:textId="0DBBD0A9"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350</w:t>
            </w:r>
            <w:r w:rsidR="00C5236B" w:rsidRPr="00C951F0">
              <w:rPr>
                <w:rFonts w:eastAsia="Calibri" w:cs="Arial"/>
                <w:color w:val="000000" w:themeColor="text1"/>
                <w:sz w:val="20"/>
                <w:szCs w:val="20"/>
              </w:rPr>
              <w:t>·</w:t>
            </w:r>
            <w:r w:rsidRPr="00C951F0">
              <w:rPr>
                <w:rFonts w:eastAsia="Calibri" w:cs="Arial"/>
                <w:color w:val="000000" w:themeColor="text1"/>
                <w:sz w:val="20"/>
                <w:szCs w:val="20"/>
              </w:rPr>
              <w:t>9</w:t>
            </w:r>
          </w:p>
        </w:tc>
        <w:tc>
          <w:tcPr>
            <w:tcW w:w="419" w:type="pct"/>
          </w:tcPr>
          <w:p w14:paraId="28DAADD2" w14:textId="7940ADF2"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309 (76</w:t>
            </w:r>
            <w:r w:rsidR="00C5236B" w:rsidRPr="00C951F0">
              <w:rPr>
                <w:rFonts w:eastAsia="Calibri" w:cs="Arial"/>
                <w:color w:val="000000" w:themeColor="text1"/>
                <w:sz w:val="20"/>
                <w:szCs w:val="20"/>
              </w:rPr>
              <w:t>·</w:t>
            </w:r>
            <w:r w:rsidRPr="00C951F0">
              <w:rPr>
                <w:rFonts w:eastAsia="Calibri" w:cs="Arial"/>
                <w:color w:val="000000" w:themeColor="text1"/>
                <w:sz w:val="20"/>
                <w:szCs w:val="20"/>
              </w:rPr>
              <w:t>9)</w:t>
            </w:r>
          </w:p>
        </w:tc>
        <w:tc>
          <w:tcPr>
            <w:tcW w:w="420" w:type="pct"/>
          </w:tcPr>
          <w:p w14:paraId="684B1F83"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1388</w:t>
            </w:r>
          </w:p>
        </w:tc>
        <w:tc>
          <w:tcPr>
            <w:tcW w:w="411" w:type="pct"/>
          </w:tcPr>
          <w:p w14:paraId="2504D6B5" w14:textId="415E12D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262</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r>
      <w:tr w:rsidR="00C951F0" w:rsidRPr="00C951F0" w14:paraId="1DE0CCF4" w14:textId="77777777" w:rsidTr="00F5793D">
        <w:trPr>
          <w:trHeight w:val="397"/>
        </w:trPr>
        <w:tc>
          <w:tcPr>
            <w:tcW w:w="1008" w:type="pct"/>
          </w:tcPr>
          <w:p w14:paraId="32554BD1" w14:textId="77777777" w:rsidR="00B1644A" w:rsidRPr="00C951F0" w:rsidRDefault="00B1644A" w:rsidP="0039543A">
            <w:pPr>
              <w:spacing w:line="240" w:lineRule="auto"/>
              <w:rPr>
                <w:rFonts w:eastAsia="Calibri" w:cs="Arial"/>
                <w:color w:val="000000" w:themeColor="text1"/>
                <w:sz w:val="20"/>
                <w:szCs w:val="20"/>
              </w:rPr>
            </w:pPr>
            <w:r w:rsidRPr="00C951F0">
              <w:rPr>
                <w:rFonts w:eastAsia="Calibri" w:cs="Arial"/>
                <w:color w:val="000000" w:themeColor="text1"/>
                <w:sz w:val="20"/>
                <w:szCs w:val="20"/>
              </w:rPr>
              <w:t>Serious adverse events</w:t>
            </w:r>
          </w:p>
        </w:tc>
        <w:tc>
          <w:tcPr>
            <w:tcW w:w="543" w:type="pct"/>
          </w:tcPr>
          <w:p w14:paraId="0D4A6573" w14:textId="51060B70"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40 (9</w:t>
            </w:r>
            <w:r w:rsidR="00C5236B" w:rsidRPr="00C951F0">
              <w:rPr>
                <w:rFonts w:eastAsia="Calibri" w:cs="Arial"/>
                <w:color w:val="000000" w:themeColor="text1"/>
                <w:sz w:val="20"/>
                <w:szCs w:val="20"/>
              </w:rPr>
              <w:t>·</w:t>
            </w:r>
            <w:r w:rsidRPr="00C951F0">
              <w:rPr>
                <w:rFonts w:eastAsia="Calibri" w:cs="Arial"/>
                <w:color w:val="000000" w:themeColor="text1"/>
                <w:sz w:val="20"/>
                <w:szCs w:val="20"/>
              </w:rPr>
              <w:t>9)</w:t>
            </w:r>
          </w:p>
        </w:tc>
        <w:tc>
          <w:tcPr>
            <w:tcW w:w="409" w:type="pct"/>
          </w:tcPr>
          <w:p w14:paraId="7A229C0E"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71</w:t>
            </w:r>
          </w:p>
        </w:tc>
        <w:tc>
          <w:tcPr>
            <w:tcW w:w="419" w:type="pct"/>
          </w:tcPr>
          <w:p w14:paraId="1CC9B688" w14:textId="6FF1A425"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13</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543" w:type="pct"/>
          </w:tcPr>
          <w:p w14:paraId="016C3330" w14:textId="2433253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31 (7</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09" w:type="pct"/>
          </w:tcPr>
          <w:p w14:paraId="2EF45942"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53</w:t>
            </w:r>
          </w:p>
        </w:tc>
        <w:tc>
          <w:tcPr>
            <w:tcW w:w="419" w:type="pct"/>
          </w:tcPr>
          <w:p w14:paraId="6F1101E1" w14:textId="5926851E"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10</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419" w:type="pct"/>
          </w:tcPr>
          <w:p w14:paraId="7A821653" w14:textId="35CDB235"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37 (9</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20" w:type="pct"/>
          </w:tcPr>
          <w:p w14:paraId="6B9F60DD"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53</w:t>
            </w:r>
          </w:p>
        </w:tc>
        <w:tc>
          <w:tcPr>
            <w:tcW w:w="411" w:type="pct"/>
          </w:tcPr>
          <w:p w14:paraId="5C540215" w14:textId="2F3A5AB8"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10</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r>
      <w:tr w:rsidR="00C951F0" w:rsidRPr="00C951F0" w14:paraId="0999A030" w14:textId="77777777" w:rsidTr="00F5793D">
        <w:trPr>
          <w:trHeight w:val="397"/>
        </w:trPr>
        <w:tc>
          <w:tcPr>
            <w:tcW w:w="1008" w:type="pct"/>
          </w:tcPr>
          <w:p w14:paraId="542360A4" w14:textId="77777777" w:rsidR="00B1644A" w:rsidRPr="00C951F0" w:rsidRDefault="00B1644A" w:rsidP="0039543A">
            <w:pPr>
              <w:spacing w:line="240" w:lineRule="auto"/>
              <w:rPr>
                <w:rFonts w:eastAsia="Calibri" w:cs="Arial"/>
                <w:color w:val="000000" w:themeColor="text1"/>
                <w:sz w:val="20"/>
                <w:szCs w:val="20"/>
              </w:rPr>
            </w:pPr>
            <w:r w:rsidRPr="00C951F0">
              <w:rPr>
                <w:rFonts w:eastAsia="Calibri" w:cs="Arial"/>
                <w:color w:val="000000" w:themeColor="text1"/>
                <w:sz w:val="20"/>
                <w:szCs w:val="20"/>
              </w:rPr>
              <w:t>Adverse events leading to trial product discontinuation</w:t>
            </w:r>
          </w:p>
        </w:tc>
        <w:tc>
          <w:tcPr>
            <w:tcW w:w="543" w:type="pct"/>
          </w:tcPr>
          <w:p w14:paraId="6C3F4FAA" w14:textId="6CB718E9"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25 (6</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09" w:type="pct"/>
          </w:tcPr>
          <w:p w14:paraId="53E00FAA"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34</w:t>
            </w:r>
          </w:p>
        </w:tc>
        <w:tc>
          <w:tcPr>
            <w:tcW w:w="419" w:type="pct"/>
          </w:tcPr>
          <w:p w14:paraId="55C5BD9B" w14:textId="47439B34"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6</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543" w:type="pct"/>
          </w:tcPr>
          <w:p w14:paraId="1E07BCC6" w14:textId="07A5FDC6"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20 (5</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409" w:type="pct"/>
          </w:tcPr>
          <w:p w14:paraId="29E1CD20"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23</w:t>
            </w:r>
          </w:p>
        </w:tc>
        <w:tc>
          <w:tcPr>
            <w:tcW w:w="419" w:type="pct"/>
          </w:tcPr>
          <w:p w14:paraId="56870C41" w14:textId="06054D48"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419" w:type="pct"/>
          </w:tcPr>
          <w:p w14:paraId="15EE0C55" w14:textId="1472670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14 (3</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20" w:type="pct"/>
          </w:tcPr>
          <w:p w14:paraId="685BCFE0"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18</w:t>
            </w:r>
          </w:p>
        </w:tc>
        <w:tc>
          <w:tcPr>
            <w:tcW w:w="411" w:type="pct"/>
          </w:tcPr>
          <w:p w14:paraId="2542AAA7" w14:textId="03E8116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r>
      <w:tr w:rsidR="00C951F0" w:rsidRPr="00C951F0" w14:paraId="3B263D4E" w14:textId="77777777" w:rsidTr="00F5793D">
        <w:trPr>
          <w:trHeight w:val="397"/>
        </w:trPr>
        <w:tc>
          <w:tcPr>
            <w:tcW w:w="1008" w:type="pct"/>
          </w:tcPr>
          <w:p w14:paraId="65A30AE8" w14:textId="77777777" w:rsidR="00B1644A" w:rsidRPr="00C951F0" w:rsidDel="007E791B" w:rsidRDefault="00B1644A" w:rsidP="0039543A">
            <w:pPr>
              <w:spacing w:line="240" w:lineRule="auto"/>
              <w:ind w:left="142"/>
              <w:rPr>
                <w:rFonts w:eastAsia="Calibri" w:cs="Arial"/>
                <w:color w:val="000000" w:themeColor="text1"/>
                <w:sz w:val="20"/>
                <w:szCs w:val="20"/>
              </w:rPr>
            </w:pPr>
            <w:r w:rsidRPr="00C951F0">
              <w:rPr>
                <w:rFonts w:eastAsia="Calibri" w:cs="Arial"/>
                <w:color w:val="000000" w:themeColor="text1"/>
                <w:sz w:val="20"/>
                <w:szCs w:val="20"/>
              </w:rPr>
              <w:t>Gastrointestinal disorders</w:t>
            </w:r>
          </w:p>
        </w:tc>
        <w:tc>
          <w:tcPr>
            <w:tcW w:w="543" w:type="pct"/>
          </w:tcPr>
          <w:p w14:paraId="3AE64C56" w14:textId="78F142CF"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17 (4</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09" w:type="pct"/>
          </w:tcPr>
          <w:p w14:paraId="300B41DB"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24</w:t>
            </w:r>
          </w:p>
        </w:tc>
        <w:tc>
          <w:tcPr>
            <w:tcW w:w="419" w:type="pct"/>
          </w:tcPr>
          <w:p w14:paraId="3AEA3464" w14:textId="5A9CF296"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543" w:type="pct"/>
          </w:tcPr>
          <w:p w14:paraId="45E8C542" w14:textId="52135A34"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14 (3</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0DE44228"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16</w:t>
            </w:r>
          </w:p>
        </w:tc>
        <w:tc>
          <w:tcPr>
            <w:tcW w:w="419" w:type="pct"/>
          </w:tcPr>
          <w:p w14:paraId="08CAAF75" w14:textId="4B78647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419" w:type="pct"/>
          </w:tcPr>
          <w:p w14:paraId="62B9D473" w14:textId="64B21DF0" w:rsidR="00B1644A" w:rsidRPr="00C951F0" w:rsidDel="007E791B"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 (1</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420" w:type="pct"/>
          </w:tcPr>
          <w:p w14:paraId="0E181B6B" w14:textId="77777777" w:rsidR="00B1644A" w:rsidRPr="00C951F0" w:rsidDel="007E791B"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6</w:t>
            </w:r>
          </w:p>
        </w:tc>
        <w:tc>
          <w:tcPr>
            <w:tcW w:w="411" w:type="pct"/>
          </w:tcPr>
          <w:p w14:paraId="4DE090F7" w14:textId="203366B1" w:rsidR="00B1644A" w:rsidRPr="00C951F0" w:rsidDel="007E791B"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r w:rsidR="00C5236B" w:rsidRPr="00C951F0">
              <w:rPr>
                <w:rFonts w:eastAsia="Calibri" w:cs="Arial"/>
                <w:color w:val="000000" w:themeColor="text1"/>
                <w:sz w:val="20"/>
                <w:szCs w:val="20"/>
              </w:rPr>
              <w:t>·</w:t>
            </w:r>
            <w:r w:rsidRPr="00C951F0">
              <w:rPr>
                <w:rFonts w:eastAsia="Calibri" w:cs="Arial"/>
                <w:color w:val="000000" w:themeColor="text1"/>
                <w:sz w:val="20"/>
                <w:szCs w:val="20"/>
              </w:rPr>
              <w:t>1</w:t>
            </w:r>
          </w:p>
        </w:tc>
      </w:tr>
      <w:tr w:rsidR="00C951F0" w:rsidRPr="00C951F0" w14:paraId="062E6471" w14:textId="77777777" w:rsidTr="00F5793D">
        <w:trPr>
          <w:trHeight w:val="397"/>
        </w:trPr>
        <w:tc>
          <w:tcPr>
            <w:tcW w:w="1008" w:type="pct"/>
          </w:tcPr>
          <w:p w14:paraId="450AB08D" w14:textId="77777777" w:rsidR="00B1644A" w:rsidRPr="00C951F0" w:rsidRDefault="00B1644A" w:rsidP="0039543A">
            <w:pPr>
              <w:spacing w:line="240" w:lineRule="auto"/>
              <w:rPr>
                <w:rFonts w:eastAsia="Calibri" w:cs="Arial"/>
                <w:color w:val="000000" w:themeColor="text1"/>
                <w:sz w:val="20"/>
                <w:szCs w:val="20"/>
              </w:rPr>
            </w:pPr>
            <w:r w:rsidRPr="00C951F0">
              <w:rPr>
                <w:rFonts w:eastAsia="Calibri" w:cs="Arial"/>
                <w:color w:val="000000" w:themeColor="text1"/>
                <w:sz w:val="20"/>
                <w:szCs w:val="20"/>
              </w:rPr>
              <w:t>Fatal events*</w:t>
            </w:r>
            <w:r w:rsidRPr="00C951F0">
              <w:rPr>
                <w:rFonts w:eastAsia="Calibri" w:cs="Calibri"/>
                <w:color w:val="000000" w:themeColor="text1"/>
                <w:sz w:val="20"/>
                <w:szCs w:val="20"/>
              </w:rPr>
              <w:t>†</w:t>
            </w:r>
          </w:p>
        </w:tc>
        <w:tc>
          <w:tcPr>
            <w:tcW w:w="543" w:type="pct"/>
          </w:tcPr>
          <w:p w14:paraId="4623FB8C" w14:textId="6EF75A5B"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 (0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09" w:type="pct"/>
          </w:tcPr>
          <w:p w14:paraId="6D75FA08"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p>
        </w:tc>
        <w:tc>
          <w:tcPr>
            <w:tcW w:w="419" w:type="pct"/>
          </w:tcPr>
          <w:p w14:paraId="6205EC61" w14:textId="22524EE5"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543" w:type="pct"/>
          </w:tcPr>
          <w:p w14:paraId="184A3F99" w14:textId="4AA9682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 (0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09" w:type="pct"/>
          </w:tcPr>
          <w:p w14:paraId="73769BCF"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p>
        </w:tc>
        <w:tc>
          <w:tcPr>
            <w:tcW w:w="419" w:type="pct"/>
          </w:tcPr>
          <w:p w14:paraId="28443C20" w14:textId="600D8C83"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19" w:type="pct"/>
          </w:tcPr>
          <w:p w14:paraId="5CC36F11" w14:textId="02D47075"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 (0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20" w:type="pct"/>
          </w:tcPr>
          <w:p w14:paraId="5088B80A"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p>
        </w:tc>
        <w:tc>
          <w:tcPr>
            <w:tcW w:w="411" w:type="pct"/>
          </w:tcPr>
          <w:p w14:paraId="280941CF" w14:textId="2AEAFD7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r>
      <w:tr w:rsidR="00C951F0" w:rsidRPr="00C951F0" w14:paraId="0EB9072B" w14:textId="77777777" w:rsidTr="00F5793D">
        <w:trPr>
          <w:trHeight w:val="397"/>
        </w:trPr>
        <w:tc>
          <w:tcPr>
            <w:tcW w:w="5000" w:type="pct"/>
            <w:gridSpan w:val="10"/>
          </w:tcPr>
          <w:p w14:paraId="3CCFE60B" w14:textId="77777777" w:rsidR="00B1644A" w:rsidRPr="00C951F0" w:rsidRDefault="00B1644A" w:rsidP="0039543A">
            <w:pPr>
              <w:spacing w:line="240" w:lineRule="auto"/>
              <w:rPr>
                <w:rFonts w:eastAsia="Calibri" w:cs="Arial"/>
                <w:b/>
                <w:color w:val="000000" w:themeColor="text1"/>
                <w:sz w:val="20"/>
                <w:szCs w:val="20"/>
              </w:rPr>
            </w:pPr>
            <w:r w:rsidRPr="00C951F0">
              <w:rPr>
                <w:rFonts w:eastAsia="Calibri" w:cs="Arial"/>
                <w:b/>
                <w:color w:val="000000" w:themeColor="text1"/>
                <w:sz w:val="20"/>
                <w:szCs w:val="20"/>
              </w:rPr>
              <w:t xml:space="preserve">Adverse events reported in </w:t>
            </w:r>
            <w:r w:rsidRPr="00C951F0">
              <w:rPr>
                <w:rFonts w:eastAsia="Calibri" w:cs="Calibri"/>
                <w:b/>
                <w:color w:val="000000" w:themeColor="text1"/>
                <w:sz w:val="20"/>
                <w:szCs w:val="20"/>
              </w:rPr>
              <w:t>≥</w:t>
            </w:r>
            <w:r w:rsidRPr="00C951F0">
              <w:rPr>
                <w:rFonts w:eastAsia="Calibri" w:cs="Arial"/>
                <w:b/>
                <w:color w:val="000000" w:themeColor="text1"/>
                <w:sz w:val="20"/>
                <w:szCs w:val="20"/>
              </w:rPr>
              <w:t>10% of patients‡</w:t>
            </w:r>
          </w:p>
        </w:tc>
      </w:tr>
      <w:tr w:rsidR="00C951F0" w:rsidRPr="00C951F0" w14:paraId="54D46E01" w14:textId="77777777" w:rsidTr="00F5793D">
        <w:trPr>
          <w:trHeight w:val="397"/>
        </w:trPr>
        <w:tc>
          <w:tcPr>
            <w:tcW w:w="1008" w:type="pct"/>
          </w:tcPr>
          <w:p w14:paraId="6B54C7EC" w14:textId="77777777" w:rsidR="00B1644A" w:rsidRPr="00C951F0" w:rsidRDefault="00B1644A" w:rsidP="0039543A">
            <w:pPr>
              <w:spacing w:line="240" w:lineRule="auto"/>
              <w:ind w:left="174"/>
              <w:rPr>
                <w:rFonts w:eastAsia="Calibri" w:cs="Arial"/>
                <w:color w:val="000000" w:themeColor="text1"/>
                <w:sz w:val="20"/>
                <w:szCs w:val="20"/>
              </w:rPr>
            </w:pPr>
            <w:r w:rsidRPr="00C951F0">
              <w:rPr>
                <w:rFonts w:eastAsia="Calibri" w:cs="Arial"/>
                <w:color w:val="000000" w:themeColor="text1"/>
                <w:sz w:val="20"/>
                <w:szCs w:val="20"/>
              </w:rPr>
              <w:t>Nausea</w:t>
            </w:r>
          </w:p>
        </w:tc>
        <w:tc>
          <w:tcPr>
            <w:tcW w:w="543" w:type="pct"/>
          </w:tcPr>
          <w:p w14:paraId="2E8697A1" w14:textId="14098FB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136 (33</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09" w:type="pct"/>
          </w:tcPr>
          <w:p w14:paraId="7C73CEBB"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249</w:t>
            </w:r>
          </w:p>
        </w:tc>
        <w:tc>
          <w:tcPr>
            <w:tcW w:w="419" w:type="pct"/>
          </w:tcPr>
          <w:p w14:paraId="01CED493" w14:textId="4DDB9B7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46</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543" w:type="pct"/>
          </w:tcPr>
          <w:p w14:paraId="76BDA998" w14:textId="7CE8670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129 (32</w:t>
            </w:r>
            <w:r w:rsidR="00C5236B" w:rsidRPr="00C951F0">
              <w:rPr>
                <w:rFonts w:eastAsia="Calibri" w:cs="Arial"/>
                <w:color w:val="000000" w:themeColor="text1"/>
                <w:sz w:val="20"/>
                <w:szCs w:val="20"/>
              </w:rPr>
              <w:t>·</w:t>
            </w:r>
            <w:r w:rsidRPr="00C951F0">
              <w:rPr>
                <w:rFonts w:eastAsia="Calibri" w:cs="Arial"/>
                <w:color w:val="000000" w:themeColor="text1"/>
                <w:sz w:val="20"/>
                <w:szCs w:val="20"/>
              </w:rPr>
              <w:t>1)</w:t>
            </w:r>
          </w:p>
        </w:tc>
        <w:tc>
          <w:tcPr>
            <w:tcW w:w="409" w:type="pct"/>
          </w:tcPr>
          <w:p w14:paraId="65203424"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198</w:t>
            </w:r>
          </w:p>
        </w:tc>
        <w:tc>
          <w:tcPr>
            <w:tcW w:w="419" w:type="pct"/>
          </w:tcPr>
          <w:p w14:paraId="1F7D26AA" w14:textId="7AC5F506"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37</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419" w:type="pct"/>
          </w:tcPr>
          <w:p w14:paraId="1F411C94" w14:textId="1755D3E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37 (9</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20" w:type="pct"/>
          </w:tcPr>
          <w:p w14:paraId="1FF224EC"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45</w:t>
            </w:r>
          </w:p>
        </w:tc>
        <w:tc>
          <w:tcPr>
            <w:tcW w:w="411" w:type="pct"/>
          </w:tcPr>
          <w:p w14:paraId="277F2C55" w14:textId="52AF0DF9"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8</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r>
      <w:tr w:rsidR="00C951F0" w:rsidRPr="00C951F0" w14:paraId="6F6D408E" w14:textId="77777777" w:rsidTr="00F5793D">
        <w:trPr>
          <w:trHeight w:val="397"/>
        </w:trPr>
        <w:tc>
          <w:tcPr>
            <w:tcW w:w="1008" w:type="pct"/>
          </w:tcPr>
          <w:p w14:paraId="748CEDE2" w14:textId="20B7E71F" w:rsidR="00B1644A" w:rsidRPr="00C951F0" w:rsidRDefault="00B1644A" w:rsidP="00934A10">
            <w:pPr>
              <w:spacing w:line="240" w:lineRule="auto"/>
              <w:ind w:left="174"/>
              <w:rPr>
                <w:rFonts w:eastAsia="Calibri" w:cs="Calibri"/>
                <w:color w:val="000000" w:themeColor="text1"/>
                <w:sz w:val="20"/>
                <w:szCs w:val="20"/>
              </w:rPr>
            </w:pPr>
            <w:r w:rsidRPr="00C951F0">
              <w:rPr>
                <w:rFonts w:eastAsia="Calibri" w:cs="Arial"/>
                <w:color w:val="000000" w:themeColor="text1"/>
                <w:sz w:val="20"/>
                <w:szCs w:val="20"/>
              </w:rPr>
              <w:t>Vomiting</w:t>
            </w:r>
          </w:p>
        </w:tc>
        <w:tc>
          <w:tcPr>
            <w:tcW w:w="543" w:type="pct"/>
          </w:tcPr>
          <w:p w14:paraId="5D8EE8EB" w14:textId="4A2A45AF"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88 (21</w:t>
            </w:r>
            <w:r w:rsidR="00C5236B" w:rsidRPr="00C951F0">
              <w:rPr>
                <w:rFonts w:eastAsia="Calibri" w:cs="Arial"/>
                <w:color w:val="000000" w:themeColor="text1"/>
                <w:sz w:val="20"/>
                <w:szCs w:val="20"/>
              </w:rPr>
              <w:t>·</w:t>
            </w:r>
            <w:r w:rsidRPr="00C951F0">
              <w:rPr>
                <w:rFonts w:eastAsia="Calibri" w:cs="Arial"/>
                <w:color w:val="000000" w:themeColor="text1"/>
                <w:sz w:val="20"/>
                <w:szCs w:val="20"/>
              </w:rPr>
              <w:t>8)</w:t>
            </w:r>
          </w:p>
        </w:tc>
        <w:tc>
          <w:tcPr>
            <w:tcW w:w="409" w:type="pct"/>
          </w:tcPr>
          <w:p w14:paraId="4E8A55EA"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188</w:t>
            </w:r>
          </w:p>
        </w:tc>
        <w:tc>
          <w:tcPr>
            <w:tcW w:w="419" w:type="pct"/>
          </w:tcPr>
          <w:p w14:paraId="2C0EC3FB" w14:textId="52C037F8"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35</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543" w:type="pct"/>
          </w:tcPr>
          <w:p w14:paraId="4D814315" w14:textId="3330066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54 (13</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409" w:type="pct"/>
          </w:tcPr>
          <w:p w14:paraId="72F760BB"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93</w:t>
            </w:r>
          </w:p>
        </w:tc>
        <w:tc>
          <w:tcPr>
            <w:tcW w:w="419" w:type="pct"/>
          </w:tcPr>
          <w:p w14:paraId="1746D98D" w14:textId="54735B90"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17</w:t>
            </w:r>
            <w:r w:rsidR="00C5236B" w:rsidRPr="00C951F0">
              <w:rPr>
                <w:rFonts w:eastAsia="Calibri" w:cs="Arial"/>
                <w:color w:val="000000" w:themeColor="text1"/>
                <w:sz w:val="20"/>
                <w:szCs w:val="20"/>
              </w:rPr>
              <w:t>·</w:t>
            </w:r>
            <w:r w:rsidRPr="00C951F0">
              <w:rPr>
                <w:rFonts w:eastAsia="Calibri" w:cs="Arial"/>
                <w:color w:val="000000" w:themeColor="text1"/>
                <w:sz w:val="20"/>
                <w:szCs w:val="20"/>
              </w:rPr>
              <w:t>6</w:t>
            </w:r>
          </w:p>
        </w:tc>
        <w:tc>
          <w:tcPr>
            <w:tcW w:w="419" w:type="pct"/>
          </w:tcPr>
          <w:p w14:paraId="1414B431" w14:textId="688C869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11 (2</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20" w:type="pct"/>
          </w:tcPr>
          <w:p w14:paraId="79517797"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12</w:t>
            </w:r>
          </w:p>
        </w:tc>
        <w:tc>
          <w:tcPr>
            <w:tcW w:w="411" w:type="pct"/>
          </w:tcPr>
          <w:p w14:paraId="4565DA1C" w14:textId="7214428B"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r>
      <w:tr w:rsidR="00C951F0" w:rsidRPr="00C951F0" w14:paraId="2E6DFF3B" w14:textId="77777777" w:rsidTr="00F5793D">
        <w:trPr>
          <w:trHeight w:val="397"/>
        </w:trPr>
        <w:tc>
          <w:tcPr>
            <w:tcW w:w="1008" w:type="pct"/>
          </w:tcPr>
          <w:p w14:paraId="4D52865D" w14:textId="0E49B9B9" w:rsidR="00B1644A" w:rsidRPr="00C951F0" w:rsidRDefault="00097852" w:rsidP="0039543A">
            <w:pPr>
              <w:spacing w:line="240" w:lineRule="auto"/>
              <w:ind w:left="174"/>
              <w:rPr>
                <w:rFonts w:eastAsia="Calibri" w:cs="Calibri"/>
                <w:color w:val="000000" w:themeColor="text1"/>
                <w:sz w:val="20"/>
                <w:szCs w:val="20"/>
              </w:rPr>
            </w:pPr>
            <w:proofErr w:type="spellStart"/>
            <w:r w:rsidRPr="00C951F0">
              <w:rPr>
                <w:rFonts w:eastAsia="Calibri" w:cs="Calibri"/>
                <w:color w:val="000000" w:themeColor="text1"/>
                <w:sz w:val="20"/>
                <w:szCs w:val="20"/>
              </w:rPr>
              <w:t>Diarrhoea</w:t>
            </w:r>
            <w:proofErr w:type="spellEnd"/>
          </w:p>
        </w:tc>
        <w:tc>
          <w:tcPr>
            <w:tcW w:w="543" w:type="pct"/>
          </w:tcPr>
          <w:p w14:paraId="71F98482" w14:textId="3D669EFC" w:rsidR="00B1644A" w:rsidRPr="00C951F0" w:rsidRDefault="00B1644A" w:rsidP="0039543A">
            <w:pPr>
              <w:spacing w:line="240" w:lineRule="auto"/>
              <w:jc w:val="center"/>
              <w:rPr>
                <w:rFonts w:eastAsia="Calibri" w:cs="Calibri"/>
                <w:color w:val="000000" w:themeColor="text1"/>
                <w:sz w:val="20"/>
                <w:szCs w:val="20"/>
              </w:rPr>
            </w:pPr>
            <w:r w:rsidRPr="00C951F0">
              <w:rPr>
                <w:rFonts w:eastAsia="Calibri" w:cs="Calibri"/>
                <w:color w:val="000000" w:themeColor="text1"/>
                <w:sz w:val="20"/>
                <w:szCs w:val="20"/>
              </w:rPr>
              <w:t>86 (21</w:t>
            </w:r>
            <w:r w:rsidR="00C5236B" w:rsidRPr="00C951F0">
              <w:rPr>
                <w:rFonts w:eastAsia="Calibri" w:cs="Calibri"/>
                <w:color w:val="000000" w:themeColor="text1"/>
                <w:sz w:val="20"/>
                <w:szCs w:val="20"/>
              </w:rPr>
              <w:t>·</w:t>
            </w:r>
            <w:r w:rsidRPr="00C951F0">
              <w:rPr>
                <w:rFonts w:eastAsia="Calibri" w:cs="Calibri"/>
                <w:color w:val="000000" w:themeColor="text1"/>
                <w:sz w:val="20"/>
                <w:szCs w:val="20"/>
              </w:rPr>
              <w:t>3)</w:t>
            </w:r>
          </w:p>
        </w:tc>
        <w:tc>
          <w:tcPr>
            <w:tcW w:w="409" w:type="pct"/>
            <w:vAlign w:val="center"/>
          </w:tcPr>
          <w:p w14:paraId="0C5D708E" w14:textId="77777777" w:rsidR="00B1644A" w:rsidRPr="00C951F0" w:rsidRDefault="00B1644A" w:rsidP="0039543A">
            <w:pPr>
              <w:spacing w:line="240" w:lineRule="auto"/>
              <w:jc w:val="center"/>
              <w:rPr>
                <w:rFonts w:eastAsia="Calibri" w:cs="Calibri"/>
                <w:color w:val="000000" w:themeColor="text1"/>
                <w:sz w:val="20"/>
                <w:szCs w:val="20"/>
              </w:rPr>
            </w:pPr>
            <w:r w:rsidRPr="00C951F0">
              <w:rPr>
                <w:rFonts w:eastAsia="Calibri" w:cs="Calibri"/>
                <w:color w:val="000000" w:themeColor="text1"/>
                <w:kern w:val="24"/>
                <w:sz w:val="20"/>
                <w:szCs w:val="20"/>
              </w:rPr>
              <w:t>141</w:t>
            </w:r>
          </w:p>
        </w:tc>
        <w:tc>
          <w:tcPr>
            <w:tcW w:w="419" w:type="pct"/>
            <w:vAlign w:val="center"/>
          </w:tcPr>
          <w:p w14:paraId="77B3BED7" w14:textId="24EE0CE7" w:rsidR="00B1644A" w:rsidRPr="00C951F0" w:rsidRDefault="00B1644A" w:rsidP="0039543A">
            <w:pPr>
              <w:spacing w:line="240" w:lineRule="auto"/>
              <w:jc w:val="center"/>
              <w:rPr>
                <w:rFonts w:eastAsia="Calibri" w:cs="Calibri"/>
                <w:color w:val="000000" w:themeColor="text1"/>
                <w:sz w:val="20"/>
                <w:szCs w:val="20"/>
              </w:rPr>
            </w:pPr>
            <w:r w:rsidRPr="00C951F0">
              <w:rPr>
                <w:rFonts w:eastAsia="Calibri" w:cs="Calibri"/>
                <w:color w:val="000000" w:themeColor="text1"/>
                <w:kern w:val="24"/>
                <w:sz w:val="20"/>
                <w:szCs w:val="20"/>
              </w:rPr>
              <w:t>26</w:t>
            </w:r>
            <w:r w:rsidR="00C5236B" w:rsidRPr="00C951F0">
              <w:rPr>
                <w:rFonts w:eastAsia="Calibri" w:cs="Calibri"/>
                <w:color w:val="000000" w:themeColor="text1"/>
                <w:kern w:val="24"/>
                <w:sz w:val="20"/>
                <w:szCs w:val="20"/>
              </w:rPr>
              <w:t>·</w:t>
            </w:r>
            <w:r w:rsidRPr="00C951F0">
              <w:rPr>
                <w:rFonts w:eastAsia="Calibri" w:cs="Calibri"/>
                <w:color w:val="000000" w:themeColor="text1"/>
                <w:kern w:val="24"/>
                <w:sz w:val="20"/>
                <w:szCs w:val="20"/>
              </w:rPr>
              <w:t>5</w:t>
            </w:r>
          </w:p>
        </w:tc>
        <w:tc>
          <w:tcPr>
            <w:tcW w:w="543" w:type="pct"/>
          </w:tcPr>
          <w:p w14:paraId="45AD3458" w14:textId="5B71CE36" w:rsidR="00B1644A" w:rsidRPr="00C951F0" w:rsidRDefault="00B1644A" w:rsidP="0039543A">
            <w:pPr>
              <w:spacing w:line="240" w:lineRule="auto"/>
              <w:jc w:val="center"/>
              <w:rPr>
                <w:rFonts w:eastAsia="Calibri" w:cs="Calibri"/>
                <w:color w:val="000000" w:themeColor="text1"/>
                <w:sz w:val="20"/>
                <w:szCs w:val="20"/>
              </w:rPr>
            </w:pPr>
            <w:r w:rsidRPr="00C951F0">
              <w:rPr>
                <w:rFonts w:eastAsia="Calibri" w:cs="Calibri"/>
                <w:color w:val="000000" w:themeColor="text1"/>
                <w:sz w:val="20"/>
                <w:szCs w:val="20"/>
              </w:rPr>
              <w:t>89 (22</w:t>
            </w:r>
            <w:r w:rsidR="00C5236B" w:rsidRPr="00C951F0">
              <w:rPr>
                <w:rFonts w:eastAsia="Calibri" w:cs="Calibri"/>
                <w:color w:val="000000" w:themeColor="text1"/>
                <w:sz w:val="20"/>
                <w:szCs w:val="20"/>
              </w:rPr>
              <w:t>·</w:t>
            </w:r>
            <w:r w:rsidRPr="00C951F0">
              <w:rPr>
                <w:rFonts w:eastAsia="Calibri" w:cs="Calibri"/>
                <w:color w:val="000000" w:themeColor="text1"/>
                <w:sz w:val="20"/>
                <w:szCs w:val="20"/>
              </w:rPr>
              <w:t>1)</w:t>
            </w:r>
          </w:p>
        </w:tc>
        <w:tc>
          <w:tcPr>
            <w:tcW w:w="409" w:type="pct"/>
          </w:tcPr>
          <w:p w14:paraId="20BDDFB9" w14:textId="77777777" w:rsidR="00B1644A" w:rsidRPr="00C951F0" w:rsidRDefault="00B1644A" w:rsidP="0039543A">
            <w:pPr>
              <w:spacing w:line="240" w:lineRule="auto"/>
              <w:jc w:val="center"/>
              <w:rPr>
                <w:rFonts w:eastAsia="Calibri" w:cs="Calibri"/>
                <w:color w:val="000000" w:themeColor="text1"/>
                <w:sz w:val="20"/>
                <w:szCs w:val="20"/>
              </w:rPr>
            </w:pPr>
            <w:r w:rsidRPr="00C951F0">
              <w:rPr>
                <w:rFonts w:eastAsia="Calibri" w:cs="Calibri"/>
                <w:color w:val="000000" w:themeColor="text1"/>
                <w:sz w:val="20"/>
                <w:szCs w:val="20"/>
              </w:rPr>
              <w:t>158</w:t>
            </w:r>
          </w:p>
        </w:tc>
        <w:tc>
          <w:tcPr>
            <w:tcW w:w="419" w:type="pct"/>
          </w:tcPr>
          <w:p w14:paraId="2F3C8830" w14:textId="3800D4B8" w:rsidR="00B1644A" w:rsidRPr="00C951F0" w:rsidRDefault="00B1644A" w:rsidP="0039543A">
            <w:pPr>
              <w:spacing w:line="240" w:lineRule="auto"/>
              <w:jc w:val="center"/>
              <w:rPr>
                <w:rFonts w:eastAsia="Calibri" w:cs="Calibri"/>
                <w:color w:val="000000" w:themeColor="text1"/>
                <w:sz w:val="20"/>
                <w:szCs w:val="20"/>
              </w:rPr>
            </w:pPr>
            <w:r w:rsidRPr="00C951F0">
              <w:rPr>
                <w:rFonts w:eastAsia="Calibri" w:cs="Calibri"/>
                <w:color w:val="000000" w:themeColor="text1"/>
                <w:sz w:val="20"/>
                <w:szCs w:val="20"/>
              </w:rPr>
              <w:t>29</w:t>
            </w:r>
            <w:r w:rsidR="00C5236B" w:rsidRPr="00C951F0">
              <w:rPr>
                <w:rFonts w:eastAsia="Calibri" w:cs="Calibri"/>
                <w:color w:val="000000" w:themeColor="text1"/>
                <w:sz w:val="20"/>
                <w:szCs w:val="20"/>
              </w:rPr>
              <w:t>·</w:t>
            </w:r>
            <w:r w:rsidRPr="00C951F0">
              <w:rPr>
                <w:rFonts w:eastAsia="Calibri" w:cs="Calibri"/>
                <w:color w:val="000000" w:themeColor="text1"/>
                <w:sz w:val="20"/>
                <w:szCs w:val="20"/>
              </w:rPr>
              <w:t>8</w:t>
            </w:r>
          </w:p>
        </w:tc>
        <w:tc>
          <w:tcPr>
            <w:tcW w:w="419" w:type="pct"/>
          </w:tcPr>
          <w:p w14:paraId="404153F5" w14:textId="12ED6E4A" w:rsidR="00B1644A" w:rsidRPr="00C951F0" w:rsidRDefault="00B1644A" w:rsidP="0039543A">
            <w:pPr>
              <w:spacing w:line="240" w:lineRule="auto"/>
              <w:jc w:val="center"/>
              <w:rPr>
                <w:rFonts w:eastAsia="Calibri" w:cs="Calibri"/>
                <w:color w:val="000000" w:themeColor="text1"/>
                <w:sz w:val="20"/>
                <w:szCs w:val="20"/>
              </w:rPr>
            </w:pPr>
            <w:r w:rsidRPr="00C951F0">
              <w:rPr>
                <w:rFonts w:eastAsia="Calibri" w:cs="Calibri"/>
                <w:color w:val="000000" w:themeColor="text1"/>
                <w:sz w:val="20"/>
                <w:szCs w:val="20"/>
              </w:rPr>
              <w:t>48 (11</w:t>
            </w:r>
            <w:r w:rsidR="00C5236B" w:rsidRPr="00C951F0">
              <w:rPr>
                <w:rFonts w:eastAsia="Calibri" w:cs="Calibri"/>
                <w:color w:val="000000" w:themeColor="text1"/>
                <w:sz w:val="20"/>
                <w:szCs w:val="20"/>
              </w:rPr>
              <w:t>·</w:t>
            </w:r>
            <w:r w:rsidRPr="00C951F0">
              <w:rPr>
                <w:rFonts w:eastAsia="Calibri" w:cs="Calibri"/>
                <w:color w:val="000000" w:themeColor="text1"/>
                <w:sz w:val="20"/>
                <w:szCs w:val="20"/>
              </w:rPr>
              <w:t>9)</w:t>
            </w:r>
          </w:p>
        </w:tc>
        <w:tc>
          <w:tcPr>
            <w:tcW w:w="420" w:type="pct"/>
            <w:vAlign w:val="center"/>
          </w:tcPr>
          <w:p w14:paraId="253EB286" w14:textId="77777777" w:rsidR="00B1644A" w:rsidRPr="00C951F0" w:rsidRDefault="00B1644A" w:rsidP="0039543A">
            <w:pPr>
              <w:spacing w:line="240" w:lineRule="auto"/>
              <w:jc w:val="center"/>
              <w:rPr>
                <w:rFonts w:eastAsia="Calibri" w:cs="Calibri"/>
                <w:color w:val="000000" w:themeColor="text1"/>
                <w:sz w:val="20"/>
                <w:szCs w:val="20"/>
              </w:rPr>
            </w:pPr>
            <w:r w:rsidRPr="00C951F0">
              <w:rPr>
                <w:rFonts w:eastAsia="Calibri" w:cs="Calibri"/>
                <w:color w:val="000000" w:themeColor="text1"/>
                <w:kern w:val="24"/>
                <w:sz w:val="20"/>
                <w:szCs w:val="20"/>
              </w:rPr>
              <w:t>66</w:t>
            </w:r>
          </w:p>
        </w:tc>
        <w:tc>
          <w:tcPr>
            <w:tcW w:w="411" w:type="pct"/>
            <w:vAlign w:val="center"/>
          </w:tcPr>
          <w:p w14:paraId="71539452" w14:textId="39ACBF63" w:rsidR="00B1644A" w:rsidRPr="00C951F0" w:rsidRDefault="00B1644A" w:rsidP="0039543A">
            <w:pPr>
              <w:spacing w:line="240" w:lineRule="auto"/>
              <w:jc w:val="center"/>
              <w:rPr>
                <w:rFonts w:eastAsia="Calibri" w:cs="Calibri"/>
                <w:color w:val="000000" w:themeColor="text1"/>
                <w:sz w:val="20"/>
                <w:szCs w:val="20"/>
              </w:rPr>
            </w:pPr>
            <w:r w:rsidRPr="00C951F0">
              <w:rPr>
                <w:rFonts w:eastAsia="Calibri" w:cs="Calibri"/>
                <w:color w:val="000000" w:themeColor="text1"/>
                <w:kern w:val="24"/>
                <w:sz w:val="20"/>
                <w:szCs w:val="20"/>
              </w:rPr>
              <w:t>12</w:t>
            </w:r>
            <w:r w:rsidR="00C5236B" w:rsidRPr="00C951F0">
              <w:rPr>
                <w:rFonts w:eastAsia="Calibri" w:cs="Calibri"/>
                <w:color w:val="000000" w:themeColor="text1"/>
                <w:kern w:val="24"/>
                <w:sz w:val="20"/>
                <w:szCs w:val="20"/>
              </w:rPr>
              <w:t>·</w:t>
            </w:r>
            <w:r w:rsidRPr="00C951F0">
              <w:rPr>
                <w:rFonts w:eastAsia="Calibri" w:cs="Calibri"/>
                <w:color w:val="000000" w:themeColor="text1"/>
                <w:kern w:val="24"/>
                <w:sz w:val="20"/>
                <w:szCs w:val="20"/>
              </w:rPr>
              <w:t>5</w:t>
            </w:r>
          </w:p>
        </w:tc>
      </w:tr>
      <w:tr w:rsidR="00C951F0" w:rsidRPr="00C951F0" w14:paraId="28DC29A9" w14:textId="77777777" w:rsidTr="00F5793D">
        <w:trPr>
          <w:trHeight w:val="397"/>
        </w:trPr>
        <w:tc>
          <w:tcPr>
            <w:tcW w:w="1008" w:type="pct"/>
          </w:tcPr>
          <w:p w14:paraId="4CE55492" w14:textId="77777777" w:rsidR="00B1644A" w:rsidRPr="00C951F0" w:rsidRDefault="00B1644A" w:rsidP="0039543A">
            <w:pPr>
              <w:spacing w:line="240" w:lineRule="auto"/>
              <w:ind w:left="174"/>
              <w:rPr>
                <w:rFonts w:eastAsia="Calibri" w:cs="Calibri"/>
                <w:color w:val="000000" w:themeColor="text1"/>
                <w:sz w:val="20"/>
                <w:szCs w:val="20"/>
              </w:rPr>
            </w:pPr>
            <w:r w:rsidRPr="00C951F0">
              <w:rPr>
                <w:rFonts w:eastAsia="Calibri" w:cs="Calibri"/>
                <w:color w:val="000000" w:themeColor="text1"/>
                <w:sz w:val="20"/>
                <w:szCs w:val="20"/>
              </w:rPr>
              <w:t>Constipation</w:t>
            </w:r>
          </w:p>
        </w:tc>
        <w:tc>
          <w:tcPr>
            <w:tcW w:w="543" w:type="pct"/>
          </w:tcPr>
          <w:p w14:paraId="14EA5296" w14:textId="3336FCC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70 (17</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409" w:type="pct"/>
          </w:tcPr>
          <w:p w14:paraId="7C6F0D65"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82</w:t>
            </w:r>
          </w:p>
        </w:tc>
        <w:tc>
          <w:tcPr>
            <w:tcW w:w="419" w:type="pct"/>
          </w:tcPr>
          <w:p w14:paraId="4B61D1C7" w14:textId="5F8C208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15</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543" w:type="pct"/>
          </w:tcPr>
          <w:p w14:paraId="02B9A354" w14:textId="1DC8CAC3"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51 (12</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09" w:type="pct"/>
          </w:tcPr>
          <w:p w14:paraId="26BB6D70"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70</w:t>
            </w:r>
          </w:p>
        </w:tc>
        <w:tc>
          <w:tcPr>
            <w:tcW w:w="419" w:type="pct"/>
          </w:tcPr>
          <w:p w14:paraId="7F6223B3" w14:textId="3B176E03"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13</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19" w:type="pct"/>
          </w:tcPr>
          <w:p w14:paraId="73007BD7" w14:textId="0CE43465"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22 (5</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20" w:type="pct"/>
          </w:tcPr>
          <w:p w14:paraId="749BE402"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26</w:t>
            </w:r>
          </w:p>
        </w:tc>
        <w:tc>
          <w:tcPr>
            <w:tcW w:w="411" w:type="pct"/>
          </w:tcPr>
          <w:p w14:paraId="1B871924" w14:textId="29BACF39"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w:t>
            </w:r>
            <w:r w:rsidR="00C5236B" w:rsidRPr="00C951F0">
              <w:rPr>
                <w:rFonts w:eastAsia="Calibri" w:cs="Arial"/>
                <w:color w:val="000000" w:themeColor="text1"/>
                <w:sz w:val="20"/>
                <w:szCs w:val="20"/>
              </w:rPr>
              <w:t>·</w:t>
            </w:r>
            <w:r w:rsidRPr="00C951F0">
              <w:rPr>
                <w:rFonts w:eastAsia="Calibri" w:cs="Arial"/>
                <w:color w:val="000000" w:themeColor="text1"/>
                <w:sz w:val="20"/>
                <w:szCs w:val="20"/>
              </w:rPr>
              <w:t>9</w:t>
            </w:r>
          </w:p>
        </w:tc>
      </w:tr>
      <w:tr w:rsidR="00C951F0" w:rsidRPr="00C951F0" w14:paraId="2F028850" w14:textId="77777777" w:rsidTr="00F5793D">
        <w:trPr>
          <w:trHeight w:val="397"/>
        </w:trPr>
        <w:tc>
          <w:tcPr>
            <w:tcW w:w="1008" w:type="pct"/>
          </w:tcPr>
          <w:p w14:paraId="2136F8FC" w14:textId="77777777" w:rsidR="00B1644A" w:rsidRPr="00C951F0" w:rsidRDefault="00B1644A" w:rsidP="0039543A">
            <w:pPr>
              <w:spacing w:line="240" w:lineRule="auto"/>
              <w:ind w:left="174"/>
              <w:rPr>
                <w:rFonts w:eastAsia="Calibri" w:cs="Calibri"/>
                <w:color w:val="000000" w:themeColor="text1"/>
                <w:sz w:val="20"/>
                <w:szCs w:val="20"/>
              </w:rPr>
            </w:pPr>
            <w:r w:rsidRPr="00C951F0">
              <w:rPr>
                <w:rFonts w:eastAsia="Calibri" w:cs="Calibri"/>
                <w:color w:val="000000" w:themeColor="text1"/>
                <w:sz w:val="20"/>
                <w:szCs w:val="20"/>
              </w:rPr>
              <w:t>Nasopharyngitis</w:t>
            </w:r>
          </w:p>
        </w:tc>
        <w:tc>
          <w:tcPr>
            <w:tcW w:w="543" w:type="pct"/>
          </w:tcPr>
          <w:p w14:paraId="54FAA50D" w14:textId="7EAC90F3"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68 (16</w:t>
            </w:r>
            <w:r w:rsidR="00C5236B" w:rsidRPr="00C951F0">
              <w:rPr>
                <w:rFonts w:eastAsia="Calibri" w:cs="Arial"/>
                <w:color w:val="000000" w:themeColor="text1"/>
                <w:sz w:val="20"/>
                <w:szCs w:val="20"/>
              </w:rPr>
              <w:t>·</w:t>
            </w:r>
            <w:r w:rsidRPr="00C951F0">
              <w:rPr>
                <w:rFonts w:eastAsia="Calibri" w:cs="Arial"/>
                <w:color w:val="000000" w:themeColor="text1"/>
                <w:sz w:val="20"/>
                <w:szCs w:val="20"/>
              </w:rPr>
              <w:t>9)</w:t>
            </w:r>
          </w:p>
        </w:tc>
        <w:tc>
          <w:tcPr>
            <w:tcW w:w="409" w:type="pct"/>
          </w:tcPr>
          <w:p w14:paraId="2E9AC4D5"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115</w:t>
            </w:r>
          </w:p>
        </w:tc>
        <w:tc>
          <w:tcPr>
            <w:tcW w:w="419" w:type="pct"/>
          </w:tcPr>
          <w:p w14:paraId="027DE272" w14:textId="3D41B2E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21</w:t>
            </w:r>
            <w:r w:rsidR="00C5236B" w:rsidRPr="00C951F0">
              <w:rPr>
                <w:rFonts w:eastAsia="Calibri" w:cs="Arial"/>
                <w:color w:val="000000" w:themeColor="text1"/>
                <w:sz w:val="20"/>
                <w:szCs w:val="20"/>
              </w:rPr>
              <w:t>·</w:t>
            </w:r>
            <w:r w:rsidRPr="00C951F0">
              <w:rPr>
                <w:rFonts w:eastAsia="Calibri" w:cs="Arial"/>
                <w:color w:val="000000" w:themeColor="text1"/>
                <w:sz w:val="20"/>
                <w:szCs w:val="20"/>
              </w:rPr>
              <w:t>6</w:t>
            </w:r>
          </w:p>
        </w:tc>
        <w:tc>
          <w:tcPr>
            <w:tcW w:w="543" w:type="pct"/>
          </w:tcPr>
          <w:p w14:paraId="3264D255" w14:textId="1C797F92"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47 (11</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09" w:type="pct"/>
          </w:tcPr>
          <w:p w14:paraId="60E5D315"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69</w:t>
            </w:r>
          </w:p>
        </w:tc>
        <w:tc>
          <w:tcPr>
            <w:tcW w:w="419" w:type="pct"/>
          </w:tcPr>
          <w:p w14:paraId="6BDFB30E" w14:textId="7C1FBF3B"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13</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419" w:type="pct"/>
          </w:tcPr>
          <w:p w14:paraId="7FE50589" w14:textId="68F8274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59 (14</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20" w:type="pct"/>
          </w:tcPr>
          <w:p w14:paraId="101256E1"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92</w:t>
            </w:r>
          </w:p>
        </w:tc>
        <w:tc>
          <w:tcPr>
            <w:tcW w:w="411" w:type="pct"/>
          </w:tcPr>
          <w:p w14:paraId="2A9B9DD4" w14:textId="1308B255"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17</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r>
      <w:tr w:rsidR="00C951F0" w:rsidRPr="00C951F0" w14:paraId="12BAAC70" w14:textId="77777777" w:rsidTr="00F5793D">
        <w:trPr>
          <w:trHeight w:val="397"/>
        </w:trPr>
        <w:tc>
          <w:tcPr>
            <w:tcW w:w="1008" w:type="pct"/>
          </w:tcPr>
          <w:p w14:paraId="0F3424AE" w14:textId="77777777" w:rsidR="00B1644A" w:rsidRPr="00C951F0" w:rsidRDefault="00B1644A" w:rsidP="0039543A">
            <w:pPr>
              <w:spacing w:line="240" w:lineRule="auto"/>
              <w:ind w:left="174"/>
              <w:rPr>
                <w:rFonts w:eastAsia="Calibri" w:cs="Calibri"/>
                <w:color w:val="000000" w:themeColor="text1"/>
                <w:sz w:val="20"/>
                <w:szCs w:val="20"/>
              </w:rPr>
            </w:pPr>
            <w:r w:rsidRPr="00C951F0">
              <w:rPr>
                <w:rFonts w:eastAsia="Calibri" w:cs="Calibri"/>
                <w:color w:val="000000" w:themeColor="text1"/>
                <w:sz w:val="20"/>
                <w:szCs w:val="20"/>
              </w:rPr>
              <w:t>Upper respiratory tract infection</w:t>
            </w:r>
          </w:p>
        </w:tc>
        <w:tc>
          <w:tcPr>
            <w:tcW w:w="543" w:type="pct"/>
          </w:tcPr>
          <w:p w14:paraId="5E6FE2DA" w14:textId="4FAE15EF"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42 (10</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409" w:type="pct"/>
          </w:tcPr>
          <w:p w14:paraId="055EB584"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48</w:t>
            </w:r>
          </w:p>
        </w:tc>
        <w:tc>
          <w:tcPr>
            <w:tcW w:w="419" w:type="pct"/>
          </w:tcPr>
          <w:p w14:paraId="1D664725" w14:textId="648C4E5C"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9</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543" w:type="pct"/>
          </w:tcPr>
          <w:p w14:paraId="77C42723" w14:textId="75A705C5"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37 (9</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09" w:type="pct"/>
          </w:tcPr>
          <w:p w14:paraId="3B1E5B9B"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54</w:t>
            </w:r>
          </w:p>
        </w:tc>
        <w:tc>
          <w:tcPr>
            <w:tcW w:w="419" w:type="pct"/>
          </w:tcPr>
          <w:p w14:paraId="16AD26BF" w14:textId="23955B6B"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19" w:type="pct"/>
          </w:tcPr>
          <w:p w14:paraId="0BB43446" w14:textId="33E0CD4C"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38 (9</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20" w:type="pct"/>
          </w:tcPr>
          <w:p w14:paraId="1B460E77"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50</w:t>
            </w:r>
          </w:p>
        </w:tc>
        <w:tc>
          <w:tcPr>
            <w:tcW w:w="411" w:type="pct"/>
          </w:tcPr>
          <w:p w14:paraId="69A5A513" w14:textId="5230A3A4"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9</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r>
      <w:tr w:rsidR="00C951F0" w:rsidRPr="00C951F0" w14:paraId="2DEC5E5F" w14:textId="77777777" w:rsidTr="00F5793D">
        <w:trPr>
          <w:trHeight w:val="397"/>
        </w:trPr>
        <w:tc>
          <w:tcPr>
            <w:tcW w:w="5000" w:type="pct"/>
            <w:gridSpan w:val="10"/>
          </w:tcPr>
          <w:p w14:paraId="1E75F2B2" w14:textId="3DA24BC8" w:rsidR="00B1644A" w:rsidRPr="00C951F0" w:rsidRDefault="007108AA" w:rsidP="0039543A">
            <w:pPr>
              <w:spacing w:line="240" w:lineRule="auto"/>
              <w:rPr>
                <w:rFonts w:eastAsia="Calibri" w:cs="Arial"/>
                <w:b/>
                <w:color w:val="000000" w:themeColor="text1"/>
                <w:sz w:val="20"/>
                <w:szCs w:val="20"/>
              </w:rPr>
            </w:pPr>
            <w:r w:rsidRPr="00C951F0">
              <w:rPr>
                <w:rFonts w:eastAsia="Calibri" w:cs="Calibri"/>
                <w:b/>
                <w:color w:val="000000" w:themeColor="text1"/>
                <w:sz w:val="20"/>
                <w:szCs w:val="20"/>
              </w:rPr>
              <w:t>Safety areas of interest (MedDRA)</w:t>
            </w:r>
            <w:r w:rsidR="00B1644A" w:rsidRPr="00C951F0">
              <w:rPr>
                <w:rFonts w:eastAsia="Calibri" w:cs="Calibri"/>
                <w:b/>
                <w:color w:val="000000" w:themeColor="text1"/>
                <w:sz w:val="20"/>
                <w:szCs w:val="20"/>
              </w:rPr>
              <w:t>§</w:t>
            </w:r>
          </w:p>
        </w:tc>
      </w:tr>
      <w:tr w:rsidR="00C951F0" w:rsidRPr="00C951F0" w14:paraId="3E375136" w14:textId="77777777" w:rsidTr="00F5793D">
        <w:trPr>
          <w:trHeight w:val="397"/>
        </w:trPr>
        <w:tc>
          <w:tcPr>
            <w:tcW w:w="1008" w:type="pct"/>
          </w:tcPr>
          <w:p w14:paraId="5FED35D5" w14:textId="77777777" w:rsidR="00B1644A" w:rsidRPr="00C951F0" w:rsidRDefault="00B1644A" w:rsidP="0039543A">
            <w:pPr>
              <w:spacing w:line="240" w:lineRule="auto"/>
              <w:ind w:left="142"/>
              <w:rPr>
                <w:rFonts w:eastAsia="Calibri" w:cs="Calibri"/>
                <w:color w:val="000000" w:themeColor="text1"/>
                <w:sz w:val="20"/>
                <w:szCs w:val="20"/>
              </w:rPr>
            </w:pPr>
            <w:r w:rsidRPr="00C951F0">
              <w:rPr>
                <w:rFonts w:eastAsia="Calibri" w:cs="Calibri"/>
                <w:color w:val="000000" w:themeColor="text1"/>
                <w:sz w:val="20"/>
                <w:szCs w:val="20"/>
              </w:rPr>
              <w:t>Gastrointestinal disorders</w:t>
            </w:r>
          </w:p>
        </w:tc>
        <w:tc>
          <w:tcPr>
            <w:tcW w:w="543" w:type="pct"/>
          </w:tcPr>
          <w:p w14:paraId="2A37059F" w14:textId="2F02ABE9"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256 (63</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1BDF650D"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924</w:t>
            </w:r>
          </w:p>
        </w:tc>
        <w:tc>
          <w:tcPr>
            <w:tcW w:w="419" w:type="pct"/>
          </w:tcPr>
          <w:p w14:paraId="643477B7" w14:textId="1489E19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173</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543" w:type="pct"/>
          </w:tcPr>
          <w:p w14:paraId="4BE19912" w14:textId="08A100F5"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231 (57</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28BA2F77"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724</w:t>
            </w:r>
          </w:p>
        </w:tc>
        <w:tc>
          <w:tcPr>
            <w:tcW w:w="419" w:type="pct"/>
          </w:tcPr>
          <w:p w14:paraId="09BBBF9A" w14:textId="23AE5DF8"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136</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19" w:type="pct"/>
          </w:tcPr>
          <w:p w14:paraId="02B2227C" w14:textId="7357B7F3"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138 (34</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420" w:type="pct"/>
          </w:tcPr>
          <w:p w14:paraId="06E1909E"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262</w:t>
            </w:r>
          </w:p>
        </w:tc>
        <w:tc>
          <w:tcPr>
            <w:tcW w:w="411" w:type="pct"/>
          </w:tcPr>
          <w:p w14:paraId="1675BF44" w14:textId="0738E2B6"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49</w:t>
            </w:r>
            <w:r w:rsidR="00C5236B" w:rsidRPr="00C951F0">
              <w:rPr>
                <w:rFonts w:eastAsia="Calibri" w:cs="Arial"/>
                <w:color w:val="000000" w:themeColor="text1"/>
                <w:sz w:val="20"/>
                <w:szCs w:val="20"/>
              </w:rPr>
              <w:t>·</w:t>
            </w:r>
            <w:r w:rsidRPr="00C951F0">
              <w:rPr>
                <w:rFonts w:eastAsia="Calibri" w:cs="Arial"/>
                <w:color w:val="000000" w:themeColor="text1"/>
                <w:sz w:val="20"/>
                <w:szCs w:val="20"/>
              </w:rPr>
              <w:t>6</w:t>
            </w:r>
          </w:p>
        </w:tc>
      </w:tr>
      <w:tr w:rsidR="00C951F0" w:rsidRPr="00C951F0" w14:paraId="1D36224F" w14:textId="77777777" w:rsidTr="00F5793D">
        <w:trPr>
          <w:trHeight w:val="397"/>
        </w:trPr>
        <w:tc>
          <w:tcPr>
            <w:tcW w:w="1008" w:type="pct"/>
          </w:tcPr>
          <w:p w14:paraId="6B335414" w14:textId="77777777" w:rsidR="00B1644A" w:rsidRPr="00C951F0" w:rsidRDefault="00B1644A" w:rsidP="0039543A">
            <w:pPr>
              <w:spacing w:line="240" w:lineRule="auto"/>
              <w:ind w:left="142"/>
              <w:rPr>
                <w:rFonts w:eastAsia="Calibri" w:cs="Calibri"/>
                <w:color w:val="000000" w:themeColor="text1"/>
                <w:sz w:val="20"/>
                <w:szCs w:val="20"/>
              </w:rPr>
            </w:pPr>
            <w:r w:rsidRPr="00C951F0">
              <w:rPr>
                <w:rFonts w:eastAsia="Calibri" w:cs="Calibri"/>
                <w:color w:val="000000" w:themeColor="text1"/>
                <w:sz w:val="20"/>
                <w:szCs w:val="20"/>
              </w:rPr>
              <w:t>Gallbladder-related disorders</w:t>
            </w:r>
          </w:p>
        </w:tc>
        <w:tc>
          <w:tcPr>
            <w:tcW w:w="543" w:type="pct"/>
          </w:tcPr>
          <w:p w14:paraId="2B2D6220" w14:textId="2C5E164B"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 (0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09" w:type="pct"/>
          </w:tcPr>
          <w:p w14:paraId="071A3DF8"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w:t>
            </w:r>
          </w:p>
        </w:tc>
        <w:tc>
          <w:tcPr>
            <w:tcW w:w="419" w:type="pct"/>
          </w:tcPr>
          <w:p w14:paraId="14C80C7E" w14:textId="3089FB3C"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543" w:type="pct"/>
          </w:tcPr>
          <w:p w14:paraId="5993F67E" w14:textId="38780B48"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 (1</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409" w:type="pct"/>
          </w:tcPr>
          <w:p w14:paraId="1C642CDF"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w:t>
            </w:r>
          </w:p>
        </w:tc>
        <w:tc>
          <w:tcPr>
            <w:tcW w:w="419" w:type="pct"/>
          </w:tcPr>
          <w:p w14:paraId="4A1A2C78" w14:textId="7055A4DE"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8</w:t>
            </w:r>
          </w:p>
        </w:tc>
        <w:tc>
          <w:tcPr>
            <w:tcW w:w="419" w:type="pct"/>
          </w:tcPr>
          <w:p w14:paraId="6928E00B" w14:textId="20A2BF14"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 (0</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20" w:type="pct"/>
          </w:tcPr>
          <w:p w14:paraId="6027E7C7"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w:t>
            </w:r>
          </w:p>
        </w:tc>
        <w:tc>
          <w:tcPr>
            <w:tcW w:w="411" w:type="pct"/>
          </w:tcPr>
          <w:p w14:paraId="75F398B4" w14:textId="1E89216F"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8</w:t>
            </w:r>
          </w:p>
        </w:tc>
      </w:tr>
      <w:tr w:rsidR="00C951F0" w:rsidRPr="00C951F0" w14:paraId="0D38529B" w14:textId="77777777" w:rsidTr="00F5793D">
        <w:trPr>
          <w:trHeight w:val="397"/>
        </w:trPr>
        <w:tc>
          <w:tcPr>
            <w:tcW w:w="1008" w:type="pct"/>
          </w:tcPr>
          <w:p w14:paraId="40CF0059" w14:textId="77777777" w:rsidR="00B1644A" w:rsidRPr="00C951F0" w:rsidRDefault="00B1644A" w:rsidP="0039543A">
            <w:pPr>
              <w:spacing w:line="240" w:lineRule="auto"/>
              <w:ind w:left="284"/>
              <w:rPr>
                <w:rFonts w:eastAsia="Calibri" w:cs="Calibri"/>
                <w:color w:val="000000" w:themeColor="text1"/>
                <w:sz w:val="20"/>
                <w:szCs w:val="20"/>
              </w:rPr>
            </w:pPr>
            <w:r w:rsidRPr="00C951F0">
              <w:rPr>
                <w:rFonts w:eastAsia="Calibri" w:cs="Calibri"/>
                <w:color w:val="000000" w:themeColor="text1"/>
                <w:sz w:val="20"/>
                <w:szCs w:val="20"/>
              </w:rPr>
              <w:t xml:space="preserve">Hepatobiliary </w:t>
            </w:r>
          </w:p>
        </w:tc>
        <w:tc>
          <w:tcPr>
            <w:tcW w:w="543" w:type="pct"/>
          </w:tcPr>
          <w:p w14:paraId="604D3364" w14:textId="0DD45786"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 (0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09" w:type="pct"/>
          </w:tcPr>
          <w:p w14:paraId="0CB97419"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w:t>
            </w:r>
          </w:p>
        </w:tc>
        <w:tc>
          <w:tcPr>
            <w:tcW w:w="419" w:type="pct"/>
          </w:tcPr>
          <w:p w14:paraId="41A7A4B8" w14:textId="262E6C00"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543" w:type="pct"/>
          </w:tcPr>
          <w:p w14:paraId="5767052D" w14:textId="5DF1F7F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 (0</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09" w:type="pct"/>
          </w:tcPr>
          <w:p w14:paraId="263E837D"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p>
        </w:tc>
        <w:tc>
          <w:tcPr>
            <w:tcW w:w="419" w:type="pct"/>
          </w:tcPr>
          <w:p w14:paraId="47471AB7" w14:textId="26C1BE6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6</w:t>
            </w:r>
          </w:p>
        </w:tc>
        <w:tc>
          <w:tcPr>
            <w:tcW w:w="419" w:type="pct"/>
          </w:tcPr>
          <w:p w14:paraId="0DD8C330" w14:textId="71B1634E"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 (0</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20" w:type="pct"/>
          </w:tcPr>
          <w:p w14:paraId="4FC4C0B5"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w:t>
            </w:r>
          </w:p>
        </w:tc>
        <w:tc>
          <w:tcPr>
            <w:tcW w:w="411" w:type="pct"/>
          </w:tcPr>
          <w:p w14:paraId="4A21C967" w14:textId="3D3B9FE5"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8</w:t>
            </w:r>
          </w:p>
        </w:tc>
      </w:tr>
      <w:tr w:rsidR="00C951F0" w:rsidRPr="00C951F0" w14:paraId="62D3EF4A" w14:textId="77777777" w:rsidTr="00F5793D">
        <w:trPr>
          <w:trHeight w:val="397"/>
        </w:trPr>
        <w:tc>
          <w:tcPr>
            <w:tcW w:w="1008" w:type="pct"/>
          </w:tcPr>
          <w:p w14:paraId="44C5C426" w14:textId="77777777" w:rsidR="00B1644A" w:rsidRPr="00C951F0" w:rsidRDefault="00B1644A" w:rsidP="0039543A">
            <w:pPr>
              <w:spacing w:line="240" w:lineRule="auto"/>
              <w:ind w:left="567"/>
              <w:rPr>
                <w:rFonts w:eastAsia="Calibri" w:cs="Calibri"/>
                <w:color w:val="000000" w:themeColor="text1"/>
                <w:sz w:val="20"/>
                <w:szCs w:val="20"/>
              </w:rPr>
            </w:pPr>
            <w:r w:rsidRPr="00C951F0">
              <w:rPr>
                <w:rFonts w:eastAsia="Calibri" w:cs="Calibri"/>
                <w:color w:val="000000" w:themeColor="text1"/>
                <w:sz w:val="20"/>
                <w:szCs w:val="20"/>
              </w:rPr>
              <w:t>Cholelithiasis</w:t>
            </w:r>
          </w:p>
        </w:tc>
        <w:tc>
          <w:tcPr>
            <w:tcW w:w="543" w:type="pct"/>
          </w:tcPr>
          <w:p w14:paraId="7202B65A" w14:textId="3371F812"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 (0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09" w:type="pct"/>
          </w:tcPr>
          <w:p w14:paraId="6D1A7EA6"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p>
        </w:tc>
        <w:tc>
          <w:tcPr>
            <w:tcW w:w="419" w:type="pct"/>
          </w:tcPr>
          <w:p w14:paraId="2C798C22" w14:textId="3646A940"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543" w:type="pct"/>
          </w:tcPr>
          <w:p w14:paraId="4E01C87F" w14:textId="4FD7C68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 (0</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09" w:type="pct"/>
          </w:tcPr>
          <w:p w14:paraId="3575894D"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p>
        </w:tc>
        <w:tc>
          <w:tcPr>
            <w:tcW w:w="419" w:type="pct"/>
          </w:tcPr>
          <w:p w14:paraId="79212EA7" w14:textId="23E71CEE"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6</w:t>
            </w:r>
          </w:p>
        </w:tc>
        <w:tc>
          <w:tcPr>
            <w:tcW w:w="419" w:type="pct"/>
          </w:tcPr>
          <w:p w14:paraId="0907BB27" w14:textId="744D96AC"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 (0</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20" w:type="pct"/>
          </w:tcPr>
          <w:p w14:paraId="08A36BA9"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p>
        </w:tc>
        <w:tc>
          <w:tcPr>
            <w:tcW w:w="411" w:type="pct"/>
          </w:tcPr>
          <w:p w14:paraId="0065F77C" w14:textId="5F9A37DF"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6</w:t>
            </w:r>
          </w:p>
        </w:tc>
      </w:tr>
      <w:tr w:rsidR="00C951F0" w:rsidRPr="00C951F0" w14:paraId="26DCE522" w14:textId="77777777" w:rsidTr="00F5793D">
        <w:trPr>
          <w:trHeight w:val="397"/>
        </w:trPr>
        <w:tc>
          <w:tcPr>
            <w:tcW w:w="1008" w:type="pct"/>
          </w:tcPr>
          <w:p w14:paraId="778FE045" w14:textId="77777777" w:rsidR="00B1644A" w:rsidRPr="00C951F0" w:rsidRDefault="00B1644A" w:rsidP="0039543A">
            <w:pPr>
              <w:spacing w:line="240" w:lineRule="auto"/>
              <w:ind w:left="142"/>
              <w:rPr>
                <w:rFonts w:eastAsia="Calibri" w:cs="Calibri"/>
                <w:color w:val="000000" w:themeColor="text1"/>
                <w:sz w:val="20"/>
                <w:szCs w:val="20"/>
              </w:rPr>
            </w:pPr>
            <w:r w:rsidRPr="00C951F0">
              <w:rPr>
                <w:rFonts w:eastAsia="Calibri" w:cs="Calibri"/>
                <w:color w:val="000000" w:themeColor="text1"/>
                <w:sz w:val="20"/>
                <w:szCs w:val="20"/>
              </w:rPr>
              <w:lastRenderedPageBreak/>
              <w:t>Hepatic disorders</w:t>
            </w:r>
          </w:p>
        </w:tc>
        <w:tc>
          <w:tcPr>
            <w:tcW w:w="543" w:type="pct"/>
          </w:tcPr>
          <w:p w14:paraId="659B9EFD" w14:textId="3A5E5BB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10 (2</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1E2F4DB8"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12</w:t>
            </w:r>
          </w:p>
        </w:tc>
        <w:tc>
          <w:tcPr>
            <w:tcW w:w="419" w:type="pct"/>
          </w:tcPr>
          <w:p w14:paraId="17C53E59" w14:textId="50F1AFC2"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543" w:type="pct"/>
          </w:tcPr>
          <w:p w14:paraId="04F5A025" w14:textId="62F0805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10 (2</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5E0D6DAD"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11</w:t>
            </w:r>
          </w:p>
        </w:tc>
        <w:tc>
          <w:tcPr>
            <w:tcW w:w="419" w:type="pct"/>
          </w:tcPr>
          <w:p w14:paraId="44357591" w14:textId="3F79564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w:t>
            </w:r>
            <w:r w:rsidR="00C5236B" w:rsidRPr="00C951F0">
              <w:rPr>
                <w:rFonts w:eastAsia="Calibri" w:cs="Arial"/>
                <w:color w:val="000000" w:themeColor="text1"/>
                <w:sz w:val="20"/>
                <w:szCs w:val="20"/>
              </w:rPr>
              <w:t>·</w:t>
            </w:r>
            <w:r w:rsidRPr="00C951F0">
              <w:rPr>
                <w:rFonts w:eastAsia="Calibri" w:cs="Arial"/>
                <w:color w:val="000000" w:themeColor="text1"/>
                <w:sz w:val="20"/>
                <w:szCs w:val="20"/>
              </w:rPr>
              <w:t>1</w:t>
            </w:r>
          </w:p>
        </w:tc>
        <w:tc>
          <w:tcPr>
            <w:tcW w:w="419" w:type="pct"/>
          </w:tcPr>
          <w:p w14:paraId="51EC0ED8" w14:textId="2CF01AF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14 (3</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20" w:type="pct"/>
          </w:tcPr>
          <w:p w14:paraId="68026622"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21</w:t>
            </w:r>
          </w:p>
        </w:tc>
        <w:tc>
          <w:tcPr>
            <w:tcW w:w="411" w:type="pct"/>
          </w:tcPr>
          <w:p w14:paraId="3F15153F" w14:textId="12466306"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r>
      <w:tr w:rsidR="00C951F0" w:rsidRPr="00C951F0" w14:paraId="00EFFFA9" w14:textId="77777777" w:rsidTr="00F5793D">
        <w:trPr>
          <w:trHeight w:val="397"/>
        </w:trPr>
        <w:tc>
          <w:tcPr>
            <w:tcW w:w="1008" w:type="pct"/>
          </w:tcPr>
          <w:p w14:paraId="034F1BA0" w14:textId="77777777" w:rsidR="00B1644A" w:rsidRPr="00C951F0" w:rsidRDefault="00B1644A" w:rsidP="0039543A">
            <w:pPr>
              <w:spacing w:line="240" w:lineRule="auto"/>
              <w:ind w:left="142"/>
              <w:rPr>
                <w:rFonts w:eastAsia="Calibri" w:cs="Calibri"/>
                <w:color w:val="000000" w:themeColor="text1"/>
                <w:sz w:val="20"/>
                <w:szCs w:val="20"/>
              </w:rPr>
            </w:pPr>
            <w:r w:rsidRPr="00C951F0">
              <w:rPr>
                <w:rFonts w:eastAsia="Calibri" w:cs="Calibri"/>
                <w:color w:val="000000" w:themeColor="text1"/>
                <w:sz w:val="20"/>
                <w:szCs w:val="20"/>
              </w:rPr>
              <w:t>Acute pancreatitis*</w:t>
            </w:r>
            <w:r w:rsidRPr="00C951F0">
              <w:rPr>
                <w:rFonts w:ascii="Calibri Light" w:eastAsia="Calibri" w:hAnsi="Calibri Light" w:cs="Arial"/>
                <w:color w:val="000000" w:themeColor="text1"/>
                <w:sz w:val="20"/>
                <w:szCs w:val="20"/>
              </w:rPr>
              <w:t>¶</w:t>
            </w:r>
          </w:p>
        </w:tc>
        <w:tc>
          <w:tcPr>
            <w:tcW w:w="543" w:type="pct"/>
          </w:tcPr>
          <w:p w14:paraId="0CE38D8A" w14:textId="31519DFE"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 (0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09" w:type="pct"/>
          </w:tcPr>
          <w:p w14:paraId="10B99465"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w:t>
            </w:r>
          </w:p>
        </w:tc>
        <w:tc>
          <w:tcPr>
            <w:tcW w:w="419" w:type="pct"/>
          </w:tcPr>
          <w:p w14:paraId="3A7EA612" w14:textId="2326F7AF"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543" w:type="pct"/>
          </w:tcPr>
          <w:p w14:paraId="27B5E4C2"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p>
        </w:tc>
        <w:tc>
          <w:tcPr>
            <w:tcW w:w="409" w:type="pct"/>
          </w:tcPr>
          <w:p w14:paraId="0815AAF7"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p>
        </w:tc>
        <w:tc>
          <w:tcPr>
            <w:tcW w:w="419" w:type="pct"/>
          </w:tcPr>
          <w:p w14:paraId="424C79F5"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p>
        </w:tc>
        <w:tc>
          <w:tcPr>
            <w:tcW w:w="419" w:type="pct"/>
          </w:tcPr>
          <w:p w14:paraId="0AEF76A3" w14:textId="28F8C952"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 (0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20" w:type="pct"/>
          </w:tcPr>
          <w:p w14:paraId="1FA6FB65"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p>
        </w:tc>
        <w:tc>
          <w:tcPr>
            <w:tcW w:w="411" w:type="pct"/>
          </w:tcPr>
          <w:p w14:paraId="640723A9" w14:textId="6B5012F9"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r>
      <w:tr w:rsidR="00C951F0" w:rsidRPr="00C951F0" w14:paraId="067D39A7" w14:textId="77777777" w:rsidTr="00F5793D">
        <w:trPr>
          <w:trHeight w:val="397"/>
        </w:trPr>
        <w:tc>
          <w:tcPr>
            <w:tcW w:w="1008" w:type="pct"/>
          </w:tcPr>
          <w:p w14:paraId="122FB423" w14:textId="77777777" w:rsidR="00B1644A" w:rsidRPr="00C951F0" w:rsidRDefault="00B1644A" w:rsidP="0039543A">
            <w:pPr>
              <w:spacing w:line="240" w:lineRule="auto"/>
              <w:ind w:left="142"/>
              <w:rPr>
                <w:rFonts w:eastAsia="Calibri" w:cs="Calibri"/>
                <w:color w:val="000000" w:themeColor="text1"/>
                <w:sz w:val="20"/>
                <w:szCs w:val="20"/>
              </w:rPr>
            </w:pPr>
            <w:r w:rsidRPr="00C951F0">
              <w:rPr>
                <w:rFonts w:eastAsia="Calibri" w:cs="Calibri"/>
                <w:color w:val="000000" w:themeColor="text1"/>
                <w:sz w:val="20"/>
                <w:szCs w:val="20"/>
              </w:rPr>
              <w:t>Cardiovascular events*</w:t>
            </w:r>
            <w:r w:rsidRPr="00C951F0">
              <w:rPr>
                <w:rFonts w:ascii="Calibri Light" w:eastAsia="Calibri" w:hAnsi="Calibri Light" w:cs="Arial"/>
                <w:color w:val="000000" w:themeColor="text1"/>
                <w:sz w:val="20"/>
                <w:szCs w:val="20"/>
              </w:rPr>
              <w:t>¶</w:t>
            </w:r>
          </w:p>
        </w:tc>
        <w:tc>
          <w:tcPr>
            <w:tcW w:w="543" w:type="pct"/>
          </w:tcPr>
          <w:p w14:paraId="4B1E6FF7" w14:textId="79F4BF88"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6 (1</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69BA467C"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6</w:t>
            </w:r>
          </w:p>
        </w:tc>
        <w:tc>
          <w:tcPr>
            <w:tcW w:w="419" w:type="pct"/>
          </w:tcPr>
          <w:p w14:paraId="2A2EECD9" w14:textId="3D64C5F5"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543" w:type="pct"/>
          </w:tcPr>
          <w:p w14:paraId="65410697" w14:textId="5E0B241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6 (1</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0AA6ACD2"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7</w:t>
            </w:r>
          </w:p>
        </w:tc>
        <w:tc>
          <w:tcPr>
            <w:tcW w:w="419" w:type="pct"/>
          </w:tcPr>
          <w:p w14:paraId="37409F39" w14:textId="6C746942"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19" w:type="pct"/>
          </w:tcPr>
          <w:p w14:paraId="45292A9E" w14:textId="48F70030"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 (1</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20" w:type="pct"/>
          </w:tcPr>
          <w:p w14:paraId="5754D23A"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7</w:t>
            </w:r>
          </w:p>
        </w:tc>
        <w:tc>
          <w:tcPr>
            <w:tcW w:w="411" w:type="pct"/>
          </w:tcPr>
          <w:p w14:paraId="6C11EB4F" w14:textId="46CF0AF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r>
      <w:tr w:rsidR="00C951F0" w:rsidRPr="00C951F0" w14:paraId="7EB35096" w14:textId="77777777" w:rsidTr="00F5793D">
        <w:trPr>
          <w:trHeight w:val="397"/>
        </w:trPr>
        <w:tc>
          <w:tcPr>
            <w:tcW w:w="1008" w:type="pct"/>
          </w:tcPr>
          <w:p w14:paraId="0D196A34" w14:textId="77777777" w:rsidR="00B1644A" w:rsidRPr="00C951F0" w:rsidRDefault="00B1644A" w:rsidP="0039543A">
            <w:pPr>
              <w:spacing w:line="240" w:lineRule="auto"/>
              <w:ind w:left="142"/>
              <w:rPr>
                <w:rFonts w:eastAsia="Calibri" w:cs="Calibri"/>
                <w:color w:val="000000" w:themeColor="text1"/>
                <w:sz w:val="20"/>
                <w:szCs w:val="20"/>
              </w:rPr>
            </w:pPr>
            <w:r w:rsidRPr="00C951F0">
              <w:rPr>
                <w:rFonts w:eastAsia="Calibri" w:cs="Calibri"/>
                <w:color w:val="000000" w:themeColor="text1"/>
                <w:sz w:val="20"/>
                <w:szCs w:val="20"/>
              </w:rPr>
              <w:t>Allergic reactions</w:t>
            </w:r>
          </w:p>
        </w:tc>
        <w:tc>
          <w:tcPr>
            <w:tcW w:w="543" w:type="pct"/>
          </w:tcPr>
          <w:p w14:paraId="230BF8A7" w14:textId="0FE4F4FC"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26 (6</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1D4ED525"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29</w:t>
            </w:r>
          </w:p>
        </w:tc>
        <w:tc>
          <w:tcPr>
            <w:tcW w:w="419" w:type="pct"/>
          </w:tcPr>
          <w:p w14:paraId="7453A1F0" w14:textId="5D972B0E"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543" w:type="pct"/>
          </w:tcPr>
          <w:p w14:paraId="4778688D" w14:textId="0B5BAB2E"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22 (5</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714FC681"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24</w:t>
            </w:r>
          </w:p>
        </w:tc>
        <w:tc>
          <w:tcPr>
            <w:tcW w:w="419" w:type="pct"/>
          </w:tcPr>
          <w:p w14:paraId="1C7F488A" w14:textId="56C2B730"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19" w:type="pct"/>
          </w:tcPr>
          <w:p w14:paraId="5A0E8B68" w14:textId="06FA7E1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18 (4</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20" w:type="pct"/>
          </w:tcPr>
          <w:p w14:paraId="7B06F43D"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21</w:t>
            </w:r>
          </w:p>
        </w:tc>
        <w:tc>
          <w:tcPr>
            <w:tcW w:w="411" w:type="pct"/>
          </w:tcPr>
          <w:p w14:paraId="54D4B1BC" w14:textId="52C4D18F"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r>
      <w:tr w:rsidR="00C951F0" w:rsidRPr="00C951F0" w14:paraId="5AE0941A" w14:textId="77777777" w:rsidTr="00F5793D">
        <w:trPr>
          <w:trHeight w:val="397"/>
        </w:trPr>
        <w:tc>
          <w:tcPr>
            <w:tcW w:w="1008" w:type="pct"/>
          </w:tcPr>
          <w:p w14:paraId="40277BC9" w14:textId="77777777" w:rsidR="00B1644A" w:rsidRPr="00C951F0" w:rsidRDefault="00B1644A" w:rsidP="0039543A">
            <w:pPr>
              <w:spacing w:line="240" w:lineRule="auto"/>
              <w:ind w:left="142"/>
              <w:rPr>
                <w:rFonts w:eastAsia="Calibri" w:cs="Calibri"/>
                <w:color w:val="000000" w:themeColor="text1"/>
                <w:sz w:val="20"/>
                <w:szCs w:val="20"/>
              </w:rPr>
            </w:pPr>
            <w:r w:rsidRPr="00C951F0">
              <w:rPr>
                <w:rFonts w:eastAsia="Calibri" w:cs="Calibri"/>
                <w:color w:val="000000" w:themeColor="text1"/>
                <w:sz w:val="20"/>
                <w:szCs w:val="20"/>
              </w:rPr>
              <w:t>Injection site reactions</w:t>
            </w:r>
          </w:p>
        </w:tc>
        <w:tc>
          <w:tcPr>
            <w:tcW w:w="543" w:type="pct"/>
          </w:tcPr>
          <w:p w14:paraId="45C49A12" w14:textId="63A84F89"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12 (3</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409" w:type="pct"/>
          </w:tcPr>
          <w:p w14:paraId="22578C64"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18</w:t>
            </w:r>
          </w:p>
        </w:tc>
        <w:tc>
          <w:tcPr>
            <w:tcW w:w="419" w:type="pct"/>
          </w:tcPr>
          <w:p w14:paraId="13B1A8BB" w14:textId="4B002CE3"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543" w:type="pct"/>
          </w:tcPr>
          <w:p w14:paraId="21A2BD97" w14:textId="60C6CC7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6 (1</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7B501169"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7</w:t>
            </w:r>
          </w:p>
        </w:tc>
        <w:tc>
          <w:tcPr>
            <w:tcW w:w="419" w:type="pct"/>
          </w:tcPr>
          <w:p w14:paraId="49B8D4E4" w14:textId="459DEBEF"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419" w:type="pct"/>
          </w:tcPr>
          <w:p w14:paraId="52CC1075" w14:textId="56710458"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10 (2</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20" w:type="pct"/>
          </w:tcPr>
          <w:p w14:paraId="79A04C57"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18</w:t>
            </w:r>
          </w:p>
        </w:tc>
        <w:tc>
          <w:tcPr>
            <w:tcW w:w="411" w:type="pct"/>
          </w:tcPr>
          <w:p w14:paraId="159D9EC4" w14:textId="48C0799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r>
      <w:tr w:rsidR="00C951F0" w:rsidRPr="00C951F0" w14:paraId="737CA56A" w14:textId="77777777" w:rsidTr="00F5793D">
        <w:trPr>
          <w:trHeight w:val="397"/>
        </w:trPr>
        <w:tc>
          <w:tcPr>
            <w:tcW w:w="1008" w:type="pct"/>
          </w:tcPr>
          <w:p w14:paraId="749E8D8C" w14:textId="77777777" w:rsidR="00B1644A" w:rsidRPr="00C951F0" w:rsidRDefault="00B1644A" w:rsidP="0039543A">
            <w:pPr>
              <w:spacing w:line="240" w:lineRule="auto"/>
              <w:ind w:left="142"/>
              <w:rPr>
                <w:rFonts w:eastAsia="Calibri" w:cs="Calibri"/>
                <w:color w:val="000000" w:themeColor="text1"/>
                <w:sz w:val="20"/>
                <w:szCs w:val="20"/>
              </w:rPr>
            </w:pPr>
            <w:r w:rsidRPr="00C951F0">
              <w:rPr>
                <w:rFonts w:eastAsia="Calibri" w:cs="Calibri"/>
                <w:color w:val="000000" w:themeColor="text1"/>
                <w:sz w:val="20"/>
                <w:szCs w:val="20"/>
              </w:rPr>
              <w:t>Malignant neoplasms*</w:t>
            </w:r>
          </w:p>
        </w:tc>
        <w:tc>
          <w:tcPr>
            <w:tcW w:w="543" w:type="pct"/>
          </w:tcPr>
          <w:p w14:paraId="01A9277A" w14:textId="1B06471E"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 (1</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09" w:type="pct"/>
          </w:tcPr>
          <w:p w14:paraId="515C3149"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6</w:t>
            </w:r>
          </w:p>
        </w:tc>
        <w:tc>
          <w:tcPr>
            <w:tcW w:w="419" w:type="pct"/>
          </w:tcPr>
          <w:p w14:paraId="58DB9FAD" w14:textId="5AE2FD86"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543" w:type="pct"/>
          </w:tcPr>
          <w:p w14:paraId="7C899333" w14:textId="5124DD4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7 (1</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09" w:type="pct"/>
          </w:tcPr>
          <w:p w14:paraId="44E1062F"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8</w:t>
            </w:r>
          </w:p>
        </w:tc>
        <w:tc>
          <w:tcPr>
            <w:tcW w:w="419" w:type="pct"/>
          </w:tcPr>
          <w:p w14:paraId="07B72041" w14:textId="0E4A3109"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419" w:type="pct"/>
          </w:tcPr>
          <w:p w14:paraId="175D15AA" w14:textId="4F47CEE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8 (2</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420" w:type="pct"/>
          </w:tcPr>
          <w:p w14:paraId="6914C923"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9</w:t>
            </w:r>
          </w:p>
        </w:tc>
        <w:tc>
          <w:tcPr>
            <w:tcW w:w="411" w:type="pct"/>
          </w:tcPr>
          <w:p w14:paraId="5D752E43" w14:textId="10D878D0"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w:t>
            </w:r>
            <w:r w:rsidR="00C5236B" w:rsidRPr="00C951F0">
              <w:rPr>
                <w:rFonts w:eastAsia="Calibri" w:cs="Arial"/>
                <w:color w:val="000000" w:themeColor="text1"/>
                <w:sz w:val="20"/>
                <w:szCs w:val="20"/>
              </w:rPr>
              <w:t>·</w:t>
            </w:r>
            <w:r w:rsidRPr="00C951F0">
              <w:rPr>
                <w:rFonts w:eastAsia="Calibri" w:cs="Arial"/>
                <w:color w:val="000000" w:themeColor="text1"/>
                <w:sz w:val="20"/>
                <w:szCs w:val="20"/>
              </w:rPr>
              <w:t>6</w:t>
            </w:r>
          </w:p>
        </w:tc>
      </w:tr>
      <w:tr w:rsidR="00C951F0" w:rsidRPr="00C951F0" w14:paraId="181ACB98" w14:textId="77777777" w:rsidTr="00F5793D">
        <w:trPr>
          <w:trHeight w:val="397"/>
        </w:trPr>
        <w:tc>
          <w:tcPr>
            <w:tcW w:w="1008" w:type="pct"/>
          </w:tcPr>
          <w:p w14:paraId="0FE2D4FD" w14:textId="77777777" w:rsidR="00B1644A" w:rsidRPr="00C951F0" w:rsidRDefault="00B1644A" w:rsidP="0039543A">
            <w:pPr>
              <w:spacing w:line="240" w:lineRule="auto"/>
              <w:ind w:left="142"/>
              <w:rPr>
                <w:rFonts w:eastAsia="Calibri" w:cs="Calibri"/>
                <w:color w:val="000000" w:themeColor="text1"/>
                <w:sz w:val="20"/>
                <w:szCs w:val="20"/>
              </w:rPr>
            </w:pPr>
            <w:r w:rsidRPr="00C951F0">
              <w:rPr>
                <w:rFonts w:eastAsia="Calibri" w:cs="Calibri"/>
                <w:color w:val="000000" w:themeColor="text1"/>
                <w:sz w:val="20"/>
                <w:szCs w:val="20"/>
              </w:rPr>
              <w:t>Psychiatric disorders</w:t>
            </w:r>
          </w:p>
        </w:tc>
        <w:tc>
          <w:tcPr>
            <w:tcW w:w="543" w:type="pct"/>
          </w:tcPr>
          <w:p w14:paraId="0C119C98" w14:textId="5B9F8CB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24 (6</w:t>
            </w:r>
            <w:r w:rsidR="00C5236B" w:rsidRPr="00C951F0">
              <w:rPr>
                <w:rFonts w:eastAsia="Calibri" w:cs="Arial"/>
                <w:color w:val="000000" w:themeColor="text1"/>
                <w:sz w:val="20"/>
                <w:szCs w:val="20"/>
              </w:rPr>
              <w:t>·</w:t>
            </w:r>
            <w:r w:rsidRPr="00C951F0">
              <w:rPr>
                <w:rFonts w:eastAsia="Calibri" w:cs="Arial"/>
                <w:color w:val="000000" w:themeColor="text1"/>
                <w:sz w:val="20"/>
                <w:szCs w:val="20"/>
              </w:rPr>
              <w:t xml:space="preserve">0) </w:t>
            </w:r>
          </w:p>
        </w:tc>
        <w:tc>
          <w:tcPr>
            <w:tcW w:w="409" w:type="pct"/>
          </w:tcPr>
          <w:p w14:paraId="1AB12CEB"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29</w:t>
            </w:r>
          </w:p>
        </w:tc>
        <w:tc>
          <w:tcPr>
            <w:tcW w:w="419" w:type="pct"/>
          </w:tcPr>
          <w:p w14:paraId="1A14E19B" w14:textId="12E546EF"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543" w:type="pct"/>
          </w:tcPr>
          <w:p w14:paraId="2E1FAD8F" w14:textId="00DEF022"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23 (5</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09" w:type="pct"/>
          </w:tcPr>
          <w:p w14:paraId="10520DE9"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28</w:t>
            </w:r>
          </w:p>
        </w:tc>
        <w:tc>
          <w:tcPr>
            <w:tcW w:w="419" w:type="pct"/>
          </w:tcPr>
          <w:p w14:paraId="36EC57A5" w14:textId="03AEE966"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419" w:type="pct"/>
          </w:tcPr>
          <w:p w14:paraId="23EB3108" w14:textId="683CA580"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15 (3</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20" w:type="pct"/>
          </w:tcPr>
          <w:p w14:paraId="10C4BC74"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16</w:t>
            </w:r>
          </w:p>
        </w:tc>
        <w:tc>
          <w:tcPr>
            <w:tcW w:w="411" w:type="pct"/>
          </w:tcPr>
          <w:p w14:paraId="667E589F" w14:textId="79A614B8"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r>
      <w:tr w:rsidR="00C951F0" w:rsidRPr="00C951F0" w14:paraId="37285C77" w14:textId="77777777" w:rsidTr="00F5793D">
        <w:trPr>
          <w:trHeight w:val="397"/>
        </w:trPr>
        <w:tc>
          <w:tcPr>
            <w:tcW w:w="1008" w:type="pct"/>
          </w:tcPr>
          <w:p w14:paraId="5701350C" w14:textId="77777777" w:rsidR="00B1644A" w:rsidRPr="00C951F0" w:rsidRDefault="00B1644A" w:rsidP="0039543A">
            <w:pPr>
              <w:spacing w:line="240" w:lineRule="auto"/>
              <w:ind w:left="142"/>
              <w:rPr>
                <w:rFonts w:eastAsia="Calibri" w:cs="Calibri"/>
                <w:color w:val="000000" w:themeColor="text1"/>
                <w:sz w:val="20"/>
                <w:szCs w:val="20"/>
              </w:rPr>
            </w:pPr>
            <w:r w:rsidRPr="00C951F0">
              <w:rPr>
                <w:rFonts w:eastAsia="Calibri" w:cs="Calibri"/>
                <w:color w:val="000000" w:themeColor="text1"/>
                <w:sz w:val="20"/>
                <w:szCs w:val="20"/>
              </w:rPr>
              <w:t>Acute renal failure</w:t>
            </w:r>
          </w:p>
        </w:tc>
        <w:tc>
          <w:tcPr>
            <w:tcW w:w="543" w:type="pct"/>
          </w:tcPr>
          <w:p w14:paraId="645CFB5A" w14:textId="7375C30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4 (1</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409" w:type="pct"/>
          </w:tcPr>
          <w:p w14:paraId="5E239E69"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w:t>
            </w:r>
          </w:p>
        </w:tc>
        <w:tc>
          <w:tcPr>
            <w:tcW w:w="419" w:type="pct"/>
          </w:tcPr>
          <w:p w14:paraId="1780FF82" w14:textId="07C83B9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9</w:t>
            </w:r>
          </w:p>
        </w:tc>
        <w:tc>
          <w:tcPr>
            <w:tcW w:w="543" w:type="pct"/>
          </w:tcPr>
          <w:p w14:paraId="4AD6DE24" w14:textId="27A1D09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 (0</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3014E298"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w:t>
            </w:r>
          </w:p>
        </w:tc>
        <w:tc>
          <w:tcPr>
            <w:tcW w:w="419" w:type="pct"/>
          </w:tcPr>
          <w:p w14:paraId="2C45C10E" w14:textId="05CB0892"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c>
          <w:tcPr>
            <w:tcW w:w="419" w:type="pct"/>
          </w:tcPr>
          <w:p w14:paraId="0B0BF5C7" w14:textId="59147DD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 (0</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20" w:type="pct"/>
          </w:tcPr>
          <w:p w14:paraId="64E095E7"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w:t>
            </w:r>
          </w:p>
        </w:tc>
        <w:tc>
          <w:tcPr>
            <w:tcW w:w="411" w:type="pct"/>
          </w:tcPr>
          <w:p w14:paraId="16E3AB1E" w14:textId="022D634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0</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r>
      <w:tr w:rsidR="00C951F0" w:rsidRPr="00C951F0" w14:paraId="761AB92E" w14:textId="77777777" w:rsidTr="00F5793D">
        <w:trPr>
          <w:trHeight w:val="397"/>
        </w:trPr>
        <w:tc>
          <w:tcPr>
            <w:tcW w:w="1008" w:type="pct"/>
          </w:tcPr>
          <w:p w14:paraId="22700E69" w14:textId="21046DD5" w:rsidR="00B1644A" w:rsidRPr="00C951F0" w:rsidRDefault="00B1644A" w:rsidP="0039543A">
            <w:pPr>
              <w:spacing w:line="240" w:lineRule="auto"/>
              <w:ind w:left="142"/>
              <w:rPr>
                <w:rFonts w:eastAsia="Calibri" w:cs="Calibri"/>
                <w:color w:val="000000" w:themeColor="text1"/>
                <w:sz w:val="20"/>
                <w:szCs w:val="20"/>
              </w:rPr>
            </w:pPr>
            <w:proofErr w:type="spellStart"/>
            <w:r w:rsidRPr="00C951F0">
              <w:rPr>
                <w:rFonts w:eastAsia="Calibri" w:cs="Calibri"/>
                <w:color w:val="000000" w:themeColor="text1"/>
                <w:sz w:val="20"/>
                <w:szCs w:val="20"/>
              </w:rPr>
              <w:t>Hypo</w:t>
            </w:r>
            <w:r w:rsidR="00BF42BE" w:rsidRPr="00C951F0">
              <w:rPr>
                <w:rFonts w:eastAsia="Calibri" w:cs="Calibri"/>
                <w:color w:val="000000" w:themeColor="text1"/>
                <w:sz w:val="20"/>
                <w:szCs w:val="20"/>
              </w:rPr>
              <w:t>glycaem</w:t>
            </w:r>
            <w:r w:rsidRPr="00C951F0">
              <w:rPr>
                <w:rFonts w:eastAsia="Calibri" w:cs="Calibri"/>
                <w:color w:val="000000" w:themeColor="text1"/>
                <w:sz w:val="20"/>
                <w:szCs w:val="20"/>
              </w:rPr>
              <w:t>ia</w:t>
            </w:r>
            <w:proofErr w:type="spellEnd"/>
            <w:r w:rsidR="00C921B3" w:rsidRPr="00C951F0">
              <w:rPr>
                <w:rFonts w:eastAsia="Calibri" w:cs="Arial"/>
                <w:color w:val="000000" w:themeColor="text1"/>
                <w:sz w:val="20"/>
                <w:szCs w:val="20"/>
              </w:rPr>
              <w:t>#</w:t>
            </w:r>
          </w:p>
        </w:tc>
        <w:tc>
          <w:tcPr>
            <w:tcW w:w="543" w:type="pct"/>
          </w:tcPr>
          <w:p w14:paraId="3FE58911" w14:textId="41F64E1C"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23 (5</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09" w:type="pct"/>
          </w:tcPr>
          <w:p w14:paraId="63C8307C"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51</w:t>
            </w:r>
          </w:p>
        </w:tc>
        <w:tc>
          <w:tcPr>
            <w:tcW w:w="419" w:type="pct"/>
          </w:tcPr>
          <w:p w14:paraId="11F8E0B0" w14:textId="211F57D3"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9</w:t>
            </w:r>
            <w:r w:rsidR="00C5236B" w:rsidRPr="00C951F0">
              <w:rPr>
                <w:rFonts w:eastAsia="Calibri" w:cs="Arial"/>
                <w:color w:val="000000" w:themeColor="text1"/>
                <w:sz w:val="20"/>
                <w:szCs w:val="20"/>
              </w:rPr>
              <w:t>·</w:t>
            </w:r>
            <w:r w:rsidRPr="00C951F0">
              <w:rPr>
                <w:rFonts w:eastAsia="Calibri" w:cs="Arial"/>
                <w:color w:val="000000" w:themeColor="text1"/>
                <w:sz w:val="20"/>
                <w:szCs w:val="20"/>
              </w:rPr>
              <w:t>6</w:t>
            </w:r>
          </w:p>
        </w:tc>
        <w:tc>
          <w:tcPr>
            <w:tcW w:w="543" w:type="pct"/>
          </w:tcPr>
          <w:p w14:paraId="13D07909" w14:textId="4A78F05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22 (5</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09" w:type="pct"/>
          </w:tcPr>
          <w:p w14:paraId="3FC0117B"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29</w:t>
            </w:r>
          </w:p>
        </w:tc>
        <w:tc>
          <w:tcPr>
            <w:tcW w:w="419" w:type="pct"/>
          </w:tcPr>
          <w:p w14:paraId="466B72E6" w14:textId="1CA9771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w:t>
            </w:r>
            <w:r w:rsidR="00C5236B" w:rsidRPr="00C951F0">
              <w:rPr>
                <w:rFonts w:eastAsia="Calibri" w:cs="Arial"/>
                <w:color w:val="000000" w:themeColor="text1"/>
                <w:sz w:val="20"/>
                <w:szCs w:val="20"/>
              </w:rPr>
              <w:t>·</w:t>
            </w:r>
            <w:r w:rsidRPr="00C951F0">
              <w:rPr>
                <w:rFonts w:eastAsia="Calibri" w:cs="Arial"/>
                <w:color w:val="000000" w:themeColor="text1"/>
                <w:sz w:val="20"/>
                <w:szCs w:val="20"/>
              </w:rPr>
              <w:t>5</w:t>
            </w:r>
          </w:p>
        </w:tc>
        <w:tc>
          <w:tcPr>
            <w:tcW w:w="419" w:type="pct"/>
          </w:tcPr>
          <w:p w14:paraId="2323CBE1" w14:textId="2C4AE216"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12 (3</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420" w:type="pct"/>
          </w:tcPr>
          <w:p w14:paraId="2F5146EA"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18</w:t>
            </w:r>
          </w:p>
        </w:tc>
        <w:tc>
          <w:tcPr>
            <w:tcW w:w="411" w:type="pct"/>
          </w:tcPr>
          <w:p w14:paraId="5C1A401E" w14:textId="4FD01DF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r>
      <w:tr w:rsidR="00C951F0" w:rsidRPr="00C951F0" w14:paraId="34CEEA85" w14:textId="77777777" w:rsidTr="00F5793D">
        <w:trPr>
          <w:trHeight w:val="397"/>
        </w:trPr>
        <w:tc>
          <w:tcPr>
            <w:tcW w:w="1008" w:type="pct"/>
          </w:tcPr>
          <w:p w14:paraId="7A3F0455" w14:textId="77777777" w:rsidR="00B1644A" w:rsidRPr="00C951F0" w:rsidRDefault="00B1644A" w:rsidP="0039543A">
            <w:pPr>
              <w:spacing w:line="240" w:lineRule="auto"/>
              <w:ind w:left="142"/>
              <w:rPr>
                <w:rFonts w:eastAsia="Calibri" w:cs="Calibri"/>
                <w:color w:val="000000" w:themeColor="text1"/>
                <w:sz w:val="20"/>
                <w:szCs w:val="20"/>
              </w:rPr>
            </w:pPr>
            <w:r w:rsidRPr="00C951F0">
              <w:rPr>
                <w:rFonts w:eastAsia="Calibri" w:cs="Calibri"/>
                <w:color w:val="000000" w:themeColor="text1"/>
                <w:sz w:val="20"/>
                <w:szCs w:val="20"/>
              </w:rPr>
              <w:t>Retinal disorder events*</w:t>
            </w:r>
          </w:p>
        </w:tc>
        <w:tc>
          <w:tcPr>
            <w:tcW w:w="543" w:type="pct"/>
          </w:tcPr>
          <w:p w14:paraId="5E961D00" w14:textId="7E1A5A81"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28 (6</w:t>
            </w:r>
            <w:r w:rsidR="00C5236B" w:rsidRPr="00C951F0">
              <w:rPr>
                <w:rFonts w:eastAsia="Calibri" w:cs="Arial"/>
                <w:color w:val="000000" w:themeColor="text1"/>
                <w:sz w:val="20"/>
                <w:szCs w:val="20"/>
              </w:rPr>
              <w:t>·</w:t>
            </w:r>
            <w:r w:rsidRPr="00C951F0">
              <w:rPr>
                <w:rFonts w:eastAsia="Calibri" w:cs="Arial"/>
                <w:color w:val="000000" w:themeColor="text1"/>
                <w:sz w:val="20"/>
                <w:szCs w:val="20"/>
              </w:rPr>
              <w:t>9)</w:t>
            </w:r>
          </w:p>
        </w:tc>
        <w:tc>
          <w:tcPr>
            <w:tcW w:w="409" w:type="pct"/>
          </w:tcPr>
          <w:p w14:paraId="3FE36709"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36</w:t>
            </w:r>
          </w:p>
        </w:tc>
        <w:tc>
          <w:tcPr>
            <w:tcW w:w="419" w:type="pct"/>
          </w:tcPr>
          <w:p w14:paraId="11F49C8A" w14:textId="540EF588"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6</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543" w:type="pct"/>
          </w:tcPr>
          <w:p w14:paraId="70260C8F" w14:textId="5CEE472F"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25 (6</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09" w:type="pct"/>
          </w:tcPr>
          <w:p w14:paraId="7EBCAD27"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30</w:t>
            </w:r>
          </w:p>
        </w:tc>
        <w:tc>
          <w:tcPr>
            <w:tcW w:w="419" w:type="pct"/>
          </w:tcPr>
          <w:p w14:paraId="274B9DE4" w14:textId="3C2DBBAD"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5</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419" w:type="pct"/>
          </w:tcPr>
          <w:p w14:paraId="1AF4FCE3" w14:textId="4185C160"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17 (4</w:t>
            </w:r>
            <w:r w:rsidR="00C5236B" w:rsidRPr="00C951F0">
              <w:rPr>
                <w:rFonts w:eastAsia="Calibri" w:cs="Arial"/>
                <w:color w:val="000000" w:themeColor="text1"/>
                <w:sz w:val="20"/>
                <w:szCs w:val="20"/>
              </w:rPr>
              <w:t>·</w:t>
            </w:r>
            <w:r w:rsidRPr="00C951F0">
              <w:rPr>
                <w:rFonts w:eastAsia="Calibri" w:cs="Arial"/>
                <w:color w:val="000000" w:themeColor="text1"/>
                <w:sz w:val="20"/>
                <w:szCs w:val="20"/>
              </w:rPr>
              <w:t>2)</w:t>
            </w:r>
          </w:p>
        </w:tc>
        <w:tc>
          <w:tcPr>
            <w:tcW w:w="420" w:type="pct"/>
          </w:tcPr>
          <w:p w14:paraId="439647C3"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19</w:t>
            </w:r>
          </w:p>
        </w:tc>
        <w:tc>
          <w:tcPr>
            <w:tcW w:w="411" w:type="pct"/>
          </w:tcPr>
          <w:p w14:paraId="774BDFA0" w14:textId="43585E6F"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r w:rsidR="00C5236B" w:rsidRPr="00C951F0">
              <w:rPr>
                <w:rFonts w:eastAsia="Calibri" w:cs="Arial"/>
                <w:color w:val="000000" w:themeColor="text1"/>
                <w:sz w:val="20"/>
                <w:szCs w:val="20"/>
              </w:rPr>
              <w:t>·</w:t>
            </w:r>
            <w:r w:rsidRPr="00C951F0">
              <w:rPr>
                <w:rFonts w:eastAsia="Calibri" w:cs="Arial"/>
                <w:color w:val="000000" w:themeColor="text1"/>
                <w:sz w:val="20"/>
                <w:szCs w:val="20"/>
              </w:rPr>
              <w:t>4</w:t>
            </w:r>
          </w:p>
        </w:tc>
      </w:tr>
      <w:tr w:rsidR="00C951F0" w:rsidRPr="00C951F0" w14:paraId="3870AE04" w14:textId="77777777" w:rsidTr="00F5793D">
        <w:trPr>
          <w:trHeight w:val="397"/>
        </w:trPr>
        <w:tc>
          <w:tcPr>
            <w:tcW w:w="1008" w:type="pct"/>
          </w:tcPr>
          <w:p w14:paraId="0107D1A7" w14:textId="302BAB02" w:rsidR="00B1644A" w:rsidRPr="00C951F0" w:rsidRDefault="00B1644A" w:rsidP="00934A10">
            <w:pPr>
              <w:spacing w:line="240" w:lineRule="auto"/>
              <w:ind w:left="567"/>
              <w:rPr>
                <w:rFonts w:eastAsia="Calibri" w:cs="Calibri"/>
                <w:color w:val="000000" w:themeColor="text1"/>
                <w:sz w:val="20"/>
                <w:szCs w:val="20"/>
              </w:rPr>
            </w:pPr>
            <w:r w:rsidRPr="00C951F0">
              <w:rPr>
                <w:rFonts w:eastAsia="Calibri" w:cs="Calibri"/>
                <w:color w:val="000000" w:themeColor="text1"/>
                <w:sz w:val="20"/>
                <w:szCs w:val="20"/>
              </w:rPr>
              <w:t>Diabetic retinopathy</w:t>
            </w:r>
          </w:p>
        </w:tc>
        <w:tc>
          <w:tcPr>
            <w:tcW w:w="543" w:type="pct"/>
          </w:tcPr>
          <w:p w14:paraId="2402A546" w14:textId="164C27AC"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16 (4</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409" w:type="pct"/>
          </w:tcPr>
          <w:p w14:paraId="148B2B5A"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17</w:t>
            </w:r>
          </w:p>
        </w:tc>
        <w:tc>
          <w:tcPr>
            <w:tcW w:w="419" w:type="pct"/>
          </w:tcPr>
          <w:p w14:paraId="3A0ACE29" w14:textId="029AB0F4"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3</w:t>
            </w:r>
            <w:r w:rsidR="00C5236B" w:rsidRPr="00C951F0">
              <w:rPr>
                <w:rFonts w:eastAsia="Calibri" w:cs="Arial"/>
                <w:color w:val="000000" w:themeColor="text1"/>
                <w:sz w:val="20"/>
                <w:szCs w:val="20"/>
              </w:rPr>
              <w:t>·</w:t>
            </w:r>
            <w:r w:rsidRPr="00C951F0">
              <w:rPr>
                <w:rFonts w:eastAsia="Calibri" w:cs="Arial"/>
                <w:color w:val="000000" w:themeColor="text1"/>
                <w:sz w:val="20"/>
                <w:szCs w:val="20"/>
              </w:rPr>
              <w:t>0</w:t>
            </w:r>
          </w:p>
        </w:tc>
        <w:tc>
          <w:tcPr>
            <w:tcW w:w="543" w:type="pct"/>
          </w:tcPr>
          <w:p w14:paraId="4B93CE67" w14:textId="03832E5A"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11 (2</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09" w:type="pct"/>
          </w:tcPr>
          <w:p w14:paraId="00621CF0"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13</w:t>
            </w:r>
          </w:p>
        </w:tc>
        <w:tc>
          <w:tcPr>
            <w:tcW w:w="419" w:type="pct"/>
          </w:tcPr>
          <w:p w14:paraId="4EFCDCA8" w14:textId="5A95DE88"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w:t>
            </w:r>
            <w:r w:rsidR="00C5236B" w:rsidRPr="00C951F0">
              <w:rPr>
                <w:rFonts w:eastAsia="Calibri" w:cs="Arial"/>
                <w:color w:val="000000" w:themeColor="text1"/>
                <w:sz w:val="20"/>
                <w:szCs w:val="20"/>
              </w:rPr>
              <w:t>·</w:t>
            </w:r>
            <w:r w:rsidRPr="00C951F0">
              <w:rPr>
                <w:rFonts w:eastAsia="Calibri" w:cs="Arial"/>
                <w:color w:val="000000" w:themeColor="text1"/>
                <w:sz w:val="20"/>
                <w:szCs w:val="20"/>
              </w:rPr>
              <w:t>3</w:t>
            </w:r>
          </w:p>
        </w:tc>
        <w:tc>
          <w:tcPr>
            <w:tcW w:w="419" w:type="pct"/>
          </w:tcPr>
          <w:p w14:paraId="55A9FF16" w14:textId="4286DBD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11 (2</w:t>
            </w:r>
            <w:r w:rsidR="00C5236B" w:rsidRPr="00C951F0">
              <w:rPr>
                <w:rFonts w:eastAsia="Calibri" w:cs="Arial"/>
                <w:color w:val="000000" w:themeColor="text1"/>
                <w:sz w:val="20"/>
                <w:szCs w:val="20"/>
              </w:rPr>
              <w:t>·</w:t>
            </w:r>
            <w:r w:rsidRPr="00C951F0">
              <w:rPr>
                <w:rFonts w:eastAsia="Calibri" w:cs="Arial"/>
                <w:color w:val="000000" w:themeColor="text1"/>
                <w:sz w:val="20"/>
                <w:szCs w:val="20"/>
              </w:rPr>
              <w:t>7)</w:t>
            </w:r>
          </w:p>
        </w:tc>
        <w:tc>
          <w:tcPr>
            <w:tcW w:w="420" w:type="pct"/>
          </w:tcPr>
          <w:p w14:paraId="75ABBFFD" w14:textId="77777777"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12</w:t>
            </w:r>
          </w:p>
        </w:tc>
        <w:tc>
          <w:tcPr>
            <w:tcW w:w="411" w:type="pct"/>
          </w:tcPr>
          <w:p w14:paraId="58F1344F" w14:textId="4AACACDC" w:rsidR="00B1644A" w:rsidRPr="00C951F0" w:rsidRDefault="00B1644A" w:rsidP="0039543A">
            <w:pPr>
              <w:spacing w:line="240" w:lineRule="auto"/>
              <w:jc w:val="center"/>
              <w:rPr>
                <w:rFonts w:eastAsia="Calibri" w:cs="Arial"/>
                <w:color w:val="000000" w:themeColor="text1"/>
                <w:sz w:val="20"/>
                <w:szCs w:val="20"/>
              </w:rPr>
            </w:pPr>
            <w:r w:rsidRPr="00C951F0">
              <w:rPr>
                <w:rFonts w:eastAsia="Calibri" w:cs="Arial"/>
                <w:color w:val="000000" w:themeColor="text1"/>
                <w:sz w:val="20"/>
                <w:szCs w:val="20"/>
              </w:rPr>
              <w:t>2</w:t>
            </w:r>
            <w:r w:rsidR="00C5236B" w:rsidRPr="00C951F0">
              <w:rPr>
                <w:rFonts w:eastAsia="Calibri" w:cs="Arial"/>
                <w:color w:val="000000" w:themeColor="text1"/>
                <w:sz w:val="20"/>
                <w:szCs w:val="20"/>
              </w:rPr>
              <w:t>·</w:t>
            </w:r>
            <w:r w:rsidRPr="00C951F0">
              <w:rPr>
                <w:rFonts w:eastAsia="Calibri" w:cs="Arial"/>
                <w:color w:val="000000" w:themeColor="text1"/>
                <w:sz w:val="20"/>
                <w:szCs w:val="20"/>
              </w:rPr>
              <w:t>1</w:t>
            </w:r>
          </w:p>
        </w:tc>
      </w:tr>
    </w:tbl>
    <w:p w14:paraId="55D097D5" w14:textId="0C3AC163" w:rsidR="00B1644A" w:rsidRDefault="007108AA" w:rsidP="007108AA">
      <w:pPr>
        <w:rPr>
          <w:rFonts w:eastAsia="Calibri" w:cs="Calibri"/>
          <w:color w:val="000000" w:themeColor="text1"/>
        </w:rPr>
      </w:pPr>
      <w:r w:rsidRPr="00C951F0">
        <w:rPr>
          <w:rFonts w:eastAsia="Calibri" w:cs="Calibri"/>
          <w:color w:val="000000" w:themeColor="text1"/>
        </w:rPr>
        <w:t>Safety analysis set. All data are on-treatment (during treatment with trial product [any dose of trial medication administered within the previous 49 days (</w:t>
      </w:r>
      <w:proofErr w:type="gramStart"/>
      <w:r w:rsidRPr="00C951F0">
        <w:rPr>
          <w:rFonts w:eastAsia="Calibri" w:cs="Calibri"/>
          <w:color w:val="000000" w:themeColor="text1"/>
        </w:rPr>
        <w:t>i.e.</w:t>
      </w:r>
      <w:proofErr w:type="gramEnd"/>
      <w:r w:rsidRPr="00C951F0">
        <w:rPr>
          <w:rFonts w:eastAsia="Calibri" w:cs="Calibri"/>
          <w:color w:val="000000" w:themeColor="text1"/>
        </w:rPr>
        <w:t xml:space="preserve"> any period of temporary treatment interruption with trial product was excluded)]) adverse events, unless indicated otherwise.</w:t>
      </w:r>
    </w:p>
    <w:p w14:paraId="4519ADB5" w14:textId="4EFC1251" w:rsidR="009B113E" w:rsidRPr="00C951F0" w:rsidRDefault="009B113E" w:rsidP="007108AA">
      <w:pPr>
        <w:rPr>
          <w:rFonts w:eastAsia="Calibri" w:cs="Calibri"/>
          <w:color w:val="000000" w:themeColor="text1"/>
        </w:rPr>
      </w:pPr>
      <w:bookmarkStart w:id="26" w:name="_Hlk58601326"/>
      <w:r>
        <w:rPr>
          <w:rFonts w:eastAsia="Calibri" w:cs="Calibri"/>
          <w:color w:val="000000" w:themeColor="text1"/>
        </w:rPr>
        <w:t>n (%) is the n</w:t>
      </w:r>
      <w:r w:rsidRPr="009B113E">
        <w:rPr>
          <w:rFonts w:eastAsia="Calibri" w:cs="Calibri"/>
          <w:color w:val="000000" w:themeColor="text1"/>
        </w:rPr>
        <w:t xml:space="preserve">umber </w:t>
      </w:r>
      <w:r>
        <w:rPr>
          <w:rFonts w:eastAsia="Calibri" w:cs="Calibri"/>
          <w:color w:val="000000" w:themeColor="text1"/>
        </w:rPr>
        <w:t xml:space="preserve">and percentage </w:t>
      </w:r>
      <w:r w:rsidRPr="009B113E">
        <w:rPr>
          <w:rFonts w:eastAsia="Calibri" w:cs="Calibri"/>
          <w:color w:val="000000" w:themeColor="text1"/>
        </w:rPr>
        <w:t xml:space="preserve">of </w:t>
      </w:r>
      <w:r w:rsidR="00EC25FF">
        <w:rPr>
          <w:rFonts w:eastAsia="Calibri" w:cs="Calibri"/>
          <w:color w:val="000000" w:themeColor="text1"/>
        </w:rPr>
        <w:t>patients</w:t>
      </w:r>
      <w:r w:rsidRPr="009B113E">
        <w:rPr>
          <w:rFonts w:eastAsia="Calibri" w:cs="Calibri"/>
          <w:color w:val="000000" w:themeColor="text1"/>
        </w:rPr>
        <w:t xml:space="preserve"> experiencing at least one event</w:t>
      </w:r>
      <w:r>
        <w:rPr>
          <w:rFonts w:eastAsia="Calibri" w:cs="Calibri"/>
          <w:color w:val="000000" w:themeColor="text1"/>
        </w:rPr>
        <w:t>.</w:t>
      </w:r>
      <w:bookmarkEnd w:id="26"/>
    </w:p>
    <w:p w14:paraId="3E5DB20D" w14:textId="697CE6CF" w:rsidR="00B1644A" w:rsidRPr="00C951F0" w:rsidRDefault="00B1644A" w:rsidP="0039543A">
      <w:pPr>
        <w:rPr>
          <w:rFonts w:eastAsia="Calibri" w:cs="Calibri"/>
          <w:color w:val="000000" w:themeColor="text1"/>
        </w:rPr>
      </w:pPr>
      <w:r w:rsidRPr="00C951F0">
        <w:rPr>
          <w:rFonts w:eastAsia="Calibri" w:cs="Calibri"/>
          <w:color w:val="000000" w:themeColor="text1"/>
        </w:rPr>
        <w:t>*In-trial observation</w:t>
      </w:r>
      <w:r w:rsidR="003E73C6" w:rsidRPr="00C951F0">
        <w:rPr>
          <w:rFonts w:eastAsia="Calibri" w:cs="Calibri"/>
          <w:color w:val="000000" w:themeColor="text1"/>
        </w:rPr>
        <w:t xml:space="preserve"> period</w:t>
      </w:r>
      <w:r w:rsidRPr="00C951F0">
        <w:rPr>
          <w:rFonts w:eastAsia="Calibri" w:cs="Calibri"/>
          <w:color w:val="000000" w:themeColor="text1"/>
        </w:rPr>
        <w:t>.</w:t>
      </w:r>
    </w:p>
    <w:p w14:paraId="2B84773D" w14:textId="367B597F" w:rsidR="00B1644A" w:rsidRPr="00C951F0" w:rsidRDefault="00B1644A" w:rsidP="0039543A">
      <w:pPr>
        <w:rPr>
          <w:rFonts w:eastAsia="Calibri" w:cs="Calibri"/>
          <w:color w:val="000000" w:themeColor="text1"/>
        </w:rPr>
      </w:pPr>
      <w:r w:rsidRPr="00C951F0">
        <w:rPr>
          <w:rFonts w:eastAsia="Calibri" w:cs="Calibri"/>
          <w:color w:val="000000" w:themeColor="text1"/>
        </w:rPr>
        <w:t>†Semaglutide 1</w:t>
      </w:r>
      <w:r w:rsidR="00C5236B" w:rsidRPr="00C951F0">
        <w:rPr>
          <w:rFonts w:eastAsia="Calibri" w:cs="Calibri"/>
          <w:color w:val="000000" w:themeColor="text1"/>
        </w:rPr>
        <w:t>·</w:t>
      </w:r>
      <w:r w:rsidRPr="00C951F0">
        <w:rPr>
          <w:rFonts w:eastAsia="Calibri" w:cs="Calibri"/>
          <w:color w:val="000000" w:themeColor="text1"/>
        </w:rPr>
        <w:t xml:space="preserve">0 mg group: one case of death due to cardiorespiratory arrest in a patient with a medical history of coronary artery disease, triple vessel disease, dilated cardiomyopathy with reduced </w:t>
      </w:r>
      <w:r w:rsidR="00B634B1" w:rsidRPr="00C951F0">
        <w:rPr>
          <w:rFonts w:eastAsia="Calibri" w:cs="Calibri"/>
          <w:color w:val="000000" w:themeColor="text1"/>
        </w:rPr>
        <w:t>l</w:t>
      </w:r>
      <w:r w:rsidRPr="00C951F0">
        <w:rPr>
          <w:rFonts w:eastAsia="Calibri" w:cs="Calibri"/>
          <w:color w:val="000000" w:themeColor="text1"/>
        </w:rPr>
        <w:t>eft ventricular ejection fraction of 20%; semaglutide 2</w:t>
      </w:r>
      <w:r w:rsidR="00C5236B" w:rsidRPr="00C951F0">
        <w:rPr>
          <w:rFonts w:eastAsia="Calibri" w:cs="Calibri"/>
          <w:color w:val="000000" w:themeColor="text1"/>
        </w:rPr>
        <w:t>·</w:t>
      </w:r>
      <w:r w:rsidRPr="00C951F0">
        <w:rPr>
          <w:rFonts w:eastAsia="Calibri" w:cs="Calibri"/>
          <w:color w:val="000000" w:themeColor="text1"/>
        </w:rPr>
        <w:t xml:space="preserve">4 mg group: one case of </w:t>
      </w:r>
      <w:r w:rsidRPr="00C951F0">
        <w:rPr>
          <w:rFonts w:eastAsia="Calibri" w:cs="Calibri"/>
          <w:color w:val="000000" w:themeColor="text1"/>
        </w:rPr>
        <w:lastRenderedPageBreak/>
        <w:t>death due to myocardial infarction in a patient with a long-standing history of type 2 diabetes mellitus, hypertension, obesity</w:t>
      </w:r>
      <w:r w:rsidR="00DE4168" w:rsidRPr="00C951F0">
        <w:rPr>
          <w:rFonts w:eastAsia="Calibri" w:cs="Calibri"/>
          <w:color w:val="000000" w:themeColor="text1"/>
        </w:rPr>
        <w:t>,</w:t>
      </w:r>
      <w:r w:rsidRPr="00C951F0">
        <w:rPr>
          <w:rFonts w:eastAsia="Calibri" w:cs="Calibri"/>
          <w:color w:val="000000" w:themeColor="text1"/>
        </w:rPr>
        <w:t xml:space="preserve"> and previous smoking status</w:t>
      </w:r>
      <w:r w:rsidR="00B634B1" w:rsidRPr="00C951F0">
        <w:rPr>
          <w:rFonts w:eastAsia="Calibri" w:cs="Calibri"/>
          <w:color w:val="000000" w:themeColor="text1"/>
        </w:rPr>
        <w:t xml:space="preserve"> (t</w:t>
      </w:r>
      <w:r w:rsidRPr="00C951F0">
        <w:rPr>
          <w:rFonts w:eastAsia="Calibri" w:cs="Calibri"/>
          <w:color w:val="000000" w:themeColor="text1"/>
        </w:rPr>
        <w:t>he patient also had a ‘T-wave inversion’ detected on electrocardiogram for 2 years</w:t>
      </w:r>
      <w:r w:rsidR="00B634B1" w:rsidRPr="00C951F0">
        <w:rPr>
          <w:rFonts w:eastAsia="Calibri" w:cs="Calibri"/>
          <w:color w:val="000000" w:themeColor="text1"/>
        </w:rPr>
        <w:t>)</w:t>
      </w:r>
      <w:r w:rsidRPr="00C951F0">
        <w:rPr>
          <w:rFonts w:eastAsia="Calibri" w:cs="Calibri"/>
          <w:color w:val="000000" w:themeColor="text1"/>
        </w:rPr>
        <w:t>; placebo group: one case of death due to metastatic hepatocellular carcinoma, pulmonary embolism</w:t>
      </w:r>
      <w:r w:rsidR="00DE4168" w:rsidRPr="00C951F0">
        <w:rPr>
          <w:rFonts w:eastAsia="Calibri" w:cs="Calibri"/>
          <w:color w:val="000000" w:themeColor="text1"/>
        </w:rPr>
        <w:t>,</w:t>
      </w:r>
      <w:r w:rsidRPr="00C951F0">
        <w:rPr>
          <w:rFonts w:eastAsia="Calibri" w:cs="Calibri"/>
          <w:color w:val="000000" w:themeColor="text1"/>
        </w:rPr>
        <w:t xml:space="preserve"> and respiratory failure in a patient with a history of alcohol misuse, hepatic cirrhosis, hepatopathy, obesity</w:t>
      </w:r>
      <w:r w:rsidR="00DE4168" w:rsidRPr="00C951F0">
        <w:rPr>
          <w:rFonts w:eastAsia="Calibri" w:cs="Calibri"/>
          <w:color w:val="000000" w:themeColor="text1"/>
        </w:rPr>
        <w:t>,</w:t>
      </w:r>
      <w:r w:rsidRPr="00C951F0">
        <w:rPr>
          <w:rFonts w:eastAsia="Calibri" w:cs="Calibri"/>
          <w:color w:val="000000" w:themeColor="text1"/>
        </w:rPr>
        <w:t xml:space="preserve"> and type 2 diabetes mellitus.</w:t>
      </w:r>
    </w:p>
    <w:p w14:paraId="13DF22D3" w14:textId="77777777" w:rsidR="00B1644A" w:rsidRPr="00C951F0" w:rsidRDefault="00B1644A" w:rsidP="0039543A">
      <w:pPr>
        <w:rPr>
          <w:rFonts w:eastAsia="Calibri" w:cs="Calibri"/>
          <w:color w:val="000000" w:themeColor="text1"/>
        </w:rPr>
      </w:pPr>
      <w:r w:rsidRPr="00C951F0">
        <w:rPr>
          <w:rFonts w:eastAsia="Calibri" w:cs="Arial"/>
          <w:color w:val="000000" w:themeColor="text1"/>
        </w:rPr>
        <w:t xml:space="preserve">‡Most common </w:t>
      </w:r>
      <w:r w:rsidRPr="00C951F0">
        <w:rPr>
          <w:rFonts w:eastAsia="Calibri" w:cs="Calibri"/>
          <w:color w:val="000000" w:themeColor="text1"/>
        </w:rPr>
        <w:t xml:space="preserve">adverse events by preferred term reported in </w:t>
      </w:r>
      <w:r w:rsidRPr="00C951F0">
        <w:rPr>
          <w:rFonts w:eastAsia="Calibri" w:cs="Arial"/>
          <w:color w:val="000000" w:themeColor="text1"/>
        </w:rPr>
        <w:t>≥</w:t>
      </w:r>
      <w:r w:rsidRPr="00C951F0">
        <w:rPr>
          <w:rFonts w:eastAsia="Calibri" w:cs="Calibri"/>
          <w:color w:val="000000" w:themeColor="text1"/>
        </w:rPr>
        <w:t>10% of patients in either treatment group.</w:t>
      </w:r>
    </w:p>
    <w:p w14:paraId="7247ACF3" w14:textId="23A456BC" w:rsidR="00B1644A" w:rsidRPr="00C951F0" w:rsidRDefault="00B1644A" w:rsidP="0039543A">
      <w:pPr>
        <w:rPr>
          <w:rFonts w:eastAsia="Calibri" w:cs="Calibri"/>
          <w:color w:val="000000" w:themeColor="text1"/>
        </w:rPr>
      </w:pPr>
      <w:r w:rsidRPr="00C951F0">
        <w:rPr>
          <w:rFonts w:eastAsia="Calibri" w:cs="Calibri"/>
          <w:color w:val="000000" w:themeColor="text1"/>
        </w:rPr>
        <w:t>§Identified via MedDRA searches</w:t>
      </w:r>
      <w:r w:rsidR="007108AA" w:rsidRPr="00C951F0">
        <w:rPr>
          <w:rFonts w:eastAsia="Calibri" w:cs="Calibri"/>
          <w:color w:val="000000" w:themeColor="text1"/>
        </w:rPr>
        <w:t>; gastrointestinal disorders and psychiatric disorders defined by MedDRA version 22.1 system organ class. Hepatobiliary ‘System Organ Class’ and Cholelithiasis ‘Preferred term’</w:t>
      </w:r>
      <w:r w:rsidRPr="00C951F0">
        <w:rPr>
          <w:rFonts w:eastAsia="Calibri" w:cs="Calibri"/>
          <w:color w:val="000000" w:themeColor="text1"/>
        </w:rPr>
        <w:t>.</w:t>
      </w:r>
    </w:p>
    <w:p w14:paraId="42C2DE3D" w14:textId="77777777" w:rsidR="00B1644A" w:rsidRPr="00C951F0" w:rsidRDefault="00B1644A" w:rsidP="0039543A">
      <w:pPr>
        <w:rPr>
          <w:rFonts w:eastAsia="Calibri" w:cs="Arial"/>
          <w:color w:val="000000" w:themeColor="text1"/>
        </w:rPr>
      </w:pPr>
      <w:r w:rsidRPr="00C951F0">
        <w:rPr>
          <w:rFonts w:eastAsia="Calibri" w:cs="Calibri"/>
          <w:color w:val="000000" w:themeColor="text1"/>
        </w:rPr>
        <w:t>¶Event Adjudication Committee-confirmed events.</w:t>
      </w:r>
    </w:p>
    <w:p w14:paraId="48D49CA8" w14:textId="712AD5F0" w:rsidR="00B1644A" w:rsidRPr="00C951F0" w:rsidRDefault="00C921B3" w:rsidP="0039543A">
      <w:pPr>
        <w:rPr>
          <w:rFonts w:eastAsia="Calibri" w:cs="Arial"/>
          <w:color w:val="000000" w:themeColor="text1"/>
        </w:rPr>
      </w:pPr>
      <w:r w:rsidRPr="00C951F0">
        <w:rPr>
          <w:rFonts w:eastAsia="Calibri" w:cs="Arial"/>
          <w:color w:val="000000" w:themeColor="text1"/>
        </w:rPr>
        <w:t>#</w:t>
      </w:r>
      <w:r w:rsidR="00B1644A" w:rsidRPr="00C951F0">
        <w:rPr>
          <w:rFonts w:eastAsia="Calibri" w:cs="Arial"/>
          <w:color w:val="000000" w:themeColor="text1"/>
        </w:rPr>
        <w:t>Severe or blood glucose</w:t>
      </w:r>
      <w:r w:rsidR="00352258" w:rsidRPr="00C951F0">
        <w:rPr>
          <w:rFonts w:eastAsia="Calibri" w:cs="Arial"/>
          <w:color w:val="000000" w:themeColor="text1"/>
        </w:rPr>
        <w:t>-</w:t>
      </w:r>
      <w:r w:rsidR="00B1644A" w:rsidRPr="00C951F0">
        <w:rPr>
          <w:rFonts w:eastAsia="Calibri" w:cs="Arial"/>
          <w:color w:val="000000" w:themeColor="text1"/>
        </w:rPr>
        <w:t xml:space="preserve">confirmed </w:t>
      </w:r>
      <w:proofErr w:type="spellStart"/>
      <w:r w:rsidR="00B1644A" w:rsidRPr="00C951F0">
        <w:rPr>
          <w:rFonts w:eastAsia="Calibri" w:cs="Arial"/>
          <w:color w:val="000000" w:themeColor="text1"/>
        </w:rPr>
        <w:t>hypo</w:t>
      </w:r>
      <w:r w:rsidR="00BF42BE" w:rsidRPr="00C951F0">
        <w:rPr>
          <w:rFonts w:eastAsia="Calibri" w:cs="Arial"/>
          <w:color w:val="000000" w:themeColor="text1"/>
        </w:rPr>
        <w:t>glycaem</w:t>
      </w:r>
      <w:r w:rsidR="00B1644A" w:rsidRPr="00C951F0">
        <w:rPr>
          <w:rFonts w:eastAsia="Calibri" w:cs="Arial"/>
          <w:color w:val="000000" w:themeColor="text1"/>
        </w:rPr>
        <w:t>ia</w:t>
      </w:r>
      <w:proofErr w:type="spellEnd"/>
      <w:r w:rsidR="00B1644A" w:rsidRPr="00C951F0">
        <w:rPr>
          <w:rFonts w:eastAsia="Calibri" w:cs="Arial"/>
          <w:color w:val="000000" w:themeColor="text1"/>
        </w:rPr>
        <w:t xml:space="preserve">. </w:t>
      </w:r>
      <w:r w:rsidR="00B1644A" w:rsidRPr="00C951F0">
        <w:rPr>
          <w:rFonts w:eastAsia="Calibri" w:cs="Calibri"/>
          <w:color w:val="000000" w:themeColor="text1"/>
        </w:rPr>
        <w:t>MedDRA</w:t>
      </w:r>
      <w:r w:rsidR="00B634B1" w:rsidRPr="00C951F0">
        <w:rPr>
          <w:color w:val="000000" w:themeColor="text1"/>
        </w:rPr>
        <w:t xml:space="preserve"> </w:t>
      </w:r>
      <w:r w:rsidR="00B70A30" w:rsidRPr="00C951F0">
        <w:rPr>
          <w:color w:val="000000" w:themeColor="text1"/>
        </w:rPr>
        <w:t>denotes</w:t>
      </w:r>
      <w:r w:rsidR="00B1644A" w:rsidRPr="00C951F0">
        <w:rPr>
          <w:rFonts w:eastAsia="Calibri" w:cs="Calibri"/>
          <w:color w:val="000000" w:themeColor="text1"/>
        </w:rPr>
        <w:t xml:space="preserve"> Medical Dictionary for Regulatory Activities.</w:t>
      </w:r>
    </w:p>
    <w:p w14:paraId="18A4C6A7" w14:textId="77777777" w:rsidR="00D15EC3" w:rsidRDefault="00D15EC3" w:rsidP="00C951F0">
      <w:pPr>
        <w:spacing w:after="160" w:line="259" w:lineRule="auto"/>
        <w:outlineLvl w:val="2"/>
        <w:rPr>
          <w:rFonts w:eastAsia="Calibri" w:cs="Arial"/>
          <w:color w:val="000000" w:themeColor="text1"/>
        </w:rPr>
        <w:sectPr w:rsidR="00D15EC3" w:rsidSect="0039543A">
          <w:pgSz w:w="16838" w:h="11906" w:orient="landscape"/>
          <w:pgMar w:top="1440" w:right="1440" w:bottom="1440" w:left="1440" w:header="709" w:footer="709" w:gutter="0"/>
          <w:cols w:space="708"/>
          <w:docGrid w:linePitch="360"/>
        </w:sectPr>
      </w:pPr>
    </w:p>
    <w:p w14:paraId="60271A92" w14:textId="54252CAF" w:rsidR="00CC150E" w:rsidRPr="00CC150E" w:rsidRDefault="00CC150E" w:rsidP="00CC150E">
      <w:pPr>
        <w:spacing w:after="160" w:line="259" w:lineRule="auto"/>
        <w:outlineLvl w:val="2"/>
        <w:rPr>
          <w:rFonts w:eastAsia="DengXian Light" w:cs="Times New Roman"/>
          <w:b/>
          <w:bCs/>
          <w:i/>
          <w:iCs/>
          <w:sz w:val="24"/>
          <w:szCs w:val="24"/>
        </w:rPr>
      </w:pPr>
      <w:bookmarkStart w:id="27" w:name="_Toc57366059"/>
      <w:r w:rsidRPr="00CC150E">
        <w:rPr>
          <w:rFonts w:eastAsia="DengXian Light" w:cs="Times New Roman"/>
          <w:b/>
          <w:bCs/>
          <w:i/>
          <w:iCs/>
          <w:sz w:val="24"/>
          <w:szCs w:val="24"/>
        </w:rPr>
        <w:lastRenderedPageBreak/>
        <w:t xml:space="preserve">Figure </w:t>
      </w:r>
      <w:r>
        <w:rPr>
          <w:rFonts w:eastAsia="DengXian Light" w:cs="Times New Roman"/>
          <w:b/>
          <w:bCs/>
          <w:i/>
          <w:iCs/>
          <w:sz w:val="24"/>
          <w:szCs w:val="24"/>
        </w:rPr>
        <w:t>1</w:t>
      </w:r>
      <w:r w:rsidRPr="00CC150E">
        <w:rPr>
          <w:rFonts w:eastAsia="DengXian Light" w:cs="Times New Roman"/>
          <w:b/>
          <w:bCs/>
          <w:i/>
          <w:iCs/>
          <w:sz w:val="24"/>
          <w:szCs w:val="24"/>
        </w:rPr>
        <w:t xml:space="preserve">: </w:t>
      </w:r>
      <w:r w:rsidRPr="00CC150E">
        <w:rPr>
          <w:rFonts w:eastAsia="DengXian Light"/>
          <w:bCs/>
          <w:i/>
          <w:iCs/>
          <w:sz w:val="24"/>
          <w:szCs w:val="24"/>
        </w:rPr>
        <w:t xml:space="preserve">Patient </w:t>
      </w:r>
      <w:r w:rsidRPr="00A5423C">
        <w:rPr>
          <w:rFonts w:eastAsia="DengXian Light" w:cs="Times New Roman"/>
          <w:i/>
          <w:iCs/>
          <w:sz w:val="24"/>
          <w:szCs w:val="24"/>
        </w:rPr>
        <w:t>f</w:t>
      </w:r>
      <w:r w:rsidRPr="00CC150E">
        <w:rPr>
          <w:rFonts w:eastAsia="DengXian Light"/>
          <w:bCs/>
          <w:i/>
          <w:iCs/>
          <w:sz w:val="24"/>
          <w:szCs w:val="24"/>
        </w:rPr>
        <w:t>low</w:t>
      </w:r>
      <w:bookmarkEnd w:id="27"/>
    </w:p>
    <w:p w14:paraId="573335CB" w14:textId="7F29FC60" w:rsidR="00CC150E" w:rsidRPr="00352FAD" w:rsidRDefault="00CC150E" w:rsidP="00CC150E">
      <w:pPr>
        <w:spacing w:line="240" w:lineRule="auto"/>
        <w:rPr>
          <w:rFonts w:ascii="Times New Roman" w:hAnsi="Times New Roman" w:cs="Times New Roman"/>
          <w:sz w:val="20"/>
          <w:szCs w:val="20"/>
        </w:rPr>
      </w:pPr>
    </w:p>
    <w:p w14:paraId="62A39605" w14:textId="77777777" w:rsidR="00CC150E" w:rsidRPr="00991A9A" w:rsidRDefault="00CC150E" w:rsidP="00991A9A">
      <w:pPr>
        <w:rPr>
          <w:rFonts w:eastAsia="Calibri" w:cs="Arial"/>
        </w:rPr>
      </w:pPr>
      <w:r w:rsidRPr="00991A9A">
        <w:rPr>
          <w:rFonts w:eastAsia="Calibri" w:cs="Arial"/>
        </w:rPr>
        <w:t xml:space="preserve">*Patients who discontinued treatment prematurely all completed the trial. In analyses of the treatment policy estimand, all data collected were included, regardless of status of using </w:t>
      </w:r>
      <w:proofErr w:type="spellStart"/>
      <w:r w:rsidRPr="00991A9A">
        <w:rPr>
          <w:rFonts w:eastAsia="Calibri" w:cs="Arial"/>
        </w:rPr>
        <w:t>randomised</w:t>
      </w:r>
      <w:proofErr w:type="spellEnd"/>
      <w:r w:rsidRPr="00991A9A">
        <w:rPr>
          <w:rFonts w:eastAsia="Calibri" w:cs="Arial"/>
        </w:rPr>
        <w:t xml:space="preserve"> treatment.</w:t>
      </w:r>
    </w:p>
    <w:p w14:paraId="38BF1F86" w14:textId="306088BE" w:rsidR="00CC150E" w:rsidRPr="00991A9A" w:rsidRDefault="00CC150E" w:rsidP="00991A9A">
      <w:pPr>
        <w:rPr>
          <w:rFonts w:eastAsia="Calibri" w:cs="Arial"/>
        </w:rPr>
      </w:pPr>
      <w:r w:rsidRPr="00991A9A">
        <w:rPr>
          <w:rFonts w:eastAsia="Calibri" w:cs="Arial"/>
        </w:rPr>
        <w:t>Among treatment completers: in the semaglutide 2</w:t>
      </w:r>
      <w:r w:rsidR="00EC25FF" w:rsidRPr="00C951F0">
        <w:rPr>
          <w:color w:val="000000" w:themeColor="text1"/>
          <w:sz w:val="20"/>
          <w:szCs w:val="20"/>
        </w:rPr>
        <w:t>·</w:t>
      </w:r>
      <w:r w:rsidRPr="00991A9A">
        <w:rPr>
          <w:rFonts w:eastAsia="Calibri" w:cs="Arial"/>
        </w:rPr>
        <w:t>4 mg group at the last treatment visit, 84% of patients were on the full intended dose (2</w:t>
      </w:r>
      <w:r w:rsidR="00EC25FF" w:rsidRPr="00C951F0">
        <w:rPr>
          <w:color w:val="000000" w:themeColor="text1"/>
          <w:sz w:val="20"/>
          <w:szCs w:val="20"/>
        </w:rPr>
        <w:t>·</w:t>
      </w:r>
      <w:r w:rsidRPr="00991A9A">
        <w:rPr>
          <w:rFonts w:eastAsia="Calibri" w:cs="Arial"/>
        </w:rPr>
        <w:t>4 mg), 5% were on 1</w:t>
      </w:r>
      <w:r w:rsidR="00EC25FF" w:rsidRPr="00C951F0">
        <w:rPr>
          <w:color w:val="000000" w:themeColor="text1"/>
          <w:sz w:val="20"/>
          <w:szCs w:val="20"/>
        </w:rPr>
        <w:t>·</w:t>
      </w:r>
      <w:r w:rsidRPr="00991A9A">
        <w:rPr>
          <w:rFonts w:eastAsia="Calibri" w:cs="Arial"/>
        </w:rPr>
        <w:t>7 mg, and 10% on &lt;1</w:t>
      </w:r>
      <w:r w:rsidR="00EC25FF" w:rsidRPr="00C951F0">
        <w:rPr>
          <w:color w:val="000000" w:themeColor="text1"/>
          <w:sz w:val="20"/>
          <w:szCs w:val="20"/>
        </w:rPr>
        <w:t>·</w:t>
      </w:r>
      <w:r w:rsidRPr="00991A9A">
        <w:rPr>
          <w:rFonts w:eastAsia="Calibri" w:cs="Arial"/>
        </w:rPr>
        <w:t>7 mg. In the semaglutide 1</w:t>
      </w:r>
      <w:r w:rsidR="00EC25FF" w:rsidRPr="00C951F0">
        <w:rPr>
          <w:color w:val="000000" w:themeColor="text1"/>
          <w:sz w:val="20"/>
          <w:szCs w:val="20"/>
        </w:rPr>
        <w:t>·</w:t>
      </w:r>
      <w:r w:rsidRPr="00991A9A">
        <w:rPr>
          <w:rFonts w:eastAsia="Calibri" w:cs="Arial"/>
        </w:rPr>
        <w:t>0 mg group, 95% of patients were on the full dose (1</w:t>
      </w:r>
      <w:r w:rsidR="00EC25FF" w:rsidRPr="00C951F0">
        <w:rPr>
          <w:color w:val="000000" w:themeColor="text1"/>
          <w:sz w:val="20"/>
          <w:szCs w:val="20"/>
        </w:rPr>
        <w:t>·</w:t>
      </w:r>
      <w:r w:rsidRPr="00991A9A">
        <w:rPr>
          <w:rFonts w:eastAsia="Calibri" w:cs="Arial"/>
        </w:rPr>
        <w:t>0 mg) and 5% were on ≤0.5 mg. In the placebo group, 97% completed treatment with the intended dose, while only 3% were on a lower dose than intended.</w:t>
      </w:r>
    </w:p>
    <w:p w14:paraId="17292C20" w14:textId="77777777" w:rsidR="00CC150E" w:rsidRDefault="00CC150E" w:rsidP="00991A9A">
      <w:pPr>
        <w:rPr>
          <w:rFonts w:ascii="Times New Roman" w:hAnsi="Times New Roman" w:cs="Times New Roman"/>
          <w:sz w:val="20"/>
          <w:szCs w:val="20"/>
        </w:rPr>
        <w:sectPr w:rsidR="00CC150E" w:rsidSect="00CC150E">
          <w:pgSz w:w="16838" w:h="11906" w:orient="landscape"/>
          <w:pgMar w:top="1440" w:right="1440" w:bottom="1440" w:left="1440" w:header="708" w:footer="708" w:gutter="0"/>
          <w:cols w:space="708"/>
          <w:docGrid w:linePitch="360"/>
        </w:sectPr>
      </w:pPr>
      <w:r w:rsidRPr="00991A9A">
        <w:rPr>
          <w:rFonts w:eastAsia="Calibri" w:cs="Arial"/>
        </w:rPr>
        <w:t>s.c.=subcutaneous.</w:t>
      </w:r>
    </w:p>
    <w:p w14:paraId="0B6240C6" w14:textId="77777777" w:rsidR="00CC150E" w:rsidRDefault="00CC150E" w:rsidP="00DE1A4A">
      <w:pPr>
        <w:spacing w:after="160" w:line="259" w:lineRule="auto"/>
        <w:outlineLvl w:val="2"/>
        <w:rPr>
          <w:rFonts w:eastAsia="DengXian Light" w:cs="Times New Roman"/>
          <w:b/>
          <w:bCs/>
          <w:i/>
          <w:iCs/>
          <w:sz w:val="24"/>
          <w:szCs w:val="24"/>
        </w:rPr>
      </w:pPr>
    </w:p>
    <w:p w14:paraId="4F086240" w14:textId="58FAAD53" w:rsidR="00DE1A4A" w:rsidRDefault="00DE1A4A" w:rsidP="00DE1A4A">
      <w:pPr>
        <w:spacing w:after="160" w:line="259" w:lineRule="auto"/>
        <w:outlineLvl w:val="2"/>
        <w:rPr>
          <w:rFonts w:eastAsia="DengXian Light" w:cs="Times New Roman"/>
          <w:sz w:val="24"/>
          <w:szCs w:val="24"/>
        </w:rPr>
      </w:pPr>
      <w:r w:rsidRPr="00934A10">
        <w:rPr>
          <w:rFonts w:eastAsia="DengXian Light" w:cs="Times New Roman"/>
          <w:b/>
          <w:bCs/>
          <w:i/>
          <w:iCs/>
          <w:sz w:val="24"/>
          <w:szCs w:val="24"/>
        </w:rPr>
        <w:t xml:space="preserve">Figure </w:t>
      </w:r>
      <w:r w:rsidR="00CC150E">
        <w:rPr>
          <w:rFonts w:eastAsia="DengXian Light" w:cs="Times New Roman"/>
          <w:b/>
          <w:bCs/>
          <w:i/>
          <w:iCs/>
          <w:sz w:val="24"/>
          <w:szCs w:val="24"/>
        </w:rPr>
        <w:t>2</w:t>
      </w:r>
      <w:r w:rsidRPr="00934A10">
        <w:rPr>
          <w:rFonts w:eastAsia="DengXian Light" w:cs="Times New Roman"/>
          <w:b/>
          <w:bCs/>
          <w:i/>
          <w:iCs/>
          <w:sz w:val="24"/>
          <w:szCs w:val="24"/>
        </w:rPr>
        <w:t>:</w:t>
      </w:r>
      <w:r w:rsidRPr="0039330F">
        <w:rPr>
          <w:rFonts w:eastAsia="DengXian Light" w:cs="Times New Roman"/>
          <w:b/>
          <w:bCs/>
          <w:sz w:val="24"/>
          <w:szCs w:val="24"/>
        </w:rPr>
        <w:t xml:space="preserve"> </w:t>
      </w:r>
      <w:r w:rsidRPr="00934A10">
        <w:rPr>
          <w:rFonts w:eastAsia="DengXian Light" w:cs="Times New Roman"/>
          <w:sz w:val="24"/>
          <w:szCs w:val="24"/>
        </w:rPr>
        <w:t>Semaglutide 2·4 mg once weekly compared with semaglutide 1·0 mg once weekly and placebo on body weight parameters</w:t>
      </w:r>
    </w:p>
    <w:p w14:paraId="34BFACC9" w14:textId="0EB0B29D" w:rsidR="00031B6A" w:rsidRPr="0039330F" w:rsidRDefault="00031B6A" w:rsidP="00DE1A4A">
      <w:pPr>
        <w:spacing w:after="160" w:line="259" w:lineRule="auto"/>
        <w:outlineLvl w:val="2"/>
        <w:rPr>
          <w:rFonts w:eastAsia="DengXian Light" w:cs="Times New Roman"/>
          <w:b/>
          <w:bCs/>
          <w:sz w:val="24"/>
          <w:szCs w:val="24"/>
        </w:rPr>
      </w:pPr>
    </w:p>
    <w:p w14:paraId="09AAC05E" w14:textId="09767210" w:rsidR="00DE1A4A" w:rsidRPr="0039330F" w:rsidRDefault="00DE1A4A" w:rsidP="00DE1A4A">
      <w:pPr>
        <w:rPr>
          <w:rFonts w:eastAsia="Calibri" w:cs="Arial"/>
        </w:rPr>
      </w:pPr>
    </w:p>
    <w:p w14:paraId="76A28C52" w14:textId="71AD4662" w:rsidR="00DE1A4A" w:rsidRPr="0039330F" w:rsidRDefault="00DE1A4A" w:rsidP="00DE1A4A">
      <w:pPr>
        <w:rPr>
          <w:rFonts w:eastAsia="Calibri" w:cs="Arial"/>
        </w:rPr>
      </w:pPr>
      <w:r w:rsidRPr="0039330F">
        <w:rPr>
          <w:rFonts w:eastAsia="Calibri" w:cs="Arial"/>
        </w:rPr>
        <w:t xml:space="preserve">Panels A and B show the observed mean percentage change from baseline in body weight over time for </w:t>
      </w:r>
      <w:r w:rsidR="00CF7014">
        <w:rPr>
          <w:rFonts w:eastAsia="Calibri" w:cs="Arial"/>
        </w:rPr>
        <w:t>patient</w:t>
      </w:r>
      <w:r w:rsidRPr="0039330F">
        <w:rPr>
          <w:rFonts w:eastAsia="Calibri" w:cs="Arial"/>
        </w:rPr>
        <w:t>s in the full analysis set during the in-trial and on-treatment observation period, respectively. Error bars are ± standard error of the mean. Numbers shown in the lower panel are patients contributing to the mean.</w:t>
      </w:r>
    </w:p>
    <w:p w14:paraId="54EE0C24" w14:textId="77777777" w:rsidR="00DE1A4A" w:rsidRPr="0039330F" w:rsidRDefault="00DE1A4A" w:rsidP="00DE1A4A">
      <w:pPr>
        <w:rPr>
          <w:rFonts w:eastAsia="Calibri" w:cs="Arial"/>
        </w:rPr>
      </w:pPr>
      <w:r w:rsidRPr="0039330F">
        <w:rPr>
          <w:rFonts w:eastAsia="OTNEJMScalaSansLF" w:cs="Calibri"/>
        </w:rPr>
        <w:t>Panels C and D show the observed proportions of patients achieving body weight reductions of at least 5%, 10%, 15%</w:t>
      </w:r>
      <w:r>
        <w:rPr>
          <w:rFonts w:eastAsia="OTNEJMScalaSansLF" w:cs="Calibri"/>
        </w:rPr>
        <w:t>,</w:t>
      </w:r>
      <w:r w:rsidRPr="0039330F">
        <w:rPr>
          <w:rFonts w:eastAsia="OTNEJMScalaSansLF" w:cs="Calibri"/>
        </w:rPr>
        <w:t xml:space="preserve"> and 20% from baseline at week 68 in the full analysis population during the in-trial observation period and on-treatment observation period, respectively.</w:t>
      </w:r>
    </w:p>
    <w:p w14:paraId="4B549FB6" w14:textId="77777777" w:rsidR="00DE1A4A" w:rsidRPr="0039330F" w:rsidRDefault="00DE1A4A" w:rsidP="00DE1A4A">
      <w:pPr>
        <w:rPr>
          <w:rFonts w:eastAsia="Calibri" w:cs="Arial"/>
        </w:rPr>
      </w:pPr>
      <w:r w:rsidRPr="0039330F">
        <w:rPr>
          <w:rFonts w:eastAsia="Calibri" w:cs="Arial"/>
          <w:bCs/>
        </w:rPr>
        <w:t>On-treatment definition:</w:t>
      </w:r>
      <w:r w:rsidRPr="0039330F">
        <w:rPr>
          <w:rFonts w:eastAsia="Calibri" w:cs="Arial"/>
        </w:rPr>
        <w:t xml:space="preserve"> a time point is considered as on-treatment if any dose of trial product has been administered within the prior 14 days.</w:t>
      </w:r>
    </w:p>
    <w:p w14:paraId="6EA0E72A" w14:textId="77777777" w:rsidR="00DE1A4A" w:rsidRPr="0039330F" w:rsidRDefault="00DE1A4A" w:rsidP="00DE1A4A">
      <w:pPr>
        <w:rPr>
          <w:rFonts w:eastAsia="Calibri" w:cs="Arial"/>
        </w:rPr>
      </w:pPr>
      <w:r w:rsidRPr="0039330F">
        <w:rPr>
          <w:rFonts w:eastAsia="Calibri" w:cs="Arial"/>
        </w:rPr>
        <w:t>Data are for the full analysis set.</w:t>
      </w:r>
    </w:p>
    <w:p w14:paraId="2DD12D2C" w14:textId="77777777" w:rsidR="00DE1A4A" w:rsidRPr="0039330F" w:rsidRDefault="00DE1A4A" w:rsidP="00DE1A4A">
      <w:pPr>
        <w:rPr>
          <w:rFonts w:eastAsia="Calibri" w:cs="Arial"/>
        </w:rPr>
      </w:pPr>
      <w:r w:rsidRPr="0039330F">
        <w:rPr>
          <w:rFonts w:eastAsia="Calibri" w:cs="Arial"/>
        </w:rPr>
        <w:t>CI</w:t>
      </w:r>
      <w:r>
        <w:t>=</w:t>
      </w:r>
      <w:r w:rsidRPr="0039330F">
        <w:rPr>
          <w:rFonts w:eastAsia="Calibri" w:cs="Arial"/>
        </w:rPr>
        <w:t>confidence interval</w:t>
      </w:r>
      <w:r>
        <w:rPr>
          <w:rFonts w:eastAsia="Calibri" w:cs="Arial"/>
        </w:rPr>
        <w:t>.</w:t>
      </w:r>
      <w:r w:rsidRPr="0039330F">
        <w:rPr>
          <w:rFonts w:eastAsia="Calibri" w:cs="Arial"/>
        </w:rPr>
        <w:t xml:space="preserve"> MMRM</w:t>
      </w:r>
      <w:r>
        <w:rPr>
          <w:rFonts w:eastAsia="Calibri" w:cs="Arial"/>
        </w:rPr>
        <w:t>=</w:t>
      </w:r>
      <w:r w:rsidRPr="0039330F">
        <w:rPr>
          <w:rFonts w:eastAsia="Calibri" w:cs="Arial"/>
        </w:rPr>
        <w:t>mixed model for repeated measurements.</w:t>
      </w:r>
    </w:p>
    <w:p w14:paraId="4CBEAEA6" w14:textId="77777777" w:rsidR="00DE1A4A" w:rsidRPr="0039330F" w:rsidRDefault="00DE1A4A" w:rsidP="00DE1A4A">
      <w:pPr>
        <w:spacing w:after="160" w:line="259" w:lineRule="auto"/>
        <w:rPr>
          <w:rFonts w:eastAsia="Calibri" w:cs="Arial"/>
        </w:rPr>
      </w:pPr>
      <w:r w:rsidRPr="0039330F">
        <w:rPr>
          <w:rFonts w:eastAsia="Calibri" w:cs="Arial"/>
        </w:rPr>
        <w:br w:type="page"/>
      </w:r>
    </w:p>
    <w:p w14:paraId="4A3F02F3" w14:textId="6B55BA60" w:rsidR="00DE1A4A" w:rsidRDefault="00DE1A4A" w:rsidP="00DE1A4A">
      <w:pPr>
        <w:keepNext/>
        <w:keepLines/>
        <w:spacing w:before="40" w:after="0"/>
        <w:outlineLvl w:val="2"/>
        <w:rPr>
          <w:rFonts w:eastAsia="DengXian Light" w:cs="Times New Roman"/>
          <w:bCs/>
          <w:sz w:val="24"/>
          <w:szCs w:val="24"/>
        </w:rPr>
      </w:pPr>
      <w:r w:rsidRPr="00934A10">
        <w:rPr>
          <w:rFonts w:eastAsia="DengXian Light" w:cs="Times New Roman"/>
          <w:b/>
          <w:i/>
          <w:iCs/>
          <w:sz w:val="24"/>
          <w:szCs w:val="24"/>
        </w:rPr>
        <w:lastRenderedPageBreak/>
        <w:t xml:space="preserve">Figure </w:t>
      </w:r>
      <w:r w:rsidR="00CC150E">
        <w:rPr>
          <w:rFonts w:eastAsia="DengXian Light" w:cs="Times New Roman"/>
          <w:b/>
          <w:i/>
          <w:iCs/>
          <w:sz w:val="24"/>
          <w:szCs w:val="24"/>
        </w:rPr>
        <w:t>3</w:t>
      </w:r>
      <w:r w:rsidRPr="00934A10">
        <w:rPr>
          <w:rFonts w:eastAsia="DengXian Light" w:cs="Times New Roman"/>
          <w:b/>
          <w:i/>
          <w:iCs/>
          <w:sz w:val="24"/>
          <w:szCs w:val="24"/>
        </w:rPr>
        <w:t>:</w:t>
      </w:r>
      <w:r w:rsidRPr="0039330F">
        <w:rPr>
          <w:rFonts w:eastAsia="DengXian Light" w:cs="Times New Roman"/>
          <w:b/>
          <w:sz w:val="24"/>
          <w:szCs w:val="24"/>
        </w:rPr>
        <w:t xml:space="preserve"> </w:t>
      </w:r>
      <w:r w:rsidRPr="00D619CC">
        <w:rPr>
          <w:rFonts w:eastAsia="DengXian Light" w:cs="Times New Roman"/>
          <w:bCs/>
          <w:sz w:val="24"/>
          <w:szCs w:val="24"/>
        </w:rPr>
        <w:t xml:space="preserve">Semaglutide 2·4 mg once weekly compared with semaglutide 1·0 mg once weekly and placebo on selected confirmatory and </w:t>
      </w:r>
      <w:r w:rsidR="004D5D21">
        <w:rPr>
          <w:rFonts w:eastAsia="DengXian Light" w:cs="Times New Roman"/>
          <w:bCs/>
          <w:sz w:val="24"/>
          <w:szCs w:val="24"/>
        </w:rPr>
        <w:t>exploratory</w:t>
      </w:r>
      <w:r w:rsidR="004D5D21" w:rsidRPr="00D619CC">
        <w:rPr>
          <w:rFonts w:eastAsia="DengXian Light" w:cs="Times New Roman"/>
          <w:bCs/>
          <w:sz w:val="24"/>
          <w:szCs w:val="24"/>
        </w:rPr>
        <w:t xml:space="preserve"> </w:t>
      </w:r>
      <w:r w:rsidRPr="00D619CC">
        <w:rPr>
          <w:rFonts w:eastAsia="DengXian Light" w:cs="Times New Roman"/>
          <w:bCs/>
          <w:sz w:val="24"/>
          <w:szCs w:val="24"/>
        </w:rPr>
        <w:t xml:space="preserve">secondary endpoints (baseline to </w:t>
      </w:r>
      <w:r>
        <w:rPr>
          <w:rFonts w:eastAsia="DengXian Light" w:cs="Times New Roman"/>
          <w:bCs/>
          <w:sz w:val="24"/>
          <w:szCs w:val="24"/>
        </w:rPr>
        <w:t>w</w:t>
      </w:r>
      <w:r w:rsidRPr="00D619CC">
        <w:rPr>
          <w:rFonts w:eastAsia="DengXian Light" w:cs="Times New Roman"/>
          <w:bCs/>
          <w:sz w:val="24"/>
          <w:szCs w:val="24"/>
        </w:rPr>
        <w:t>eek 68)</w:t>
      </w:r>
    </w:p>
    <w:p w14:paraId="1C2F3D7C" w14:textId="2C05C788" w:rsidR="00DE1A4A" w:rsidRDefault="00DE1A4A" w:rsidP="00DE1A4A">
      <w:pPr>
        <w:spacing w:after="160" w:line="259" w:lineRule="auto"/>
        <w:rPr>
          <w:rFonts w:ascii="Calibri" w:eastAsia="Calibri" w:hAnsi="Calibri" w:cs="Arial"/>
          <w:b/>
          <w:sz w:val="32"/>
        </w:rPr>
      </w:pPr>
    </w:p>
    <w:p w14:paraId="1F286986" w14:textId="28C320BC" w:rsidR="00DE1A4A" w:rsidRPr="0039330F" w:rsidRDefault="00DE1A4A" w:rsidP="00DE1A4A">
      <w:pPr>
        <w:spacing w:after="160" w:line="259" w:lineRule="auto"/>
        <w:rPr>
          <w:rFonts w:ascii="Calibri" w:eastAsia="Calibri" w:hAnsi="Calibri" w:cs="Arial"/>
          <w:b/>
          <w:sz w:val="32"/>
        </w:rPr>
      </w:pPr>
    </w:p>
    <w:p w14:paraId="7BA7F2A0" w14:textId="228EC9A9" w:rsidR="00DE1A4A" w:rsidRPr="0039330F" w:rsidRDefault="00DE1A4A" w:rsidP="00DE1A4A">
      <w:pPr>
        <w:rPr>
          <w:rFonts w:eastAsia="Calibri" w:cs="Arial"/>
        </w:rPr>
      </w:pPr>
      <w:r w:rsidRPr="0039330F">
        <w:rPr>
          <w:rFonts w:eastAsia="Calibri" w:cs="Arial"/>
        </w:rPr>
        <w:t>Line graphs show the observed mean change from baseline over time in waist circumference (A), systolic blood pressure (B), HbA</w:t>
      </w:r>
      <w:r w:rsidRPr="0039330F">
        <w:rPr>
          <w:rFonts w:eastAsia="Calibri" w:cs="Arial"/>
          <w:vertAlign w:val="subscript"/>
        </w:rPr>
        <w:t>1c</w:t>
      </w:r>
      <w:r w:rsidRPr="0039330F">
        <w:rPr>
          <w:rFonts w:eastAsia="Calibri" w:cs="Arial"/>
        </w:rPr>
        <w:t xml:space="preserve"> (C), SF-36 physical functioning score (E), and IWQOL-Lite-CT physical function score (F) for </w:t>
      </w:r>
      <w:r w:rsidR="00CF7014">
        <w:rPr>
          <w:rFonts w:eastAsia="Calibri" w:cs="Arial"/>
        </w:rPr>
        <w:t>patients</w:t>
      </w:r>
      <w:r w:rsidR="00CF7014" w:rsidRPr="0039330F">
        <w:rPr>
          <w:rFonts w:eastAsia="Calibri" w:cs="Arial"/>
        </w:rPr>
        <w:t xml:space="preserve"> </w:t>
      </w:r>
      <w:r w:rsidRPr="0039330F">
        <w:rPr>
          <w:rFonts w:eastAsia="Calibri" w:cs="Arial"/>
        </w:rPr>
        <w:t>in the full analysis set during the in-trial observation period. Error bars are ± standard error of the mean. Numbers shown in the lower panel are patients contributing to the mean.</w:t>
      </w:r>
    </w:p>
    <w:p w14:paraId="7513D723" w14:textId="77777777" w:rsidR="00DE1A4A" w:rsidRPr="0039330F" w:rsidRDefault="00DE1A4A" w:rsidP="00DE1A4A">
      <w:pPr>
        <w:spacing w:after="0"/>
        <w:rPr>
          <w:rFonts w:eastAsia="Calibri" w:cs="Arial"/>
        </w:rPr>
      </w:pPr>
      <w:r w:rsidRPr="0039330F">
        <w:rPr>
          <w:rFonts w:eastAsia="Calibri" w:cs="Arial"/>
        </w:rPr>
        <w:t>Panel D shows proportion of patients achieving HbA</w:t>
      </w:r>
      <w:r w:rsidRPr="0039330F">
        <w:rPr>
          <w:rFonts w:eastAsia="Calibri" w:cs="Arial"/>
          <w:vertAlign w:val="subscript"/>
        </w:rPr>
        <w:t>1c</w:t>
      </w:r>
      <w:r w:rsidRPr="0039330F">
        <w:rPr>
          <w:rFonts w:eastAsia="Calibri" w:cs="Arial"/>
        </w:rPr>
        <w:t xml:space="preserve"> targets of ≤6</w:t>
      </w:r>
      <w:r>
        <w:rPr>
          <w:rFonts w:eastAsia="Calibri" w:cs="Arial"/>
        </w:rPr>
        <w:t>·</w:t>
      </w:r>
      <w:r w:rsidRPr="0039330F">
        <w:rPr>
          <w:rFonts w:eastAsia="Calibri" w:cs="Arial"/>
        </w:rPr>
        <w:t>5% or &lt;7</w:t>
      </w:r>
      <w:r>
        <w:rPr>
          <w:rFonts w:eastAsia="Calibri" w:cs="Arial"/>
        </w:rPr>
        <w:t>·</w:t>
      </w:r>
      <w:r w:rsidRPr="0039330F">
        <w:rPr>
          <w:rFonts w:eastAsia="Calibri" w:cs="Arial"/>
        </w:rPr>
        <w:t>0% at week 68 for the in-trial period.</w:t>
      </w:r>
    </w:p>
    <w:p w14:paraId="15315307" w14:textId="77777777" w:rsidR="00DE1A4A" w:rsidRPr="0039330F" w:rsidRDefault="00DE1A4A" w:rsidP="00DE1A4A">
      <w:pPr>
        <w:spacing w:after="0"/>
        <w:rPr>
          <w:rFonts w:eastAsia="Calibri" w:cs="Arial"/>
        </w:rPr>
      </w:pPr>
      <w:r w:rsidRPr="0039330F">
        <w:rPr>
          <w:rFonts w:eastAsia="Calibri" w:cs="Arial"/>
        </w:rPr>
        <w:t>Data are for the full analysis set.</w:t>
      </w:r>
    </w:p>
    <w:p w14:paraId="1FB5FB79" w14:textId="27770338" w:rsidR="0010718C" w:rsidRPr="00C951F0" w:rsidRDefault="00DE1A4A" w:rsidP="00845FF4">
      <w:pPr>
        <w:rPr>
          <w:color w:val="000000" w:themeColor="text1"/>
        </w:rPr>
      </w:pPr>
      <w:r w:rsidRPr="0039330F">
        <w:rPr>
          <w:rFonts w:eastAsia="Calibri" w:cs="Arial"/>
        </w:rPr>
        <w:t>CI</w:t>
      </w:r>
      <w:r>
        <w:t>=</w:t>
      </w:r>
      <w:r w:rsidRPr="0039330F">
        <w:rPr>
          <w:rFonts w:eastAsia="Calibri" w:cs="Arial"/>
        </w:rPr>
        <w:t>confidence interval</w:t>
      </w:r>
      <w:r>
        <w:rPr>
          <w:rFonts w:eastAsia="Calibri" w:cs="Arial"/>
        </w:rPr>
        <w:t>.</w:t>
      </w:r>
      <w:r w:rsidRPr="0039330F">
        <w:rPr>
          <w:rFonts w:eastAsia="Calibri" w:cs="Arial"/>
        </w:rPr>
        <w:t xml:space="preserve"> HbA</w:t>
      </w:r>
      <w:r w:rsidRPr="0039330F">
        <w:rPr>
          <w:rFonts w:eastAsia="Calibri" w:cs="Arial"/>
          <w:vertAlign w:val="subscript"/>
        </w:rPr>
        <w:t>1c</w:t>
      </w:r>
      <w:r>
        <w:rPr>
          <w:rFonts w:eastAsia="Calibri" w:cs="Arial"/>
        </w:rPr>
        <w:t>=</w:t>
      </w:r>
      <w:r w:rsidRPr="0039330F">
        <w:rPr>
          <w:rFonts w:eastAsia="Calibri" w:cs="Arial"/>
        </w:rPr>
        <w:t xml:space="preserve">glycated </w:t>
      </w:r>
      <w:proofErr w:type="spellStart"/>
      <w:r>
        <w:rPr>
          <w:rFonts w:eastAsia="Calibri" w:cs="Arial"/>
        </w:rPr>
        <w:t>haemo</w:t>
      </w:r>
      <w:r w:rsidRPr="0039330F">
        <w:rPr>
          <w:rFonts w:eastAsia="Calibri" w:cs="Arial"/>
        </w:rPr>
        <w:t>globin</w:t>
      </w:r>
      <w:proofErr w:type="spellEnd"/>
      <w:r w:rsidRPr="0039330F">
        <w:rPr>
          <w:rFonts w:eastAsia="Calibri" w:cs="Arial"/>
        </w:rPr>
        <w:t>.</w:t>
      </w:r>
    </w:p>
    <w:sectPr w:rsidR="0010718C" w:rsidRPr="00C951F0" w:rsidSect="00D15EC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BA895" w14:textId="77777777" w:rsidR="00706382" w:rsidRDefault="00706382">
      <w:pPr>
        <w:spacing w:after="0" w:line="240" w:lineRule="auto"/>
      </w:pPr>
      <w:r>
        <w:separator/>
      </w:r>
    </w:p>
  </w:endnote>
  <w:endnote w:type="continuationSeparator" w:id="0">
    <w:p w14:paraId="701B3DFC" w14:textId="77777777" w:rsidR="00706382" w:rsidRDefault="00706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Shaker 2 Lancet Regular">
    <w:altName w:val="Calibri"/>
    <w:panose1 w:val="00000000000000000000"/>
    <w:charset w:val="00"/>
    <w:family w:val="swiss"/>
    <w:notTrueType/>
    <w:pitch w:val="default"/>
    <w:sig w:usb0="00000003" w:usb1="00000000" w:usb2="00000000" w:usb3="00000000" w:csb0="00000001" w:csb1="00000000"/>
  </w:font>
  <w:font w:name="TimesLTStd-Roman">
    <w:altName w:val="Yu Gothic"/>
    <w:panose1 w:val="00000000000000000000"/>
    <w:charset w:val="80"/>
    <w:family w:val="roman"/>
    <w:notTrueType/>
    <w:pitch w:val="default"/>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OTNEJMScalaSansLF">
    <w:altName w:val="Microsoft YaHei"/>
    <w:panose1 w:val="00000000000000000000"/>
    <w:charset w:val="86"/>
    <w:family w:val="swiss"/>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214C0" w14:textId="1024B0B8" w:rsidR="00706382" w:rsidRPr="00CA1356" w:rsidRDefault="00706382" w:rsidP="0039543A">
    <w:pPr>
      <w:pStyle w:val="Footer"/>
      <w:jc w:val="center"/>
      <w:rPr>
        <w:sz w:val="18"/>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06A093" w14:textId="77777777" w:rsidR="00706382" w:rsidRDefault="00706382">
      <w:pPr>
        <w:spacing w:after="0" w:line="240" w:lineRule="auto"/>
      </w:pPr>
      <w:r>
        <w:separator/>
      </w:r>
    </w:p>
  </w:footnote>
  <w:footnote w:type="continuationSeparator" w:id="0">
    <w:p w14:paraId="2C0E299B" w14:textId="77777777" w:rsidR="00706382" w:rsidRDefault="007063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FF336" w14:textId="604D3B82" w:rsidR="00706382" w:rsidRPr="00274FAD" w:rsidRDefault="00706382" w:rsidP="0039543A">
    <w:pPr>
      <w:pStyle w:val="Header"/>
    </w:pPr>
    <w:r w:rsidRPr="00274FAD">
      <w:tab/>
    </w:r>
    <w:r w:rsidRPr="00274FAD">
      <w:tab/>
    </w:r>
    <w:r w:rsidRPr="00274FAD">
      <w:rPr>
        <w:rStyle w:val="PageNumber"/>
        <w:rFonts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B1A68"/>
    <w:multiLevelType w:val="hybridMultilevel"/>
    <w:tmpl w:val="2B8E644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DF17A38"/>
    <w:multiLevelType w:val="hybridMultilevel"/>
    <w:tmpl w:val="2402C9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15632F"/>
    <w:multiLevelType w:val="multilevel"/>
    <w:tmpl w:val="A0404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AF3CFB"/>
    <w:multiLevelType w:val="hybridMultilevel"/>
    <w:tmpl w:val="75D4C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3C7DB9"/>
    <w:multiLevelType w:val="hybridMultilevel"/>
    <w:tmpl w:val="E8882ED2"/>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4342966"/>
    <w:multiLevelType w:val="hybridMultilevel"/>
    <w:tmpl w:val="A2D075A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9E78F508">
      <w:numFmt w:val="bullet"/>
      <w:lvlText w:val="•"/>
      <w:lvlJc w:val="left"/>
      <w:pPr>
        <w:ind w:left="2160" w:hanging="720"/>
      </w:pPr>
      <w:rPr>
        <w:rFonts w:ascii="Arial" w:eastAsiaTheme="minorHAnsi" w:hAnsi="Arial" w:cs="Aria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9751C3D"/>
    <w:multiLevelType w:val="hybridMultilevel"/>
    <w:tmpl w:val="18EC8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384779"/>
    <w:multiLevelType w:val="hybridMultilevel"/>
    <w:tmpl w:val="AA2829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453EBC"/>
    <w:multiLevelType w:val="hybridMultilevel"/>
    <w:tmpl w:val="F146AF7E"/>
    <w:lvl w:ilvl="0" w:tplc="B0A653E6">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DD00489"/>
    <w:multiLevelType w:val="hybridMultilevel"/>
    <w:tmpl w:val="4658FA8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2266FF2"/>
    <w:multiLevelType w:val="multilevel"/>
    <w:tmpl w:val="024A4008"/>
    <w:lvl w:ilvl="0">
      <w:start w:val="1"/>
      <w:numFmt w:val="decimal"/>
      <w:suff w:val="space"/>
      <w:lvlText w:val="14.1.%1"/>
      <w:lvlJc w:val="left"/>
      <w:pPr>
        <w:tabs>
          <w:tab w:val="num" w:pos="360"/>
        </w:tabs>
        <w:ind w:left="360" w:hanging="360"/>
      </w:pPr>
      <w:rPr>
        <w:rFonts w:ascii="Times New Roman" w:hAnsi="Times New Roman" w:cs="Times New Roman"/>
        <w:b/>
        <w:i w:val="0"/>
        <w:sz w:val="22"/>
      </w:rPr>
    </w:lvl>
    <w:lvl w:ilvl="1">
      <w:start w:val="1"/>
      <w:numFmt w:val="decimal"/>
      <w:suff w:val="space"/>
      <w:lvlText w:val="14.1.%1.%2"/>
      <w:lvlJc w:val="left"/>
      <w:pPr>
        <w:tabs>
          <w:tab w:val="num" w:pos="720"/>
        </w:tabs>
        <w:ind w:left="720" w:hanging="720"/>
      </w:pPr>
      <w:rPr>
        <w:rFonts w:ascii="Times New Roman" w:hAnsi="Times New Roman" w:cs="Times New Roman"/>
      </w:rPr>
    </w:lvl>
    <w:lvl w:ilvl="2">
      <w:start w:val="1"/>
      <w:numFmt w:val="decimal"/>
      <w:suff w:val="space"/>
      <w:lvlText w:val="14.1.%1.%2.%3"/>
      <w:lvlJc w:val="left"/>
      <w:pPr>
        <w:tabs>
          <w:tab w:val="num" w:pos="1080"/>
        </w:tabs>
        <w:ind w:left="1080" w:hanging="1080"/>
      </w:pPr>
      <w:rPr>
        <w:rFonts w:cs="Times New Roman"/>
      </w:rPr>
    </w:lvl>
    <w:lvl w:ilvl="3">
      <w:start w:val="1"/>
      <w:numFmt w:val="decimal"/>
      <w:suff w:val="space"/>
      <w:lvlText w:val="14.1.%1.%2.%3.%4"/>
      <w:lvlJc w:val="left"/>
      <w:pPr>
        <w:tabs>
          <w:tab w:val="num" w:pos="1440"/>
        </w:tabs>
        <w:ind w:left="1440" w:hanging="360"/>
      </w:pPr>
      <w:rPr>
        <w:rFonts w:cs="Times New Roman"/>
      </w:rPr>
    </w:lvl>
    <w:lvl w:ilvl="4">
      <w:start w:val="1"/>
      <w:numFmt w:val="decimal"/>
      <w:suff w:val="space"/>
      <w:lvlText w:val="14.1.%1.%2.%3.%4.%5"/>
      <w:lvlJc w:val="left"/>
      <w:pPr>
        <w:tabs>
          <w:tab w:val="num" w:pos="1800"/>
        </w:tabs>
        <w:ind w:left="1800" w:hanging="360"/>
      </w:pPr>
      <w:rPr>
        <w:rFonts w:cs="Times New Roman"/>
      </w:rPr>
    </w:lvl>
    <w:lvl w:ilvl="5">
      <w:start w:val="1"/>
      <w:numFmt w:val="decimal"/>
      <w:lvlText w:val="14.1.%1.%2.%3.%4.%5.%6"/>
      <w:lvlJc w:val="left"/>
      <w:pPr>
        <w:tabs>
          <w:tab w:val="num" w:pos="2160"/>
        </w:tabs>
        <w:ind w:left="2160" w:hanging="360"/>
      </w:pPr>
      <w:rPr>
        <w:rFonts w:cs="Times New Roman"/>
      </w:rPr>
    </w:lvl>
    <w:lvl w:ilvl="6">
      <w:start w:val="1"/>
      <w:numFmt w:val="decimal"/>
      <w:lvlText w:val="14.1.%1.%2.%3.%4.%5.%6.%7"/>
      <w:lvlJc w:val="left"/>
      <w:pPr>
        <w:tabs>
          <w:tab w:val="num" w:pos="2520"/>
        </w:tabs>
        <w:ind w:left="2520" w:hanging="360"/>
      </w:pPr>
      <w:rPr>
        <w:rFonts w:cs="Times New Roman"/>
      </w:rPr>
    </w:lvl>
    <w:lvl w:ilvl="7">
      <w:start w:val="1"/>
      <w:numFmt w:val="decimal"/>
      <w:lvlText w:val="14.1.%1.%2.%3.%4.%5.%6.%7.%8"/>
      <w:lvlJc w:val="left"/>
      <w:pPr>
        <w:tabs>
          <w:tab w:val="num" w:pos="2880"/>
        </w:tabs>
        <w:ind w:left="2880" w:hanging="360"/>
      </w:pPr>
      <w:rPr>
        <w:rFonts w:cs="Times New Roman"/>
      </w:rPr>
    </w:lvl>
    <w:lvl w:ilvl="8">
      <w:start w:val="1"/>
      <w:numFmt w:val="decimal"/>
      <w:lvlText w:val="14.1.%1.%2.%3.%4.%5.%6.%7.%8.%9"/>
      <w:lvlJc w:val="left"/>
      <w:pPr>
        <w:tabs>
          <w:tab w:val="num" w:pos="3240"/>
        </w:tabs>
        <w:ind w:left="3240" w:hanging="360"/>
      </w:pPr>
      <w:rPr>
        <w:rFonts w:cs="Times New Roman"/>
      </w:rPr>
    </w:lvl>
  </w:abstractNum>
  <w:abstractNum w:abstractNumId="11" w15:restartNumberingAfterBreak="0">
    <w:nsid w:val="715D4241"/>
    <w:multiLevelType w:val="hybridMultilevel"/>
    <w:tmpl w:val="0AAA62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9ED5BC0"/>
    <w:multiLevelType w:val="multilevel"/>
    <w:tmpl w:val="5D505F34"/>
    <w:lvl w:ilvl="0">
      <w:start w:val="1"/>
      <w:numFmt w:val="decimal"/>
      <w:pStyle w:val="OutputTit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A4507A9"/>
    <w:multiLevelType w:val="hybridMultilevel"/>
    <w:tmpl w:val="C6CE7D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11"/>
  </w:num>
  <w:num w:numId="3">
    <w:abstractNumId w:val="9"/>
  </w:num>
  <w:num w:numId="4">
    <w:abstractNumId w:val="7"/>
  </w:num>
  <w:num w:numId="5">
    <w:abstractNumId w:val="3"/>
  </w:num>
  <w:num w:numId="6">
    <w:abstractNumId w:val="6"/>
  </w:num>
  <w:num w:numId="7">
    <w:abstractNumId w:val="10"/>
  </w:num>
  <w:num w:numId="8">
    <w:abstractNumId w:val="12"/>
  </w:num>
  <w:num w:numId="9">
    <w:abstractNumId w:val="13"/>
  </w:num>
  <w:num w:numId="10">
    <w:abstractNumId w:val="0"/>
  </w:num>
  <w:num w:numId="11">
    <w:abstractNumId w:val="4"/>
  </w:num>
  <w:num w:numId="12">
    <w:abstractNumId w:val="2"/>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B1644A"/>
    <w:rsid w:val="00002E30"/>
    <w:rsid w:val="000076B0"/>
    <w:rsid w:val="00011D10"/>
    <w:rsid w:val="00012D40"/>
    <w:rsid w:val="000170D9"/>
    <w:rsid w:val="00031B6A"/>
    <w:rsid w:val="00037BDD"/>
    <w:rsid w:val="000424D3"/>
    <w:rsid w:val="00052CD0"/>
    <w:rsid w:val="00056733"/>
    <w:rsid w:val="00057D63"/>
    <w:rsid w:val="00065E91"/>
    <w:rsid w:val="00074979"/>
    <w:rsid w:val="00091237"/>
    <w:rsid w:val="000928D5"/>
    <w:rsid w:val="000948D1"/>
    <w:rsid w:val="00097852"/>
    <w:rsid w:val="000A4BD1"/>
    <w:rsid w:val="000C544C"/>
    <w:rsid w:val="000D6322"/>
    <w:rsid w:val="000F4F5C"/>
    <w:rsid w:val="001039D6"/>
    <w:rsid w:val="0010718C"/>
    <w:rsid w:val="00110733"/>
    <w:rsid w:val="001140AC"/>
    <w:rsid w:val="00114ED2"/>
    <w:rsid w:val="001335B4"/>
    <w:rsid w:val="001423D8"/>
    <w:rsid w:val="0014266D"/>
    <w:rsid w:val="001449A6"/>
    <w:rsid w:val="00153941"/>
    <w:rsid w:val="001656A8"/>
    <w:rsid w:val="00167A2D"/>
    <w:rsid w:val="00171AC0"/>
    <w:rsid w:val="0017439D"/>
    <w:rsid w:val="00174DB6"/>
    <w:rsid w:val="001951FC"/>
    <w:rsid w:val="00195A22"/>
    <w:rsid w:val="001963AE"/>
    <w:rsid w:val="001A18F0"/>
    <w:rsid w:val="001A42E0"/>
    <w:rsid w:val="001B2F0D"/>
    <w:rsid w:val="001B48EC"/>
    <w:rsid w:val="001C17CA"/>
    <w:rsid w:val="001D030E"/>
    <w:rsid w:val="001D195A"/>
    <w:rsid w:val="001D4439"/>
    <w:rsid w:val="001E0374"/>
    <w:rsid w:val="001F1B21"/>
    <w:rsid w:val="00206BDD"/>
    <w:rsid w:val="002267A7"/>
    <w:rsid w:val="00227D23"/>
    <w:rsid w:val="00236A44"/>
    <w:rsid w:val="00236FEA"/>
    <w:rsid w:val="00237282"/>
    <w:rsid w:val="0024449C"/>
    <w:rsid w:val="002878FF"/>
    <w:rsid w:val="002A54F5"/>
    <w:rsid w:val="002A7A09"/>
    <w:rsid w:val="002B291D"/>
    <w:rsid w:val="002B637F"/>
    <w:rsid w:val="002B6EF3"/>
    <w:rsid w:val="002D0D7C"/>
    <w:rsid w:val="002D4E1F"/>
    <w:rsid w:val="002D5524"/>
    <w:rsid w:val="002E36FC"/>
    <w:rsid w:val="00301168"/>
    <w:rsid w:val="003063B5"/>
    <w:rsid w:val="003304FC"/>
    <w:rsid w:val="00330FE0"/>
    <w:rsid w:val="00335633"/>
    <w:rsid w:val="0033699A"/>
    <w:rsid w:val="0035067B"/>
    <w:rsid w:val="003519B0"/>
    <w:rsid w:val="00352258"/>
    <w:rsid w:val="00361793"/>
    <w:rsid w:val="00364CF5"/>
    <w:rsid w:val="0037035E"/>
    <w:rsid w:val="00377F95"/>
    <w:rsid w:val="00382ED8"/>
    <w:rsid w:val="003863C3"/>
    <w:rsid w:val="0039330F"/>
    <w:rsid w:val="0039526E"/>
    <w:rsid w:val="0039543A"/>
    <w:rsid w:val="003B303D"/>
    <w:rsid w:val="003B7DF6"/>
    <w:rsid w:val="003C6DA1"/>
    <w:rsid w:val="003E1C36"/>
    <w:rsid w:val="003E3932"/>
    <w:rsid w:val="003E71DC"/>
    <w:rsid w:val="003E73C6"/>
    <w:rsid w:val="003F4F99"/>
    <w:rsid w:val="00410FB3"/>
    <w:rsid w:val="004152A6"/>
    <w:rsid w:val="00415EBB"/>
    <w:rsid w:val="004230DA"/>
    <w:rsid w:val="00433982"/>
    <w:rsid w:val="00444F43"/>
    <w:rsid w:val="004519D4"/>
    <w:rsid w:val="00475CF2"/>
    <w:rsid w:val="00487967"/>
    <w:rsid w:val="004879F1"/>
    <w:rsid w:val="00494709"/>
    <w:rsid w:val="00495187"/>
    <w:rsid w:val="004A7DC3"/>
    <w:rsid w:val="004B580E"/>
    <w:rsid w:val="004C4F62"/>
    <w:rsid w:val="004D2AC4"/>
    <w:rsid w:val="004D48A1"/>
    <w:rsid w:val="004D5D21"/>
    <w:rsid w:val="004E0AB7"/>
    <w:rsid w:val="004E2B67"/>
    <w:rsid w:val="004E732B"/>
    <w:rsid w:val="004F2926"/>
    <w:rsid w:val="00504BFA"/>
    <w:rsid w:val="00516F40"/>
    <w:rsid w:val="0052387D"/>
    <w:rsid w:val="005412F0"/>
    <w:rsid w:val="00545DF2"/>
    <w:rsid w:val="00554670"/>
    <w:rsid w:val="00555C30"/>
    <w:rsid w:val="0055715C"/>
    <w:rsid w:val="00560C5B"/>
    <w:rsid w:val="005815DD"/>
    <w:rsid w:val="00584E46"/>
    <w:rsid w:val="005A23D1"/>
    <w:rsid w:val="005A74CD"/>
    <w:rsid w:val="005B01FE"/>
    <w:rsid w:val="005F2EA8"/>
    <w:rsid w:val="005F4B4E"/>
    <w:rsid w:val="006014F5"/>
    <w:rsid w:val="0060453C"/>
    <w:rsid w:val="00612C7D"/>
    <w:rsid w:val="0061439A"/>
    <w:rsid w:val="006165CA"/>
    <w:rsid w:val="00620F94"/>
    <w:rsid w:val="00630CB7"/>
    <w:rsid w:val="006443B5"/>
    <w:rsid w:val="00647766"/>
    <w:rsid w:val="006547F3"/>
    <w:rsid w:val="00656521"/>
    <w:rsid w:val="0066565B"/>
    <w:rsid w:val="00666130"/>
    <w:rsid w:val="00666D26"/>
    <w:rsid w:val="00690087"/>
    <w:rsid w:val="00690D51"/>
    <w:rsid w:val="00697576"/>
    <w:rsid w:val="006A06BC"/>
    <w:rsid w:val="006A15C4"/>
    <w:rsid w:val="006A16DA"/>
    <w:rsid w:val="006A5D5B"/>
    <w:rsid w:val="006A6CF0"/>
    <w:rsid w:val="006A7C4D"/>
    <w:rsid w:val="006C19F4"/>
    <w:rsid w:val="006C2D21"/>
    <w:rsid w:val="006E1067"/>
    <w:rsid w:val="007015DE"/>
    <w:rsid w:val="00706382"/>
    <w:rsid w:val="007108AA"/>
    <w:rsid w:val="007140F4"/>
    <w:rsid w:val="00714595"/>
    <w:rsid w:val="007166E7"/>
    <w:rsid w:val="00716800"/>
    <w:rsid w:val="00720079"/>
    <w:rsid w:val="007368CC"/>
    <w:rsid w:val="00747C1F"/>
    <w:rsid w:val="007626D5"/>
    <w:rsid w:val="00767398"/>
    <w:rsid w:val="00775C37"/>
    <w:rsid w:val="0078090A"/>
    <w:rsid w:val="0079057E"/>
    <w:rsid w:val="00795564"/>
    <w:rsid w:val="007B1519"/>
    <w:rsid w:val="007B5725"/>
    <w:rsid w:val="007B717D"/>
    <w:rsid w:val="007C0AFE"/>
    <w:rsid w:val="007D1EA3"/>
    <w:rsid w:val="007D3A77"/>
    <w:rsid w:val="007E1D29"/>
    <w:rsid w:val="007E6091"/>
    <w:rsid w:val="008006C3"/>
    <w:rsid w:val="00812377"/>
    <w:rsid w:val="00814F11"/>
    <w:rsid w:val="008237B6"/>
    <w:rsid w:val="00832ED4"/>
    <w:rsid w:val="008417E2"/>
    <w:rsid w:val="00845FF4"/>
    <w:rsid w:val="008657AA"/>
    <w:rsid w:val="00865E38"/>
    <w:rsid w:val="0087110E"/>
    <w:rsid w:val="008815A7"/>
    <w:rsid w:val="0088386A"/>
    <w:rsid w:val="0088401C"/>
    <w:rsid w:val="008960D0"/>
    <w:rsid w:val="008A60B8"/>
    <w:rsid w:val="008A62E0"/>
    <w:rsid w:val="008C5D8F"/>
    <w:rsid w:val="008F1F91"/>
    <w:rsid w:val="00911976"/>
    <w:rsid w:val="00913251"/>
    <w:rsid w:val="00917877"/>
    <w:rsid w:val="0092499A"/>
    <w:rsid w:val="00926411"/>
    <w:rsid w:val="00934A10"/>
    <w:rsid w:val="00937560"/>
    <w:rsid w:val="00946A2E"/>
    <w:rsid w:val="00952356"/>
    <w:rsid w:val="00953944"/>
    <w:rsid w:val="0096099B"/>
    <w:rsid w:val="00985A90"/>
    <w:rsid w:val="00991A9A"/>
    <w:rsid w:val="0099765C"/>
    <w:rsid w:val="009B113E"/>
    <w:rsid w:val="009B7321"/>
    <w:rsid w:val="009B7CB5"/>
    <w:rsid w:val="009D074F"/>
    <w:rsid w:val="009D2E20"/>
    <w:rsid w:val="009D3B9D"/>
    <w:rsid w:val="009E657C"/>
    <w:rsid w:val="009F14D0"/>
    <w:rsid w:val="009F7240"/>
    <w:rsid w:val="00A00FF0"/>
    <w:rsid w:val="00A03264"/>
    <w:rsid w:val="00A103BC"/>
    <w:rsid w:val="00A12425"/>
    <w:rsid w:val="00A13FCC"/>
    <w:rsid w:val="00A20FBC"/>
    <w:rsid w:val="00A24463"/>
    <w:rsid w:val="00A320A0"/>
    <w:rsid w:val="00A53F51"/>
    <w:rsid w:val="00A5423C"/>
    <w:rsid w:val="00A55C6E"/>
    <w:rsid w:val="00A607B7"/>
    <w:rsid w:val="00A60EFF"/>
    <w:rsid w:val="00A63C2B"/>
    <w:rsid w:val="00A90F00"/>
    <w:rsid w:val="00AB5FF5"/>
    <w:rsid w:val="00AB6A68"/>
    <w:rsid w:val="00AC5136"/>
    <w:rsid w:val="00AE13B1"/>
    <w:rsid w:val="00AE3697"/>
    <w:rsid w:val="00AF6309"/>
    <w:rsid w:val="00B11AC5"/>
    <w:rsid w:val="00B1644A"/>
    <w:rsid w:val="00B4549A"/>
    <w:rsid w:val="00B47319"/>
    <w:rsid w:val="00B540F7"/>
    <w:rsid w:val="00B549AB"/>
    <w:rsid w:val="00B55DEA"/>
    <w:rsid w:val="00B62508"/>
    <w:rsid w:val="00B634B1"/>
    <w:rsid w:val="00B6546C"/>
    <w:rsid w:val="00B70A30"/>
    <w:rsid w:val="00B809C6"/>
    <w:rsid w:val="00B8184E"/>
    <w:rsid w:val="00B81AAF"/>
    <w:rsid w:val="00B87F20"/>
    <w:rsid w:val="00B9469E"/>
    <w:rsid w:val="00B95D8E"/>
    <w:rsid w:val="00BA2DEC"/>
    <w:rsid w:val="00BA3417"/>
    <w:rsid w:val="00BC4C09"/>
    <w:rsid w:val="00BC6D29"/>
    <w:rsid w:val="00BD58BE"/>
    <w:rsid w:val="00BD6089"/>
    <w:rsid w:val="00BE5A8C"/>
    <w:rsid w:val="00BF42BE"/>
    <w:rsid w:val="00C10782"/>
    <w:rsid w:val="00C1141D"/>
    <w:rsid w:val="00C22B38"/>
    <w:rsid w:val="00C24966"/>
    <w:rsid w:val="00C25CC5"/>
    <w:rsid w:val="00C503FA"/>
    <w:rsid w:val="00C5236B"/>
    <w:rsid w:val="00C5470D"/>
    <w:rsid w:val="00C7265D"/>
    <w:rsid w:val="00C76956"/>
    <w:rsid w:val="00C90C6B"/>
    <w:rsid w:val="00C921B3"/>
    <w:rsid w:val="00C951F0"/>
    <w:rsid w:val="00CA1A9D"/>
    <w:rsid w:val="00CB13C0"/>
    <w:rsid w:val="00CB236E"/>
    <w:rsid w:val="00CC150E"/>
    <w:rsid w:val="00CC54D6"/>
    <w:rsid w:val="00CD1AC8"/>
    <w:rsid w:val="00CD6253"/>
    <w:rsid w:val="00CE0CE2"/>
    <w:rsid w:val="00CE2648"/>
    <w:rsid w:val="00CE62DE"/>
    <w:rsid w:val="00CE771D"/>
    <w:rsid w:val="00CE7BB9"/>
    <w:rsid w:val="00CF7014"/>
    <w:rsid w:val="00D03F4E"/>
    <w:rsid w:val="00D12997"/>
    <w:rsid w:val="00D15EC3"/>
    <w:rsid w:val="00D2651E"/>
    <w:rsid w:val="00D37BD2"/>
    <w:rsid w:val="00D619CC"/>
    <w:rsid w:val="00D70E96"/>
    <w:rsid w:val="00D83DE4"/>
    <w:rsid w:val="00D95695"/>
    <w:rsid w:val="00DA707C"/>
    <w:rsid w:val="00DB0528"/>
    <w:rsid w:val="00DB1537"/>
    <w:rsid w:val="00DB2A33"/>
    <w:rsid w:val="00DE1A4A"/>
    <w:rsid w:val="00DE4168"/>
    <w:rsid w:val="00DE601F"/>
    <w:rsid w:val="00DF2360"/>
    <w:rsid w:val="00DF4D9B"/>
    <w:rsid w:val="00DF77AC"/>
    <w:rsid w:val="00E13F0F"/>
    <w:rsid w:val="00E14307"/>
    <w:rsid w:val="00E14319"/>
    <w:rsid w:val="00E20834"/>
    <w:rsid w:val="00E21A97"/>
    <w:rsid w:val="00E2302F"/>
    <w:rsid w:val="00E265DF"/>
    <w:rsid w:val="00E455C9"/>
    <w:rsid w:val="00E47DB7"/>
    <w:rsid w:val="00E73E28"/>
    <w:rsid w:val="00E74C9F"/>
    <w:rsid w:val="00E876F5"/>
    <w:rsid w:val="00E907DF"/>
    <w:rsid w:val="00E9760F"/>
    <w:rsid w:val="00EA46EF"/>
    <w:rsid w:val="00EB1953"/>
    <w:rsid w:val="00EB2E16"/>
    <w:rsid w:val="00EC25FF"/>
    <w:rsid w:val="00ED27DB"/>
    <w:rsid w:val="00EF2C97"/>
    <w:rsid w:val="00EF770B"/>
    <w:rsid w:val="00F07DAC"/>
    <w:rsid w:val="00F20EFC"/>
    <w:rsid w:val="00F43EB8"/>
    <w:rsid w:val="00F53B45"/>
    <w:rsid w:val="00F5793D"/>
    <w:rsid w:val="00F664B4"/>
    <w:rsid w:val="00F71120"/>
    <w:rsid w:val="00F72AF8"/>
    <w:rsid w:val="00F73FFC"/>
    <w:rsid w:val="00F817FF"/>
    <w:rsid w:val="00F9595B"/>
    <w:rsid w:val="00FA39DD"/>
    <w:rsid w:val="00FA54DD"/>
    <w:rsid w:val="00FB66F0"/>
    <w:rsid w:val="00FC6636"/>
    <w:rsid w:val="00FD3AF7"/>
    <w:rsid w:val="00FF595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66449E2"/>
  <w15:docId w15:val="{8C8B6888-3461-4CD1-A1AD-EE31DEE1D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521"/>
    <w:pPr>
      <w:spacing w:after="120" w:line="480" w:lineRule="auto"/>
    </w:pPr>
    <w:rPr>
      <w:rFonts w:ascii="Arial" w:hAnsi="Arial"/>
      <w:lang w:val="en-US"/>
    </w:rPr>
  </w:style>
  <w:style w:type="paragraph" w:styleId="Heading1">
    <w:name w:val="heading 1"/>
    <w:basedOn w:val="Normal"/>
    <w:link w:val="Heading1Char"/>
    <w:uiPriority w:val="9"/>
    <w:qFormat/>
    <w:rsid w:val="00B1644A"/>
    <w:pPr>
      <w:spacing w:before="240" w:after="240" w:line="240" w:lineRule="auto"/>
      <w:outlineLvl w:val="0"/>
    </w:pPr>
    <w:rPr>
      <w:rFonts w:eastAsia="Times New Roman" w:cs="Times New Roman"/>
      <w:b/>
      <w:bCs/>
      <w:color w:val="000000"/>
      <w:kern w:val="36"/>
      <w:sz w:val="28"/>
      <w:szCs w:val="33"/>
      <w:lang w:eastAsia="en-GB"/>
    </w:rPr>
  </w:style>
  <w:style w:type="paragraph" w:styleId="Heading2">
    <w:name w:val="heading 2"/>
    <w:basedOn w:val="Normal"/>
    <w:next w:val="Normal"/>
    <w:link w:val="Heading2Char"/>
    <w:uiPriority w:val="9"/>
    <w:unhideWhenUsed/>
    <w:qFormat/>
    <w:rsid w:val="00B1644A"/>
    <w:pPr>
      <w:keepNext/>
      <w:keepLines/>
      <w:spacing w:before="240" w:after="240"/>
      <w:outlineLvl w:val="1"/>
    </w:pPr>
    <w:rPr>
      <w:rFonts w:eastAsiaTheme="majorEastAsia" w:cstheme="majorBidi"/>
      <w:b/>
      <w:caps/>
      <w:sz w:val="24"/>
      <w:szCs w:val="26"/>
    </w:rPr>
  </w:style>
  <w:style w:type="paragraph" w:styleId="Heading3">
    <w:name w:val="heading 3"/>
    <w:basedOn w:val="Normal"/>
    <w:next w:val="Normal"/>
    <w:link w:val="Heading3Char"/>
    <w:uiPriority w:val="9"/>
    <w:unhideWhenUsed/>
    <w:qFormat/>
    <w:rsid w:val="00B1644A"/>
    <w:pPr>
      <w:keepNext/>
      <w:keepLines/>
      <w:spacing w:before="40" w:after="0"/>
      <w:outlineLvl w:val="2"/>
    </w:pPr>
    <w:rPr>
      <w:rFonts w:eastAsiaTheme="majorEastAsia" w:cstheme="majorBidi"/>
      <w:sz w:val="24"/>
      <w:szCs w:val="24"/>
    </w:rPr>
  </w:style>
  <w:style w:type="paragraph" w:styleId="Heading4">
    <w:name w:val="heading 4"/>
    <w:basedOn w:val="Normal"/>
    <w:next w:val="Normal"/>
    <w:link w:val="Heading4Char"/>
    <w:uiPriority w:val="9"/>
    <w:unhideWhenUsed/>
    <w:qFormat/>
    <w:rsid w:val="00B1644A"/>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44A"/>
    <w:rPr>
      <w:rFonts w:ascii="Arial" w:eastAsia="Times New Roman" w:hAnsi="Arial" w:cs="Times New Roman"/>
      <w:b/>
      <w:bCs/>
      <w:color w:val="000000"/>
      <w:kern w:val="36"/>
      <w:sz w:val="28"/>
      <w:szCs w:val="33"/>
      <w:lang w:val="en-US" w:eastAsia="en-GB"/>
    </w:rPr>
  </w:style>
  <w:style w:type="character" w:customStyle="1" w:styleId="Heading2Char">
    <w:name w:val="Heading 2 Char"/>
    <w:basedOn w:val="DefaultParagraphFont"/>
    <w:link w:val="Heading2"/>
    <w:uiPriority w:val="9"/>
    <w:rsid w:val="00B1644A"/>
    <w:rPr>
      <w:rFonts w:ascii="Arial" w:eastAsiaTheme="majorEastAsia" w:hAnsi="Arial" w:cstheme="majorBidi"/>
      <w:b/>
      <w:caps/>
      <w:sz w:val="24"/>
      <w:szCs w:val="26"/>
      <w:lang w:val="en-US"/>
    </w:rPr>
  </w:style>
  <w:style w:type="character" w:customStyle="1" w:styleId="Heading3Char">
    <w:name w:val="Heading 3 Char"/>
    <w:basedOn w:val="DefaultParagraphFont"/>
    <w:link w:val="Heading3"/>
    <w:uiPriority w:val="9"/>
    <w:rsid w:val="00B1644A"/>
    <w:rPr>
      <w:rFonts w:ascii="Arial" w:eastAsiaTheme="majorEastAsia" w:hAnsi="Arial" w:cstheme="majorBidi"/>
      <w:sz w:val="24"/>
      <w:szCs w:val="24"/>
      <w:lang w:val="en-US"/>
    </w:rPr>
  </w:style>
  <w:style w:type="character" w:customStyle="1" w:styleId="Heading4Char">
    <w:name w:val="Heading 4 Char"/>
    <w:basedOn w:val="DefaultParagraphFont"/>
    <w:link w:val="Heading4"/>
    <w:uiPriority w:val="9"/>
    <w:rsid w:val="00B1644A"/>
    <w:rPr>
      <w:rFonts w:asciiTheme="majorHAnsi" w:eastAsiaTheme="majorEastAsia" w:hAnsiTheme="majorHAnsi" w:cstheme="majorBidi"/>
      <w:b/>
      <w:bCs/>
      <w:i/>
      <w:iCs/>
      <w:color w:val="4472C4" w:themeColor="accent1"/>
      <w:lang w:val="en-US"/>
    </w:rPr>
  </w:style>
  <w:style w:type="character" w:styleId="Hyperlink">
    <w:name w:val="Hyperlink"/>
    <w:rsid w:val="00B1644A"/>
    <w:rPr>
      <w:color w:val="0000FF"/>
      <w:u w:val="single"/>
    </w:rPr>
  </w:style>
  <w:style w:type="paragraph" w:styleId="ListParagraph">
    <w:name w:val="List Paragraph"/>
    <w:basedOn w:val="Normal"/>
    <w:link w:val="ListParagraphChar"/>
    <w:uiPriority w:val="34"/>
    <w:qFormat/>
    <w:rsid w:val="00B1644A"/>
    <w:pPr>
      <w:ind w:left="720"/>
      <w:contextualSpacing/>
    </w:pPr>
  </w:style>
  <w:style w:type="paragraph" w:styleId="Header">
    <w:name w:val="header"/>
    <w:basedOn w:val="Normal"/>
    <w:link w:val="HeaderChar"/>
    <w:unhideWhenUsed/>
    <w:rsid w:val="00B1644A"/>
    <w:pPr>
      <w:tabs>
        <w:tab w:val="center" w:pos="4513"/>
        <w:tab w:val="right" w:pos="9026"/>
      </w:tabs>
      <w:spacing w:after="0" w:line="240" w:lineRule="auto"/>
    </w:pPr>
  </w:style>
  <w:style w:type="character" w:customStyle="1" w:styleId="HeaderChar">
    <w:name w:val="Header Char"/>
    <w:basedOn w:val="DefaultParagraphFont"/>
    <w:link w:val="Header"/>
    <w:rsid w:val="00B1644A"/>
    <w:rPr>
      <w:rFonts w:ascii="Arial" w:hAnsi="Arial"/>
      <w:lang w:val="en-US"/>
    </w:rPr>
  </w:style>
  <w:style w:type="paragraph" w:styleId="Footer">
    <w:name w:val="footer"/>
    <w:basedOn w:val="Normal"/>
    <w:link w:val="FooterChar"/>
    <w:uiPriority w:val="99"/>
    <w:unhideWhenUsed/>
    <w:rsid w:val="00B164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644A"/>
    <w:rPr>
      <w:rFonts w:ascii="Arial" w:hAnsi="Arial"/>
      <w:lang w:val="en-US"/>
    </w:rPr>
  </w:style>
  <w:style w:type="character" w:styleId="PageNumber">
    <w:name w:val="page number"/>
    <w:rsid w:val="00B1644A"/>
    <w:rPr>
      <w:rFonts w:ascii="Arial" w:hAnsi="Arial"/>
      <w:color w:val="auto"/>
      <w:sz w:val="18"/>
    </w:rPr>
  </w:style>
  <w:style w:type="paragraph" w:styleId="Subtitle">
    <w:name w:val="Subtitle"/>
    <w:basedOn w:val="Normal"/>
    <w:next w:val="Normal"/>
    <w:link w:val="SubtitleChar"/>
    <w:uiPriority w:val="11"/>
    <w:qFormat/>
    <w:rsid w:val="00B1644A"/>
    <w:pPr>
      <w:numPr>
        <w:ilvl w:val="1"/>
      </w:numPr>
    </w:pPr>
    <w:rPr>
      <w:rFonts w:eastAsiaTheme="minorEastAsia"/>
      <w:b/>
      <w:i/>
      <w:color w:val="000000" w:themeColor="text1"/>
      <w:spacing w:val="15"/>
    </w:rPr>
  </w:style>
  <w:style w:type="character" w:customStyle="1" w:styleId="SubtitleChar">
    <w:name w:val="Subtitle Char"/>
    <w:basedOn w:val="DefaultParagraphFont"/>
    <w:link w:val="Subtitle"/>
    <w:uiPriority w:val="11"/>
    <w:rsid w:val="00B1644A"/>
    <w:rPr>
      <w:rFonts w:ascii="Arial" w:eastAsiaTheme="minorEastAsia" w:hAnsi="Arial"/>
      <w:b/>
      <w:i/>
      <w:color w:val="000000" w:themeColor="text1"/>
      <w:spacing w:val="15"/>
      <w:lang w:val="en-US"/>
    </w:rPr>
  </w:style>
  <w:style w:type="character" w:styleId="CommentReference">
    <w:name w:val="annotation reference"/>
    <w:basedOn w:val="DefaultParagraphFont"/>
    <w:uiPriority w:val="99"/>
    <w:unhideWhenUsed/>
    <w:rsid w:val="00B1644A"/>
    <w:rPr>
      <w:sz w:val="16"/>
      <w:szCs w:val="16"/>
    </w:rPr>
  </w:style>
  <w:style w:type="paragraph" w:styleId="CommentText">
    <w:name w:val="annotation text"/>
    <w:basedOn w:val="Normal"/>
    <w:link w:val="CommentTextChar"/>
    <w:uiPriority w:val="99"/>
    <w:unhideWhenUsed/>
    <w:rsid w:val="00B1644A"/>
    <w:pPr>
      <w:spacing w:line="240" w:lineRule="auto"/>
    </w:pPr>
    <w:rPr>
      <w:sz w:val="20"/>
      <w:szCs w:val="20"/>
    </w:rPr>
  </w:style>
  <w:style w:type="character" w:customStyle="1" w:styleId="CommentTextChar">
    <w:name w:val="Comment Text Char"/>
    <w:basedOn w:val="DefaultParagraphFont"/>
    <w:link w:val="CommentText"/>
    <w:uiPriority w:val="99"/>
    <w:rsid w:val="00B1644A"/>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B1644A"/>
    <w:rPr>
      <w:b/>
      <w:bCs/>
    </w:rPr>
  </w:style>
  <w:style w:type="character" w:customStyle="1" w:styleId="CommentSubjectChar">
    <w:name w:val="Comment Subject Char"/>
    <w:basedOn w:val="CommentTextChar"/>
    <w:link w:val="CommentSubject"/>
    <w:uiPriority w:val="99"/>
    <w:semiHidden/>
    <w:rsid w:val="00B1644A"/>
    <w:rPr>
      <w:rFonts w:ascii="Arial" w:hAnsi="Arial"/>
      <w:b/>
      <w:bCs/>
      <w:sz w:val="20"/>
      <w:szCs w:val="20"/>
      <w:lang w:val="en-US"/>
    </w:rPr>
  </w:style>
  <w:style w:type="paragraph" w:styleId="BalloonText">
    <w:name w:val="Balloon Text"/>
    <w:basedOn w:val="Normal"/>
    <w:link w:val="BalloonTextChar"/>
    <w:uiPriority w:val="99"/>
    <w:semiHidden/>
    <w:unhideWhenUsed/>
    <w:rsid w:val="00B164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44A"/>
    <w:rPr>
      <w:rFonts w:ascii="Segoe UI" w:hAnsi="Segoe UI" w:cs="Segoe UI"/>
      <w:sz w:val="18"/>
      <w:szCs w:val="18"/>
      <w:lang w:val="en-US"/>
    </w:rPr>
  </w:style>
  <w:style w:type="table" w:styleId="TableGrid">
    <w:name w:val="Table Grid"/>
    <w:basedOn w:val="TableNormal"/>
    <w:uiPriority w:val="39"/>
    <w:rsid w:val="00B16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1644A"/>
    <w:rPr>
      <w:color w:val="605E5C"/>
      <w:shd w:val="clear" w:color="auto" w:fill="E1DFDD"/>
    </w:rPr>
  </w:style>
  <w:style w:type="character" w:customStyle="1" w:styleId="fontstyle01">
    <w:name w:val="fontstyle01"/>
    <w:basedOn w:val="DefaultParagraphFont"/>
    <w:rsid w:val="00B1644A"/>
    <w:rPr>
      <w:rFonts w:ascii="TimesNewRoman" w:hAnsi="TimesNewRoman" w:hint="default"/>
      <w:b w:val="0"/>
      <w:bCs w:val="0"/>
      <w:i w:val="0"/>
      <w:iCs w:val="0"/>
      <w:color w:val="000000"/>
      <w:sz w:val="24"/>
      <w:szCs w:val="24"/>
    </w:rPr>
  </w:style>
  <w:style w:type="paragraph" w:styleId="Revision">
    <w:name w:val="Revision"/>
    <w:hidden/>
    <w:uiPriority w:val="99"/>
    <w:semiHidden/>
    <w:rsid w:val="00B1644A"/>
    <w:pPr>
      <w:spacing w:after="0" w:line="240" w:lineRule="auto"/>
    </w:pPr>
  </w:style>
  <w:style w:type="paragraph" w:styleId="BodyText">
    <w:name w:val="Body Text"/>
    <w:basedOn w:val="Normal"/>
    <w:link w:val="BodyTextChar"/>
    <w:uiPriority w:val="99"/>
    <w:semiHidden/>
    <w:unhideWhenUsed/>
    <w:rsid w:val="00B1644A"/>
  </w:style>
  <w:style w:type="character" w:customStyle="1" w:styleId="BodyTextChar">
    <w:name w:val="Body Text Char"/>
    <w:basedOn w:val="DefaultParagraphFont"/>
    <w:link w:val="BodyText"/>
    <w:uiPriority w:val="99"/>
    <w:semiHidden/>
    <w:rsid w:val="00B1644A"/>
    <w:rPr>
      <w:rFonts w:ascii="Arial" w:hAnsi="Arial"/>
      <w:lang w:val="en-US"/>
    </w:rPr>
  </w:style>
  <w:style w:type="character" w:customStyle="1" w:styleId="UnresolvedMention10">
    <w:name w:val="Unresolved Mention10"/>
    <w:basedOn w:val="DefaultParagraphFont"/>
    <w:uiPriority w:val="99"/>
    <w:semiHidden/>
    <w:unhideWhenUsed/>
    <w:rsid w:val="00B1644A"/>
    <w:rPr>
      <w:color w:val="605E5C"/>
      <w:shd w:val="clear" w:color="auto" w:fill="E1DFDD"/>
    </w:rPr>
  </w:style>
  <w:style w:type="paragraph" w:styleId="EndnoteText">
    <w:name w:val="endnote text"/>
    <w:basedOn w:val="Normal"/>
    <w:link w:val="EndnoteTextChar"/>
    <w:uiPriority w:val="99"/>
    <w:unhideWhenUsed/>
    <w:rsid w:val="00B1644A"/>
    <w:pPr>
      <w:spacing w:after="0" w:line="240" w:lineRule="auto"/>
    </w:pPr>
    <w:rPr>
      <w:rFonts w:ascii="Times New Roman" w:hAnsi="Times New Roman"/>
      <w:sz w:val="20"/>
      <w:szCs w:val="20"/>
      <w:lang w:val="da-DK"/>
    </w:rPr>
  </w:style>
  <w:style w:type="character" w:customStyle="1" w:styleId="EndnoteTextChar">
    <w:name w:val="Endnote Text Char"/>
    <w:basedOn w:val="DefaultParagraphFont"/>
    <w:link w:val="EndnoteText"/>
    <w:uiPriority w:val="99"/>
    <w:rsid w:val="00B1644A"/>
    <w:rPr>
      <w:rFonts w:ascii="Times New Roman" w:hAnsi="Times New Roman"/>
      <w:sz w:val="20"/>
      <w:szCs w:val="20"/>
      <w:lang w:val="da-DK"/>
    </w:rPr>
  </w:style>
  <w:style w:type="character" w:styleId="EndnoteReference">
    <w:name w:val="endnote reference"/>
    <w:basedOn w:val="DefaultParagraphFont"/>
    <w:uiPriority w:val="99"/>
    <w:unhideWhenUsed/>
    <w:rsid w:val="00B1644A"/>
    <w:rPr>
      <w:vertAlign w:val="superscript"/>
    </w:rPr>
  </w:style>
  <w:style w:type="character" w:styleId="FollowedHyperlink">
    <w:name w:val="FollowedHyperlink"/>
    <w:basedOn w:val="DefaultParagraphFont"/>
    <w:uiPriority w:val="99"/>
    <w:semiHidden/>
    <w:unhideWhenUsed/>
    <w:rsid w:val="00B1644A"/>
    <w:rPr>
      <w:color w:val="954F72" w:themeColor="followedHyperlink"/>
      <w:u w:val="single"/>
    </w:rPr>
  </w:style>
  <w:style w:type="character" w:customStyle="1" w:styleId="ListParagraphChar">
    <w:name w:val="List Paragraph Char"/>
    <w:basedOn w:val="DefaultParagraphFont"/>
    <w:link w:val="ListParagraph"/>
    <w:uiPriority w:val="34"/>
    <w:rsid w:val="00B1644A"/>
    <w:rPr>
      <w:rFonts w:ascii="Arial" w:hAnsi="Arial"/>
      <w:lang w:val="en-US"/>
    </w:rPr>
  </w:style>
  <w:style w:type="character" w:styleId="PlaceholderText">
    <w:name w:val="Placeholder Text"/>
    <w:basedOn w:val="DefaultParagraphFont"/>
    <w:uiPriority w:val="99"/>
    <w:semiHidden/>
    <w:rsid w:val="00B1644A"/>
    <w:rPr>
      <w:color w:val="808080"/>
    </w:rPr>
  </w:style>
  <w:style w:type="paragraph" w:customStyle="1" w:styleId="EndNoteBibliographyTitle">
    <w:name w:val="EndNote Bibliography Title"/>
    <w:basedOn w:val="Normal"/>
    <w:link w:val="EndNoteBibliographyTitleChar"/>
    <w:rsid w:val="00B1644A"/>
    <w:pPr>
      <w:spacing w:after="0"/>
      <w:jc w:val="center"/>
    </w:pPr>
    <w:rPr>
      <w:rFonts w:cs="Arial"/>
      <w:noProof/>
    </w:rPr>
  </w:style>
  <w:style w:type="character" w:customStyle="1" w:styleId="EndNoteBibliographyTitleChar">
    <w:name w:val="EndNote Bibliography Title Char"/>
    <w:basedOn w:val="DefaultParagraphFont"/>
    <w:link w:val="EndNoteBibliographyTitle"/>
    <w:rsid w:val="00B1644A"/>
    <w:rPr>
      <w:rFonts w:ascii="Arial" w:hAnsi="Arial" w:cs="Arial"/>
      <w:noProof/>
      <w:lang w:val="en-US"/>
    </w:rPr>
  </w:style>
  <w:style w:type="paragraph" w:customStyle="1" w:styleId="EndNoteBibliography">
    <w:name w:val="EndNote Bibliography"/>
    <w:basedOn w:val="Normal"/>
    <w:link w:val="EndNoteBibliographyChar"/>
    <w:rsid w:val="00B1644A"/>
    <w:pPr>
      <w:spacing w:line="240" w:lineRule="auto"/>
    </w:pPr>
    <w:rPr>
      <w:rFonts w:cs="Arial"/>
      <w:noProof/>
    </w:rPr>
  </w:style>
  <w:style w:type="character" w:customStyle="1" w:styleId="EndNoteBibliographyChar">
    <w:name w:val="EndNote Bibliography Char"/>
    <w:basedOn w:val="DefaultParagraphFont"/>
    <w:link w:val="EndNoteBibliography"/>
    <w:rsid w:val="00B1644A"/>
    <w:rPr>
      <w:rFonts w:ascii="Arial" w:hAnsi="Arial" w:cs="Arial"/>
      <w:noProof/>
      <w:lang w:val="en-US"/>
    </w:rPr>
  </w:style>
  <w:style w:type="paragraph" w:styleId="NormalWeb">
    <w:name w:val="Normal (Web)"/>
    <w:basedOn w:val="Normal"/>
    <w:uiPriority w:val="99"/>
    <w:unhideWhenUsed/>
    <w:rsid w:val="00B1644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UnresolvedMention2">
    <w:name w:val="Unresolved Mention2"/>
    <w:basedOn w:val="DefaultParagraphFont"/>
    <w:uiPriority w:val="99"/>
    <w:semiHidden/>
    <w:unhideWhenUsed/>
    <w:rsid w:val="00B1644A"/>
    <w:rPr>
      <w:color w:val="605E5C"/>
      <w:shd w:val="clear" w:color="auto" w:fill="E1DFDD"/>
    </w:rPr>
  </w:style>
  <w:style w:type="character" w:customStyle="1" w:styleId="UnresolvedMention100">
    <w:name w:val="Unresolved Mention100"/>
    <w:basedOn w:val="DefaultParagraphFont"/>
    <w:uiPriority w:val="99"/>
    <w:semiHidden/>
    <w:unhideWhenUsed/>
    <w:rsid w:val="00B1644A"/>
    <w:rPr>
      <w:color w:val="605E5C"/>
      <w:shd w:val="clear" w:color="auto" w:fill="E1DFDD"/>
    </w:rPr>
  </w:style>
  <w:style w:type="character" w:customStyle="1" w:styleId="UnresolvedMention1000">
    <w:name w:val="Unresolved Mention1000"/>
    <w:basedOn w:val="DefaultParagraphFont"/>
    <w:uiPriority w:val="99"/>
    <w:semiHidden/>
    <w:unhideWhenUsed/>
    <w:rsid w:val="00B1644A"/>
    <w:rPr>
      <w:color w:val="605E5C"/>
      <w:shd w:val="clear" w:color="auto" w:fill="E1DFDD"/>
    </w:rPr>
  </w:style>
  <w:style w:type="character" w:customStyle="1" w:styleId="UnresolvedMention10000">
    <w:name w:val="Unresolved Mention10000"/>
    <w:basedOn w:val="DefaultParagraphFont"/>
    <w:uiPriority w:val="99"/>
    <w:semiHidden/>
    <w:unhideWhenUsed/>
    <w:rsid w:val="00B1644A"/>
    <w:rPr>
      <w:color w:val="605E5C"/>
      <w:shd w:val="clear" w:color="auto" w:fill="E1DFDD"/>
    </w:rPr>
  </w:style>
  <w:style w:type="character" w:customStyle="1" w:styleId="UnresolvedMention100000">
    <w:name w:val="Unresolved Mention100000"/>
    <w:basedOn w:val="DefaultParagraphFont"/>
    <w:uiPriority w:val="99"/>
    <w:semiHidden/>
    <w:unhideWhenUsed/>
    <w:rsid w:val="00B1644A"/>
    <w:rPr>
      <w:color w:val="605E5C"/>
      <w:shd w:val="clear" w:color="auto" w:fill="E1DFDD"/>
    </w:rPr>
  </w:style>
  <w:style w:type="character" w:customStyle="1" w:styleId="UnresolvedMention1000000">
    <w:name w:val="Unresolved Mention1000000"/>
    <w:basedOn w:val="DefaultParagraphFont"/>
    <w:uiPriority w:val="99"/>
    <w:semiHidden/>
    <w:unhideWhenUsed/>
    <w:rsid w:val="00B1644A"/>
    <w:rPr>
      <w:color w:val="605E5C"/>
      <w:shd w:val="clear" w:color="auto" w:fill="E1DFDD"/>
    </w:rPr>
  </w:style>
  <w:style w:type="character" w:customStyle="1" w:styleId="UnresolvedMention10000000">
    <w:name w:val="Unresolved Mention10000000"/>
    <w:basedOn w:val="DefaultParagraphFont"/>
    <w:uiPriority w:val="99"/>
    <w:semiHidden/>
    <w:unhideWhenUsed/>
    <w:rsid w:val="00B1644A"/>
    <w:rPr>
      <w:color w:val="605E5C"/>
      <w:shd w:val="clear" w:color="auto" w:fill="E1DFDD"/>
    </w:rPr>
  </w:style>
  <w:style w:type="character" w:customStyle="1" w:styleId="UnresolvedMention100000000">
    <w:name w:val="Unresolved Mention100000000"/>
    <w:basedOn w:val="DefaultParagraphFont"/>
    <w:uiPriority w:val="99"/>
    <w:semiHidden/>
    <w:unhideWhenUsed/>
    <w:rsid w:val="00B1644A"/>
    <w:rPr>
      <w:color w:val="605E5C"/>
      <w:shd w:val="clear" w:color="auto" w:fill="E1DFDD"/>
    </w:rPr>
  </w:style>
  <w:style w:type="character" w:customStyle="1" w:styleId="UnresolvedMention1000000000">
    <w:name w:val="Unresolved Mention1000000000"/>
    <w:basedOn w:val="DefaultParagraphFont"/>
    <w:uiPriority w:val="99"/>
    <w:semiHidden/>
    <w:unhideWhenUsed/>
    <w:rsid w:val="00B1644A"/>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B1644A"/>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B1644A"/>
    <w:rPr>
      <w:color w:val="605E5C"/>
      <w:shd w:val="clear" w:color="auto" w:fill="E1DFDD"/>
    </w:rPr>
  </w:style>
  <w:style w:type="character" w:customStyle="1" w:styleId="UnresolvedMention1000000000000">
    <w:name w:val="Unresolved Mention1000000000000"/>
    <w:basedOn w:val="DefaultParagraphFont"/>
    <w:uiPriority w:val="99"/>
    <w:semiHidden/>
    <w:unhideWhenUsed/>
    <w:rsid w:val="00B1644A"/>
    <w:rPr>
      <w:color w:val="605E5C"/>
      <w:shd w:val="clear" w:color="auto" w:fill="E1DFDD"/>
    </w:rPr>
  </w:style>
  <w:style w:type="character" w:customStyle="1" w:styleId="UnresolvedMention10000000000000">
    <w:name w:val="Unresolved Mention10000000000000"/>
    <w:basedOn w:val="DefaultParagraphFont"/>
    <w:uiPriority w:val="99"/>
    <w:semiHidden/>
    <w:unhideWhenUsed/>
    <w:rsid w:val="00B1644A"/>
    <w:rPr>
      <w:color w:val="605E5C"/>
      <w:shd w:val="clear" w:color="auto" w:fill="E1DFDD"/>
    </w:rPr>
  </w:style>
  <w:style w:type="character" w:customStyle="1" w:styleId="Mention1">
    <w:name w:val="Mention1"/>
    <w:basedOn w:val="DefaultParagraphFont"/>
    <w:uiPriority w:val="99"/>
    <w:unhideWhenUsed/>
    <w:rsid w:val="00B1644A"/>
    <w:rPr>
      <w:color w:val="2B579A"/>
      <w:shd w:val="clear" w:color="auto" w:fill="E6E6E6"/>
    </w:rPr>
  </w:style>
  <w:style w:type="table" w:customStyle="1" w:styleId="TableGrid1">
    <w:name w:val="Table Grid1"/>
    <w:basedOn w:val="TableNormal"/>
    <w:next w:val="TableGrid"/>
    <w:uiPriority w:val="39"/>
    <w:rsid w:val="00B16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8">
    <w:name w:val="TableStyle8"/>
    <w:uiPriority w:val="99"/>
    <w:rsid w:val="00B1644A"/>
    <w:pPr>
      <w:keepNext/>
      <w:keepLines/>
      <w:spacing w:after="0" w:line="240" w:lineRule="auto"/>
    </w:pPr>
    <w:rPr>
      <w:rFonts w:ascii="Courier New" w:eastAsia="Times New Roman" w:hAnsi="Courier New" w:cs="Times New Roman"/>
      <w:sz w:val="16"/>
      <w:szCs w:val="24"/>
    </w:rPr>
  </w:style>
  <w:style w:type="paragraph" w:customStyle="1" w:styleId="OutputTitle">
    <w:name w:val="OutputTitle"/>
    <w:next w:val="Normal"/>
    <w:uiPriority w:val="99"/>
    <w:rsid w:val="00B1644A"/>
    <w:pPr>
      <w:keepNext/>
      <w:keepLines/>
      <w:numPr>
        <w:numId w:val="8"/>
      </w:numPr>
      <w:spacing w:after="0" w:line="240" w:lineRule="auto"/>
      <w:outlineLvl w:val="0"/>
    </w:pPr>
    <w:rPr>
      <w:rFonts w:ascii="Times New Roman" w:eastAsia="Times New Roman" w:hAnsi="Times New Roman" w:cs="Times New Roman"/>
      <w:b/>
    </w:rPr>
  </w:style>
  <w:style w:type="paragraph" w:customStyle="1" w:styleId="c-article-identifiersitem">
    <w:name w:val="c-article-identifiers__item"/>
    <w:basedOn w:val="Normal"/>
    <w:rsid w:val="00B1644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customStyle="1" w:styleId="TableGrid2">
    <w:name w:val="Table Grid2"/>
    <w:basedOn w:val="TableNormal"/>
    <w:next w:val="TableGrid"/>
    <w:uiPriority w:val="39"/>
    <w:rsid w:val="00B16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B1644A"/>
    <w:rPr>
      <w:color w:val="605E5C"/>
      <w:shd w:val="clear" w:color="auto" w:fill="E1DFDD"/>
    </w:rPr>
  </w:style>
  <w:style w:type="character" w:styleId="Emphasis">
    <w:name w:val="Emphasis"/>
    <w:basedOn w:val="DefaultParagraphFont"/>
    <w:uiPriority w:val="20"/>
    <w:qFormat/>
    <w:rsid w:val="00B1644A"/>
    <w:rPr>
      <w:i/>
      <w:iCs/>
    </w:rPr>
  </w:style>
  <w:style w:type="character" w:customStyle="1" w:styleId="mixed-citation">
    <w:name w:val="mixed-citation"/>
    <w:basedOn w:val="DefaultParagraphFont"/>
    <w:rsid w:val="00B1644A"/>
  </w:style>
  <w:style w:type="character" w:customStyle="1" w:styleId="ref-title">
    <w:name w:val="ref-title"/>
    <w:basedOn w:val="DefaultParagraphFont"/>
    <w:rsid w:val="00B1644A"/>
  </w:style>
  <w:style w:type="character" w:customStyle="1" w:styleId="ref-journal">
    <w:name w:val="ref-journal"/>
    <w:basedOn w:val="DefaultParagraphFont"/>
    <w:rsid w:val="00B1644A"/>
  </w:style>
  <w:style w:type="character" w:customStyle="1" w:styleId="ref-vol">
    <w:name w:val="ref-vol"/>
    <w:basedOn w:val="DefaultParagraphFont"/>
    <w:rsid w:val="00B1644A"/>
  </w:style>
  <w:style w:type="character" w:customStyle="1" w:styleId="nowrap">
    <w:name w:val="nowrap"/>
    <w:basedOn w:val="DefaultParagraphFont"/>
    <w:rsid w:val="00B1644A"/>
  </w:style>
  <w:style w:type="character" w:customStyle="1" w:styleId="UnresolvedMention4">
    <w:name w:val="Unresolved Mention4"/>
    <w:basedOn w:val="DefaultParagraphFont"/>
    <w:uiPriority w:val="99"/>
    <w:semiHidden/>
    <w:unhideWhenUsed/>
    <w:rsid w:val="00B1644A"/>
    <w:rPr>
      <w:color w:val="605E5C"/>
      <w:shd w:val="clear" w:color="auto" w:fill="E1DFDD"/>
    </w:rPr>
  </w:style>
  <w:style w:type="numbering" w:customStyle="1" w:styleId="NoList1">
    <w:name w:val="No List1"/>
    <w:next w:val="NoList"/>
    <w:uiPriority w:val="99"/>
    <w:semiHidden/>
    <w:unhideWhenUsed/>
    <w:rsid w:val="00B1644A"/>
  </w:style>
  <w:style w:type="table" w:customStyle="1" w:styleId="TableGrid3">
    <w:name w:val="Table Grid3"/>
    <w:basedOn w:val="TableNormal"/>
    <w:next w:val="TableGrid"/>
    <w:uiPriority w:val="39"/>
    <w:rsid w:val="00B16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B16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B16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5">
    <w:name w:val="Unresolved Mention5"/>
    <w:basedOn w:val="DefaultParagraphFont"/>
    <w:uiPriority w:val="99"/>
    <w:semiHidden/>
    <w:unhideWhenUsed/>
    <w:rsid w:val="00FA54DD"/>
    <w:rPr>
      <w:color w:val="605E5C"/>
      <w:shd w:val="clear" w:color="auto" w:fill="E1DFDD"/>
    </w:rPr>
  </w:style>
  <w:style w:type="paragraph" w:customStyle="1" w:styleId="Default">
    <w:name w:val="Default"/>
    <w:rsid w:val="006A16DA"/>
    <w:pPr>
      <w:autoSpaceDE w:val="0"/>
      <w:autoSpaceDN w:val="0"/>
      <w:adjustRightInd w:val="0"/>
      <w:spacing w:after="0" w:line="240" w:lineRule="auto"/>
    </w:pPr>
    <w:rPr>
      <w:rFonts w:ascii="Shaker 2 Lancet Regular" w:hAnsi="Shaker 2 Lancet Regular" w:cs="Shaker 2 Lancet Regular"/>
      <w:color w:val="000000"/>
      <w:sz w:val="24"/>
      <w:szCs w:val="24"/>
    </w:rPr>
  </w:style>
  <w:style w:type="paragraph" w:customStyle="1" w:styleId="Pa2">
    <w:name w:val="Pa2"/>
    <w:basedOn w:val="Default"/>
    <w:next w:val="Default"/>
    <w:uiPriority w:val="99"/>
    <w:rsid w:val="006A16DA"/>
    <w:pPr>
      <w:spacing w:line="167" w:lineRule="atLeast"/>
    </w:pPr>
    <w:rPr>
      <w:rFonts w:cstheme="minorBidi"/>
      <w:color w:val="auto"/>
    </w:rPr>
  </w:style>
  <w:style w:type="character" w:customStyle="1" w:styleId="UnresolvedMention6">
    <w:name w:val="Unresolved Mention6"/>
    <w:basedOn w:val="DefaultParagraphFont"/>
    <w:uiPriority w:val="99"/>
    <w:semiHidden/>
    <w:unhideWhenUsed/>
    <w:rsid w:val="00D12997"/>
    <w:rPr>
      <w:color w:val="605E5C"/>
      <w:shd w:val="clear" w:color="auto" w:fill="E1DFDD"/>
    </w:rPr>
  </w:style>
  <w:style w:type="character" w:styleId="LineNumber">
    <w:name w:val="line number"/>
    <w:basedOn w:val="DefaultParagraphFont"/>
    <w:uiPriority w:val="99"/>
    <w:semiHidden/>
    <w:unhideWhenUsed/>
    <w:rsid w:val="00604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901016">
      <w:bodyDiv w:val="1"/>
      <w:marLeft w:val="0"/>
      <w:marRight w:val="0"/>
      <w:marTop w:val="0"/>
      <w:marBottom w:val="0"/>
      <w:divBdr>
        <w:top w:val="none" w:sz="0" w:space="0" w:color="auto"/>
        <w:left w:val="none" w:sz="0" w:space="0" w:color="auto"/>
        <w:bottom w:val="none" w:sz="0" w:space="0" w:color="auto"/>
        <w:right w:val="none" w:sz="0" w:space="0" w:color="auto"/>
      </w:divBdr>
      <w:divsChild>
        <w:div w:id="386609025">
          <w:marLeft w:val="0"/>
          <w:marRight w:val="0"/>
          <w:marTop w:val="0"/>
          <w:marBottom w:val="0"/>
          <w:divBdr>
            <w:top w:val="none" w:sz="0" w:space="0" w:color="auto"/>
            <w:left w:val="none" w:sz="0" w:space="0" w:color="auto"/>
            <w:bottom w:val="none" w:sz="0" w:space="0" w:color="auto"/>
            <w:right w:val="none" w:sz="0" w:space="0" w:color="auto"/>
          </w:divBdr>
          <w:divsChild>
            <w:div w:id="177336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71140">
      <w:bodyDiv w:val="1"/>
      <w:marLeft w:val="0"/>
      <w:marRight w:val="0"/>
      <w:marTop w:val="0"/>
      <w:marBottom w:val="0"/>
      <w:divBdr>
        <w:top w:val="none" w:sz="0" w:space="0" w:color="auto"/>
        <w:left w:val="none" w:sz="0" w:space="0" w:color="auto"/>
        <w:bottom w:val="none" w:sz="0" w:space="0" w:color="auto"/>
        <w:right w:val="none" w:sz="0" w:space="0" w:color="auto"/>
      </w:divBdr>
    </w:div>
    <w:div w:id="940600478">
      <w:bodyDiv w:val="1"/>
      <w:marLeft w:val="0"/>
      <w:marRight w:val="0"/>
      <w:marTop w:val="0"/>
      <w:marBottom w:val="0"/>
      <w:divBdr>
        <w:top w:val="none" w:sz="0" w:space="0" w:color="auto"/>
        <w:left w:val="none" w:sz="0" w:space="0" w:color="auto"/>
        <w:bottom w:val="none" w:sz="0" w:space="0" w:color="auto"/>
        <w:right w:val="none" w:sz="0" w:space="0" w:color="auto"/>
      </w:divBdr>
      <w:divsChild>
        <w:div w:id="1766800042">
          <w:marLeft w:val="0"/>
          <w:marRight w:val="0"/>
          <w:marTop w:val="0"/>
          <w:marBottom w:val="0"/>
          <w:divBdr>
            <w:top w:val="none" w:sz="0" w:space="0" w:color="auto"/>
            <w:left w:val="none" w:sz="0" w:space="0" w:color="auto"/>
            <w:bottom w:val="none" w:sz="0" w:space="0" w:color="auto"/>
            <w:right w:val="none" w:sz="0" w:space="0" w:color="auto"/>
          </w:divBdr>
          <w:divsChild>
            <w:div w:id="585041356">
              <w:marLeft w:val="0"/>
              <w:marRight w:val="0"/>
              <w:marTop w:val="0"/>
              <w:marBottom w:val="0"/>
              <w:divBdr>
                <w:top w:val="none" w:sz="0" w:space="0" w:color="auto"/>
                <w:left w:val="none" w:sz="0" w:space="0" w:color="auto"/>
                <w:bottom w:val="none" w:sz="0" w:space="0" w:color="auto"/>
                <w:right w:val="none" w:sz="0" w:space="0" w:color="auto"/>
              </w:divBdr>
              <w:divsChild>
                <w:div w:id="1519612930">
                  <w:marLeft w:val="0"/>
                  <w:marRight w:val="0"/>
                  <w:marTop w:val="0"/>
                  <w:marBottom w:val="0"/>
                  <w:divBdr>
                    <w:top w:val="none" w:sz="0" w:space="0" w:color="auto"/>
                    <w:left w:val="none" w:sz="0" w:space="0" w:color="auto"/>
                    <w:bottom w:val="none" w:sz="0" w:space="0" w:color="auto"/>
                    <w:right w:val="none" w:sz="0" w:space="0" w:color="auto"/>
                  </w:divBdr>
                  <w:divsChild>
                    <w:div w:id="26261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672439">
          <w:marLeft w:val="0"/>
          <w:marRight w:val="0"/>
          <w:marTop w:val="0"/>
          <w:marBottom w:val="0"/>
          <w:divBdr>
            <w:top w:val="none" w:sz="0" w:space="0" w:color="auto"/>
            <w:left w:val="none" w:sz="0" w:space="0" w:color="auto"/>
            <w:bottom w:val="none" w:sz="0" w:space="0" w:color="auto"/>
            <w:right w:val="none" w:sz="0" w:space="0" w:color="auto"/>
          </w:divBdr>
          <w:divsChild>
            <w:div w:id="434180525">
              <w:marLeft w:val="0"/>
              <w:marRight w:val="0"/>
              <w:marTop w:val="0"/>
              <w:marBottom w:val="0"/>
              <w:divBdr>
                <w:top w:val="none" w:sz="0" w:space="0" w:color="auto"/>
                <w:left w:val="none" w:sz="0" w:space="0" w:color="auto"/>
                <w:bottom w:val="none" w:sz="0" w:space="0" w:color="auto"/>
                <w:right w:val="none" w:sz="0" w:space="0" w:color="auto"/>
              </w:divBdr>
              <w:divsChild>
                <w:div w:id="31970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628994">
      <w:bodyDiv w:val="1"/>
      <w:marLeft w:val="0"/>
      <w:marRight w:val="0"/>
      <w:marTop w:val="0"/>
      <w:marBottom w:val="0"/>
      <w:divBdr>
        <w:top w:val="none" w:sz="0" w:space="0" w:color="auto"/>
        <w:left w:val="none" w:sz="0" w:space="0" w:color="auto"/>
        <w:bottom w:val="none" w:sz="0" w:space="0" w:color="auto"/>
        <w:right w:val="none" w:sz="0" w:space="0" w:color="auto"/>
      </w:divBdr>
    </w:div>
    <w:div w:id="1315600046">
      <w:bodyDiv w:val="1"/>
      <w:marLeft w:val="0"/>
      <w:marRight w:val="0"/>
      <w:marTop w:val="0"/>
      <w:marBottom w:val="0"/>
      <w:divBdr>
        <w:top w:val="none" w:sz="0" w:space="0" w:color="auto"/>
        <w:left w:val="none" w:sz="0" w:space="0" w:color="auto"/>
        <w:bottom w:val="none" w:sz="0" w:space="0" w:color="auto"/>
        <w:right w:val="none" w:sz="0" w:space="0" w:color="auto"/>
      </w:divBdr>
    </w:div>
    <w:div w:id="1391614493">
      <w:bodyDiv w:val="1"/>
      <w:marLeft w:val="0"/>
      <w:marRight w:val="0"/>
      <w:marTop w:val="0"/>
      <w:marBottom w:val="0"/>
      <w:divBdr>
        <w:top w:val="none" w:sz="0" w:space="0" w:color="auto"/>
        <w:left w:val="none" w:sz="0" w:space="0" w:color="auto"/>
        <w:bottom w:val="none" w:sz="0" w:space="0" w:color="auto"/>
        <w:right w:val="none" w:sz="0" w:space="0" w:color="auto"/>
      </w:divBdr>
    </w:div>
    <w:div w:id="1447234853">
      <w:bodyDiv w:val="1"/>
      <w:marLeft w:val="0"/>
      <w:marRight w:val="0"/>
      <w:marTop w:val="0"/>
      <w:marBottom w:val="0"/>
      <w:divBdr>
        <w:top w:val="none" w:sz="0" w:space="0" w:color="auto"/>
        <w:left w:val="none" w:sz="0" w:space="0" w:color="auto"/>
        <w:bottom w:val="none" w:sz="0" w:space="0" w:color="auto"/>
        <w:right w:val="none" w:sz="0" w:space="0" w:color="auto"/>
      </w:divBdr>
      <w:divsChild>
        <w:div w:id="213854672">
          <w:marLeft w:val="0"/>
          <w:marRight w:val="0"/>
          <w:marTop w:val="0"/>
          <w:marBottom w:val="0"/>
          <w:divBdr>
            <w:top w:val="none" w:sz="0" w:space="0" w:color="auto"/>
            <w:left w:val="none" w:sz="0" w:space="0" w:color="auto"/>
            <w:bottom w:val="none" w:sz="0" w:space="0" w:color="auto"/>
            <w:right w:val="none" w:sz="0" w:space="0" w:color="auto"/>
          </w:divBdr>
          <w:divsChild>
            <w:div w:id="29041763">
              <w:marLeft w:val="0"/>
              <w:marRight w:val="0"/>
              <w:marTop w:val="0"/>
              <w:marBottom w:val="0"/>
              <w:divBdr>
                <w:top w:val="none" w:sz="0" w:space="0" w:color="auto"/>
                <w:left w:val="none" w:sz="0" w:space="0" w:color="auto"/>
                <w:bottom w:val="none" w:sz="0" w:space="0" w:color="auto"/>
                <w:right w:val="none" w:sz="0" w:space="0" w:color="auto"/>
              </w:divBdr>
              <w:divsChild>
                <w:div w:id="206525756">
                  <w:marLeft w:val="0"/>
                  <w:marRight w:val="0"/>
                  <w:marTop w:val="0"/>
                  <w:marBottom w:val="0"/>
                  <w:divBdr>
                    <w:top w:val="none" w:sz="0" w:space="0" w:color="auto"/>
                    <w:left w:val="none" w:sz="0" w:space="0" w:color="auto"/>
                    <w:bottom w:val="none" w:sz="0" w:space="0" w:color="auto"/>
                    <w:right w:val="none" w:sz="0" w:space="0" w:color="auto"/>
                  </w:divBdr>
                  <w:divsChild>
                    <w:div w:id="2355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279499">
          <w:marLeft w:val="0"/>
          <w:marRight w:val="0"/>
          <w:marTop w:val="0"/>
          <w:marBottom w:val="0"/>
          <w:divBdr>
            <w:top w:val="none" w:sz="0" w:space="0" w:color="auto"/>
            <w:left w:val="none" w:sz="0" w:space="0" w:color="auto"/>
            <w:bottom w:val="none" w:sz="0" w:space="0" w:color="auto"/>
            <w:right w:val="none" w:sz="0" w:space="0" w:color="auto"/>
          </w:divBdr>
          <w:divsChild>
            <w:div w:id="766466964">
              <w:marLeft w:val="0"/>
              <w:marRight w:val="0"/>
              <w:marTop w:val="0"/>
              <w:marBottom w:val="0"/>
              <w:divBdr>
                <w:top w:val="none" w:sz="0" w:space="0" w:color="auto"/>
                <w:left w:val="none" w:sz="0" w:space="0" w:color="auto"/>
                <w:bottom w:val="none" w:sz="0" w:space="0" w:color="auto"/>
                <w:right w:val="none" w:sz="0" w:space="0" w:color="auto"/>
              </w:divBdr>
              <w:divsChild>
                <w:div w:id="86764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47915">
      <w:bodyDiv w:val="1"/>
      <w:marLeft w:val="0"/>
      <w:marRight w:val="0"/>
      <w:marTop w:val="0"/>
      <w:marBottom w:val="0"/>
      <w:divBdr>
        <w:top w:val="none" w:sz="0" w:space="0" w:color="auto"/>
        <w:left w:val="none" w:sz="0" w:space="0" w:color="auto"/>
        <w:bottom w:val="none" w:sz="0" w:space="0" w:color="auto"/>
        <w:right w:val="none" w:sz="0" w:space="0" w:color="auto"/>
      </w:divBdr>
    </w:div>
    <w:div w:id="1984387921">
      <w:bodyDiv w:val="1"/>
      <w:marLeft w:val="0"/>
      <w:marRight w:val="0"/>
      <w:marTop w:val="0"/>
      <w:marBottom w:val="0"/>
      <w:divBdr>
        <w:top w:val="none" w:sz="0" w:space="0" w:color="auto"/>
        <w:left w:val="none" w:sz="0" w:space="0" w:color="auto"/>
        <w:bottom w:val="none" w:sz="0" w:space="0" w:color="auto"/>
        <w:right w:val="none" w:sz="0" w:space="0" w:color="auto"/>
      </w:divBdr>
    </w:div>
    <w:div w:id="204212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cessdata.fda.gov/drugsatfda_docs/label/2020/206321s011lbl.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ccessdata.fda.gov/drugsatfda_docs/label/2020/209637s003lbl.pdf" TargetMode="External"/><Relationship Id="rId4" Type="http://schemas.openxmlformats.org/officeDocument/2006/relationships/settings" Target="settings.xml"/><Relationship Id="rId9" Type="http://schemas.openxmlformats.org/officeDocument/2006/relationships/hyperlink" Target="http://www.ema.europa.eu/docs/en_GB/document_library/Scientific_guideline/2009/09/WC500002874.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11C14A08-1BED-4016-8700-5EB7FB9D5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47</Pages>
  <Words>10101</Words>
  <Characters>57579</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Spirit</dc:creator>
  <cp:lastModifiedBy>Spirit</cp:lastModifiedBy>
  <cp:revision>6</cp:revision>
  <cp:lastPrinted>2020-12-17T09:44:00Z</cp:lastPrinted>
  <dcterms:created xsi:type="dcterms:W3CDTF">2020-12-23T12:59:00Z</dcterms:created>
  <dcterms:modified xsi:type="dcterms:W3CDTF">2020-12-23T15:41:00Z</dcterms:modified>
</cp:coreProperties>
</file>