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7A1AF2" w14:textId="0B6FD5BC" w:rsidR="00B6135F" w:rsidRDefault="001E6C7D" w:rsidP="00013C9D">
      <w:pPr>
        <w:spacing w:line="480" w:lineRule="auto"/>
        <w:jc w:val="both"/>
        <w:rPr>
          <w:rFonts w:ascii="Times New Roman" w:hAnsi="Times New Roman" w:cs="Times New Roman"/>
          <w:b/>
        </w:rPr>
      </w:pPr>
      <w:r w:rsidRPr="00933F5A">
        <w:rPr>
          <w:rFonts w:ascii="Times New Roman" w:hAnsi="Times New Roman" w:cs="Times New Roman"/>
          <w:b/>
        </w:rPr>
        <w:t>The effects of empagliflozin, dietary energy restriction, or both on appetite-</w:t>
      </w:r>
      <w:r w:rsidR="0028266C" w:rsidRPr="00933F5A">
        <w:rPr>
          <w:rFonts w:ascii="Times New Roman" w:hAnsi="Times New Roman" w:cs="Times New Roman"/>
          <w:b/>
        </w:rPr>
        <w:t>regulatory</w:t>
      </w:r>
      <w:r w:rsidRPr="00933F5A">
        <w:rPr>
          <w:rFonts w:ascii="Times New Roman" w:hAnsi="Times New Roman" w:cs="Times New Roman"/>
          <w:b/>
        </w:rPr>
        <w:t xml:space="preserve"> </w:t>
      </w:r>
      <w:r w:rsidR="008601B1" w:rsidRPr="00933F5A">
        <w:rPr>
          <w:rFonts w:ascii="Times New Roman" w:hAnsi="Times New Roman" w:cs="Times New Roman"/>
          <w:b/>
        </w:rPr>
        <w:t xml:space="preserve">gut </w:t>
      </w:r>
      <w:r w:rsidR="00A14161" w:rsidRPr="00933F5A">
        <w:rPr>
          <w:rFonts w:ascii="Times New Roman" w:hAnsi="Times New Roman" w:cs="Times New Roman"/>
          <w:b/>
        </w:rPr>
        <w:t>peptides</w:t>
      </w:r>
      <w:r w:rsidRPr="00933F5A">
        <w:rPr>
          <w:rFonts w:ascii="Times New Roman" w:hAnsi="Times New Roman" w:cs="Times New Roman"/>
          <w:b/>
        </w:rPr>
        <w:t xml:space="preserve"> in individuals with type 2 diabetes</w:t>
      </w:r>
      <w:r w:rsidR="00891D7C" w:rsidRPr="00933F5A">
        <w:rPr>
          <w:rFonts w:ascii="Times New Roman" w:hAnsi="Times New Roman" w:cs="Times New Roman"/>
          <w:b/>
        </w:rPr>
        <w:t xml:space="preserve"> and overweight or obesity</w:t>
      </w:r>
      <w:r w:rsidRPr="00933F5A">
        <w:rPr>
          <w:rFonts w:ascii="Times New Roman" w:hAnsi="Times New Roman" w:cs="Times New Roman"/>
          <w:b/>
        </w:rPr>
        <w:t xml:space="preserve">: </w:t>
      </w:r>
      <w:r w:rsidR="005531BA" w:rsidRPr="00933F5A">
        <w:rPr>
          <w:rFonts w:ascii="Times New Roman" w:hAnsi="Times New Roman" w:cs="Times New Roman"/>
          <w:b/>
        </w:rPr>
        <w:t>the SEESAW</w:t>
      </w:r>
      <w:r w:rsidRPr="00933F5A">
        <w:rPr>
          <w:rFonts w:ascii="Times New Roman" w:hAnsi="Times New Roman" w:cs="Times New Roman"/>
          <w:b/>
        </w:rPr>
        <w:t xml:space="preserve"> randomi</w:t>
      </w:r>
      <w:r w:rsidR="001F16AF">
        <w:rPr>
          <w:rFonts w:ascii="Times New Roman" w:hAnsi="Times New Roman" w:cs="Times New Roman"/>
          <w:b/>
        </w:rPr>
        <w:t>s</w:t>
      </w:r>
      <w:r w:rsidRPr="00933F5A">
        <w:rPr>
          <w:rFonts w:ascii="Times New Roman" w:hAnsi="Times New Roman" w:cs="Times New Roman"/>
          <w:b/>
        </w:rPr>
        <w:t>ed, double-blind, placebo-controlled trial</w:t>
      </w:r>
    </w:p>
    <w:p w14:paraId="038126FD" w14:textId="77777777" w:rsidR="006C33B7" w:rsidRPr="00933F5A" w:rsidRDefault="006C33B7" w:rsidP="00013C9D">
      <w:pPr>
        <w:spacing w:line="480" w:lineRule="auto"/>
        <w:jc w:val="both"/>
        <w:rPr>
          <w:rFonts w:ascii="Times New Roman" w:hAnsi="Times New Roman" w:cs="Times New Roman"/>
          <w:b/>
        </w:rPr>
      </w:pPr>
    </w:p>
    <w:p w14:paraId="1C059B7D" w14:textId="26AE7EDD" w:rsidR="003606A8" w:rsidRDefault="00AC7849" w:rsidP="00013C9D">
      <w:pPr>
        <w:spacing w:line="480" w:lineRule="auto"/>
        <w:jc w:val="both"/>
        <w:rPr>
          <w:rFonts w:ascii="Times New Roman" w:hAnsi="Times New Roman" w:cs="Times New Roman"/>
        </w:rPr>
      </w:pPr>
      <w:r>
        <w:rPr>
          <w:rFonts w:ascii="Times New Roman" w:hAnsi="Times New Roman" w:cs="Times New Roman"/>
        </w:rPr>
        <w:t xml:space="preserve">Jack A </w:t>
      </w:r>
      <w:bookmarkStart w:id="0" w:name="_GoBack"/>
      <w:r w:rsidR="003606A8">
        <w:rPr>
          <w:rFonts w:ascii="Times New Roman" w:hAnsi="Times New Roman" w:cs="Times New Roman"/>
        </w:rPr>
        <w:t>Sargeant</w:t>
      </w:r>
      <w:r w:rsidR="00554481" w:rsidRPr="00554481">
        <w:rPr>
          <w:rFonts w:ascii="Times New Roman" w:hAnsi="Times New Roman" w:cs="Times New Roman"/>
          <w:vertAlign w:val="superscript"/>
        </w:rPr>
        <w:t>1</w:t>
      </w:r>
      <w:bookmarkEnd w:id="0"/>
      <w:r w:rsidR="00554481" w:rsidRPr="00554481">
        <w:rPr>
          <w:rFonts w:ascii="Times New Roman" w:hAnsi="Times New Roman" w:cs="Times New Roman"/>
          <w:vertAlign w:val="superscript"/>
        </w:rPr>
        <w:t>,2,</w:t>
      </w:r>
      <w:r w:rsidR="001E6C7D" w:rsidRPr="00554481">
        <w:rPr>
          <w:rFonts w:ascii="Times New Roman" w:hAnsi="Times New Roman" w:cs="Times New Roman"/>
          <w:vertAlign w:val="superscript"/>
        </w:rPr>
        <w:t>*</w:t>
      </w:r>
      <w:r w:rsidR="003606A8">
        <w:rPr>
          <w:rFonts w:ascii="Times New Roman" w:hAnsi="Times New Roman" w:cs="Times New Roman"/>
        </w:rPr>
        <w:t xml:space="preserve">, </w:t>
      </w:r>
      <w:r>
        <w:rPr>
          <w:rFonts w:ascii="Times New Roman" w:hAnsi="Times New Roman" w:cs="Times New Roman"/>
        </w:rPr>
        <w:t>James A King</w:t>
      </w:r>
      <w:r w:rsidR="00554481">
        <w:rPr>
          <w:rFonts w:ascii="Times New Roman" w:hAnsi="Times New Roman" w:cs="Times New Roman"/>
          <w:vertAlign w:val="superscript"/>
        </w:rPr>
        <w:t>,</w:t>
      </w:r>
      <w:r w:rsidR="007C186D">
        <w:rPr>
          <w:rFonts w:ascii="Times New Roman" w:hAnsi="Times New Roman" w:cs="Times New Roman"/>
          <w:vertAlign w:val="superscript"/>
        </w:rPr>
        <w:t>2,</w:t>
      </w:r>
      <w:r w:rsidR="00554481">
        <w:rPr>
          <w:rFonts w:ascii="Times New Roman" w:hAnsi="Times New Roman" w:cs="Times New Roman"/>
          <w:vertAlign w:val="superscript"/>
        </w:rPr>
        <w:t>3,</w:t>
      </w:r>
      <w:r w:rsidR="001E6C7D">
        <w:rPr>
          <w:rFonts w:ascii="Times New Roman" w:hAnsi="Times New Roman" w:cs="Times New Roman"/>
        </w:rPr>
        <w:t>*</w:t>
      </w:r>
      <w:r>
        <w:rPr>
          <w:rFonts w:ascii="Times New Roman" w:hAnsi="Times New Roman" w:cs="Times New Roman"/>
        </w:rPr>
        <w:t xml:space="preserve">, </w:t>
      </w:r>
      <w:r w:rsidR="00CB2217">
        <w:rPr>
          <w:rFonts w:ascii="Times New Roman" w:hAnsi="Times New Roman" w:cs="Times New Roman"/>
        </w:rPr>
        <w:t>Thomas Yates</w:t>
      </w:r>
      <w:r w:rsidR="00554481" w:rsidRPr="00554481">
        <w:rPr>
          <w:rFonts w:ascii="Times New Roman" w:hAnsi="Times New Roman" w:cs="Times New Roman"/>
          <w:vertAlign w:val="superscript"/>
        </w:rPr>
        <w:t>,</w:t>
      </w:r>
      <w:r w:rsidR="007C186D">
        <w:rPr>
          <w:rFonts w:ascii="Times New Roman" w:hAnsi="Times New Roman" w:cs="Times New Roman"/>
          <w:vertAlign w:val="superscript"/>
        </w:rPr>
        <w:t>1,</w:t>
      </w:r>
      <w:r w:rsidR="00554481" w:rsidRPr="00554481">
        <w:rPr>
          <w:rFonts w:ascii="Times New Roman" w:hAnsi="Times New Roman" w:cs="Times New Roman"/>
          <w:vertAlign w:val="superscript"/>
        </w:rPr>
        <w:t>2</w:t>
      </w:r>
      <w:r w:rsidR="00CB2217">
        <w:rPr>
          <w:rFonts w:ascii="Times New Roman" w:hAnsi="Times New Roman" w:cs="Times New Roman"/>
        </w:rPr>
        <w:t xml:space="preserve">, </w:t>
      </w:r>
      <w:r w:rsidR="00013C9D">
        <w:rPr>
          <w:rFonts w:ascii="Times New Roman" w:hAnsi="Times New Roman" w:cs="Times New Roman"/>
        </w:rPr>
        <w:t xml:space="preserve">Emma L </w:t>
      </w:r>
      <w:r w:rsidR="00A6221D">
        <w:rPr>
          <w:rFonts w:ascii="Times New Roman" w:hAnsi="Times New Roman" w:cs="Times New Roman"/>
        </w:rPr>
        <w:t>Redman</w:t>
      </w:r>
      <w:r w:rsidR="00554481" w:rsidRPr="00554481">
        <w:rPr>
          <w:rFonts w:ascii="Times New Roman" w:hAnsi="Times New Roman" w:cs="Times New Roman"/>
          <w:vertAlign w:val="superscript"/>
        </w:rPr>
        <w:t>1,</w:t>
      </w:r>
      <w:r w:rsidR="00554481">
        <w:rPr>
          <w:rFonts w:ascii="Times New Roman" w:hAnsi="Times New Roman" w:cs="Times New Roman"/>
          <w:vertAlign w:val="superscript"/>
        </w:rPr>
        <w:t>2,4</w:t>
      </w:r>
      <w:r w:rsidR="00013C9D">
        <w:rPr>
          <w:rFonts w:ascii="Times New Roman" w:hAnsi="Times New Roman" w:cs="Times New Roman"/>
        </w:rPr>
        <w:t>, Danielle H Bodicoat</w:t>
      </w:r>
      <w:r w:rsidR="00554481">
        <w:rPr>
          <w:rFonts w:ascii="Times New Roman" w:hAnsi="Times New Roman" w:cs="Times New Roman"/>
          <w:vertAlign w:val="superscript"/>
        </w:rPr>
        <w:t>5</w:t>
      </w:r>
      <w:r w:rsidR="00013C9D">
        <w:rPr>
          <w:rFonts w:ascii="Times New Roman" w:hAnsi="Times New Roman" w:cs="Times New Roman"/>
        </w:rPr>
        <w:t xml:space="preserve">, </w:t>
      </w:r>
      <w:r w:rsidR="00880080">
        <w:rPr>
          <w:rFonts w:ascii="Times New Roman" w:hAnsi="Times New Roman" w:cs="Times New Roman"/>
        </w:rPr>
        <w:t>Sudesna Chatterjee</w:t>
      </w:r>
      <w:r w:rsidR="00554481" w:rsidRPr="001D5522">
        <w:rPr>
          <w:rFonts w:ascii="Times New Roman" w:hAnsi="Times New Roman" w:cs="Times New Roman"/>
          <w:vertAlign w:val="superscript"/>
        </w:rPr>
        <w:t>6</w:t>
      </w:r>
      <w:r w:rsidR="00880080">
        <w:rPr>
          <w:rFonts w:ascii="Times New Roman" w:hAnsi="Times New Roman" w:cs="Times New Roman"/>
        </w:rPr>
        <w:t xml:space="preserve">, </w:t>
      </w:r>
      <w:r w:rsidR="00013C9D">
        <w:rPr>
          <w:rFonts w:ascii="Times New Roman" w:hAnsi="Times New Roman" w:cs="Times New Roman"/>
        </w:rPr>
        <w:t>Charlotte L Edwardson</w:t>
      </w:r>
      <w:r w:rsidR="00554481" w:rsidRPr="00554481">
        <w:rPr>
          <w:rFonts w:ascii="Times New Roman" w:hAnsi="Times New Roman" w:cs="Times New Roman"/>
          <w:vertAlign w:val="superscript"/>
        </w:rPr>
        <w:t>1,2</w:t>
      </w:r>
      <w:r w:rsidR="00013C9D">
        <w:rPr>
          <w:rFonts w:ascii="Times New Roman" w:hAnsi="Times New Roman" w:cs="Times New Roman"/>
        </w:rPr>
        <w:t>, Laura J Gray</w:t>
      </w:r>
      <w:r w:rsidR="00554481">
        <w:rPr>
          <w:rFonts w:ascii="Times New Roman" w:hAnsi="Times New Roman" w:cs="Times New Roman"/>
          <w:vertAlign w:val="superscript"/>
        </w:rPr>
        <w:t>7</w:t>
      </w:r>
      <w:r w:rsidR="00013C9D">
        <w:rPr>
          <w:rFonts w:ascii="Times New Roman" w:hAnsi="Times New Roman" w:cs="Times New Roman"/>
        </w:rPr>
        <w:t>,</w:t>
      </w:r>
      <w:r w:rsidR="00627114">
        <w:rPr>
          <w:rFonts w:ascii="Times New Roman" w:hAnsi="Times New Roman" w:cs="Times New Roman"/>
        </w:rPr>
        <w:t xml:space="preserve"> </w:t>
      </w:r>
      <w:r w:rsidR="002F588F">
        <w:rPr>
          <w:rFonts w:ascii="Times New Roman" w:hAnsi="Times New Roman" w:cs="Times New Roman"/>
        </w:rPr>
        <w:t>Benoit Poulin</w:t>
      </w:r>
      <w:r w:rsidR="00554481" w:rsidRPr="00554481">
        <w:rPr>
          <w:rFonts w:ascii="Times New Roman" w:hAnsi="Times New Roman" w:cs="Times New Roman"/>
          <w:vertAlign w:val="superscript"/>
        </w:rPr>
        <w:t>1,2</w:t>
      </w:r>
      <w:r w:rsidR="002F588F">
        <w:rPr>
          <w:rFonts w:ascii="Times New Roman" w:hAnsi="Times New Roman" w:cs="Times New Roman"/>
        </w:rPr>
        <w:t xml:space="preserve">, </w:t>
      </w:r>
      <w:r w:rsidR="00627114">
        <w:rPr>
          <w:rFonts w:ascii="Times New Roman" w:hAnsi="Times New Roman" w:cs="Times New Roman"/>
        </w:rPr>
        <w:t>Ghazala Waheed</w:t>
      </w:r>
      <w:r w:rsidR="00554481" w:rsidRPr="00554481">
        <w:rPr>
          <w:rFonts w:ascii="Times New Roman" w:hAnsi="Times New Roman" w:cs="Times New Roman"/>
          <w:vertAlign w:val="superscript"/>
        </w:rPr>
        <w:t>1,2</w:t>
      </w:r>
      <w:r w:rsidR="00627114">
        <w:rPr>
          <w:rFonts w:ascii="Times New Roman" w:hAnsi="Times New Roman" w:cs="Times New Roman"/>
        </w:rPr>
        <w:t>,</w:t>
      </w:r>
      <w:r w:rsidR="00013C9D">
        <w:rPr>
          <w:rFonts w:ascii="Times New Roman" w:hAnsi="Times New Roman" w:cs="Times New Roman"/>
        </w:rPr>
        <w:t xml:space="preserve"> Helen L Waller</w:t>
      </w:r>
      <w:r w:rsidR="00554481" w:rsidRPr="00554481">
        <w:rPr>
          <w:rFonts w:ascii="Times New Roman" w:hAnsi="Times New Roman" w:cs="Times New Roman"/>
          <w:vertAlign w:val="superscript"/>
        </w:rPr>
        <w:t>1,2</w:t>
      </w:r>
      <w:r w:rsidR="00013C9D">
        <w:rPr>
          <w:rFonts w:ascii="Times New Roman" w:hAnsi="Times New Roman" w:cs="Times New Roman"/>
        </w:rPr>
        <w:t>,</w:t>
      </w:r>
      <w:r w:rsidR="00FE2445">
        <w:rPr>
          <w:rFonts w:ascii="Times New Roman" w:hAnsi="Times New Roman" w:cs="Times New Roman"/>
        </w:rPr>
        <w:t xml:space="preserve"> </w:t>
      </w:r>
      <w:r w:rsidR="00013C9D">
        <w:rPr>
          <w:rFonts w:ascii="Times New Roman" w:hAnsi="Times New Roman" w:cs="Times New Roman"/>
        </w:rPr>
        <w:t>David R Webb</w:t>
      </w:r>
      <w:r w:rsidR="00554481" w:rsidRPr="00554481">
        <w:rPr>
          <w:rFonts w:ascii="Times New Roman" w:hAnsi="Times New Roman" w:cs="Times New Roman"/>
          <w:vertAlign w:val="superscript"/>
        </w:rPr>
        <w:t>1,</w:t>
      </w:r>
      <w:r w:rsidR="00554481">
        <w:rPr>
          <w:rFonts w:ascii="Times New Roman" w:hAnsi="Times New Roman" w:cs="Times New Roman"/>
          <w:vertAlign w:val="superscript"/>
        </w:rPr>
        <w:t>2,4</w:t>
      </w:r>
      <w:r w:rsidR="00013C9D">
        <w:rPr>
          <w:rFonts w:ascii="Times New Roman" w:hAnsi="Times New Roman" w:cs="Times New Roman"/>
        </w:rPr>
        <w:t>,</w:t>
      </w:r>
      <w:r w:rsidR="003606A8">
        <w:rPr>
          <w:rFonts w:ascii="Times New Roman" w:hAnsi="Times New Roman" w:cs="Times New Roman"/>
        </w:rPr>
        <w:t xml:space="preserve"> </w:t>
      </w:r>
      <w:r w:rsidR="00013C9D">
        <w:rPr>
          <w:rFonts w:ascii="Times New Roman" w:hAnsi="Times New Roman" w:cs="Times New Roman"/>
        </w:rPr>
        <w:t xml:space="preserve">Scott A </w:t>
      </w:r>
      <w:r w:rsidR="009E5BFC">
        <w:rPr>
          <w:rFonts w:ascii="Times New Roman" w:hAnsi="Times New Roman" w:cs="Times New Roman"/>
        </w:rPr>
        <w:t>Willis</w:t>
      </w:r>
      <w:r w:rsidR="00554481">
        <w:rPr>
          <w:rFonts w:ascii="Times New Roman" w:hAnsi="Times New Roman" w:cs="Times New Roman"/>
          <w:vertAlign w:val="superscript"/>
        </w:rPr>
        <w:t>2,3</w:t>
      </w:r>
      <w:r w:rsidR="009E5BFC">
        <w:rPr>
          <w:rFonts w:ascii="Times New Roman" w:hAnsi="Times New Roman" w:cs="Times New Roman"/>
        </w:rPr>
        <w:t xml:space="preserve">, </w:t>
      </w:r>
      <w:r w:rsidR="00013C9D">
        <w:rPr>
          <w:rFonts w:ascii="Times New Roman" w:hAnsi="Times New Roman" w:cs="Times New Roman"/>
        </w:rPr>
        <w:t>John P H Wilding</w:t>
      </w:r>
      <w:r w:rsidR="00554481">
        <w:rPr>
          <w:rFonts w:ascii="Times New Roman" w:hAnsi="Times New Roman" w:cs="Times New Roman"/>
          <w:vertAlign w:val="superscript"/>
        </w:rPr>
        <w:t>8</w:t>
      </w:r>
      <w:r w:rsidR="00013C9D">
        <w:rPr>
          <w:rFonts w:ascii="Times New Roman" w:hAnsi="Times New Roman" w:cs="Times New Roman"/>
        </w:rPr>
        <w:t xml:space="preserve">, </w:t>
      </w:r>
      <w:r w:rsidR="001572F1">
        <w:rPr>
          <w:rFonts w:ascii="Times New Roman" w:hAnsi="Times New Roman" w:cs="Times New Roman"/>
        </w:rPr>
        <w:t>Kamlesh Khunti</w:t>
      </w:r>
      <w:r w:rsidR="00554481">
        <w:rPr>
          <w:rFonts w:ascii="Times New Roman" w:hAnsi="Times New Roman" w:cs="Times New Roman"/>
          <w:vertAlign w:val="superscript"/>
        </w:rPr>
        <w:t>1,4,9</w:t>
      </w:r>
      <w:r w:rsidR="001572F1">
        <w:rPr>
          <w:rFonts w:ascii="Times New Roman" w:hAnsi="Times New Roman" w:cs="Times New Roman"/>
        </w:rPr>
        <w:t>,</w:t>
      </w:r>
      <w:r w:rsidR="00AB6D58">
        <w:rPr>
          <w:rFonts w:ascii="Times New Roman" w:hAnsi="Times New Roman" w:cs="Times New Roman"/>
        </w:rPr>
        <w:t xml:space="preserve"> </w:t>
      </w:r>
      <w:r w:rsidR="00816780">
        <w:rPr>
          <w:rFonts w:ascii="Times New Roman" w:hAnsi="Times New Roman" w:cs="Times New Roman"/>
        </w:rPr>
        <w:t>David J Stensel</w:t>
      </w:r>
      <w:r w:rsidR="00554481">
        <w:rPr>
          <w:rFonts w:ascii="Times New Roman" w:hAnsi="Times New Roman" w:cs="Times New Roman"/>
          <w:vertAlign w:val="superscript"/>
        </w:rPr>
        <w:t>2,3</w:t>
      </w:r>
      <w:r w:rsidR="00816780">
        <w:rPr>
          <w:rFonts w:ascii="Times New Roman" w:hAnsi="Times New Roman" w:cs="Times New Roman"/>
        </w:rPr>
        <w:t xml:space="preserve">, </w:t>
      </w:r>
      <w:r w:rsidR="00013C9D">
        <w:rPr>
          <w:rFonts w:ascii="Times New Roman" w:hAnsi="Times New Roman" w:cs="Times New Roman"/>
        </w:rPr>
        <w:t>Melanie J Davies</w:t>
      </w:r>
      <w:r w:rsidR="00554481" w:rsidRPr="00554481">
        <w:rPr>
          <w:rFonts w:ascii="Times New Roman" w:hAnsi="Times New Roman" w:cs="Times New Roman"/>
          <w:vertAlign w:val="superscript"/>
        </w:rPr>
        <w:t>1,</w:t>
      </w:r>
      <w:r w:rsidR="00554481">
        <w:rPr>
          <w:rFonts w:ascii="Times New Roman" w:hAnsi="Times New Roman" w:cs="Times New Roman"/>
          <w:vertAlign w:val="superscript"/>
        </w:rPr>
        <w:t>2,4</w:t>
      </w:r>
    </w:p>
    <w:p w14:paraId="69418574" w14:textId="6FAD3CAF" w:rsidR="003606A8" w:rsidRDefault="001E6C7D" w:rsidP="00013C9D">
      <w:pPr>
        <w:spacing w:line="480" w:lineRule="auto"/>
        <w:jc w:val="both"/>
        <w:rPr>
          <w:rFonts w:ascii="Times New Roman" w:hAnsi="Times New Roman" w:cs="Times New Roman"/>
        </w:rPr>
      </w:pPr>
      <w:r>
        <w:rPr>
          <w:rFonts w:ascii="Times New Roman" w:hAnsi="Times New Roman" w:cs="Times New Roman"/>
        </w:rPr>
        <w:t>*joint first authors</w:t>
      </w:r>
    </w:p>
    <w:p w14:paraId="2F588973" w14:textId="77777777" w:rsidR="001E6C7D" w:rsidRDefault="001E6C7D" w:rsidP="00013C9D">
      <w:pPr>
        <w:spacing w:line="480" w:lineRule="auto"/>
        <w:jc w:val="both"/>
        <w:rPr>
          <w:rFonts w:ascii="Times New Roman" w:hAnsi="Times New Roman" w:cs="Times New Roman"/>
          <w:b/>
          <w:bCs/>
        </w:rPr>
      </w:pPr>
    </w:p>
    <w:p w14:paraId="06888423" w14:textId="58772830" w:rsidR="00554481" w:rsidRPr="00BA5027" w:rsidRDefault="00554481" w:rsidP="00BA5027">
      <w:pPr>
        <w:spacing w:line="480" w:lineRule="auto"/>
        <w:rPr>
          <w:rFonts w:ascii="Times New Roman" w:hAnsi="Times New Roman" w:cs="Times New Roman"/>
          <w:bCs/>
        </w:rPr>
      </w:pPr>
      <w:r w:rsidRPr="00BA5027">
        <w:rPr>
          <w:rFonts w:ascii="Times New Roman" w:hAnsi="Times New Roman" w:cs="Times New Roman"/>
          <w:bCs/>
          <w:vertAlign w:val="superscript"/>
        </w:rPr>
        <w:t>1</w:t>
      </w:r>
      <w:r w:rsidRPr="00BA5027">
        <w:rPr>
          <w:rFonts w:ascii="Times New Roman" w:hAnsi="Times New Roman" w:cs="Times New Roman"/>
          <w:bCs/>
        </w:rPr>
        <w:t xml:space="preserve"> </w:t>
      </w:r>
      <w:r w:rsidR="008C6152" w:rsidRPr="00BA5027">
        <w:rPr>
          <w:rFonts w:ascii="Times New Roman" w:hAnsi="Times New Roman" w:cs="Times New Roman"/>
          <w:bCs/>
        </w:rPr>
        <w:t>Diabetes Research Centre</w:t>
      </w:r>
      <w:r w:rsidR="00D22548" w:rsidRPr="00BA5027">
        <w:rPr>
          <w:rFonts w:ascii="Times New Roman" w:hAnsi="Times New Roman" w:cs="Times New Roman"/>
          <w:bCs/>
        </w:rPr>
        <w:t xml:space="preserve">, </w:t>
      </w:r>
      <w:r w:rsidR="008C6152" w:rsidRPr="00BA5027">
        <w:rPr>
          <w:rFonts w:ascii="Times New Roman" w:hAnsi="Times New Roman" w:cs="Times New Roman"/>
          <w:bCs/>
        </w:rPr>
        <w:t xml:space="preserve">University of Leicester, </w:t>
      </w:r>
      <w:r w:rsidR="00D22548" w:rsidRPr="00BA5027">
        <w:rPr>
          <w:rFonts w:ascii="Times New Roman" w:hAnsi="Times New Roman" w:cs="Times New Roman"/>
          <w:bCs/>
        </w:rPr>
        <w:t>Leicester, UK</w:t>
      </w:r>
    </w:p>
    <w:p w14:paraId="4C03EA8C" w14:textId="10190F51"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2</w:t>
      </w:r>
      <w:r w:rsidRPr="00BA5027">
        <w:rPr>
          <w:rFonts w:ascii="Times New Roman" w:hAnsi="Times New Roman" w:cs="Times New Roman"/>
          <w:bCs/>
        </w:rPr>
        <w:t xml:space="preserve"> </w:t>
      </w:r>
      <w:r w:rsidR="00D22548" w:rsidRPr="00BA5027">
        <w:rPr>
          <w:rFonts w:ascii="Times New Roman" w:hAnsi="Times New Roman" w:cs="Times New Roman"/>
          <w:bCs/>
        </w:rPr>
        <w:t xml:space="preserve">National Institute for Health Research (NIHR) Leicester Biomedical Research Centre, </w:t>
      </w:r>
      <w:r w:rsidR="008C6152" w:rsidRPr="00BA5027">
        <w:rPr>
          <w:rFonts w:ascii="Times New Roman" w:hAnsi="Times New Roman" w:cs="Times New Roman"/>
          <w:bCs/>
        </w:rPr>
        <w:t>Leicester, UK</w:t>
      </w:r>
      <w:r w:rsidR="008C6152" w:rsidRPr="00BA5027">
        <w:rPr>
          <w:rFonts w:ascii="Times New Roman" w:hAnsi="Times New Roman" w:cs="Times New Roman"/>
        </w:rPr>
        <w:t xml:space="preserve"> </w:t>
      </w:r>
    </w:p>
    <w:p w14:paraId="274DC537" w14:textId="6A0F5905"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3</w:t>
      </w:r>
      <w:r w:rsidRPr="00BA5027">
        <w:rPr>
          <w:rFonts w:ascii="Times New Roman" w:hAnsi="Times New Roman" w:cs="Times New Roman"/>
          <w:bCs/>
        </w:rPr>
        <w:t xml:space="preserve"> </w:t>
      </w:r>
      <w:r w:rsidR="00C507AE" w:rsidRPr="00BA5027">
        <w:rPr>
          <w:rFonts w:ascii="Times New Roman" w:hAnsi="Times New Roman" w:cs="Times New Roman"/>
          <w:bCs/>
        </w:rPr>
        <w:t xml:space="preserve">School of Sport, Exercise and Health Sciences, Loughborough University, </w:t>
      </w:r>
      <w:r w:rsidR="00A036A4" w:rsidRPr="00BA5027">
        <w:rPr>
          <w:rFonts w:ascii="Times New Roman" w:hAnsi="Times New Roman" w:cs="Times New Roman"/>
          <w:bCs/>
        </w:rPr>
        <w:t>Leicestershire</w:t>
      </w:r>
      <w:r w:rsidR="00C507AE" w:rsidRPr="00BA5027">
        <w:rPr>
          <w:rFonts w:ascii="Times New Roman" w:hAnsi="Times New Roman" w:cs="Times New Roman"/>
          <w:bCs/>
        </w:rPr>
        <w:t>, UK</w:t>
      </w:r>
      <w:r w:rsidR="006D078F" w:rsidRPr="00BA5027">
        <w:rPr>
          <w:rFonts w:ascii="Times New Roman" w:hAnsi="Times New Roman" w:cs="Times New Roman"/>
        </w:rPr>
        <w:t xml:space="preserve"> </w:t>
      </w:r>
    </w:p>
    <w:p w14:paraId="1E6C58C6" w14:textId="397775F9" w:rsidR="00554481"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4</w:t>
      </w:r>
      <w:r w:rsidRPr="00BA5027">
        <w:rPr>
          <w:rFonts w:ascii="Times New Roman" w:hAnsi="Times New Roman" w:cs="Times New Roman"/>
          <w:bCs/>
        </w:rPr>
        <w:t xml:space="preserve"> Leicester Diabetes Centre, University Hospitals of Leicester NHS Trust, Leicester, UK </w:t>
      </w:r>
    </w:p>
    <w:p w14:paraId="51DAB354" w14:textId="7587EB72"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5</w:t>
      </w:r>
      <w:r w:rsidRPr="00BA5027">
        <w:rPr>
          <w:rFonts w:ascii="Times New Roman" w:hAnsi="Times New Roman" w:cs="Times New Roman"/>
          <w:bCs/>
        </w:rPr>
        <w:t xml:space="preserve"> </w:t>
      </w:r>
      <w:r w:rsidR="00C507AE" w:rsidRPr="00BA5027">
        <w:rPr>
          <w:rFonts w:ascii="Times New Roman" w:hAnsi="Times New Roman" w:cs="Times New Roman"/>
          <w:bCs/>
        </w:rPr>
        <w:t>Simplified Data, Leicester, UK</w:t>
      </w:r>
      <w:r w:rsidRPr="00BA5027">
        <w:rPr>
          <w:rFonts w:ascii="Times New Roman" w:hAnsi="Times New Roman" w:cs="Times New Roman"/>
        </w:rPr>
        <w:t xml:space="preserve"> </w:t>
      </w:r>
    </w:p>
    <w:p w14:paraId="0020C364" w14:textId="24036D78"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6</w:t>
      </w:r>
      <w:r w:rsidRPr="00BA5027">
        <w:rPr>
          <w:rFonts w:ascii="Times New Roman" w:hAnsi="Times New Roman" w:cs="Times New Roman"/>
          <w:bCs/>
        </w:rPr>
        <w:t xml:space="preserve"> </w:t>
      </w:r>
      <w:r w:rsidR="001D5522">
        <w:rPr>
          <w:rFonts w:ascii="Times New Roman" w:hAnsi="Times New Roman" w:cs="Times New Roman"/>
          <w:bCs/>
        </w:rPr>
        <w:t>Milton Keynes University Hospital, Milton Keynes, UK</w:t>
      </w:r>
      <w:r w:rsidR="001806D6" w:rsidRPr="00BA5027">
        <w:rPr>
          <w:rFonts w:ascii="Times New Roman" w:hAnsi="Times New Roman" w:cs="Times New Roman"/>
        </w:rPr>
        <w:t xml:space="preserve"> </w:t>
      </w:r>
    </w:p>
    <w:p w14:paraId="58B6098F" w14:textId="33F0A532"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7</w:t>
      </w:r>
      <w:r w:rsidRPr="00BA5027">
        <w:rPr>
          <w:rFonts w:ascii="Times New Roman" w:hAnsi="Times New Roman" w:cs="Times New Roman"/>
          <w:bCs/>
        </w:rPr>
        <w:t xml:space="preserve"> </w:t>
      </w:r>
      <w:r w:rsidR="006D078F" w:rsidRPr="00BA5027">
        <w:rPr>
          <w:rFonts w:ascii="Times New Roman" w:hAnsi="Times New Roman" w:cs="Times New Roman"/>
          <w:bCs/>
        </w:rPr>
        <w:t>Department of Health Sciences, University of Leicester, Leicester, UK</w:t>
      </w:r>
      <w:r w:rsidR="006D078F" w:rsidRPr="00BA5027">
        <w:rPr>
          <w:rFonts w:ascii="Times New Roman" w:hAnsi="Times New Roman" w:cs="Times New Roman"/>
        </w:rPr>
        <w:t xml:space="preserve"> </w:t>
      </w:r>
    </w:p>
    <w:p w14:paraId="1FDF01C1" w14:textId="6C4EF21B" w:rsidR="00D22548" w:rsidRPr="00BA5027" w:rsidRDefault="00554481" w:rsidP="00BA5027">
      <w:pPr>
        <w:spacing w:line="480" w:lineRule="auto"/>
        <w:rPr>
          <w:rFonts w:ascii="Times New Roman" w:hAnsi="Times New Roman" w:cs="Times New Roman"/>
        </w:rPr>
      </w:pPr>
      <w:r w:rsidRPr="00BA5027">
        <w:rPr>
          <w:rFonts w:ascii="Times New Roman" w:hAnsi="Times New Roman" w:cs="Times New Roman"/>
          <w:bCs/>
          <w:vertAlign w:val="superscript"/>
        </w:rPr>
        <w:t>8</w:t>
      </w:r>
      <w:r w:rsidRPr="00BA5027">
        <w:rPr>
          <w:rFonts w:ascii="Times New Roman" w:hAnsi="Times New Roman" w:cs="Times New Roman"/>
          <w:bCs/>
        </w:rPr>
        <w:t xml:space="preserve"> </w:t>
      </w:r>
      <w:r w:rsidR="00FB3204" w:rsidRPr="00BA5027">
        <w:rPr>
          <w:rFonts w:ascii="Times New Roman" w:hAnsi="Times New Roman" w:cs="Times New Roman"/>
          <w:bCs/>
        </w:rPr>
        <w:t>Department of Cardiovascular and Metabolic Medicine</w:t>
      </w:r>
      <w:r w:rsidR="006D078F" w:rsidRPr="00BA5027">
        <w:rPr>
          <w:rFonts w:ascii="Times New Roman" w:hAnsi="Times New Roman" w:cs="Times New Roman"/>
          <w:bCs/>
        </w:rPr>
        <w:t>, University of Liverpool, Liverpool, UK</w:t>
      </w:r>
    </w:p>
    <w:p w14:paraId="3150DECA" w14:textId="31845961" w:rsidR="00D22548" w:rsidRPr="00BA5027" w:rsidRDefault="00554481" w:rsidP="00013C9D">
      <w:pPr>
        <w:spacing w:line="480" w:lineRule="auto"/>
        <w:jc w:val="both"/>
        <w:rPr>
          <w:rFonts w:ascii="Times New Roman" w:hAnsi="Times New Roman" w:cs="Times New Roman"/>
        </w:rPr>
      </w:pPr>
      <w:r w:rsidRPr="00BA5027">
        <w:rPr>
          <w:rFonts w:ascii="Times New Roman" w:hAnsi="Times New Roman" w:cs="Times New Roman"/>
          <w:bCs/>
          <w:vertAlign w:val="superscript"/>
        </w:rPr>
        <w:t>9</w:t>
      </w:r>
      <w:r w:rsidRPr="00BA5027">
        <w:rPr>
          <w:rFonts w:ascii="Times New Roman" w:hAnsi="Times New Roman" w:cs="Times New Roman"/>
          <w:bCs/>
        </w:rPr>
        <w:t xml:space="preserve"> </w:t>
      </w:r>
      <w:r w:rsidR="00D22548" w:rsidRPr="00BA5027">
        <w:rPr>
          <w:rFonts w:ascii="Times New Roman" w:hAnsi="Times New Roman" w:cs="Times New Roman"/>
          <w:bCs/>
        </w:rPr>
        <w:t xml:space="preserve">NIHR Applied Research Collaboration East Midlands, Leicester, UK </w:t>
      </w:r>
    </w:p>
    <w:p w14:paraId="6C0D93DE" w14:textId="643E7DB8" w:rsidR="00FB68E9" w:rsidRDefault="00FB68E9" w:rsidP="00013C9D">
      <w:pPr>
        <w:spacing w:line="480" w:lineRule="auto"/>
        <w:jc w:val="both"/>
        <w:rPr>
          <w:rFonts w:ascii="Times New Roman" w:hAnsi="Times New Roman" w:cs="Times New Roman"/>
        </w:rPr>
      </w:pPr>
    </w:p>
    <w:p w14:paraId="1832EB9A" w14:textId="2960E624" w:rsidR="000118C9" w:rsidRPr="000118C9" w:rsidRDefault="000118C9" w:rsidP="000118C9">
      <w:pPr>
        <w:spacing w:before="100" w:beforeAutospacing="1" w:after="100" w:afterAutospacing="1"/>
        <w:rPr>
          <w:rFonts w:ascii="Times New Roman" w:hAnsi="Times New Roman" w:cs="Times New Roman"/>
        </w:rPr>
      </w:pPr>
      <w:r w:rsidRPr="000118C9">
        <w:rPr>
          <w:rFonts w:ascii="Times New Roman" w:hAnsi="Times New Roman" w:cs="Times New Roman"/>
          <w:b/>
          <w:bCs/>
        </w:rPr>
        <w:t xml:space="preserve">Short running title: </w:t>
      </w:r>
      <w:r w:rsidRPr="000118C9">
        <w:rPr>
          <w:rFonts w:ascii="Times New Roman" w:hAnsi="Times New Roman" w:cs="Times New Roman"/>
        </w:rPr>
        <w:t>Empagliflozin</w:t>
      </w:r>
      <w:r w:rsidR="00A260E3">
        <w:rPr>
          <w:rFonts w:ascii="Times New Roman" w:hAnsi="Times New Roman" w:cs="Times New Roman"/>
        </w:rPr>
        <w:t>, energy-restriction</w:t>
      </w:r>
      <w:r w:rsidRPr="000118C9">
        <w:rPr>
          <w:rFonts w:ascii="Times New Roman" w:hAnsi="Times New Roman" w:cs="Times New Roman"/>
        </w:rPr>
        <w:t xml:space="preserve"> and appetite-regulatory peptides</w:t>
      </w:r>
    </w:p>
    <w:p w14:paraId="4C69E7E4" w14:textId="7D1709B4" w:rsidR="000118C9" w:rsidRDefault="000118C9" w:rsidP="00013C9D">
      <w:pPr>
        <w:spacing w:line="480" w:lineRule="auto"/>
        <w:jc w:val="both"/>
        <w:rPr>
          <w:rFonts w:ascii="Times New Roman" w:hAnsi="Times New Roman" w:cs="Times New Roman"/>
        </w:rPr>
      </w:pPr>
    </w:p>
    <w:p w14:paraId="5F1EC027" w14:textId="1701EC88" w:rsidR="00FB68E9" w:rsidRPr="00995A1D" w:rsidRDefault="00FB68E9" w:rsidP="0082282A">
      <w:pPr>
        <w:spacing w:line="480" w:lineRule="auto"/>
        <w:rPr>
          <w:rFonts w:ascii="Times New Roman" w:hAnsi="Times New Roman" w:cs="Times New Roman"/>
        </w:rPr>
      </w:pPr>
      <w:r>
        <w:rPr>
          <w:rFonts w:ascii="Times New Roman" w:hAnsi="Times New Roman" w:cs="Times New Roman"/>
          <w:b/>
          <w:bCs/>
        </w:rPr>
        <w:lastRenderedPageBreak/>
        <w:t xml:space="preserve">Corresponding author: </w:t>
      </w:r>
      <w:r w:rsidR="00BF4A01">
        <w:rPr>
          <w:rFonts w:ascii="Times New Roman" w:hAnsi="Times New Roman" w:cs="Times New Roman"/>
        </w:rPr>
        <w:t>Dr Jack A Sargeant</w:t>
      </w:r>
      <w:r w:rsidR="00995A1D">
        <w:rPr>
          <w:rFonts w:ascii="Times New Roman" w:hAnsi="Times New Roman" w:cs="Times New Roman"/>
        </w:rPr>
        <w:t>, Diabetes Research Centre, University of Leicester, Leicester General H</w:t>
      </w:r>
      <w:r w:rsidR="00DA1EA6">
        <w:rPr>
          <w:rFonts w:ascii="Times New Roman" w:hAnsi="Times New Roman" w:cs="Times New Roman"/>
        </w:rPr>
        <w:t xml:space="preserve">ospital, Leicester, LE5 4PW, UK; </w:t>
      </w:r>
      <w:r w:rsidR="00BF4A01">
        <w:rPr>
          <w:rFonts w:ascii="Times New Roman" w:hAnsi="Times New Roman" w:cs="Times New Roman"/>
        </w:rPr>
        <w:t>jack.sargeant@leicester.ac.uk</w:t>
      </w:r>
      <w:r w:rsidR="00995A1D">
        <w:rPr>
          <w:rFonts w:ascii="Times New Roman" w:hAnsi="Times New Roman" w:cs="Times New Roman"/>
        </w:rPr>
        <w:t>.</w:t>
      </w:r>
    </w:p>
    <w:p w14:paraId="749AECB7" w14:textId="77777777" w:rsidR="000E0D8E" w:rsidRDefault="000E0D8E" w:rsidP="00013C9D">
      <w:pPr>
        <w:spacing w:line="480" w:lineRule="auto"/>
        <w:jc w:val="both"/>
        <w:rPr>
          <w:rFonts w:ascii="Times New Roman" w:hAnsi="Times New Roman" w:cs="Times New Roman"/>
          <w:b/>
          <w:bCs/>
        </w:rPr>
      </w:pPr>
    </w:p>
    <w:p w14:paraId="0015D1D8" w14:textId="500FA941" w:rsidR="00F345E1" w:rsidRPr="0078670C" w:rsidRDefault="00F345E1" w:rsidP="00013C9D">
      <w:pPr>
        <w:spacing w:line="480" w:lineRule="auto"/>
        <w:jc w:val="both"/>
        <w:rPr>
          <w:rFonts w:ascii="Times New Roman" w:hAnsi="Times New Roman" w:cs="Times New Roman"/>
        </w:rPr>
      </w:pPr>
      <w:r w:rsidRPr="0078670C">
        <w:rPr>
          <w:rFonts w:ascii="Times New Roman" w:hAnsi="Times New Roman" w:cs="Times New Roman"/>
          <w:b/>
          <w:bCs/>
        </w:rPr>
        <w:t xml:space="preserve">Abstract word count: </w:t>
      </w:r>
      <w:r w:rsidR="00F650D8">
        <w:rPr>
          <w:rFonts w:ascii="Times New Roman" w:hAnsi="Times New Roman" w:cs="Times New Roman"/>
        </w:rPr>
        <w:t>246</w:t>
      </w:r>
    </w:p>
    <w:p w14:paraId="41286D96" w14:textId="0ABEA127" w:rsidR="0020732B" w:rsidRPr="0020732B" w:rsidRDefault="00F345E1" w:rsidP="00013C9D">
      <w:pPr>
        <w:spacing w:line="480" w:lineRule="auto"/>
        <w:jc w:val="both"/>
        <w:rPr>
          <w:rFonts w:ascii="Times New Roman" w:hAnsi="Times New Roman" w:cs="Times New Roman"/>
          <w:bCs/>
        </w:rPr>
      </w:pPr>
      <w:r w:rsidRPr="0078670C">
        <w:rPr>
          <w:rFonts w:ascii="Times New Roman" w:hAnsi="Times New Roman" w:cs="Times New Roman"/>
          <w:b/>
          <w:bCs/>
        </w:rPr>
        <w:t>Manuscript w</w:t>
      </w:r>
      <w:r w:rsidR="00CE16BE" w:rsidRPr="0078670C">
        <w:rPr>
          <w:rFonts w:ascii="Times New Roman" w:hAnsi="Times New Roman" w:cs="Times New Roman"/>
          <w:b/>
          <w:bCs/>
        </w:rPr>
        <w:t>ord count</w:t>
      </w:r>
      <w:r w:rsidRPr="0078670C">
        <w:rPr>
          <w:rFonts w:ascii="Times New Roman" w:hAnsi="Times New Roman" w:cs="Times New Roman"/>
          <w:b/>
          <w:bCs/>
        </w:rPr>
        <w:t xml:space="preserve">: </w:t>
      </w:r>
      <w:r w:rsidR="0020732B" w:rsidRPr="0020732B">
        <w:rPr>
          <w:rFonts w:ascii="Times New Roman" w:hAnsi="Times New Roman" w:cs="Times New Roman"/>
          <w:bCs/>
        </w:rPr>
        <w:t>37</w:t>
      </w:r>
      <w:r w:rsidR="005162FE">
        <w:rPr>
          <w:rFonts w:ascii="Times New Roman" w:hAnsi="Times New Roman" w:cs="Times New Roman"/>
          <w:bCs/>
        </w:rPr>
        <w:t>74</w:t>
      </w:r>
    </w:p>
    <w:p w14:paraId="45D0B49C" w14:textId="1D6025A3" w:rsidR="0045482E" w:rsidRPr="0078670C" w:rsidRDefault="00A260E3" w:rsidP="00013C9D">
      <w:pPr>
        <w:spacing w:line="480" w:lineRule="auto"/>
        <w:jc w:val="both"/>
        <w:rPr>
          <w:rFonts w:ascii="Times New Roman" w:hAnsi="Times New Roman" w:cs="Times New Roman"/>
        </w:rPr>
      </w:pPr>
      <w:r>
        <w:rPr>
          <w:rFonts w:ascii="Times New Roman" w:hAnsi="Times New Roman" w:cs="Times New Roman"/>
          <w:b/>
          <w:bCs/>
        </w:rPr>
        <w:t>Number of r</w:t>
      </w:r>
      <w:r w:rsidR="00BF4A01" w:rsidRPr="0078670C">
        <w:rPr>
          <w:rFonts w:ascii="Times New Roman" w:hAnsi="Times New Roman" w:cs="Times New Roman"/>
          <w:b/>
          <w:bCs/>
        </w:rPr>
        <w:t>eferences</w:t>
      </w:r>
      <w:r w:rsidR="0045482E" w:rsidRPr="0078670C">
        <w:rPr>
          <w:rFonts w:ascii="Times New Roman" w:hAnsi="Times New Roman" w:cs="Times New Roman"/>
          <w:b/>
          <w:bCs/>
        </w:rPr>
        <w:t xml:space="preserve">: </w:t>
      </w:r>
      <w:r w:rsidR="003A7D90" w:rsidRPr="0078670C">
        <w:rPr>
          <w:rFonts w:ascii="Times New Roman" w:hAnsi="Times New Roman" w:cs="Times New Roman"/>
        </w:rPr>
        <w:t>4</w:t>
      </w:r>
      <w:r w:rsidR="00427FBC">
        <w:rPr>
          <w:rFonts w:ascii="Times New Roman" w:hAnsi="Times New Roman" w:cs="Times New Roman"/>
        </w:rPr>
        <w:t>1</w:t>
      </w:r>
    </w:p>
    <w:p w14:paraId="7FF3B5BA" w14:textId="312EBA45" w:rsidR="00890A02" w:rsidRPr="003A7D90" w:rsidRDefault="00890A02" w:rsidP="00013C9D">
      <w:pPr>
        <w:spacing w:line="480" w:lineRule="auto"/>
        <w:jc w:val="both"/>
        <w:rPr>
          <w:rFonts w:ascii="Times New Roman" w:hAnsi="Times New Roman" w:cs="Times New Roman"/>
          <w:color w:val="FF0000"/>
        </w:rPr>
      </w:pPr>
      <w:r w:rsidRPr="0078670C">
        <w:rPr>
          <w:rFonts w:ascii="Times New Roman" w:hAnsi="Times New Roman" w:cs="Times New Roman"/>
          <w:b/>
        </w:rPr>
        <w:t>Number of tables and figures:</w:t>
      </w:r>
      <w:r w:rsidRPr="0078670C">
        <w:rPr>
          <w:rFonts w:ascii="Times New Roman" w:hAnsi="Times New Roman" w:cs="Times New Roman"/>
        </w:rPr>
        <w:t xml:space="preserve"> </w:t>
      </w:r>
      <w:r w:rsidR="00A76FDA" w:rsidRPr="0078670C">
        <w:rPr>
          <w:rFonts w:ascii="Times New Roman" w:hAnsi="Times New Roman" w:cs="Times New Roman"/>
        </w:rPr>
        <w:t>5</w:t>
      </w:r>
      <w:r w:rsidR="00420EC2" w:rsidRPr="0078670C">
        <w:rPr>
          <w:rFonts w:ascii="Times New Roman" w:hAnsi="Times New Roman" w:cs="Times New Roman"/>
        </w:rPr>
        <w:t xml:space="preserve"> (2 tables, </w:t>
      </w:r>
      <w:r w:rsidR="00A76FDA" w:rsidRPr="0078670C">
        <w:rPr>
          <w:rFonts w:ascii="Times New Roman" w:hAnsi="Times New Roman" w:cs="Times New Roman"/>
        </w:rPr>
        <w:t>3</w:t>
      </w:r>
      <w:r w:rsidR="00420EC2" w:rsidRPr="0078670C">
        <w:rPr>
          <w:rFonts w:ascii="Times New Roman" w:hAnsi="Times New Roman" w:cs="Times New Roman"/>
        </w:rPr>
        <w:t xml:space="preserve"> figures)</w:t>
      </w:r>
    </w:p>
    <w:p w14:paraId="2C159FB3" w14:textId="77777777" w:rsidR="0082282A" w:rsidRDefault="0082282A" w:rsidP="0082282A">
      <w:pPr>
        <w:spacing w:line="480" w:lineRule="auto"/>
        <w:rPr>
          <w:rFonts w:ascii="Times New Roman" w:hAnsi="Times New Roman" w:cs="Times New Roman"/>
          <w:b/>
          <w:bCs/>
          <w:highlight w:val="yellow"/>
        </w:rPr>
      </w:pPr>
    </w:p>
    <w:p w14:paraId="0A3B5AF1" w14:textId="34EF691C" w:rsidR="00CE16BE" w:rsidRDefault="0082282A" w:rsidP="00C328E3">
      <w:pPr>
        <w:spacing w:line="480" w:lineRule="auto"/>
        <w:rPr>
          <w:rFonts w:ascii="Times New Roman" w:hAnsi="Times New Roman" w:cs="Times New Roman"/>
        </w:rPr>
      </w:pPr>
      <w:r w:rsidRPr="0082282A">
        <w:rPr>
          <w:rFonts w:ascii="Times New Roman" w:hAnsi="Times New Roman" w:cs="Times New Roman"/>
          <w:b/>
          <w:bCs/>
        </w:rPr>
        <w:t xml:space="preserve">Keywords:   </w:t>
      </w:r>
      <w:r w:rsidRPr="0082282A">
        <w:rPr>
          <w:rFonts w:ascii="Times New Roman" w:hAnsi="Times New Roman" w:cs="Times New Roman"/>
        </w:rPr>
        <w:t>gut hormones, energy balance, SGLT2 inhibitors, energy restriction, compensation</w:t>
      </w:r>
      <w:r>
        <w:rPr>
          <w:rFonts w:ascii="Times New Roman" w:hAnsi="Times New Roman" w:cs="Times New Roman"/>
          <w:b/>
          <w:bCs/>
        </w:rPr>
        <w:t xml:space="preserve"> </w:t>
      </w:r>
    </w:p>
    <w:p w14:paraId="6244C7AD" w14:textId="77777777" w:rsidR="00CE16BE" w:rsidRDefault="00CE16BE" w:rsidP="00013C9D">
      <w:pPr>
        <w:spacing w:line="480" w:lineRule="auto"/>
        <w:jc w:val="both"/>
        <w:rPr>
          <w:rFonts w:ascii="Times New Roman" w:hAnsi="Times New Roman" w:cs="Times New Roman"/>
        </w:rPr>
        <w:sectPr w:rsidR="00CE16BE" w:rsidSect="008F4021">
          <w:footerReference w:type="even" r:id="rId8"/>
          <w:footerReference w:type="default" r:id="rId9"/>
          <w:pgSz w:w="11900" w:h="16840"/>
          <w:pgMar w:top="1440" w:right="1440" w:bottom="1440" w:left="1440" w:header="708" w:footer="708" w:gutter="0"/>
          <w:cols w:space="708"/>
          <w:docGrid w:linePitch="360"/>
        </w:sectPr>
      </w:pPr>
    </w:p>
    <w:p w14:paraId="60C0FE18" w14:textId="32B0D501" w:rsidR="006A68DD" w:rsidRPr="005876CF" w:rsidRDefault="00335D32" w:rsidP="00013C9D">
      <w:pPr>
        <w:spacing w:line="480" w:lineRule="auto"/>
        <w:jc w:val="both"/>
        <w:rPr>
          <w:rFonts w:ascii="Times New Roman" w:hAnsi="Times New Roman" w:cs="Times New Roman"/>
          <w:b/>
          <w:bCs/>
        </w:rPr>
      </w:pPr>
      <w:r>
        <w:rPr>
          <w:rFonts w:ascii="Times New Roman" w:hAnsi="Times New Roman" w:cs="Times New Roman"/>
          <w:b/>
          <w:bCs/>
        </w:rPr>
        <w:lastRenderedPageBreak/>
        <w:t xml:space="preserve">Structured </w:t>
      </w:r>
      <w:r w:rsidR="00CE16BE" w:rsidRPr="005876CF">
        <w:rPr>
          <w:rFonts w:ascii="Times New Roman" w:hAnsi="Times New Roman" w:cs="Times New Roman"/>
          <w:b/>
          <w:bCs/>
        </w:rPr>
        <w:t>Abstract</w:t>
      </w:r>
    </w:p>
    <w:p w14:paraId="11F3594A" w14:textId="48DECF9A" w:rsidR="00335D32" w:rsidRDefault="00564E1F" w:rsidP="001F32D9">
      <w:pPr>
        <w:spacing w:line="480" w:lineRule="auto"/>
        <w:jc w:val="both"/>
        <w:rPr>
          <w:rFonts w:ascii="Times New Roman" w:hAnsi="Times New Roman" w:cs="Times New Roman"/>
        </w:rPr>
      </w:pPr>
      <w:r w:rsidRPr="003B2872">
        <w:rPr>
          <w:rFonts w:ascii="Times New Roman" w:hAnsi="Times New Roman" w:cs="Times New Roman"/>
          <w:b/>
          <w:bCs/>
          <w:i/>
          <w:iCs/>
        </w:rPr>
        <w:t>Aim</w:t>
      </w:r>
      <w:r w:rsidR="001F32D9" w:rsidRPr="003B2872">
        <w:rPr>
          <w:rFonts w:ascii="Times New Roman" w:hAnsi="Times New Roman" w:cs="Times New Roman"/>
          <w:b/>
          <w:bCs/>
          <w:i/>
          <w:iCs/>
        </w:rPr>
        <w:t>:</w:t>
      </w:r>
      <w:r w:rsidR="001F32D9">
        <w:rPr>
          <w:rFonts w:ascii="Times New Roman" w:hAnsi="Times New Roman" w:cs="Times New Roman"/>
          <w:i/>
          <w:iCs/>
        </w:rPr>
        <w:t xml:space="preserve"> </w:t>
      </w:r>
      <w:r w:rsidR="001F32D9">
        <w:rPr>
          <w:rFonts w:ascii="Times New Roman" w:hAnsi="Times New Roman" w:cs="Times New Roman"/>
        </w:rPr>
        <w:t>To assess the impact of the SGLT2 inhibitor empagliflozin (25mg once-daily), dietary energy restriction, or both</w:t>
      </w:r>
      <w:r w:rsidR="00F73003">
        <w:rPr>
          <w:rFonts w:ascii="Times New Roman" w:hAnsi="Times New Roman" w:cs="Times New Roman"/>
        </w:rPr>
        <w:t xml:space="preserve"> combined</w:t>
      </w:r>
      <w:r w:rsidR="001F32D9">
        <w:rPr>
          <w:rFonts w:ascii="Times New Roman" w:hAnsi="Times New Roman" w:cs="Times New Roman"/>
        </w:rPr>
        <w:t>, on circulating appetite-regulatory peptides</w:t>
      </w:r>
      <w:r w:rsidR="00CF4EA4">
        <w:rPr>
          <w:rFonts w:ascii="Times New Roman" w:hAnsi="Times New Roman" w:cs="Times New Roman"/>
        </w:rPr>
        <w:t xml:space="preserve"> </w:t>
      </w:r>
      <w:r w:rsidR="001F32D9">
        <w:rPr>
          <w:rFonts w:ascii="Times New Roman" w:hAnsi="Times New Roman" w:cs="Times New Roman"/>
        </w:rPr>
        <w:t>in people with</w:t>
      </w:r>
      <w:r w:rsidR="001F32D9" w:rsidRPr="00296D7E">
        <w:rPr>
          <w:rFonts w:ascii="Times New Roman" w:hAnsi="Times New Roman" w:cs="Times New Roman"/>
        </w:rPr>
        <w:t xml:space="preserve"> </w:t>
      </w:r>
      <w:r w:rsidR="001F32D9">
        <w:rPr>
          <w:rFonts w:ascii="Times New Roman" w:hAnsi="Times New Roman" w:cs="Times New Roman"/>
        </w:rPr>
        <w:t xml:space="preserve">type 2 diabetes </w:t>
      </w:r>
      <w:r w:rsidR="00335D32">
        <w:rPr>
          <w:rFonts w:ascii="Times New Roman" w:hAnsi="Times New Roman" w:cs="Times New Roman"/>
        </w:rPr>
        <w:t xml:space="preserve">(T2D) </w:t>
      </w:r>
      <w:r w:rsidR="001F32D9">
        <w:rPr>
          <w:rFonts w:ascii="Times New Roman" w:hAnsi="Times New Roman" w:cs="Times New Roman"/>
        </w:rPr>
        <w:t xml:space="preserve">and overweight or obesity. </w:t>
      </w:r>
    </w:p>
    <w:p w14:paraId="09BAB467" w14:textId="120C6AC4" w:rsidR="00335D32" w:rsidRDefault="00335D32" w:rsidP="001F32D9">
      <w:pPr>
        <w:spacing w:line="480" w:lineRule="auto"/>
        <w:jc w:val="both"/>
        <w:rPr>
          <w:rFonts w:ascii="Times New Roman" w:hAnsi="Times New Roman" w:cs="Times New Roman"/>
          <w:i/>
          <w:iCs/>
        </w:rPr>
      </w:pPr>
      <w:r w:rsidRPr="00335D32">
        <w:rPr>
          <w:rFonts w:ascii="Times New Roman" w:hAnsi="Times New Roman" w:cs="Times New Roman"/>
          <w:b/>
          <w:bCs/>
          <w:i/>
          <w:iCs/>
        </w:rPr>
        <w:t xml:space="preserve">Materials and </w:t>
      </w:r>
      <w:r w:rsidR="00564E1F" w:rsidRPr="00335D32">
        <w:rPr>
          <w:rFonts w:ascii="Times New Roman" w:hAnsi="Times New Roman" w:cs="Times New Roman"/>
          <w:b/>
          <w:bCs/>
          <w:i/>
          <w:iCs/>
        </w:rPr>
        <w:t>Methods</w:t>
      </w:r>
      <w:r w:rsidR="001F32D9">
        <w:rPr>
          <w:rFonts w:ascii="Times New Roman" w:hAnsi="Times New Roman" w:cs="Times New Roman"/>
          <w:i/>
          <w:iCs/>
        </w:rPr>
        <w:t xml:space="preserve">: </w:t>
      </w:r>
      <w:r w:rsidR="001F32D9">
        <w:rPr>
          <w:rFonts w:ascii="Times New Roman" w:hAnsi="Times New Roman" w:cs="Times New Roman"/>
        </w:rPr>
        <w:t xml:space="preserve">In a double-blind, placebo-controlled trial, 68 adults (age 30-75 years) with </w:t>
      </w:r>
      <w:r>
        <w:rPr>
          <w:rFonts w:ascii="Times New Roman" w:hAnsi="Times New Roman" w:cs="Times New Roman"/>
        </w:rPr>
        <w:t>T2D</w:t>
      </w:r>
      <w:r w:rsidR="001F32D9">
        <w:rPr>
          <w:rFonts w:ascii="Times New Roman" w:hAnsi="Times New Roman" w:cs="Times New Roman"/>
        </w:rPr>
        <w:t xml:space="preserve"> (drug naïve or on metformin monotherapy; HbA1c 6</w:t>
      </w:r>
      <w:r w:rsidR="00563D5A">
        <w:rPr>
          <w:rFonts w:ascii="Times New Roman" w:hAnsi="Times New Roman" w:cs="Times New Roman"/>
        </w:rPr>
        <w:t>.</w:t>
      </w:r>
      <w:r w:rsidR="001F32D9">
        <w:rPr>
          <w:rFonts w:ascii="Times New Roman" w:hAnsi="Times New Roman" w:cs="Times New Roman"/>
        </w:rPr>
        <w:t>0-10</w:t>
      </w:r>
      <w:r w:rsidR="00563D5A">
        <w:rPr>
          <w:rFonts w:ascii="Times New Roman" w:hAnsi="Times New Roman" w:cs="Times New Roman"/>
        </w:rPr>
        <w:t>.</w:t>
      </w:r>
      <w:r w:rsidR="001F32D9">
        <w:rPr>
          <w:rFonts w:ascii="Times New Roman" w:hAnsi="Times New Roman" w:cs="Times New Roman"/>
        </w:rPr>
        <w:t>0% [42-86mmol/mol]) and BMI ≥25kg/m</w:t>
      </w:r>
      <w:r w:rsidR="001F32D9" w:rsidRPr="00235915">
        <w:rPr>
          <w:rFonts w:ascii="Times New Roman" w:hAnsi="Times New Roman" w:cs="Times New Roman"/>
          <w:vertAlign w:val="superscript"/>
        </w:rPr>
        <w:t>2</w:t>
      </w:r>
      <w:r w:rsidR="001F32D9">
        <w:rPr>
          <w:rFonts w:ascii="Times New Roman" w:hAnsi="Times New Roman" w:cs="Times New Roman"/>
        </w:rPr>
        <w:t xml:space="preserve"> were randomi</w:t>
      </w:r>
      <w:r w:rsidR="001F16AF">
        <w:rPr>
          <w:rFonts w:ascii="Times New Roman" w:hAnsi="Times New Roman" w:cs="Times New Roman"/>
        </w:rPr>
        <w:t>s</w:t>
      </w:r>
      <w:r w:rsidR="001F32D9">
        <w:rPr>
          <w:rFonts w:ascii="Times New Roman" w:hAnsi="Times New Roman" w:cs="Times New Roman"/>
        </w:rPr>
        <w:t>ed to: (1) placebo-only, (2) placebo-plus-diet, (3) empagliflozin-only, or (4) empagliflozin-plus-diet</w:t>
      </w:r>
      <w:r w:rsidR="00456DD2">
        <w:rPr>
          <w:rFonts w:ascii="Times New Roman" w:hAnsi="Times New Roman" w:cs="Times New Roman"/>
        </w:rPr>
        <w:t xml:space="preserve"> for 24 weeks</w:t>
      </w:r>
      <w:r w:rsidR="001F32D9">
        <w:rPr>
          <w:rFonts w:ascii="Times New Roman" w:hAnsi="Times New Roman" w:cs="Times New Roman"/>
        </w:rPr>
        <w:t xml:space="preserve">. </w:t>
      </w:r>
      <w:r w:rsidR="00AD6280" w:rsidRPr="00F73003">
        <w:rPr>
          <w:rFonts w:ascii="Times New Roman" w:hAnsi="Times New Roman" w:cs="Times New Roman"/>
          <w:highlight w:val="yellow"/>
        </w:rPr>
        <w:t>Dietary en</w:t>
      </w:r>
      <w:r w:rsidR="00F913A4" w:rsidRPr="00F73003">
        <w:rPr>
          <w:rFonts w:ascii="Times New Roman" w:hAnsi="Times New Roman" w:cs="Times New Roman"/>
          <w:highlight w:val="yellow"/>
        </w:rPr>
        <w:t xml:space="preserve">ergy restriction </w:t>
      </w:r>
      <w:r w:rsidR="00F73003" w:rsidRPr="00F73003">
        <w:rPr>
          <w:rFonts w:ascii="Times New Roman" w:hAnsi="Times New Roman" w:cs="Times New Roman"/>
          <w:highlight w:val="yellow"/>
        </w:rPr>
        <w:t xml:space="preserve">matched the </w:t>
      </w:r>
      <w:r w:rsidR="00F73003" w:rsidRPr="00F73003">
        <w:rPr>
          <w:rFonts w:ascii="Times New Roman" w:hAnsi="Times New Roman" w:cs="Times New Roman"/>
          <w:iCs/>
          <w:highlight w:val="yellow"/>
        </w:rPr>
        <w:t>estimated energy deficit elicited by SGLT2</w:t>
      </w:r>
      <w:r w:rsidR="00F060B5">
        <w:rPr>
          <w:rFonts w:ascii="Times New Roman" w:hAnsi="Times New Roman" w:cs="Times New Roman"/>
          <w:iCs/>
          <w:highlight w:val="yellow"/>
        </w:rPr>
        <w:t xml:space="preserve"> inhibitor</w:t>
      </w:r>
      <w:r w:rsidR="00F73003" w:rsidRPr="00F73003">
        <w:rPr>
          <w:rFonts w:ascii="Times New Roman" w:hAnsi="Times New Roman" w:cs="Times New Roman"/>
          <w:iCs/>
          <w:highlight w:val="yellow"/>
        </w:rPr>
        <w:t xml:space="preserve"> therapy through urinary glucose excretion (~360kcal/day).</w:t>
      </w:r>
      <w:r w:rsidR="00F73003">
        <w:rPr>
          <w:rFonts w:ascii="Times New Roman" w:hAnsi="Times New Roman" w:cs="Times New Roman"/>
        </w:rPr>
        <w:t xml:space="preserve"> </w:t>
      </w:r>
      <w:r w:rsidR="00E1058E">
        <w:rPr>
          <w:rFonts w:ascii="Times New Roman" w:hAnsi="Times New Roman" w:cs="Times New Roman"/>
        </w:rPr>
        <w:t>The primary outcome was change in postprandial circulating total peptide-YY (PYY) during a 3-hour mixed</w:t>
      </w:r>
      <w:r w:rsidR="009506D8">
        <w:rPr>
          <w:rFonts w:ascii="Times New Roman" w:hAnsi="Times New Roman" w:cs="Times New Roman"/>
        </w:rPr>
        <w:t>-</w:t>
      </w:r>
      <w:r w:rsidR="00E1058E">
        <w:rPr>
          <w:rFonts w:ascii="Times New Roman" w:hAnsi="Times New Roman" w:cs="Times New Roman"/>
        </w:rPr>
        <w:t>meal tolerance test from baseline to 24</w:t>
      </w:r>
      <w:r w:rsidR="009506D8">
        <w:rPr>
          <w:rFonts w:ascii="Times New Roman" w:hAnsi="Times New Roman" w:cs="Times New Roman"/>
        </w:rPr>
        <w:t>-</w:t>
      </w:r>
      <w:r w:rsidR="00E1058E">
        <w:rPr>
          <w:rFonts w:ascii="Times New Roman" w:hAnsi="Times New Roman" w:cs="Times New Roman"/>
        </w:rPr>
        <w:t xml:space="preserve">weeks. Postprandial </w:t>
      </w:r>
      <w:r w:rsidR="003F7184">
        <w:rPr>
          <w:rFonts w:ascii="Times New Roman" w:hAnsi="Times New Roman" w:cs="Times New Roman"/>
        </w:rPr>
        <w:t xml:space="preserve">total </w:t>
      </w:r>
      <w:r w:rsidR="00E1058E">
        <w:rPr>
          <w:rFonts w:ascii="Times New Roman" w:hAnsi="Times New Roman" w:cs="Times New Roman"/>
        </w:rPr>
        <w:t>glucagon-like peptide-1 (GLP-1), acylated ghrelin and subjective appetite perception</w:t>
      </w:r>
      <w:r w:rsidR="003F7184">
        <w:rPr>
          <w:rFonts w:ascii="Times New Roman" w:hAnsi="Times New Roman" w:cs="Times New Roman"/>
        </w:rPr>
        <w:t>s</w:t>
      </w:r>
      <w:r w:rsidR="00E1058E">
        <w:rPr>
          <w:rFonts w:ascii="Times New Roman" w:hAnsi="Times New Roman" w:cs="Times New Roman"/>
        </w:rPr>
        <w:t xml:space="preserve"> formed secondary outcomes, along with other key components of energy balance.</w:t>
      </w:r>
      <w:r w:rsidR="003B2872">
        <w:rPr>
          <w:rFonts w:ascii="Times New Roman" w:hAnsi="Times New Roman" w:cs="Times New Roman"/>
          <w:i/>
          <w:iCs/>
        </w:rPr>
        <w:t xml:space="preserve"> </w:t>
      </w:r>
    </w:p>
    <w:p w14:paraId="7D60B9BE" w14:textId="599EC506" w:rsidR="00335D32" w:rsidRDefault="001F32D9" w:rsidP="001F32D9">
      <w:pPr>
        <w:spacing w:line="480" w:lineRule="auto"/>
        <w:jc w:val="both"/>
        <w:rPr>
          <w:rFonts w:ascii="Times New Roman" w:hAnsi="Times New Roman" w:cs="Times New Roman"/>
        </w:rPr>
      </w:pPr>
      <w:r w:rsidRPr="003B2872">
        <w:rPr>
          <w:rFonts w:ascii="Times New Roman" w:hAnsi="Times New Roman" w:cs="Times New Roman"/>
          <w:b/>
          <w:bCs/>
          <w:i/>
          <w:iCs/>
        </w:rPr>
        <w:t>Results</w:t>
      </w:r>
      <w:r>
        <w:rPr>
          <w:rFonts w:ascii="Times New Roman" w:hAnsi="Times New Roman" w:cs="Times New Roman"/>
          <w:i/>
          <w:iCs/>
        </w:rPr>
        <w:t xml:space="preserve">: </w:t>
      </w:r>
      <w:r>
        <w:rPr>
          <w:rFonts w:ascii="Times New Roman" w:hAnsi="Times New Roman" w:cs="Times New Roman"/>
        </w:rPr>
        <w:t>The mean weight loss in each group at 24 weeks was 0</w:t>
      </w:r>
      <w:r w:rsidR="00563D5A">
        <w:rPr>
          <w:rFonts w:ascii="Times New Roman" w:hAnsi="Times New Roman" w:cs="Times New Roman"/>
        </w:rPr>
        <w:t>.</w:t>
      </w:r>
      <w:r>
        <w:rPr>
          <w:rFonts w:ascii="Times New Roman" w:hAnsi="Times New Roman" w:cs="Times New Roman"/>
        </w:rPr>
        <w:t>44, 1</w:t>
      </w:r>
      <w:r w:rsidR="00563D5A">
        <w:rPr>
          <w:rFonts w:ascii="Times New Roman" w:hAnsi="Times New Roman" w:cs="Times New Roman"/>
        </w:rPr>
        <w:t>.</w:t>
      </w:r>
      <w:r>
        <w:rPr>
          <w:rFonts w:ascii="Times New Roman" w:hAnsi="Times New Roman" w:cs="Times New Roman"/>
        </w:rPr>
        <w:t>91, 2</w:t>
      </w:r>
      <w:r w:rsidR="00563D5A">
        <w:rPr>
          <w:rFonts w:ascii="Times New Roman" w:hAnsi="Times New Roman" w:cs="Times New Roman"/>
        </w:rPr>
        <w:t>.</w:t>
      </w:r>
      <w:r>
        <w:rPr>
          <w:rFonts w:ascii="Times New Roman" w:hAnsi="Times New Roman" w:cs="Times New Roman"/>
        </w:rPr>
        <w:t>22, and 5</w:t>
      </w:r>
      <w:r w:rsidR="00563D5A">
        <w:rPr>
          <w:rFonts w:ascii="Times New Roman" w:hAnsi="Times New Roman" w:cs="Times New Roman"/>
        </w:rPr>
        <w:t>.</w:t>
      </w:r>
      <w:r>
        <w:rPr>
          <w:rFonts w:ascii="Times New Roman" w:hAnsi="Times New Roman" w:cs="Times New Roman"/>
        </w:rPr>
        <w:t>74 kg, respectively.</w:t>
      </w:r>
      <w:r w:rsidRPr="00A51CB1">
        <w:rPr>
          <w:rFonts w:ascii="Times New Roman" w:hAnsi="Times New Roman" w:cs="Times New Roman"/>
        </w:rPr>
        <w:t xml:space="preserve"> </w:t>
      </w:r>
      <w:r>
        <w:rPr>
          <w:rFonts w:ascii="Times New Roman" w:hAnsi="Times New Roman" w:cs="Times New Roman"/>
        </w:rPr>
        <w:t>The change</w:t>
      </w:r>
      <w:r w:rsidR="00AD6280">
        <w:rPr>
          <w:rFonts w:ascii="Times New Roman" w:hAnsi="Times New Roman" w:cs="Times New Roman"/>
        </w:rPr>
        <w:t xml:space="preserve"> from </w:t>
      </w:r>
      <w:r w:rsidR="00AD6280" w:rsidRPr="00AD6DB6">
        <w:rPr>
          <w:rFonts w:ascii="Times New Roman" w:hAnsi="Times New Roman" w:cs="Times New Roman"/>
          <w:highlight w:val="yellow"/>
        </w:rPr>
        <w:t>baseline to 24</w:t>
      </w:r>
      <w:r w:rsidR="00F060B5">
        <w:rPr>
          <w:rFonts w:ascii="Times New Roman" w:hAnsi="Times New Roman" w:cs="Times New Roman"/>
          <w:highlight w:val="yellow"/>
        </w:rPr>
        <w:t xml:space="preserve"> </w:t>
      </w:r>
      <w:r w:rsidR="00AD6280" w:rsidRPr="00AD6DB6">
        <w:rPr>
          <w:rFonts w:ascii="Times New Roman" w:hAnsi="Times New Roman" w:cs="Times New Roman"/>
          <w:highlight w:val="yellow"/>
        </w:rPr>
        <w:t>weeks</w:t>
      </w:r>
      <w:r>
        <w:rPr>
          <w:rFonts w:ascii="Times New Roman" w:hAnsi="Times New Roman" w:cs="Times New Roman"/>
        </w:rPr>
        <w:t xml:space="preserve"> in postprandial total PYY was similar between experimental groups and placebo-only</w:t>
      </w:r>
      <w:r w:rsidR="00350B30">
        <w:rPr>
          <w:rFonts w:ascii="Times New Roman" w:hAnsi="Times New Roman" w:cs="Times New Roman"/>
        </w:rPr>
        <w:t xml:space="preserve"> </w:t>
      </w:r>
      <w:r>
        <w:rPr>
          <w:rFonts w:ascii="Times New Roman" w:hAnsi="Times New Roman" w:cs="Times New Roman"/>
        </w:rPr>
        <w:t>(mean</w:t>
      </w:r>
      <w:r w:rsidR="00456DD2">
        <w:rPr>
          <w:rFonts w:ascii="Times New Roman" w:hAnsi="Times New Roman" w:cs="Times New Roman"/>
        </w:rPr>
        <w:t xml:space="preserve"> difference</w:t>
      </w:r>
      <w:r>
        <w:rPr>
          <w:rFonts w:ascii="Times New Roman" w:hAnsi="Times New Roman" w:cs="Times New Roman"/>
        </w:rPr>
        <w:t xml:space="preserve"> </w:t>
      </w:r>
      <w:r w:rsidRPr="00D521C7">
        <w:rPr>
          <w:rFonts w:ascii="Times New Roman" w:hAnsi="Times New Roman" w:cs="Times New Roman"/>
        </w:rPr>
        <w:t>[</w:t>
      </w:r>
      <w:r>
        <w:rPr>
          <w:rFonts w:ascii="Times New Roman" w:hAnsi="Times New Roman" w:cs="Times New Roman"/>
        </w:rPr>
        <w:t xml:space="preserve">95% CI]: </w:t>
      </w:r>
      <w:r w:rsidRPr="00D521C7">
        <w:rPr>
          <w:rFonts w:ascii="Times New Roman" w:hAnsi="Times New Roman" w:cs="Times New Roman"/>
        </w:rPr>
        <w:t>-8</w:t>
      </w:r>
      <w:r w:rsidR="00563D5A">
        <w:rPr>
          <w:rFonts w:ascii="Times New Roman" w:hAnsi="Times New Roman" w:cs="Times New Roman"/>
        </w:rPr>
        <w:t>.</w:t>
      </w:r>
      <w:r w:rsidRPr="00D521C7">
        <w:rPr>
          <w:rFonts w:ascii="Times New Roman" w:hAnsi="Times New Roman" w:cs="Times New Roman"/>
        </w:rPr>
        <w:t>6</w:t>
      </w:r>
      <w:r>
        <w:rPr>
          <w:rFonts w:ascii="Times New Roman" w:hAnsi="Times New Roman" w:cs="Times New Roman"/>
        </w:rPr>
        <w:t>: [</w:t>
      </w:r>
      <w:r w:rsidRPr="00D521C7">
        <w:rPr>
          <w:rFonts w:ascii="Times New Roman" w:hAnsi="Times New Roman" w:cs="Times New Roman"/>
        </w:rPr>
        <w:t>-28</w:t>
      </w:r>
      <w:r w:rsidR="00563D5A">
        <w:rPr>
          <w:rFonts w:ascii="Times New Roman" w:hAnsi="Times New Roman" w:cs="Times New Roman"/>
        </w:rPr>
        <w:t>.</w:t>
      </w:r>
      <w:r w:rsidRPr="00D521C7">
        <w:rPr>
          <w:rFonts w:ascii="Times New Roman" w:hAnsi="Times New Roman" w:cs="Times New Roman"/>
        </w:rPr>
        <w:t>6 to 11</w:t>
      </w:r>
      <w:r w:rsidR="00563D5A">
        <w:rPr>
          <w:rFonts w:ascii="Times New Roman" w:hAnsi="Times New Roman" w:cs="Times New Roman"/>
        </w:rPr>
        <w:t>.</w:t>
      </w:r>
      <w:r w:rsidRPr="00D521C7">
        <w:rPr>
          <w:rFonts w:ascii="Times New Roman" w:hAnsi="Times New Roman" w:cs="Times New Roman"/>
        </w:rPr>
        <w:t>4]</w:t>
      </w:r>
      <w:r>
        <w:rPr>
          <w:rFonts w:ascii="Times New Roman" w:hAnsi="Times New Roman" w:cs="Times New Roman"/>
        </w:rPr>
        <w:t xml:space="preserve">, </w:t>
      </w:r>
      <w:r w:rsidRPr="00D521C7">
        <w:rPr>
          <w:rFonts w:ascii="Times New Roman" w:hAnsi="Times New Roman" w:cs="Times New Roman"/>
        </w:rPr>
        <w:t>13</w:t>
      </w:r>
      <w:r w:rsidR="00563D5A">
        <w:rPr>
          <w:rFonts w:ascii="Times New Roman" w:hAnsi="Times New Roman" w:cs="Times New Roman"/>
        </w:rPr>
        <w:t>.</w:t>
      </w:r>
      <w:r w:rsidRPr="00D521C7">
        <w:rPr>
          <w:rFonts w:ascii="Times New Roman" w:hAnsi="Times New Roman" w:cs="Times New Roman"/>
        </w:rPr>
        <w:t>4 [-6</w:t>
      </w:r>
      <w:r w:rsidR="00563D5A">
        <w:rPr>
          <w:rFonts w:ascii="Times New Roman" w:hAnsi="Times New Roman" w:cs="Times New Roman"/>
        </w:rPr>
        <w:t>.</w:t>
      </w:r>
      <w:r w:rsidRPr="00D521C7">
        <w:rPr>
          <w:rFonts w:ascii="Times New Roman" w:hAnsi="Times New Roman" w:cs="Times New Roman"/>
        </w:rPr>
        <w:t>1 to 33</w:t>
      </w:r>
      <w:r w:rsidR="00563D5A">
        <w:rPr>
          <w:rFonts w:ascii="Times New Roman" w:hAnsi="Times New Roman" w:cs="Times New Roman"/>
        </w:rPr>
        <w:t>.</w:t>
      </w:r>
      <w:r w:rsidRPr="00D521C7">
        <w:rPr>
          <w:rFonts w:ascii="Times New Roman" w:hAnsi="Times New Roman" w:cs="Times New Roman"/>
        </w:rPr>
        <w:t>0]</w:t>
      </w:r>
      <w:r>
        <w:rPr>
          <w:rFonts w:ascii="Times New Roman" w:hAnsi="Times New Roman" w:cs="Times New Roman"/>
        </w:rPr>
        <w:t xml:space="preserve">, and </w:t>
      </w:r>
      <w:r w:rsidRPr="00D521C7">
        <w:rPr>
          <w:rFonts w:ascii="Times New Roman" w:hAnsi="Times New Roman" w:cs="Times New Roman"/>
        </w:rPr>
        <w:t>1</w:t>
      </w:r>
      <w:r w:rsidR="00563D5A">
        <w:rPr>
          <w:rFonts w:ascii="Times New Roman" w:hAnsi="Times New Roman" w:cs="Times New Roman"/>
        </w:rPr>
        <w:t>.</w:t>
      </w:r>
      <w:r w:rsidRPr="00D521C7">
        <w:rPr>
          <w:rFonts w:ascii="Times New Roman" w:hAnsi="Times New Roman" w:cs="Times New Roman"/>
        </w:rPr>
        <w:t>0 [-18</w:t>
      </w:r>
      <w:r w:rsidR="00563D5A">
        <w:rPr>
          <w:rFonts w:ascii="Times New Roman" w:hAnsi="Times New Roman" w:cs="Times New Roman"/>
        </w:rPr>
        <w:t>.</w:t>
      </w:r>
      <w:r w:rsidRPr="00D521C7">
        <w:rPr>
          <w:rFonts w:ascii="Times New Roman" w:hAnsi="Times New Roman" w:cs="Times New Roman"/>
        </w:rPr>
        <w:t>0 to 19</w:t>
      </w:r>
      <w:r w:rsidR="00563D5A">
        <w:rPr>
          <w:rFonts w:ascii="Times New Roman" w:hAnsi="Times New Roman" w:cs="Times New Roman"/>
        </w:rPr>
        <w:t>.</w:t>
      </w:r>
      <w:r w:rsidRPr="00D521C7">
        <w:rPr>
          <w:rFonts w:ascii="Times New Roman" w:hAnsi="Times New Roman" w:cs="Times New Roman"/>
        </w:rPr>
        <w:t>9]</w:t>
      </w:r>
      <w:r>
        <w:rPr>
          <w:rFonts w:ascii="Times New Roman" w:hAnsi="Times New Roman" w:cs="Times New Roman"/>
        </w:rPr>
        <w:t xml:space="preserve"> pg/mL in placebo-plus-diet, empagliflozin-only, and empagliflozin-plus-diet groups, respectively (all </w:t>
      </w:r>
      <w:r>
        <w:rPr>
          <w:rFonts w:ascii="Times New Roman" w:hAnsi="Times New Roman" w:cs="Times New Roman"/>
          <w:i/>
          <w:iCs/>
        </w:rPr>
        <w:t>p</w:t>
      </w:r>
      <w:r>
        <w:rPr>
          <w:rFonts w:ascii="Times New Roman" w:hAnsi="Times New Roman" w:cs="Times New Roman"/>
        </w:rPr>
        <w:t>≥0</w:t>
      </w:r>
      <w:r w:rsidR="00563D5A">
        <w:rPr>
          <w:rFonts w:ascii="Times New Roman" w:hAnsi="Times New Roman" w:cs="Times New Roman"/>
        </w:rPr>
        <w:t>.</w:t>
      </w:r>
      <w:r>
        <w:rPr>
          <w:rFonts w:ascii="Times New Roman" w:hAnsi="Times New Roman" w:cs="Times New Roman"/>
        </w:rPr>
        <w:t>18)).</w:t>
      </w:r>
      <w:r w:rsidRPr="008338B3">
        <w:rPr>
          <w:rFonts w:ascii="Times New Roman" w:hAnsi="Times New Roman" w:cs="Times New Roman"/>
        </w:rPr>
        <w:t xml:space="preserve"> </w:t>
      </w:r>
      <w:r w:rsidRPr="002627C2">
        <w:rPr>
          <w:rFonts w:ascii="Times New Roman" w:hAnsi="Times New Roman" w:cs="Times New Roman"/>
          <w:highlight w:val="yellow"/>
        </w:rPr>
        <w:t xml:space="preserve">Similarly, </w:t>
      </w:r>
      <w:r w:rsidR="00933737" w:rsidRPr="002627C2">
        <w:rPr>
          <w:rFonts w:ascii="Times New Roman" w:hAnsi="Times New Roman" w:cs="Times New Roman"/>
          <w:highlight w:val="yellow"/>
        </w:rPr>
        <w:t xml:space="preserve">there was no consistent pattern of </w:t>
      </w:r>
      <w:r w:rsidR="002627C2" w:rsidRPr="002627C2">
        <w:rPr>
          <w:rFonts w:ascii="Times New Roman" w:hAnsi="Times New Roman" w:cs="Times New Roman"/>
          <w:highlight w:val="yellow"/>
        </w:rPr>
        <w:t xml:space="preserve">difference </w:t>
      </w:r>
      <w:r w:rsidR="00933737" w:rsidRPr="002627C2">
        <w:rPr>
          <w:rFonts w:ascii="Times New Roman" w:hAnsi="Times New Roman" w:cs="Times New Roman"/>
          <w:highlight w:val="yellow"/>
        </w:rPr>
        <w:t xml:space="preserve">between groups </w:t>
      </w:r>
      <w:r w:rsidRPr="002627C2">
        <w:rPr>
          <w:rFonts w:ascii="Times New Roman" w:hAnsi="Times New Roman" w:cs="Times New Roman"/>
          <w:highlight w:val="yellow"/>
        </w:rPr>
        <w:t>for</w:t>
      </w:r>
      <w:r w:rsidR="00456DD2" w:rsidRPr="002627C2">
        <w:rPr>
          <w:rFonts w:ascii="Times New Roman" w:hAnsi="Times New Roman" w:cs="Times New Roman"/>
          <w:highlight w:val="yellow"/>
        </w:rPr>
        <w:t xml:space="preserve"> post-prandial</w:t>
      </w:r>
      <w:r w:rsidRPr="002627C2">
        <w:rPr>
          <w:rFonts w:ascii="Times New Roman" w:hAnsi="Times New Roman" w:cs="Times New Roman"/>
          <w:highlight w:val="yellow"/>
        </w:rPr>
        <w:t xml:space="preserve"> total GLP-1, acylated ghrelin, </w:t>
      </w:r>
      <w:r w:rsidR="00F13A5B" w:rsidRPr="002627C2">
        <w:rPr>
          <w:rFonts w:ascii="Times New Roman" w:hAnsi="Times New Roman" w:cs="Times New Roman"/>
          <w:highlight w:val="yellow"/>
        </w:rPr>
        <w:t xml:space="preserve">and </w:t>
      </w:r>
      <w:r w:rsidRPr="002627C2">
        <w:rPr>
          <w:rFonts w:ascii="Times New Roman" w:hAnsi="Times New Roman" w:cs="Times New Roman"/>
          <w:highlight w:val="yellow"/>
        </w:rPr>
        <w:t>subjective appetite perceptions.</w:t>
      </w:r>
      <w:r w:rsidR="003B2872">
        <w:rPr>
          <w:rFonts w:ascii="Times New Roman" w:hAnsi="Times New Roman" w:cs="Times New Roman"/>
        </w:rPr>
        <w:t xml:space="preserve"> </w:t>
      </w:r>
    </w:p>
    <w:p w14:paraId="79FBAB18" w14:textId="28B1A799" w:rsidR="00D85ED1" w:rsidRDefault="001F32D9" w:rsidP="00013C9D">
      <w:pPr>
        <w:spacing w:line="480" w:lineRule="auto"/>
        <w:jc w:val="both"/>
        <w:rPr>
          <w:rFonts w:ascii="Times New Roman" w:hAnsi="Times New Roman" w:cs="Times New Roman"/>
        </w:rPr>
      </w:pPr>
      <w:r w:rsidRPr="003B2872">
        <w:rPr>
          <w:rFonts w:ascii="Times New Roman" w:hAnsi="Times New Roman" w:cs="Times New Roman"/>
          <w:b/>
          <w:bCs/>
          <w:i/>
          <w:iCs/>
        </w:rPr>
        <w:t>Conclusion</w:t>
      </w:r>
      <w:r w:rsidR="00564E1F" w:rsidRPr="003B2872">
        <w:rPr>
          <w:rFonts w:ascii="Times New Roman" w:hAnsi="Times New Roman" w:cs="Times New Roman"/>
          <w:b/>
          <w:bCs/>
          <w:i/>
          <w:iCs/>
        </w:rPr>
        <w:t>s</w:t>
      </w:r>
      <w:r>
        <w:rPr>
          <w:rFonts w:ascii="Times New Roman" w:hAnsi="Times New Roman" w:cs="Times New Roman"/>
          <w:i/>
          <w:iCs/>
        </w:rPr>
        <w:t xml:space="preserve">: </w:t>
      </w:r>
      <w:r>
        <w:rPr>
          <w:rFonts w:ascii="Times New Roman" w:hAnsi="Times New Roman" w:cs="Times New Roman"/>
        </w:rPr>
        <w:t xml:space="preserve">In people with </w:t>
      </w:r>
      <w:r w:rsidR="009639E0">
        <w:rPr>
          <w:rFonts w:ascii="Times New Roman" w:hAnsi="Times New Roman" w:cs="Times New Roman"/>
        </w:rPr>
        <w:t>T2D</w:t>
      </w:r>
      <w:r>
        <w:rPr>
          <w:rFonts w:ascii="Times New Roman" w:hAnsi="Times New Roman" w:cs="Times New Roman"/>
        </w:rPr>
        <w:t xml:space="preserve"> and overweight or obesity, changes in postprandial appetite-regulatory gut peptides may not underpin the less-than-predicted weight loss observed with empagliflozin therapy. </w:t>
      </w:r>
    </w:p>
    <w:p w14:paraId="73C115FF" w14:textId="77796851" w:rsidR="00DB35C5" w:rsidRPr="00C328E3" w:rsidRDefault="00D85ED1" w:rsidP="00D85ED1">
      <w:pPr>
        <w:spacing w:line="480" w:lineRule="auto"/>
        <w:rPr>
          <w:rFonts w:ascii="Times New Roman" w:hAnsi="Times New Roman" w:cs="Times New Roman"/>
          <w:i/>
          <w:iCs/>
        </w:rPr>
      </w:pPr>
      <w:r w:rsidRPr="0082282A">
        <w:rPr>
          <w:rFonts w:ascii="Times New Roman" w:hAnsi="Times New Roman" w:cs="Times New Roman"/>
          <w:b/>
          <w:bCs/>
        </w:rPr>
        <w:t xml:space="preserve">Clinical trials registration: </w:t>
      </w:r>
      <w:r w:rsidRPr="0082282A">
        <w:rPr>
          <w:rFonts w:ascii="Times New Roman" w:hAnsi="Times New Roman" w:cs="Times New Roman"/>
          <w:iCs/>
          <w:color w:val="000000" w:themeColor="text1"/>
        </w:rPr>
        <w:t>NCT02798744, www.ClinicalTrials.gov; 2015-001594-40, www.EudraCT.ema.europa.eu; ISRCTN82062639, www.ISRCTN.org.</w:t>
      </w:r>
      <w:r w:rsidR="001F32D9">
        <w:rPr>
          <w:rFonts w:ascii="Times New Roman" w:hAnsi="Times New Roman" w:cs="Times New Roman"/>
        </w:rPr>
        <w:t xml:space="preserve"> </w:t>
      </w:r>
    </w:p>
    <w:p w14:paraId="4FA7682A" w14:textId="3F35AA41" w:rsidR="0072628D" w:rsidRPr="0072628D" w:rsidRDefault="0072628D" w:rsidP="0072628D">
      <w:pPr>
        <w:pStyle w:val="ListParagraph"/>
        <w:numPr>
          <w:ilvl w:val="0"/>
          <w:numId w:val="12"/>
        </w:numPr>
        <w:spacing w:line="480" w:lineRule="auto"/>
        <w:jc w:val="both"/>
        <w:rPr>
          <w:rFonts w:ascii="Times New Roman" w:hAnsi="Times New Roman" w:cs="Times New Roman"/>
          <w:iCs/>
        </w:rPr>
        <w:sectPr w:rsidR="0072628D" w:rsidRPr="0072628D" w:rsidSect="00FD3C30">
          <w:pgSz w:w="11900" w:h="16840"/>
          <w:pgMar w:top="1440" w:right="1440" w:bottom="1440" w:left="1440" w:header="708" w:footer="708" w:gutter="0"/>
          <w:lnNumType w:countBy="1" w:restart="continuous"/>
          <w:cols w:space="708"/>
          <w:docGrid w:linePitch="360"/>
        </w:sectPr>
      </w:pPr>
    </w:p>
    <w:p w14:paraId="4108CC82" w14:textId="16822A89" w:rsidR="00331DB9" w:rsidRPr="00F650D8" w:rsidRDefault="00331DB9" w:rsidP="00832166">
      <w:pPr>
        <w:spacing w:line="480" w:lineRule="auto"/>
        <w:jc w:val="both"/>
        <w:rPr>
          <w:rFonts w:ascii="Times New Roman" w:hAnsi="Times New Roman" w:cs="Times New Roman"/>
          <w:b/>
          <w:bCs/>
        </w:rPr>
      </w:pPr>
      <w:r w:rsidRPr="00F650D8">
        <w:rPr>
          <w:rFonts w:ascii="Times New Roman" w:hAnsi="Times New Roman" w:cs="Times New Roman"/>
          <w:b/>
          <w:bCs/>
        </w:rPr>
        <w:t>Introduction</w:t>
      </w:r>
    </w:p>
    <w:p w14:paraId="30DE5BED" w14:textId="40A8047A" w:rsidR="0022686A" w:rsidRPr="00F650D8" w:rsidRDefault="00832166" w:rsidP="00832166">
      <w:pPr>
        <w:spacing w:line="480" w:lineRule="auto"/>
        <w:jc w:val="both"/>
        <w:rPr>
          <w:rFonts w:ascii="Times New Roman" w:hAnsi="Times New Roman" w:cs="Times New Roman"/>
        </w:rPr>
      </w:pPr>
      <w:r w:rsidRPr="00F650D8">
        <w:rPr>
          <w:rFonts w:ascii="Times New Roman" w:hAnsi="Times New Roman" w:cs="Times New Roman"/>
        </w:rPr>
        <w:t xml:space="preserve">Sodium-glucose co-transporter 2 </w:t>
      </w:r>
      <w:r w:rsidR="00AE1950" w:rsidRPr="00F650D8">
        <w:rPr>
          <w:rFonts w:ascii="Times New Roman" w:hAnsi="Times New Roman" w:cs="Times New Roman"/>
        </w:rPr>
        <w:t xml:space="preserve">inhibitors </w:t>
      </w:r>
      <w:r w:rsidRPr="00F650D8">
        <w:rPr>
          <w:rFonts w:ascii="Times New Roman" w:hAnsi="Times New Roman" w:cs="Times New Roman"/>
        </w:rPr>
        <w:t>(SGLT2</w:t>
      </w:r>
      <w:r w:rsidR="00AE1950" w:rsidRPr="00F650D8">
        <w:rPr>
          <w:rFonts w:ascii="Times New Roman" w:hAnsi="Times New Roman" w:cs="Times New Roman"/>
        </w:rPr>
        <w:t>i</w:t>
      </w:r>
      <w:r w:rsidRPr="00F650D8">
        <w:rPr>
          <w:rFonts w:ascii="Times New Roman" w:hAnsi="Times New Roman" w:cs="Times New Roman"/>
        </w:rPr>
        <w:t xml:space="preserve">) are a class of glucose-lowering therapy in type 2 diabetes </w:t>
      </w:r>
      <w:r w:rsidR="007D6367" w:rsidRPr="00F650D8">
        <w:rPr>
          <w:rFonts w:ascii="Times New Roman" w:hAnsi="Times New Roman" w:cs="Times New Roman"/>
        </w:rPr>
        <w:t xml:space="preserve">(T2D) </w:t>
      </w:r>
      <w:r w:rsidR="0022686A" w:rsidRPr="00F650D8">
        <w:rPr>
          <w:rFonts w:ascii="Times New Roman" w:hAnsi="Times New Roman" w:cs="Times New Roman"/>
        </w:rPr>
        <w:t>that</w:t>
      </w:r>
      <w:r w:rsidR="00313B16" w:rsidRPr="00F650D8">
        <w:rPr>
          <w:rFonts w:ascii="Times New Roman" w:hAnsi="Times New Roman" w:cs="Times New Roman"/>
        </w:rPr>
        <w:t xml:space="preserve"> promote</w:t>
      </w:r>
      <w:r w:rsidRPr="00F650D8">
        <w:rPr>
          <w:rFonts w:ascii="Times New Roman" w:hAnsi="Times New Roman" w:cs="Times New Roman"/>
        </w:rPr>
        <w:t xml:space="preserve"> glucosuria</w:t>
      </w:r>
      <w:r w:rsidR="00EC4C74" w:rsidRPr="00F650D8">
        <w:rPr>
          <w:rFonts w:ascii="Times New Roman" w:hAnsi="Times New Roman" w:cs="Times New Roman"/>
        </w:rPr>
        <w:t>,</w:t>
      </w:r>
      <w:r w:rsidR="00AC298A"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{"citationItems":[{"id":"ITEM-1","itemData":{"author":[{"dropping-particle":"","family":"Scheen","given":"AJ","non-dropping-particle":"","parse-names":false,"suffix":""}],"container-title":"Nature Reviews Endocrinology","id":"ITEM-1","issued":{"date-parts":[["2020"]]},"page":"556-557","title":"Sodium–glucose cotransporter type 2 inhibitors for the treatment of type 2 diabetes mellitus","type":"article-journal","volume":"16"},"uris":["http://www.mendeley.com/documents/?uuid=99de3130-7735-42a5-be94-62454ae552bc"]}],"mendeley":{"formattedCitation":"&lt;sup&gt;1&lt;/sup&gt;","plainTextFormattedCitation":"1","previouslyFormattedCitation":"&lt;sup&gt;1&lt;/sup&gt;"},"properties":{"noteIndex":0},"schema":"https://github.com/citation-style-language/schema/raw/master/csl-citation.json"}</w:instrText>
      </w:r>
      <w:r w:rsidR="00AC298A"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w:t>
      </w:r>
      <w:r w:rsidR="00AC298A" w:rsidRPr="00F650D8">
        <w:rPr>
          <w:rFonts w:ascii="Times New Roman" w:hAnsi="Times New Roman" w:cs="Times New Roman"/>
        </w:rPr>
        <w:fldChar w:fldCharType="end"/>
      </w:r>
      <w:r w:rsidRPr="00F650D8">
        <w:rPr>
          <w:rFonts w:ascii="Times New Roman" w:hAnsi="Times New Roman" w:cs="Times New Roman"/>
        </w:rPr>
        <w:t xml:space="preserve"> </w:t>
      </w:r>
      <w:r w:rsidR="00EC4C74" w:rsidRPr="00F650D8">
        <w:rPr>
          <w:rFonts w:ascii="Times New Roman" w:hAnsi="Times New Roman" w:cs="Times New Roman"/>
        </w:rPr>
        <w:t>with t</w:t>
      </w:r>
      <w:r w:rsidRPr="00F650D8">
        <w:rPr>
          <w:rFonts w:ascii="Times New Roman" w:hAnsi="Times New Roman" w:cs="Times New Roman"/>
        </w:rPr>
        <w:t>he energy deficit resulting from increased urinary glucose excretion (~</w:t>
      </w:r>
      <w:r w:rsidR="00652784" w:rsidRPr="00F650D8">
        <w:rPr>
          <w:rFonts w:ascii="Times New Roman" w:hAnsi="Times New Roman" w:cs="Times New Roman"/>
        </w:rPr>
        <w:t>300-360</w:t>
      </w:r>
      <w:r w:rsidR="00D01028" w:rsidRPr="00F650D8">
        <w:rPr>
          <w:rFonts w:ascii="Times New Roman" w:hAnsi="Times New Roman" w:cs="Times New Roman"/>
        </w:rPr>
        <w:t>kcal</w:t>
      </w:r>
      <w:r w:rsidR="004A35B3" w:rsidRPr="00F650D8">
        <w:rPr>
          <w:rFonts w:ascii="Times New Roman" w:hAnsi="Times New Roman" w:cs="Times New Roman"/>
        </w:rPr>
        <w:t>/</w:t>
      </w:r>
      <w:r w:rsidRPr="00F650D8">
        <w:rPr>
          <w:rFonts w:ascii="Times New Roman" w:hAnsi="Times New Roman" w:cs="Times New Roman"/>
        </w:rPr>
        <w:t>day) underpin</w:t>
      </w:r>
      <w:r w:rsidR="00EC4C74" w:rsidRPr="00F650D8">
        <w:rPr>
          <w:rFonts w:ascii="Times New Roman" w:hAnsi="Times New Roman" w:cs="Times New Roman"/>
        </w:rPr>
        <w:t>ning</w:t>
      </w:r>
      <w:r w:rsidRPr="00F650D8">
        <w:rPr>
          <w:rFonts w:ascii="Times New Roman" w:hAnsi="Times New Roman" w:cs="Times New Roman"/>
        </w:rPr>
        <w:t xml:space="preserve"> the</w:t>
      </w:r>
      <w:r w:rsidR="00EC4C74" w:rsidRPr="00F650D8">
        <w:rPr>
          <w:rFonts w:ascii="Times New Roman" w:hAnsi="Times New Roman" w:cs="Times New Roman"/>
        </w:rPr>
        <w:t>ir</w:t>
      </w:r>
      <w:r w:rsidR="00DF52A6" w:rsidRPr="00F650D8">
        <w:rPr>
          <w:rFonts w:ascii="Times New Roman" w:hAnsi="Times New Roman" w:cs="Times New Roman"/>
        </w:rPr>
        <w:t xml:space="preserve"> </w:t>
      </w:r>
      <w:r w:rsidRPr="00F650D8">
        <w:rPr>
          <w:rFonts w:ascii="Times New Roman" w:hAnsi="Times New Roman" w:cs="Times New Roman"/>
        </w:rPr>
        <w:t>weight-lowering p</w:t>
      </w:r>
      <w:r w:rsidR="00AE1950" w:rsidRPr="00F650D8">
        <w:rPr>
          <w:rFonts w:ascii="Times New Roman" w:hAnsi="Times New Roman" w:cs="Times New Roman"/>
        </w:rPr>
        <w:t>roperties</w:t>
      </w:r>
      <w:r w:rsidR="00A438C8" w:rsidRPr="00F650D8">
        <w:rPr>
          <w:rFonts w:ascii="Times New Roman" w:hAnsi="Times New Roman" w:cs="Times New Roman"/>
        </w:rPr>
        <w:t>.</w:t>
      </w:r>
      <w:r w:rsidR="00FA43F6"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{"citationItems":[{"id":"ITEM-1","itemData":{"DOI":"10.1111/obr.12841","ISSN":"1467789X","PMID":"30972878","abstract":"We are facing a global epidemic of obesity and type 2 diabetes. Weight loss, in the context of obesity and type 2 diabetes, may improve glycaemic control and weight-related comorbidities, and in some cases, induce diabetes remission. Although lifestyle-based weight loss strategies may be initially successful, most are not effective long-term. There is an increasing need to consider pharmacological approaches to assist weight loss in diabetes-obesity. Older glucose-lowering agents may cause weight gain, whereas the newer drug classes, sodium-glucose co-transporter 2 inhibitors (SGLT2i) and glucagon-like peptide receptor agonists (GLP-1 RAs), concomitantly target weight loss and glycaemic control. Clinical trial data suggest that both SGLT2i and GLP1 RAs cause a mean weight loss of approximately 2 to 3 kg but real-world evidence and clinical experience suggests a significant heterogeneity in the magnitude of the weight loss (GLP-1 RAs) or the magnitude of the actual weight loss is significantly less than anticipated (SGLT2i). Why do some individuals lose more weight than others in response to these pharmacological treatments? This review will first explore mechanisms by which body weight is regulated through control of energy balance and its dysregulation in obesity, and then consider how these mechanisms may be modulated therapeutically with SGLT2i and GLP1 RAs.","author":[{"dropping-particle":"","family":"Brown","given":"Emily","non-dropping-particle":"","parse-names":false,"suffix":""},{"dropping-particle":"","family":"Wilding","given":"John P.H.","non-dropping-particle":"","parse-names":false,"suffix":""},{"dropping-particle":"","family":"Barber","given":"Thomas M.","non-dropping-particle":"","parse-names":false,"suffix":""},{"dropping-particle":"","family":"Alam","given":"Uazman","non-dropping-particle":"","parse-names":false,"suffix":""},{"dropping-particle":"","family":"Cuthbertson","given":"Daniel J.","non-dropping-particle":"","parse-names":false,"suffix":""}],"container-title":"Obesity Reviews","id":"ITEM-1","issue":"6","issued":{"date-parts":[["2019"]]},"page":"816-828","title":"Weight loss variability with SGLT2 inhibitors and GLP-1 receptor agonists in type 2 diabetes mellitus and obesity: Mechanistic possibilities","type":"article-journal","volume":"20"},"uris":["http://www.mendeley.com/documents/?uuid=de2fe9d8-9014-4ee8-a7f0-f81c6ffa5e6e"]},{"id":"ITEM-2","itemData":{"DOI":"10.2337/dc20-2887","ISSN":"0149-5992","abstract":"OBJECTIVE: SGTL2 inhibitors increase urinary glucose excretion and have beneficial  effects on cardiovascular and renal outcomes. The underlying mechanism may involve caloric restriction-like metabolic effects due to urinary glucose loss. We investigated the effects of dapagliflozin on 24-h energy metabolism and insulin sensitivity in patients with type 2 diabetes. RESEARCH DESIGN AND METHODS: There were 26 patients with type 2 diabetes randomized to a 5-week double-blind, crossover study with a 6- to 8-week washout. Indirect calorimetry was used to measure 24-h energy metabolism and the respiratory exchange ratio (RER), both by whole-room calorimetry and by ventilated hood during a two-step euglycemic-hyperinsulinemic clamp. Results are presented as the differences in least squares mean (95% CI) between treatments. RESULTS: Evaluable patients (n = 24) had a mean (SD) age of 64.2 (4.6) years, BMI of 28.1 (2.4) kg/m(2), and HbA(1c) of 6.9% (0.7) (51.7 [6.8] mmol/mol). Rate of glucose disappearance was unaffected by dapagliflozin, whereas fasting endogenous glucose production (EGP) increased by dapagliflozin (+2.27 [1.39, 3.14] μmol/kg/min, P &lt; 0.0001). Insulin-induced suppression of EGP (-1.71 [-2.75, -0.63] μmol/kg/min, P = 0.0036) and plasma free fatty acids (-21.93% [-39.31, -4.54], P = 0.016) was greater with dapagliflozin. Twenty-four-hour energy expenditure (-0.11 [-0.24, 0.03] MJ/day) remained unaffected by dapagliflozin, but dapagliflozin reduced the RER during daytime and nighttime, resulting in an increased day-to-nighttime difference in the RER (-0.010 [-0.017, -0.002], P = 0.016). Dapagliflozin treatment resulted in a negative 24-h energy and fat balance (-20.51 [-27.90, -13.12] g/day). CONCLUSIONS: Dapagliflozin treatment for 5 weeks resulted in major adjustments of metabolism mimicking caloric restriction, increased fat oxidation, improved hepatic and adipose insulin sensitivity, and improved 24-h energy metabolism.","author":[{"dropping-particle":"","family":"Op den Kamp","given":"Yvo J.M.","non-dropping-particle":"","parse-names":false,"suffix":""},{"dropping-particle":"","family":"Ligt","given":"Marlies","non-dropping-particle":"de","parse-names":false,"suffix":""},{"dropping-particle":"","family":"Dautzenberg","given":"Bas","non-dropping-particle":"","parse-names":false,"suffix":""},{"dropping-particle":"","family":"Kornips","given":"Esther","non-dropping-particle":"","parse-names":false,"suffix":""},{"dropping-particle":"","family":"Esterline","given":"Russell","non-dropping-particle":"","parse-names":false,"suffix":""},{"dropping-particle":"","family":"Hesselink","given":"Matthijs K.C.","non-dropping-particle":"","parse-names":false,"suffix":""},{"dropping-particle":"","family":"Hoeks","given":"Joris","non-dropping-particle":"","parse-names":false,"suffix":""},{"dropping-particle":"","family":"Schrauwen-Hinderling","given":"Vera B.","non-dropping-particle":"","parse-names":false,"suffix":""},{"dropping-particle":"","family":"Havekes","given":"Bas","non-dropping-particle":"","parse-names":false,"suffix":""},{"dropping-particle":"","family":"Oscarsson","given":"Jan","non-dropping-particle":"","parse-names":false,"suffix":""},{"dropping-particle":"","family":"Phielix","given":"Esther","non-dropping-particle":"","parse-names":false,"suffix":""},{"dropping-particle":"","family":"Schrauwen","given":"Patrick","non-dropping-particle":"","parse-names":false,"suffix":""}],"container-title":"Diabetes Care","id":"ITEM-2","issue":"6","issued":{"date-parts":[["2021"]]},"page":"1334-1343","title":"Effects of the SGLT2 Inhibitor Dapagliflozin on Energy Metabolism in Patients With Type 2 Diabetes: A Randomized, Double-Blind Crossover Trial","type":"article-journal","volume":"44"},"uris":["http://www.mendeley.com/documents/?uuid=36935c99-56e7-46df-9995-dd8f360a80d2"]}],"mendeley":{"formattedCitation":"&lt;sup&gt;2,3&lt;/sup&gt;","plainTextFormattedCitation":"2,3","previouslyFormattedCitation":"&lt;sup&gt;2,3&lt;/sup&gt;"},"properties":{"noteIndex":0},"schema":"https://github.com/citation-style-language/schema/raw/master/csl-citation.json"}</w:instrText>
      </w:r>
      <w:r w:rsidR="00FA43F6"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2,3</w:t>
      </w:r>
      <w:r w:rsidR="00FA43F6" w:rsidRPr="00F650D8">
        <w:rPr>
          <w:rFonts w:ascii="Times New Roman" w:hAnsi="Times New Roman" w:cs="Times New Roman"/>
        </w:rPr>
        <w:fldChar w:fldCharType="end"/>
      </w:r>
      <w:r w:rsidR="00D0332B" w:rsidRPr="00F650D8">
        <w:rPr>
          <w:rFonts w:ascii="Times New Roman" w:hAnsi="Times New Roman" w:cs="Times New Roman"/>
        </w:rPr>
        <w:t xml:space="preserve"> </w:t>
      </w:r>
      <w:r w:rsidRPr="00F650D8">
        <w:rPr>
          <w:rFonts w:ascii="Times New Roman" w:hAnsi="Times New Roman" w:cs="Times New Roman"/>
        </w:rPr>
        <w:t xml:space="preserve">However, the weight loss observed in both clinical trials and </w:t>
      </w:r>
      <w:r w:rsidR="00F213EC" w:rsidRPr="00F650D8">
        <w:rPr>
          <w:rFonts w:ascii="Times New Roman" w:hAnsi="Times New Roman" w:cs="Times New Roman"/>
        </w:rPr>
        <w:t>observational studies</w:t>
      </w:r>
      <w:r w:rsidRPr="00F650D8">
        <w:rPr>
          <w:rFonts w:ascii="Times New Roman" w:hAnsi="Times New Roman" w:cs="Times New Roman"/>
        </w:rPr>
        <w:t xml:space="preserve"> is 50</w:t>
      </w:r>
      <w:r w:rsidR="00AE1950" w:rsidRPr="00F650D8">
        <w:rPr>
          <w:rFonts w:ascii="Times New Roman" w:hAnsi="Times New Roman" w:cs="Times New Roman"/>
        </w:rPr>
        <w:t>-</w:t>
      </w:r>
      <w:r w:rsidRPr="00F650D8">
        <w:rPr>
          <w:rFonts w:ascii="Times New Roman" w:hAnsi="Times New Roman" w:cs="Times New Roman"/>
        </w:rPr>
        <w:t xml:space="preserve">75% less than </w:t>
      </w:r>
      <w:r w:rsidR="00DF52A6" w:rsidRPr="00F650D8">
        <w:rPr>
          <w:rFonts w:ascii="Times New Roman" w:hAnsi="Times New Roman" w:cs="Times New Roman"/>
        </w:rPr>
        <w:t>predicted</w:t>
      </w:r>
      <w:r w:rsidRPr="00F650D8">
        <w:rPr>
          <w:rFonts w:ascii="Times New Roman" w:hAnsi="Times New Roman" w:cs="Times New Roman"/>
        </w:rPr>
        <w:t xml:space="preserve"> based on modelling </w:t>
      </w:r>
      <w:r w:rsidR="00B96799" w:rsidRPr="00F650D8">
        <w:rPr>
          <w:rFonts w:ascii="Times New Roman" w:hAnsi="Times New Roman" w:cs="Times New Roman"/>
        </w:rPr>
        <w:t xml:space="preserve">urinary glucose excretion </w:t>
      </w:r>
      <w:r w:rsidRPr="00F650D8">
        <w:rPr>
          <w:rFonts w:ascii="Times New Roman" w:hAnsi="Times New Roman" w:cs="Times New Roman"/>
        </w:rPr>
        <w:t>alone</w:t>
      </w:r>
      <w:r w:rsidR="00A438C8" w:rsidRPr="00F650D8">
        <w:rPr>
          <w:rFonts w:ascii="Times New Roman" w:hAnsi="Times New Roman" w:cs="Times New Roman"/>
        </w:rPr>
        <w:t>.</w:t>
      </w:r>
      <w:r w:rsidR="00D0332B"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{"citationItems":[{"id":"ITEM-1","itemData":{"DOI":"10.1111/obr.12841","ISSN":"1467789X","PMID":"30972878","abstract":"We are facing a global epidemic of obesity and type 2 diabetes. Weight loss, in the context of obesity and type 2 diabetes, may improve glycaemic control and weight-related comorbidities, and in some cases, induce diabetes remission. Although lifestyle-based weight loss strategies may be initially successful, most are not effective long-term. There is an increasing need to consider pharmacological approaches to assist weight loss in diabetes-obesity. Older glucose-lowering agents may cause weight gain, whereas the newer drug classes, sodium-glucose co-transporter 2 inhibitors (SGLT2i) and glucagon-like peptide receptor agonists (GLP-1 RAs), concomitantly target weight loss and glycaemic control. Clinical trial data suggest that both SGLT2i and GLP1 RAs cause a mean weight loss of approximately 2 to 3 kg but real-world evidence and clinical experience suggests a significant heterogeneity in the magnitude of the weight loss (GLP-1 RAs) or the magnitude of the actual weight loss is significantly less than anticipated (SGLT2i). Why do some individuals lose more weight than others in response to these pharmacological treatments? This review will first explore mechanisms by which body weight is regulated through control of energy balance and its dysregulation in obesity, and then consider how these mechanisms may be modulated therapeutically with SGLT2i and GLP1 RAs.","author":[{"dropping-particle":"","family":"Brown","given":"Emily","non-dropping-particle":"","parse-names":false,"suffix":""},{"dropping-particle":"","family":"Wilding","given":"John P.H.","non-dropping-particle":"","parse-names":false,"suffix":""},{"dropping-particle":"","family":"Barber","given":"Thomas M.","non-dropping-particle":"","parse-names":false,"suffix":""},{"dropping-particle":"","family":"Alam","given":"Uazman","non-dropping-particle":"","parse-names":false,"suffix":""},{"dropping-particle":"","family":"Cuthbertson","given":"Daniel J.","non-dropping-particle":"","parse-names":false,"suffix":""}],"container-title":"Obesity Reviews","id":"ITEM-1","issue":"6","issued":{"date-parts":[["2019"]]},"page":"816-828","title":"Weight loss variability with SGLT2 inhibitors and GLP-1 receptor agonists in type 2 diabetes mellitus and obesity: Mechanistic possibilities","type":"article-journal","volume":"20"},"uris":["http://www.mendeley.com/documents/?uuid=de2fe9d8-9014-4ee8-a7f0-f81c6ffa5e6e"]}],"mendeley":{"formattedCitation":"&lt;sup&gt;2&lt;/sup&gt;","plainTextFormattedCitation":"2","previouslyFormattedCitation":"&lt;sup&gt;2&lt;/sup&gt;"},"properties":{"noteIndex":0},"schema":"https://github.com/citation-style-language/schema/raw/master/csl-citation.json"}</w:instrText>
      </w:r>
      <w:r w:rsidR="00D0332B"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2</w:t>
      </w:r>
      <w:r w:rsidR="00D0332B" w:rsidRPr="00F650D8">
        <w:rPr>
          <w:rFonts w:ascii="Times New Roman" w:hAnsi="Times New Roman" w:cs="Times New Roman"/>
        </w:rPr>
        <w:fldChar w:fldCharType="end"/>
      </w:r>
      <w:r w:rsidRPr="00F650D8">
        <w:rPr>
          <w:rFonts w:ascii="Times New Roman" w:hAnsi="Times New Roman" w:cs="Times New Roman"/>
        </w:rPr>
        <w:t xml:space="preserve"> </w:t>
      </w:r>
    </w:p>
    <w:p w14:paraId="1CC5EF1C" w14:textId="77777777" w:rsidR="0082282A" w:rsidRPr="00F650D8" w:rsidRDefault="0082282A" w:rsidP="00832166">
      <w:pPr>
        <w:spacing w:line="480" w:lineRule="auto"/>
        <w:jc w:val="both"/>
        <w:rPr>
          <w:rFonts w:ascii="Times New Roman" w:hAnsi="Times New Roman" w:cs="Times New Roman"/>
        </w:rPr>
      </w:pPr>
    </w:p>
    <w:p w14:paraId="293B1E67" w14:textId="6DD94694" w:rsidR="00832166" w:rsidRPr="00F650D8" w:rsidRDefault="00ED39E0" w:rsidP="00832166">
      <w:pPr>
        <w:spacing w:line="480" w:lineRule="auto"/>
        <w:jc w:val="both"/>
        <w:rPr>
          <w:rFonts w:ascii="Times New Roman" w:hAnsi="Times New Roman" w:cs="Times New Roman"/>
        </w:rPr>
      </w:pPr>
      <w:r w:rsidRPr="00F650D8">
        <w:rPr>
          <w:rFonts w:ascii="Times New Roman" w:hAnsi="Times New Roman" w:cs="Times New Roman"/>
        </w:rPr>
        <w:t>Reduced</w:t>
      </w:r>
      <w:r w:rsidR="00832166" w:rsidRPr="00F650D8">
        <w:rPr>
          <w:rFonts w:ascii="Times New Roman" w:hAnsi="Times New Roman" w:cs="Times New Roman"/>
        </w:rPr>
        <w:t xml:space="preserve"> resting energy expenditure</w:t>
      </w:r>
      <w:r w:rsidR="00C43E77" w:rsidRPr="00F650D8">
        <w:rPr>
          <w:rFonts w:ascii="Times New Roman" w:hAnsi="Times New Roman" w:cs="Times New Roman"/>
        </w:rPr>
        <w:t xml:space="preserve"> </w:t>
      </w:r>
      <w:r w:rsidR="00F36FAB" w:rsidRPr="00F650D8">
        <w:rPr>
          <w:rFonts w:ascii="Times New Roman" w:hAnsi="Times New Roman" w:cs="Times New Roman"/>
        </w:rPr>
        <w:t xml:space="preserve">(EE) </w:t>
      </w:r>
      <w:r w:rsidR="00C43E77" w:rsidRPr="00F650D8">
        <w:rPr>
          <w:rFonts w:ascii="Times New Roman" w:hAnsi="Times New Roman" w:cs="Times New Roman"/>
        </w:rPr>
        <w:t xml:space="preserve">and increased </w:t>
      </w:r>
      <w:r w:rsidR="00A14057" w:rsidRPr="00F650D8">
        <w:rPr>
          <w:rFonts w:ascii="Times New Roman" w:hAnsi="Times New Roman" w:cs="Times New Roman"/>
        </w:rPr>
        <w:t>appetite</w:t>
      </w:r>
      <w:r w:rsidR="00832166" w:rsidRPr="00F650D8">
        <w:rPr>
          <w:rFonts w:ascii="Times New Roman" w:hAnsi="Times New Roman" w:cs="Times New Roman"/>
        </w:rPr>
        <w:t xml:space="preserve"> </w:t>
      </w:r>
      <w:r w:rsidR="00C43E77" w:rsidRPr="00F650D8">
        <w:rPr>
          <w:rFonts w:ascii="Times New Roman" w:hAnsi="Times New Roman" w:cs="Times New Roman"/>
        </w:rPr>
        <w:t xml:space="preserve">are well-established responses to </w:t>
      </w:r>
      <w:r w:rsidR="00832166" w:rsidRPr="00F650D8">
        <w:rPr>
          <w:rFonts w:ascii="Times New Roman" w:hAnsi="Times New Roman" w:cs="Times New Roman"/>
        </w:rPr>
        <w:t>weight loss in humans</w:t>
      </w:r>
      <w:r w:rsidR="00C43E77" w:rsidRPr="00F650D8">
        <w:rPr>
          <w:rFonts w:ascii="Times New Roman" w:hAnsi="Times New Roman" w:cs="Times New Roman"/>
        </w:rPr>
        <w:t xml:space="preserve"> </w:t>
      </w:r>
      <w:r w:rsidR="00A14057" w:rsidRPr="00F650D8">
        <w:rPr>
          <w:rFonts w:ascii="Times New Roman" w:hAnsi="Times New Roman" w:cs="Times New Roman"/>
        </w:rPr>
        <w:t xml:space="preserve">after </w:t>
      </w:r>
      <w:r w:rsidR="00C43E77" w:rsidRPr="00F650D8">
        <w:rPr>
          <w:rFonts w:ascii="Times New Roman" w:hAnsi="Times New Roman" w:cs="Times New Roman"/>
        </w:rPr>
        <w:t>diet or bariatric surgery</w:t>
      </w:r>
      <w:r w:rsidR="00A438C8" w:rsidRPr="00F650D8">
        <w:rPr>
          <w:rFonts w:ascii="Times New Roman" w:hAnsi="Times New Roman" w:cs="Times New Roman"/>
        </w:rPr>
        <w:t>,</w:t>
      </w:r>
      <w:r w:rsidR="005F4066"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{"citationItems":[{"id":"ITEM-1","itemData":{"DOI":"10.1016/j.ejim.2021.01.002","ISSN":"09536205","PMID":"33461826","abstract":"Gut hormone secretion profiles impact upon predisposition to weight regain according to an individual variability, although it is recognised a usual pattern of compensatory changes: a reduction in anorectic hormones secretion and an increase in orexigenic hormone. These changes lead to both increased appetite and reward value of food leading to increased energye intake. In addition, resting energy expenditure after weight loss is lower than expected according to body composition changes. This gap between observed and predicted energy expenditure following weight loss is named metabolic adaptation, which has been suggested to explain partly weight regain. This complicated scenario, beyond patient motivation, makes weight regain a challenge in long-term management interventions in patients with obesity.","author":[{"dropping-particle":"","family":"Busetto","given":"Luca","non-dropping-particle":"","parse-names":false,"suffix":""},{"dropping-particle":"","family":"Bettini","given":"Silvia","non-dropping-particle":"","parse-names":false,"suffix":""},{"dropping-particle":"","family":"Makaronidis","given":"Janine","non-dropping-particle":"","parse-names":false,"suffix":""},{"dropping-particle":"","family":"Roberts","given":"Carl A.","non-dropping-particle":"","parse-names":false,"suffix":""},{"dropping-particle":"","family":"Halford","given":"Jason C.G.","non-dropping-particle":"","parse-names":false,"suffix":""},{"dropping-particle":"","family":"Batterham","given":"Rachel L.","non-dropping-particle":"","parse-names":false,"suffix":""}],"container-title":"European Journal of Internal Medicine","id":"ITEM-1","issue":"October 2020","issued":{"date-parts":[["2021"]]},"publisher":"Elsevier B.V.","title":"Mechanisms of weight regain.","type":"article-journal"},"uris":["http://www.mendeley.com/documents/?uuid=0fe4aa67-57ce-43d7-a864-4ec1ed068a06"]}],"mendeley":{"formattedCitation":"&lt;sup&gt;4&lt;/sup&gt;","plainTextFormattedCitation":"4","previouslyFormattedCitation":"&lt;sup&gt;4&lt;/sup&gt;"},"properties":{"noteIndex":0},"schema":"https://github.com/citation-style-language/schema/raw/master/csl-citation.json"}</w:instrText>
      </w:r>
      <w:r w:rsidR="005F4066"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4</w:t>
      </w:r>
      <w:r w:rsidR="005F4066" w:rsidRPr="00F650D8">
        <w:rPr>
          <w:rFonts w:ascii="Times New Roman" w:hAnsi="Times New Roman" w:cs="Times New Roman"/>
        </w:rPr>
        <w:fldChar w:fldCharType="end"/>
      </w:r>
      <w:r w:rsidR="00534D6C" w:rsidRPr="00F650D8">
        <w:rPr>
          <w:rFonts w:ascii="Times New Roman" w:hAnsi="Times New Roman" w:cs="Times New Roman"/>
        </w:rPr>
        <w:t xml:space="preserve"> and</w:t>
      </w:r>
      <w:r w:rsidR="00832166" w:rsidRPr="00F650D8">
        <w:rPr>
          <w:rFonts w:ascii="Times New Roman" w:hAnsi="Times New Roman" w:cs="Times New Roman"/>
        </w:rPr>
        <w:t xml:space="preserve"> evidence indicates that compensatory eating </w:t>
      </w:r>
      <w:r w:rsidR="00CA3CA8" w:rsidRPr="00F650D8">
        <w:rPr>
          <w:rFonts w:ascii="Times New Roman" w:hAnsi="Times New Roman" w:cs="Times New Roman"/>
        </w:rPr>
        <w:t>may play</w:t>
      </w:r>
      <w:r w:rsidR="00CD7839" w:rsidRPr="00F650D8">
        <w:rPr>
          <w:rFonts w:ascii="Times New Roman" w:hAnsi="Times New Roman" w:cs="Times New Roman"/>
        </w:rPr>
        <w:t xml:space="preserve"> a </w:t>
      </w:r>
      <w:r w:rsidR="00CB0231" w:rsidRPr="00F650D8">
        <w:rPr>
          <w:rFonts w:ascii="Times New Roman" w:hAnsi="Times New Roman" w:cs="Times New Roman"/>
        </w:rPr>
        <w:t xml:space="preserve">key </w:t>
      </w:r>
      <w:r w:rsidR="00CD7839" w:rsidRPr="00F650D8">
        <w:rPr>
          <w:rFonts w:ascii="Times New Roman" w:hAnsi="Times New Roman" w:cs="Times New Roman"/>
        </w:rPr>
        <w:t>role</w:t>
      </w:r>
      <w:r w:rsidR="00832166" w:rsidRPr="00F650D8">
        <w:rPr>
          <w:rFonts w:ascii="Times New Roman" w:hAnsi="Times New Roman" w:cs="Times New Roman"/>
        </w:rPr>
        <w:t xml:space="preserve"> in attenuating SGLT2</w:t>
      </w:r>
      <w:r w:rsidR="00AE1950" w:rsidRPr="00F650D8">
        <w:rPr>
          <w:rFonts w:ascii="Times New Roman" w:hAnsi="Times New Roman" w:cs="Times New Roman"/>
        </w:rPr>
        <w:t xml:space="preserve">i </w:t>
      </w:r>
      <w:r w:rsidR="00832166" w:rsidRPr="00F650D8">
        <w:rPr>
          <w:rFonts w:ascii="Times New Roman" w:hAnsi="Times New Roman" w:cs="Times New Roman"/>
        </w:rPr>
        <w:t>induced weight loss</w:t>
      </w:r>
      <w:r w:rsidR="00A438C8" w:rsidRPr="00F650D8">
        <w:rPr>
          <w:rFonts w:ascii="Times New Roman" w:hAnsi="Times New Roman" w:cs="Times New Roman"/>
        </w:rPr>
        <w:t>.</w:t>
      </w:r>
      <w:r w:rsidR="00534D6C"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{"citationItems":[{"id":"ITEM-1","itemData":{"author":[{"dropping-particle":"","family":"Rajeev","given":"S P","non-dropping-particle":"","parse-names":false,"suffix":""},{"dropping-particle":"","family":"Cuthbertson","given":"D J","non-dropping-particle":"","parse-names":false,"suffix":""},{"dropping-particle":"","family":"Wilding","given":"J P H","non-dropping-particle":"","parse-names":false,"suffix":""}],"container-title":"Diabetes, obesity &amp; metabolism","id":"ITEM-1","issued":{"date-parts":[["2015"]]},"page":"1-10","title":"Energy balance and metabolic changes with sodium-glucose co-transporter 2 inhibition","type":"article-journal"},"uris":["http://www.mendeley.com/documents/?uuid=e7329838-ff95-4199-ba55-d323fb46ee95"]}],"mendeley":{"formattedCitation":"&lt;sup&gt;5&lt;/sup&gt;","plainTextFormattedCitation":"5","previouslyFormattedCitation":"&lt;sup&gt;5&lt;/sup&gt;"},"properties":{"noteIndex":0},"schema":"https://github.com/citation-style-language/schema/raw/master/csl-citation.json"}</w:instrText>
      </w:r>
      <w:r w:rsidR="00534D6C"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5</w:t>
      </w:r>
      <w:r w:rsidR="00534D6C" w:rsidRPr="00F650D8">
        <w:rPr>
          <w:rFonts w:ascii="Times New Roman" w:hAnsi="Times New Roman" w:cs="Times New Roman"/>
        </w:rPr>
        <w:fldChar w:fldCharType="end"/>
      </w:r>
      <w:r w:rsidR="00832166" w:rsidRPr="00F650D8">
        <w:rPr>
          <w:rFonts w:ascii="Times New Roman" w:hAnsi="Times New Roman" w:cs="Times New Roman"/>
        </w:rPr>
        <w:t xml:space="preserve"> </w:t>
      </w:r>
      <w:r w:rsidR="00E8579B" w:rsidRPr="00F650D8">
        <w:rPr>
          <w:rFonts w:ascii="Times New Roman" w:hAnsi="Times New Roman" w:cs="Times New Roman"/>
        </w:rPr>
        <w:t>Speci</w:t>
      </w:r>
      <w:r w:rsidR="00E939C3" w:rsidRPr="00F650D8">
        <w:rPr>
          <w:rFonts w:ascii="Times New Roman" w:hAnsi="Times New Roman" w:cs="Times New Roman"/>
        </w:rPr>
        <w:t>fic</w:t>
      </w:r>
      <w:r w:rsidR="00E8579B" w:rsidRPr="00F650D8">
        <w:rPr>
          <w:rFonts w:ascii="Times New Roman" w:hAnsi="Times New Roman" w:cs="Times New Roman"/>
        </w:rPr>
        <w:t>ally, a</w:t>
      </w:r>
      <w:r w:rsidR="00832166" w:rsidRPr="00F650D8">
        <w:rPr>
          <w:rFonts w:ascii="Times New Roman" w:hAnsi="Times New Roman" w:cs="Times New Roman"/>
        </w:rPr>
        <w:t xml:space="preserve"> modelling study in humans with </w:t>
      </w:r>
      <w:r w:rsidR="007D6367" w:rsidRPr="00F650D8">
        <w:rPr>
          <w:rFonts w:ascii="Times New Roman" w:hAnsi="Times New Roman" w:cs="Times New Roman"/>
        </w:rPr>
        <w:t>T2D</w:t>
      </w:r>
      <w:r w:rsidR="00832166" w:rsidRPr="00F650D8">
        <w:rPr>
          <w:rFonts w:ascii="Times New Roman" w:hAnsi="Times New Roman" w:cs="Times New Roman"/>
        </w:rPr>
        <w:t xml:space="preserve"> estimated that a 13% increase in energy intake</w:t>
      </w:r>
      <w:r w:rsidR="00F36FAB" w:rsidRPr="00F650D8">
        <w:rPr>
          <w:rFonts w:ascii="Times New Roman" w:hAnsi="Times New Roman" w:cs="Times New Roman"/>
        </w:rPr>
        <w:t xml:space="preserve"> (EI)</w:t>
      </w:r>
      <w:r w:rsidR="00832166" w:rsidRPr="00F650D8">
        <w:rPr>
          <w:rFonts w:ascii="Times New Roman" w:hAnsi="Times New Roman" w:cs="Times New Roman"/>
        </w:rPr>
        <w:t xml:space="preserve"> partly explained </w:t>
      </w:r>
      <w:r w:rsidR="00DF52A6" w:rsidRPr="00F650D8">
        <w:rPr>
          <w:rFonts w:ascii="Times New Roman" w:hAnsi="Times New Roman" w:cs="Times New Roman"/>
        </w:rPr>
        <w:t>a</w:t>
      </w:r>
      <w:r w:rsidR="00832166" w:rsidRPr="00F650D8">
        <w:rPr>
          <w:rFonts w:ascii="Times New Roman" w:hAnsi="Times New Roman" w:cs="Times New Roman"/>
        </w:rPr>
        <w:t xml:space="preserve"> lower-than-</w:t>
      </w:r>
      <w:r w:rsidR="00DF52A6" w:rsidRPr="00F650D8">
        <w:rPr>
          <w:rFonts w:ascii="Times New Roman" w:hAnsi="Times New Roman" w:cs="Times New Roman"/>
        </w:rPr>
        <w:t>predicted</w:t>
      </w:r>
      <w:r w:rsidR="00832166" w:rsidRPr="00F650D8">
        <w:rPr>
          <w:rFonts w:ascii="Times New Roman" w:hAnsi="Times New Roman" w:cs="Times New Roman"/>
        </w:rPr>
        <w:t xml:space="preserve"> weight loss</w:t>
      </w:r>
      <w:r w:rsidR="00E97EC3" w:rsidRPr="00F650D8">
        <w:rPr>
          <w:rFonts w:ascii="Times New Roman" w:hAnsi="Times New Roman" w:cs="Times New Roman"/>
        </w:rPr>
        <w:t xml:space="preserve"> (~</w:t>
      </w:r>
      <w:r w:rsidR="00652784" w:rsidRPr="00F650D8">
        <w:rPr>
          <w:rFonts w:ascii="Times New Roman" w:hAnsi="Times New Roman" w:cs="Times New Roman"/>
        </w:rPr>
        <w:t>8</w:t>
      </w:r>
      <w:r w:rsidR="004F45E6" w:rsidRPr="00F650D8">
        <w:rPr>
          <w:rFonts w:ascii="Times New Roman" w:hAnsi="Times New Roman" w:cs="Times New Roman"/>
        </w:rPr>
        <w:t>kg</w:t>
      </w:r>
      <w:r w:rsidR="00E97EC3" w:rsidRPr="00F650D8">
        <w:rPr>
          <w:rFonts w:ascii="Times New Roman" w:hAnsi="Times New Roman" w:cs="Times New Roman"/>
        </w:rPr>
        <w:t>)</w:t>
      </w:r>
      <w:r w:rsidR="00832166" w:rsidRPr="00F650D8">
        <w:rPr>
          <w:rFonts w:ascii="Times New Roman" w:hAnsi="Times New Roman" w:cs="Times New Roman"/>
        </w:rPr>
        <w:t xml:space="preserve"> observed after 90 days of empagliflozin therapy</w:t>
      </w:r>
      <w:r w:rsidR="00A438C8" w:rsidRPr="00F650D8">
        <w:rPr>
          <w:rFonts w:ascii="Times New Roman" w:hAnsi="Times New Roman" w:cs="Times New Roman"/>
        </w:rPr>
        <w:t>.</w:t>
      </w:r>
      <w:r w:rsidR="00E8579B"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{"citationItems":[{"id":"ITEM-1","itemData":{"DOI":"10.2337/dc15-0355","ISSN":"19355548","PMID":"26180105","abstract":"OBJECTIVE Sodium-glucose cotransporter 2 (SGLT2) inhibitors cause substantially less weight loss than expected from the energy excreted via glycosuria. Our aim was to analyze this phenomenon quantitatively. RESEARCH DESIGN AND METHODS Eighty-six patients with type 2 diabetes (HbA1c 7.8 ± 0.8% [62 ± 9 mmol/mol], estimated glomerular filtration rate [EGFR] 89 ± 19 mL · min2-1 · 1.73 m-2) received empagliflozin (25 mg/day) for 90 weeks with frequent (n = 11) assessments of body weight, EGFR, and fasting plasma glucose (FPG). Time-dependent glucose filtration was calculated as the product of EGFR and FPG; time-dependent glycosuria was estimated from previous direct measurements. The relation of calorie-to-weight changes was estimated using a mathematical model of human energy metabolism that simulates the time course of weight change for a given change in calorie balance and calculates the corresponding energy intake changes. RESULTS At week 90, weight loss averaged 23.2 ± 4.2 kg (corresponding to a median calorie deficit of 51 kcal/day [interquartile range (IQR) 112]). However, the observed calorie loss through glycosuria (206 kcal/day [IQR 90]) was predicted to result in a weight loss of -11.3 ± 3.1 kg, assuming no compensatory changes in energy intake. Thus, patients lost only 29 ± 41% of the weight loss predicted by their glycosuria; the model indicated that this difference was accounted for by a 13% (IQR 12) increase in calorie intake (269 kcal/day [IQR 258]) coupled with a 2% (IQR 5) increase in daily energy expenditure (due to diet-induced thermogenesis). This increased calorie intake was inversely related to baseline BMI (partial r = 20.34, P &lt; 0.01) and positively to baseline EGFR (partial r = 0.29, P &lt; 0.01). CONCLUSIONS Chronic glycosuria elicits an adaptive increase in energy intake. Combining SGLT2 inhibition with caloric restriction is expected to be associated with major weight loss.","author":[{"dropping-particle":"","family":"Ferrannini","given":"Giulia","non-dropping-particle":"","parse-names":false,"suffix":""},{"dropping-particle":"","family":"Hach","given":"Thomas","non-dropping-particle":"","parse-names":false,"suffix":""},{"dropping-particle":"","family":"Crowe","given":"Susanne","non-dropping-particle":"","parse-names":false,"suffix":""},{"dropping-particle":"","family":"Sanghvi","given":"Arjun","non-dropping-particle":"","parse-names":false,"suffix":""},{"dropping-particle":"","family":"Hall","given":"Kevin D.","non-dropping-particle":"","parse-names":false,"suffix":""},{"dropping-particle":"","family":"Ferrannini","given":"Ele","non-dropping-particle":"","parse-names":false,"suffix":""}],"container-title":"Diabetes Care","id":"ITEM-1","issue":"9","issued":{"date-parts":[["2015"]]},"page":"1730-1735","title":"Energy balance after sodium- glucose cotransporter 2 inhibition","type":"article-journal","volume":"38"},"uris":["http://www.mendeley.com/documents/?uuid=37ae20cb-8dfe-432f-99d1-54855074615e"]}],"mendeley":{"formattedCitation":"&lt;sup&gt;6&lt;/sup&gt;","plainTextFormattedCitation":"6","previouslyFormattedCitation":"&lt;sup&gt;6&lt;/sup&gt;"},"properties":{"noteIndex":0},"schema":"https://github.com/citation-style-language/schema/raw/master/csl-citation.json"}</w:instrText>
      </w:r>
      <w:r w:rsidR="00E8579B"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6</w:t>
      </w:r>
      <w:r w:rsidR="00E8579B" w:rsidRPr="00F650D8">
        <w:rPr>
          <w:rFonts w:ascii="Times New Roman" w:hAnsi="Times New Roman" w:cs="Times New Roman"/>
        </w:rPr>
        <w:fldChar w:fldCharType="end"/>
      </w:r>
      <w:r w:rsidR="00832166" w:rsidRPr="00F650D8">
        <w:rPr>
          <w:rFonts w:ascii="Times New Roman" w:hAnsi="Times New Roman" w:cs="Times New Roman"/>
        </w:rPr>
        <w:t xml:space="preserve"> A similar analysis</w:t>
      </w:r>
      <w:r w:rsidR="00646BA7" w:rsidRPr="00F650D8">
        <w:rPr>
          <w:rFonts w:ascii="Times New Roman" w:hAnsi="Times New Roman" w:cs="Times New Roman"/>
        </w:rPr>
        <w:t>,</w:t>
      </w:r>
      <w:r w:rsidR="00832166" w:rsidRPr="00F650D8">
        <w:rPr>
          <w:rFonts w:ascii="Times New Roman" w:hAnsi="Times New Roman" w:cs="Times New Roman"/>
        </w:rPr>
        <w:t xml:space="preserve"> </w:t>
      </w:r>
      <w:r w:rsidR="00C31667" w:rsidRPr="00F650D8">
        <w:rPr>
          <w:rFonts w:ascii="Times New Roman" w:hAnsi="Times New Roman" w:cs="Times New Roman"/>
        </w:rPr>
        <w:t>following</w:t>
      </w:r>
      <w:r w:rsidR="00231B94" w:rsidRPr="00F650D8">
        <w:rPr>
          <w:rFonts w:ascii="Times New Roman" w:hAnsi="Times New Roman" w:cs="Times New Roman"/>
        </w:rPr>
        <w:t xml:space="preserve"> </w:t>
      </w:r>
      <w:r w:rsidR="00832166" w:rsidRPr="00F650D8">
        <w:rPr>
          <w:rFonts w:ascii="Times New Roman" w:hAnsi="Times New Roman" w:cs="Times New Roman"/>
        </w:rPr>
        <w:t>52</w:t>
      </w:r>
      <w:r w:rsidR="00646BA7" w:rsidRPr="00F650D8">
        <w:rPr>
          <w:rFonts w:ascii="Times New Roman" w:hAnsi="Times New Roman" w:cs="Times New Roman"/>
        </w:rPr>
        <w:t xml:space="preserve"> </w:t>
      </w:r>
      <w:r w:rsidR="00832166" w:rsidRPr="00F650D8">
        <w:rPr>
          <w:rFonts w:ascii="Times New Roman" w:hAnsi="Times New Roman" w:cs="Times New Roman"/>
        </w:rPr>
        <w:t>weeks of canagliflozin</w:t>
      </w:r>
      <w:r w:rsidR="00CA3CA8" w:rsidRPr="00F650D8">
        <w:rPr>
          <w:rFonts w:ascii="Times New Roman" w:hAnsi="Times New Roman" w:cs="Times New Roman"/>
        </w:rPr>
        <w:t xml:space="preserve"> therapy</w:t>
      </w:r>
      <w:r w:rsidR="00646BA7" w:rsidRPr="00F650D8">
        <w:rPr>
          <w:rFonts w:ascii="Times New Roman" w:hAnsi="Times New Roman" w:cs="Times New Roman"/>
        </w:rPr>
        <w:t>,</w:t>
      </w:r>
      <w:r w:rsidR="00832166" w:rsidRPr="00F650D8">
        <w:rPr>
          <w:rFonts w:ascii="Times New Roman" w:hAnsi="Times New Roman" w:cs="Times New Roman"/>
        </w:rPr>
        <w:t xml:space="preserve"> suggested that </w:t>
      </w:r>
      <w:r w:rsidR="00F36FAB" w:rsidRPr="00F650D8">
        <w:rPr>
          <w:rFonts w:ascii="Times New Roman" w:hAnsi="Times New Roman" w:cs="Times New Roman"/>
        </w:rPr>
        <w:t>EI</w:t>
      </w:r>
      <w:r w:rsidR="00832166" w:rsidRPr="00F650D8">
        <w:rPr>
          <w:rFonts w:ascii="Times New Roman" w:hAnsi="Times New Roman" w:cs="Times New Roman"/>
        </w:rPr>
        <w:t xml:space="preserve"> increase</w:t>
      </w:r>
      <w:r w:rsidR="00857295" w:rsidRPr="00F650D8">
        <w:rPr>
          <w:rFonts w:ascii="Times New Roman" w:hAnsi="Times New Roman" w:cs="Times New Roman"/>
        </w:rPr>
        <w:t>d</w:t>
      </w:r>
      <w:r w:rsidR="00832166" w:rsidRPr="00F650D8">
        <w:rPr>
          <w:rFonts w:ascii="Times New Roman" w:hAnsi="Times New Roman" w:cs="Times New Roman"/>
        </w:rPr>
        <w:t xml:space="preserve"> by </w:t>
      </w:r>
      <w:r w:rsidR="00646BA7" w:rsidRPr="00F650D8">
        <w:rPr>
          <w:rFonts w:ascii="Times New Roman" w:hAnsi="Times New Roman" w:cs="Times New Roman"/>
        </w:rPr>
        <w:t>~</w:t>
      </w:r>
      <w:r w:rsidR="00857295" w:rsidRPr="00F650D8">
        <w:rPr>
          <w:rFonts w:ascii="Times New Roman" w:hAnsi="Times New Roman" w:cs="Times New Roman"/>
        </w:rPr>
        <w:t>100kcal</w:t>
      </w:r>
      <w:r w:rsidR="00646BA7" w:rsidRPr="00F650D8">
        <w:rPr>
          <w:rFonts w:ascii="Times New Roman" w:hAnsi="Times New Roman" w:cs="Times New Roman"/>
        </w:rPr>
        <w:t>/</w:t>
      </w:r>
      <w:r w:rsidR="00832166" w:rsidRPr="00F650D8">
        <w:rPr>
          <w:rFonts w:ascii="Times New Roman" w:hAnsi="Times New Roman" w:cs="Times New Roman"/>
        </w:rPr>
        <w:t xml:space="preserve">day </w:t>
      </w:r>
      <w:r w:rsidR="009444B3" w:rsidRPr="00F650D8">
        <w:rPr>
          <w:rFonts w:ascii="Times New Roman" w:hAnsi="Times New Roman" w:cs="Times New Roman"/>
        </w:rPr>
        <w:t>for each</w:t>
      </w:r>
      <w:r w:rsidR="00832166" w:rsidRPr="00F650D8">
        <w:rPr>
          <w:rFonts w:ascii="Times New Roman" w:hAnsi="Times New Roman" w:cs="Times New Roman"/>
        </w:rPr>
        <w:t xml:space="preserve"> kilogram of weight loss achieved</w:t>
      </w:r>
      <w:r w:rsidR="00A438C8" w:rsidRPr="00F650D8">
        <w:rPr>
          <w:rFonts w:ascii="Times New Roman" w:hAnsi="Times New Roman" w:cs="Times New Roman"/>
        </w:rPr>
        <w:t>.</w:t>
      </w:r>
      <w:r w:rsidR="00E8579B" w:rsidRPr="00F650D8">
        <w:rPr>
          <w:rFonts w:ascii="Times New Roman" w:hAnsi="Times New Roman" w:cs="Times New Roman"/>
        </w:rPr>
        <w:fldChar w:fldCharType="begin" w:fldLock="1"/>
      </w:r>
      <w:r w:rsidR="00AF2D11" w:rsidRPr="00F650D8">
        <w:rPr>
          <w:rFonts w:ascii="Times New Roman" w:hAnsi="Times New Roman" w:cs="Times New Roman"/>
        </w:rPr>
        <w:instrText xml:space="preserve">ADDIN CSL_CITATION {"citationItems":[{"id":"ITEM-1","itemData":{"DOI":"10.1002/oby.21653","ISSN":"1930739X","abstract":"Objective: To quantify the feedback control of energy intake in response to long-term covert manipulation of energy balance in free-living humans. Methods: A validated mathematical method was used to calculate energy intake changes during a 52-week placebo-controlled trial in 153 patients treated with canagliflozin, a sodium glucose co-transporter inhibitor that increases urinary glucose excretion, thereby resulting in weight loss without patients being directly aware of the energy deficit. The relationship between the body weight time course and the calculated energy intake changes was analyzed using principles from engineering control theory. Results: It was discovered that weight loss leads to a proportional increase in appetite resulting in eating above baseline by </w:instrText>
      </w:r>
      <w:r w:rsidR="00AF2D11" w:rsidRPr="00F650D8">
        <w:rPr>
          <w:rFonts w:ascii="Cambria Math" w:hAnsi="Cambria Math" w:cs="Cambria Math"/>
        </w:rPr>
        <w:instrText>∼</w:instrText>
      </w:r>
      <w:r w:rsidR="00AF2D11" w:rsidRPr="00F650D8">
        <w:rPr>
          <w:rFonts w:ascii="Times New Roman" w:hAnsi="Times New Roman" w:cs="Times New Roman"/>
        </w:rPr>
        <w:instrText>100 kcal/day per kilogram of lost weight—an amount more than threefold larger than the corresponding energy expenditure adaptations. Conclusions: While energy expenditure adaptations have often been considered the main reason for slowing of weight loss and subsequent regain, feedback control of energy intake plays an even larger role and helps explain why long-term maintenance of a reduced body weight is so difficult.","author":[{"dropping-particle":"","family":"Polidori","given":"David","non-dropping-particle":"","parse-names":false,"suffix":""},{"dropping-particle":"","family":"Sanghvi","given":"Arjun","non-dropping-particle":"","parse-names":false,"suffix":""},{"dropping-particle":"","family":"Seeley","given":"Randy J.","non-dropping-particle":"","parse-names":false,"suffix":""},{"dropping-particle":"","family":"Hall","given":"Kevin D.","non-dropping-particle":"","parse-names":false,"suffix":""}],"container-title":"Obesity","id":"ITEM-1","issue":"11","issued":{"date-parts":[["2016"]]},"page":"2289-2295","title":"How Strongly Does Appetite Counter Weight Loss? Quantification of the Feedback Control of Human Energy Intake","type":"article-journal","volume":"24"},"uris":["http://www.mendeley.com/documents/?uuid=93dfcd6c-5e9a-4887-9e87-00585a89f538"]}],"mendeley":{"formattedCitation":"&lt;sup&gt;7&lt;/sup&gt;","plainTextFormattedCitation":"7","previouslyFormattedCitation":"&lt;sup&gt;7&lt;/sup&gt;"},"properties":{"noteIndex":0},"schema":"https://github.com/citation-style-language/schema/raw/master/csl-citation.json"}</w:instrText>
      </w:r>
      <w:r w:rsidR="00E8579B"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7</w:t>
      </w:r>
      <w:r w:rsidR="00E8579B" w:rsidRPr="00F650D8">
        <w:rPr>
          <w:rFonts w:ascii="Times New Roman" w:hAnsi="Times New Roman" w:cs="Times New Roman"/>
        </w:rPr>
        <w:fldChar w:fldCharType="end"/>
      </w:r>
      <w:r w:rsidR="00832166" w:rsidRPr="00F650D8">
        <w:rPr>
          <w:rFonts w:ascii="Times New Roman" w:hAnsi="Times New Roman" w:cs="Times New Roman"/>
        </w:rPr>
        <w:t xml:space="preserve"> </w:t>
      </w:r>
      <w:r w:rsidR="00426737" w:rsidRPr="00F650D8">
        <w:rPr>
          <w:rFonts w:ascii="Times New Roman" w:hAnsi="Times New Roman" w:cs="Times New Roman"/>
        </w:rPr>
        <w:t>An uncontrolled prospec</w:t>
      </w:r>
      <w:r w:rsidR="00CE0A6B" w:rsidRPr="00F650D8">
        <w:rPr>
          <w:rFonts w:ascii="Times New Roman" w:hAnsi="Times New Roman" w:cs="Times New Roman"/>
        </w:rPr>
        <w:t>tive study in humans (</w:t>
      </w:r>
      <w:r w:rsidR="00426737" w:rsidRPr="00F650D8">
        <w:rPr>
          <w:rFonts w:ascii="Times New Roman" w:hAnsi="Times New Roman" w:cs="Times New Roman"/>
        </w:rPr>
        <w:t>using data from a self-report food frequency questionnaire</w:t>
      </w:r>
      <w:r w:rsidR="00CE0A6B" w:rsidRPr="00F650D8">
        <w:rPr>
          <w:rFonts w:ascii="Times New Roman" w:hAnsi="Times New Roman" w:cs="Times New Roman"/>
        </w:rPr>
        <w:t>)</w:t>
      </w:r>
      <w:r w:rsidR="00426737" w:rsidRPr="00F650D8">
        <w:rPr>
          <w:rFonts w:ascii="Times New Roman" w:hAnsi="Times New Roman" w:cs="Times New Roman"/>
        </w:rPr>
        <w:t xml:space="preserve"> support these analyse</w:t>
      </w:r>
      <w:r w:rsidR="00A438C8" w:rsidRPr="00F650D8">
        <w:rPr>
          <w:rFonts w:ascii="Times New Roman" w:hAnsi="Times New Roman" w:cs="Times New Roman"/>
        </w:rPr>
        <w:t>s,</w:t>
      </w:r>
      <w:r w:rsidR="00FA43F6"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Matsuba","given":"Ikuro","non-dropping-particle":"","parse-names":false,"suffix":""},{"dropping-particle":"","family":"Kanamori","given":"Akira","non-dropping-particle":"","parse-names":false,"suffix":""},{"dropping-particle":"","family":"Takihata","given":"Mashahiro","non-dropping-particle":"","parse-names":false,"suffix":""},{"dropping-particle":"","family":"Takai","given":"Masahiko","non-dropping-particle":"","parse-names":false,"suffix":""},{"dropping-particle":"","family":"Maeda","given":"Hajime","non-dropping-particle":"","parse-names":false,"suffix":""},{"dropping-particle":"","family":"Kubota","given":"Akira","non-dropping-particle":"","parse-names":false,"suffix":""},{"dropping-particle":"","family":"Lemitsu","given":"Kotaro","non-dropping-particle":"","parse-names":false,"suffix":""},{"dropping-particle":"","family":"Umezawa","given":"Shinichi","non-dropping-particle":"","parse-names":false,"suffix":""},{"dropping-particle":"","family":"Obana","given":"Mitsuo","non-dropping-particle":"","parse-names":false,"suffix":""},{"dropping-particle":"","family":"Kaneshiro","given":"Mizuki","non-dropping-particle":"","parse-names":false,"suffix":""},{"dropping-particle":"","family":"Kawata","given":"Takehiro","non-dropping-particle":"","parse-names":false,"suffix":""},{"dropping-particle":"","family":"Takuma","given":"Tetsuo","non-dropping-particle":"","parse-names":false,"suffix":""},{"dropping-particle":"","family":"Takeda","given":"Hiroshi","non-dropping-particle":"","parse-names":false,"suffix":""},{"dropping-particle":"","family":"Machimura","given":"Hideo","non-dropping-particle":"","parse-names":false,"suffix":""},{"dropping-particle":"","family":"Mokubo","given":"Atsuko","non-dropping-particle":"","parse-names":false,"suffix":""},{"dropping-particle":"","family":"Motomiya","given":"Tetsuya","non-dropping-particle":"","parse-names":false,"suffix":""},{"dropping-particle":"","family":"Asakura","given":"Taro","non-dropping-particle":"","parse-names":false,"suffix":""},{"dropping-particle":"","family":"Kikuchi","given":"Taisuke","non-dropping-particle":"","parse-names":false,"suffix":""},{"dropping-particle":"","family":"Matsuzawa","given":"Yoko","non-dropping-particle":"","parse-names":false,"suffix":""},{"dropping-particle":"","family":"Ito","given":"Shogo","non-dropping-particle":"","parse-names":false,"suffix":""},{"dropping-particle":"","family":"Miyakawa","given":"Masaaki","non-dropping-particle":"","parse-names":false,"suffix":""},{"dropping-particle":"","family":"Terauchi","given":"Yasuo","non-dropping-particle":"","parse-names":false,"suffix":""},{"dropping-particle":"","family":"Tanaka","given":"Yasushi","non-dropping-particle":"","parse-names":false,"suffix":""}],"container-title":"Diabetes technology &amp; therapeutics","id":"ITEM-1","issue":"3","issued":{"date-parts":[["2020"]]},"page":"228-234.","title":"Canagliflozin Increases Calorie Intake in Type 2 Diabetes Without Changing the Energy Ratio of the Three Macronutrients: CANA-K Study","type":"article-journal","volume":"22"},"uris":["http://www.mendeley.com/documents/?uuid=895488f8-9f27-489c-8fe7-9e04e87bf677"]}],"mendeley":{"formattedCitation":"&lt;sup&gt;8&lt;/sup&gt;","plainTextFormattedCitation":"8","previouslyFormattedCitation":"&lt;sup&gt;8&lt;/sup&gt;"},"properties":{"noteIndex":0},"schema":"https://github.com/citation-style-language/schema/raw/master/csl-citation.json"}</w:instrText>
      </w:r>
      <w:r w:rsidR="00FA43F6"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8</w:t>
      </w:r>
      <w:r w:rsidR="00FA43F6" w:rsidRPr="00F650D8">
        <w:rPr>
          <w:rFonts w:ascii="Times New Roman" w:hAnsi="Times New Roman" w:cs="Times New Roman"/>
        </w:rPr>
        <w:fldChar w:fldCharType="end"/>
      </w:r>
      <w:r w:rsidR="00426737" w:rsidRPr="00F650D8">
        <w:rPr>
          <w:rFonts w:ascii="Times New Roman" w:hAnsi="Times New Roman" w:cs="Times New Roman"/>
        </w:rPr>
        <w:t xml:space="preserve"> along with p</w:t>
      </w:r>
      <w:r w:rsidR="00C01A50" w:rsidRPr="00F650D8">
        <w:rPr>
          <w:rFonts w:ascii="Times New Roman" w:hAnsi="Times New Roman" w:cs="Times New Roman"/>
        </w:rPr>
        <w:t>reclinical evidence</w:t>
      </w:r>
      <w:r w:rsidR="00832166" w:rsidRPr="00F650D8">
        <w:rPr>
          <w:rFonts w:ascii="Times New Roman" w:hAnsi="Times New Roman" w:cs="Times New Roman"/>
        </w:rPr>
        <w:t xml:space="preserve"> </w:t>
      </w:r>
      <w:r w:rsidR="00426737" w:rsidRPr="00F650D8">
        <w:rPr>
          <w:rFonts w:ascii="Times New Roman" w:hAnsi="Times New Roman" w:cs="Times New Roman"/>
        </w:rPr>
        <w:t>reporting</w:t>
      </w:r>
      <w:r w:rsidR="00832166" w:rsidRPr="00F650D8">
        <w:rPr>
          <w:rFonts w:ascii="Times New Roman" w:hAnsi="Times New Roman" w:cs="Times New Roman"/>
        </w:rPr>
        <w:t xml:space="preserve"> </w:t>
      </w:r>
      <w:r w:rsidR="00857295" w:rsidRPr="00F650D8">
        <w:rPr>
          <w:rFonts w:ascii="Times New Roman" w:hAnsi="Times New Roman" w:cs="Times New Roman"/>
        </w:rPr>
        <w:t xml:space="preserve">a dose-dependent increase in </w:t>
      </w:r>
      <w:r w:rsidR="00F36FAB" w:rsidRPr="00F650D8">
        <w:rPr>
          <w:rFonts w:ascii="Times New Roman" w:hAnsi="Times New Roman" w:cs="Times New Roman"/>
        </w:rPr>
        <w:t>EI</w:t>
      </w:r>
      <w:r w:rsidR="00832166" w:rsidRPr="00F650D8">
        <w:rPr>
          <w:rFonts w:ascii="Times New Roman" w:hAnsi="Times New Roman" w:cs="Times New Roman"/>
        </w:rPr>
        <w:t xml:space="preserve"> </w:t>
      </w:r>
      <w:r w:rsidR="00857295" w:rsidRPr="00F650D8">
        <w:rPr>
          <w:rFonts w:ascii="Times New Roman" w:hAnsi="Times New Roman" w:cs="Times New Roman"/>
        </w:rPr>
        <w:t>after</w:t>
      </w:r>
      <w:r w:rsidR="00832166" w:rsidRPr="00F650D8">
        <w:rPr>
          <w:rFonts w:ascii="Times New Roman" w:hAnsi="Times New Roman" w:cs="Times New Roman"/>
        </w:rPr>
        <w:t xml:space="preserve"> dapagliflozin administration</w:t>
      </w:r>
      <w:r w:rsidR="00365C2D" w:rsidRPr="00F650D8">
        <w:rPr>
          <w:rFonts w:ascii="Times New Roman" w:hAnsi="Times New Roman" w:cs="Times New Roman"/>
        </w:rPr>
        <w:t xml:space="preserve"> </w:t>
      </w:r>
      <w:r w:rsidR="00832166" w:rsidRPr="00F650D8">
        <w:rPr>
          <w:rFonts w:ascii="Times New Roman" w:hAnsi="Times New Roman" w:cs="Times New Roman"/>
        </w:rPr>
        <w:t xml:space="preserve">in </w:t>
      </w:r>
      <w:r w:rsidR="00F04952" w:rsidRPr="00F650D8">
        <w:rPr>
          <w:rFonts w:ascii="Times New Roman" w:hAnsi="Times New Roman" w:cs="Times New Roman"/>
        </w:rPr>
        <w:t xml:space="preserve">rats </w:t>
      </w:r>
      <w:r w:rsidR="00832166" w:rsidRPr="00F650D8">
        <w:rPr>
          <w:rFonts w:ascii="Times New Roman" w:hAnsi="Times New Roman" w:cs="Times New Roman"/>
        </w:rPr>
        <w:t>with diet-induced obesity</w:t>
      </w:r>
      <w:r w:rsidR="00A438C8" w:rsidRPr="00F650D8">
        <w:rPr>
          <w:rFonts w:ascii="Times New Roman" w:hAnsi="Times New Roman" w:cs="Times New Roman"/>
        </w:rPr>
        <w:t>.</w:t>
      </w:r>
      <w:r w:rsidR="00E8579B"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{"citationItems":[{"id":"ITEM-1","itemData":{"DOI":"10.1038/oby.2012.59","ISSN":"19307381","PMID":"22402735","abstract":"Dapagliflozin is a potent and selective sodium glucose cotransporter-2 (SGLT2) inhibitor which promotes urinary glucose excretion and induces weight loss. Since metabolic compensation can offset a negative energy balance, we explored the potential for a compensatory physiological response to the weight loss induced by dapagliflozin. Dapagliflozin was administered (0.5-5 mpk; p.o.) to diet-induced obese (DIO) rats with or without ad libitum access to food for 38 days. Along with inducing urinary glucose excretion, chronic administration of dapagliflozin dose-dependently increased food and water intake relative to vehicle-treated controls. Despite this, it reduced body weight by 4% (relative to controls) at the highest dose. The degree of weight loss was increased by an additional 9% if hyperphagia was prevented by restricting food intake to that of vehicle controls. Neither oxygen consumption (vO2) or the respiratory exchange ratio (RER) were altered by dapagliflozin treatment alone. Animals treated with dapagliflozin and pair-fed to vehicle controls (5 mpk PF-V) showed a reduction in RER and an elevation in nonfasting Β-hydroxybutyrate (BHBA) relative to ad libitum-fed 5 mpk counterparts. Fasting BHBA was elevated in the 1 mpk, 5 mpk, and 5 mpk PF-V groups. Serum glucose was reduced in the fasted, but not the unfasted state. Insulin was reduced in the non-fasted state. These data suggest that in rodents, the persistent urinary glucose excretion induced by dapagliflozin was accompanied by compensatory hyperphagia, which attenuated the weight loss induced by SGLT2 inhibition. Therefore, it is possible that dapagliflozin-induced weight loss could be enhanced with dietary intervention. © 2011 The Obesity Society.","author":[{"dropping-particle":"","family":"Devenny","given":"James J.","non-dropping-particle":"","parse-names":false,"suffix":""},{"dropping-particle":"","family":"Godonis","given":"Helen E.","non-dropping-particle":"","parse-names":false,"suffix":""},{"dropping-particle":"","family":"Harvey","given":"Susan J.","non-dropping-particle":"","parse-names":false,"suffix":""},{"dropping-particle":"","family":"Rooney","given":"Suzanne","non-dropping-particle":"","parse-names":false,"suffix":""},{"dropping-particle":"","family":"Cullen","given":"Mary J.","non-dropping-particle":"","parse-names":false,"suffix":""},{"dropping-particle":"","family":"Pelleymounter","given":"Mary Ann","non-dropping-particle":"","parse-names":false,"suffix":""}],"container-title":"Obesity","id":"ITEM-1","issue":"8","issued":{"date-parts":[["2012"]]},"page":"1645-1652","title":"Weight loss induced by chronic dapagliflozin treatment is attenuated by compensatory hyperphagia in diet-induced obese (DIO) rats","type":"article-journal","volume":"20"},"uris":["http://www.mendeley.com/documents/?uuid=95583340-2f5d-459b-87a5-b4389d93659d"]}],"mendeley":{"formattedCitation":"&lt;sup&gt;9&lt;/sup&gt;","plainTextFormattedCitation":"9","previouslyFormattedCitation":"&lt;sup&gt;9&lt;/sup&gt;"},"properties":{"noteIndex":0},"schema":"https://github.com/citation-style-language/schema/raw/master/csl-citation.json"}</w:instrText>
      </w:r>
      <w:r w:rsidR="00E8579B"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9</w:t>
      </w:r>
      <w:r w:rsidR="00E8579B" w:rsidRPr="00F650D8">
        <w:rPr>
          <w:rFonts w:ascii="Times New Roman" w:hAnsi="Times New Roman" w:cs="Times New Roman"/>
        </w:rPr>
        <w:fldChar w:fldCharType="end"/>
      </w:r>
      <w:r w:rsidR="00832166" w:rsidRPr="00F650D8">
        <w:rPr>
          <w:rFonts w:ascii="Times New Roman" w:hAnsi="Times New Roman" w:cs="Times New Roman"/>
        </w:rPr>
        <w:t xml:space="preserve"> </w:t>
      </w:r>
      <w:r w:rsidR="00DF52A6" w:rsidRPr="00F650D8">
        <w:rPr>
          <w:rFonts w:ascii="Times New Roman" w:hAnsi="Times New Roman" w:cs="Times New Roman"/>
        </w:rPr>
        <w:t xml:space="preserve">In the same rodent study, </w:t>
      </w:r>
      <w:r w:rsidR="00292C44" w:rsidRPr="00F650D8">
        <w:rPr>
          <w:rFonts w:ascii="Times New Roman" w:hAnsi="Times New Roman" w:cs="Times New Roman"/>
        </w:rPr>
        <w:t xml:space="preserve">restricting food provision to that consumed by the placebo group </w:t>
      </w:r>
      <w:r w:rsidR="00DF52A6" w:rsidRPr="00F650D8">
        <w:rPr>
          <w:rFonts w:ascii="Times New Roman" w:hAnsi="Times New Roman" w:cs="Times New Roman"/>
        </w:rPr>
        <w:t xml:space="preserve">augmented the weight loss elicited by dapagliflozin. </w:t>
      </w:r>
      <w:r w:rsidR="003023EB" w:rsidRPr="00F650D8">
        <w:rPr>
          <w:rFonts w:ascii="Times New Roman" w:hAnsi="Times New Roman" w:cs="Times New Roman"/>
          <w:highlight w:val="yellow"/>
        </w:rPr>
        <w:t>The extent to which</w:t>
      </w:r>
      <w:r w:rsidR="00832166" w:rsidRPr="00F650D8">
        <w:rPr>
          <w:rFonts w:ascii="Times New Roman" w:hAnsi="Times New Roman" w:cs="Times New Roman"/>
          <w:highlight w:val="yellow"/>
        </w:rPr>
        <w:t xml:space="preserve"> dietary energy restriction can potentiate the weight loss elicited by SGLT2</w:t>
      </w:r>
      <w:r w:rsidR="00AE1950" w:rsidRPr="00F650D8">
        <w:rPr>
          <w:rFonts w:ascii="Times New Roman" w:hAnsi="Times New Roman" w:cs="Times New Roman"/>
          <w:highlight w:val="yellow"/>
        </w:rPr>
        <w:t>i</w:t>
      </w:r>
      <w:r w:rsidR="00832166" w:rsidRPr="00F650D8">
        <w:rPr>
          <w:rFonts w:ascii="Times New Roman" w:hAnsi="Times New Roman" w:cs="Times New Roman"/>
          <w:highlight w:val="yellow"/>
        </w:rPr>
        <w:t xml:space="preserve"> therapy</w:t>
      </w:r>
      <w:r w:rsidR="00DF52A6" w:rsidRPr="00F650D8">
        <w:rPr>
          <w:rFonts w:ascii="Times New Roman" w:hAnsi="Times New Roman" w:cs="Times New Roman"/>
          <w:highlight w:val="yellow"/>
        </w:rPr>
        <w:t xml:space="preserve"> in humans</w:t>
      </w:r>
      <w:r w:rsidR="00832166" w:rsidRPr="00F650D8">
        <w:rPr>
          <w:rFonts w:ascii="Times New Roman" w:hAnsi="Times New Roman" w:cs="Times New Roman"/>
          <w:highlight w:val="yellow"/>
        </w:rPr>
        <w:t xml:space="preserve"> </w:t>
      </w:r>
      <w:r w:rsidR="00F041DD" w:rsidRPr="00F650D8">
        <w:rPr>
          <w:rFonts w:ascii="Times New Roman" w:hAnsi="Times New Roman" w:cs="Times New Roman"/>
          <w:highlight w:val="yellow"/>
        </w:rPr>
        <w:t>remains</w:t>
      </w:r>
      <w:r w:rsidR="00832166" w:rsidRPr="00F650D8">
        <w:rPr>
          <w:rFonts w:ascii="Times New Roman" w:hAnsi="Times New Roman" w:cs="Times New Roman"/>
          <w:highlight w:val="yellow"/>
        </w:rPr>
        <w:t xml:space="preserve"> an important question</w:t>
      </w:r>
      <w:r w:rsidR="00A438C8" w:rsidRPr="00F650D8">
        <w:rPr>
          <w:rFonts w:ascii="Times New Roman" w:hAnsi="Times New Roman" w:cs="Times New Roman"/>
          <w:highlight w:val="yellow"/>
        </w:rPr>
        <w:t>.</w:t>
      </w:r>
      <w:r w:rsidR="004E3EC6" w:rsidRPr="00F650D8">
        <w:rPr>
          <w:rFonts w:ascii="Times New Roman" w:hAnsi="Times New Roman" w:cs="Times New Roman"/>
          <w:highlight w:val="yellow"/>
        </w:rPr>
        <w:fldChar w:fldCharType="begin" w:fldLock="1"/>
      </w:r>
      <w:r w:rsidR="00AF2D11" w:rsidRPr="00F650D8">
        <w:rPr>
          <w:rFonts w:ascii="Times New Roman" w:hAnsi="Times New Roman" w:cs="Times New Roman"/>
          <w:highlight w:val="yellow"/>
        </w:rPr>
        <w:instrText>ADDIN CSL_CITATION {"citationItems":[{"id":"ITEM-1","itemData":{"author":[{"dropping-particle":"","family":"Rajeev","given":"S P","non-dropping-particle":"","parse-names":false,"suffix":""},{"dropping-particle":"","family":"Cuthbertson","given":"D J","non-dropping-particle":"","parse-names":false,"suffix":""},{"dropping-particle":"","family":"Wilding","given":"J P H","non-dropping-particle":"","parse-names":false,"suffix":""}],"container-title":"Diabetes, obesity &amp; metabolism","id":"ITEM-1","issued":{"date-parts":[["2015"]]},"page":"1-10","title":"Energy balance and metabolic changes with sodium-glucose co-transporter 2 inhibition","type":"article-journal"},"uris":["http://www.mendeley.com/documents/?uuid=e7329838-ff95-4199-ba55-d323fb46ee95"]}],"mendeley":{"formattedCitation":"&lt;sup&gt;5&lt;/sup&gt;","plainTextFormattedCitation":"5","previouslyFormattedCitation":"&lt;sup&gt;5&lt;/sup&gt;"},"properties":{"noteIndex":0},"schema":"https://github.com/citation-style-language/schema/raw/master/csl-citation.json"}</w:instrText>
      </w:r>
      <w:r w:rsidR="004E3EC6" w:rsidRPr="00F650D8">
        <w:rPr>
          <w:rFonts w:ascii="Times New Roman" w:hAnsi="Times New Roman" w:cs="Times New Roman"/>
          <w:highlight w:val="yellow"/>
        </w:rPr>
        <w:fldChar w:fldCharType="separate"/>
      </w:r>
      <w:r w:rsidR="00A60C08" w:rsidRPr="00F650D8">
        <w:rPr>
          <w:rFonts w:ascii="Times New Roman" w:hAnsi="Times New Roman" w:cs="Times New Roman"/>
          <w:noProof/>
          <w:highlight w:val="yellow"/>
          <w:vertAlign w:val="superscript"/>
        </w:rPr>
        <w:t>5</w:t>
      </w:r>
      <w:r w:rsidR="004E3EC6" w:rsidRPr="00F650D8">
        <w:rPr>
          <w:rFonts w:ascii="Times New Roman" w:hAnsi="Times New Roman" w:cs="Times New Roman"/>
          <w:highlight w:val="yellow"/>
        </w:rPr>
        <w:fldChar w:fldCharType="end"/>
      </w:r>
    </w:p>
    <w:p w14:paraId="5C0A1960" w14:textId="77777777" w:rsidR="00832166" w:rsidRPr="00F650D8" w:rsidRDefault="00832166" w:rsidP="00832166">
      <w:pPr>
        <w:spacing w:line="480" w:lineRule="auto"/>
        <w:jc w:val="both"/>
        <w:rPr>
          <w:rFonts w:ascii="Times New Roman" w:hAnsi="Times New Roman" w:cs="Times New Roman"/>
        </w:rPr>
      </w:pPr>
    </w:p>
    <w:p w14:paraId="0A7C6E6A" w14:textId="0B471351" w:rsidR="00832166" w:rsidRPr="00F650D8" w:rsidRDefault="00857295" w:rsidP="00832166">
      <w:pPr>
        <w:spacing w:line="480" w:lineRule="auto"/>
        <w:jc w:val="both"/>
        <w:rPr>
          <w:rFonts w:ascii="Times New Roman" w:hAnsi="Times New Roman" w:cs="Times New Roman"/>
        </w:rPr>
      </w:pPr>
      <w:r w:rsidRPr="00F650D8">
        <w:rPr>
          <w:rFonts w:ascii="Times New Roman" w:hAnsi="Times New Roman" w:cs="Times New Roman"/>
        </w:rPr>
        <w:t>The r</w:t>
      </w:r>
      <w:r w:rsidR="00832166" w:rsidRPr="00F650D8">
        <w:rPr>
          <w:rFonts w:ascii="Times New Roman" w:hAnsi="Times New Roman" w:cs="Times New Roman"/>
        </w:rPr>
        <w:t xml:space="preserve">egulation of </w:t>
      </w:r>
      <w:r w:rsidR="00F36FAB" w:rsidRPr="00F650D8">
        <w:rPr>
          <w:rFonts w:ascii="Times New Roman" w:hAnsi="Times New Roman" w:cs="Times New Roman"/>
        </w:rPr>
        <w:t>EI</w:t>
      </w:r>
      <w:r w:rsidR="00832166" w:rsidRPr="00F650D8">
        <w:rPr>
          <w:rFonts w:ascii="Times New Roman" w:hAnsi="Times New Roman" w:cs="Times New Roman"/>
        </w:rPr>
        <w:t xml:space="preserve"> in humans is complex and underpinned by homeostatic, hedonic and environmental factor</w:t>
      </w:r>
      <w:r w:rsidR="00823D7E" w:rsidRPr="00F650D8">
        <w:rPr>
          <w:rFonts w:ascii="Times New Roman" w:hAnsi="Times New Roman" w:cs="Times New Roman"/>
        </w:rPr>
        <w:t>s</w:t>
      </w:r>
      <w:r w:rsidR="00A438C8" w:rsidRPr="00F650D8">
        <w:rPr>
          <w:rFonts w:ascii="Times New Roman" w:hAnsi="Times New Roman" w:cs="Times New Roman"/>
        </w:rPr>
        <w:t>.</w:t>
      </w:r>
      <w:r w:rsidR="00165799"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{"citationItems":[{"id":"ITEM-1","itemData":{"DOI":"10.1016/j.physbeh.2020.112846","ISSN":"1873507X","abstract":"The drive to eat is a component of appetite control, independent of the omnivorous habit of humans, and separate from food choice, satiety and food reward. The drive forms part of the tonic component of appetite and arises from biological needs; it is distinct from episodic aspects of appetite which are heavily influenced by culture and the environment (and which reflect the omnivorous habit). It is proposed that the tonic drive to eat reflects a need state generated by metabolic energy expenditure (EE) required to maintain the functioning and integrity of vital organs. Specifically, the tonic drive is quantitatively associated with fat-free mass (FFM) and resting metabolic rate (RMR). A rational proposition is that high metabolic rate organs (such as heart, liver, kidneys, brain) together with skeletal muscle generate a metabolic need which drives energy intake (EI). The basic phenomenon of a relationship between FFM, RMR and EI, first published in 2011, has been substantially replicated and there are at least 14 concordant published studies carried out in 9 different countries (and 4 continents) with various ethnic groups of lean and obese humans. These studies demonstrate that FFM and RMR represent major determinants of the drive to eat, and this is rational from an evolutionary perspective. The EE of bodily movements through skeletal muscle activity (namely physical activity and exercise) represents another driver which is clearly but more weakly associated with an increase in EI. This account of appetite control, developed within an energy balance framework, is consistent with the apparent inexorable escalation of fatness in individual humans, and for the progressive increase in the prevalence of obesity which, among other factors, reflects the difficulty of managing the biological drive to eat.","author":[{"dropping-particle":"","family":"Blundell","given":"John E.","non-dropping-particle":"","parse-names":false,"suffix":""},{"dropping-particle":"","family":"Gibbons","given":"Catherine","non-dropping-particle":"","parse-names":false,"suffix":""},{"dropping-particle":"","family":"Beaulieu","given":"Kristine","non-dropping-particle":"","parse-names":false,"suffix":""},{"dropping-particle":"","family":"Casanova","given":"Nuno","non-dropping-particle":"","parse-names":false,"suffix":""},{"dropping-particle":"","family":"Duarte","given":"Cristiana","non-dropping-particle":"","parse-names":false,"suffix":""},{"dropping-particle":"","family":"Finlayson","given":"Graham","non-dropping-particle":"","parse-names":false,"suffix":""},{"dropping-particle":"","family":"Stubbs","given":"R. James","non-dropping-particle":"","parse-names":false,"suffix":""},{"dropping-particle":"","family":"Hopkins","given":"Mark","non-dropping-particle":"","parse-names":false,"suffix":""}],"container-title":"Physiology and Behavior","id":"ITEM-1","issue":"February","issued":{"date-parts":[["2020"]]},"page":"112846","publisher":"Elsevier","title":"The drive to eat in homo sapiens: Energy expenditure drives energy intake","type":"article-journal","volume":"219"},"uris":["http://www.mendeley.com/documents/?uuid=5b3616d1-1306-4e9a-bfd5-f60e416a5669"]}],"mendeley":{"formattedCitation":"&lt;sup&gt;10&lt;/sup&gt;","plainTextFormattedCitation":"10","previouslyFormattedCitation":"&lt;sup&gt;10&lt;/sup&gt;"},"properties":{"noteIndex":0},"schema":"https://github.com/citation-style-language/schema/raw/master/csl-citation.json"}</w:instrText>
      </w:r>
      <w:r w:rsidR="00165799"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10</w:t>
      </w:r>
      <w:r w:rsidR="00165799" w:rsidRPr="00F650D8">
        <w:rPr>
          <w:rFonts w:ascii="Times New Roman" w:hAnsi="Times New Roman" w:cs="Times New Roman"/>
        </w:rPr>
        <w:fldChar w:fldCharType="end"/>
      </w:r>
      <w:r w:rsidR="00832166" w:rsidRPr="00F650D8">
        <w:rPr>
          <w:rFonts w:ascii="Times New Roman" w:hAnsi="Times New Roman" w:cs="Times New Roman"/>
        </w:rPr>
        <w:t xml:space="preserve"> Within contemporary models of appetite control, a network of circulating peptides influence eating behaviour and energy homeostasis on an acute (meal-to-meal) and chronic basis</w:t>
      </w:r>
      <w:r w:rsidR="00A438C8" w:rsidRPr="00F650D8">
        <w:rPr>
          <w:rFonts w:ascii="Times New Roman" w:hAnsi="Times New Roman" w:cs="Times New Roman"/>
        </w:rPr>
        <w:t>.</w:t>
      </w:r>
      <w:r w:rsidR="005A2B10"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{"citationItems":[{"id":"ITEM-1","itemData":{"DOI":"10.1016/j.physbeh.2020.112846","ISSN":"1873507X","abstract":"The drive to eat is a component of appetite control, independent of the omnivorous habit of humans, and separate from food choice, satiety and food reward. The drive forms part of the tonic component of appetite and arises from biological needs; it is distinct from episodic aspects of appetite which are heavily influenced by culture and the environment (and which reflect the omnivorous habit). It is proposed that the tonic drive to eat reflects a need state generated by metabolic energy expenditure (EE) required to maintain the functioning and integrity of vital organs. Specifically, the tonic drive is quantitatively associated with fat-free mass (FFM) and resting metabolic rate (RMR). A rational proposition is that high metabolic rate organs (such as heart, liver, kidneys, brain) together with skeletal muscle generate a metabolic need which drives energy intake (EI). The basic phenomenon of a relationship between FFM, RMR and EI, first published in 2011, has been substantially replicated and there are at least 14 concordant published studies carried out in 9 different countries (and 4 continents) with various ethnic groups of lean and obese humans. These studies demonstrate that FFM and RMR represent major determinants of the drive to eat, and this is rational from an evolutionary perspective. The EE of bodily movements through skeletal muscle activity (namely physical activity and exercise) represents another driver which is clearly but more weakly associated with an increase in EI. This account of appetite control, developed within an energy balance framework, is consistent with the apparent inexorable escalation of fatness in individual humans, and for the progressive increase in the prevalence of obesity which, among other factors, reflects the difficulty of managing the biological drive to eat.","author":[{"dropping-particle":"","family":"Blundell","given":"John E.","non-dropping-particle":"","parse-names":false,"suffix":""},{"dropping-particle":"","family":"Gibbons","given":"Catherine","non-dropping-particle":"","parse-names":false,"suffix":""},{"dropping-particle":"","family":"Beaulieu","given":"Kristine","non-dropping-particle":"","parse-names":false,"suffix":""},{"dropping-particle":"","family":"Casanova","given":"Nuno","non-dropping-particle":"","parse-names":false,"suffix":""},{"dropping-particle":"","family":"Duarte","given":"Cristiana","non-dropping-particle":"","parse-names":false,"suffix":""},{"dropping-particle":"","family":"Finlayson","given":"Graham","non-dropping-particle":"","parse-names":false,"suffix":""},{"dropping-particle":"","family":"Stubbs","given":"R. James","non-dropping-particle":"","parse-names":false,"suffix":""},{"dropping-particle":"","family":"Hopkins","given":"Mark","non-dropping-particle":"","parse-names":false,"suffix":""}],"container-title":"Physiology and Behavior","id":"ITEM-1","issue":"February","issued":{"date-parts":[["2020"]]},"page":"112846","publisher":"Elsevier","title":"The drive to eat in homo sapiens: Energy expenditure drives energy intake","type":"article-journal","volume":"219"},"uris":["http://www.mendeley.com/documents/?uuid=5b3616d1-1306-4e9a-bfd5-f60e416a5669"]}],"mendeley":{"formattedCitation":"&lt;sup&gt;10&lt;/sup&gt;","plainTextFormattedCitation":"10","previouslyFormattedCitation":"&lt;sup&gt;10&lt;/sup&gt;"},"properties":{"noteIndex":0},"schema":"https://github.com/citation-style-language/schema/raw/master/csl-citation.json"}</w:instrText>
      </w:r>
      <w:r w:rsidR="005A2B10"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10</w:t>
      </w:r>
      <w:r w:rsidR="005A2B10" w:rsidRPr="00F650D8">
        <w:rPr>
          <w:rFonts w:ascii="Times New Roman" w:hAnsi="Times New Roman" w:cs="Times New Roman"/>
        </w:rPr>
        <w:fldChar w:fldCharType="end"/>
      </w:r>
      <w:r w:rsidR="00832166" w:rsidRPr="00F650D8">
        <w:rPr>
          <w:rFonts w:ascii="Times New Roman" w:hAnsi="Times New Roman" w:cs="Times New Roman"/>
        </w:rPr>
        <w:t xml:space="preserve"> Specifically, </w:t>
      </w:r>
      <w:r w:rsidR="00DA6193" w:rsidRPr="00F650D8">
        <w:rPr>
          <w:rFonts w:ascii="Times New Roman" w:hAnsi="Times New Roman" w:cs="Times New Roman"/>
        </w:rPr>
        <w:t xml:space="preserve">peptide-YY (PYY) and glucagon-like peptide-1 (GLP-1) are </w:t>
      </w:r>
      <w:r w:rsidR="0074196B" w:rsidRPr="00F650D8">
        <w:rPr>
          <w:rFonts w:ascii="Times New Roman" w:hAnsi="Times New Roman" w:cs="Times New Roman"/>
        </w:rPr>
        <w:t xml:space="preserve">gut-derived </w:t>
      </w:r>
      <w:r w:rsidR="00521969" w:rsidRPr="00F650D8">
        <w:rPr>
          <w:rFonts w:ascii="Times New Roman" w:hAnsi="Times New Roman" w:cs="Times New Roman"/>
          <w:highlight w:val="yellow"/>
        </w:rPr>
        <w:t>post-prandial</w:t>
      </w:r>
      <w:r w:rsidR="00521969" w:rsidRPr="00F650D8">
        <w:rPr>
          <w:rFonts w:ascii="Times New Roman" w:hAnsi="Times New Roman" w:cs="Times New Roman"/>
        </w:rPr>
        <w:t xml:space="preserve"> </w:t>
      </w:r>
      <w:r w:rsidR="00DA6193" w:rsidRPr="00F650D8">
        <w:rPr>
          <w:rFonts w:ascii="Times New Roman" w:hAnsi="Times New Roman" w:cs="Times New Roman"/>
        </w:rPr>
        <w:t>satiety signals</w:t>
      </w:r>
      <w:r w:rsidR="001858FF" w:rsidRPr="00F650D8">
        <w:rPr>
          <w:rFonts w:ascii="Times New Roman" w:hAnsi="Times New Roman" w:cs="Times New Roman"/>
        </w:rPr>
        <w:t xml:space="preserve"> </w:t>
      </w:r>
      <w:r w:rsidR="00DA6193" w:rsidRPr="00F650D8">
        <w:rPr>
          <w:rFonts w:ascii="Times New Roman" w:hAnsi="Times New Roman" w:cs="Times New Roman"/>
        </w:rPr>
        <w:t>that facilitate efficient nutrient digestion and metabolism</w:t>
      </w:r>
      <w:r w:rsidR="00A438C8" w:rsidRPr="00F650D8">
        <w:rPr>
          <w:rFonts w:ascii="Times New Roman" w:hAnsi="Times New Roman" w:cs="Times New Roman"/>
        </w:rPr>
        <w:t>,</w:t>
      </w:r>
      <w:r w:rsidR="00DA6193"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{"citationItems":[{"id":"ITEM-1","itemData":{"DOI":"10.1210/jc.86.9.4382","ISSN":"0021972X","PMID":"11549680","abstract":"Seven studies have now been published pertaining to the acute effect of iv administration of glucagon-like peptide-1 (7-36) amide on ad libitum energy intake. In four of these studies energy intake was significantly reduced following the glucagon-like peptide-1 infusion compared with saline. In the remaining studies, no significant effect of glucagon-like peptide-1 could be shown. Lack of statistical power or low glucagon-like peptide-1 infusion rate may explain these conflicting results. Our aim was to examine the effect of glucagon-like peptide-1 on subsequent energy intake using a data set composed of subject data from previous studies and from two as yet unpublished studies. Secondly, we investigated whether the effect on energy intake is dose dependent and differs between lean and overweight subjects. Raw subject data on body mass index and ad libitum energy intake were collected into a common data set (n = 115), together with study characteristics such as infusion rate, duration of infusion, etc. From four studies with comparable protocol the following subject data were included if available: plasma concentrations of glucagon-like peptide-1, subjective appetite measures, well-being, and gastric emptying rate of a meal served at the start of the glucagon-like peptide-1 infusion. Energy intake was reduced by 727 kJ (95% confidence interval, 548-908 kJ) or 11.7% during glucagon-like peptide-1 infusion. Although the absolute reduction in energy intake was higher in lean (863 kJ) (634-1091 kJ) compared with overweight subjects (487 kJ) (209-764 kJ) (P = 0.05), the relative reduction did not differ between the two groups (13.2% and 9.3%, respectively). Stepwise regression analysis showed that the glucagon-like peptide-1 infusion rate was the only independent predictor of the reduction in energy intake during glucagon-like peptide-1 (7-36) amide infusion (r = 0.4, P &lt; 0.001). Differences in mean plasma glucagon-like peptide-1 concentration on the glucagon-like peptide-1 and placebo day (n = 43) were related to differences in feelings of prospective consumption (r = 0.40, P &lt; 0.01), fullness (r = 0.38, P &lt; 0.05), and hunger (r = 0.26, P = 0.09), but not to differences in ad libitum energy intake. Gastric emptying rate was significantly lower during glucagon-like peptide-1 infusion compared with saline. Finally, well-being was not influenced by the glucagon-like peptide-1 infusion. Glucagon-like peptide-1 infusion reduces energy intake dose dependently in …","author":[{"dropping-particle":"","family":"Verdich","given":"C.","non-dropping-particle":"","parse-names":false,"suffix":""},{"dropping-particle":"","family":"Flint","given":"A.","non-dropping-particle":"","parse-names":false,"suffix":""},{"dropping-particle":"","family":"Gutzwiller","given":"J. P.","non-dropping-particle":"","parse-names":false,"suffix":""},{"dropping-particle":"","family":"Näslund","given":"E.","non-dropping-particle":"","parse-names":false,"suffix":""},{"dropping-particle":"","family":"Beglinger","given":"C.","non-dropping-particle":"","parse-names":false,"suffix":""},{"dropping-particle":"","family":"Hellström","given":"P. M.","non-dropping-particle":"","parse-names":false,"suffix":""},{"dropping-particle":"","family":"Long","given":"S. J.","non-dropping-particle":"","parse-names":false,"suffix":""},{"dropping-particle":"","family":"Morgan","given":"L. M.","non-dropping-particle":"","parse-names":false,"suffix":""},{"dropping-particle":"","family":"Holst","given":"J. J.","non-dropping-particle":"","parse-names":false,"suffix":""},{"dropping-particle":"","family":"Astrup","given":"A.","non-dropping-particle":"","parse-names":false,"suffix":""}],"container-title":"Journal of Clinical Endocrinology and Metabolism","id":"ITEM-1","issue":"9","issued":{"date-parts":[["2001"]]},"page":"4382-4389","title":"A meta-analysis of the effect of glucagon-like peptide-1 (7-36) amide on Ad Libitum energy intake in humans","type":"article-journal","volume":"86"},"uris":["http://www.mendeley.com/documents/?uuid=027c1dd3-4d4d-4bb1-8681-845431c9e475"]},{"id":"ITEM-2","itemData":{"author":[{"dropping-particle":"","family":"Batterham","given":"RL","non-dropping-particle":"","parse-names":false,"suffix":""},{"dropping-particle":"","family":"Bloom","given":"SR","non-dropping-particle":"","parse-names":false,"suffix":""}],"container-title":"Annals of the New York Academy of Sciences","id":"ITEM-2","issued":{"date-parts":[["2003"]]},"page":"162-168.","title":"The gut hormone PYY regulates appetite","type":"article-journal","volume":"994"},"uris":["http://www.mendeley.com/documents/?uuid=fa13712c-036d-4823-a5c0-e5e989a54616"]}],"mendeley":{"formattedCitation":"&lt;sup&gt;11,12&lt;/sup&gt;","plainTextFormattedCitation":"11,12","previouslyFormattedCitation":"&lt;sup&gt;11,12&lt;/sup&gt;"},"properties":{"noteIndex":0},"schema":"https://github.com/citation-style-language/schema/raw/master/csl-citation.json"}</w:instrText>
      </w:r>
      <w:r w:rsidR="00DA6193"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11,12</w:t>
      </w:r>
      <w:r w:rsidR="00DA6193" w:rsidRPr="00F650D8">
        <w:rPr>
          <w:rFonts w:ascii="Times New Roman" w:hAnsi="Times New Roman" w:cs="Times New Roman"/>
        </w:rPr>
        <w:fldChar w:fldCharType="end"/>
      </w:r>
      <w:r w:rsidR="00DA6193" w:rsidRPr="00F650D8">
        <w:rPr>
          <w:rFonts w:ascii="Times New Roman" w:hAnsi="Times New Roman" w:cs="Times New Roman"/>
        </w:rPr>
        <w:t xml:space="preserve"> whilst </w:t>
      </w:r>
      <w:r w:rsidR="00832166" w:rsidRPr="00F650D8">
        <w:rPr>
          <w:rFonts w:ascii="Times New Roman" w:hAnsi="Times New Roman" w:cs="Times New Roman"/>
        </w:rPr>
        <w:t>acylated ghrelin is an orexigenic peptide implicated in the cephalic phase of digestion</w:t>
      </w:r>
      <w:r w:rsidR="008655C3" w:rsidRPr="00F650D8">
        <w:rPr>
          <w:rFonts w:ascii="Times New Roman" w:hAnsi="Times New Roman" w:cs="Times New Roman"/>
        </w:rPr>
        <w:t xml:space="preserve"> and </w:t>
      </w:r>
      <w:r w:rsidR="008655C3" w:rsidRPr="00F650D8">
        <w:rPr>
          <w:rFonts w:ascii="Times New Roman" w:hAnsi="Times New Roman" w:cs="Times New Roman"/>
          <w:highlight w:val="yellow"/>
        </w:rPr>
        <w:t>meal initiation</w:t>
      </w:r>
      <w:r w:rsidR="00A438C8" w:rsidRPr="00F650D8">
        <w:rPr>
          <w:rFonts w:ascii="Times New Roman" w:hAnsi="Times New Roman" w:cs="Times New Roman"/>
        </w:rPr>
        <w:t>.</w:t>
      </w:r>
      <w:r w:rsidR="006773DE"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{"citationItems":[{"id":"ITEM-1","itemData":{"DOI":"10.1210/en.2005-0973","ISSN":"00137227","PMID":"16179409","abstract":"Circulating levels of the orexigenic peptide ghrelin increase during fasting and decrease with refeeding. Exogenous ghrelin administration is a potent stimulus for food intake in rodents and humans. In subjects on fixed feeding schedules, ghrelin increases before each meal, raising the possibility that anticipation of meals, in addition to effects of fasting and feeding, contributes to ghrelin secretion. To distinguish among these regulatory influences, plasma ghrelin profiles were generated in freely fed rats and in meal-fed rats trained to consume their daily calories over a 4-h period in the light phase. In freely feeding rats, plasma ghrelin levels increased to a peak of 778 ± 95 pg/ml just before the onset of the dark. Similarly, in meal-fed rats anticipating a large meal of either chow or Ensure at their usual feeding time, plasma ghrelin increased steadily over the 2 h preceding the meal to peaks of 2192 ± 218 and 2075 ± 92 pg/ml, respectively. When freely fed rats were food deprived for a time equivalent to meal-fed rats, there was no peak of plasma ghrelin. In addition, eating-induced suppression of the ghrelin response differed significantly between meal-fed rats and ad libitum-fed rats receiving meals of similar size. These findings indicate that anticipation of eating, as well as fasting/feeding status, influences pre- and postprandial plasma ghrelin levels in rats. Together, these data are consistent with a role for ghrelin in the regulation of anticipatory processes involved in food intake and nutrient disposition. Copyright © 2006 by The Endocrine Society.","author":[{"dropping-particle":"","family":"Drazen","given":"Deborah L.","non-dropping-particle":"","parse-names":false,"suffix":""},{"dropping-particle":"","family":"Vahl","given":"Torsten P.","non-dropping-particle":"","parse-names":false,"suffix":""},{"dropping-particle":"","family":"D'Alessio","given":"David A.","non-dropping-particle":"","parse-names":false,"suffix":""},{"dropping-particle":"","family":"Seeley","given":"Randy J.","non-dropping-particle":"","parse-names":false,"suffix":""},{"dropping-particle":"","family":"Woods","given":"Stephen C.","non-dropping-particle":"","parse-names":false,"suffix":""}],"container-title":"Endocrinology","id":"ITEM-1","issue":"1","issued":{"date-parts":[["2006"]]},"page":"23-30","title":"Effects of a fixed meal pattern on ghrelin secretion: Evidence for a learned response independent of nutrient status","type":"article-journal","volume":"147"},"uris":["http://www.mendeley.com/documents/?uuid=c04ea994-701d-45c2-a748-2bcb166db8a1"]},{"id":"ITEM-2","itemData":{"author":[{"dropping-particle":"","family":"Wren","given":"Am","non-dropping-particle":"","parse-names":false,"suffix":""},{"dropping-particle":"","family":"Cohen","given":"MA","non-dropping-particle":"","parse-names":false,"suffix":""},{"dropping-particle":"","family":"Brynes","given":"AE","non-dropping-particle":"","parse-names":false,"suffix":""},{"dropping-particle":"","family":"GS","given":"Frost","non-dropping-particle":"","parse-names":false,"suffix":""},{"dropping-particle":"","family":"Murphy","given":"KG","non-dropping-particle":"","parse-names":false,"suffix":""},{"dropping-particle":"","family":"Dhillo","given":"WS","non-dropping-particle":"","parse-names":false,"suffix":""},{"dropping-particle":"","family":"Ghatei","given":"MA","non-dropping-particle":"","parse-names":false,"suffix":""},{"dropping-particle":"","family":"Bloom","given":"SR","non-dropping-particle":"","parse-names":false,"suffix":""}],"container-title":"Journal of Clinical Endocrinology &amp; Metabolism","id":"ITEM-2","issue":"12","issued":{"date-parts":[["2001"]]},"page":"5992-5995","title":"Ghrelin enhances appetite and increases food intake in humans.","type":"article-journal","volume":"86"},"uris":["http://www.mendeley.com/documents/?uuid=dd03f47c-46fd-4c29-ac29-e4d2b0252844"]}],"mendeley":{"formattedCitation":"&lt;sup&gt;13,14&lt;/sup&gt;","plainTextFormattedCitation":"13,14","previouslyFormattedCitation":"&lt;sup&gt;13,14&lt;/sup&gt;"},"properties":{"noteIndex":0},"schema":"https://github.com/citation-style-language/schema/raw/master/csl-citation.json"}</w:instrText>
      </w:r>
      <w:r w:rsidR="006773DE"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13,14</w:t>
      </w:r>
      <w:r w:rsidR="006773DE" w:rsidRPr="00F650D8">
        <w:rPr>
          <w:rFonts w:ascii="Times New Roman" w:hAnsi="Times New Roman" w:cs="Times New Roman"/>
        </w:rPr>
        <w:fldChar w:fldCharType="end"/>
      </w:r>
      <w:r w:rsidR="00832166" w:rsidRPr="00F650D8">
        <w:rPr>
          <w:rFonts w:ascii="Times New Roman" w:hAnsi="Times New Roman" w:cs="Times New Roman"/>
        </w:rPr>
        <w:t xml:space="preserve"> These acute signals are moderated by leptin and insulin which inform central appetite circuits about chronic energetic status</w:t>
      </w:r>
      <w:r w:rsidR="00A438C8" w:rsidRPr="00F650D8">
        <w:rPr>
          <w:rFonts w:ascii="Times New Roman" w:hAnsi="Times New Roman" w:cs="Times New Roman"/>
        </w:rPr>
        <w:t>.</w:t>
      </w:r>
      <w:r w:rsidR="00D51B08"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{"citationItems":[{"id":"ITEM-1","itemData":{"author":[{"dropping-particle":"","family":"Friedman","given":"J M","non-dropping-particle":"","parse-names":false,"suffix":""}],"container-title":"Nutrition reviews","id":"ITEM-1","issue":"10","issued":{"date-parts":[["2002"]]},"page":"1-14.","title":"The function of leptin in nutrition, weight, and physiology","type":"article-journal","volume":"60"},"uris":["http://www.mendeley.com/documents/?uuid=3788cd8e-429e-4bf3-9dc0-38112dd42ca2"]},{"id":"ITEM-2","itemData":{"author":[{"dropping-particle":"","family":"Woods","given":"SC","non-dropping-particle":"","parse-names":false,"suffix":""},{"dropping-particle":"","family":"Lotter","given":"EC","non-dropping-particle":"","parse-names":false,"suffix":""},{"dropping-particle":"","family":"McKay","given":"LD","non-dropping-particle":"","parse-names":false,"suffix":""},{"dropping-particle":"","family":"Porte","given":"D","non-dropping-particle":"","parse-names":false,"suffix":""}],"container-title":"Nature","id":"ITEM-2","issued":{"date-parts":[["1979"]]},"page":"503-505","title":"Chronic intracerebraoventricular infusion of insulin reduces food intake and body weight in baboons","type":"article-journal","volume":"282"},"uris":["http://www.mendeley.com/documents/?uuid=9e992efe-07ae-43ec-bc30-68041ced31da"]}],"mendeley":{"formattedCitation":"&lt;sup&gt;15,16&lt;/sup&gt;","plainTextFormattedCitation":"15,16","previouslyFormattedCitation":"&lt;sup&gt;15,16&lt;/sup&gt;"},"properties":{"noteIndex":0},"schema":"https://github.com/citation-style-language/schema/raw/master/csl-citation.json"}</w:instrText>
      </w:r>
      <w:r w:rsidR="00D51B08"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15,16</w:t>
      </w:r>
      <w:r w:rsidR="00D51B08" w:rsidRPr="00F650D8">
        <w:rPr>
          <w:rFonts w:ascii="Times New Roman" w:hAnsi="Times New Roman" w:cs="Times New Roman"/>
        </w:rPr>
        <w:fldChar w:fldCharType="end"/>
      </w:r>
      <w:r w:rsidR="00832166" w:rsidRPr="00F650D8">
        <w:rPr>
          <w:rFonts w:ascii="Times New Roman" w:hAnsi="Times New Roman" w:cs="Times New Roman"/>
        </w:rPr>
        <w:t xml:space="preserve"> </w:t>
      </w:r>
      <w:r w:rsidR="00292C44" w:rsidRPr="00F650D8">
        <w:rPr>
          <w:rFonts w:ascii="Times New Roman" w:hAnsi="Times New Roman" w:cs="Times New Roman"/>
        </w:rPr>
        <w:t>R</w:t>
      </w:r>
      <w:r w:rsidR="00832166" w:rsidRPr="00F650D8">
        <w:rPr>
          <w:rFonts w:ascii="Times New Roman" w:hAnsi="Times New Roman" w:cs="Times New Roman"/>
        </w:rPr>
        <w:t>eduction</w:t>
      </w:r>
      <w:r w:rsidR="00292C44" w:rsidRPr="00F650D8">
        <w:rPr>
          <w:rFonts w:ascii="Times New Roman" w:hAnsi="Times New Roman" w:cs="Times New Roman"/>
        </w:rPr>
        <w:t>s</w:t>
      </w:r>
      <w:r w:rsidR="00832166" w:rsidRPr="00F650D8">
        <w:rPr>
          <w:rFonts w:ascii="Times New Roman" w:hAnsi="Times New Roman" w:cs="Times New Roman"/>
        </w:rPr>
        <w:t xml:space="preserve"> in circulating leptin </w:t>
      </w:r>
      <w:r w:rsidR="00292C44" w:rsidRPr="00F650D8">
        <w:rPr>
          <w:rFonts w:ascii="Times New Roman" w:hAnsi="Times New Roman" w:cs="Times New Roman"/>
        </w:rPr>
        <w:t xml:space="preserve">and insulin </w:t>
      </w:r>
      <w:r w:rsidR="005C607B" w:rsidRPr="00F650D8">
        <w:rPr>
          <w:rFonts w:ascii="Times New Roman" w:hAnsi="Times New Roman" w:cs="Times New Roman"/>
          <w:highlight w:val="yellow"/>
        </w:rPr>
        <w:t>are</w:t>
      </w:r>
      <w:r w:rsidR="00E35388" w:rsidRPr="00F650D8">
        <w:rPr>
          <w:rFonts w:ascii="Times New Roman" w:hAnsi="Times New Roman" w:cs="Times New Roman"/>
          <w:highlight w:val="yellow"/>
        </w:rPr>
        <w:t xml:space="preserve"> common responses to weight loss which </w:t>
      </w:r>
      <w:r w:rsidR="00832166" w:rsidRPr="00F650D8">
        <w:rPr>
          <w:rFonts w:ascii="Times New Roman" w:hAnsi="Times New Roman" w:cs="Times New Roman"/>
          <w:highlight w:val="yellow"/>
        </w:rPr>
        <w:t>may encourage compensatory eating</w:t>
      </w:r>
      <w:r w:rsidR="00E83C7E" w:rsidRPr="00F650D8">
        <w:rPr>
          <w:rFonts w:ascii="Times New Roman" w:hAnsi="Times New Roman" w:cs="Times New Roman"/>
          <w:highlight w:val="yellow"/>
        </w:rPr>
        <w:t xml:space="preserve"> </w:t>
      </w:r>
      <w:r w:rsidR="00FA43F6" w:rsidRPr="00F650D8">
        <w:rPr>
          <w:rFonts w:ascii="Times New Roman" w:hAnsi="Times New Roman" w:cs="Times New Roman"/>
          <w:highlight w:val="yellow"/>
        </w:rPr>
        <w:fldChar w:fldCharType="begin" w:fldLock="1"/>
      </w:r>
      <w:r w:rsidR="00AF2D11" w:rsidRPr="00F650D8">
        <w:rPr>
          <w:rFonts w:ascii="Times New Roman" w:hAnsi="Times New Roman" w:cs="Times New Roman"/>
          <w:highlight w:val="yellow"/>
        </w:rPr>
        <w:instrText>ADDIN CSL_CITATION {"citationItems":[{"id":"ITEM-1","itemData":{"DOI":"10.1172/JCI72227","ISSN":"00219738","PMID":"24463454","abstract":"Background. Sodium-glucose cotransporter 2 (SGLT2) inhibitors lower glycemia by enhancing urinary glucose excretion. The physiologic response to pharmacologically induced acute or chronic glycosuria has not been investigated in human diabetes. Methods. We evaluated 66 patients with type 2 diabetes (62 ± 7 years, BMI = 31.6 ± 4.6 kg/m2, HbA1c = 55 ± 8 mmol/mol, mean ± SD) at baseline, after a single dose, and following 4-week treatment with empagliflozin (25 mg). At each time point, patients received a mixed meal coupled with dual-tracer glucose administration and indirect calorimetry. Results. Both single-dose and chronic empagliflozin treatment caused glycosuria during fasting (median, 7.8 [interquartile range {IQR}, 4.4] g/3 hours and 9.2 [IQR, 5.2] g/3 hours) and after meal ingestion (median, 29.0 [IQR, 12.5] g/5 hours and 28.2 [IQR, 15.4] g/5 hours). After 3 hours of fasting, endogenous glucose production (EGP) was increased 25%, while glycemia was 0.9 ± 0.7 mmol/l lower (P &lt; 0.0001 vs. baseline). After meal ingestion, glucose and insulin AUC decreased, whereas the glucagon response increased (all P &lt; 0.001). While oral glucose appearance was unchanged, EGP was increased (median, 40 [IQR, 14] g and 37 [IQR, 11] g vs. 34 [IQR, 11] g, both P &lt; 0.01). Tissue glucose disposal was reduced (median, 75 [IQR, 16] g and 70 [IQR, 21] g vs. 93 [IQR, 18] g, P &lt; 0.0001), due to a decrease in both glucose oxidation and nonoxidative glucose disposal, with a concomitant rise in lipid oxidation after chronic administration (all P &lt; 0.01). β Cell glucose sensitivity increased (median, 55 [IQR, 35] pmol·min-1·m- 2·mM-1 and 55 [IQR, 39] pmol·min-1·m-2·mM-1 vs. 44 [IQR, 32] pmol·min-1·m-2·mM-1, P &lt; 0.0001), and insulin sensitivity was improved. Resting energy expenditure rates and those after meal ingestion were unchanged. Conclusions. In patients with type 2 diabetes, empagliflozin-induced glycosuria improved β cell function and insulin sensitivity, despite the fall in insulin secretion and tissue glucose disposal and the rise in EGP after one dose, thereby lowering fasting and postprandial glycemia. Chronic dosing shifted substrate utilization from carbohydrate to lipid. Trial registration. ClinicalTrials.Gov NCT01248364 (EudraCT no. 2010-018708-99). Funding. This study was funded by Boehringer Ingelheim. © Copyright 2014 American Society for Clinical Investigation.","author":[{"dropping-particle":"","family":"Ferrannini","given":"Ele","non-dropping-particle":"","parse-names":false,"suffix":""},{"dropping-particle":"","family":"Muscelli","given":"Elza","non-dropping-particle":"","parse-names":false,"suffix":""},{"dropping-particle":"","family":"Frascerra","given":"Silvia","non-dropping-particle":"","parse-names":false,"suffix":""},{"dropping-particle":"","family":"Baldi","given":"Simona","non-dropping-particle":"","parse-names":false,"suffix":""},{"dropping-particle":"","family":"Mari","given":"Andrea","non-dropping-particle":"","parse-names":false,"suffix":""},{"dropping-particle":"","family":"Heise","given":"Tim","non-dropping-particle":"","parse-names":false,"suffix":""},{"dropping-particle":"","family":"Broedl","given":"Uli C.","non-dropping-particle":"","parse-names":false,"suffix":""},{"dropping-particle":"","family":"Woerle","given":"Hans Juergen","non-dropping-particle":"","parse-names":false,"suffix":""}],"container-title":"Journal of Clinical Investigation","id":"ITEM-1","issue":"2","issued":{"date-parts":[["2014"]]},"page":"499-508","title":"Metabolic response to sodium-glucose cotransporter 2 inhibition in type 2 diabetic patients","type":"article-journal","volume":"124"},"uris":["http://www.mendeley.com/documents/?uuid=cdef5806-780e-46dc-9de7-3a44260f9ae3"]},{"id":"ITEM-2","itemData":{"DOI":"10.1055/a-0958-2441","ISSN":"14394286","abstract":"Sodium glucose cotransporter 2 (SGLT2) inhibitors are a new kind of hypoglycemic drugs that improve glucose homeostasis by inhibiting renal glucose reabsorption. Recent studies have shown that SGLT2 inhibitors can also mediate body metabolism through regulation of adipokines level, but the effects of SGLT2 inhibitors on the concentration of adipokines (leptin and adiponectin) remains controversial. This meta-analysis was set out to evaluate the changes in circulating leptin and adiponectin levels in patients with type 2 diabetes mellitus (T2DM) receiving SGLT2 inhibitors therapy. Ten randomized controlled trials (RCTs), that evaluated the effects of SGLT2 inhibitors on blood leptin and adiponectin levels in patients with type 2 diabetes, were identified by performing a systematic search of Pubmed, Embase, Cochrane, and Web of science databases through July 2018. Data were calculated using a random-effects model and presented as standardized mean difference (SMD) and 95% conïdence interval (CI). Compared with placebo, treatment with SGLT2 inhibitors contributed to a decreased circulating leptin levels (SMD-0.29, 95% CI-0.56,-0.03) and an increased circulating adiponectin levels (SMD 0.30, 95% CI 0.22, 0.38). SGLT2 inhibitor treatment was associated with decreased circulating leptin levels and increased circulating adiponectin levels, which might contribute to the beneficial effects of SGLT2 inhibitors on metabolic homeostasis.","author":[{"dropping-particle":"","family":"Wu","given":"Peili","non-dropping-particle":"","parse-names":false,"suffix":""},{"dropping-particle":"","family":"Wen","given":"Weiheng","non-dropping-particle":"","parse-names":false,"suffix":""},{"dropping-particle":"","family":"Li","given":"Jitong","non-dropping-particle":"","parse-names":false,"suffix":""},{"dropping-particle":"","family":"Xu","given":"Jie","non-dropping-particle":"","parse-names":false,"suffix":""},{"dropping-particle":"","family":"Zhao","given":"Min","non-dropping-particle":"","parse-names":false,"suffix":""},{"dropping-particle":"","family":"Chen","given":"Hong","non-dropping-particle":"","parse-names":false,"suffix":""},{"dropping-particle":"","family":"Sun","given":"Jia","non-dropping-particle":"","parse-names":false,"suffix":""}],"container-title":"Hormone and Metabolic Research","id":"ITEM-2","issue":"8","issued":{"date-parts":[["2019"]]},"page":"487-494","title":"Systematic review and meta-analysis of randomized controlled trials on the effect of SGLT2 Inhibitor on Blood Leptin and Adiponectin Level in Patients with Type 2 Diabetes","type":"article-journal","volume":"51"},"uris":["http://www.mendeley.com/documents/?uuid=8016c357-7a59-4d0a-88e4-fe4f9618a2c2"]},{"id":"ITEM-3","itemData":{"DOI":"10.2337/dc20-2887","ISSN":"0149-5992","abstract":"OBJECTIVE: SGTL2 inhibitors increase urinary glucose excretion and have beneficial  effects on cardiovascular and renal outcomes. The underlying mechanism may involve caloric restriction-like metabolic effects due to urinary glucose loss. We investigated the effects of dapagliflozin on 24-h energy metabolism and insulin sensitivity in patients with type 2 diabetes. RESEARCH DESIGN AND METHODS: There were 26 patients with type 2 diabetes randomized to a 5-week double-blind, crossover study with a 6- to 8-week washout. Indirect calorimetry was used to measure 24-h energy metabolism and the respiratory exchange ratio (RER), both by whole-room calorimetry and by ventilated hood during a two-step euglycemic-hyperinsulinemic clamp. Results are presented as the differences in least squares mean (95% CI) between treatments. RESULTS: Evaluable patients (n = 24) had a mean (SD) age of 64.2 (4.6) years, BMI of 28.1 (2.4) kg/m(2), and HbA(1c) of 6.9% (0.7) (51.7 [6.8] mmol/mol). Rate of glucose disappearance was unaffected by dapagliflozin, whereas fasting endogenous glucose production (EGP) increased by dapagliflozin (+2.27 [1.39, 3.14] μmol/kg/min, P &lt; 0.0001). Insulin-induced suppression of EGP (-1.71 [-2.75, -0.63] μmol/kg/min, P = 0.0036) and plasma free fatty acids (-21.93% [-39.31, -4.54], P = 0.016) was greater with dapagliflozin. Twenty-four-hour energy expenditure (-0.11 [-0.24, 0.03] MJ/day) remained unaffected by dapagliflozin, but dapagliflozin reduced the RER during daytime and nighttime, resulting in an increased day-to-nighttime difference in the RER (-0.010 [-0.017, -0.002], P = 0.016). Dapagliflozin treatment resulted in a negative 24-h energy and fat balance (-20.51 [-27.90, -13.12] g/day). CONCLUSIONS: Dapagliflozin treatment for 5 weeks resulted in major adjustments of metabolism mimicking caloric restriction, increased fat oxidation, improved hepatic and adipose insulin sensitivity, and improved 24-h energy metabolism.","author":[{"dropping-particle":"","family":"Op den Kamp","given":"Yvo J.M.","non-dropping-particle":"","parse-names":false,"suffix":""},{"dropping-particle":"","family":"Ligt","given":"Marlies","non-dropping-particle":"de","parse-names":false,"suffix":""},{"dropping-particle":"","family":"Dautzenberg","given":"Bas","non-dropping-particle":"","parse-names":false,"suffix":""},{"dropping-particle":"","family":"Kornips","given":"Esther","non-dropping-particle":"","parse-names":false,"suffix":""},{"dropping-particle":"","family":"Esterline","given":"Russell","non-dropping-particle":"","parse-names":false,"suffix":""},{"dropping-particle":"","family":"Hesselink","given":"Matthijs K.C.","non-dropping-particle":"","parse-names":false,"suffix":""},{"dropping-particle":"","family":"Hoeks","given":"Joris","non-dropping-particle":"","parse-names":false,"suffix":""},{"dropping-particle":"","family":"Schrauwen-Hinderling","given":"Vera B.","non-dropping-particle":"","parse-names":false,"suffix":""},{"dropping-particle":"","family":"Havekes","given":"Bas","non-dropping-particle":"","parse-names":false,"suffix":""},{"dropping-particle":"","family":"Oscarsson","given":"Jan","non-dropping-particle":"","parse-names":false,"suffix":""},{"dropping-particle":"","family":"Phielix","given":"Esther","non-dropping-particle":"","parse-names":false,"suffix":""},{"dropping-particle":"","family":"Schrauwen","given":"Patrick","non-dropping-particle":"","parse-names":false,"suffix":""}],"container-title":"Diabetes Care","id":"ITEM-3","issue":"6","issued":{"date-parts":[["2021"]]},"page":"1334-1343","title":"Effects of the SGLT2 Inhibitor Dapagliflozin on Energy Metabolism in Patients With Type 2 Diabetes: A Randomized, Double-Blind Crossover Trial","type":"article-journal","volume":"44"},"uris":["http://www.mendeley.com/documents/?uuid=36935c99-56e7-46df-9995-dd8f360a80d2"]}],"mendeley":{"formattedCitation":"&lt;sup&gt;3,17,18&lt;/sup&gt;","plainTextFormattedCitation":"3,17,18","previouslyFormattedCitation":"&lt;sup&gt;3,17,18&lt;/sup&gt;"},"properties":{"noteIndex":0},"schema":"https://github.com/citation-style-language/schema/raw/master/csl-citation.json"}</w:instrText>
      </w:r>
      <w:r w:rsidR="00FA43F6" w:rsidRPr="00F650D8">
        <w:rPr>
          <w:rFonts w:ascii="Times New Roman" w:hAnsi="Times New Roman" w:cs="Times New Roman"/>
          <w:highlight w:val="yellow"/>
        </w:rPr>
        <w:fldChar w:fldCharType="separate"/>
      </w:r>
      <w:r w:rsidR="00A60C08" w:rsidRPr="00F650D8">
        <w:rPr>
          <w:rFonts w:ascii="Times New Roman" w:hAnsi="Times New Roman" w:cs="Times New Roman"/>
          <w:noProof/>
          <w:highlight w:val="yellow"/>
          <w:vertAlign w:val="superscript"/>
        </w:rPr>
        <w:t>3,17,18</w:t>
      </w:r>
      <w:r w:rsidR="00FA43F6" w:rsidRPr="00F650D8">
        <w:rPr>
          <w:rFonts w:ascii="Times New Roman" w:hAnsi="Times New Roman" w:cs="Times New Roman"/>
          <w:highlight w:val="yellow"/>
        </w:rPr>
        <w:fldChar w:fldCharType="end"/>
      </w:r>
      <w:r w:rsidR="00E83C7E" w:rsidRPr="00F650D8">
        <w:rPr>
          <w:rFonts w:ascii="Times New Roman" w:hAnsi="Times New Roman" w:cs="Times New Roman"/>
          <w:highlight w:val="yellow"/>
        </w:rPr>
        <w:t xml:space="preserve">, </w:t>
      </w:r>
      <w:r w:rsidR="006058AA" w:rsidRPr="00F650D8">
        <w:rPr>
          <w:rFonts w:ascii="Times New Roman" w:hAnsi="Times New Roman" w:cs="Times New Roman"/>
          <w:highlight w:val="yellow"/>
        </w:rPr>
        <w:t xml:space="preserve">although </w:t>
      </w:r>
      <w:r w:rsidR="005C4F5A" w:rsidRPr="00F650D8">
        <w:rPr>
          <w:rFonts w:ascii="Times New Roman" w:hAnsi="Times New Roman" w:cs="Times New Roman"/>
          <w:highlight w:val="yellow"/>
        </w:rPr>
        <w:t>this has recently been debated</w:t>
      </w:r>
      <w:r w:rsidR="00F516F7" w:rsidRPr="00F650D8">
        <w:rPr>
          <w:rFonts w:ascii="Times New Roman" w:hAnsi="Times New Roman" w:cs="Times New Roman"/>
          <w:highlight w:val="yellow"/>
        </w:rPr>
        <w:fldChar w:fldCharType="begin" w:fldLock="1"/>
      </w:r>
      <w:r w:rsidR="008F2260" w:rsidRPr="00F650D8">
        <w:rPr>
          <w:rFonts w:ascii="Times New Roman" w:hAnsi="Times New Roman" w:cs="Times New Roman"/>
          <w:highlight w:val="yellow"/>
        </w:rPr>
        <w:instrText>ADDIN CSL_CITATION {"citationItems":[{"id":"ITEM-1","itemData":{"DOI":"10.1093/ajcn/nqaa243","ISSN":"19383207","PMID":"32936896","abstract":"Weight regain remains the main challenge in obesity management, and its etiology remains elusive. The aim of the present review was to revise the available evidence regarding the \"Compensatory Theory,\"which is an explanatory model of relapse in obesity treatment, and to propose alternative mechanisms that can contribute to weight regain. It has been proposed, and generally accepted as true, that when a person loses weight the body fights back, with physiological adaptations on both sides of the energy balance equation that try to bring body weight back to its original state: this is the Compensatory Theory. This theory proposes that the increased orexigenic drive to eat and the reduced energy expenditure that follow weight loss are the main drivers of relapse. However, evidence showing a link between these physiological adaptations to weight loss and weight regain is lacking. Here, we propose that the physiological adaptations to weight loss, both at the level of the homeostatic appetite control system and energy expenditure, are in fact a normalization to a lower body weight and not drivers of weight regain. In light of this we explore other potential mechanisms, both physiological and behavioral, that can contribute to the high incidence of relapse in obesity management. More research is needed to clearly ascertain whether the changes in energy expenditure and homeostatic appetite markers seen in reduced-obese individuals are a compensatory mechanism that drives relapse or a normalization towards a lower body weight, and to explore alternative hypotheses that explain relapse in obesity management.","author":[{"dropping-particle":"","family":"Martins","given":"Catia","non-dropping-particle":"","parse-names":false,"suffix":""},{"dropping-particle":"","family":"Dutton","given":"Gareth R.","non-dropping-particle":"","parse-names":false,"suffix":""},{"dropping-particle":"","family":"Hunter","given":"Gary R.","non-dropping-particle":"","parse-names":false,"suffix":""},{"dropping-particle":"","family":"Gower","given":"Barbara A.","non-dropping-particle":"","parse-names":false,"suffix":""}],"container-title":"American Journal of Clinical Nutrition","id":"ITEM-1","issue":"5","issued":{"date-parts":[["2020"]]},"page":"1170-1179","title":"Revisiting the Compensatory Theory as an explanatory model for relapse in obesity management","type":"article-journal","volume":"112"},"uris":["http://www.mendeley.com/documents/?uuid=74493d67-76c5-46a1-a70e-5c93430bbcee"]}],"mendeley":{"formattedCitation":"&lt;sup&gt;19&lt;/sup&gt;","plainTextFormattedCitation":"19","previouslyFormattedCitation":"&lt;sup&gt;19&lt;/sup&gt;"},"properties":{"noteIndex":0},"schema":"https://github.com/citation-style-language/schema/raw/master/csl-citation.json"}</w:instrText>
      </w:r>
      <w:r w:rsidR="00F516F7" w:rsidRPr="00F650D8">
        <w:rPr>
          <w:rFonts w:ascii="Times New Roman" w:hAnsi="Times New Roman" w:cs="Times New Roman"/>
          <w:highlight w:val="yellow"/>
        </w:rPr>
        <w:fldChar w:fldCharType="separate"/>
      </w:r>
      <w:r w:rsidR="00F516F7" w:rsidRPr="00F650D8">
        <w:rPr>
          <w:rFonts w:ascii="Times New Roman" w:hAnsi="Times New Roman" w:cs="Times New Roman"/>
          <w:noProof/>
          <w:highlight w:val="yellow"/>
          <w:vertAlign w:val="superscript"/>
        </w:rPr>
        <w:t>19</w:t>
      </w:r>
      <w:r w:rsidR="00F516F7" w:rsidRPr="00F650D8">
        <w:rPr>
          <w:rFonts w:ascii="Times New Roman" w:hAnsi="Times New Roman" w:cs="Times New Roman"/>
          <w:highlight w:val="yellow"/>
        </w:rPr>
        <w:fldChar w:fldCharType="end"/>
      </w:r>
      <w:r w:rsidR="005C4F5A" w:rsidRPr="00F650D8">
        <w:rPr>
          <w:rFonts w:ascii="Times New Roman" w:hAnsi="Times New Roman" w:cs="Times New Roman"/>
        </w:rPr>
        <w:t xml:space="preserve">. </w:t>
      </w:r>
      <w:r w:rsidR="00542B0E" w:rsidRPr="00F650D8">
        <w:rPr>
          <w:rFonts w:ascii="Times New Roman" w:hAnsi="Times New Roman" w:cs="Times New Roman"/>
        </w:rPr>
        <w:t xml:space="preserve">Data on </w:t>
      </w:r>
      <w:r w:rsidR="00832166" w:rsidRPr="00F650D8">
        <w:rPr>
          <w:rFonts w:ascii="Times New Roman" w:hAnsi="Times New Roman" w:cs="Times New Roman"/>
        </w:rPr>
        <w:t>the effects of SGLT2</w:t>
      </w:r>
      <w:r w:rsidR="00AE1950" w:rsidRPr="00F650D8">
        <w:rPr>
          <w:rFonts w:ascii="Times New Roman" w:hAnsi="Times New Roman" w:cs="Times New Roman"/>
        </w:rPr>
        <w:t>i</w:t>
      </w:r>
      <w:r w:rsidR="00832166" w:rsidRPr="00F650D8">
        <w:rPr>
          <w:rFonts w:ascii="Times New Roman" w:hAnsi="Times New Roman" w:cs="Times New Roman"/>
        </w:rPr>
        <w:t xml:space="preserve"> therapies on appetite and appetite-regulatory </w:t>
      </w:r>
      <w:r w:rsidR="00A14161" w:rsidRPr="00F650D8">
        <w:rPr>
          <w:rFonts w:ascii="Times New Roman" w:hAnsi="Times New Roman" w:cs="Times New Roman"/>
        </w:rPr>
        <w:t>peptides</w:t>
      </w:r>
      <w:r w:rsidR="00832166" w:rsidRPr="00F650D8">
        <w:rPr>
          <w:rFonts w:ascii="Times New Roman" w:hAnsi="Times New Roman" w:cs="Times New Roman"/>
        </w:rPr>
        <w:t xml:space="preserve"> in humans are sparse</w:t>
      </w:r>
      <w:r w:rsidR="00542B0E" w:rsidRPr="00F650D8">
        <w:rPr>
          <w:rFonts w:ascii="Times New Roman" w:hAnsi="Times New Roman" w:cs="Times New Roman"/>
        </w:rPr>
        <w:t>,</w:t>
      </w:r>
      <w:r w:rsidR="00832166" w:rsidRPr="00F650D8">
        <w:rPr>
          <w:rFonts w:ascii="Times New Roman" w:hAnsi="Times New Roman" w:cs="Times New Roman"/>
        </w:rPr>
        <w:t xml:space="preserve"> and </w:t>
      </w:r>
      <w:r w:rsidR="00FE2FCE" w:rsidRPr="00F650D8">
        <w:rPr>
          <w:rFonts w:ascii="Times New Roman" w:hAnsi="Times New Roman" w:cs="Times New Roman"/>
        </w:rPr>
        <w:t xml:space="preserve">limited to </w:t>
      </w:r>
      <w:r w:rsidR="00832166" w:rsidRPr="00F650D8">
        <w:rPr>
          <w:rFonts w:ascii="Times New Roman" w:hAnsi="Times New Roman" w:cs="Times New Roman"/>
        </w:rPr>
        <w:t xml:space="preserve">small and/or uncontrolled </w:t>
      </w:r>
      <w:r w:rsidR="00542B0E" w:rsidRPr="00F650D8">
        <w:rPr>
          <w:rFonts w:ascii="Times New Roman" w:hAnsi="Times New Roman" w:cs="Times New Roman"/>
        </w:rPr>
        <w:t>studies</w:t>
      </w:r>
      <w:r w:rsidR="00A438C8" w:rsidRPr="00F650D8">
        <w:rPr>
          <w:rFonts w:ascii="Times New Roman" w:hAnsi="Times New Roman" w:cs="Times New Roman"/>
        </w:rPr>
        <w:t>.</w:t>
      </w:r>
      <w:r w:rsidR="00165799" w:rsidRPr="00F650D8">
        <w:rPr>
          <w:rFonts w:ascii="Times New Roman" w:hAnsi="Times New Roman" w:cs="Times New Roman"/>
        </w:rPr>
        <w:fldChar w:fldCharType="begin" w:fldLock="1"/>
      </w:r>
      <w:r w:rsidR="008F2260" w:rsidRPr="00F650D8">
        <w:rPr>
          <w:rFonts w:ascii="Times New Roman" w:hAnsi="Times New Roman" w:cs="Times New Roman"/>
        </w:rPr>
        <w:instrText>ADDIN CSL_CITATION {"citationItems":[{"id":"ITEM-1","itemData":{"DOI":"10.1002/cpdd.461","ISSN":"21607648","PMID":"29723443","abstract":"The primary aims of this study were to assess the effects of dapagliflozin versus placebo on energy intake and appetite ratings in healthy individuals. This was a randomized, single-blind, placebo-controlled, 2-period crossover study. In each period, healthy individuals received either dapagliflozin or placebo for 2 weeks. On assessment days, participants were asked to consume a standard preload breakfast. Appetite ratings were measured with 100-mm visual analog scales immediately before and during the 4.25-hour period after breakfast. Energy intake was measured at an ad libitum lunch. Energy intake and appetite responses were assessed at the end of each 2-week treatment period by mixed-design analysis of variance. Eighteen individuals completed all assessments (44% female; mean age, 22.8 years; 44% Caucasian; mean BMI, 25.2 kg/m 2 ). There was no difference in energy intake on dapagliflozin compared to placebo (mean difference, −19.8 kcal; P =.516). Mean differences in prebreakfast desire for salty foods (11.3 mm, P =.094) and postbreakfast desire for sweet foods (8.1 mm, P =.054) trended higher with dapagliflozin relative to placebo. Our data do not support an effect of dapagliflozin on energy intake or appetite measures in young, healthy subjects. Although not statistically significant, the size of the mean differences in prebreakfast desire for salty foods and postbreakfast desire for sweet foods on dapagliflozin were larger than placebo and reflect the drug's natriuretic and glucuretic effects. These findings should be further evaluated in patients with type 2 diabetes.","author":[{"dropping-particle":"","family":"Bertran","given":"Elizabeth","non-dropping-particle":"","parse-names":false,"suffix":""},{"dropping-particle":"","family":"Berlie","given":"Helen D.","non-dropping-particle":"","parse-names":false,"suffix":""},{"dropping-particle":"","family":"Nixon","given":"Aaron","non-dropping-particle":"","parse-names":false,"suffix":""},{"dropping-particle":"","family":"Jaber","given":"Linda","non-dropping-particle":"","parse-names":false,"suffix":""}],"container-title":"Clinical Pharmacology in Drug Development","id":"ITEM-1","issue":"1","issued":{"date-parts":[["2019"]]},"page":"119-125","title":"Does Dapagliflozin Affect Energy Intake and Appetite? A Randomized, Controlled Exploratory Study in Healthy Subjects","type":"article-journal","volume":"8"},"uris":["http://www.mendeley.com/documents/?uuid=9795cb14-d7d3-4e72-a710-9ab43f4510af"]},{"id":"ITEM-2","itemData":{"DOI":"10.1007/s13300-018-0366-8","ISSN":"18696961","abstract":"Introduction: Ipragliflozin is a novel antidiabetic drug that inhibits renal tubular sodium-glucose cotransporter-2 (SGLT2). The aim of this study was to evaluate the effects of ipragliflozin on glucose, insulin, glucagon, and gastrointestinal peptide responses to a meal tolerance test, as well as to investigate the glucose-lowering mechanisms of ipragliflozin. Methods: Nine Japanese patients with obesity and type 2 diabetes mellitus were treated with ipragliflozin (50 mg/day) for 12 weeks. The postprandial profiles of glucose, insulin, glucagon, active glucagon-like peptide-1 (GLP-1), active glucose-dependent insulinotropic polypeptide (GIP), ghrelin, and des-acyl ghrelin were measured before and 12 weeks after ipragliflozin treatment. Results: Body weight, body fat mass, systolic blood pressure, and HbA1c and serum uric acid levels were significantly decreased after the treatment. Postprandial glucose and insulin levels were also significantly decreased. Postprandial glucagon increased both before and after ipragliflozin treatment; however, the increment tended to be smaller after treatment. Active GLP-1, active GIP, ghrelin, and des-acyl ghrelin did not change after treatment. Conclusion: Ipragliflozin improved glycemic control by reducing body weight, postprandial inappropriate glucagon secretion, and the postprandial insulin requirement. Although this was a short-term study with a small sample size, ipragliflozin may offer benefits for patients with obesity and type 2 diabetes mellitus. Trial Registration: University Hospital Medical Information Network (UMIN No. 000017195).","author":[{"dropping-particle":"","family":"Ueno","given":"Hiroaki","non-dropping-particle":"","parse-names":false,"suffix":""},{"dropping-particle":"","family":"Nakazato","given":"Hiroko","non-dropping-particle":"","parse-names":false,"suffix":""},{"dropping-particle":"","family":"Ebihara","given":"Emi","non-dropping-particle":"","parse-names":false,"suffix":""},{"dropping-particle":"","family":"Noma","given":"Kenji","non-dropping-particle":"","parse-names":false,"suffix":""},{"dropping-particle":"","family":"Kawano","given":"Takahisa","non-dropping-particle":"","parse-names":false,"suffix":""},{"dropping-particle":"","family":"Nagamine","given":"Kazuhiro","non-dropping-particle":"","parse-names":false,"suffix":""},{"dropping-particle":"","family":"Sakoda","given":"Hideyuki","non-dropping-particle":"","parse-names":false,"suffix":""},{"dropping-particle":"","family":"Nakazato","given":"Masamitsu","non-dropping-particle":"","parse-names":false,"suffix":""}],"container-title":"Diabetes Therapy","id":"ITEM-2","issue":"1","issued":{"date-parts":[["2018"]]},"page":"403-411","publisher":"Springer Healthcare","title":"Effects of Ipragliflozin on Postprandial Glucose Metabolism and Gut Peptides in Type 2 Diabetes: A Pilot Study","type":"article-journal","volume":"9"},"uris":["http://www.mendeley.com/documents/?uuid=42bec31a-a622-4fe2-9add-f6259c9b1912"]},{"id":"ITEM-3","itemData":{"DOI":"10.1111/jdi.13015","ISSN":"20401124","PMID":"30688412","abstract":"Aims/Introduction: Sodium–glucose cotransporter 2 (SGLT-2) inhibitors improve blood glucose control, as well as reducing bodyweight by promoting urinary glucose excretion. The weight loss is less than expected from urinary glucose loss, however, likely because of an increase in food intake. To investigate whether SGLT-2 inhibitors might increase appetite by affecting related hormones, we examined the effects of the SGLT-2 inhibitor, ipragliflozin, including those on appetite-regulating hormones, in individuals with suboptimally controlled type 2 diabetes. Materials and Methods: The present prospective, multicenter, open-label study was carried out with 96 patients with a body mass index of ≥22 kg/m2 who were treated with ipragliflozin (50 mg/day) for 16 weeks. Parameters including glycated hemoglobin level, bodyweight, circulating leptin and active ghrelin concentrations, and appetite as assessed with a visual analog scale were measured before and during treatment. Results: Both glycated hemoglobin level (from 7.9 ± 0.8 to 7.1 ± 0.7%) and bodyweight (from 75.2 ± 12.6 to 72.6 ± 12.4 kg) were significantly decreased after treatment for 16 weeks. The fasting serum leptin level was significantly decreased after 2 weeks (from 19.5 ± 13.1 to 18.1 ± 12.4 ng/mL) and remained decreased up to 16 weeks, even after adjustment for bodyweight, whereas the plasma active ghrelin level showed no significant change. The visual analog scale score for hunger was significantly increased at 2 and 8 weeks. Conclusions: The present results suggest that ipragliflozin improved glycemic control and reduced bodyweight, but also reduced serum leptin levels and might thereby have increased appetite.","author":[{"dropping-particle":"","family":"Miura","given":"Hiroshi","non-dropping-particle":"","parse-names":false,"suffix":""},{"dropping-particle":"","family":"Sakaguchi","given":"Kazuhiko","non-dropping-particle":"","parse-names":false,"suffix":""},{"dropping-particle":"","family":"Okada","given":"Yuko","non-dropping-particle":"","parse-names":false,"suffix":""},{"dropping-particle":"","family":"Yamada","given":"Tomoko","non-dropping-particle":"","parse-names":false,"suffix":""},{"dropping-particle":"","family":"Otowa-Suematsu","given":"Natsu","non-dropping-particle":"","parse-names":false,"suffix":""},{"dropping-particle":"","family":"So","given":"Anna","non-dropping-particle":"","parse-names":false,"suffix":""},{"dropping-particle":"","family":"Komada","given":"Hisako","non-dropping-particle":"","parse-names":false,"suffix":""},{"dropping-particle":"","family":"Hirota","given":"Yushi","non-dropping-particle":"","parse-names":false,"suffix":""},{"dropping-particle":"","family":"Ohara","given":"Takeshi","non-dropping-particle":"","parse-names":false,"suffix":""},{"dropping-particle":"","family":"Kuroki","given":"Yasuo","non-dropping-particle":"","parse-names":false,"suffix":""},{"dropping-particle":"","family":"Hara","given":"Kenta","non-dropping-particle":"","parse-names":false,"suffix":""},{"dropping-particle":"","family":"Matsuda","given":"Tomokazu","non-dropping-particle":"","parse-names":false,"suffix":""},{"dropping-particle":"","family":"Kishi","given":"Minoru","non-dropping-particle":"","parse-names":false,"suffix":""},{"dropping-particle":"","family":"Takeda","given":"Akihiko","non-dropping-particle":"","parse-names":false,"suffix":""},{"dropping-particle":"","family":"Yokota","given":"Kazuki","non-dropping-particle":"","parse-names":false,"suffix":""},{"dropping-particle":"","family":"Tamori","given":"Yoshikazu","non-dropping-particle":"","parse-names":false,"suffix":""},{"dropping-particle":"","family":"Ogawa","given":"Wataru","non-dropping-particle":"","parse-names":false,"suffix":""}],"container-title":"Journal of Diabetes Investigation","id":"ITEM-3","issue":"5","issued":{"date-parts":[["2019"]]},"page":"1254-1261","title":"Effects of ipragliflozin on glycemic control, appetite and its related hormones: A prospective, multicenter, open-label study (SOAR-KOBE Study)","type":"article-journal","volume":"10"},"uris":["http://www.mendeley.com/documents/?uuid=56ce3627-9c04-4bb4-b119-d204ce6d5199"]}],"mendeley":{"formattedCitation":"&lt;sup&gt;20–22&lt;/sup&gt;","plainTextFormattedCitation":"20–22","previouslyFormattedCitation":"&lt;sup&gt;20–22&lt;/sup&gt;"},"properties":{"noteIndex":0},"schema":"https://github.com/citation-style-language/schema/raw/master/csl-citation.json"}</w:instrText>
      </w:r>
      <w:r w:rsidR="00165799" w:rsidRPr="00F650D8">
        <w:rPr>
          <w:rFonts w:ascii="Times New Roman" w:hAnsi="Times New Roman" w:cs="Times New Roman"/>
        </w:rPr>
        <w:fldChar w:fldCharType="separate"/>
      </w:r>
      <w:r w:rsidR="00F516F7" w:rsidRPr="00F650D8">
        <w:rPr>
          <w:rFonts w:ascii="Times New Roman" w:hAnsi="Times New Roman" w:cs="Times New Roman"/>
          <w:noProof/>
          <w:vertAlign w:val="superscript"/>
        </w:rPr>
        <w:t>20–22</w:t>
      </w:r>
      <w:r w:rsidR="00165799" w:rsidRPr="00F650D8">
        <w:rPr>
          <w:rFonts w:ascii="Times New Roman" w:hAnsi="Times New Roman" w:cs="Times New Roman"/>
        </w:rPr>
        <w:fldChar w:fldCharType="end"/>
      </w:r>
      <w:r w:rsidR="00832166" w:rsidRPr="00F650D8">
        <w:rPr>
          <w:rFonts w:ascii="Times New Roman" w:hAnsi="Times New Roman" w:cs="Times New Roman"/>
        </w:rPr>
        <w:t xml:space="preserve"> </w:t>
      </w:r>
      <w:r w:rsidR="009510B7" w:rsidRPr="00F650D8">
        <w:rPr>
          <w:rFonts w:ascii="Times New Roman" w:hAnsi="Times New Roman" w:cs="Times New Roman"/>
        </w:rPr>
        <w:t xml:space="preserve">Robust </w:t>
      </w:r>
      <w:r w:rsidR="00542B0E" w:rsidRPr="00F650D8">
        <w:rPr>
          <w:rFonts w:ascii="Times New Roman" w:hAnsi="Times New Roman" w:cs="Times New Roman"/>
        </w:rPr>
        <w:t>evidence</w:t>
      </w:r>
      <w:r w:rsidR="00832166" w:rsidRPr="00F650D8">
        <w:rPr>
          <w:rFonts w:ascii="Times New Roman" w:hAnsi="Times New Roman" w:cs="Times New Roman"/>
        </w:rPr>
        <w:t xml:space="preserve"> from purposive randomi</w:t>
      </w:r>
      <w:r w:rsidR="001F16AF" w:rsidRPr="00F650D8">
        <w:rPr>
          <w:rFonts w:ascii="Times New Roman" w:hAnsi="Times New Roman" w:cs="Times New Roman"/>
        </w:rPr>
        <w:t>s</w:t>
      </w:r>
      <w:r w:rsidR="00832166" w:rsidRPr="00F650D8">
        <w:rPr>
          <w:rFonts w:ascii="Times New Roman" w:hAnsi="Times New Roman" w:cs="Times New Roman"/>
        </w:rPr>
        <w:t xml:space="preserve">ed controlled trials </w:t>
      </w:r>
      <w:r w:rsidR="007E123E" w:rsidRPr="00F650D8">
        <w:rPr>
          <w:rFonts w:ascii="Times New Roman" w:hAnsi="Times New Roman" w:cs="Times New Roman"/>
        </w:rPr>
        <w:t xml:space="preserve">is </w:t>
      </w:r>
      <w:r w:rsidR="00402669" w:rsidRPr="00F650D8">
        <w:rPr>
          <w:rFonts w:ascii="Times New Roman" w:hAnsi="Times New Roman" w:cs="Times New Roman"/>
        </w:rPr>
        <w:t>needed</w:t>
      </w:r>
      <w:r w:rsidR="00832166" w:rsidRPr="00F650D8">
        <w:rPr>
          <w:rFonts w:ascii="Times New Roman" w:hAnsi="Times New Roman" w:cs="Times New Roman"/>
        </w:rPr>
        <w:t xml:space="preserve"> to </w:t>
      </w:r>
      <w:r w:rsidR="0074196B" w:rsidRPr="00F650D8">
        <w:rPr>
          <w:rFonts w:ascii="Times New Roman" w:hAnsi="Times New Roman" w:cs="Times New Roman"/>
        </w:rPr>
        <w:t>better understand</w:t>
      </w:r>
      <w:r w:rsidR="00AE1950" w:rsidRPr="00F650D8">
        <w:rPr>
          <w:rFonts w:ascii="Times New Roman" w:hAnsi="Times New Roman" w:cs="Times New Roman"/>
        </w:rPr>
        <w:t xml:space="preserve"> the effects of SGLT2i </w:t>
      </w:r>
      <w:r w:rsidR="00832166" w:rsidRPr="00F650D8">
        <w:rPr>
          <w:rFonts w:ascii="Times New Roman" w:hAnsi="Times New Roman" w:cs="Times New Roman"/>
        </w:rPr>
        <w:t xml:space="preserve">therapies on appetite and energy balance in individuals with </w:t>
      </w:r>
      <w:r w:rsidR="007D6367" w:rsidRPr="00F650D8">
        <w:rPr>
          <w:rFonts w:ascii="Times New Roman" w:hAnsi="Times New Roman" w:cs="Times New Roman"/>
        </w:rPr>
        <w:t>T2D</w:t>
      </w:r>
      <w:r w:rsidR="00832166" w:rsidRPr="00F650D8">
        <w:rPr>
          <w:rFonts w:ascii="Times New Roman" w:hAnsi="Times New Roman" w:cs="Times New Roman"/>
        </w:rPr>
        <w:t xml:space="preserve">. </w:t>
      </w:r>
    </w:p>
    <w:p w14:paraId="62A4999E" w14:textId="77777777" w:rsidR="00832166" w:rsidRPr="00F650D8" w:rsidRDefault="00832166" w:rsidP="00832166">
      <w:pPr>
        <w:spacing w:line="480" w:lineRule="auto"/>
        <w:jc w:val="both"/>
        <w:rPr>
          <w:rFonts w:ascii="Times New Roman" w:hAnsi="Times New Roman" w:cs="Times New Roman"/>
        </w:rPr>
      </w:pPr>
    </w:p>
    <w:p w14:paraId="07D6CED9" w14:textId="5C44F72C" w:rsidR="00832166" w:rsidRPr="00F650D8" w:rsidRDefault="00832166" w:rsidP="00013C9D">
      <w:pPr>
        <w:spacing w:line="480" w:lineRule="auto"/>
        <w:jc w:val="both"/>
        <w:rPr>
          <w:rFonts w:ascii="Times New Roman" w:hAnsi="Times New Roman" w:cs="Times New Roman"/>
          <w:b/>
          <w:bCs/>
        </w:rPr>
      </w:pPr>
      <w:r w:rsidRPr="00F650D8">
        <w:rPr>
          <w:rFonts w:ascii="Times New Roman" w:hAnsi="Times New Roman" w:cs="Times New Roman"/>
        </w:rPr>
        <w:t>The primary aim of this study was to investigate the effects of 24</w:t>
      </w:r>
      <w:r w:rsidR="009B1F89" w:rsidRPr="00F650D8">
        <w:rPr>
          <w:rFonts w:ascii="Times New Roman" w:hAnsi="Times New Roman" w:cs="Times New Roman"/>
        </w:rPr>
        <w:t xml:space="preserve"> </w:t>
      </w:r>
      <w:r w:rsidRPr="00F650D8">
        <w:rPr>
          <w:rFonts w:ascii="Times New Roman" w:hAnsi="Times New Roman" w:cs="Times New Roman"/>
        </w:rPr>
        <w:t>weeks of e</w:t>
      </w:r>
      <w:r w:rsidR="00AE1950" w:rsidRPr="00F650D8">
        <w:rPr>
          <w:rFonts w:ascii="Times New Roman" w:hAnsi="Times New Roman" w:cs="Times New Roman"/>
        </w:rPr>
        <w:t>mpagliflozin therapy, an energy-</w:t>
      </w:r>
      <w:r w:rsidRPr="00F650D8">
        <w:rPr>
          <w:rFonts w:ascii="Times New Roman" w:hAnsi="Times New Roman" w:cs="Times New Roman"/>
        </w:rPr>
        <w:t>restrict</w:t>
      </w:r>
      <w:r w:rsidR="00A14161" w:rsidRPr="00F650D8">
        <w:rPr>
          <w:rFonts w:ascii="Times New Roman" w:hAnsi="Times New Roman" w:cs="Times New Roman"/>
        </w:rPr>
        <w:t>ed</w:t>
      </w:r>
      <w:r w:rsidRPr="00F650D8">
        <w:rPr>
          <w:rFonts w:ascii="Times New Roman" w:hAnsi="Times New Roman" w:cs="Times New Roman"/>
        </w:rPr>
        <w:t xml:space="preserve"> diet, or both combined, on appetite-</w:t>
      </w:r>
      <w:r w:rsidR="0028266C" w:rsidRPr="00F650D8">
        <w:rPr>
          <w:rFonts w:ascii="Times New Roman" w:hAnsi="Times New Roman" w:cs="Times New Roman"/>
        </w:rPr>
        <w:t>regulatory</w:t>
      </w:r>
      <w:r w:rsidRPr="00F650D8">
        <w:rPr>
          <w:rFonts w:ascii="Times New Roman" w:hAnsi="Times New Roman" w:cs="Times New Roman"/>
        </w:rPr>
        <w:t xml:space="preserve"> </w:t>
      </w:r>
      <w:r w:rsidR="003D2F60" w:rsidRPr="00F650D8">
        <w:rPr>
          <w:rFonts w:ascii="Times New Roman" w:hAnsi="Times New Roman" w:cs="Times New Roman"/>
        </w:rPr>
        <w:t xml:space="preserve">gut </w:t>
      </w:r>
      <w:r w:rsidR="00A14161" w:rsidRPr="00F650D8">
        <w:rPr>
          <w:rFonts w:ascii="Times New Roman" w:hAnsi="Times New Roman" w:cs="Times New Roman"/>
        </w:rPr>
        <w:t>peptides</w:t>
      </w:r>
      <w:r w:rsidRPr="00F650D8">
        <w:rPr>
          <w:rFonts w:ascii="Times New Roman" w:hAnsi="Times New Roman" w:cs="Times New Roman"/>
        </w:rPr>
        <w:t xml:space="preserve"> in </w:t>
      </w:r>
      <w:r w:rsidR="00CA3CA8" w:rsidRPr="00F650D8">
        <w:rPr>
          <w:rFonts w:ascii="Times New Roman" w:hAnsi="Times New Roman" w:cs="Times New Roman"/>
        </w:rPr>
        <w:t>adults</w:t>
      </w:r>
      <w:r w:rsidRPr="00F650D8">
        <w:rPr>
          <w:rFonts w:ascii="Times New Roman" w:hAnsi="Times New Roman" w:cs="Times New Roman"/>
        </w:rPr>
        <w:t xml:space="preserve"> with </w:t>
      </w:r>
      <w:r w:rsidR="007D6367" w:rsidRPr="00F650D8">
        <w:rPr>
          <w:rFonts w:ascii="Times New Roman" w:hAnsi="Times New Roman" w:cs="Times New Roman"/>
        </w:rPr>
        <w:t>T2D</w:t>
      </w:r>
      <w:r w:rsidR="00CA3CA8" w:rsidRPr="00F650D8">
        <w:rPr>
          <w:rFonts w:ascii="Times New Roman" w:hAnsi="Times New Roman" w:cs="Times New Roman"/>
        </w:rPr>
        <w:t xml:space="preserve"> and </w:t>
      </w:r>
      <w:r w:rsidRPr="00F650D8">
        <w:rPr>
          <w:rFonts w:ascii="Times New Roman" w:hAnsi="Times New Roman" w:cs="Times New Roman"/>
        </w:rPr>
        <w:t>overweight or obesity</w:t>
      </w:r>
      <w:r w:rsidR="00CA3CA8" w:rsidRPr="00F650D8">
        <w:rPr>
          <w:rFonts w:ascii="Times New Roman" w:hAnsi="Times New Roman" w:cs="Times New Roman"/>
        </w:rPr>
        <w:t>,</w:t>
      </w:r>
      <w:r w:rsidRPr="00F650D8">
        <w:rPr>
          <w:rFonts w:ascii="Times New Roman" w:hAnsi="Times New Roman" w:cs="Times New Roman"/>
        </w:rPr>
        <w:t xml:space="preserve"> </w:t>
      </w:r>
      <w:r w:rsidR="00CA3CA8" w:rsidRPr="00F650D8">
        <w:rPr>
          <w:rFonts w:ascii="Times New Roman" w:hAnsi="Times New Roman" w:cs="Times New Roman"/>
        </w:rPr>
        <w:t>compared</w:t>
      </w:r>
      <w:r w:rsidR="0087507B" w:rsidRPr="00F650D8">
        <w:rPr>
          <w:rFonts w:ascii="Times New Roman" w:hAnsi="Times New Roman" w:cs="Times New Roman"/>
        </w:rPr>
        <w:t xml:space="preserve"> to placebo</w:t>
      </w:r>
      <w:r w:rsidRPr="00F650D8">
        <w:rPr>
          <w:rFonts w:ascii="Times New Roman" w:hAnsi="Times New Roman" w:cs="Times New Roman"/>
        </w:rPr>
        <w:t xml:space="preserve">. Effects on subjective appetite perceptions, </w:t>
      </w:r>
      <w:r w:rsidR="001858FF" w:rsidRPr="00F650D8">
        <w:rPr>
          <w:rFonts w:ascii="Times New Roman" w:hAnsi="Times New Roman" w:cs="Times New Roman"/>
        </w:rPr>
        <w:t>insulin</w:t>
      </w:r>
      <w:r w:rsidR="009B1F89" w:rsidRPr="00F650D8">
        <w:rPr>
          <w:rFonts w:ascii="Times New Roman" w:hAnsi="Times New Roman" w:cs="Times New Roman"/>
        </w:rPr>
        <w:t xml:space="preserve"> and </w:t>
      </w:r>
      <w:r w:rsidR="001858FF" w:rsidRPr="00F650D8">
        <w:rPr>
          <w:rFonts w:ascii="Times New Roman" w:hAnsi="Times New Roman" w:cs="Times New Roman"/>
        </w:rPr>
        <w:t xml:space="preserve">leptin, </w:t>
      </w:r>
      <w:r w:rsidR="00F359AB" w:rsidRPr="00F650D8">
        <w:rPr>
          <w:rFonts w:ascii="Times New Roman" w:hAnsi="Times New Roman" w:cs="Times New Roman"/>
        </w:rPr>
        <w:t xml:space="preserve">and </w:t>
      </w:r>
      <w:r w:rsidR="00C1451C" w:rsidRPr="00F650D8">
        <w:rPr>
          <w:rFonts w:ascii="Times New Roman" w:hAnsi="Times New Roman" w:cs="Times New Roman"/>
        </w:rPr>
        <w:t>other</w:t>
      </w:r>
      <w:r w:rsidRPr="00F650D8">
        <w:rPr>
          <w:rFonts w:ascii="Times New Roman" w:hAnsi="Times New Roman" w:cs="Times New Roman"/>
        </w:rPr>
        <w:t xml:space="preserve"> components of energy balance compri</w:t>
      </w:r>
      <w:r w:rsidR="00306012" w:rsidRPr="00F650D8">
        <w:rPr>
          <w:rFonts w:ascii="Times New Roman" w:hAnsi="Times New Roman" w:cs="Times New Roman"/>
        </w:rPr>
        <w:t>s</w:t>
      </w:r>
      <w:r w:rsidRPr="00F650D8">
        <w:rPr>
          <w:rFonts w:ascii="Times New Roman" w:hAnsi="Times New Roman" w:cs="Times New Roman"/>
        </w:rPr>
        <w:t>ed key secondary aims. We hypothesi</w:t>
      </w:r>
      <w:r w:rsidR="002B7883" w:rsidRPr="00F650D8">
        <w:rPr>
          <w:rFonts w:ascii="Times New Roman" w:hAnsi="Times New Roman" w:cs="Times New Roman"/>
        </w:rPr>
        <w:t>s</w:t>
      </w:r>
      <w:r w:rsidRPr="00F650D8">
        <w:rPr>
          <w:rFonts w:ascii="Times New Roman" w:hAnsi="Times New Roman" w:cs="Times New Roman"/>
        </w:rPr>
        <w:t>ed that empagliflozin would result in an altered profile of appetite-</w:t>
      </w:r>
      <w:r w:rsidR="0028266C" w:rsidRPr="00F650D8">
        <w:rPr>
          <w:rFonts w:ascii="Times New Roman" w:hAnsi="Times New Roman" w:cs="Times New Roman"/>
        </w:rPr>
        <w:t>regulatory</w:t>
      </w:r>
      <w:r w:rsidRPr="00F650D8">
        <w:rPr>
          <w:rFonts w:ascii="Times New Roman" w:hAnsi="Times New Roman" w:cs="Times New Roman"/>
        </w:rPr>
        <w:t xml:space="preserve"> </w:t>
      </w:r>
      <w:r w:rsidR="00A14161" w:rsidRPr="00F650D8">
        <w:rPr>
          <w:rFonts w:ascii="Times New Roman" w:hAnsi="Times New Roman" w:cs="Times New Roman"/>
        </w:rPr>
        <w:t>peptides</w:t>
      </w:r>
      <w:r w:rsidRPr="00F650D8">
        <w:rPr>
          <w:rFonts w:ascii="Times New Roman" w:hAnsi="Times New Roman" w:cs="Times New Roman"/>
        </w:rPr>
        <w:t xml:space="preserve"> commensurate with increased perceived appetite (lower total PYY</w:t>
      </w:r>
      <w:r w:rsidR="00714E56" w:rsidRPr="00F650D8">
        <w:rPr>
          <w:rFonts w:ascii="Times New Roman" w:hAnsi="Times New Roman" w:cs="Times New Roman"/>
        </w:rPr>
        <w:t>,</w:t>
      </w:r>
      <w:r w:rsidRPr="00F650D8">
        <w:rPr>
          <w:rFonts w:ascii="Times New Roman" w:hAnsi="Times New Roman" w:cs="Times New Roman"/>
        </w:rPr>
        <w:t xml:space="preserve"> GLP-1, and higher acylated ghrelin). Moreover, these responses would be </w:t>
      </w:r>
      <w:r w:rsidR="0086408A" w:rsidRPr="00F650D8">
        <w:rPr>
          <w:rFonts w:ascii="Times New Roman" w:hAnsi="Times New Roman" w:cs="Times New Roman"/>
        </w:rPr>
        <w:t>greater when combined with</w:t>
      </w:r>
      <w:r w:rsidRPr="00F650D8">
        <w:rPr>
          <w:rFonts w:ascii="Times New Roman" w:hAnsi="Times New Roman" w:cs="Times New Roman"/>
        </w:rPr>
        <w:t xml:space="preserve"> an </w:t>
      </w:r>
      <w:r w:rsidR="00FF01D9" w:rsidRPr="00F650D8">
        <w:rPr>
          <w:rFonts w:ascii="Times New Roman" w:hAnsi="Times New Roman" w:cs="Times New Roman"/>
        </w:rPr>
        <w:t>energy-restricted</w:t>
      </w:r>
      <w:r w:rsidRPr="00F650D8">
        <w:rPr>
          <w:rFonts w:ascii="Times New Roman" w:hAnsi="Times New Roman" w:cs="Times New Roman"/>
        </w:rPr>
        <w:t xml:space="preserve"> diet, in accordance with </w:t>
      </w:r>
      <w:r w:rsidR="00714E56" w:rsidRPr="00F650D8">
        <w:rPr>
          <w:rFonts w:ascii="Times New Roman" w:hAnsi="Times New Roman" w:cs="Times New Roman"/>
        </w:rPr>
        <w:t>greater</w:t>
      </w:r>
      <w:r w:rsidRPr="00F650D8">
        <w:rPr>
          <w:rFonts w:ascii="Times New Roman" w:hAnsi="Times New Roman" w:cs="Times New Roman"/>
        </w:rPr>
        <w:t xml:space="preserve"> weight loss.</w:t>
      </w:r>
    </w:p>
    <w:p w14:paraId="3DB7E7D2" w14:textId="77777777" w:rsidR="0075628D" w:rsidRPr="00F650D8" w:rsidRDefault="0075628D" w:rsidP="00013C9D">
      <w:pPr>
        <w:spacing w:line="480" w:lineRule="auto"/>
        <w:jc w:val="both"/>
        <w:rPr>
          <w:rFonts w:ascii="Times New Roman" w:hAnsi="Times New Roman" w:cs="Times New Roman"/>
          <w:b/>
          <w:bCs/>
        </w:rPr>
        <w:sectPr w:rsidR="0075628D" w:rsidRPr="00F650D8" w:rsidSect="00FD3C30">
          <w:pgSz w:w="11900" w:h="16840"/>
          <w:pgMar w:top="1440" w:right="1440" w:bottom="1440" w:left="1440" w:header="708" w:footer="708" w:gutter="0"/>
          <w:lnNumType w:countBy="1" w:restart="continuous"/>
          <w:cols w:space="708"/>
          <w:docGrid w:linePitch="360"/>
        </w:sectPr>
      </w:pPr>
    </w:p>
    <w:p w14:paraId="5BE27D0E" w14:textId="769DCAC2" w:rsidR="003E210D" w:rsidRPr="00F650D8" w:rsidRDefault="0082282A" w:rsidP="00013C9D">
      <w:pPr>
        <w:spacing w:line="480" w:lineRule="auto"/>
        <w:jc w:val="both"/>
        <w:rPr>
          <w:rFonts w:ascii="Times New Roman" w:hAnsi="Times New Roman" w:cs="Times New Roman"/>
          <w:b/>
          <w:bCs/>
        </w:rPr>
      </w:pPr>
      <w:r w:rsidRPr="00F650D8">
        <w:rPr>
          <w:rFonts w:ascii="Times New Roman" w:hAnsi="Times New Roman" w:cs="Times New Roman"/>
          <w:b/>
          <w:bCs/>
        </w:rPr>
        <w:t xml:space="preserve">Materials and </w:t>
      </w:r>
      <w:r w:rsidR="003E210D" w:rsidRPr="00F650D8">
        <w:rPr>
          <w:rFonts w:ascii="Times New Roman" w:hAnsi="Times New Roman" w:cs="Times New Roman"/>
          <w:b/>
          <w:bCs/>
        </w:rPr>
        <w:t>Methods</w:t>
      </w:r>
    </w:p>
    <w:p w14:paraId="3F93C64F" w14:textId="59DC223D" w:rsidR="0075628D" w:rsidRPr="00F650D8" w:rsidRDefault="0075628D" w:rsidP="00013C9D">
      <w:pPr>
        <w:spacing w:line="480" w:lineRule="auto"/>
        <w:jc w:val="both"/>
        <w:rPr>
          <w:rFonts w:ascii="Times New Roman" w:hAnsi="Times New Roman" w:cs="Times New Roman"/>
          <w:i/>
          <w:iCs/>
        </w:rPr>
      </w:pPr>
      <w:r w:rsidRPr="00F650D8">
        <w:rPr>
          <w:rFonts w:ascii="Times New Roman" w:hAnsi="Times New Roman" w:cs="Times New Roman"/>
          <w:i/>
          <w:iCs/>
        </w:rPr>
        <w:t>Study design</w:t>
      </w:r>
      <w:r w:rsidR="001D2D1E" w:rsidRPr="00F650D8">
        <w:rPr>
          <w:rFonts w:ascii="Times New Roman" w:hAnsi="Times New Roman" w:cs="Times New Roman"/>
          <w:i/>
          <w:iCs/>
        </w:rPr>
        <w:t xml:space="preserve"> and participants</w:t>
      </w:r>
    </w:p>
    <w:p w14:paraId="3DD5F70B" w14:textId="2D84E7FF" w:rsidR="00EE7365" w:rsidRPr="00F650D8" w:rsidRDefault="009A5E19" w:rsidP="00EE7365">
      <w:pPr>
        <w:spacing w:line="480" w:lineRule="auto"/>
        <w:jc w:val="both"/>
        <w:rPr>
          <w:rFonts w:ascii="Times New Roman" w:hAnsi="Times New Roman" w:cs="Times New Roman"/>
        </w:rPr>
      </w:pPr>
      <w:r w:rsidRPr="00F650D8">
        <w:rPr>
          <w:rFonts w:ascii="Times New Roman" w:hAnsi="Times New Roman" w:cs="Times New Roman"/>
        </w:rPr>
        <w:t xml:space="preserve">SEESAW </w:t>
      </w:r>
      <w:r w:rsidR="00DF32E0" w:rsidRPr="00F650D8">
        <w:rPr>
          <w:rFonts w:ascii="Times New Roman" w:hAnsi="Times New Roman" w:cs="Times New Roman"/>
        </w:rPr>
        <w:t>was</w:t>
      </w:r>
      <w:r w:rsidRPr="00F650D8">
        <w:rPr>
          <w:rFonts w:ascii="Times New Roman" w:hAnsi="Times New Roman" w:cs="Times New Roman"/>
        </w:rPr>
        <w:t xml:space="preserve"> </w:t>
      </w:r>
      <w:r w:rsidR="00536B68" w:rsidRPr="00F650D8">
        <w:rPr>
          <w:rFonts w:ascii="Times New Roman" w:hAnsi="Times New Roman" w:cs="Times New Roman"/>
        </w:rPr>
        <w:t xml:space="preserve">a </w:t>
      </w:r>
      <w:r w:rsidRPr="00F650D8">
        <w:rPr>
          <w:rFonts w:ascii="Times New Roman" w:hAnsi="Times New Roman" w:cs="Times New Roman"/>
        </w:rPr>
        <w:t>24-week, randomi</w:t>
      </w:r>
      <w:r w:rsidR="001F16AF" w:rsidRPr="00F650D8">
        <w:rPr>
          <w:rFonts w:ascii="Times New Roman" w:hAnsi="Times New Roman" w:cs="Times New Roman"/>
        </w:rPr>
        <w:t>s</w:t>
      </w:r>
      <w:r w:rsidRPr="00F650D8">
        <w:rPr>
          <w:rFonts w:ascii="Times New Roman" w:hAnsi="Times New Roman" w:cs="Times New Roman"/>
        </w:rPr>
        <w:t>ed, double-blind, placebo-controlled</w:t>
      </w:r>
      <w:r w:rsidR="00E11C94" w:rsidRPr="00F650D8">
        <w:rPr>
          <w:rFonts w:ascii="Times New Roman" w:hAnsi="Times New Roman" w:cs="Times New Roman"/>
        </w:rPr>
        <w:t>, phase 4</w:t>
      </w:r>
      <w:r w:rsidRPr="00F650D8">
        <w:rPr>
          <w:rFonts w:ascii="Times New Roman" w:hAnsi="Times New Roman" w:cs="Times New Roman"/>
        </w:rPr>
        <w:t xml:space="preserve"> </w:t>
      </w:r>
      <w:r w:rsidR="00DF32E0" w:rsidRPr="00F650D8">
        <w:rPr>
          <w:rFonts w:ascii="Times New Roman" w:hAnsi="Times New Roman" w:cs="Times New Roman"/>
        </w:rPr>
        <w:t>trial</w:t>
      </w:r>
      <w:r w:rsidR="00B4159A" w:rsidRPr="00F650D8">
        <w:rPr>
          <w:rFonts w:ascii="Times New Roman" w:hAnsi="Times New Roman" w:cs="Times New Roman"/>
        </w:rPr>
        <w:t xml:space="preserve"> </w:t>
      </w:r>
      <w:r w:rsidRPr="00F650D8">
        <w:rPr>
          <w:rFonts w:ascii="Times New Roman" w:hAnsi="Times New Roman" w:cs="Times New Roman"/>
        </w:rPr>
        <w:t xml:space="preserve">conducted at a </w:t>
      </w:r>
      <w:r w:rsidR="004B3368" w:rsidRPr="00F650D8">
        <w:rPr>
          <w:rFonts w:ascii="Times New Roman" w:hAnsi="Times New Roman" w:cs="Times New Roman"/>
        </w:rPr>
        <w:t xml:space="preserve">single </w:t>
      </w:r>
      <w:r w:rsidR="002D44FE" w:rsidRPr="00F650D8">
        <w:rPr>
          <w:rFonts w:ascii="Times New Roman" w:hAnsi="Times New Roman" w:cs="Times New Roman"/>
        </w:rPr>
        <w:t xml:space="preserve">clinical </w:t>
      </w:r>
      <w:r w:rsidR="004B3368" w:rsidRPr="00F650D8">
        <w:rPr>
          <w:rFonts w:ascii="Times New Roman" w:hAnsi="Times New Roman" w:cs="Times New Roman"/>
        </w:rPr>
        <w:t xml:space="preserve">research </w:t>
      </w:r>
      <w:r w:rsidRPr="00F650D8">
        <w:rPr>
          <w:rFonts w:ascii="Times New Roman" w:hAnsi="Times New Roman" w:cs="Times New Roman"/>
        </w:rPr>
        <w:t>site in Leicester, U</w:t>
      </w:r>
      <w:r w:rsidR="004B3368" w:rsidRPr="00F650D8">
        <w:rPr>
          <w:rFonts w:ascii="Times New Roman" w:hAnsi="Times New Roman" w:cs="Times New Roman"/>
        </w:rPr>
        <w:t xml:space="preserve">K. </w:t>
      </w:r>
      <w:r w:rsidR="00EE7365" w:rsidRPr="00F650D8">
        <w:rPr>
          <w:rFonts w:ascii="Times New Roman" w:hAnsi="Times New Roman" w:cs="Times New Roman"/>
        </w:rPr>
        <w:t>The trial protocol received full ethical approval from an NHS Research Ethics Committee (16/EM/0040), with all participants giving written, informed consent to participate.</w:t>
      </w:r>
    </w:p>
    <w:p w14:paraId="5EC50032" w14:textId="77777777" w:rsidR="00EE7365" w:rsidRPr="00F650D8" w:rsidRDefault="00EE7365" w:rsidP="00013C9D">
      <w:pPr>
        <w:spacing w:line="480" w:lineRule="auto"/>
        <w:jc w:val="both"/>
        <w:rPr>
          <w:rFonts w:ascii="Times New Roman" w:hAnsi="Times New Roman" w:cs="Times New Roman"/>
        </w:rPr>
      </w:pPr>
    </w:p>
    <w:p w14:paraId="44BA3BBD" w14:textId="20586A82" w:rsidR="00DF32E0" w:rsidRPr="00F650D8" w:rsidRDefault="00AB4DDE" w:rsidP="00013C9D">
      <w:pPr>
        <w:spacing w:line="480" w:lineRule="auto"/>
        <w:jc w:val="both"/>
        <w:rPr>
          <w:rFonts w:ascii="Times New Roman" w:hAnsi="Times New Roman" w:cs="Times New Roman"/>
        </w:rPr>
      </w:pPr>
      <w:r w:rsidRPr="00F650D8">
        <w:rPr>
          <w:rFonts w:ascii="Times New Roman" w:hAnsi="Times New Roman" w:cs="Times New Roman"/>
        </w:rPr>
        <w:t>Eligible participants were men or post-menopausal women, aged 30</w:t>
      </w:r>
      <w:r w:rsidR="0078172A" w:rsidRPr="00F650D8">
        <w:rPr>
          <w:rFonts w:ascii="Times New Roman" w:hAnsi="Times New Roman" w:cs="Times New Roman"/>
        </w:rPr>
        <w:t>-</w:t>
      </w:r>
      <w:r w:rsidRPr="00F650D8">
        <w:rPr>
          <w:rFonts w:ascii="Times New Roman" w:hAnsi="Times New Roman" w:cs="Times New Roman"/>
        </w:rPr>
        <w:t xml:space="preserve">75 years, </w:t>
      </w:r>
      <w:r w:rsidR="00BC3206" w:rsidRPr="00F650D8">
        <w:rPr>
          <w:rFonts w:ascii="Times New Roman" w:hAnsi="Times New Roman" w:cs="Times New Roman"/>
        </w:rPr>
        <w:t xml:space="preserve">with </w:t>
      </w:r>
      <w:r w:rsidR="00DB02D2" w:rsidRPr="00F650D8">
        <w:rPr>
          <w:rFonts w:ascii="Times New Roman" w:hAnsi="Times New Roman" w:cs="Times New Roman"/>
        </w:rPr>
        <w:t>BMI ≥25kg/m</w:t>
      </w:r>
      <w:r w:rsidR="00DB02D2" w:rsidRPr="00F650D8">
        <w:rPr>
          <w:rFonts w:ascii="Times New Roman" w:hAnsi="Times New Roman" w:cs="Times New Roman"/>
          <w:vertAlign w:val="superscript"/>
        </w:rPr>
        <w:t>2</w:t>
      </w:r>
      <w:r w:rsidR="00BC3206" w:rsidRPr="00F650D8">
        <w:rPr>
          <w:rFonts w:ascii="Times New Roman" w:hAnsi="Times New Roman" w:cs="Times New Roman"/>
          <w:vertAlign w:val="superscript"/>
        </w:rPr>
        <w:t xml:space="preserve"> </w:t>
      </w:r>
      <w:r w:rsidR="00BC3206" w:rsidRPr="00F650D8">
        <w:rPr>
          <w:rFonts w:ascii="Times New Roman" w:hAnsi="Times New Roman" w:cs="Times New Roman"/>
        </w:rPr>
        <w:t>and</w:t>
      </w:r>
      <w:r w:rsidRPr="00F650D8">
        <w:rPr>
          <w:rFonts w:ascii="Times New Roman" w:hAnsi="Times New Roman" w:cs="Times New Roman"/>
        </w:rPr>
        <w:t xml:space="preserve"> </w:t>
      </w:r>
      <w:r w:rsidR="007D6367" w:rsidRPr="00F650D8">
        <w:rPr>
          <w:rFonts w:ascii="Times New Roman" w:hAnsi="Times New Roman" w:cs="Times New Roman"/>
        </w:rPr>
        <w:t>T2D</w:t>
      </w:r>
      <w:r w:rsidR="00FF770D" w:rsidRPr="00F650D8">
        <w:rPr>
          <w:rFonts w:ascii="Times New Roman" w:hAnsi="Times New Roman" w:cs="Times New Roman"/>
          <w:vertAlign w:val="superscript"/>
        </w:rPr>
        <w:t xml:space="preserve"> </w:t>
      </w:r>
      <w:r w:rsidRPr="00F650D8">
        <w:rPr>
          <w:rFonts w:ascii="Times New Roman" w:hAnsi="Times New Roman" w:cs="Times New Roman"/>
        </w:rPr>
        <w:t xml:space="preserve">controlled through lifestyle </w:t>
      </w:r>
      <w:r w:rsidR="00457D52" w:rsidRPr="00F650D8">
        <w:rPr>
          <w:rFonts w:ascii="Times New Roman" w:hAnsi="Times New Roman" w:cs="Times New Roman"/>
        </w:rPr>
        <w:t>advice</w:t>
      </w:r>
      <w:r w:rsidRPr="00F650D8">
        <w:rPr>
          <w:rFonts w:ascii="Times New Roman" w:hAnsi="Times New Roman" w:cs="Times New Roman"/>
        </w:rPr>
        <w:t xml:space="preserve"> </w:t>
      </w:r>
      <w:r w:rsidR="00457D52" w:rsidRPr="00F650D8">
        <w:rPr>
          <w:rFonts w:ascii="Times New Roman" w:hAnsi="Times New Roman" w:cs="Times New Roman"/>
        </w:rPr>
        <w:t xml:space="preserve">alone </w:t>
      </w:r>
      <w:r w:rsidR="00517108" w:rsidRPr="00F650D8">
        <w:rPr>
          <w:rFonts w:ascii="Times New Roman" w:hAnsi="Times New Roman" w:cs="Times New Roman"/>
        </w:rPr>
        <w:t xml:space="preserve">or stable </w:t>
      </w:r>
      <w:r w:rsidRPr="00F650D8">
        <w:rPr>
          <w:rFonts w:ascii="Times New Roman" w:hAnsi="Times New Roman" w:cs="Times New Roman"/>
        </w:rPr>
        <w:t>metformin monotherap</w:t>
      </w:r>
      <w:r w:rsidR="002C4304" w:rsidRPr="00F650D8">
        <w:rPr>
          <w:rFonts w:ascii="Times New Roman" w:hAnsi="Times New Roman" w:cs="Times New Roman"/>
        </w:rPr>
        <w:t>y</w:t>
      </w:r>
      <w:r w:rsidR="00AE1950" w:rsidRPr="00F650D8">
        <w:rPr>
          <w:rFonts w:ascii="Times New Roman" w:hAnsi="Times New Roman" w:cs="Times New Roman"/>
        </w:rPr>
        <w:t xml:space="preserve"> (HbA1c 6</w:t>
      </w:r>
      <w:r w:rsidR="00AE1950" w:rsidRPr="00F650D8">
        <w:rPr>
          <w:rFonts w:ascii="Times New Roman" w:hAnsi="Times New Roman" w:cs="Times New Roman"/>
        </w:rPr>
        <w:sym w:font="Symbol" w:char="F0D7"/>
      </w:r>
      <w:r w:rsidR="00AE1950" w:rsidRPr="00F650D8">
        <w:rPr>
          <w:rFonts w:ascii="Times New Roman" w:hAnsi="Times New Roman" w:cs="Times New Roman"/>
        </w:rPr>
        <w:t>0-10</w:t>
      </w:r>
      <w:r w:rsidR="00AE1950" w:rsidRPr="00F650D8">
        <w:rPr>
          <w:rFonts w:ascii="Times New Roman" w:hAnsi="Times New Roman" w:cs="Times New Roman"/>
        </w:rPr>
        <w:sym w:font="Symbol" w:char="F0D7"/>
      </w:r>
      <w:r w:rsidR="00652784" w:rsidRPr="00F650D8">
        <w:rPr>
          <w:rFonts w:ascii="Times New Roman" w:hAnsi="Times New Roman" w:cs="Times New Roman"/>
        </w:rPr>
        <w:t>0% [42-86</w:t>
      </w:r>
      <w:r w:rsidR="00AE1950" w:rsidRPr="00F650D8">
        <w:rPr>
          <w:rFonts w:ascii="Times New Roman" w:hAnsi="Times New Roman" w:cs="Times New Roman"/>
        </w:rPr>
        <w:t>mmol/mol])</w:t>
      </w:r>
      <w:r w:rsidR="00DB02D2" w:rsidRPr="00F650D8">
        <w:rPr>
          <w:rFonts w:ascii="Times New Roman" w:hAnsi="Times New Roman" w:cs="Times New Roman"/>
        </w:rPr>
        <w:t xml:space="preserve">. </w:t>
      </w:r>
      <w:r w:rsidR="006B65D9" w:rsidRPr="00F650D8">
        <w:rPr>
          <w:rFonts w:ascii="Times New Roman" w:hAnsi="Times New Roman" w:cs="Times New Roman"/>
        </w:rPr>
        <w:t>Key exclusion criteria included individuals</w:t>
      </w:r>
      <w:r w:rsidR="00B6281F" w:rsidRPr="00F650D8">
        <w:rPr>
          <w:rFonts w:ascii="Times New Roman" w:hAnsi="Times New Roman" w:cs="Times New Roman"/>
        </w:rPr>
        <w:t xml:space="preserve"> with type 1 diabetes, </w:t>
      </w:r>
      <w:r w:rsidR="006B65D9" w:rsidRPr="00F650D8">
        <w:rPr>
          <w:rFonts w:ascii="Times New Roman" w:hAnsi="Times New Roman" w:cs="Times New Roman"/>
        </w:rPr>
        <w:t>eGFR &lt;60m</w:t>
      </w:r>
      <w:r w:rsidR="00D5299D" w:rsidRPr="00F650D8">
        <w:rPr>
          <w:rFonts w:ascii="Times New Roman" w:hAnsi="Times New Roman" w:cs="Times New Roman"/>
        </w:rPr>
        <w:t>L</w:t>
      </w:r>
      <w:r w:rsidR="006B65D9" w:rsidRPr="00F650D8">
        <w:rPr>
          <w:rFonts w:ascii="Times New Roman" w:hAnsi="Times New Roman" w:cs="Times New Roman"/>
        </w:rPr>
        <w:t>/min</w:t>
      </w:r>
      <w:r w:rsidR="006B65D9" w:rsidRPr="00F650D8">
        <w:rPr>
          <w:rFonts w:ascii="Times New Roman" w:hAnsi="Times New Roman" w:cs="Times New Roman"/>
          <w:vertAlign w:val="superscript"/>
        </w:rPr>
        <w:t xml:space="preserve"> </w:t>
      </w:r>
      <w:r w:rsidR="006B65D9" w:rsidRPr="00F650D8">
        <w:rPr>
          <w:rFonts w:ascii="Times New Roman" w:hAnsi="Times New Roman" w:cs="Times New Roman"/>
        </w:rPr>
        <w:t>per 1</w:t>
      </w:r>
      <w:r w:rsidR="006B65D9" w:rsidRPr="00F650D8">
        <w:rPr>
          <w:rFonts w:ascii="Times New Roman" w:hAnsi="Times New Roman" w:cs="Times New Roman"/>
        </w:rPr>
        <w:sym w:font="Symbol" w:char="F0D7"/>
      </w:r>
      <w:r w:rsidR="006B65D9" w:rsidRPr="00F650D8">
        <w:rPr>
          <w:rFonts w:ascii="Times New Roman" w:hAnsi="Times New Roman" w:cs="Times New Roman"/>
        </w:rPr>
        <w:t>73m</w:t>
      </w:r>
      <w:r w:rsidR="006B65D9" w:rsidRPr="00F650D8">
        <w:rPr>
          <w:rFonts w:ascii="Times New Roman" w:hAnsi="Times New Roman" w:cs="Times New Roman"/>
          <w:vertAlign w:val="superscript"/>
        </w:rPr>
        <w:t>2</w:t>
      </w:r>
      <w:r w:rsidR="00E15695" w:rsidRPr="00F650D8">
        <w:rPr>
          <w:rFonts w:ascii="Times New Roman" w:hAnsi="Times New Roman" w:cs="Times New Roman"/>
        </w:rPr>
        <w:t>,</w:t>
      </w:r>
      <w:r w:rsidR="006B65D9" w:rsidRPr="00F650D8">
        <w:rPr>
          <w:rFonts w:ascii="Times New Roman" w:hAnsi="Times New Roman" w:cs="Times New Roman"/>
        </w:rPr>
        <w:t xml:space="preserve"> familial gl</w:t>
      </w:r>
      <w:r w:rsidR="001858FF" w:rsidRPr="00F650D8">
        <w:rPr>
          <w:rFonts w:ascii="Times New Roman" w:hAnsi="Times New Roman" w:cs="Times New Roman"/>
        </w:rPr>
        <w:t>u</w:t>
      </w:r>
      <w:r w:rsidR="006B65D9" w:rsidRPr="00F650D8">
        <w:rPr>
          <w:rFonts w:ascii="Times New Roman" w:hAnsi="Times New Roman" w:cs="Times New Roman"/>
        </w:rPr>
        <w:t>cosuri</w:t>
      </w:r>
      <w:r w:rsidR="005042BB" w:rsidRPr="00F650D8">
        <w:rPr>
          <w:rFonts w:ascii="Times New Roman" w:hAnsi="Times New Roman" w:cs="Times New Roman"/>
        </w:rPr>
        <w:t xml:space="preserve">a, </w:t>
      </w:r>
      <w:r w:rsidR="006B65D9" w:rsidRPr="00F650D8">
        <w:rPr>
          <w:rFonts w:ascii="Times New Roman" w:hAnsi="Times New Roman" w:cs="Times New Roman"/>
        </w:rPr>
        <w:t xml:space="preserve">or </w:t>
      </w:r>
      <w:r w:rsidR="005042BB" w:rsidRPr="00F650D8">
        <w:rPr>
          <w:rFonts w:ascii="Times New Roman" w:hAnsi="Times New Roman" w:cs="Times New Roman"/>
        </w:rPr>
        <w:t xml:space="preserve">other </w:t>
      </w:r>
      <w:r w:rsidR="006B65D9" w:rsidRPr="00F650D8">
        <w:rPr>
          <w:rFonts w:ascii="Times New Roman" w:hAnsi="Times New Roman" w:cs="Times New Roman"/>
        </w:rPr>
        <w:t>contraindications to SGLT2</w:t>
      </w:r>
      <w:r w:rsidR="00AE1950" w:rsidRPr="00F650D8">
        <w:rPr>
          <w:rFonts w:ascii="Times New Roman" w:hAnsi="Times New Roman" w:cs="Times New Roman"/>
        </w:rPr>
        <w:t>i</w:t>
      </w:r>
      <w:r w:rsidR="006B65D9" w:rsidRPr="00F650D8">
        <w:rPr>
          <w:rFonts w:ascii="Times New Roman" w:hAnsi="Times New Roman" w:cs="Times New Roman"/>
        </w:rPr>
        <w:t xml:space="preserve"> therapy. </w:t>
      </w:r>
      <w:r w:rsidR="005042BB" w:rsidRPr="00F650D8">
        <w:rPr>
          <w:rFonts w:ascii="Times New Roman" w:hAnsi="Times New Roman" w:cs="Times New Roman"/>
        </w:rPr>
        <w:t xml:space="preserve">Those </w:t>
      </w:r>
      <w:r w:rsidR="00E15695" w:rsidRPr="00F650D8">
        <w:rPr>
          <w:rFonts w:ascii="Times New Roman" w:hAnsi="Times New Roman" w:cs="Times New Roman"/>
        </w:rPr>
        <w:t xml:space="preserve">prescribed loop diuretics </w:t>
      </w:r>
      <w:r w:rsidR="00CB2217" w:rsidRPr="00F650D8">
        <w:rPr>
          <w:rFonts w:ascii="Times New Roman" w:hAnsi="Times New Roman" w:cs="Times New Roman"/>
        </w:rPr>
        <w:t>and</w:t>
      </w:r>
      <w:r w:rsidR="00E15695" w:rsidRPr="00F650D8">
        <w:rPr>
          <w:rFonts w:ascii="Times New Roman" w:hAnsi="Times New Roman" w:cs="Times New Roman"/>
        </w:rPr>
        <w:t xml:space="preserve"> those </w:t>
      </w:r>
      <w:r w:rsidR="00517108" w:rsidRPr="00F650D8">
        <w:rPr>
          <w:rFonts w:ascii="Times New Roman" w:hAnsi="Times New Roman" w:cs="Times New Roman"/>
        </w:rPr>
        <w:t>consuming</w:t>
      </w:r>
      <w:r w:rsidR="005042BB" w:rsidRPr="00F650D8">
        <w:rPr>
          <w:rFonts w:ascii="Times New Roman" w:hAnsi="Times New Roman" w:cs="Times New Roman"/>
        </w:rPr>
        <w:t xml:space="preserve"> a severely </w:t>
      </w:r>
      <w:r w:rsidR="00DF634B" w:rsidRPr="00F650D8">
        <w:rPr>
          <w:rFonts w:ascii="Times New Roman" w:hAnsi="Times New Roman" w:cs="Times New Roman"/>
        </w:rPr>
        <w:t>energy</w:t>
      </w:r>
      <w:r w:rsidR="005042BB" w:rsidRPr="00F650D8">
        <w:rPr>
          <w:rFonts w:ascii="Times New Roman" w:hAnsi="Times New Roman" w:cs="Times New Roman"/>
        </w:rPr>
        <w:t>-restricted diet (</w:t>
      </w:r>
      <w:r w:rsidR="00022566" w:rsidRPr="00F650D8">
        <w:rPr>
          <w:rFonts w:ascii="Times New Roman" w:hAnsi="Times New Roman" w:cs="Times New Roman"/>
        </w:rPr>
        <w:t>&lt;800kcal</w:t>
      </w:r>
      <w:r w:rsidR="009C3FBF" w:rsidRPr="00F650D8">
        <w:rPr>
          <w:rFonts w:ascii="Times New Roman" w:hAnsi="Times New Roman" w:cs="Times New Roman"/>
        </w:rPr>
        <w:t>/</w:t>
      </w:r>
      <w:r w:rsidR="005042BB" w:rsidRPr="00F650D8">
        <w:rPr>
          <w:rFonts w:ascii="Times New Roman" w:hAnsi="Times New Roman" w:cs="Times New Roman"/>
        </w:rPr>
        <w:t>day)</w:t>
      </w:r>
      <w:r w:rsidR="009832E0" w:rsidRPr="00F650D8">
        <w:rPr>
          <w:rFonts w:ascii="Times New Roman" w:hAnsi="Times New Roman" w:cs="Times New Roman"/>
        </w:rPr>
        <w:t xml:space="preserve"> were </w:t>
      </w:r>
      <w:r w:rsidR="00DD6905" w:rsidRPr="00F650D8">
        <w:rPr>
          <w:rFonts w:ascii="Times New Roman" w:hAnsi="Times New Roman" w:cs="Times New Roman"/>
        </w:rPr>
        <w:t xml:space="preserve">also </w:t>
      </w:r>
      <w:r w:rsidR="009832E0" w:rsidRPr="00F650D8">
        <w:rPr>
          <w:rFonts w:ascii="Times New Roman" w:hAnsi="Times New Roman" w:cs="Times New Roman"/>
        </w:rPr>
        <w:t>excluded</w:t>
      </w:r>
      <w:r w:rsidR="006B65D9" w:rsidRPr="00F650D8">
        <w:rPr>
          <w:rFonts w:ascii="Times New Roman" w:hAnsi="Times New Roman" w:cs="Times New Roman"/>
        </w:rPr>
        <w:t xml:space="preserve">. </w:t>
      </w:r>
      <w:r w:rsidR="00712CF0" w:rsidRPr="00F650D8">
        <w:rPr>
          <w:rFonts w:ascii="Times New Roman" w:hAnsi="Times New Roman" w:cs="Times New Roman"/>
          <w:highlight w:val="yellow"/>
        </w:rPr>
        <w:t xml:space="preserve">Pre-menopausal women were excluded </w:t>
      </w:r>
      <w:r w:rsidR="00706AAA" w:rsidRPr="00F650D8">
        <w:rPr>
          <w:rFonts w:ascii="Times New Roman" w:hAnsi="Times New Roman" w:cs="Times New Roman"/>
          <w:highlight w:val="yellow"/>
        </w:rPr>
        <w:t>given that menstrual cycle phase impacts appetite control and eating behaviour, making standardisation problematic</w:t>
      </w:r>
      <w:r w:rsidR="005D02F2" w:rsidRPr="00F650D8">
        <w:rPr>
          <w:rFonts w:ascii="Times New Roman" w:hAnsi="Times New Roman" w:cs="Times New Roman"/>
          <w:highlight w:val="yellow"/>
        </w:rPr>
        <w:fldChar w:fldCharType="begin" w:fldLock="1"/>
      </w:r>
      <w:r w:rsidR="005D02F2" w:rsidRPr="00F650D8">
        <w:rPr>
          <w:rFonts w:ascii="Times New Roman" w:hAnsi="Times New Roman" w:cs="Times New Roman"/>
          <w:highlight w:val="yellow"/>
        </w:rPr>
        <w:instrText>ADDIN CSL_CITATION {"citationItems":[{"id":"ITEM-1","itemData":{"author":[{"dropping-particle":"","family":"Dye","given":"L","non-dropping-particle":"","parse-names":false,"suffix":""},{"dropping-particle":"","family":"Blundell","given":"JE","non-dropping-particle":"","parse-names":false,"suffix":""}],"container-title":"Human Reproduction","id":"ITEM-1","issue":"6","issued":{"date-parts":[["1997"]]},"page":"1142-1151.","title":"Menstrual cycle and appetite control: implications for weight regulation","type":"article-journal","volume":"12"},"uris":["http://www.mendeley.com/documents/?uuid=e36cafa1-15f1-4364-900b-47248eb3e5de"]}],"mendeley":{"formattedCitation":"&lt;sup&gt;23&lt;/sup&gt;","plainTextFormattedCitation":"23","previouslyFormattedCitation":"&lt;sup&gt;23&lt;/sup&gt;"},"properties":{"noteIndex":0},"schema":"https://github.com/citation-style-language/schema/raw/master/csl-citation.json"}</w:instrText>
      </w:r>
      <w:r w:rsidR="005D02F2" w:rsidRPr="00F650D8">
        <w:rPr>
          <w:rFonts w:ascii="Times New Roman" w:hAnsi="Times New Roman" w:cs="Times New Roman"/>
          <w:highlight w:val="yellow"/>
        </w:rPr>
        <w:fldChar w:fldCharType="separate"/>
      </w:r>
      <w:r w:rsidR="005D02F2" w:rsidRPr="00F650D8">
        <w:rPr>
          <w:rFonts w:ascii="Times New Roman" w:hAnsi="Times New Roman" w:cs="Times New Roman"/>
          <w:noProof/>
          <w:highlight w:val="yellow"/>
          <w:vertAlign w:val="superscript"/>
        </w:rPr>
        <w:t>23</w:t>
      </w:r>
      <w:r w:rsidR="005D02F2" w:rsidRPr="00F650D8">
        <w:rPr>
          <w:rFonts w:ascii="Times New Roman" w:hAnsi="Times New Roman" w:cs="Times New Roman"/>
          <w:highlight w:val="yellow"/>
        </w:rPr>
        <w:fldChar w:fldCharType="end"/>
      </w:r>
      <w:r w:rsidR="009C17D4" w:rsidRPr="00F650D8">
        <w:rPr>
          <w:rFonts w:ascii="Times New Roman" w:hAnsi="Times New Roman" w:cs="Times New Roman"/>
          <w:highlight w:val="yellow"/>
        </w:rPr>
        <w:t>.</w:t>
      </w:r>
      <w:r w:rsidR="009C17D4" w:rsidRPr="00F650D8">
        <w:rPr>
          <w:rFonts w:ascii="Times New Roman" w:hAnsi="Times New Roman" w:cs="Times New Roman"/>
        </w:rPr>
        <w:t xml:space="preserve"> </w:t>
      </w:r>
      <w:r w:rsidR="006B65D9" w:rsidRPr="00F650D8">
        <w:rPr>
          <w:rFonts w:ascii="Times New Roman" w:hAnsi="Times New Roman" w:cs="Times New Roman"/>
        </w:rPr>
        <w:t xml:space="preserve">A full list of eligibility criteria </w:t>
      </w:r>
      <w:r w:rsidR="00E44F04" w:rsidRPr="00F650D8">
        <w:rPr>
          <w:rFonts w:ascii="Times New Roman" w:hAnsi="Times New Roman" w:cs="Times New Roman"/>
        </w:rPr>
        <w:t>is</w:t>
      </w:r>
      <w:r w:rsidR="006B65D9" w:rsidRPr="00F650D8">
        <w:rPr>
          <w:rFonts w:ascii="Times New Roman" w:hAnsi="Times New Roman" w:cs="Times New Roman"/>
        </w:rPr>
        <w:t xml:space="preserve"> </w:t>
      </w:r>
      <w:r w:rsidR="00B07F29" w:rsidRPr="00F650D8">
        <w:rPr>
          <w:rFonts w:ascii="Times New Roman" w:hAnsi="Times New Roman" w:cs="Times New Roman"/>
        </w:rPr>
        <w:t>provided</w:t>
      </w:r>
      <w:r w:rsidR="00536B68" w:rsidRPr="00F650D8">
        <w:rPr>
          <w:rFonts w:ascii="Times New Roman" w:hAnsi="Times New Roman" w:cs="Times New Roman"/>
        </w:rPr>
        <w:t xml:space="preserve"> in </w:t>
      </w:r>
      <w:r w:rsidR="00915BE9" w:rsidRPr="00F650D8">
        <w:rPr>
          <w:rFonts w:ascii="Times New Roman" w:hAnsi="Times New Roman" w:cs="Times New Roman"/>
        </w:rPr>
        <w:t>supplement</w:t>
      </w:r>
      <w:r w:rsidR="00A15DFF" w:rsidRPr="00F650D8">
        <w:rPr>
          <w:rFonts w:ascii="Times New Roman" w:hAnsi="Times New Roman" w:cs="Times New Roman"/>
        </w:rPr>
        <w:t>a</w:t>
      </w:r>
      <w:r w:rsidR="00FD31AC" w:rsidRPr="00F650D8">
        <w:rPr>
          <w:rFonts w:ascii="Times New Roman" w:hAnsi="Times New Roman" w:cs="Times New Roman"/>
        </w:rPr>
        <w:t>ry</w:t>
      </w:r>
      <w:r w:rsidR="00915BE9" w:rsidRPr="00F650D8">
        <w:rPr>
          <w:rFonts w:ascii="Times New Roman" w:hAnsi="Times New Roman" w:cs="Times New Roman"/>
        </w:rPr>
        <w:t xml:space="preserve"> methods</w:t>
      </w:r>
      <w:r w:rsidR="00E44F04" w:rsidRPr="00F650D8">
        <w:rPr>
          <w:rFonts w:ascii="Times New Roman" w:hAnsi="Times New Roman" w:cs="Times New Roman"/>
        </w:rPr>
        <w:t xml:space="preserve">. </w:t>
      </w:r>
    </w:p>
    <w:p w14:paraId="7E6B5807" w14:textId="77777777" w:rsidR="00D4582F" w:rsidRPr="00F650D8" w:rsidRDefault="00D4582F" w:rsidP="00013C9D">
      <w:pPr>
        <w:spacing w:line="480" w:lineRule="auto"/>
        <w:jc w:val="both"/>
        <w:rPr>
          <w:rFonts w:ascii="Times New Roman" w:hAnsi="Times New Roman" w:cs="Times New Roman"/>
          <w:i/>
          <w:iCs/>
        </w:rPr>
      </w:pPr>
    </w:p>
    <w:p w14:paraId="284EAEA8" w14:textId="307AFBA2" w:rsidR="00BF0F15" w:rsidRPr="00F650D8" w:rsidRDefault="002D44FE" w:rsidP="00013C9D">
      <w:pPr>
        <w:spacing w:line="480" w:lineRule="auto"/>
        <w:jc w:val="both"/>
        <w:rPr>
          <w:rFonts w:ascii="Times New Roman" w:hAnsi="Times New Roman" w:cs="Times New Roman"/>
        </w:rPr>
      </w:pPr>
      <w:r w:rsidRPr="00F650D8">
        <w:rPr>
          <w:rFonts w:ascii="Times New Roman" w:hAnsi="Times New Roman" w:cs="Times New Roman"/>
        </w:rPr>
        <w:t>Participants were randomi</w:t>
      </w:r>
      <w:r w:rsidR="001F16AF" w:rsidRPr="00F650D8">
        <w:rPr>
          <w:rFonts w:ascii="Times New Roman" w:hAnsi="Times New Roman" w:cs="Times New Roman"/>
        </w:rPr>
        <w:t>s</w:t>
      </w:r>
      <w:r w:rsidRPr="00F650D8">
        <w:rPr>
          <w:rFonts w:ascii="Times New Roman" w:hAnsi="Times New Roman" w:cs="Times New Roman"/>
        </w:rPr>
        <w:t>ed (1:1:1:1</w:t>
      </w:r>
      <w:r w:rsidR="003B217D" w:rsidRPr="00F650D8">
        <w:rPr>
          <w:rFonts w:ascii="Times New Roman" w:hAnsi="Times New Roman" w:cs="Times New Roman"/>
        </w:rPr>
        <w:t xml:space="preserve">) </w:t>
      </w:r>
      <w:r w:rsidRPr="00F650D8">
        <w:rPr>
          <w:rFonts w:ascii="Times New Roman" w:hAnsi="Times New Roman" w:cs="Times New Roman"/>
        </w:rPr>
        <w:t>using an independent online computeri</w:t>
      </w:r>
      <w:r w:rsidR="002B7883" w:rsidRPr="00F650D8">
        <w:rPr>
          <w:rFonts w:ascii="Times New Roman" w:hAnsi="Times New Roman" w:cs="Times New Roman"/>
        </w:rPr>
        <w:t>s</w:t>
      </w:r>
      <w:r w:rsidRPr="00F650D8">
        <w:rPr>
          <w:rFonts w:ascii="Times New Roman" w:hAnsi="Times New Roman" w:cs="Times New Roman"/>
        </w:rPr>
        <w:t>ed randomi</w:t>
      </w:r>
      <w:r w:rsidR="00205BD1" w:rsidRPr="00F650D8">
        <w:rPr>
          <w:rFonts w:ascii="Times New Roman" w:hAnsi="Times New Roman" w:cs="Times New Roman"/>
        </w:rPr>
        <w:t>s</w:t>
      </w:r>
      <w:r w:rsidRPr="00F650D8">
        <w:rPr>
          <w:rFonts w:ascii="Times New Roman" w:hAnsi="Times New Roman" w:cs="Times New Roman"/>
        </w:rPr>
        <w:t>ation system</w:t>
      </w:r>
      <w:r w:rsidR="005949B6" w:rsidRPr="00F650D8">
        <w:rPr>
          <w:rFonts w:ascii="Times New Roman" w:hAnsi="Times New Roman" w:cs="Times New Roman"/>
        </w:rPr>
        <w:t xml:space="preserve"> (Sealed Envelope Ltd</w:t>
      </w:r>
      <w:r w:rsidR="00E450A0" w:rsidRPr="00F650D8">
        <w:rPr>
          <w:rFonts w:ascii="Times New Roman" w:hAnsi="Times New Roman" w:cs="Times New Roman"/>
        </w:rPr>
        <w:t>, London, UK</w:t>
      </w:r>
      <w:r w:rsidR="00193E1D" w:rsidRPr="00F650D8">
        <w:rPr>
          <w:rFonts w:ascii="Times New Roman" w:hAnsi="Times New Roman" w:cs="Times New Roman"/>
        </w:rPr>
        <w:t>)</w:t>
      </w:r>
      <w:r w:rsidR="00F37D27" w:rsidRPr="00F650D8">
        <w:rPr>
          <w:rFonts w:ascii="Times New Roman" w:hAnsi="Times New Roman" w:cs="Times New Roman"/>
        </w:rPr>
        <w:t>,</w:t>
      </w:r>
      <w:r w:rsidRPr="00F650D8">
        <w:rPr>
          <w:rFonts w:ascii="Times New Roman" w:hAnsi="Times New Roman" w:cs="Times New Roman"/>
        </w:rPr>
        <w:t xml:space="preserve"> to one of four groups: (a) placebo</w:t>
      </w:r>
      <w:r w:rsidR="00FF01D9" w:rsidRPr="00F650D8">
        <w:rPr>
          <w:rFonts w:ascii="Times New Roman" w:hAnsi="Times New Roman" w:cs="Times New Roman"/>
        </w:rPr>
        <w:t>-</w:t>
      </w:r>
      <w:r w:rsidR="00636DE5" w:rsidRPr="00F650D8">
        <w:rPr>
          <w:rFonts w:ascii="Times New Roman" w:hAnsi="Times New Roman" w:cs="Times New Roman"/>
        </w:rPr>
        <w:t>only</w:t>
      </w:r>
      <w:r w:rsidRPr="00F650D8">
        <w:rPr>
          <w:rFonts w:ascii="Times New Roman" w:hAnsi="Times New Roman" w:cs="Times New Roman"/>
        </w:rPr>
        <w:t>, (b) placebo</w:t>
      </w:r>
      <w:r w:rsidR="00636DE5" w:rsidRPr="00F650D8">
        <w:rPr>
          <w:rFonts w:ascii="Times New Roman" w:hAnsi="Times New Roman" w:cs="Times New Roman"/>
        </w:rPr>
        <w:t xml:space="preserve"> </w:t>
      </w:r>
      <w:r w:rsidRPr="00F650D8">
        <w:rPr>
          <w:rFonts w:ascii="Times New Roman" w:hAnsi="Times New Roman" w:cs="Times New Roman"/>
        </w:rPr>
        <w:t>plus</w:t>
      </w:r>
      <w:r w:rsidR="00636DE5" w:rsidRPr="00F650D8">
        <w:rPr>
          <w:rFonts w:ascii="Times New Roman" w:hAnsi="Times New Roman" w:cs="Times New Roman"/>
        </w:rPr>
        <w:t xml:space="preserve"> </w:t>
      </w:r>
      <w:r w:rsidR="00AE1950" w:rsidRPr="00F650D8">
        <w:rPr>
          <w:rFonts w:ascii="Times New Roman" w:hAnsi="Times New Roman" w:cs="Times New Roman"/>
        </w:rPr>
        <w:t>energy-</w:t>
      </w:r>
      <w:r w:rsidRPr="00F650D8">
        <w:rPr>
          <w:rFonts w:ascii="Times New Roman" w:hAnsi="Times New Roman" w:cs="Times New Roman"/>
        </w:rPr>
        <w:t>restrict</w:t>
      </w:r>
      <w:r w:rsidR="00AE1950" w:rsidRPr="00F650D8">
        <w:rPr>
          <w:rFonts w:ascii="Times New Roman" w:hAnsi="Times New Roman" w:cs="Times New Roman"/>
        </w:rPr>
        <w:t>ed</w:t>
      </w:r>
      <w:r w:rsidRPr="00F650D8">
        <w:rPr>
          <w:rFonts w:ascii="Times New Roman" w:hAnsi="Times New Roman" w:cs="Times New Roman"/>
        </w:rPr>
        <w:t xml:space="preserve"> diet (</w:t>
      </w:r>
      <w:r w:rsidR="00636DE5" w:rsidRPr="00F650D8">
        <w:rPr>
          <w:rFonts w:ascii="Times New Roman" w:hAnsi="Times New Roman" w:cs="Times New Roman"/>
        </w:rPr>
        <w:t xml:space="preserve">“placebo-plus-diet”), (c) empagliflozin 25mg </w:t>
      </w:r>
      <w:r w:rsidR="00536B68" w:rsidRPr="00F650D8">
        <w:rPr>
          <w:rFonts w:ascii="Times New Roman" w:hAnsi="Times New Roman" w:cs="Times New Roman"/>
        </w:rPr>
        <w:t xml:space="preserve">only </w:t>
      </w:r>
      <w:r w:rsidR="005E51C0" w:rsidRPr="00F650D8">
        <w:rPr>
          <w:rFonts w:ascii="Times New Roman" w:hAnsi="Times New Roman" w:cs="Times New Roman"/>
        </w:rPr>
        <w:t>(“empagliflozin-</w:t>
      </w:r>
      <w:r w:rsidR="00636DE5" w:rsidRPr="00F650D8">
        <w:rPr>
          <w:rFonts w:ascii="Times New Roman" w:hAnsi="Times New Roman" w:cs="Times New Roman"/>
        </w:rPr>
        <w:t>only”</w:t>
      </w:r>
      <w:r w:rsidRPr="00F650D8">
        <w:rPr>
          <w:rFonts w:ascii="Times New Roman" w:hAnsi="Times New Roman" w:cs="Times New Roman"/>
        </w:rPr>
        <w:t xml:space="preserve">), </w:t>
      </w:r>
      <w:r w:rsidR="00536B68" w:rsidRPr="00F650D8">
        <w:rPr>
          <w:rFonts w:ascii="Times New Roman" w:hAnsi="Times New Roman" w:cs="Times New Roman"/>
        </w:rPr>
        <w:t xml:space="preserve">or </w:t>
      </w:r>
      <w:r w:rsidRPr="00F650D8">
        <w:rPr>
          <w:rFonts w:ascii="Times New Roman" w:hAnsi="Times New Roman" w:cs="Times New Roman"/>
        </w:rPr>
        <w:t>(d)</w:t>
      </w:r>
      <w:r w:rsidR="00AE1950" w:rsidRPr="00F650D8">
        <w:rPr>
          <w:rFonts w:ascii="Times New Roman" w:hAnsi="Times New Roman" w:cs="Times New Roman"/>
        </w:rPr>
        <w:t xml:space="preserve"> empagliflozin 25mg plus energy-restricted</w:t>
      </w:r>
      <w:r w:rsidRPr="00F650D8">
        <w:rPr>
          <w:rFonts w:ascii="Times New Roman" w:hAnsi="Times New Roman" w:cs="Times New Roman"/>
        </w:rPr>
        <w:t xml:space="preserve"> diet (</w:t>
      </w:r>
      <w:r w:rsidR="00636DE5" w:rsidRPr="00F650D8">
        <w:rPr>
          <w:rFonts w:ascii="Times New Roman" w:hAnsi="Times New Roman" w:cs="Times New Roman"/>
        </w:rPr>
        <w:t>“empagliflozin-plus-diet”</w:t>
      </w:r>
      <w:r w:rsidR="003B217D" w:rsidRPr="00F650D8">
        <w:rPr>
          <w:rFonts w:ascii="Times New Roman" w:hAnsi="Times New Roman" w:cs="Times New Roman"/>
        </w:rPr>
        <w:t>). Randomi</w:t>
      </w:r>
      <w:r w:rsidR="00EF0EEB" w:rsidRPr="00F650D8">
        <w:rPr>
          <w:rFonts w:ascii="Times New Roman" w:hAnsi="Times New Roman" w:cs="Times New Roman"/>
        </w:rPr>
        <w:t>s</w:t>
      </w:r>
      <w:r w:rsidR="003B217D" w:rsidRPr="00F650D8">
        <w:rPr>
          <w:rFonts w:ascii="Times New Roman" w:hAnsi="Times New Roman" w:cs="Times New Roman"/>
        </w:rPr>
        <w:t>ation was stratified by age (≤/&gt;50 years)</w:t>
      </w:r>
      <w:r w:rsidR="00E939C3" w:rsidRPr="00F650D8">
        <w:rPr>
          <w:rFonts w:ascii="Times New Roman" w:hAnsi="Times New Roman" w:cs="Times New Roman"/>
        </w:rPr>
        <w:t xml:space="preserve"> and</w:t>
      </w:r>
      <w:r w:rsidR="003B217D" w:rsidRPr="00F650D8">
        <w:rPr>
          <w:rFonts w:ascii="Times New Roman" w:hAnsi="Times New Roman" w:cs="Times New Roman"/>
        </w:rPr>
        <w:t xml:space="preserve"> BMI (&lt;/≥30kg/m</w:t>
      </w:r>
      <w:r w:rsidR="003B217D" w:rsidRPr="00F650D8">
        <w:rPr>
          <w:rFonts w:ascii="Times New Roman" w:hAnsi="Times New Roman" w:cs="Times New Roman"/>
          <w:vertAlign w:val="superscript"/>
        </w:rPr>
        <w:t>2</w:t>
      </w:r>
      <w:r w:rsidR="003B217D" w:rsidRPr="00F650D8">
        <w:rPr>
          <w:rFonts w:ascii="Times New Roman" w:hAnsi="Times New Roman" w:cs="Times New Roman"/>
        </w:rPr>
        <w:t xml:space="preserve">) and occurred after </w:t>
      </w:r>
      <w:r w:rsidR="00260FC0" w:rsidRPr="00F650D8">
        <w:rPr>
          <w:rFonts w:ascii="Times New Roman" w:hAnsi="Times New Roman" w:cs="Times New Roman"/>
        </w:rPr>
        <w:t>all</w:t>
      </w:r>
      <w:r w:rsidR="003B217D" w:rsidRPr="00F650D8">
        <w:rPr>
          <w:rFonts w:ascii="Times New Roman" w:hAnsi="Times New Roman" w:cs="Times New Roman"/>
        </w:rPr>
        <w:t xml:space="preserve"> baseline measurements.</w:t>
      </w:r>
      <w:r w:rsidR="002D6C15" w:rsidRPr="00F650D8">
        <w:rPr>
          <w:rFonts w:ascii="Times New Roman" w:hAnsi="Times New Roman" w:cs="Times New Roman"/>
        </w:rPr>
        <w:t xml:space="preserve"> </w:t>
      </w:r>
    </w:p>
    <w:p w14:paraId="0CE8AF46" w14:textId="77777777" w:rsidR="00300340" w:rsidRPr="00F650D8" w:rsidRDefault="00300340" w:rsidP="00013C9D">
      <w:pPr>
        <w:spacing w:line="480" w:lineRule="auto"/>
        <w:jc w:val="both"/>
        <w:rPr>
          <w:rFonts w:ascii="Times New Roman" w:hAnsi="Times New Roman" w:cs="Times New Roman"/>
          <w:i/>
          <w:iCs/>
        </w:rPr>
      </w:pPr>
    </w:p>
    <w:p w14:paraId="539E3EA5" w14:textId="08CCD6D7" w:rsidR="00895B08" w:rsidRPr="00F650D8" w:rsidRDefault="00697D21" w:rsidP="001F0BF2">
      <w:pPr>
        <w:spacing w:line="480" w:lineRule="auto"/>
        <w:jc w:val="both"/>
        <w:rPr>
          <w:rFonts w:ascii="Times New Roman" w:hAnsi="Times New Roman" w:cs="Times New Roman"/>
          <w:i/>
          <w:iCs/>
        </w:rPr>
      </w:pPr>
      <w:r w:rsidRPr="00F650D8">
        <w:rPr>
          <w:rFonts w:ascii="Times New Roman" w:hAnsi="Times New Roman" w:cs="Times New Roman"/>
          <w:i/>
          <w:iCs/>
        </w:rPr>
        <w:t>Procedures</w:t>
      </w:r>
    </w:p>
    <w:p w14:paraId="06D72A76" w14:textId="1D89946D" w:rsidR="00EA2F89" w:rsidRPr="00F650D8" w:rsidRDefault="0052670C" w:rsidP="0096619A">
      <w:pPr>
        <w:spacing w:line="480" w:lineRule="auto"/>
        <w:jc w:val="both"/>
        <w:rPr>
          <w:rFonts w:ascii="Times New Roman" w:hAnsi="Times New Roman" w:cs="Times New Roman"/>
          <w:iCs/>
        </w:rPr>
      </w:pPr>
      <w:r w:rsidRPr="00F650D8">
        <w:rPr>
          <w:rFonts w:ascii="Times New Roman" w:hAnsi="Times New Roman" w:cs="Times New Roman"/>
          <w:iCs/>
        </w:rPr>
        <w:t>Empagliflozin 25</w:t>
      </w:r>
      <w:r w:rsidR="0096619A" w:rsidRPr="00F650D8">
        <w:rPr>
          <w:rFonts w:ascii="Times New Roman" w:hAnsi="Times New Roman" w:cs="Times New Roman"/>
          <w:iCs/>
        </w:rPr>
        <w:t xml:space="preserve">mg or matched placebo were taken orally once daily. Participants unable to tolerate 25mg of empagliflozin or placebo therapy were withdrawn. </w:t>
      </w:r>
    </w:p>
    <w:p w14:paraId="055144C7" w14:textId="77777777" w:rsidR="00EA2F89" w:rsidRPr="00F650D8" w:rsidRDefault="00EA2F89" w:rsidP="0096619A">
      <w:pPr>
        <w:spacing w:line="480" w:lineRule="auto"/>
        <w:jc w:val="both"/>
        <w:rPr>
          <w:rFonts w:ascii="Times New Roman" w:hAnsi="Times New Roman" w:cs="Times New Roman"/>
          <w:iCs/>
        </w:rPr>
      </w:pPr>
    </w:p>
    <w:p w14:paraId="4E6DC12D" w14:textId="3B451A5B" w:rsidR="00E37500" w:rsidRPr="00F650D8" w:rsidRDefault="0096619A" w:rsidP="0096619A">
      <w:pPr>
        <w:spacing w:line="480" w:lineRule="auto"/>
        <w:jc w:val="both"/>
        <w:rPr>
          <w:rFonts w:ascii="Times New Roman" w:hAnsi="Times New Roman" w:cs="Times New Roman"/>
          <w:iCs/>
        </w:rPr>
      </w:pPr>
      <w:r w:rsidRPr="00F650D8">
        <w:rPr>
          <w:rFonts w:ascii="Times New Roman" w:hAnsi="Times New Roman" w:cs="Times New Roman"/>
          <w:iCs/>
        </w:rPr>
        <w:t>Participants randomi</w:t>
      </w:r>
      <w:r w:rsidR="001F16AF" w:rsidRPr="00F650D8">
        <w:rPr>
          <w:rFonts w:ascii="Times New Roman" w:hAnsi="Times New Roman" w:cs="Times New Roman"/>
          <w:iCs/>
        </w:rPr>
        <w:t>s</w:t>
      </w:r>
      <w:r w:rsidRPr="00F650D8">
        <w:rPr>
          <w:rFonts w:ascii="Times New Roman" w:hAnsi="Times New Roman" w:cs="Times New Roman"/>
          <w:iCs/>
        </w:rPr>
        <w:t xml:space="preserve">ed to </w:t>
      </w:r>
      <w:r w:rsidR="00636DE5" w:rsidRPr="00F650D8">
        <w:rPr>
          <w:rFonts w:ascii="Times New Roman" w:hAnsi="Times New Roman" w:cs="Times New Roman"/>
          <w:iCs/>
        </w:rPr>
        <w:t>placebo-plus-diet</w:t>
      </w:r>
      <w:r w:rsidRPr="00F650D8">
        <w:rPr>
          <w:rFonts w:ascii="Times New Roman" w:hAnsi="Times New Roman" w:cs="Times New Roman"/>
          <w:iCs/>
        </w:rPr>
        <w:t xml:space="preserve"> or </w:t>
      </w:r>
      <w:r w:rsidR="00636DE5" w:rsidRPr="00F650D8">
        <w:rPr>
          <w:rFonts w:ascii="Times New Roman" w:hAnsi="Times New Roman" w:cs="Times New Roman"/>
          <w:iCs/>
        </w:rPr>
        <w:t>empagliflozin-plus-diet</w:t>
      </w:r>
      <w:r w:rsidRPr="00F650D8">
        <w:rPr>
          <w:rFonts w:ascii="Times New Roman" w:hAnsi="Times New Roman" w:cs="Times New Roman"/>
          <w:iCs/>
        </w:rPr>
        <w:t xml:space="preserve"> groups </w:t>
      </w:r>
      <w:r w:rsidR="003C664D" w:rsidRPr="00F650D8">
        <w:rPr>
          <w:rFonts w:ascii="Times New Roman" w:hAnsi="Times New Roman" w:cs="Times New Roman"/>
          <w:iCs/>
        </w:rPr>
        <w:t>underwent</w:t>
      </w:r>
      <w:r w:rsidRPr="00F650D8">
        <w:rPr>
          <w:rFonts w:ascii="Times New Roman" w:hAnsi="Times New Roman" w:cs="Times New Roman"/>
          <w:iCs/>
        </w:rPr>
        <w:t xml:space="preserve"> a personali</w:t>
      </w:r>
      <w:r w:rsidR="002B7883" w:rsidRPr="00F650D8">
        <w:rPr>
          <w:rFonts w:ascii="Times New Roman" w:hAnsi="Times New Roman" w:cs="Times New Roman"/>
          <w:iCs/>
        </w:rPr>
        <w:t>s</w:t>
      </w:r>
      <w:r w:rsidR="00260FC0" w:rsidRPr="00F650D8">
        <w:rPr>
          <w:rFonts w:ascii="Times New Roman" w:hAnsi="Times New Roman" w:cs="Times New Roman"/>
          <w:iCs/>
        </w:rPr>
        <w:t>ed energy-</w:t>
      </w:r>
      <w:r w:rsidRPr="00F650D8">
        <w:rPr>
          <w:rFonts w:ascii="Times New Roman" w:hAnsi="Times New Roman" w:cs="Times New Roman"/>
          <w:iCs/>
        </w:rPr>
        <w:t>restrict</w:t>
      </w:r>
      <w:r w:rsidR="00260FC0" w:rsidRPr="00F650D8">
        <w:rPr>
          <w:rFonts w:ascii="Times New Roman" w:hAnsi="Times New Roman" w:cs="Times New Roman"/>
          <w:iCs/>
        </w:rPr>
        <w:t>ed</w:t>
      </w:r>
      <w:r w:rsidRPr="00F650D8">
        <w:rPr>
          <w:rFonts w:ascii="Times New Roman" w:hAnsi="Times New Roman" w:cs="Times New Roman"/>
          <w:iCs/>
        </w:rPr>
        <w:t xml:space="preserve"> diet designed to reduce </w:t>
      </w:r>
      <w:r w:rsidR="00F36FAB" w:rsidRPr="00F650D8">
        <w:rPr>
          <w:rFonts w:ascii="Times New Roman" w:hAnsi="Times New Roman" w:cs="Times New Roman"/>
          <w:iCs/>
        </w:rPr>
        <w:t>EI</w:t>
      </w:r>
      <w:r w:rsidRPr="00F650D8">
        <w:rPr>
          <w:rFonts w:ascii="Times New Roman" w:hAnsi="Times New Roman" w:cs="Times New Roman"/>
          <w:iCs/>
        </w:rPr>
        <w:t xml:space="preserve"> by </w:t>
      </w:r>
      <w:r w:rsidR="00022566" w:rsidRPr="00F650D8">
        <w:rPr>
          <w:rFonts w:ascii="Times New Roman" w:hAnsi="Times New Roman" w:cs="Times New Roman"/>
          <w:iCs/>
        </w:rPr>
        <w:t>360kcal</w:t>
      </w:r>
      <w:r w:rsidR="002D3530" w:rsidRPr="00F650D8">
        <w:rPr>
          <w:rFonts w:ascii="Times New Roman" w:hAnsi="Times New Roman" w:cs="Times New Roman"/>
          <w:iCs/>
        </w:rPr>
        <w:t>/day</w:t>
      </w:r>
      <w:r w:rsidRPr="00F650D8">
        <w:rPr>
          <w:rFonts w:ascii="Times New Roman" w:hAnsi="Times New Roman" w:cs="Times New Roman"/>
          <w:iCs/>
        </w:rPr>
        <w:t xml:space="preserve">; </w:t>
      </w:r>
      <w:r w:rsidR="00536B68" w:rsidRPr="00F650D8">
        <w:rPr>
          <w:rFonts w:ascii="Times New Roman" w:hAnsi="Times New Roman" w:cs="Times New Roman"/>
          <w:iCs/>
        </w:rPr>
        <w:t xml:space="preserve">approximately </w:t>
      </w:r>
      <w:r w:rsidRPr="00F650D8">
        <w:rPr>
          <w:rFonts w:ascii="Times New Roman" w:hAnsi="Times New Roman" w:cs="Times New Roman"/>
          <w:iCs/>
        </w:rPr>
        <w:t xml:space="preserve">matching the estimated energy </w:t>
      </w:r>
      <w:r w:rsidR="00BC3171" w:rsidRPr="00F650D8">
        <w:rPr>
          <w:rFonts w:ascii="Times New Roman" w:hAnsi="Times New Roman" w:cs="Times New Roman"/>
          <w:iCs/>
        </w:rPr>
        <w:t>deficit elicited by</w:t>
      </w:r>
      <w:r w:rsidRPr="00F650D8">
        <w:rPr>
          <w:rFonts w:ascii="Times New Roman" w:hAnsi="Times New Roman" w:cs="Times New Roman"/>
          <w:iCs/>
        </w:rPr>
        <w:t xml:space="preserve"> SGLT2</w:t>
      </w:r>
      <w:r w:rsidR="00260FC0" w:rsidRPr="00F650D8">
        <w:rPr>
          <w:rFonts w:ascii="Times New Roman" w:hAnsi="Times New Roman" w:cs="Times New Roman"/>
          <w:iCs/>
        </w:rPr>
        <w:t xml:space="preserve">i </w:t>
      </w:r>
      <w:r w:rsidR="00BC3171" w:rsidRPr="00F650D8">
        <w:rPr>
          <w:rFonts w:ascii="Times New Roman" w:hAnsi="Times New Roman" w:cs="Times New Roman"/>
          <w:iCs/>
        </w:rPr>
        <w:t>therapy</w:t>
      </w:r>
      <w:r w:rsidR="00FD31AC" w:rsidRPr="00F650D8">
        <w:rPr>
          <w:rFonts w:ascii="Times New Roman" w:hAnsi="Times New Roman" w:cs="Times New Roman"/>
          <w:iCs/>
        </w:rPr>
        <w:t>.</w:t>
      </w:r>
      <w:r w:rsidR="00FA43F6" w:rsidRPr="00F650D8">
        <w:rPr>
          <w:rFonts w:ascii="Times New Roman" w:hAnsi="Times New Roman" w:cs="Times New Roman"/>
          <w:iCs/>
        </w:rPr>
        <w:fldChar w:fldCharType="begin" w:fldLock="1"/>
      </w:r>
      <w:r w:rsidR="005D02F2" w:rsidRPr="00F650D8">
        <w:rPr>
          <w:rFonts w:ascii="Times New Roman" w:hAnsi="Times New Roman" w:cs="Times New Roman"/>
          <w:iCs/>
        </w:rPr>
        <w:instrText>ADDIN CSL_CITATION {"citationItems":[{"id":"ITEM-1","itemData":{"author":[{"dropping-particle":"","family":"Heise","given":"T","non-dropping-particle":"","parse-names":false,"suffix":""},{"dropping-particle":"","family":"Seewaldt-Becker","given":"E","non-dropping-particle":"","parse-names":false,"suffix":""},{"dropping-particle":"","family":"Macha","given":"S","non-dropping-particle":"","parse-names":false,"suffix":""},{"dropping-particle":"","family":"Hantel","given":"S","non-dropping-particle":"","parse-names":false,"suffix":""},{"dropping-particle":"","family":"Pinnetti","given":"S","non-dropping-particle":"","parse-names":false,"suffix":""},{"dropping-particle":"","family":"Seman","given":"L","non-dropping-particle":"","parse-names":false,"suffix":""},{"dropping-particle":"","family":"Woerle","given":"HJ","non-dropping-particle":"","parse-names":false,"suffix":""}],"container-title":"Diabetes, Obesity and Metabolism","id":"ITEM-1","issue":"7","issued":{"date-parts":[["2013"]]},"page":"613-621","title":"Safety, tolerability, pharmacokinetics and pharmacodynamics following 4 weeks' treatment with empagliflozin once daily in patients with type 2 diabetes","type":"article-journal","volume":"15"},"uris":["http://www.mendeley.com/documents/?uuid=21d7b3dc-bb64-4bcf-bf4e-d24618184515"]},{"id":"ITEM-2","itemData":{"DOI":"10.2337/dc20-2887","ISSN":"0149-5992","abstract":"OBJECTIVE: SGTL2 inhibitors increase urinary glucose excretion and have beneficial  effects on cardiovascular and renal outcomes. The underlying mechanism may involve caloric restriction-like metabolic effects due to urinary glucose loss. We investigated the effects of dapagliflozin on 24-h energy metabolism and insulin sensitivity in patients with type 2 diabetes. RESEARCH DESIGN AND METHODS: There were 26 patients with type 2 diabetes randomized to a 5-week double-blind, crossover study with a 6- to 8-week washout. Indirect calorimetry was used to measure 24-h energy metabolism and the respiratory exchange ratio (RER), both by whole-room calorimetry and by ventilated hood during a two-step euglycemic-hyperinsulinemic clamp. Results are presented as the differences in least squares mean (95% CI) between treatments. RESULTS: Evaluable patients (n = 24) had a mean (SD) age of 64.2 (4.6) years, BMI of 28.1 (2.4) kg/m(2), and HbA(1c) of 6.9% (0.7) (51.7 [6.8] mmol/mol). Rate of glucose disappearance was unaffected by dapagliflozin, whereas fasting endogenous glucose production (EGP) increased by dapagliflozin (+2.27 [1.39, 3.14] μmol/kg/min, P &lt; 0.0001). Insulin-induced suppression of EGP (-1.71 [-2.75, -0.63] μmol/kg/min, P = 0.0036) and plasma free fatty acids (-21.93% [-39.31, -4.54], P = 0.016) was greater with dapagliflozin. Twenty-four-hour energy expenditure (-0.11 [-0.24, 0.03] MJ/day) remained unaffected by dapagliflozin, but dapagliflozin reduced the RER during daytime and nighttime, resulting in an increased day-to-nighttime difference in the RER (-0.010 [-0.017, -0.002], P = 0.016). Dapagliflozin treatment resulted in a negative 24-h energy and fat balance (-20.51 [-27.90, -13.12] g/day). CONCLUSIONS: Dapagliflozin treatment for 5 weeks resulted in major adjustments of metabolism mimicking caloric restriction, increased fat oxidation, improved hepatic and adipose insulin sensitivity, and improved 24-h energy metabolism.","author":[{"dropping-particle":"","family":"Op den Kamp","given":"Yvo J.M.","non-dropping-particle":"","parse-names":false,"suffix":""},{"dropping-particle":"","family":"Ligt","given":"Marlies","non-dropping-particle":"de","parse-names":false,"suffix":""},{"dropping-particle":"","family":"Dautzenberg","given":"Bas","non-dropping-particle":"","parse-names":false,"suffix":""},{"dropping-particle":"","family":"Kornips","given":"Esther","non-dropping-particle":"","parse-names":false,"suffix":""},{"dropping-particle":"","family":"Esterline","given":"Russell","non-dropping-particle":"","parse-names":false,"suffix":""},{"dropping-particle":"","family":"Hesselink","given":"Matthijs K.C.","non-dropping-particle":"","parse-names":false,"suffix":""},{"dropping-particle":"","family":"Hoeks","given":"Joris","non-dropping-particle":"","parse-names":false,"suffix":""},{"dropping-particle":"","family":"Schrauwen-Hinderling","given":"Vera B.","non-dropping-particle":"","parse-names":false,"suffix":""},{"dropping-particle":"","family":"Havekes","given":"Bas","non-dropping-particle":"","parse-names":false,"suffix":""},{"dropping-particle":"","family":"Oscarsson","given":"Jan","non-dropping-particle":"","parse-names":false,"suffix":""},{"dropping-particle":"","family":"Phielix","given":"Esther","non-dropping-particle":"","parse-names":false,"suffix":""},{"dropping-particle":"","family":"Schrauwen","given":"Patrick","non-dropping-particle":"","parse-names":false,"suffix":""}],"container-title":"Diabetes Care","id":"ITEM-2","issue":"6","issued":{"date-parts":[["2021"]]},"page":"1334-1343","title":"Effects of the SGLT2 Inhibitor Dapagliflozin on Energy Metabolism in Patients With Type 2 Diabetes: A Randomized, Double-Blind Crossover Trial","type":"article-journal","volume":"44"},"uris":["http://www.mendeley.com/documents/?uuid=36935c99-56e7-46df-9995-dd8f360a80d2"]}],"mendeley":{"formattedCitation":"&lt;sup&gt;3,24&lt;/sup&gt;","plainTextFormattedCitation":"3,24","previouslyFormattedCitation":"&lt;sup&gt;3,24&lt;/sup&gt;"},"properties":{"noteIndex":0},"schema":"https://github.com/citation-style-language/schema/raw/master/csl-citation.json"}</w:instrText>
      </w:r>
      <w:r w:rsidR="00FA43F6"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3,24</w:t>
      </w:r>
      <w:r w:rsidR="00FA43F6" w:rsidRPr="00F650D8">
        <w:rPr>
          <w:rFonts w:ascii="Times New Roman" w:hAnsi="Times New Roman" w:cs="Times New Roman"/>
          <w:iCs/>
        </w:rPr>
        <w:fldChar w:fldCharType="end"/>
      </w:r>
      <w:r w:rsidRPr="00F650D8">
        <w:rPr>
          <w:rFonts w:ascii="Times New Roman" w:hAnsi="Times New Roman" w:cs="Times New Roman"/>
          <w:iCs/>
        </w:rPr>
        <w:t xml:space="preserve"> </w:t>
      </w:r>
      <w:r w:rsidR="00122C62" w:rsidRPr="00F650D8">
        <w:rPr>
          <w:rFonts w:ascii="Times New Roman" w:hAnsi="Times New Roman" w:cs="Times New Roman"/>
          <w:iCs/>
        </w:rPr>
        <w:t>Participants</w:t>
      </w:r>
      <w:r w:rsidR="00CF0586" w:rsidRPr="00F650D8">
        <w:rPr>
          <w:rFonts w:ascii="Times New Roman" w:hAnsi="Times New Roman" w:cs="Times New Roman"/>
          <w:iCs/>
        </w:rPr>
        <w:t xml:space="preserve"> </w:t>
      </w:r>
      <w:r w:rsidR="00E37500" w:rsidRPr="00F650D8">
        <w:rPr>
          <w:rFonts w:ascii="Times New Roman" w:hAnsi="Times New Roman" w:cs="Times New Roman"/>
          <w:iCs/>
        </w:rPr>
        <w:t xml:space="preserve">received support to identify </w:t>
      </w:r>
      <w:r w:rsidR="00F37D27" w:rsidRPr="00F650D8">
        <w:rPr>
          <w:rFonts w:ascii="Times New Roman" w:hAnsi="Times New Roman" w:cs="Times New Roman"/>
          <w:iCs/>
        </w:rPr>
        <w:t xml:space="preserve">and maintain </w:t>
      </w:r>
      <w:r w:rsidR="00E37500" w:rsidRPr="00F650D8">
        <w:rPr>
          <w:rFonts w:ascii="Times New Roman" w:hAnsi="Times New Roman" w:cs="Times New Roman"/>
          <w:iCs/>
        </w:rPr>
        <w:t>a personali</w:t>
      </w:r>
      <w:r w:rsidR="002B7883" w:rsidRPr="00F650D8">
        <w:rPr>
          <w:rFonts w:ascii="Times New Roman" w:hAnsi="Times New Roman" w:cs="Times New Roman"/>
          <w:iCs/>
        </w:rPr>
        <w:t>s</w:t>
      </w:r>
      <w:r w:rsidR="00E37500" w:rsidRPr="00F650D8">
        <w:rPr>
          <w:rFonts w:ascii="Times New Roman" w:hAnsi="Times New Roman" w:cs="Times New Roman"/>
          <w:iCs/>
        </w:rPr>
        <w:t xml:space="preserve">ed approach to reach </w:t>
      </w:r>
      <w:r w:rsidR="003C664D" w:rsidRPr="00F650D8">
        <w:rPr>
          <w:rFonts w:ascii="Times New Roman" w:hAnsi="Times New Roman" w:cs="Times New Roman"/>
          <w:iCs/>
        </w:rPr>
        <w:t>a</w:t>
      </w:r>
      <w:r w:rsidR="00122C62" w:rsidRPr="00F650D8">
        <w:rPr>
          <w:rFonts w:ascii="Times New Roman" w:hAnsi="Times New Roman" w:cs="Times New Roman"/>
          <w:iCs/>
        </w:rPr>
        <w:t xml:space="preserve"> daily </w:t>
      </w:r>
      <w:r w:rsidR="00F36FAB" w:rsidRPr="00F650D8">
        <w:rPr>
          <w:rFonts w:ascii="Times New Roman" w:hAnsi="Times New Roman" w:cs="Times New Roman"/>
          <w:iCs/>
        </w:rPr>
        <w:t>EI</w:t>
      </w:r>
      <w:r w:rsidR="00C23406" w:rsidRPr="00F650D8">
        <w:rPr>
          <w:rFonts w:ascii="Times New Roman" w:hAnsi="Times New Roman" w:cs="Times New Roman"/>
          <w:iCs/>
        </w:rPr>
        <w:t xml:space="preserve"> target</w:t>
      </w:r>
      <w:r w:rsidR="00CE0A6B" w:rsidRPr="00F650D8">
        <w:rPr>
          <w:rFonts w:ascii="Times New Roman" w:hAnsi="Times New Roman" w:cs="Times New Roman"/>
          <w:iCs/>
        </w:rPr>
        <w:t xml:space="preserve">, </w:t>
      </w:r>
      <w:r w:rsidR="000C6A07" w:rsidRPr="00F650D8">
        <w:rPr>
          <w:rFonts w:ascii="Times New Roman" w:hAnsi="Times New Roman" w:cs="Times New Roman"/>
          <w:iCs/>
        </w:rPr>
        <w:t xml:space="preserve">based upon </w:t>
      </w:r>
      <w:r w:rsidR="00CE0A6B" w:rsidRPr="00F650D8">
        <w:rPr>
          <w:rFonts w:ascii="Times New Roman" w:hAnsi="Times New Roman" w:cs="Times New Roman"/>
          <w:iCs/>
        </w:rPr>
        <w:t>their</w:t>
      </w:r>
      <w:r w:rsidR="000C6A07" w:rsidRPr="00F650D8">
        <w:rPr>
          <w:rFonts w:ascii="Times New Roman" w:hAnsi="Times New Roman" w:cs="Times New Roman"/>
          <w:iCs/>
        </w:rPr>
        <w:t xml:space="preserve"> </w:t>
      </w:r>
      <w:r w:rsidR="00F37D27" w:rsidRPr="00F650D8">
        <w:rPr>
          <w:rFonts w:ascii="Times New Roman" w:hAnsi="Times New Roman" w:cs="Times New Roman"/>
          <w:iCs/>
        </w:rPr>
        <w:t>estimated daily energy requirements</w:t>
      </w:r>
      <w:r w:rsidR="000C6A07" w:rsidRPr="00F650D8">
        <w:rPr>
          <w:rFonts w:ascii="Times New Roman" w:hAnsi="Times New Roman" w:cs="Times New Roman"/>
          <w:iCs/>
        </w:rPr>
        <w:t xml:space="preserve"> (assessed using indirect calorimetry), </w:t>
      </w:r>
      <w:r w:rsidR="00CE0A6B" w:rsidRPr="00F650D8">
        <w:rPr>
          <w:rFonts w:ascii="Times New Roman" w:hAnsi="Times New Roman" w:cs="Times New Roman"/>
          <w:iCs/>
        </w:rPr>
        <w:t xml:space="preserve">and </w:t>
      </w:r>
      <w:r w:rsidR="00F37D27" w:rsidRPr="00F650D8">
        <w:rPr>
          <w:rFonts w:ascii="Times New Roman" w:hAnsi="Times New Roman" w:cs="Times New Roman"/>
          <w:iCs/>
        </w:rPr>
        <w:t>accounting for self-reported physical activity</w:t>
      </w:r>
      <w:r w:rsidR="00CE0A6B" w:rsidRPr="00F650D8">
        <w:rPr>
          <w:rFonts w:ascii="Times New Roman" w:hAnsi="Times New Roman" w:cs="Times New Roman"/>
          <w:iCs/>
        </w:rPr>
        <w:t>. Targets</w:t>
      </w:r>
      <w:r w:rsidR="003C664D" w:rsidRPr="00F650D8">
        <w:rPr>
          <w:rFonts w:ascii="Times New Roman" w:hAnsi="Times New Roman" w:cs="Times New Roman"/>
          <w:iCs/>
        </w:rPr>
        <w:t xml:space="preserve"> were</w:t>
      </w:r>
      <w:r w:rsidR="00122C62" w:rsidRPr="00F650D8">
        <w:rPr>
          <w:rFonts w:ascii="Times New Roman" w:hAnsi="Times New Roman" w:cs="Times New Roman"/>
          <w:iCs/>
        </w:rPr>
        <w:t xml:space="preserve"> revised </w:t>
      </w:r>
      <w:r w:rsidR="00CE0A6B" w:rsidRPr="00F650D8">
        <w:rPr>
          <w:rFonts w:ascii="Times New Roman" w:hAnsi="Times New Roman" w:cs="Times New Roman"/>
          <w:iCs/>
        </w:rPr>
        <w:t>after</w:t>
      </w:r>
      <w:r w:rsidR="00E37500" w:rsidRPr="00F650D8">
        <w:rPr>
          <w:rFonts w:ascii="Times New Roman" w:hAnsi="Times New Roman" w:cs="Times New Roman"/>
          <w:iCs/>
        </w:rPr>
        <w:t xml:space="preserve"> </w:t>
      </w:r>
      <w:r w:rsidR="00236595" w:rsidRPr="00F650D8">
        <w:rPr>
          <w:rFonts w:ascii="Times New Roman" w:hAnsi="Times New Roman" w:cs="Times New Roman"/>
          <w:iCs/>
        </w:rPr>
        <w:t>6</w:t>
      </w:r>
      <w:r w:rsidR="00E37500" w:rsidRPr="00F650D8">
        <w:rPr>
          <w:rFonts w:ascii="Times New Roman" w:hAnsi="Times New Roman" w:cs="Times New Roman"/>
          <w:iCs/>
        </w:rPr>
        <w:t xml:space="preserve"> and 12 weeks. </w:t>
      </w:r>
    </w:p>
    <w:p w14:paraId="4800523A" w14:textId="77777777" w:rsidR="00050C96" w:rsidRPr="00F650D8" w:rsidRDefault="00050C96" w:rsidP="0096619A">
      <w:pPr>
        <w:spacing w:line="480" w:lineRule="auto"/>
        <w:jc w:val="both"/>
        <w:rPr>
          <w:rFonts w:ascii="Times New Roman" w:hAnsi="Times New Roman" w:cs="Times New Roman"/>
          <w:iCs/>
        </w:rPr>
      </w:pPr>
    </w:p>
    <w:p w14:paraId="7D7E5F32" w14:textId="5E6B351B" w:rsidR="00633B12" w:rsidRPr="00F650D8" w:rsidRDefault="000C6A07" w:rsidP="00DF2E09">
      <w:pPr>
        <w:spacing w:line="480" w:lineRule="auto"/>
        <w:jc w:val="both"/>
        <w:rPr>
          <w:rFonts w:ascii="Times New Roman" w:hAnsi="Times New Roman" w:cs="Times New Roman"/>
          <w:iCs/>
        </w:rPr>
      </w:pPr>
      <w:r w:rsidRPr="00F650D8">
        <w:rPr>
          <w:rFonts w:ascii="Times New Roman" w:hAnsi="Times New Roman" w:cs="Times New Roman"/>
          <w:iCs/>
        </w:rPr>
        <w:t>P</w:t>
      </w:r>
      <w:r w:rsidR="00A96621" w:rsidRPr="00F650D8">
        <w:rPr>
          <w:rFonts w:ascii="Times New Roman" w:hAnsi="Times New Roman" w:cs="Times New Roman"/>
          <w:iCs/>
        </w:rPr>
        <w:t>articipants attended</w:t>
      </w:r>
      <w:r w:rsidR="001A6067" w:rsidRPr="00F650D8">
        <w:rPr>
          <w:rFonts w:ascii="Times New Roman" w:hAnsi="Times New Roman" w:cs="Times New Roman"/>
          <w:iCs/>
        </w:rPr>
        <w:t xml:space="preserve"> </w:t>
      </w:r>
      <w:r w:rsidR="00265036" w:rsidRPr="00F650D8">
        <w:rPr>
          <w:rFonts w:ascii="Times New Roman" w:hAnsi="Times New Roman" w:cs="Times New Roman"/>
          <w:iCs/>
        </w:rPr>
        <w:t>five</w:t>
      </w:r>
      <w:r w:rsidR="00A16AD1" w:rsidRPr="00F650D8">
        <w:rPr>
          <w:rFonts w:ascii="Times New Roman" w:hAnsi="Times New Roman" w:cs="Times New Roman"/>
          <w:iCs/>
        </w:rPr>
        <w:t xml:space="preserve"> </w:t>
      </w:r>
      <w:r w:rsidR="00A96621" w:rsidRPr="00F650D8">
        <w:rPr>
          <w:rFonts w:ascii="Times New Roman" w:hAnsi="Times New Roman" w:cs="Times New Roman"/>
          <w:iCs/>
        </w:rPr>
        <w:t>experimental</w:t>
      </w:r>
      <w:r w:rsidR="00265036" w:rsidRPr="00F650D8">
        <w:rPr>
          <w:rFonts w:ascii="Times New Roman" w:hAnsi="Times New Roman" w:cs="Times New Roman"/>
          <w:iCs/>
        </w:rPr>
        <w:t xml:space="preserve"> visits</w:t>
      </w:r>
      <w:r w:rsidR="0008002C" w:rsidRPr="00F650D8">
        <w:rPr>
          <w:rFonts w:ascii="Times New Roman" w:hAnsi="Times New Roman" w:cs="Times New Roman"/>
          <w:iCs/>
        </w:rPr>
        <w:t xml:space="preserve"> (Visits 1-</w:t>
      </w:r>
      <w:r w:rsidR="00A16AD1" w:rsidRPr="00F650D8">
        <w:rPr>
          <w:rFonts w:ascii="Times New Roman" w:hAnsi="Times New Roman" w:cs="Times New Roman"/>
          <w:iCs/>
        </w:rPr>
        <w:t>5)</w:t>
      </w:r>
      <w:r w:rsidR="0077336A" w:rsidRPr="00F650D8">
        <w:rPr>
          <w:rFonts w:ascii="Times New Roman" w:hAnsi="Times New Roman" w:cs="Times New Roman"/>
          <w:iCs/>
        </w:rPr>
        <w:t>,</w:t>
      </w:r>
      <w:r w:rsidR="007D3A8C" w:rsidRPr="00F650D8">
        <w:rPr>
          <w:rFonts w:ascii="Times New Roman" w:hAnsi="Times New Roman" w:cs="Times New Roman"/>
          <w:iCs/>
        </w:rPr>
        <w:t xml:space="preserve"> occurring at</w:t>
      </w:r>
      <w:r w:rsidR="00265036" w:rsidRPr="00F650D8">
        <w:rPr>
          <w:rFonts w:ascii="Times New Roman" w:hAnsi="Times New Roman" w:cs="Times New Roman"/>
          <w:iCs/>
        </w:rPr>
        <w:t xml:space="preserve"> baseline</w:t>
      </w:r>
      <w:r w:rsidR="007D3A8C" w:rsidRPr="00F650D8">
        <w:rPr>
          <w:rFonts w:ascii="Times New Roman" w:hAnsi="Times New Roman" w:cs="Times New Roman"/>
          <w:iCs/>
        </w:rPr>
        <w:t>,</w:t>
      </w:r>
      <w:r w:rsidR="00265036" w:rsidRPr="00F650D8">
        <w:rPr>
          <w:rFonts w:ascii="Times New Roman" w:hAnsi="Times New Roman" w:cs="Times New Roman"/>
          <w:iCs/>
        </w:rPr>
        <w:t xml:space="preserve"> </w:t>
      </w:r>
      <w:r w:rsidR="00022566" w:rsidRPr="00F650D8">
        <w:rPr>
          <w:rFonts w:ascii="Times New Roman" w:hAnsi="Times New Roman" w:cs="Times New Roman"/>
          <w:iCs/>
        </w:rPr>
        <w:t>2</w:t>
      </w:r>
      <w:r w:rsidR="001F0BF2" w:rsidRPr="00F650D8">
        <w:rPr>
          <w:rFonts w:ascii="Times New Roman" w:hAnsi="Times New Roman" w:cs="Times New Roman"/>
          <w:iCs/>
        </w:rPr>
        <w:t xml:space="preserve">, </w:t>
      </w:r>
      <w:r w:rsidR="00022566" w:rsidRPr="00F650D8">
        <w:rPr>
          <w:rFonts w:ascii="Times New Roman" w:hAnsi="Times New Roman" w:cs="Times New Roman"/>
          <w:iCs/>
        </w:rPr>
        <w:t>6</w:t>
      </w:r>
      <w:r w:rsidR="001F0BF2" w:rsidRPr="00F650D8">
        <w:rPr>
          <w:rFonts w:ascii="Times New Roman" w:hAnsi="Times New Roman" w:cs="Times New Roman"/>
          <w:iCs/>
        </w:rPr>
        <w:t>, 12 and 24 weeks</w:t>
      </w:r>
      <w:r w:rsidR="0096619A" w:rsidRPr="00F650D8">
        <w:rPr>
          <w:rFonts w:ascii="Times New Roman" w:hAnsi="Times New Roman" w:cs="Times New Roman"/>
          <w:iCs/>
        </w:rPr>
        <w:t xml:space="preserve">. </w:t>
      </w:r>
      <w:r w:rsidR="0052670C" w:rsidRPr="00F650D8">
        <w:rPr>
          <w:rFonts w:ascii="Times New Roman" w:hAnsi="Times New Roman" w:cs="Times New Roman"/>
          <w:iCs/>
        </w:rPr>
        <w:t>Dietary intake (including alcohol and caffeine) and structured physical activity were standardi</w:t>
      </w:r>
      <w:r w:rsidR="002B7883" w:rsidRPr="00F650D8">
        <w:rPr>
          <w:rFonts w:ascii="Times New Roman" w:hAnsi="Times New Roman" w:cs="Times New Roman"/>
          <w:iCs/>
        </w:rPr>
        <w:t>s</w:t>
      </w:r>
      <w:r w:rsidR="0052670C" w:rsidRPr="00F650D8">
        <w:rPr>
          <w:rFonts w:ascii="Times New Roman" w:hAnsi="Times New Roman" w:cs="Times New Roman"/>
          <w:iCs/>
        </w:rPr>
        <w:t xml:space="preserve">ed before each visit. </w:t>
      </w:r>
      <w:r w:rsidR="006F01C5" w:rsidRPr="00F650D8">
        <w:rPr>
          <w:rFonts w:ascii="Times New Roman" w:hAnsi="Times New Roman" w:cs="Times New Roman"/>
          <w:iCs/>
        </w:rPr>
        <w:t>Upon arrival (08</w:t>
      </w:r>
      <w:r w:rsidR="00673708" w:rsidRPr="00F650D8">
        <w:rPr>
          <w:rFonts w:ascii="Times New Roman" w:hAnsi="Times New Roman" w:cs="Times New Roman"/>
          <w:iCs/>
        </w:rPr>
        <w:t>:</w:t>
      </w:r>
      <w:r w:rsidR="006F01C5" w:rsidRPr="00F650D8">
        <w:rPr>
          <w:rFonts w:ascii="Times New Roman" w:hAnsi="Times New Roman" w:cs="Times New Roman"/>
          <w:iCs/>
        </w:rPr>
        <w:t>00</w:t>
      </w:r>
      <w:r w:rsidR="00652784" w:rsidRPr="00F650D8">
        <w:rPr>
          <w:rFonts w:ascii="Times New Roman" w:hAnsi="Times New Roman" w:cs="Times New Roman"/>
          <w:iCs/>
        </w:rPr>
        <w:t>-</w:t>
      </w:r>
      <w:r w:rsidR="006F01C5" w:rsidRPr="00F650D8">
        <w:rPr>
          <w:rFonts w:ascii="Times New Roman" w:hAnsi="Times New Roman" w:cs="Times New Roman"/>
          <w:iCs/>
        </w:rPr>
        <w:t>09</w:t>
      </w:r>
      <w:r w:rsidR="00673708" w:rsidRPr="00F650D8">
        <w:rPr>
          <w:rFonts w:ascii="Times New Roman" w:hAnsi="Times New Roman" w:cs="Times New Roman"/>
          <w:iCs/>
        </w:rPr>
        <w:t>:</w:t>
      </w:r>
      <w:r w:rsidR="006F01C5" w:rsidRPr="00F650D8">
        <w:rPr>
          <w:rFonts w:ascii="Times New Roman" w:hAnsi="Times New Roman" w:cs="Times New Roman"/>
          <w:iCs/>
        </w:rPr>
        <w:t>00</w:t>
      </w:r>
      <w:r w:rsidR="00260FC0" w:rsidRPr="00F650D8">
        <w:rPr>
          <w:rFonts w:ascii="Times New Roman" w:hAnsi="Times New Roman" w:cs="Times New Roman"/>
          <w:iCs/>
        </w:rPr>
        <w:t>h</w:t>
      </w:r>
      <w:r w:rsidR="006F01C5" w:rsidRPr="00F650D8">
        <w:rPr>
          <w:rFonts w:ascii="Times New Roman" w:hAnsi="Times New Roman" w:cs="Times New Roman"/>
          <w:iCs/>
        </w:rPr>
        <w:t>), b</w:t>
      </w:r>
      <w:r w:rsidR="00FC2D9D" w:rsidRPr="00F650D8">
        <w:rPr>
          <w:rFonts w:ascii="Times New Roman" w:hAnsi="Times New Roman" w:cs="Times New Roman"/>
          <w:iCs/>
        </w:rPr>
        <w:t>ody mass,</w:t>
      </w:r>
      <w:r w:rsidR="001828CE" w:rsidRPr="00F650D8">
        <w:rPr>
          <w:rFonts w:ascii="Times New Roman" w:hAnsi="Times New Roman" w:cs="Times New Roman"/>
          <w:iCs/>
        </w:rPr>
        <w:t xml:space="preserve"> </w:t>
      </w:r>
      <w:r w:rsidR="00C01670" w:rsidRPr="00F650D8">
        <w:rPr>
          <w:rFonts w:ascii="Times New Roman" w:hAnsi="Times New Roman" w:cs="Times New Roman"/>
          <w:iCs/>
        </w:rPr>
        <w:t xml:space="preserve">BMI, </w:t>
      </w:r>
      <w:r w:rsidR="001828CE" w:rsidRPr="00F650D8">
        <w:rPr>
          <w:rFonts w:ascii="Times New Roman" w:hAnsi="Times New Roman" w:cs="Times New Roman"/>
          <w:iCs/>
        </w:rPr>
        <w:t>body fat percentage</w:t>
      </w:r>
      <w:r w:rsidR="00C01670" w:rsidRPr="00F650D8">
        <w:rPr>
          <w:rFonts w:ascii="Times New Roman" w:hAnsi="Times New Roman" w:cs="Times New Roman"/>
          <w:iCs/>
        </w:rPr>
        <w:t>,</w:t>
      </w:r>
      <w:r w:rsidR="001828CE" w:rsidRPr="00F650D8">
        <w:rPr>
          <w:rFonts w:ascii="Times New Roman" w:hAnsi="Times New Roman" w:cs="Times New Roman"/>
          <w:iCs/>
        </w:rPr>
        <w:t xml:space="preserve"> </w:t>
      </w:r>
      <w:r w:rsidR="00C01670" w:rsidRPr="00F650D8">
        <w:rPr>
          <w:rFonts w:ascii="Times New Roman" w:hAnsi="Times New Roman" w:cs="Times New Roman"/>
          <w:iCs/>
        </w:rPr>
        <w:t>waist circumference, hip circumference</w:t>
      </w:r>
      <w:r w:rsidR="00104FDB" w:rsidRPr="00F650D8">
        <w:rPr>
          <w:rFonts w:ascii="Times New Roman" w:hAnsi="Times New Roman" w:cs="Times New Roman"/>
          <w:iCs/>
        </w:rPr>
        <w:t xml:space="preserve">, </w:t>
      </w:r>
      <w:r w:rsidR="00C01670" w:rsidRPr="00F650D8">
        <w:rPr>
          <w:rFonts w:ascii="Times New Roman" w:hAnsi="Times New Roman" w:cs="Times New Roman"/>
          <w:iCs/>
        </w:rPr>
        <w:t>resting blood pressure</w:t>
      </w:r>
      <w:r w:rsidR="00EC0EAB" w:rsidRPr="00F650D8">
        <w:rPr>
          <w:rFonts w:ascii="Times New Roman" w:hAnsi="Times New Roman" w:cs="Times New Roman"/>
          <w:iCs/>
        </w:rPr>
        <w:t xml:space="preserve"> </w:t>
      </w:r>
      <w:r w:rsidR="00CE0A6B" w:rsidRPr="00F650D8">
        <w:rPr>
          <w:rFonts w:ascii="Times New Roman" w:hAnsi="Times New Roman" w:cs="Times New Roman"/>
          <w:iCs/>
        </w:rPr>
        <w:t xml:space="preserve">and heart rate, and resting EE (indirect calorimetry; GEM open-circuit ventilated hood system, GEM Nutrition Ltd., Cheshire, UK) </w:t>
      </w:r>
      <w:r w:rsidR="00C01670" w:rsidRPr="00F650D8">
        <w:rPr>
          <w:rFonts w:ascii="Times New Roman" w:hAnsi="Times New Roman" w:cs="Times New Roman"/>
          <w:iCs/>
        </w:rPr>
        <w:t>were measured using standardi</w:t>
      </w:r>
      <w:r w:rsidR="002B7883" w:rsidRPr="00F650D8">
        <w:rPr>
          <w:rFonts w:ascii="Times New Roman" w:hAnsi="Times New Roman" w:cs="Times New Roman"/>
          <w:iCs/>
        </w:rPr>
        <w:t>s</w:t>
      </w:r>
      <w:r w:rsidR="00C01670" w:rsidRPr="00F650D8">
        <w:rPr>
          <w:rFonts w:ascii="Times New Roman" w:hAnsi="Times New Roman" w:cs="Times New Roman"/>
          <w:iCs/>
        </w:rPr>
        <w:t xml:space="preserve">ed </w:t>
      </w:r>
      <w:r w:rsidR="00CE0A6B" w:rsidRPr="00F650D8">
        <w:rPr>
          <w:rFonts w:ascii="Times New Roman" w:hAnsi="Times New Roman" w:cs="Times New Roman"/>
          <w:iCs/>
        </w:rPr>
        <w:t>procedures</w:t>
      </w:r>
      <w:r w:rsidR="00F90E2F" w:rsidRPr="00F650D8">
        <w:rPr>
          <w:rFonts w:ascii="Times New Roman" w:hAnsi="Times New Roman" w:cs="Times New Roman"/>
          <w:iCs/>
        </w:rPr>
        <w:t xml:space="preserve">. </w:t>
      </w:r>
    </w:p>
    <w:p w14:paraId="14347909" w14:textId="77777777" w:rsidR="0041300C" w:rsidRPr="00F650D8" w:rsidRDefault="0041300C" w:rsidP="00DF2E09">
      <w:pPr>
        <w:spacing w:line="480" w:lineRule="auto"/>
        <w:jc w:val="both"/>
        <w:rPr>
          <w:rFonts w:ascii="Times New Roman" w:hAnsi="Times New Roman" w:cs="Times New Roman"/>
          <w:iCs/>
        </w:rPr>
      </w:pPr>
    </w:p>
    <w:p w14:paraId="3DA69166" w14:textId="3C4C2B03" w:rsidR="00D008C2" w:rsidRPr="00F650D8" w:rsidRDefault="00100C91" w:rsidP="00DF2E09">
      <w:pPr>
        <w:spacing w:line="480" w:lineRule="auto"/>
        <w:jc w:val="both"/>
        <w:rPr>
          <w:rFonts w:ascii="Times New Roman" w:hAnsi="Times New Roman" w:cs="Times New Roman"/>
          <w:iCs/>
        </w:rPr>
      </w:pPr>
      <w:r w:rsidRPr="00F650D8">
        <w:rPr>
          <w:rFonts w:ascii="Times New Roman" w:hAnsi="Times New Roman" w:cs="Times New Roman"/>
          <w:iCs/>
        </w:rPr>
        <w:t>Approximat</w:t>
      </w:r>
      <w:r w:rsidR="00573842" w:rsidRPr="00F650D8">
        <w:rPr>
          <w:rFonts w:ascii="Times New Roman" w:hAnsi="Times New Roman" w:cs="Times New Roman"/>
          <w:iCs/>
        </w:rPr>
        <w:t>ely 90</w:t>
      </w:r>
      <w:r w:rsidR="00652784" w:rsidRPr="00F650D8">
        <w:rPr>
          <w:rFonts w:ascii="Times New Roman" w:hAnsi="Times New Roman" w:cs="Times New Roman"/>
          <w:iCs/>
        </w:rPr>
        <w:t>min</w:t>
      </w:r>
      <w:r w:rsidR="00573842" w:rsidRPr="00F650D8">
        <w:rPr>
          <w:rFonts w:ascii="Times New Roman" w:hAnsi="Times New Roman" w:cs="Times New Roman"/>
          <w:iCs/>
        </w:rPr>
        <w:t xml:space="preserve"> into Visits 1-</w:t>
      </w:r>
      <w:r w:rsidRPr="00F650D8">
        <w:rPr>
          <w:rFonts w:ascii="Times New Roman" w:hAnsi="Times New Roman" w:cs="Times New Roman"/>
          <w:iCs/>
        </w:rPr>
        <w:t xml:space="preserve">5, </w:t>
      </w:r>
      <w:r w:rsidR="00C20047" w:rsidRPr="00F650D8">
        <w:rPr>
          <w:rFonts w:ascii="Times New Roman" w:hAnsi="Times New Roman" w:cs="Times New Roman"/>
          <w:iCs/>
        </w:rPr>
        <w:t>participants underwent a 3-hour mixed meal tolerance test (MMTT). A</w:t>
      </w:r>
      <w:r w:rsidRPr="00F650D8">
        <w:rPr>
          <w:rFonts w:ascii="Times New Roman" w:hAnsi="Times New Roman" w:cs="Times New Roman"/>
          <w:iCs/>
        </w:rPr>
        <w:t>n</w:t>
      </w:r>
      <w:r w:rsidR="00BA72BD" w:rsidRPr="00F650D8">
        <w:rPr>
          <w:rFonts w:ascii="Times New Roman" w:hAnsi="Times New Roman" w:cs="Times New Roman"/>
          <w:iCs/>
        </w:rPr>
        <w:t xml:space="preserve"> intravenous cannula was</w:t>
      </w:r>
      <w:r w:rsidR="005766E0" w:rsidRPr="00F650D8">
        <w:rPr>
          <w:rFonts w:ascii="Times New Roman" w:hAnsi="Times New Roman" w:cs="Times New Roman"/>
          <w:iCs/>
        </w:rPr>
        <w:t xml:space="preserve"> </w:t>
      </w:r>
      <w:r w:rsidR="00BA72BD" w:rsidRPr="00F650D8">
        <w:rPr>
          <w:rFonts w:ascii="Times New Roman" w:hAnsi="Times New Roman" w:cs="Times New Roman"/>
          <w:iCs/>
        </w:rPr>
        <w:t>inserted into an antecubital or forearm vei</w:t>
      </w:r>
      <w:r w:rsidR="00F72595" w:rsidRPr="00F650D8">
        <w:rPr>
          <w:rFonts w:ascii="Times New Roman" w:hAnsi="Times New Roman" w:cs="Times New Roman"/>
          <w:iCs/>
        </w:rPr>
        <w:t>n</w:t>
      </w:r>
      <w:r w:rsidR="007E0898" w:rsidRPr="00F650D8">
        <w:rPr>
          <w:rFonts w:ascii="Times New Roman" w:hAnsi="Times New Roman" w:cs="Times New Roman"/>
          <w:iCs/>
        </w:rPr>
        <w:t xml:space="preserve">, </w:t>
      </w:r>
      <w:r w:rsidR="00351FD6" w:rsidRPr="00F650D8">
        <w:rPr>
          <w:rFonts w:ascii="Times New Roman" w:hAnsi="Times New Roman" w:cs="Times New Roman"/>
          <w:iCs/>
        </w:rPr>
        <w:t>after which participants rested for</w:t>
      </w:r>
      <w:r w:rsidR="007E0898" w:rsidRPr="00F650D8">
        <w:rPr>
          <w:rFonts w:ascii="Times New Roman" w:hAnsi="Times New Roman" w:cs="Times New Roman"/>
          <w:iCs/>
        </w:rPr>
        <w:t xml:space="preserve"> 30min </w:t>
      </w:r>
      <w:r w:rsidR="00351FD6" w:rsidRPr="00F650D8">
        <w:rPr>
          <w:rFonts w:ascii="Times New Roman" w:hAnsi="Times New Roman" w:cs="Times New Roman"/>
          <w:iCs/>
        </w:rPr>
        <w:t>to ensure habituation</w:t>
      </w:r>
      <w:r w:rsidR="00FD31AC" w:rsidRPr="00F650D8">
        <w:rPr>
          <w:rFonts w:ascii="Times New Roman" w:hAnsi="Times New Roman" w:cs="Times New Roman"/>
          <w:iCs/>
        </w:rPr>
        <w:t>.</w:t>
      </w:r>
      <w:r w:rsidR="00A86F24" w:rsidRPr="00F650D8">
        <w:rPr>
          <w:rFonts w:ascii="Times New Roman" w:hAnsi="Times New Roman" w:cs="Times New Roman"/>
          <w:iCs/>
        </w:rPr>
        <w:fldChar w:fldCharType="begin" w:fldLock="1"/>
      </w:r>
      <w:r w:rsidR="005D02F2" w:rsidRPr="00F650D8">
        <w:rPr>
          <w:rFonts w:ascii="Times New Roman" w:hAnsi="Times New Roman" w:cs="Times New Roman"/>
          <w:iCs/>
        </w:rPr>
        <w:instrText>ADDIN CSL_CITATION {"citationItems":[{"id":"ITEM-1","itemData":{"DOI":"10.1053/j.gastro.2009.02.047","ISSN":"1528-0012","PMID":"19233179","abstract":"Gut hormones represent attractive therapeutic targets for the treatment of obesity and type 2 diabetes. However, controversy surrounds the effects that adiposity, dietary manipulations, and bariatric surgery have on their circulating concentrations. We sought to determine whether these discrepancies are due to methodologic differences.","author":[{"dropping-particle":"","family":"Chandarana","given":"Keval","non-dropping-particle":"","parse-names":false,"suffix":""},{"dropping-particle":"","family":"Drew","given":"Megan E","non-dropping-particle":"","parse-names":false,"suffix":""},{"dropping-particle":"","family":"Emmanuel","given":"Julian","non-dropping-particle":"","parse-names":false,"suffix":""},{"dropping-particle":"","family":"Karra","given":"Efthimia","non-dropping-particle":"","parse-names":false,"suffix":""},{"dropping-particle":"","family":"Gelegen","given":"Cigdem","non-dropping-particle":"","parse-names":false,"suffix":""},{"dropping-particle":"","family":"Chan","given":"Philip","non-dropping-particle":"","parse-names":false,"suffix":""},{"dropping-particle":"","family":"Cron","given":"Nicholas J","non-dropping-particle":"","parse-names":false,"suffix":""},{"dropping-particle":"","family":"Batterham","given":"Rachel L","non-dropping-particle":"","parse-names":false,"suffix":""}],"container-title":"Gastroenterology","id":"ITEM-1","issue":"7","issued":{"date-parts":[["2009","6"]]},"page":"2115-26","publisher":"AGA Institute American Gastroenterological Association","title":"Subject standardization, acclimatization, and sample processing affect gut hormone levels and appetite in humans.","type":"article-journal","volume":"136"},"uris":["http://www.mendeley.com/documents/?uuid=d9844b54-4275-4e02-bfea-68d4bc42d6b6"]}],"mendeley":{"formattedCitation":"&lt;sup&gt;25&lt;/sup&gt;","plainTextFormattedCitation":"25","previouslyFormattedCitation":"&lt;sup&gt;25&lt;/sup&gt;"},"properties":{"noteIndex":0},"schema":"https://github.com/citation-style-language/schema/raw/master/csl-citation.json"}</w:instrText>
      </w:r>
      <w:r w:rsidR="00A86F24"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25</w:t>
      </w:r>
      <w:r w:rsidR="00A86F24" w:rsidRPr="00F650D8">
        <w:rPr>
          <w:rFonts w:ascii="Times New Roman" w:hAnsi="Times New Roman" w:cs="Times New Roman"/>
          <w:iCs/>
        </w:rPr>
        <w:fldChar w:fldCharType="end"/>
      </w:r>
      <w:r w:rsidR="00F72595" w:rsidRPr="00F650D8">
        <w:rPr>
          <w:rFonts w:ascii="Times New Roman" w:hAnsi="Times New Roman" w:cs="Times New Roman"/>
          <w:iCs/>
        </w:rPr>
        <w:t xml:space="preserve"> A</w:t>
      </w:r>
      <w:r w:rsidR="00C20047" w:rsidRPr="00F650D8">
        <w:rPr>
          <w:rFonts w:ascii="Times New Roman" w:hAnsi="Times New Roman" w:cs="Times New Roman"/>
          <w:iCs/>
        </w:rPr>
        <w:t xml:space="preserve"> </w:t>
      </w:r>
      <w:r w:rsidR="00BA72BD" w:rsidRPr="00F650D8">
        <w:rPr>
          <w:rFonts w:ascii="Times New Roman" w:hAnsi="Times New Roman" w:cs="Times New Roman"/>
          <w:iCs/>
        </w:rPr>
        <w:t xml:space="preserve">fasted </w:t>
      </w:r>
      <w:r w:rsidR="00FC577E" w:rsidRPr="00F650D8">
        <w:rPr>
          <w:rFonts w:ascii="Times New Roman" w:hAnsi="Times New Roman" w:cs="Times New Roman"/>
          <w:iCs/>
        </w:rPr>
        <w:t xml:space="preserve">blood sample was </w:t>
      </w:r>
      <w:r w:rsidR="00F72595" w:rsidRPr="00F650D8">
        <w:rPr>
          <w:rFonts w:ascii="Times New Roman" w:hAnsi="Times New Roman" w:cs="Times New Roman"/>
          <w:iCs/>
        </w:rPr>
        <w:t xml:space="preserve">then </w:t>
      </w:r>
      <w:r w:rsidR="00FC577E" w:rsidRPr="00F650D8">
        <w:rPr>
          <w:rFonts w:ascii="Times New Roman" w:hAnsi="Times New Roman" w:cs="Times New Roman"/>
          <w:iCs/>
        </w:rPr>
        <w:t>collected</w:t>
      </w:r>
      <w:r w:rsidR="00351FD6" w:rsidRPr="00F650D8">
        <w:rPr>
          <w:rFonts w:ascii="Times New Roman" w:hAnsi="Times New Roman" w:cs="Times New Roman"/>
          <w:iCs/>
        </w:rPr>
        <w:t>,</w:t>
      </w:r>
      <w:r w:rsidR="00F72595" w:rsidRPr="00F650D8">
        <w:rPr>
          <w:rFonts w:ascii="Times New Roman" w:hAnsi="Times New Roman" w:cs="Times New Roman"/>
          <w:iCs/>
        </w:rPr>
        <w:t xml:space="preserve"> </w:t>
      </w:r>
      <w:r w:rsidR="00171C05" w:rsidRPr="00F650D8">
        <w:rPr>
          <w:rFonts w:ascii="Times New Roman" w:hAnsi="Times New Roman" w:cs="Times New Roman"/>
          <w:iCs/>
        </w:rPr>
        <w:t>before participants consumed</w:t>
      </w:r>
      <w:r w:rsidR="00C20047" w:rsidRPr="00F650D8">
        <w:rPr>
          <w:rFonts w:ascii="Times New Roman" w:hAnsi="Times New Roman" w:cs="Times New Roman"/>
          <w:iCs/>
        </w:rPr>
        <w:t xml:space="preserve"> a standardi</w:t>
      </w:r>
      <w:r w:rsidR="002B7883" w:rsidRPr="00F650D8">
        <w:rPr>
          <w:rFonts w:ascii="Times New Roman" w:hAnsi="Times New Roman" w:cs="Times New Roman"/>
          <w:iCs/>
        </w:rPr>
        <w:t>s</w:t>
      </w:r>
      <w:r w:rsidR="00C20047" w:rsidRPr="00F650D8">
        <w:rPr>
          <w:rFonts w:ascii="Times New Roman" w:hAnsi="Times New Roman" w:cs="Times New Roman"/>
          <w:iCs/>
        </w:rPr>
        <w:t xml:space="preserve">ed breakfast </w:t>
      </w:r>
      <w:r w:rsidR="00F72595" w:rsidRPr="00F650D8">
        <w:rPr>
          <w:rFonts w:ascii="Times New Roman" w:hAnsi="Times New Roman" w:cs="Times New Roman"/>
          <w:iCs/>
        </w:rPr>
        <w:t>meal</w:t>
      </w:r>
      <w:r w:rsidR="00D67F14" w:rsidRPr="00F650D8">
        <w:rPr>
          <w:rFonts w:ascii="Times New Roman" w:hAnsi="Times New Roman" w:cs="Times New Roman"/>
          <w:iCs/>
        </w:rPr>
        <w:t xml:space="preserve"> </w:t>
      </w:r>
      <w:r w:rsidR="00171C05" w:rsidRPr="00F650D8">
        <w:rPr>
          <w:rFonts w:ascii="Times New Roman" w:hAnsi="Times New Roman" w:cs="Times New Roman"/>
          <w:iCs/>
        </w:rPr>
        <w:t xml:space="preserve">within 15min. Each participant consumed the same meal at each of their visits, containing </w:t>
      </w:r>
      <w:r w:rsidR="00673708" w:rsidRPr="00F650D8">
        <w:rPr>
          <w:rFonts w:ascii="Times New Roman" w:hAnsi="Times New Roman" w:cs="Times New Roman"/>
          <w:iCs/>
        </w:rPr>
        <w:t>~</w:t>
      </w:r>
      <w:r w:rsidR="00171C05" w:rsidRPr="00F650D8">
        <w:rPr>
          <w:rFonts w:ascii="Times New Roman" w:hAnsi="Times New Roman" w:cs="Times New Roman"/>
          <w:iCs/>
        </w:rPr>
        <w:t>33% of their baseline estimated daily energy requirements and comprising approximately 50% carbohydrate, 15% fat and 35% protein. Further blood samples were collected 30, 60, 90, 120, 150 and 180mi</w:t>
      </w:r>
      <w:r w:rsidR="00652784" w:rsidRPr="00F650D8">
        <w:rPr>
          <w:rFonts w:ascii="Times New Roman" w:hAnsi="Times New Roman" w:cs="Times New Roman"/>
          <w:iCs/>
        </w:rPr>
        <w:t>n</w:t>
      </w:r>
      <w:r w:rsidR="00171C05" w:rsidRPr="00F650D8">
        <w:rPr>
          <w:rFonts w:ascii="Times New Roman" w:hAnsi="Times New Roman" w:cs="Times New Roman"/>
          <w:iCs/>
        </w:rPr>
        <w:t xml:space="preserve"> after the final mouthful. </w:t>
      </w:r>
      <w:r w:rsidR="009744CC" w:rsidRPr="00F650D8">
        <w:rPr>
          <w:rFonts w:ascii="Times New Roman" w:hAnsi="Times New Roman" w:cs="Times New Roman"/>
          <w:iCs/>
        </w:rPr>
        <w:t>S</w:t>
      </w:r>
      <w:r w:rsidR="00FE5768" w:rsidRPr="00F650D8">
        <w:rPr>
          <w:rFonts w:ascii="Times New Roman" w:hAnsi="Times New Roman" w:cs="Times New Roman"/>
          <w:iCs/>
        </w:rPr>
        <w:t>ubjective appetite perceptions (hunger, fullness, satisfaction and prospective food consumption</w:t>
      </w:r>
      <w:r w:rsidR="00351FD6" w:rsidRPr="00F650D8">
        <w:rPr>
          <w:rFonts w:ascii="Times New Roman" w:hAnsi="Times New Roman" w:cs="Times New Roman"/>
          <w:iCs/>
        </w:rPr>
        <w:t>) were</w:t>
      </w:r>
      <w:r w:rsidR="000C60EE" w:rsidRPr="00F650D8">
        <w:rPr>
          <w:rFonts w:ascii="Times New Roman" w:hAnsi="Times New Roman" w:cs="Times New Roman"/>
          <w:iCs/>
        </w:rPr>
        <w:t xml:space="preserve"> assessed using 100mm visual analogue scale</w:t>
      </w:r>
      <w:r w:rsidR="00351FD6" w:rsidRPr="00F650D8">
        <w:rPr>
          <w:rFonts w:ascii="Times New Roman" w:hAnsi="Times New Roman" w:cs="Times New Roman"/>
          <w:iCs/>
        </w:rPr>
        <w:t>s</w:t>
      </w:r>
      <w:r w:rsidR="00A335A1" w:rsidRPr="00F650D8">
        <w:rPr>
          <w:rFonts w:ascii="Times New Roman" w:hAnsi="Times New Roman" w:cs="Times New Roman"/>
          <w:iCs/>
        </w:rPr>
        <w:t xml:space="preserve"> (VAS)</w:t>
      </w:r>
      <w:r w:rsidR="00FD31AC" w:rsidRPr="00F650D8">
        <w:rPr>
          <w:rFonts w:ascii="Times New Roman" w:hAnsi="Times New Roman" w:cs="Times New Roman"/>
          <w:iCs/>
        </w:rPr>
        <w:t xml:space="preserve"> immediately before sample collection.</w:t>
      </w:r>
      <w:r w:rsidR="008B215D" w:rsidRPr="00F650D8">
        <w:rPr>
          <w:rFonts w:ascii="Times New Roman" w:hAnsi="Times New Roman" w:cs="Times New Roman"/>
          <w:iCs/>
        </w:rPr>
        <w:fldChar w:fldCharType="begin" w:fldLock="1"/>
      </w:r>
      <w:r w:rsidR="005D02F2" w:rsidRPr="00F650D8">
        <w:rPr>
          <w:rFonts w:ascii="Times New Roman" w:hAnsi="Times New Roman" w:cs="Times New Roman"/>
          <w:iCs/>
        </w:rPr>
        <w:instrText>ADDIN CSL_CITATION {"citationItems":[{"id":"ITEM-1","itemData":{"DOI":"DOI: 10.1038/sj.ijo.0801083","ISSN":"0307-0565","PMID":"10702749","abstract":"To examine reproducibility and validity of visual analogue scales (VAS) for measurement of appetite sensations, with and without a diet standardization prior to the test days.","author":[{"dropping-particle":"","family":"Flint","given":"A","non-dropping-particle":"","parse-names":false,"suffix":""},{"dropping-particle":"","family":"Raben","given":"A","non-dropping-particle":"","parse-names":false,"suffix":""},{"dropping-particle":"","family":"Blundell","given":"J E","non-dropping-particle":"","parse-names":false,"suffix":""},{"dropping-particle":"","family":"Astrup","given":"A","non-dropping-particle":"","parse-names":false,"suffix":""}],"container-title":"International journal of obesity and related metabolic disorders : journal of the International Association for the Study of Obesity","id":"ITEM-1","issue":"1","issued":{"date-parts":[["2000","1"]]},"page":"38-48","title":"Reproducibility, power and validity of visual analogue scales in assessment of appetite sensations in single test meal studies.","type":"article-journal","volume":"24"},"uris":["http://www.mendeley.com/documents/?uuid=14f1f07a-a847-44a8-9167-355065dba0d8"]}],"mendeley":{"formattedCitation":"&lt;sup&gt;26&lt;/sup&gt;","plainTextFormattedCitation":"26","previouslyFormattedCitation":"&lt;sup&gt;26&lt;/sup&gt;"},"properties":{"noteIndex":0},"schema":"https://github.com/citation-style-language/schema/raw/master/csl-citation.json"}</w:instrText>
      </w:r>
      <w:r w:rsidR="008B215D"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26</w:t>
      </w:r>
      <w:r w:rsidR="008B215D" w:rsidRPr="00F650D8">
        <w:rPr>
          <w:rFonts w:ascii="Times New Roman" w:hAnsi="Times New Roman" w:cs="Times New Roman"/>
          <w:iCs/>
        </w:rPr>
        <w:fldChar w:fldCharType="end"/>
      </w:r>
      <w:r w:rsidR="009B28D7" w:rsidRPr="00F650D8">
        <w:rPr>
          <w:rFonts w:ascii="Times New Roman" w:hAnsi="Times New Roman" w:cs="Times New Roman"/>
          <w:iCs/>
        </w:rPr>
        <w:t xml:space="preserve"> </w:t>
      </w:r>
    </w:p>
    <w:p w14:paraId="6086D512" w14:textId="77777777" w:rsidR="008B215D" w:rsidRPr="00F650D8" w:rsidRDefault="008B215D" w:rsidP="00DF2E09">
      <w:pPr>
        <w:spacing w:line="480" w:lineRule="auto"/>
        <w:jc w:val="both"/>
        <w:rPr>
          <w:rFonts w:ascii="Times New Roman" w:hAnsi="Times New Roman" w:cs="Times New Roman"/>
          <w:iCs/>
        </w:rPr>
      </w:pPr>
    </w:p>
    <w:p w14:paraId="456991B5" w14:textId="26CA4670" w:rsidR="006A4CF7" w:rsidRPr="00F650D8" w:rsidRDefault="007F2B03" w:rsidP="00DF2E09">
      <w:pPr>
        <w:spacing w:line="480" w:lineRule="auto"/>
        <w:jc w:val="both"/>
        <w:rPr>
          <w:rFonts w:ascii="Times New Roman" w:hAnsi="Times New Roman" w:cs="Times New Roman"/>
          <w:iCs/>
        </w:rPr>
      </w:pPr>
      <w:r w:rsidRPr="00F650D8">
        <w:rPr>
          <w:rFonts w:ascii="Times New Roman" w:hAnsi="Times New Roman" w:cs="Times New Roman"/>
          <w:iCs/>
        </w:rPr>
        <w:t>Blood samples were drawn into chilled tubes pre-treated with an anticoagulant or clotting factor, for the isolation of plasma or serum, respectively.</w:t>
      </w:r>
      <w:r w:rsidR="006203DD" w:rsidRPr="00F650D8">
        <w:rPr>
          <w:rFonts w:ascii="Times New Roman" w:hAnsi="Times New Roman" w:cs="Times New Roman"/>
          <w:iCs/>
        </w:rPr>
        <w:t xml:space="preserve"> To prevent degradation of acylated ghrelin, </w:t>
      </w:r>
      <w:r w:rsidR="00E93CF0" w:rsidRPr="00F650D8">
        <w:rPr>
          <w:rFonts w:ascii="Times New Roman" w:hAnsi="Times New Roman" w:cs="Times New Roman"/>
          <w:iCs/>
        </w:rPr>
        <w:t>one tube was treated with a protease inhibitor cocktail according to manufacturer instructions</w:t>
      </w:r>
      <w:r w:rsidR="006203DD" w:rsidRPr="00F650D8">
        <w:rPr>
          <w:rFonts w:ascii="Times New Roman" w:hAnsi="Times New Roman" w:cs="Times New Roman"/>
          <w:iCs/>
        </w:rPr>
        <w:t>.</w:t>
      </w:r>
      <w:r w:rsidRPr="00F650D8">
        <w:rPr>
          <w:rFonts w:ascii="Times New Roman" w:hAnsi="Times New Roman" w:cs="Times New Roman"/>
          <w:iCs/>
        </w:rPr>
        <w:t xml:space="preserve"> </w:t>
      </w:r>
      <w:r w:rsidR="00461D57" w:rsidRPr="00F650D8">
        <w:rPr>
          <w:rFonts w:ascii="Times New Roman" w:hAnsi="Times New Roman" w:cs="Times New Roman"/>
          <w:iCs/>
        </w:rPr>
        <w:t xml:space="preserve">Clinical biomarkers were </w:t>
      </w:r>
      <w:r w:rsidR="009C5D02" w:rsidRPr="00F650D8">
        <w:rPr>
          <w:rFonts w:ascii="Times New Roman" w:hAnsi="Times New Roman" w:cs="Times New Roman"/>
          <w:iCs/>
        </w:rPr>
        <w:t>measured using standardi</w:t>
      </w:r>
      <w:r w:rsidR="002B7883" w:rsidRPr="00F650D8">
        <w:rPr>
          <w:rFonts w:ascii="Times New Roman" w:hAnsi="Times New Roman" w:cs="Times New Roman"/>
          <w:iCs/>
        </w:rPr>
        <w:t>s</w:t>
      </w:r>
      <w:r w:rsidR="009C5D02" w:rsidRPr="00F650D8">
        <w:rPr>
          <w:rFonts w:ascii="Times New Roman" w:hAnsi="Times New Roman" w:cs="Times New Roman"/>
          <w:iCs/>
        </w:rPr>
        <w:t>ed quality-controlled assays</w:t>
      </w:r>
      <w:r w:rsidR="00BC6113" w:rsidRPr="00F650D8">
        <w:rPr>
          <w:rFonts w:ascii="Times New Roman" w:hAnsi="Times New Roman" w:cs="Times New Roman"/>
          <w:iCs/>
        </w:rPr>
        <w:t xml:space="preserve"> within </w:t>
      </w:r>
      <w:r w:rsidR="00D211E6" w:rsidRPr="00F650D8">
        <w:rPr>
          <w:rFonts w:ascii="Times New Roman" w:hAnsi="Times New Roman" w:cs="Times New Roman"/>
          <w:iCs/>
        </w:rPr>
        <w:t>local</w:t>
      </w:r>
      <w:r w:rsidR="00673708" w:rsidRPr="00F650D8">
        <w:rPr>
          <w:rFonts w:ascii="Times New Roman" w:hAnsi="Times New Roman" w:cs="Times New Roman"/>
          <w:iCs/>
        </w:rPr>
        <w:t xml:space="preserve"> pathology laboratories</w:t>
      </w:r>
      <w:r w:rsidR="00F63D60" w:rsidRPr="00F650D8">
        <w:rPr>
          <w:rFonts w:ascii="Times New Roman" w:hAnsi="Times New Roman" w:cs="Times New Roman"/>
          <w:iCs/>
        </w:rPr>
        <w:t>.</w:t>
      </w:r>
      <w:r w:rsidR="00BF6ECE" w:rsidRPr="00F650D8">
        <w:rPr>
          <w:rFonts w:ascii="Times New Roman" w:hAnsi="Times New Roman" w:cs="Times New Roman"/>
          <w:iCs/>
        </w:rPr>
        <w:t xml:space="preserve"> </w:t>
      </w:r>
      <w:r w:rsidR="00BC6113" w:rsidRPr="00F650D8">
        <w:rPr>
          <w:rFonts w:ascii="Times New Roman" w:hAnsi="Times New Roman" w:cs="Times New Roman"/>
          <w:iCs/>
        </w:rPr>
        <w:t>Remaining</w:t>
      </w:r>
      <w:r w:rsidR="00BF6ECE" w:rsidRPr="00F650D8">
        <w:rPr>
          <w:rFonts w:ascii="Times New Roman" w:hAnsi="Times New Roman" w:cs="Times New Roman"/>
          <w:iCs/>
        </w:rPr>
        <w:t xml:space="preserve"> samples were spun immediately in a refrigerated centrifuge, before plasma/serum were isolated and stored at -80ºC for future batch analysis</w:t>
      </w:r>
      <w:r w:rsidR="006A4CF7" w:rsidRPr="00F650D8">
        <w:rPr>
          <w:rFonts w:ascii="Times New Roman" w:hAnsi="Times New Roman" w:cs="Times New Roman"/>
          <w:iCs/>
        </w:rPr>
        <w:t xml:space="preserve"> of total PYY, total GLP-1, acylated ghrelin, leptin (all ELISA), insulin, glucagon, and c-peptide (multiplex assay). Further details, including assay manufacturer details and co-</w:t>
      </w:r>
      <w:r w:rsidR="00A7342B" w:rsidRPr="00F650D8">
        <w:rPr>
          <w:rFonts w:ascii="Times New Roman" w:hAnsi="Times New Roman" w:cs="Times New Roman"/>
          <w:iCs/>
        </w:rPr>
        <w:t>efficients</w:t>
      </w:r>
      <w:r w:rsidR="006A4CF7" w:rsidRPr="00F650D8">
        <w:rPr>
          <w:rFonts w:ascii="Times New Roman" w:hAnsi="Times New Roman" w:cs="Times New Roman"/>
          <w:iCs/>
        </w:rPr>
        <w:t xml:space="preserve"> of variation</w:t>
      </w:r>
      <w:r w:rsidR="00D211E6" w:rsidRPr="00F650D8">
        <w:rPr>
          <w:rFonts w:ascii="Times New Roman" w:hAnsi="Times New Roman" w:cs="Times New Roman"/>
          <w:iCs/>
        </w:rPr>
        <w:t xml:space="preserve">, </w:t>
      </w:r>
      <w:r w:rsidR="006A4CF7" w:rsidRPr="00F650D8">
        <w:rPr>
          <w:rFonts w:ascii="Times New Roman" w:hAnsi="Times New Roman" w:cs="Times New Roman"/>
          <w:iCs/>
        </w:rPr>
        <w:t>are included in supplementary methods.</w:t>
      </w:r>
    </w:p>
    <w:p w14:paraId="2ECDE566" w14:textId="39A5A7D3" w:rsidR="006203DD" w:rsidRPr="00F650D8" w:rsidRDefault="006203DD" w:rsidP="00DF2E09">
      <w:pPr>
        <w:spacing w:line="480" w:lineRule="auto"/>
        <w:jc w:val="both"/>
        <w:rPr>
          <w:rFonts w:ascii="Times New Roman" w:hAnsi="Times New Roman" w:cs="Times New Roman"/>
          <w:iCs/>
        </w:rPr>
      </w:pPr>
    </w:p>
    <w:p w14:paraId="17BA9F7B" w14:textId="59DAB6B8" w:rsidR="00146FBF" w:rsidRPr="00F650D8" w:rsidRDefault="00CA085D" w:rsidP="003235F9">
      <w:pPr>
        <w:spacing w:line="480" w:lineRule="auto"/>
        <w:jc w:val="both"/>
        <w:rPr>
          <w:rFonts w:ascii="Times New Roman" w:hAnsi="Times New Roman" w:cs="Times New Roman"/>
          <w:iCs/>
        </w:rPr>
      </w:pPr>
      <w:r w:rsidRPr="00F650D8">
        <w:rPr>
          <w:rFonts w:ascii="Times New Roman" w:hAnsi="Times New Roman" w:cs="Times New Roman"/>
          <w:iCs/>
        </w:rPr>
        <w:t xml:space="preserve">Participants </w:t>
      </w:r>
      <w:r w:rsidR="00E6243F" w:rsidRPr="00F650D8">
        <w:rPr>
          <w:rFonts w:ascii="Times New Roman" w:hAnsi="Times New Roman" w:cs="Times New Roman"/>
          <w:iCs/>
        </w:rPr>
        <w:t>completed the three-factor eating questionnaire (TFEQ)</w:t>
      </w:r>
      <w:r w:rsidR="0096341C" w:rsidRPr="00F650D8">
        <w:rPr>
          <w:rFonts w:ascii="Times New Roman" w:hAnsi="Times New Roman" w:cs="Times New Roman"/>
          <w:iCs/>
        </w:rPr>
        <w:fldChar w:fldCharType="begin" w:fldLock="1"/>
      </w:r>
      <w:r w:rsidR="005D02F2" w:rsidRPr="00F650D8">
        <w:rPr>
          <w:rFonts w:ascii="Times New Roman" w:hAnsi="Times New Roman" w:cs="Times New Roman"/>
          <w:iCs/>
        </w:rPr>
        <w:instrText>ADDIN CSL_CITATION {"citationItems":[{"id":"ITEM-1","itemData":{"author":[{"dropping-particle":"","family":"Stunkard AJ; Messick S","given":"","non-dropping-particle":"","parse-names":false,"suffix":""}],"container-title":"Journal of psychometric research","id":"ITEM-1","issue":"1","issued":{"date-parts":[["1985"]]},"page":"71-83","title":"The three-factor eating questionnaire to measure dietary restraint, disinhibition and hunger","type":"article-journal","volume":"29"},"uris":["http://www.mendeley.com/documents/?uuid=2f8e9053-1e59-4745-9b9e-60526142337c"]}],"mendeley":{"formattedCitation":"&lt;sup&gt;27&lt;/sup&gt;","plainTextFormattedCitation":"27","previouslyFormattedCitation":"&lt;sup&gt;27&lt;/sup&gt;"},"properties":{"noteIndex":0},"schema":"https://github.com/citation-style-language/schema/raw/master/csl-citation.json"}</w:instrText>
      </w:r>
      <w:r w:rsidR="0096341C"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27</w:t>
      </w:r>
      <w:r w:rsidR="0096341C" w:rsidRPr="00F650D8">
        <w:rPr>
          <w:rFonts w:ascii="Times New Roman" w:hAnsi="Times New Roman" w:cs="Times New Roman"/>
          <w:iCs/>
        </w:rPr>
        <w:fldChar w:fldCharType="end"/>
      </w:r>
      <w:r w:rsidR="00750CAA" w:rsidRPr="00F650D8">
        <w:rPr>
          <w:rFonts w:ascii="Times New Roman" w:hAnsi="Times New Roman" w:cs="Times New Roman"/>
          <w:iCs/>
        </w:rPr>
        <w:t xml:space="preserve"> </w:t>
      </w:r>
      <w:r w:rsidR="00171C05" w:rsidRPr="00F650D8">
        <w:rPr>
          <w:rFonts w:ascii="Times New Roman" w:hAnsi="Times New Roman" w:cs="Times New Roman"/>
          <w:iCs/>
        </w:rPr>
        <w:t xml:space="preserve">and the international physical activity questionnaire (IPAQ; long last 7 days format) </w:t>
      </w:r>
      <w:r w:rsidR="00311EA0" w:rsidRPr="00F650D8">
        <w:rPr>
          <w:rFonts w:ascii="Times New Roman" w:hAnsi="Times New Roman" w:cs="Times New Roman"/>
          <w:iCs/>
        </w:rPr>
        <w:t>at each experimental visit</w:t>
      </w:r>
      <w:r w:rsidR="00171C05" w:rsidRPr="00F650D8">
        <w:rPr>
          <w:rFonts w:ascii="Times New Roman" w:hAnsi="Times New Roman" w:cs="Times New Roman"/>
          <w:iCs/>
        </w:rPr>
        <w:t>,</w:t>
      </w:r>
      <w:r w:rsidR="00407121" w:rsidRPr="00F650D8">
        <w:rPr>
          <w:rFonts w:ascii="Times New Roman" w:hAnsi="Times New Roman" w:cs="Times New Roman"/>
          <w:iCs/>
        </w:rPr>
        <w:t xml:space="preserve"> to assess </w:t>
      </w:r>
      <w:r w:rsidR="00AD4277" w:rsidRPr="00F650D8">
        <w:rPr>
          <w:rFonts w:ascii="Times New Roman" w:hAnsi="Times New Roman" w:cs="Times New Roman"/>
          <w:iCs/>
        </w:rPr>
        <w:t xml:space="preserve">cognitive </w:t>
      </w:r>
      <w:r w:rsidR="00407121" w:rsidRPr="00F650D8">
        <w:rPr>
          <w:rFonts w:ascii="Times New Roman" w:hAnsi="Times New Roman" w:cs="Times New Roman"/>
          <w:iCs/>
        </w:rPr>
        <w:t>dietary rest</w:t>
      </w:r>
      <w:r w:rsidR="006203DD" w:rsidRPr="00F650D8">
        <w:rPr>
          <w:rFonts w:ascii="Times New Roman" w:hAnsi="Times New Roman" w:cs="Times New Roman"/>
          <w:iCs/>
        </w:rPr>
        <w:t>raint, disinhibition and hunger</w:t>
      </w:r>
      <w:r w:rsidR="00171C05" w:rsidRPr="00F650D8">
        <w:rPr>
          <w:rFonts w:ascii="Times New Roman" w:hAnsi="Times New Roman" w:cs="Times New Roman"/>
          <w:iCs/>
        </w:rPr>
        <w:t>, and s</w:t>
      </w:r>
      <w:r w:rsidR="00407121" w:rsidRPr="00F650D8">
        <w:rPr>
          <w:rFonts w:ascii="Times New Roman" w:hAnsi="Times New Roman" w:cs="Times New Roman"/>
          <w:iCs/>
        </w:rPr>
        <w:t>elf-reported physical activity</w:t>
      </w:r>
      <w:r w:rsidR="00171C05" w:rsidRPr="00F650D8">
        <w:rPr>
          <w:rFonts w:ascii="Times New Roman" w:hAnsi="Times New Roman" w:cs="Times New Roman"/>
          <w:iCs/>
        </w:rPr>
        <w:t>, respectively</w:t>
      </w:r>
      <w:r w:rsidR="00750CAA" w:rsidRPr="00F650D8">
        <w:rPr>
          <w:rFonts w:ascii="Times New Roman" w:hAnsi="Times New Roman" w:cs="Times New Roman"/>
          <w:iCs/>
        </w:rPr>
        <w:t>.</w:t>
      </w:r>
      <w:r w:rsidR="00DF2E09" w:rsidRPr="00F650D8">
        <w:rPr>
          <w:rFonts w:ascii="Times New Roman" w:hAnsi="Times New Roman" w:cs="Times New Roman"/>
          <w:iCs/>
        </w:rPr>
        <w:t xml:space="preserve"> </w:t>
      </w:r>
      <w:r w:rsidR="00146FBF" w:rsidRPr="00F650D8">
        <w:rPr>
          <w:rFonts w:ascii="Times New Roman" w:hAnsi="Times New Roman" w:cs="Times New Roman"/>
          <w:iCs/>
        </w:rPr>
        <w:t>Body composition was</w:t>
      </w:r>
      <w:r w:rsidR="00DF2E09" w:rsidRPr="00F650D8">
        <w:rPr>
          <w:rFonts w:ascii="Times New Roman" w:hAnsi="Times New Roman" w:cs="Times New Roman"/>
          <w:iCs/>
        </w:rPr>
        <w:t xml:space="preserve"> assessed</w:t>
      </w:r>
      <w:r w:rsidR="00F72595" w:rsidRPr="00F650D8">
        <w:rPr>
          <w:rFonts w:ascii="Times New Roman" w:hAnsi="Times New Roman" w:cs="Times New Roman"/>
          <w:iCs/>
        </w:rPr>
        <w:t xml:space="preserve"> </w:t>
      </w:r>
      <w:r w:rsidR="006203DD" w:rsidRPr="00F650D8">
        <w:rPr>
          <w:rFonts w:ascii="Times New Roman" w:hAnsi="Times New Roman" w:cs="Times New Roman"/>
          <w:iCs/>
        </w:rPr>
        <w:t>at</w:t>
      </w:r>
      <w:r w:rsidR="00F72595" w:rsidRPr="00F650D8">
        <w:rPr>
          <w:rFonts w:ascii="Times New Roman" w:hAnsi="Times New Roman" w:cs="Times New Roman"/>
          <w:iCs/>
        </w:rPr>
        <w:t xml:space="preserve"> Visits 1 and 5 only,</w:t>
      </w:r>
      <w:r w:rsidR="00DF2E09" w:rsidRPr="00F650D8">
        <w:rPr>
          <w:rFonts w:ascii="Times New Roman" w:hAnsi="Times New Roman" w:cs="Times New Roman"/>
          <w:iCs/>
        </w:rPr>
        <w:t xml:space="preserve"> </w:t>
      </w:r>
      <w:r w:rsidR="005D15BC" w:rsidRPr="00F650D8">
        <w:rPr>
          <w:rFonts w:ascii="Times New Roman" w:hAnsi="Times New Roman" w:cs="Times New Roman"/>
          <w:iCs/>
        </w:rPr>
        <w:t>using</w:t>
      </w:r>
      <w:r w:rsidR="00DF2E09" w:rsidRPr="00F650D8">
        <w:rPr>
          <w:rFonts w:ascii="Times New Roman" w:hAnsi="Times New Roman" w:cs="Times New Roman"/>
          <w:iCs/>
        </w:rPr>
        <w:t xml:space="preserve"> dual-energy X-ray absorptiometry (</w:t>
      </w:r>
      <w:r w:rsidR="009B28D7" w:rsidRPr="00F650D8">
        <w:rPr>
          <w:rFonts w:ascii="Times New Roman" w:hAnsi="Times New Roman" w:cs="Times New Roman"/>
          <w:iCs/>
        </w:rPr>
        <w:t xml:space="preserve">DEXA; </w:t>
      </w:r>
      <w:r w:rsidR="00DF2E09" w:rsidRPr="00F650D8">
        <w:rPr>
          <w:rFonts w:ascii="Times New Roman" w:hAnsi="Times New Roman" w:cs="Times New Roman"/>
          <w:iCs/>
        </w:rPr>
        <w:t xml:space="preserve">Lunar Prodigy, GE Corporation, Connecticut, USA). </w:t>
      </w:r>
      <w:r w:rsidR="00685D54" w:rsidRPr="00F650D8">
        <w:rPr>
          <w:rFonts w:ascii="Times New Roman" w:hAnsi="Times New Roman" w:cs="Times New Roman"/>
          <w:iCs/>
        </w:rPr>
        <w:t xml:space="preserve">Accelerometer-assessed </w:t>
      </w:r>
      <w:r w:rsidR="00032AE9" w:rsidRPr="00F650D8">
        <w:rPr>
          <w:rFonts w:ascii="Times New Roman" w:hAnsi="Times New Roman" w:cs="Times New Roman"/>
          <w:iCs/>
        </w:rPr>
        <w:t>p</w:t>
      </w:r>
      <w:r w:rsidR="009A75A9" w:rsidRPr="00F650D8">
        <w:rPr>
          <w:rFonts w:ascii="Times New Roman" w:hAnsi="Times New Roman" w:cs="Times New Roman"/>
          <w:iCs/>
        </w:rPr>
        <w:t xml:space="preserve">hysical activity volume and intensity were </w:t>
      </w:r>
      <w:r w:rsidR="00685D54" w:rsidRPr="00F650D8">
        <w:rPr>
          <w:rFonts w:ascii="Times New Roman" w:hAnsi="Times New Roman" w:cs="Times New Roman"/>
          <w:iCs/>
        </w:rPr>
        <w:t xml:space="preserve">captured </w:t>
      </w:r>
      <w:r w:rsidR="00032AE9" w:rsidRPr="00F650D8">
        <w:rPr>
          <w:rFonts w:ascii="Times New Roman" w:hAnsi="Times New Roman" w:cs="Times New Roman"/>
          <w:iCs/>
        </w:rPr>
        <w:t xml:space="preserve">after Visits 0, 3, 4 and 5 </w:t>
      </w:r>
      <w:r w:rsidR="009A75A9" w:rsidRPr="00F650D8">
        <w:rPr>
          <w:rFonts w:ascii="Times New Roman" w:hAnsi="Times New Roman" w:cs="Times New Roman"/>
          <w:iCs/>
        </w:rPr>
        <w:t>(</w:t>
      </w:r>
      <w:r w:rsidR="00347AF3" w:rsidRPr="00F650D8">
        <w:rPr>
          <w:rFonts w:ascii="Times New Roman" w:hAnsi="Times New Roman" w:cs="Times New Roman"/>
          <w:iCs/>
        </w:rPr>
        <w:t>wGT3X-BT</w:t>
      </w:r>
      <w:r w:rsidR="009A75A9" w:rsidRPr="00F650D8">
        <w:rPr>
          <w:rFonts w:ascii="Times New Roman" w:hAnsi="Times New Roman" w:cs="Times New Roman"/>
          <w:iCs/>
        </w:rPr>
        <w:t xml:space="preserve">, </w:t>
      </w:r>
      <w:r w:rsidR="00347AF3" w:rsidRPr="00F650D8">
        <w:rPr>
          <w:rFonts w:ascii="Times New Roman" w:hAnsi="Times New Roman" w:cs="Times New Roman"/>
          <w:iCs/>
        </w:rPr>
        <w:t xml:space="preserve">Actigraph, </w:t>
      </w:r>
      <w:r w:rsidR="009A75A9" w:rsidRPr="00F650D8">
        <w:rPr>
          <w:rFonts w:ascii="Times New Roman" w:hAnsi="Times New Roman" w:cs="Times New Roman"/>
          <w:iCs/>
        </w:rPr>
        <w:t>Pensacola,</w:t>
      </w:r>
      <w:r w:rsidR="00B458D5" w:rsidRPr="00F650D8">
        <w:rPr>
          <w:rFonts w:ascii="Times New Roman" w:hAnsi="Times New Roman" w:cs="Times New Roman"/>
          <w:iCs/>
        </w:rPr>
        <w:t xml:space="preserve"> FL,</w:t>
      </w:r>
      <w:r w:rsidR="009A75A9" w:rsidRPr="00F650D8">
        <w:rPr>
          <w:rFonts w:ascii="Times New Roman" w:hAnsi="Times New Roman" w:cs="Times New Roman"/>
          <w:iCs/>
        </w:rPr>
        <w:t xml:space="preserve"> USA)</w:t>
      </w:r>
      <w:r w:rsidR="003B1F81" w:rsidRPr="00F650D8">
        <w:rPr>
          <w:rFonts w:ascii="Times New Roman" w:hAnsi="Times New Roman" w:cs="Times New Roman"/>
          <w:iCs/>
        </w:rPr>
        <w:t xml:space="preserve">. </w:t>
      </w:r>
      <w:r w:rsidR="00F316DC" w:rsidRPr="00F650D8">
        <w:rPr>
          <w:rFonts w:ascii="Times New Roman" w:hAnsi="Times New Roman" w:cs="Times New Roman"/>
          <w:iCs/>
        </w:rPr>
        <w:t>Self-report</w:t>
      </w:r>
      <w:r w:rsidR="0047345C" w:rsidRPr="00F650D8">
        <w:rPr>
          <w:rFonts w:ascii="Times New Roman" w:hAnsi="Times New Roman" w:cs="Times New Roman"/>
          <w:iCs/>
        </w:rPr>
        <w:t>ed</w:t>
      </w:r>
      <w:r w:rsidR="00F316DC" w:rsidRPr="00F650D8">
        <w:rPr>
          <w:rFonts w:ascii="Times New Roman" w:hAnsi="Times New Roman" w:cs="Times New Roman"/>
          <w:iCs/>
        </w:rPr>
        <w:t xml:space="preserve"> </w:t>
      </w:r>
      <w:r w:rsidR="00B05AED" w:rsidRPr="00F650D8">
        <w:rPr>
          <w:rFonts w:ascii="Times New Roman" w:hAnsi="Times New Roman" w:cs="Times New Roman"/>
          <w:iCs/>
        </w:rPr>
        <w:t>d</w:t>
      </w:r>
      <w:r w:rsidR="00183B9A" w:rsidRPr="00F650D8">
        <w:rPr>
          <w:rFonts w:ascii="Times New Roman" w:hAnsi="Times New Roman" w:cs="Times New Roman"/>
          <w:iCs/>
        </w:rPr>
        <w:t xml:space="preserve">aily </w:t>
      </w:r>
      <w:r w:rsidR="00F36FAB" w:rsidRPr="00F650D8">
        <w:rPr>
          <w:rFonts w:ascii="Times New Roman" w:hAnsi="Times New Roman" w:cs="Times New Roman"/>
          <w:iCs/>
        </w:rPr>
        <w:t>EI</w:t>
      </w:r>
      <w:r w:rsidR="00183B9A" w:rsidRPr="00F650D8">
        <w:rPr>
          <w:rFonts w:ascii="Times New Roman" w:hAnsi="Times New Roman" w:cs="Times New Roman"/>
          <w:iCs/>
        </w:rPr>
        <w:t xml:space="preserve"> was measured prior to Visits 0 and 5 using food diar</w:t>
      </w:r>
      <w:r w:rsidR="00BF433E" w:rsidRPr="00F650D8">
        <w:rPr>
          <w:rFonts w:ascii="Times New Roman" w:hAnsi="Times New Roman" w:cs="Times New Roman"/>
          <w:iCs/>
        </w:rPr>
        <w:t>ies</w:t>
      </w:r>
      <w:r w:rsidR="00B05AED" w:rsidRPr="00F650D8">
        <w:rPr>
          <w:rFonts w:ascii="Times New Roman" w:hAnsi="Times New Roman" w:cs="Times New Roman"/>
          <w:iCs/>
        </w:rPr>
        <w:t>.</w:t>
      </w:r>
      <w:r w:rsidR="003235F9" w:rsidRPr="00F650D8">
        <w:rPr>
          <w:rFonts w:ascii="Times New Roman" w:hAnsi="Times New Roman" w:cs="Times New Roman"/>
          <w:iCs/>
        </w:rPr>
        <w:t xml:space="preserve"> </w:t>
      </w:r>
    </w:p>
    <w:p w14:paraId="106CEC18" w14:textId="77777777" w:rsidR="00146FBF" w:rsidRPr="00F650D8" w:rsidRDefault="00146FBF" w:rsidP="003235F9">
      <w:pPr>
        <w:spacing w:line="480" w:lineRule="auto"/>
        <w:jc w:val="both"/>
        <w:rPr>
          <w:rFonts w:ascii="Times New Roman" w:hAnsi="Times New Roman" w:cs="Times New Roman"/>
          <w:iCs/>
        </w:rPr>
      </w:pPr>
    </w:p>
    <w:p w14:paraId="1916BAAC" w14:textId="7BD293D8" w:rsidR="00697D21" w:rsidRPr="00F650D8" w:rsidRDefault="00697D21" w:rsidP="00013C9D">
      <w:pPr>
        <w:spacing w:line="480" w:lineRule="auto"/>
        <w:jc w:val="both"/>
        <w:rPr>
          <w:rFonts w:ascii="Times New Roman" w:hAnsi="Times New Roman" w:cs="Times New Roman"/>
          <w:i/>
          <w:iCs/>
        </w:rPr>
      </w:pPr>
      <w:r w:rsidRPr="00F650D8">
        <w:rPr>
          <w:rFonts w:ascii="Times New Roman" w:hAnsi="Times New Roman" w:cs="Times New Roman"/>
          <w:i/>
          <w:iCs/>
        </w:rPr>
        <w:t>Outcomes</w:t>
      </w:r>
    </w:p>
    <w:p w14:paraId="24595960" w14:textId="2BA355E0" w:rsidR="00407121" w:rsidRPr="00F650D8" w:rsidRDefault="008B409D" w:rsidP="00013C9D">
      <w:pPr>
        <w:spacing w:line="480" w:lineRule="auto"/>
        <w:jc w:val="both"/>
        <w:rPr>
          <w:rFonts w:ascii="Times New Roman" w:hAnsi="Times New Roman" w:cs="Times New Roman"/>
          <w:iCs/>
        </w:rPr>
      </w:pPr>
      <w:r w:rsidRPr="00F650D8">
        <w:rPr>
          <w:rFonts w:ascii="Times New Roman" w:hAnsi="Times New Roman" w:cs="Times New Roman"/>
          <w:iCs/>
        </w:rPr>
        <w:t xml:space="preserve">The primary outcome was change </w:t>
      </w:r>
      <w:r w:rsidR="00A6235C" w:rsidRPr="00F650D8">
        <w:rPr>
          <w:rFonts w:ascii="Times New Roman" w:hAnsi="Times New Roman" w:cs="Times New Roman"/>
          <w:iCs/>
        </w:rPr>
        <w:t>from baseline to 24 weeks i</w:t>
      </w:r>
      <w:r w:rsidRPr="00F650D8">
        <w:rPr>
          <w:rFonts w:ascii="Times New Roman" w:hAnsi="Times New Roman" w:cs="Times New Roman"/>
          <w:iCs/>
        </w:rPr>
        <w:t>n</w:t>
      </w:r>
      <w:r w:rsidR="00A6235C" w:rsidRPr="00F650D8">
        <w:rPr>
          <w:rFonts w:ascii="Times New Roman" w:hAnsi="Times New Roman" w:cs="Times New Roman"/>
          <w:iCs/>
        </w:rPr>
        <w:t xml:space="preserve"> </w:t>
      </w:r>
      <w:r w:rsidR="005B6736" w:rsidRPr="00F650D8">
        <w:rPr>
          <w:rFonts w:ascii="Times New Roman" w:hAnsi="Times New Roman" w:cs="Times New Roman"/>
          <w:iCs/>
        </w:rPr>
        <w:t xml:space="preserve">postprandial </w:t>
      </w:r>
      <w:r w:rsidRPr="00F650D8">
        <w:rPr>
          <w:rFonts w:ascii="Times New Roman" w:hAnsi="Times New Roman" w:cs="Times New Roman"/>
          <w:iCs/>
        </w:rPr>
        <w:t xml:space="preserve">circulating total PYY </w:t>
      </w:r>
      <w:r w:rsidR="005B6736" w:rsidRPr="00F650D8">
        <w:rPr>
          <w:rFonts w:ascii="Times New Roman" w:hAnsi="Times New Roman" w:cs="Times New Roman"/>
          <w:iCs/>
        </w:rPr>
        <w:t xml:space="preserve">response </w:t>
      </w:r>
      <w:r w:rsidR="00A6235C" w:rsidRPr="00F650D8">
        <w:rPr>
          <w:rFonts w:ascii="Times New Roman" w:hAnsi="Times New Roman" w:cs="Times New Roman"/>
          <w:iCs/>
        </w:rPr>
        <w:t>during the MMTT</w:t>
      </w:r>
      <w:r w:rsidR="009D4738" w:rsidRPr="00F650D8">
        <w:rPr>
          <w:rFonts w:ascii="Times New Roman" w:hAnsi="Times New Roman" w:cs="Times New Roman"/>
          <w:iCs/>
        </w:rPr>
        <w:t xml:space="preserve">. </w:t>
      </w:r>
      <w:r w:rsidR="00D058AD" w:rsidRPr="00F650D8">
        <w:rPr>
          <w:rFonts w:ascii="Times New Roman" w:hAnsi="Times New Roman" w:cs="Times New Roman"/>
          <w:iCs/>
        </w:rPr>
        <w:t xml:space="preserve">This was assessed via time-averaged </w:t>
      </w:r>
      <w:r w:rsidR="005B6736" w:rsidRPr="00F650D8">
        <w:rPr>
          <w:rFonts w:ascii="Times New Roman" w:hAnsi="Times New Roman" w:cs="Times New Roman"/>
          <w:iCs/>
        </w:rPr>
        <w:t>total AUC</w:t>
      </w:r>
      <w:r w:rsidR="00146FBF" w:rsidRPr="00F650D8">
        <w:rPr>
          <w:rFonts w:ascii="Times New Roman" w:hAnsi="Times New Roman" w:cs="Times New Roman"/>
          <w:iCs/>
        </w:rPr>
        <w:t>,</w:t>
      </w:r>
      <w:r w:rsidR="005B6736" w:rsidRPr="00F650D8">
        <w:rPr>
          <w:rFonts w:ascii="Times New Roman" w:hAnsi="Times New Roman" w:cs="Times New Roman"/>
          <w:iCs/>
        </w:rPr>
        <w:t xml:space="preserve"> </w:t>
      </w:r>
      <w:r w:rsidR="00BA5454" w:rsidRPr="00F650D8">
        <w:rPr>
          <w:rFonts w:ascii="Times New Roman" w:hAnsi="Times New Roman" w:cs="Times New Roman"/>
          <w:iCs/>
        </w:rPr>
        <w:t>calculated using the trapezoid method</w:t>
      </w:r>
      <w:r w:rsidR="00022566" w:rsidRPr="00F650D8">
        <w:rPr>
          <w:rFonts w:ascii="Times New Roman" w:hAnsi="Times New Roman" w:cs="Times New Roman"/>
          <w:iCs/>
        </w:rPr>
        <w:t xml:space="preserve"> and divided by 3</w:t>
      </w:r>
      <w:r w:rsidR="00652784" w:rsidRPr="00F650D8">
        <w:rPr>
          <w:rFonts w:ascii="Times New Roman" w:hAnsi="Times New Roman" w:cs="Times New Roman"/>
          <w:iCs/>
        </w:rPr>
        <w:t>h</w:t>
      </w:r>
      <w:r w:rsidR="006F2B07" w:rsidRPr="00F650D8">
        <w:rPr>
          <w:rFonts w:ascii="Times New Roman" w:hAnsi="Times New Roman" w:cs="Times New Roman"/>
          <w:iCs/>
        </w:rPr>
        <w:t xml:space="preserve"> (see supplementa</w:t>
      </w:r>
      <w:r w:rsidR="00FD31AC" w:rsidRPr="00F650D8">
        <w:rPr>
          <w:rFonts w:ascii="Times New Roman" w:hAnsi="Times New Roman" w:cs="Times New Roman"/>
          <w:iCs/>
        </w:rPr>
        <w:t>ry</w:t>
      </w:r>
      <w:r w:rsidR="006F2B07" w:rsidRPr="00F650D8">
        <w:rPr>
          <w:rFonts w:ascii="Times New Roman" w:hAnsi="Times New Roman" w:cs="Times New Roman"/>
          <w:iCs/>
        </w:rPr>
        <w:t xml:space="preserve"> methods for further details)</w:t>
      </w:r>
      <w:r w:rsidR="00A6235C" w:rsidRPr="00F650D8">
        <w:rPr>
          <w:rFonts w:ascii="Times New Roman" w:hAnsi="Times New Roman" w:cs="Times New Roman"/>
          <w:iCs/>
        </w:rPr>
        <w:t>.</w:t>
      </w:r>
      <w:r w:rsidR="00407121" w:rsidRPr="00F650D8">
        <w:rPr>
          <w:rFonts w:ascii="Times New Roman" w:hAnsi="Times New Roman" w:cs="Times New Roman"/>
          <w:iCs/>
        </w:rPr>
        <w:t xml:space="preserve"> </w:t>
      </w:r>
      <w:r w:rsidR="005E4F35" w:rsidRPr="00F650D8">
        <w:rPr>
          <w:rFonts w:ascii="Times New Roman" w:hAnsi="Times New Roman" w:cs="Times New Roman"/>
          <w:iCs/>
        </w:rPr>
        <w:t xml:space="preserve">Time-averaged AUC values represent the average concentration across the postprandial </w:t>
      </w:r>
      <w:r w:rsidR="005B6736" w:rsidRPr="00F650D8">
        <w:rPr>
          <w:rFonts w:ascii="Times New Roman" w:hAnsi="Times New Roman" w:cs="Times New Roman"/>
          <w:iCs/>
        </w:rPr>
        <w:t>period</w:t>
      </w:r>
      <w:r w:rsidR="005F111E" w:rsidRPr="00F650D8">
        <w:rPr>
          <w:rFonts w:ascii="Times New Roman" w:hAnsi="Times New Roman" w:cs="Times New Roman"/>
          <w:iCs/>
        </w:rPr>
        <w:t>.</w:t>
      </w:r>
      <w:r w:rsidR="005477F3" w:rsidRPr="00F650D8">
        <w:rPr>
          <w:rFonts w:ascii="Times New Roman" w:hAnsi="Times New Roman" w:cs="Times New Roman"/>
          <w:iCs/>
        </w:rPr>
        <w:fldChar w:fldCharType="begin" w:fldLock="1"/>
      </w:r>
      <w:r w:rsidR="005D02F2" w:rsidRPr="00F650D8">
        <w:rPr>
          <w:rFonts w:ascii="Times New Roman" w:hAnsi="Times New Roman" w:cs="Times New Roman"/>
          <w:iCs/>
        </w:rPr>
        <w:instrText xml:space="preserve">ADDIN CSL_CITATION {"citationItems":[{"id":"ITEM-1","itemData":{"DOI":"10.2337/dc20-1393","ISSN":"19355548","PMID":"33158948","abstract":"OBJECTIVE: To examine whether circulating metabolic responses to low-volume high-intensity interval exercise (LV-HIIE) or continuous moderate-intensity aerobic exercise (CME) differ between white Europeans and South Asians with nondiabetic hyperglycemia (NDH). RESEARCH DESIGN AND METHODS: Thirteen white Europeans and 10 South Asians (combined median [interquartile range] age 67 [60-68] years, HbA1c 5.9% [5.8-6.1%] [41.0 (39.9-43.2) mmol </w:instrText>
      </w:r>
      <w:r w:rsidR="005D02F2" w:rsidRPr="00F650D8">
        <w:rPr>
          <w:rFonts w:ascii="Cambria Math" w:hAnsi="Cambria Math" w:cs="Cambria Math"/>
          <w:iCs/>
        </w:rPr>
        <w:instrText>⋅</w:instrText>
      </w:r>
      <w:r w:rsidR="005D02F2" w:rsidRPr="00F650D8">
        <w:rPr>
          <w:rFonts w:ascii="Times New Roman" w:hAnsi="Times New Roman" w:cs="Times New Roman"/>
          <w:iCs/>
        </w:rPr>
        <w:instrText xml:space="preserve"> mol-1]) completed three 6-h conditions (sedentary control [CON], LV-HIIE, and CME) in a randomized order. Exercise conditions contained a single bout of LV-HIIE and CME, respectively (each ending at 2 h), with meals provided at 0 and 3 h. Circulating glucose (primary outcome), insulin, insulin resistance index (IRI), triglycerides, and nonesterified fatty acids were measured at 0, 0.5, 1, 2, 3, 3.5, 4, 5, and 6 h. Data were analyzed as postexercise time-averaged area under the curve (AUC) adjusted for age, sex, and preexercise AUC. RESULTS: Glucose was similar in each condition and with ethnicity, with no condition-by-ethnicity interaction (P ≥ 0.28). However, insulin was lower in LV-HIIE (mean [95% CI] -44.4 [-23.7, -65.1] mU </w:instrText>
      </w:r>
      <w:r w:rsidR="005D02F2" w:rsidRPr="00F650D8">
        <w:rPr>
          <w:rFonts w:ascii="Cambria Math" w:hAnsi="Cambria Math" w:cs="Cambria Math"/>
          <w:iCs/>
        </w:rPr>
        <w:instrText>⋅</w:instrText>
      </w:r>
      <w:r w:rsidR="005D02F2" w:rsidRPr="00F650D8">
        <w:rPr>
          <w:rFonts w:ascii="Times New Roman" w:hAnsi="Times New Roman" w:cs="Times New Roman"/>
          <w:iCs/>
        </w:rPr>
        <w:instrText xml:space="preserve"> L-1) and CME (-33.8 [-13.7, -53.9] mU </w:instrText>
      </w:r>
      <w:r w:rsidR="005D02F2" w:rsidRPr="00F650D8">
        <w:rPr>
          <w:rFonts w:ascii="Cambria Math" w:hAnsi="Cambria Math" w:cs="Cambria Math"/>
          <w:iCs/>
        </w:rPr>
        <w:instrText>⋅</w:instrText>
      </w:r>
      <w:r w:rsidR="005D02F2" w:rsidRPr="00F650D8">
        <w:rPr>
          <w:rFonts w:ascii="Times New Roman" w:hAnsi="Times New Roman" w:cs="Times New Roman"/>
          <w:iCs/>
        </w:rPr>
        <w:instrText xml:space="preserve"> L-1) compared with CON. Insulin responses were greater in South Asians (interaction P = 0.03) such that values were similar in each ethnicity during exercise conditions, despite being 33% higher in South Asians during CON. IRI followed a similar pattern to insulin. Lipids were unaffected by exercise. CONCLUSIONS: Reductions in insulin and insulin resistance after acute LV-HIIE and CME are greater in South Asians than in white Europeans with NDH. Further trials are required to examine the longer-term impact of LV-HIIE and CME on cardiometabolic health.","author":[{"dropping-particle":"","family":"Sargeant","given":"Jack A.","non-dropping-particle":"","parse-names":false,"suffix":""},{"dropping-particle":"","family":"Jelleyman","given":"Charlotte","non-dropping-particle":"","parse-names":false,"suffix":""},{"dropping-particle":"","family":"Coull","given":"Nicole A.","non-dropping-particle":"","parse-names":false,"suffix":""},{"dropping-particle":"","family":"Edwardson","given":"Charlotte L.","non-dropping-particle":"","parse-names":false,"suffix":""},{"dropping-particle":"","family":"Henson","given":"Joseph","non-dropping-particle":"","parse-names":false,"suffix":""},{"dropping-particle":"","family":"King","given":"James A.","non-dropping-particle":"","parse-names":false,"suffix":""},{"dropping-particle":"","family":"Khunti","given":"Kamlesh","non-dropping-particle":"","parse-names":false,"suffix":""},{"dropping-particle":"","family":"McCarthy","given":"Matthew","non-dropping-particle":"","parse-names":false,"suffix":""},{"dropping-particle":"V.","family":"Rowlands","given":"Alex","non-dropping-particle":"","parse-names":false,"suffix":""},{"dropping-particle":"","family":"Stensel","given":"David J.","non-dropping-particle":"","parse-names":false,"suffix":""},{"dropping-particle":"","family":"Waller","given":"Helen L.","non-dropping-particle":"","parse-names":false,"suffix":""},{"dropping-particle":"","family":"Webb","given":"David R.","non-dropping-particle":"","parse-names":false,"suffix":""},{"dropping-particle":"","family":"Davies","given":"Melanie J.","non-dropping-particle":"","parse-names":false,"suffix":""},{"dropping-particle":"","family":"Yates","given":"Thomas","non-dropping-particle":"","parse-names":false,"suffix":""}],"container-title":"Diabetes care","id":"ITEM-1","issue":"1","issued":{"date-parts":[["2021"]]},"page":"201-209","title":"Improvements in Glycemic Control After Acute Moderate-Intensity Continuous or High-Intensity Interval Exercise Are Greater in South Asians Than White Europeans With Nondiabetic Hyperglycemia: A Randomized Crossover Study","type":"article-journal","volume":"44"},"uris":["http://www.mendeley.com/documents/?uuid=91e69701-742d-432c-8566-d912db30b563"]},{"id":"ITEM-2","itemData":{"DOI":"10.1093/gerona/gly252","ISSN":"1758535X","PMID":"30403772","abstract":"Background: Prolonged sitting is common in older adults and is associated with insulin resistance and poor cardiometabolic health. We investigate whether breaking prolonged sitting with regular short bouts of standing or light walking improves postprandial metabolism in older white European and South Asian adults and whether effects are modified by ethnic group. Methods: Thirty South Asian (15 women) and 30 white European (14 women) older adults (aged 65-79 years) undertook three experimental conditions in random order. (a) Prolonged sitting: Continuous sitting during an observation period if 7.5 hours consuming two standardized mixed meals. (b) Standing breaks: Sitting interrupted with 5 minutes of standing every 30 minutes (accumulating 60 minutes of standing over the observation period). (c) Walking breaks: Sitting interrupted with 5 minutes of self-paced light walking every 30 minutes (accumulating 60 minutes of walking). Blood samples (glucose, insulin, triglycerides) and blood pressure were sampled regularly throughout each condition. Results: Compared with prolonged sitting, walking breaks lowered postprandial insulin by 16.3 mU/L, (95% CI: 19.7, 22.0) with greater reductions (p = .029) seen in South Asians (22.4 mU/L; 12.4, 32.4) than white Europeans (10.3 mU/L; 5.9, 14.7). Glucose (0.3 mmol/L; 0.1, 0.5) and blood pressure (4 mm Hg; 2, 6), but not triglycerides, were lower with walking breaks, with no ethnic differences. Standing breaks did not improve any outcome. Conclusions: Breaking prolonged sitting with short bouts of light walking, but not standing, resulted in clinically meaningful improvements in markers of metabolic health in older adults, with South Asians gaining a greater reduction in postprandial insulin.","author":[{"dropping-particle":"","family":"Yates","given":"Thomas","non-dropping-particle":"","parse-names":false,"suffix":""},{"dropping-particle":"","family":"Edwardson","given":"Charlotte L.","non-dropping-particle":"","parse-names":false,"suffix":""},{"dropping-particle":"","family":"Celis-Morales","given":"Carlos","non-dropping-particle":"","parse-names":false,"suffix":""},{"dropping-particle":"","family":"Biddle","given":"Stuart J.H.","non-dropping-particle":"","parse-names":false,"suffix":""},{"dropping-particle":"","family":"Bodicoat","given":"Danielle","non-dropping-particle":"","parse-names":false,"suffix":""},{"dropping-particle":"","family":"Davies","given":"Melanie J.","non-dropping-particle":"","parse-names":false,"suffix":""},{"dropping-particle":"","family":"Esliger","given":"Dale","non-dropping-particle":"","parse-names":false,"suffix":""},{"dropping-particle":"","family":"Henson","given":"Joe","non-dropping-particle":"","parse-names":false,"suffix":""},{"dropping-particle":"","family":"Kazi","given":"Aadil","non-dropping-particle":"","parse-names":false,"suffix":""},{"dropping-particle":"","family":"Khunti","given":"Kamesh","non-dropping-particle":"","parse-names":false,"suffix":""},{"dropping-particle":"","family":"Sattar","given":"Naveed","non-dropping-particle":"","parse-names":false,"suffix":""},{"dropping-particle":"","family":"Sinclair","given":"Alan J.","non-dropping-particle":"","parse-names":false,"suffix":""},{"dropping-particle":"","family":"Rowlands","given":"Alex","non-dropping-particle":"","parse-names":false,"suffix":""},{"dropping-particle":"","family":"Velayudhan","given":"Latha","non-dropping-particle":"","parse-names":false,"suffix":""},{"dropping-particle":"","family":"Zaccardi","given":"Francesco","non-dropping-particle":"","parse-names":false,"suffix":""},{"dropping-particle":"","family":"Gill","given":"Jason M.R.","non-dropping-particle":"","parse-names":false,"suffix":""}],"container-title":"Journals of Gerontology - Series A Biological Sciences and Medical Sciences","id":"ITEM-2","issue":"1","issued":{"date-parts":[["2020"]]},"page":"139-146","title":"Metabolic effects of breaking prolonged sitting with standing or light walking in older south asians and white europeans: A randomized acute study","type":"article-journal","volume":"75"},"uris":["http://www.mendeley.com/documents/?uuid=e0bf0d90-7f71-48a2-a334-428bcc599f95"]}],"mendeley":{"formattedCitation":"&lt;sup&gt;28,29&lt;/sup&gt;","plainTextFormattedCitation":"28,29","previouslyFormattedCitation":"&lt;sup&gt;28,29&lt;/sup&gt;"},"properties":{"noteIndex":0},"schema":"https://github.com/citation-style-language/schema/raw/master/csl-citation.json"}</w:instrText>
      </w:r>
      <w:r w:rsidR="005477F3"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28,29</w:t>
      </w:r>
      <w:r w:rsidR="005477F3" w:rsidRPr="00F650D8">
        <w:rPr>
          <w:rFonts w:ascii="Times New Roman" w:hAnsi="Times New Roman" w:cs="Times New Roman"/>
          <w:iCs/>
        </w:rPr>
        <w:fldChar w:fldCharType="end"/>
      </w:r>
      <w:r w:rsidR="006F2B07" w:rsidRPr="00F650D8">
        <w:rPr>
          <w:rFonts w:ascii="Times New Roman" w:hAnsi="Times New Roman" w:cs="Times New Roman"/>
          <w:iCs/>
        </w:rPr>
        <w:t xml:space="preserve"> </w:t>
      </w:r>
    </w:p>
    <w:p w14:paraId="17A66807" w14:textId="752020D1" w:rsidR="00707A9F" w:rsidRPr="00F650D8" w:rsidRDefault="00707A9F" w:rsidP="00013C9D">
      <w:pPr>
        <w:spacing w:line="480" w:lineRule="auto"/>
        <w:jc w:val="both"/>
        <w:rPr>
          <w:rFonts w:ascii="Times New Roman" w:hAnsi="Times New Roman" w:cs="Times New Roman"/>
          <w:iCs/>
        </w:rPr>
      </w:pPr>
    </w:p>
    <w:p w14:paraId="0BFE4B5F" w14:textId="1BA132CF" w:rsidR="009B6782" w:rsidRPr="00F650D8" w:rsidRDefault="002A71F4" w:rsidP="00013C9D">
      <w:pPr>
        <w:spacing w:line="480" w:lineRule="auto"/>
        <w:jc w:val="both"/>
        <w:rPr>
          <w:rFonts w:ascii="Times New Roman" w:hAnsi="Times New Roman" w:cs="Times New Roman"/>
          <w:iCs/>
        </w:rPr>
      </w:pPr>
      <w:r w:rsidRPr="00F650D8">
        <w:rPr>
          <w:rFonts w:ascii="Times New Roman" w:hAnsi="Times New Roman" w:cs="Times New Roman"/>
          <w:iCs/>
        </w:rPr>
        <w:t xml:space="preserve">Secondary outcomes </w:t>
      </w:r>
      <w:r w:rsidR="00407121" w:rsidRPr="00F650D8">
        <w:rPr>
          <w:rFonts w:ascii="Times New Roman" w:hAnsi="Times New Roman" w:cs="Times New Roman"/>
          <w:iCs/>
        </w:rPr>
        <w:t>were</w:t>
      </w:r>
      <w:r w:rsidRPr="00F650D8">
        <w:rPr>
          <w:rFonts w:ascii="Times New Roman" w:hAnsi="Times New Roman" w:cs="Times New Roman"/>
          <w:iCs/>
        </w:rPr>
        <w:t xml:space="preserve"> change </w:t>
      </w:r>
      <w:r w:rsidR="007D2E63" w:rsidRPr="00F650D8">
        <w:rPr>
          <w:rFonts w:ascii="Times New Roman" w:hAnsi="Times New Roman" w:cs="Times New Roman"/>
          <w:iCs/>
        </w:rPr>
        <w:t xml:space="preserve">in </w:t>
      </w:r>
      <w:r w:rsidR="005B6736" w:rsidRPr="00F650D8">
        <w:rPr>
          <w:rFonts w:ascii="Times New Roman" w:hAnsi="Times New Roman" w:cs="Times New Roman"/>
          <w:iCs/>
        </w:rPr>
        <w:t xml:space="preserve">postprandial </w:t>
      </w:r>
      <w:r w:rsidR="007D2E63" w:rsidRPr="00F650D8">
        <w:rPr>
          <w:rFonts w:ascii="Times New Roman" w:hAnsi="Times New Roman" w:cs="Times New Roman"/>
          <w:iCs/>
        </w:rPr>
        <w:t xml:space="preserve">total PYY </w:t>
      </w:r>
      <w:r w:rsidR="005B6736" w:rsidRPr="00F650D8">
        <w:rPr>
          <w:rFonts w:ascii="Times New Roman" w:hAnsi="Times New Roman" w:cs="Times New Roman"/>
          <w:iCs/>
        </w:rPr>
        <w:t xml:space="preserve">response </w:t>
      </w:r>
      <w:r w:rsidR="007D2E63" w:rsidRPr="00F650D8">
        <w:rPr>
          <w:rFonts w:ascii="Times New Roman" w:hAnsi="Times New Roman" w:cs="Times New Roman"/>
          <w:iCs/>
        </w:rPr>
        <w:t xml:space="preserve">at 2, 6 and 12 weeks, and change in the following outcomes at 2, 6, 12 and 24 weeks: </w:t>
      </w:r>
      <w:r w:rsidR="00411D59" w:rsidRPr="00F650D8">
        <w:rPr>
          <w:rFonts w:ascii="Times New Roman" w:hAnsi="Times New Roman" w:cs="Times New Roman"/>
          <w:iCs/>
        </w:rPr>
        <w:t>postprandial responses of</w:t>
      </w:r>
      <w:r w:rsidR="00E6398E" w:rsidRPr="00F650D8">
        <w:rPr>
          <w:rFonts w:ascii="Times New Roman" w:hAnsi="Times New Roman" w:cs="Times New Roman"/>
          <w:iCs/>
        </w:rPr>
        <w:t xml:space="preserve"> </w:t>
      </w:r>
      <w:r w:rsidR="00B92307" w:rsidRPr="00F650D8">
        <w:rPr>
          <w:rFonts w:ascii="Times New Roman" w:hAnsi="Times New Roman" w:cs="Times New Roman"/>
          <w:iCs/>
        </w:rPr>
        <w:t xml:space="preserve">total GLP-1, </w:t>
      </w:r>
      <w:r w:rsidR="009B28D7" w:rsidRPr="00F650D8">
        <w:rPr>
          <w:rFonts w:ascii="Times New Roman" w:hAnsi="Times New Roman" w:cs="Times New Roman"/>
          <w:iCs/>
        </w:rPr>
        <w:t>acylated ghrelin, subjective appetite perceptions, glucose, insulin, C-peptide and glucagon</w:t>
      </w:r>
      <w:r w:rsidR="009D4738" w:rsidRPr="00F650D8">
        <w:rPr>
          <w:rFonts w:ascii="Times New Roman" w:hAnsi="Times New Roman" w:cs="Times New Roman"/>
          <w:iCs/>
        </w:rPr>
        <w:t xml:space="preserve">; </w:t>
      </w:r>
      <w:r w:rsidR="00E6398E" w:rsidRPr="00F650D8">
        <w:rPr>
          <w:rFonts w:ascii="Times New Roman" w:hAnsi="Times New Roman" w:cs="Times New Roman"/>
          <w:iCs/>
        </w:rPr>
        <w:t>fasting</w:t>
      </w:r>
      <w:r w:rsidR="006F2B07" w:rsidRPr="00F650D8">
        <w:rPr>
          <w:rFonts w:ascii="Times New Roman" w:hAnsi="Times New Roman" w:cs="Times New Roman"/>
          <w:iCs/>
        </w:rPr>
        <w:t xml:space="preserve"> </w:t>
      </w:r>
      <w:r w:rsidR="009B6782" w:rsidRPr="00F650D8">
        <w:rPr>
          <w:rFonts w:ascii="Times New Roman" w:hAnsi="Times New Roman" w:cs="Times New Roman"/>
          <w:iCs/>
        </w:rPr>
        <w:t xml:space="preserve">concentrations of </w:t>
      </w:r>
      <w:r w:rsidR="00E6398E" w:rsidRPr="00F650D8">
        <w:rPr>
          <w:rFonts w:ascii="Times New Roman" w:hAnsi="Times New Roman" w:cs="Times New Roman"/>
          <w:iCs/>
        </w:rPr>
        <w:t>leptin</w:t>
      </w:r>
      <w:r w:rsidR="00690663" w:rsidRPr="00F650D8">
        <w:rPr>
          <w:rFonts w:ascii="Times New Roman" w:hAnsi="Times New Roman" w:cs="Times New Roman"/>
          <w:iCs/>
        </w:rPr>
        <w:t xml:space="preserve"> (absolute </w:t>
      </w:r>
      <w:r w:rsidR="009B6782" w:rsidRPr="00F650D8">
        <w:rPr>
          <w:rFonts w:ascii="Times New Roman" w:hAnsi="Times New Roman" w:cs="Times New Roman"/>
          <w:iCs/>
        </w:rPr>
        <w:t>and</w:t>
      </w:r>
      <w:r w:rsidR="00690663" w:rsidRPr="00F650D8">
        <w:rPr>
          <w:rFonts w:ascii="Times New Roman" w:hAnsi="Times New Roman" w:cs="Times New Roman"/>
          <w:iCs/>
        </w:rPr>
        <w:t xml:space="preserve"> normali</w:t>
      </w:r>
      <w:r w:rsidR="002B7883" w:rsidRPr="00F650D8">
        <w:rPr>
          <w:rFonts w:ascii="Times New Roman" w:hAnsi="Times New Roman" w:cs="Times New Roman"/>
          <w:iCs/>
        </w:rPr>
        <w:t>s</w:t>
      </w:r>
      <w:r w:rsidR="00690663" w:rsidRPr="00F650D8">
        <w:rPr>
          <w:rFonts w:ascii="Times New Roman" w:hAnsi="Times New Roman" w:cs="Times New Roman"/>
          <w:iCs/>
        </w:rPr>
        <w:t>ed to body weight)</w:t>
      </w:r>
      <w:r w:rsidR="00E6398E" w:rsidRPr="00F650D8">
        <w:rPr>
          <w:rFonts w:ascii="Times New Roman" w:hAnsi="Times New Roman" w:cs="Times New Roman"/>
          <w:iCs/>
        </w:rPr>
        <w:t>, glucose and insulin</w:t>
      </w:r>
      <w:r w:rsidR="009D4738" w:rsidRPr="00F650D8">
        <w:rPr>
          <w:rFonts w:ascii="Times New Roman" w:hAnsi="Times New Roman" w:cs="Times New Roman"/>
          <w:iCs/>
        </w:rPr>
        <w:t>;</w:t>
      </w:r>
      <w:r w:rsidR="00E6398E" w:rsidRPr="00F650D8">
        <w:rPr>
          <w:rFonts w:ascii="Times New Roman" w:hAnsi="Times New Roman" w:cs="Times New Roman"/>
          <w:iCs/>
        </w:rPr>
        <w:t xml:space="preserve"> </w:t>
      </w:r>
      <w:r w:rsidR="005776FC" w:rsidRPr="00F650D8">
        <w:rPr>
          <w:rFonts w:ascii="Times New Roman" w:hAnsi="Times New Roman" w:cs="Times New Roman"/>
          <w:iCs/>
        </w:rPr>
        <w:t>TFEQ</w:t>
      </w:r>
      <w:r w:rsidR="00AD4277" w:rsidRPr="00F650D8">
        <w:rPr>
          <w:rFonts w:ascii="Times New Roman" w:hAnsi="Times New Roman" w:cs="Times New Roman"/>
          <w:iCs/>
        </w:rPr>
        <w:t xml:space="preserve"> dimensions</w:t>
      </w:r>
      <w:r w:rsidR="009D4738" w:rsidRPr="00F650D8">
        <w:rPr>
          <w:rFonts w:ascii="Times New Roman" w:hAnsi="Times New Roman" w:cs="Times New Roman"/>
          <w:iCs/>
        </w:rPr>
        <w:t>;</w:t>
      </w:r>
      <w:r w:rsidR="0051450F" w:rsidRPr="00F650D8">
        <w:rPr>
          <w:rFonts w:ascii="Times New Roman" w:hAnsi="Times New Roman" w:cs="Times New Roman"/>
          <w:iCs/>
        </w:rPr>
        <w:t xml:space="preserve"> HbA1c</w:t>
      </w:r>
      <w:r w:rsidR="009D4738" w:rsidRPr="00F650D8">
        <w:rPr>
          <w:rFonts w:ascii="Times New Roman" w:hAnsi="Times New Roman" w:cs="Times New Roman"/>
          <w:iCs/>
        </w:rPr>
        <w:t xml:space="preserve">; </w:t>
      </w:r>
      <w:r w:rsidR="009B28D7" w:rsidRPr="00F650D8">
        <w:rPr>
          <w:rFonts w:ascii="Times New Roman" w:hAnsi="Times New Roman" w:cs="Times New Roman"/>
          <w:iCs/>
        </w:rPr>
        <w:t>body weight</w:t>
      </w:r>
      <w:r w:rsidR="009D4738" w:rsidRPr="00F650D8">
        <w:rPr>
          <w:rFonts w:ascii="Times New Roman" w:hAnsi="Times New Roman" w:cs="Times New Roman"/>
          <w:iCs/>
        </w:rPr>
        <w:t>;</w:t>
      </w:r>
      <w:r w:rsidR="009B28D7" w:rsidRPr="00F650D8">
        <w:rPr>
          <w:rFonts w:ascii="Times New Roman" w:hAnsi="Times New Roman" w:cs="Times New Roman"/>
          <w:iCs/>
        </w:rPr>
        <w:t xml:space="preserve"> </w:t>
      </w:r>
      <w:r w:rsidR="00AD4277" w:rsidRPr="00F650D8">
        <w:rPr>
          <w:rFonts w:ascii="Times New Roman" w:hAnsi="Times New Roman" w:cs="Times New Roman"/>
          <w:iCs/>
        </w:rPr>
        <w:t>DEXA-derived body composition</w:t>
      </w:r>
      <w:r w:rsidR="001935DC" w:rsidRPr="00F650D8">
        <w:rPr>
          <w:rFonts w:ascii="Times New Roman" w:hAnsi="Times New Roman" w:cs="Times New Roman"/>
          <w:iCs/>
        </w:rPr>
        <w:t xml:space="preserve"> (24 weeks only);</w:t>
      </w:r>
      <w:r w:rsidR="009B28D7" w:rsidRPr="00F650D8">
        <w:rPr>
          <w:rFonts w:ascii="Times New Roman" w:hAnsi="Times New Roman" w:cs="Times New Roman"/>
          <w:iCs/>
        </w:rPr>
        <w:t xml:space="preserve"> </w:t>
      </w:r>
      <w:r w:rsidR="00745761" w:rsidRPr="00F650D8">
        <w:rPr>
          <w:rFonts w:ascii="Times New Roman" w:hAnsi="Times New Roman" w:cs="Times New Roman"/>
          <w:iCs/>
        </w:rPr>
        <w:t>total body fat percentage</w:t>
      </w:r>
      <w:r w:rsidR="009B6782" w:rsidRPr="00F650D8">
        <w:rPr>
          <w:rFonts w:ascii="Times New Roman" w:hAnsi="Times New Roman" w:cs="Times New Roman"/>
          <w:iCs/>
        </w:rPr>
        <w:t xml:space="preserve"> (bioelectrical impedance analysis)</w:t>
      </w:r>
      <w:r w:rsidR="009D4738" w:rsidRPr="00F650D8">
        <w:rPr>
          <w:rFonts w:ascii="Times New Roman" w:hAnsi="Times New Roman" w:cs="Times New Roman"/>
          <w:iCs/>
        </w:rPr>
        <w:t>;</w:t>
      </w:r>
      <w:r w:rsidR="00745761" w:rsidRPr="00F650D8">
        <w:rPr>
          <w:rFonts w:ascii="Times New Roman" w:hAnsi="Times New Roman" w:cs="Times New Roman"/>
          <w:iCs/>
        </w:rPr>
        <w:t xml:space="preserve"> </w:t>
      </w:r>
      <w:r w:rsidR="009B28D7" w:rsidRPr="00F650D8">
        <w:rPr>
          <w:rFonts w:ascii="Times New Roman" w:hAnsi="Times New Roman" w:cs="Times New Roman"/>
          <w:iCs/>
        </w:rPr>
        <w:t>waist and hip circumferences</w:t>
      </w:r>
      <w:r w:rsidR="009D4738" w:rsidRPr="00F650D8">
        <w:rPr>
          <w:rFonts w:ascii="Times New Roman" w:hAnsi="Times New Roman" w:cs="Times New Roman"/>
          <w:iCs/>
        </w:rPr>
        <w:t>;</w:t>
      </w:r>
      <w:r w:rsidR="001935DC" w:rsidRPr="00F650D8">
        <w:rPr>
          <w:rFonts w:ascii="Times New Roman" w:hAnsi="Times New Roman" w:cs="Times New Roman"/>
          <w:iCs/>
        </w:rPr>
        <w:t xml:space="preserve"> daily </w:t>
      </w:r>
      <w:r w:rsidR="00F36FAB" w:rsidRPr="00F650D8">
        <w:rPr>
          <w:rFonts w:ascii="Times New Roman" w:hAnsi="Times New Roman" w:cs="Times New Roman"/>
          <w:iCs/>
        </w:rPr>
        <w:t>EI</w:t>
      </w:r>
      <w:r w:rsidR="001935DC" w:rsidRPr="00F650D8">
        <w:rPr>
          <w:rFonts w:ascii="Times New Roman" w:hAnsi="Times New Roman" w:cs="Times New Roman"/>
          <w:iCs/>
        </w:rPr>
        <w:t xml:space="preserve"> (24 weeks only);</w:t>
      </w:r>
      <w:r w:rsidR="009B28D7" w:rsidRPr="00F650D8">
        <w:rPr>
          <w:rFonts w:ascii="Times New Roman" w:hAnsi="Times New Roman" w:cs="Times New Roman"/>
          <w:iCs/>
        </w:rPr>
        <w:t xml:space="preserve"> resting </w:t>
      </w:r>
      <w:r w:rsidR="00F36FAB" w:rsidRPr="00F650D8">
        <w:rPr>
          <w:rFonts w:ascii="Times New Roman" w:hAnsi="Times New Roman" w:cs="Times New Roman"/>
          <w:iCs/>
        </w:rPr>
        <w:t>EE</w:t>
      </w:r>
      <w:r w:rsidR="009D4738" w:rsidRPr="00F650D8">
        <w:rPr>
          <w:rFonts w:ascii="Times New Roman" w:hAnsi="Times New Roman" w:cs="Times New Roman"/>
          <w:iCs/>
        </w:rPr>
        <w:t>;</w:t>
      </w:r>
      <w:r w:rsidR="009B28D7" w:rsidRPr="00F650D8">
        <w:rPr>
          <w:rFonts w:ascii="Times New Roman" w:hAnsi="Times New Roman" w:cs="Times New Roman"/>
          <w:iCs/>
        </w:rPr>
        <w:t xml:space="preserve"> </w:t>
      </w:r>
      <w:r w:rsidR="007E1DAD" w:rsidRPr="00F650D8">
        <w:rPr>
          <w:rFonts w:ascii="Times New Roman" w:hAnsi="Times New Roman" w:cs="Times New Roman"/>
          <w:iCs/>
        </w:rPr>
        <w:t xml:space="preserve">accelerometer-assessed </w:t>
      </w:r>
      <w:r w:rsidR="005776FC" w:rsidRPr="00F650D8">
        <w:rPr>
          <w:rFonts w:ascii="Times New Roman" w:hAnsi="Times New Roman" w:cs="Times New Roman"/>
          <w:iCs/>
        </w:rPr>
        <w:t>(</w:t>
      </w:r>
      <w:r w:rsidR="00A176E4" w:rsidRPr="00F650D8">
        <w:rPr>
          <w:rFonts w:ascii="Times New Roman" w:hAnsi="Times New Roman" w:cs="Times New Roman"/>
          <w:iCs/>
        </w:rPr>
        <w:t>6, 12 and 24 weeks only</w:t>
      </w:r>
      <w:r w:rsidR="005776FC" w:rsidRPr="00F650D8">
        <w:rPr>
          <w:rFonts w:ascii="Times New Roman" w:hAnsi="Times New Roman" w:cs="Times New Roman"/>
          <w:iCs/>
        </w:rPr>
        <w:t>) and self-report (IPAQ) physical activity and sedentary behaviour</w:t>
      </w:r>
      <w:r w:rsidR="009D4738" w:rsidRPr="00F650D8">
        <w:rPr>
          <w:rFonts w:ascii="Times New Roman" w:hAnsi="Times New Roman" w:cs="Times New Roman"/>
          <w:iCs/>
        </w:rPr>
        <w:t>;</w:t>
      </w:r>
      <w:r w:rsidR="0051450F" w:rsidRPr="00F650D8">
        <w:rPr>
          <w:rFonts w:ascii="Times New Roman" w:hAnsi="Times New Roman" w:cs="Times New Roman"/>
          <w:iCs/>
        </w:rPr>
        <w:t xml:space="preserve"> CRP</w:t>
      </w:r>
      <w:r w:rsidR="009D4738" w:rsidRPr="00F650D8">
        <w:rPr>
          <w:rFonts w:ascii="Times New Roman" w:hAnsi="Times New Roman" w:cs="Times New Roman"/>
          <w:iCs/>
        </w:rPr>
        <w:t>;</w:t>
      </w:r>
      <w:r w:rsidR="0051450F" w:rsidRPr="00F650D8">
        <w:rPr>
          <w:rFonts w:ascii="Times New Roman" w:hAnsi="Times New Roman" w:cs="Times New Roman"/>
          <w:iCs/>
        </w:rPr>
        <w:t xml:space="preserve"> </w:t>
      </w:r>
      <w:r w:rsidR="005776FC" w:rsidRPr="00F650D8">
        <w:rPr>
          <w:rFonts w:ascii="Times New Roman" w:hAnsi="Times New Roman" w:cs="Times New Roman"/>
          <w:iCs/>
        </w:rPr>
        <w:t xml:space="preserve">fasting </w:t>
      </w:r>
      <w:r w:rsidR="0051450F" w:rsidRPr="00F650D8">
        <w:rPr>
          <w:rFonts w:ascii="Times New Roman" w:hAnsi="Times New Roman" w:cs="Times New Roman"/>
          <w:iCs/>
        </w:rPr>
        <w:t>lipids</w:t>
      </w:r>
      <w:r w:rsidR="009D4738" w:rsidRPr="00F650D8">
        <w:rPr>
          <w:rFonts w:ascii="Times New Roman" w:hAnsi="Times New Roman" w:cs="Times New Roman"/>
          <w:iCs/>
        </w:rPr>
        <w:t>;</w:t>
      </w:r>
      <w:r w:rsidR="0051450F" w:rsidRPr="00F650D8">
        <w:rPr>
          <w:rFonts w:ascii="Times New Roman" w:hAnsi="Times New Roman" w:cs="Times New Roman"/>
          <w:iCs/>
        </w:rPr>
        <w:t xml:space="preserve"> eGFR</w:t>
      </w:r>
      <w:r w:rsidR="009D4738" w:rsidRPr="00F650D8">
        <w:rPr>
          <w:rFonts w:ascii="Times New Roman" w:hAnsi="Times New Roman" w:cs="Times New Roman"/>
          <w:iCs/>
        </w:rPr>
        <w:t>;</w:t>
      </w:r>
      <w:r w:rsidR="0051450F" w:rsidRPr="00F650D8">
        <w:rPr>
          <w:rFonts w:ascii="Times New Roman" w:hAnsi="Times New Roman" w:cs="Times New Roman"/>
          <w:iCs/>
        </w:rPr>
        <w:t xml:space="preserve"> </w:t>
      </w:r>
      <w:r w:rsidR="009D4738" w:rsidRPr="00F650D8">
        <w:rPr>
          <w:rFonts w:ascii="Times New Roman" w:hAnsi="Times New Roman" w:cs="Times New Roman"/>
          <w:iCs/>
        </w:rPr>
        <w:t>alanine aminotransferase (ALT);</w:t>
      </w:r>
      <w:r w:rsidR="00374DBF" w:rsidRPr="00F650D8">
        <w:rPr>
          <w:rFonts w:ascii="Times New Roman" w:hAnsi="Times New Roman" w:cs="Times New Roman"/>
          <w:iCs/>
        </w:rPr>
        <w:t xml:space="preserve"> </w:t>
      </w:r>
      <w:r w:rsidR="009D4738" w:rsidRPr="00F650D8">
        <w:rPr>
          <w:rFonts w:ascii="Times New Roman" w:hAnsi="Times New Roman" w:cs="Times New Roman"/>
          <w:iCs/>
        </w:rPr>
        <w:t xml:space="preserve">and </w:t>
      </w:r>
      <w:r w:rsidR="005776FC" w:rsidRPr="00F650D8">
        <w:rPr>
          <w:rFonts w:ascii="Times New Roman" w:hAnsi="Times New Roman" w:cs="Times New Roman"/>
          <w:iCs/>
        </w:rPr>
        <w:t xml:space="preserve">resting </w:t>
      </w:r>
      <w:r w:rsidR="00374DBF" w:rsidRPr="00F650D8">
        <w:rPr>
          <w:rFonts w:ascii="Times New Roman" w:hAnsi="Times New Roman" w:cs="Times New Roman"/>
          <w:iCs/>
        </w:rPr>
        <w:t>blood pressure and heart rate.</w:t>
      </w:r>
      <w:r w:rsidR="00DC0679" w:rsidRPr="00F650D8">
        <w:rPr>
          <w:rFonts w:ascii="Times New Roman" w:hAnsi="Times New Roman" w:cs="Times New Roman"/>
          <w:iCs/>
        </w:rPr>
        <w:t xml:space="preserve"> </w:t>
      </w:r>
    </w:p>
    <w:p w14:paraId="123AFD8A" w14:textId="77777777" w:rsidR="009B6782" w:rsidRPr="00F650D8" w:rsidRDefault="009B6782" w:rsidP="00013C9D">
      <w:pPr>
        <w:spacing w:line="480" w:lineRule="auto"/>
        <w:jc w:val="both"/>
        <w:rPr>
          <w:rFonts w:ascii="Times New Roman" w:hAnsi="Times New Roman" w:cs="Times New Roman"/>
          <w:iCs/>
        </w:rPr>
      </w:pPr>
    </w:p>
    <w:p w14:paraId="0B8C772A" w14:textId="3938099A" w:rsidR="00655C5C" w:rsidRPr="00F650D8" w:rsidRDefault="007D2E63" w:rsidP="00013C9D">
      <w:pPr>
        <w:spacing w:line="480" w:lineRule="auto"/>
        <w:jc w:val="both"/>
        <w:rPr>
          <w:rFonts w:ascii="Times New Roman" w:hAnsi="Times New Roman" w:cs="Times New Roman"/>
          <w:iCs/>
        </w:rPr>
      </w:pPr>
      <w:r w:rsidRPr="00F650D8">
        <w:rPr>
          <w:rFonts w:ascii="Times New Roman" w:hAnsi="Times New Roman" w:cs="Times New Roman"/>
          <w:iCs/>
        </w:rPr>
        <w:t xml:space="preserve">Change in all </w:t>
      </w:r>
      <w:r w:rsidR="00821AB0" w:rsidRPr="00F650D8">
        <w:rPr>
          <w:rFonts w:ascii="Times New Roman" w:hAnsi="Times New Roman" w:cs="Times New Roman"/>
          <w:iCs/>
        </w:rPr>
        <w:t xml:space="preserve">of </w:t>
      </w:r>
      <w:r w:rsidRPr="00F650D8">
        <w:rPr>
          <w:rFonts w:ascii="Times New Roman" w:hAnsi="Times New Roman" w:cs="Times New Roman"/>
          <w:iCs/>
        </w:rPr>
        <w:t>the above across the follow-up period collectively (analysed using generali</w:t>
      </w:r>
      <w:r w:rsidR="002B7883" w:rsidRPr="00F650D8">
        <w:rPr>
          <w:rFonts w:ascii="Times New Roman" w:hAnsi="Times New Roman" w:cs="Times New Roman"/>
          <w:iCs/>
        </w:rPr>
        <w:t>s</w:t>
      </w:r>
      <w:r w:rsidRPr="00F650D8">
        <w:rPr>
          <w:rFonts w:ascii="Times New Roman" w:hAnsi="Times New Roman" w:cs="Times New Roman"/>
          <w:iCs/>
        </w:rPr>
        <w:t>ed estimating equations; see below) also comprised secondary outcomes</w:t>
      </w:r>
      <w:r w:rsidR="00FF7BE0" w:rsidRPr="00F650D8">
        <w:rPr>
          <w:rFonts w:ascii="Times New Roman" w:hAnsi="Times New Roman" w:cs="Times New Roman"/>
          <w:iCs/>
        </w:rPr>
        <w:t xml:space="preserve">. </w:t>
      </w:r>
    </w:p>
    <w:p w14:paraId="1DFD8E02" w14:textId="77777777" w:rsidR="006C45D1" w:rsidRPr="00F650D8" w:rsidRDefault="006C45D1" w:rsidP="00013C9D">
      <w:pPr>
        <w:spacing w:line="480" w:lineRule="auto"/>
        <w:jc w:val="both"/>
        <w:rPr>
          <w:rFonts w:ascii="Times New Roman" w:hAnsi="Times New Roman" w:cs="Times New Roman"/>
          <w:i/>
          <w:iCs/>
        </w:rPr>
      </w:pPr>
    </w:p>
    <w:p w14:paraId="37359D43" w14:textId="07E6949F" w:rsidR="00697D21" w:rsidRPr="00F650D8" w:rsidRDefault="00485C3D" w:rsidP="00013C9D">
      <w:pPr>
        <w:spacing w:line="480" w:lineRule="auto"/>
        <w:jc w:val="both"/>
        <w:rPr>
          <w:rFonts w:ascii="Times New Roman" w:hAnsi="Times New Roman" w:cs="Times New Roman"/>
          <w:i/>
          <w:iCs/>
        </w:rPr>
      </w:pPr>
      <w:r w:rsidRPr="00F650D8">
        <w:rPr>
          <w:rFonts w:ascii="Times New Roman" w:hAnsi="Times New Roman" w:cs="Times New Roman"/>
          <w:i/>
          <w:iCs/>
        </w:rPr>
        <w:t>Sample size</w:t>
      </w:r>
    </w:p>
    <w:p w14:paraId="04030ADA" w14:textId="78830ECE" w:rsidR="008B61FF" w:rsidRPr="00F650D8" w:rsidRDefault="008B61FF" w:rsidP="00013C9D">
      <w:pPr>
        <w:spacing w:line="480" w:lineRule="auto"/>
        <w:jc w:val="both"/>
        <w:rPr>
          <w:rFonts w:ascii="Times New Roman" w:hAnsi="Times New Roman" w:cs="Times New Roman"/>
          <w:iCs/>
        </w:rPr>
      </w:pPr>
      <w:r w:rsidRPr="00F650D8">
        <w:rPr>
          <w:rFonts w:ascii="Times New Roman" w:hAnsi="Times New Roman" w:cs="Times New Roman"/>
          <w:iCs/>
        </w:rPr>
        <w:t>We required 15 participants per group to complete all trial procedures</w:t>
      </w:r>
      <w:r w:rsidR="00475158" w:rsidRPr="00F650D8">
        <w:rPr>
          <w:rFonts w:ascii="Times New Roman" w:hAnsi="Times New Roman" w:cs="Times New Roman"/>
          <w:iCs/>
        </w:rPr>
        <w:t>,</w:t>
      </w:r>
      <w:r w:rsidRPr="00F650D8">
        <w:rPr>
          <w:rFonts w:ascii="Times New Roman" w:hAnsi="Times New Roman" w:cs="Times New Roman"/>
          <w:iCs/>
        </w:rPr>
        <w:t xml:space="preserve"> to detect a 120pg/mL difference </w:t>
      </w:r>
      <w:r w:rsidR="00EA6AB7" w:rsidRPr="00F650D8">
        <w:rPr>
          <w:rFonts w:ascii="Times New Roman" w:hAnsi="Times New Roman" w:cs="Times New Roman"/>
          <w:iCs/>
        </w:rPr>
        <w:t>in</w:t>
      </w:r>
      <w:r w:rsidRPr="00F650D8">
        <w:rPr>
          <w:rFonts w:ascii="Times New Roman" w:hAnsi="Times New Roman" w:cs="Times New Roman"/>
          <w:iCs/>
        </w:rPr>
        <w:t xml:space="preserve"> </w:t>
      </w:r>
      <w:r w:rsidR="00BF433E" w:rsidRPr="00F650D8">
        <w:rPr>
          <w:rFonts w:ascii="Times New Roman" w:hAnsi="Times New Roman" w:cs="Times New Roman"/>
          <w:iCs/>
        </w:rPr>
        <w:t xml:space="preserve">postprandial total </w:t>
      </w:r>
      <w:r w:rsidRPr="00F650D8">
        <w:rPr>
          <w:rFonts w:ascii="Times New Roman" w:hAnsi="Times New Roman" w:cs="Times New Roman"/>
          <w:iCs/>
        </w:rPr>
        <w:t xml:space="preserve">PYY </w:t>
      </w:r>
      <w:r w:rsidR="00EA6AB7" w:rsidRPr="00F650D8">
        <w:rPr>
          <w:rFonts w:ascii="Times New Roman" w:hAnsi="Times New Roman" w:cs="Times New Roman"/>
          <w:iCs/>
        </w:rPr>
        <w:t>between expe</w:t>
      </w:r>
      <w:r w:rsidR="005E51C0" w:rsidRPr="00F650D8">
        <w:rPr>
          <w:rFonts w:ascii="Times New Roman" w:hAnsi="Times New Roman" w:cs="Times New Roman"/>
          <w:iCs/>
        </w:rPr>
        <w:t>rimental groups and placebo-</w:t>
      </w:r>
      <w:r w:rsidR="00EA6AB7" w:rsidRPr="00F650D8">
        <w:rPr>
          <w:rFonts w:ascii="Times New Roman" w:hAnsi="Times New Roman" w:cs="Times New Roman"/>
          <w:iCs/>
        </w:rPr>
        <w:t xml:space="preserve">only </w:t>
      </w:r>
      <w:r w:rsidR="00407121" w:rsidRPr="00F650D8">
        <w:rPr>
          <w:rFonts w:ascii="Times New Roman" w:hAnsi="Times New Roman" w:cs="Times New Roman"/>
          <w:iCs/>
        </w:rPr>
        <w:t>with 80% power</w:t>
      </w:r>
      <w:r w:rsidR="0091384C" w:rsidRPr="00F650D8">
        <w:rPr>
          <w:rFonts w:ascii="Times New Roman" w:hAnsi="Times New Roman" w:cs="Times New Roman"/>
          <w:iCs/>
        </w:rPr>
        <w:t>, a</w:t>
      </w:r>
      <w:r w:rsidR="00407121" w:rsidRPr="00F650D8">
        <w:rPr>
          <w:rFonts w:ascii="Times New Roman" w:hAnsi="Times New Roman" w:cs="Times New Roman"/>
          <w:iCs/>
        </w:rPr>
        <w:t>ssuming a SD of 96</w:t>
      </w:r>
      <w:r w:rsidR="005840E9" w:rsidRPr="00F650D8">
        <w:rPr>
          <w:rFonts w:ascii="Times New Roman" w:hAnsi="Times New Roman" w:cs="Times New Roman"/>
        </w:rPr>
        <w:sym w:font="Symbol" w:char="F0D7"/>
      </w:r>
      <w:r w:rsidR="00407121" w:rsidRPr="00F650D8">
        <w:rPr>
          <w:rFonts w:ascii="Times New Roman" w:hAnsi="Times New Roman" w:cs="Times New Roman"/>
          <w:iCs/>
        </w:rPr>
        <w:t>2pg/mL and a two-side</w:t>
      </w:r>
      <w:r w:rsidR="00655C5C" w:rsidRPr="00F650D8">
        <w:rPr>
          <w:rFonts w:ascii="Times New Roman" w:hAnsi="Times New Roman" w:cs="Times New Roman"/>
          <w:iCs/>
        </w:rPr>
        <w:t>d</w:t>
      </w:r>
      <w:r w:rsidR="00407121" w:rsidRPr="00F650D8">
        <w:rPr>
          <w:rFonts w:ascii="Times New Roman" w:hAnsi="Times New Roman" w:cs="Times New Roman"/>
          <w:iCs/>
        </w:rPr>
        <w:t xml:space="preserve"> alpha</w:t>
      </w:r>
      <w:r w:rsidR="00704626" w:rsidRPr="00F650D8">
        <w:rPr>
          <w:rFonts w:ascii="Times New Roman" w:hAnsi="Times New Roman" w:cs="Times New Roman"/>
          <w:iCs/>
        </w:rPr>
        <w:t xml:space="preserve"> error rate of 1</w:t>
      </w:r>
      <w:r w:rsidR="005840E9" w:rsidRPr="00F650D8">
        <w:rPr>
          <w:rFonts w:ascii="Times New Roman" w:hAnsi="Times New Roman" w:cs="Times New Roman"/>
        </w:rPr>
        <w:sym w:font="Symbol" w:char="F0D7"/>
      </w:r>
      <w:r w:rsidR="00704626" w:rsidRPr="00F650D8">
        <w:rPr>
          <w:rFonts w:ascii="Times New Roman" w:hAnsi="Times New Roman" w:cs="Times New Roman"/>
          <w:iCs/>
        </w:rPr>
        <w:t>7</w:t>
      </w:r>
      <w:r w:rsidR="00407121" w:rsidRPr="00F650D8">
        <w:rPr>
          <w:rFonts w:ascii="Times New Roman" w:hAnsi="Times New Roman" w:cs="Times New Roman"/>
          <w:iCs/>
        </w:rPr>
        <w:t>% (</w:t>
      </w:r>
      <w:r w:rsidR="00704626" w:rsidRPr="00F650D8">
        <w:rPr>
          <w:rFonts w:ascii="Times New Roman" w:hAnsi="Times New Roman" w:cs="Times New Roman"/>
          <w:i/>
          <w:iCs/>
        </w:rPr>
        <w:t>p</w:t>
      </w:r>
      <w:r w:rsidR="00407121" w:rsidRPr="00F650D8">
        <w:rPr>
          <w:rFonts w:ascii="Times New Roman" w:hAnsi="Times New Roman" w:cs="Times New Roman"/>
          <w:iCs/>
        </w:rPr>
        <w:t>&lt;0</w:t>
      </w:r>
      <w:r w:rsidR="005840E9" w:rsidRPr="00F650D8">
        <w:rPr>
          <w:rFonts w:ascii="Times New Roman" w:hAnsi="Times New Roman" w:cs="Times New Roman"/>
        </w:rPr>
        <w:sym w:font="Symbol" w:char="F0D7"/>
      </w:r>
      <w:r w:rsidR="00407121" w:rsidRPr="00F650D8">
        <w:rPr>
          <w:rFonts w:ascii="Times New Roman" w:hAnsi="Times New Roman" w:cs="Times New Roman"/>
          <w:iCs/>
        </w:rPr>
        <w:t>017)</w:t>
      </w:r>
      <w:r w:rsidR="00655C5C" w:rsidRPr="00F650D8">
        <w:rPr>
          <w:rFonts w:ascii="Times New Roman" w:hAnsi="Times New Roman" w:cs="Times New Roman"/>
          <w:iCs/>
        </w:rPr>
        <w:t>.</w:t>
      </w:r>
      <w:r w:rsidR="005F111E" w:rsidRPr="00F650D8">
        <w:rPr>
          <w:rFonts w:ascii="Times New Roman" w:hAnsi="Times New Roman" w:cs="Times New Roman"/>
          <w:iCs/>
        </w:rPr>
        <w:fldChar w:fldCharType="begin" w:fldLock="1"/>
      </w:r>
      <w:r w:rsidR="005D02F2" w:rsidRPr="00F650D8">
        <w:rPr>
          <w:rFonts w:ascii="Times New Roman" w:hAnsi="Times New Roman" w:cs="Times New Roman"/>
          <w:iCs/>
        </w:rPr>
        <w:instrText>ADDIN CSL_CITATION {"citationItems":[{"id":"ITEM-1","itemData":{"DOI":"10.1152/ajpregu.90706.2008","ISSN":"0363-6119","PMID":"18987287","abstract":"Resistance (muscle strengthening) exercise is a key component of exercise recommendations for weight control, yet very little is known about the effects of resistance exercise on appetite. We investigated the effects of resistance and aerobic exercise on hunger and circulating levels of the gut hormones acylated ghrelin and peptide YY (PYY). Eleven healthy male students: age 21.1 +/- 0.3 yr, body mass index 23.1 +/- 0.4 kg/m(2), maximum oxygen uptake 62.1 +/- 1.8 ml.kg(-1).min(-1) (means +/- SE) undertook three, 8-h trials, 1) resistance exercise: a 90-min free weight lifting session followed by a 6.5-h rest period, 2) aerobic exercise: a 60-min run followed by a 7-h rest period, 3) control: an 8-h rest, in a randomized crossover design. Meals were provided 2 and 5 h into each trial. Hunger ratings and plasma concentrations of acylated ghrelin and PYY were measured throughout. Two-way ANOVA revealed significant (P &lt; 0.05) interaction effects for hunger, acylated ghrelin, and PYY, indicating suppressed hunger and acylated ghrelin during aerobic and resistance exercise and increased PYY during aerobic exercise. A significant trial effect was observed for PYY, indicating higher concentrations on the aerobic exercise trial than the other trials (8 h area under the curve: control 1,411 +/- 110, resistance 1,381 +/- 97, aerobic 1,750 +/- 170 pg/ml 8 h). These findings suggest ghrelin and PYY may regulate appetite during and after exercise, but further research is required to establish whether exercise-induced changes in ghrelin and PYY influence subsequent food intake.","author":[{"dropping-particle":"","family":"Broom","given":"David R","non-dropping-particle":"","parse-names":false,"suffix":""},{"dropping-particle":"","family":"Batterham","given":"Rachel L","non-dropping-particle":"","parse-names":false,"suffix":""},{"dropping-particle":"","family":"King","given":"James a","non-dropping-particle":"","parse-names":false,"suffix":""},{"dropping-particle":"","family":"Stensel","given":"David J","non-dropping-particle":"","parse-names":false,"suffix":""}],"container-title":"American journal of physiology. Regulatory, integrative and comparative physiology","id":"ITEM-1","issue":"1","issued":{"date-parts":[["2009","1"]]},"page":"R29-35","title":"Influence of resistance and aerobic exercise on hunger, circulating levels of acylated ghrelin, and peptide YY in healthy males.","type":"article-journal","volume":"296"},"uris":["http://www.mendeley.com/documents/?uuid=250bc561-d60c-4760-a057-4c26441134f2"]}],"mendeley":{"formattedCitation":"&lt;sup&gt;30&lt;/sup&gt;","plainTextFormattedCitation":"30","previouslyFormattedCitation":"&lt;sup&gt;30&lt;/sup&gt;"},"properties":{"noteIndex":0},"schema":"https://github.com/citation-style-language/schema/raw/master/csl-citation.json"}</w:instrText>
      </w:r>
      <w:r w:rsidR="005F111E" w:rsidRPr="00F650D8">
        <w:rPr>
          <w:rFonts w:ascii="Times New Roman" w:hAnsi="Times New Roman" w:cs="Times New Roman"/>
          <w:iCs/>
        </w:rPr>
        <w:fldChar w:fldCharType="separate"/>
      </w:r>
      <w:r w:rsidR="005D02F2" w:rsidRPr="00F650D8">
        <w:rPr>
          <w:rFonts w:ascii="Times New Roman" w:hAnsi="Times New Roman" w:cs="Times New Roman"/>
          <w:iCs/>
          <w:noProof/>
          <w:vertAlign w:val="superscript"/>
        </w:rPr>
        <w:t>30</w:t>
      </w:r>
      <w:r w:rsidR="005F111E" w:rsidRPr="00F650D8">
        <w:rPr>
          <w:rFonts w:ascii="Times New Roman" w:hAnsi="Times New Roman" w:cs="Times New Roman"/>
          <w:iCs/>
        </w:rPr>
        <w:fldChar w:fldCharType="end"/>
      </w:r>
      <w:r w:rsidR="00655C5C" w:rsidRPr="00F650D8">
        <w:rPr>
          <w:rFonts w:ascii="Times New Roman" w:hAnsi="Times New Roman" w:cs="Times New Roman"/>
          <w:iCs/>
        </w:rPr>
        <w:t xml:space="preserve"> The </w:t>
      </w:r>
      <w:r w:rsidR="0091384C" w:rsidRPr="00F650D8">
        <w:rPr>
          <w:rFonts w:ascii="Times New Roman" w:hAnsi="Times New Roman" w:cs="Times New Roman"/>
          <w:iCs/>
        </w:rPr>
        <w:t>latter</w:t>
      </w:r>
      <w:r w:rsidR="00407121" w:rsidRPr="00F650D8">
        <w:rPr>
          <w:rFonts w:ascii="Times New Roman" w:hAnsi="Times New Roman" w:cs="Times New Roman"/>
          <w:iCs/>
        </w:rPr>
        <w:t xml:space="preserve"> allow</w:t>
      </w:r>
      <w:r w:rsidR="00655C5C" w:rsidRPr="00F650D8">
        <w:rPr>
          <w:rFonts w:ascii="Times New Roman" w:hAnsi="Times New Roman" w:cs="Times New Roman"/>
          <w:iCs/>
        </w:rPr>
        <w:t>ed</w:t>
      </w:r>
      <w:r w:rsidR="00407121" w:rsidRPr="00F650D8">
        <w:rPr>
          <w:rFonts w:ascii="Times New Roman" w:hAnsi="Times New Roman" w:cs="Times New Roman"/>
          <w:iCs/>
        </w:rPr>
        <w:t xml:space="preserve"> three comparisons (</w:t>
      </w:r>
      <w:r w:rsidR="00846628" w:rsidRPr="00F650D8">
        <w:rPr>
          <w:rFonts w:ascii="Times New Roman" w:hAnsi="Times New Roman" w:cs="Times New Roman"/>
          <w:iCs/>
        </w:rPr>
        <w:t>one for each experimental group</w:t>
      </w:r>
      <w:r w:rsidR="00407121" w:rsidRPr="00F650D8">
        <w:rPr>
          <w:rFonts w:ascii="Times New Roman" w:hAnsi="Times New Roman" w:cs="Times New Roman"/>
          <w:iCs/>
        </w:rPr>
        <w:t xml:space="preserve">) </w:t>
      </w:r>
      <w:r w:rsidR="00475158" w:rsidRPr="00F650D8">
        <w:rPr>
          <w:rFonts w:ascii="Times New Roman" w:hAnsi="Times New Roman" w:cs="Times New Roman"/>
          <w:iCs/>
        </w:rPr>
        <w:t>against</w:t>
      </w:r>
      <w:r w:rsidR="00407121" w:rsidRPr="00F650D8">
        <w:rPr>
          <w:rFonts w:ascii="Times New Roman" w:hAnsi="Times New Roman" w:cs="Times New Roman"/>
          <w:iCs/>
        </w:rPr>
        <w:t xml:space="preserve"> </w:t>
      </w:r>
      <w:r w:rsidR="005E51C0" w:rsidRPr="00F650D8">
        <w:rPr>
          <w:rFonts w:ascii="Times New Roman" w:hAnsi="Times New Roman" w:cs="Times New Roman"/>
          <w:iCs/>
        </w:rPr>
        <w:t>placebo-only</w:t>
      </w:r>
      <w:r w:rsidR="00475158" w:rsidRPr="00F650D8">
        <w:rPr>
          <w:rFonts w:ascii="Times New Roman" w:hAnsi="Times New Roman" w:cs="Times New Roman"/>
          <w:iCs/>
        </w:rPr>
        <w:t>.</w:t>
      </w:r>
    </w:p>
    <w:p w14:paraId="102E512E" w14:textId="02113CDE" w:rsidR="00CB69E0" w:rsidRPr="00F650D8" w:rsidRDefault="00CB69E0" w:rsidP="00013C9D">
      <w:pPr>
        <w:spacing w:line="480" w:lineRule="auto"/>
        <w:jc w:val="both"/>
        <w:rPr>
          <w:rFonts w:ascii="Times New Roman" w:hAnsi="Times New Roman" w:cs="Times New Roman"/>
          <w:iCs/>
        </w:rPr>
      </w:pPr>
    </w:p>
    <w:p w14:paraId="6A58CDA3" w14:textId="278FAF61" w:rsidR="00485C3D" w:rsidRPr="00F650D8" w:rsidRDefault="00485C3D" w:rsidP="00013C9D">
      <w:pPr>
        <w:spacing w:line="480" w:lineRule="auto"/>
        <w:jc w:val="both"/>
        <w:rPr>
          <w:rFonts w:ascii="Times New Roman" w:hAnsi="Times New Roman" w:cs="Times New Roman"/>
          <w:i/>
        </w:rPr>
      </w:pPr>
      <w:r w:rsidRPr="00F650D8">
        <w:rPr>
          <w:rFonts w:ascii="Times New Roman" w:hAnsi="Times New Roman" w:cs="Times New Roman"/>
          <w:i/>
        </w:rPr>
        <w:t>Statistical analysis</w:t>
      </w:r>
    </w:p>
    <w:p w14:paraId="1F2912A9" w14:textId="158945FB" w:rsidR="00D16CE8" w:rsidRPr="00F650D8" w:rsidRDefault="0091384C" w:rsidP="00013C9D">
      <w:pPr>
        <w:spacing w:line="480" w:lineRule="auto"/>
        <w:jc w:val="both"/>
        <w:rPr>
          <w:rFonts w:ascii="Times New Roman" w:hAnsi="Times New Roman" w:cs="Times New Roman"/>
          <w:iCs/>
        </w:rPr>
      </w:pPr>
      <w:r w:rsidRPr="00F650D8">
        <w:rPr>
          <w:rFonts w:ascii="Times New Roman" w:hAnsi="Times New Roman" w:cs="Times New Roman"/>
          <w:iCs/>
        </w:rPr>
        <w:t>The primary analysis compared</w:t>
      </w:r>
      <w:r w:rsidR="008665F0" w:rsidRPr="00F650D8">
        <w:rPr>
          <w:rFonts w:ascii="Times New Roman" w:hAnsi="Times New Roman" w:cs="Times New Roman"/>
          <w:iCs/>
        </w:rPr>
        <w:t xml:space="preserve"> change from baseline in </w:t>
      </w:r>
      <w:r w:rsidR="00BF433E" w:rsidRPr="00F650D8">
        <w:rPr>
          <w:rFonts w:ascii="Times New Roman" w:hAnsi="Times New Roman" w:cs="Times New Roman"/>
          <w:iCs/>
        </w:rPr>
        <w:t xml:space="preserve">postprandial </w:t>
      </w:r>
      <w:r w:rsidR="00D16CE8" w:rsidRPr="00F650D8">
        <w:rPr>
          <w:rFonts w:ascii="Times New Roman" w:hAnsi="Times New Roman" w:cs="Times New Roman"/>
          <w:iCs/>
        </w:rPr>
        <w:t xml:space="preserve">total PYY </w:t>
      </w:r>
      <w:r w:rsidRPr="00F650D8">
        <w:rPr>
          <w:rFonts w:ascii="Times New Roman" w:hAnsi="Times New Roman" w:cs="Times New Roman"/>
          <w:iCs/>
        </w:rPr>
        <w:t>at 24 weeks</w:t>
      </w:r>
      <w:r w:rsidR="00846628" w:rsidRPr="00F650D8">
        <w:rPr>
          <w:rFonts w:ascii="Times New Roman" w:hAnsi="Times New Roman" w:cs="Times New Roman"/>
          <w:iCs/>
        </w:rPr>
        <w:t xml:space="preserve"> in each experimental group versus </w:t>
      </w:r>
      <w:r w:rsidR="005E51C0" w:rsidRPr="00F650D8">
        <w:rPr>
          <w:rFonts w:ascii="Times New Roman" w:hAnsi="Times New Roman" w:cs="Times New Roman"/>
          <w:iCs/>
        </w:rPr>
        <w:t>placebo-only</w:t>
      </w:r>
      <w:r w:rsidR="00D16CE8" w:rsidRPr="00F650D8">
        <w:rPr>
          <w:rFonts w:ascii="Times New Roman" w:hAnsi="Times New Roman" w:cs="Times New Roman"/>
          <w:iCs/>
        </w:rPr>
        <w:t>,</w:t>
      </w:r>
      <w:r w:rsidRPr="00F650D8">
        <w:rPr>
          <w:rFonts w:ascii="Times New Roman" w:hAnsi="Times New Roman" w:cs="Times New Roman"/>
          <w:iCs/>
        </w:rPr>
        <w:t xml:space="preserve"> using </w:t>
      </w:r>
      <w:r w:rsidR="00A71BB1" w:rsidRPr="00F650D8">
        <w:rPr>
          <w:rFonts w:ascii="Times New Roman" w:hAnsi="Times New Roman" w:cs="Times New Roman"/>
          <w:iCs/>
        </w:rPr>
        <w:t xml:space="preserve">a </w:t>
      </w:r>
      <w:r w:rsidR="00306012" w:rsidRPr="00F650D8">
        <w:rPr>
          <w:rFonts w:ascii="Times New Roman" w:hAnsi="Times New Roman" w:cs="Times New Roman"/>
          <w:iCs/>
        </w:rPr>
        <w:t>generali</w:t>
      </w:r>
      <w:r w:rsidR="002B7883" w:rsidRPr="00F650D8">
        <w:rPr>
          <w:rFonts w:ascii="Times New Roman" w:hAnsi="Times New Roman" w:cs="Times New Roman"/>
          <w:iCs/>
        </w:rPr>
        <w:t>s</w:t>
      </w:r>
      <w:r w:rsidRPr="00F650D8">
        <w:rPr>
          <w:rFonts w:ascii="Times New Roman" w:hAnsi="Times New Roman" w:cs="Times New Roman"/>
          <w:iCs/>
        </w:rPr>
        <w:t>ed linear model</w:t>
      </w:r>
      <w:r w:rsidR="00D16CE8" w:rsidRPr="00F650D8">
        <w:rPr>
          <w:rFonts w:ascii="Times New Roman" w:hAnsi="Times New Roman" w:cs="Times New Roman"/>
          <w:iCs/>
        </w:rPr>
        <w:t xml:space="preserve"> </w:t>
      </w:r>
      <w:r w:rsidR="00B5105A" w:rsidRPr="00F650D8">
        <w:rPr>
          <w:rFonts w:ascii="Times New Roman" w:hAnsi="Times New Roman" w:cs="Times New Roman"/>
          <w:iCs/>
        </w:rPr>
        <w:t xml:space="preserve">(GLM) </w:t>
      </w:r>
      <w:r w:rsidR="00846628" w:rsidRPr="00F650D8">
        <w:rPr>
          <w:rFonts w:ascii="Times New Roman" w:hAnsi="Times New Roman" w:cs="Times New Roman"/>
          <w:iCs/>
        </w:rPr>
        <w:t xml:space="preserve">adjusted for age, BMI and baseline </w:t>
      </w:r>
      <w:r w:rsidR="00BF433E" w:rsidRPr="00F650D8">
        <w:rPr>
          <w:rFonts w:ascii="Times New Roman" w:hAnsi="Times New Roman" w:cs="Times New Roman"/>
          <w:iCs/>
        </w:rPr>
        <w:t xml:space="preserve">total </w:t>
      </w:r>
      <w:r w:rsidR="00E8792B" w:rsidRPr="00F650D8">
        <w:rPr>
          <w:rFonts w:ascii="Times New Roman" w:hAnsi="Times New Roman" w:cs="Times New Roman"/>
          <w:iCs/>
        </w:rPr>
        <w:t xml:space="preserve">PYY </w:t>
      </w:r>
      <w:r w:rsidR="00BF433E" w:rsidRPr="00F650D8">
        <w:rPr>
          <w:rFonts w:ascii="Times New Roman" w:hAnsi="Times New Roman" w:cs="Times New Roman"/>
          <w:iCs/>
        </w:rPr>
        <w:t>response</w:t>
      </w:r>
      <w:r w:rsidR="00846628" w:rsidRPr="00F650D8">
        <w:rPr>
          <w:rFonts w:ascii="Times New Roman" w:hAnsi="Times New Roman" w:cs="Times New Roman"/>
          <w:iCs/>
        </w:rPr>
        <w:t xml:space="preserve">, </w:t>
      </w:r>
      <w:r w:rsidR="005D6C92" w:rsidRPr="00F650D8">
        <w:rPr>
          <w:rFonts w:ascii="Times New Roman" w:hAnsi="Times New Roman" w:cs="Times New Roman"/>
          <w:iCs/>
        </w:rPr>
        <w:t xml:space="preserve">utilising </w:t>
      </w:r>
      <w:r w:rsidRPr="00F650D8">
        <w:rPr>
          <w:rFonts w:ascii="Times New Roman" w:hAnsi="Times New Roman" w:cs="Times New Roman"/>
          <w:iCs/>
        </w:rPr>
        <w:t>a complete case</w:t>
      </w:r>
      <w:r w:rsidR="00A7342B" w:rsidRPr="00F650D8">
        <w:rPr>
          <w:rFonts w:ascii="Times New Roman" w:hAnsi="Times New Roman" w:cs="Times New Roman"/>
          <w:iCs/>
        </w:rPr>
        <w:t>s</w:t>
      </w:r>
      <w:r w:rsidRPr="00F650D8">
        <w:rPr>
          <w:rFonts w:ascii="Times New Roman" w:hAnsi="Times New Roman" w:cs="Times New Roman"/>
          <w:iCs/>
        </w:rPr>
        <w:t xml:space="preserve"> </w:t>
      </w:r>
      <w:r w:rsidR="008439E6" w:rsidRPr="00F650D8">
        <w:rPr>
          <w:rFonts w:ascii="Times New Roman" w:hAnsi="Times New Roman" w:cs="Times New Roman"/>
          <w:iCs/>
        </w:rPr>
        <w:t>approach</w:t>
      </w:r>
      <w:r w:rsidRPr="00F650D8">
        <w:rPr>
          <w:rFonts w:ascii="Times New Roman" w:hAnsi="Times New Roman" w:cs="Times New Roman"/>
          <w:iCs/>
        </w:rPr>
        <w:t xml:space="preserve">. </w:t>
      </w:r>
      <w:r w:rsidR="00FD66FA" w:rsidRPr="00F650D8">
        <w:rPr>
          <w:rFonts w:ascii="Times New Roman" w:hAnsi="Times New Roman" w:cs="Times New Roman"/>
          <w:iCs/>
        </w:rPr>
        <w:t xml:space="preserve"> </w:t>
      </w:r>
      <w:r w:rsidR="00BE4583" w:rsidRPr="00F650D8">
        <w:rPr>
          <w:rFonts w:ascii="Times New Roman" w:hAnsi="Times New Roman" w:cs="Times New Roman"/>
          <w:iCs/>
        </w:rPr>
        <w:t xml:space="preserve">Two sensitivity analyses of the primary </w:t>
      </w:r>
      <w:r w:rsidR="008439E6" w:rsidRPr="00F650D8">
        <w:rPr>
          <w:rFonts w:ascii="Times New Roman" w:hAnsi="Times New Roman" w:cs="Times New Roman"/>
          <w:iCs/>
        </w:rPr>
        <w:t>outcome</w:t>
      </w:r>
      <w:r w:rsidR="00BE4583" w:rsidRPr="00F650D8">
        <w:rPr>
          <w:rFonts w:ascii="Times New Roman" w:hAnsi="Times New Roman" w:cs="Times New Roman"/>
          <w:iCs/>
        </w:rPr>
        <w:t xml:space="preserve"> were performed</w:t>
      </w:r>
      <w:r w:rsidR="008439E6" w:rsidRPr="00F650D8">
        <w:rPr>
          <w:rFonts w:ascii="Times New Roman" w:hAnsi="Times New Roman" w:cs="Times New Roman"/>
          <w:iCs/>
        </w:rPr>
        <w:t xml:space="preserve">, </w:t>
      </w:r>
      <w:r w:rsidR="00013B8A" w:rsidRPr="00F650D8">
        <w:rPr>
          <w:rFonts w:ascii="Times New Roman" w:hAnsi="Times New Roman" w:cs="Times New Roman"/>
          <w:iCs/>
        </w:rPr>
        <w:t xml:space="preserve">repeating the </w:t>
      </w:r>
      <w:r w:rsidR="00846628" w:rsidRPr="00F650D8">
        <w:rPr>
          <w:rFonts w:ascii="Times New Roman" w:hAnsi="Times New Roman" w:cs="Times New Roman"/>
          <w:iCs/>
        </w:rPr>
        <w:t>primary</w:t>
      </w:r>
      <w:r w:rsidR="00013B8A" w:rsidRPr="00F650D8">
        <w:rPr>
          <w:rFonts w:ascii="Times New Roman" w:hAnsi="Times New Roman" w:cs="Times New Roman"/>
          <w:iCs/>
        </w:rPr>
        <w:t xml:space="preserve"> analys</w:t>
      </w:r>
      <w:r w:rsidR="00A7342B" w:rsidRPr="00F650D8">
        <w:rPr>
          <w:rFonts w:ascii="Times New Roman" w:hAnsi="Times New Roman" w:cs="Times New Roman"/>
          <w:iCs/>
        </w:rPr>
        <w:t>i</w:t>
      </w:r>
      <w:r w:rsidR="00013B8A" w:rsidRPr="00F650D8">
        <w:rPr>
          <w:rFonts w:ascii="Times New Roman" w:hAnsi="Times New Roman" w:cs="Times New Roman"/>
          <w:iCs/>
        </w:rPr>
        <w:t xml:space="preserve">s </w:t>
      </w:r>
      <w:r w:rsidR="00846628" w:rsidRPr="00F650D8">
        <w:rPr>
          <w:rFonts w:ascii="Times New Roman" w:hAnsi="Times New Roman" w:cs="Times New Roman"/>
          <w:iCs/>
        </w:rPr>
        <w:t xml:space="preserve">in both </w:t>
      </w:r>
      <w:r w:rsidR="00E02B69" w:rsidRPr="00F650D8">
        <w:rPr>
          <w:rFonts w:ascii="Times New Roman" w:hAnsi="Times New Roman" w:cs="Times New Roman"/>
          <w:iCs/>
        </w:rPr>
        <w:t>“</w:t>
      </w:r>
      <w:r w:rsidR="008439E6" w:rsidRPr="00F650D8">
        <w:rPr>
          <w:rFonts w:ascii="Times New Roman" w:hAnsi="Times New Roman" w:cs="Times New Roman"/>
          <w:iCs/>
        </w:rPr>
        <w:t>intention-to-treat</w:t>
      </w:r>
      <w:r w:rsidR="00E02B69" w:rsidRPr="00F650D8">
        <w:rPr>
          <w:rFonts w:ascii="Times New Roman" w:hAnsi="Times New Roman" w:cs="Times New Roman"/>
          <w:iCs/>
        </w:rPr>
        <w:t>”</w:t>
      </w:r>
      <w:r w:rsidR="008439E6" w:rsidRPr="00F650D8">
        <w:rPr>
          <w:rFonts w:ascii="Times New Roman" w:hAnsi="Times New Roman" w:cs="Times New Roman"/>
          <w:iCs/>
        </w:rPr>
        <w:t xml:space="preserve"> (ITT) and </w:t>
      </w:r>
      <w:r w:rsidR="00E02B69" w:rsidRPr="00F650D8">
        <w:rPr>
          <w:rFonts w:ascii="Times New Roman" w:hAnsi="Times New Roman" w:cs="Times New Roman"/>
          <w:iCs/>
        </w:rPr>
        <w:t>“</w:t>
      </w:r>
      <w:r w:rsidR="008439E6" w:rsidRPr="00F650D8">
        <w:rPr>
          <w:rFonts w:ascii="Times New Roman" w:hAnsi="Times New Roman" w:cs="Times New Roman"/>
          <w:iCs/>
        </w:rPr>
        <w:t>per protocol</w:t>
      </w:r>
      <w:r w:rsidR="00E02B69" w:rsidRPr="00F650D8">
        <w:rPr>
          <w:rFonts w:ascii="Times New Roman" w:hAnsi="Times New Roman" w:cs="Times New Roman"/>
          <w:iCs/>
        </w:rPr>
        <w:t>”</w:t>
      </w:r>
      <w:r w:rsidR="008439E6" w:rsidRPr="00F650D8">
        <w:rPr>
          <w:rFonts w:ascii="Times New Roman" w:hAnsi="Times New Roman" w:cs="Times New Roman"/>
          <w:iCs/>
        </w:rPr>
        <w:t xml:space="preserve"> populations</w:t>
      </w:r>
      <w:r w:rsidR="00DF0327" w:rsidRPr="00F650D8">
        <w:rPr>
          <w:rFonts w:ascii="Times New Roman" w:hAnsi="Times New Roman" w:cs="Times New Roman"/>
          <w:iCs/>
        </w:rPr>
        <w:t xml:space="preserve"> (see supplementa</w:t>
      </w:r>
      <w:r w:rsidR="00FD31AC" w:rsidRPr="00F650D8">
        <w:rPr>
          <w:rFonts w:ascii="Times New Roman" w:hAnsi="Times New Roman" w:cs="Times New Roman"/>
          <w:iCs/>
        </w:rPr>
        <w:t>ry</w:t>
      </w:r>
      <w:r w:rsidR="00DF0327" w:rsidRPr="00F650D8">
        <w:rPr>
          <w:rFonts w:ascii="Times New Roman" w:hAnsi="Times New Roman" w:cs="Times New Roman"/>
          <w:iCs/>
        </w:rPr>
        <w:t xml:space="preserve"> methods for details)</w:t>
      </w:r>
      <w:r w:rsidR="00BE4583" w:rsidRPr="00F650D8">
        <w:rPr>
          <w:rFonts w:ascii="Times New Roman" w:hAnsi="Times New Roman" w:cs="Times New Roman"/>
          <w:iCs/>
        </w:rPr>
        <w:t xml:space="preserve">. </w:t>
      </w:r>
    </w:p>
    <w:p w14:paraId="3CAB9F97" w14:textId="77777777" w:rsidR="00214736" w:rsidRPr="00F650D8" w:rsidRDefault="00214736" w:rsidP="00013C9D">
      <w:pPr>
        <w:spacing w:line="480" w:lineRule="auto"/>
        <w:jc w:val="both"/>
        <w:rPr>
          <w:rFonts w:ascii="Times New Roman" w:hAnsi="Times New Roman" w:cs="Times New Roman"/>
          <w:iCs/>
        </w:rPr>
      </w:pPr>
    </w:p>
    <w:p w14:paraId="35245106" w14:textId="3AEFD50D" w:rsidR="000378C6" w:rsidRPr="00F650D8" w:rsidRDefault="00BE4583" w:rsidP="00013C9D">
      <w:pPr>
        <w:spacing w:line="480" w:lineRule="auto"/>
        <w:jc w:val="both"/>
        <w:rPr>
          <w:rFonts w:ascii="Times New Roman" w:hAnsi="Times New Roman" w:cs="Times New Roman"/>
          <w:iCs/>
        </w:rPr>
      </w:pPr>
      <w:r w:rsidRPr="00F650D8">
        <w:rPr>
          <w:rFonts w:ascii="Times New Roman" w:hAnsi="Times New Roman" w:cs="Times New Roman"/>
          <w:iCs/>
        </w:rPr>
        <w:t>Secondary</w:t>
      </w:r>
      <w:r w:rsidR="000372FA" w:rsidRPr="00F650D8">
        <w:rPr>
          <w:rFonts w:ascii="Times New Roman" w:hAnsi="Times New Roman" w:cs="Times New Roman"/>
          <w:iCs/>
        </w:rPr>
        <w:t xml:space="preserve"> </w:t>
      </w:r>
      <w:r w:rsidR="0075590D" w:rsidRPr="00F650D8">
        <w:rPr>
          <w:rFonts w:ascii="Times New Roman" w:hAnsi="Times New Roman" w:cs="Times New Roman"/>
          <w:iCs/>
        </w:rPr>
        <w:t xml:space="preserve">outcomes </w:t>
      </w:r>
      <w:r w:rsidRPr="00F650D8">
        <w:rPr>
          <w:rFonts w:ascii="Times New Roman" w:hAnsi="Times New Roman" w:cs="Times New Roman"/>
          <w:iCs/>
        </w:rPr>
        <w:t>were analysed</w:t>
      </w:r>
      <w:r w:rsidR="008439E6" w:rsidRPr="00F650D8">
        <w:rPr>
          <w:rFonts w:ascii="Times New Roman" w:hAnsi="Times New Roman" w:cs="Times New Roman"/>
          <w:iCs/>
        </w:rPr>
        <w:t xml:space="preserve"> </w:t>
      </w:r>
      <w:r w:rsidR="003643CA" w:rsidRPr="00F650D8">
        <w:rPr>
          <w:rFonts w:ascii="Times New Roman" w:hAnsi="Times New Roman" w:cs="Times New Roman"/>
          <w:iCs/>
        </w:rPr>
        <w:t>using</w:t>
      </w:r>
      <w:r w:rsidR="003B0CCE" w:rsidRPr="00F650D8">
        <w:rPr>
          <w:rFonts w:ascii="Times New Roman" w:hAnsi="Times New Roman" w:cs="Times New Roman"/>
          <w:iCs/>
        </w:rPr>
        <w:t xml:space="preserve"> GLM</w:t>
      </w:r>
      <w:r w:rsidR="002D7B46" w:rsidRPr="00F650D8">
        <w:rPr>
          <w:rFonts w:ascii="Times New Roman" w:hAnsi="Times New Roman" w:cs="Times New Roman"/>
          <w:iCs/>
        </w:rPr>
        <w:t xml:space="preserve"> as outlined above</w:t>
      </w:r>
      <w:r w:rsidR="003B0CCE" w:rsidRPr="00F650D8">
        <w:rPr>
          <w:rFonts w:ascii="Times New Roman" w:hAnsi="Times New Roman" w:cs="Times New Roman"/>
          <w:iCs/>
        </w:rPr>
        <w:t xml:space="preserve"> </w:t>
      </w:r>
      <w:r w:rsidR="00461E58" w:rsidRPr="00F650D8">
        <w:rPr>
          <w:rFonts w:ascii="Times New Roman" w:hAnsi="Times New Roman" w:cs="Times New Roman"/>
          <w:iCs/>
        </w:rPr>
        <w:t>at 2, 6, 12</w:t>
      </w:r>
      <w:r w:rsidR="003643CA" w:rsidRPr="00F650D8">
        <w:rPr>
          <w:rFonts w:ascii="Times New Roman" w:hAnsi="Times New Roman" w:cs="Times New Roman"/>
          <w:iCs/>
        </w:rPr>
        <w:t xml:space="preserve">, and/or 24 weeks (as appropriate), with analyses of accelerometer-measured outcomes additionally adjusted for device wear time. </w:t>
      </w:r>
      <w:r w:rsidR="002D7B46" w:rsidRPr="00F650D8">
        <w:rPr>
          <w:rFonts w:ascii="Times New Roman" w:hAnsi="Times New Roman" w:cs="Times New Roman"/>
          <w:iCs/>
        </w:rPr>
        <w:t>G</w:t>
      </w:r>
      <w:r w:rsidR="003B0CCE" w:rsidRPr="00F650D8">
        <w:rPr>
          <w:rFonts w:ascii="Times New Roman" w:hAnsi="Times New Roman" w:cs="Times New Roman"/>
          <w:iCs/>
        </w:rPr>
        <w:t>enerali</w:t>
      </w:r>
      <w:r w:rsidR="002B7883" w:rsidRPr="00F650D8">
        <w:rPr>
          <w:rFonts w:ascii="Times New Roman" w:hAnsi="Times New Roman" w:cs="Times New Roman"/>
          <w:iCs/>
        </w:rPr>
        <w:t>s</w:t>
      </w:r>
      <w:r w:rsidR="003B0CCE" w:rsidRPr="00F650D8">
        <w:rPr>
          <w:rFonts w:ascii="Times New Roman" w:hAnsi="Times New Roman" w:cs="Times New Roman"/>
          <w:iCs/>
        </w:rPr>
        <w:t xml:space="preserve">ed </w:t>
      </w:r>
      <w:r w:rsidR="00461E58" w:rsidRPr="00F650D8">
        <w:rPr>
          <w:rFonts w:ascii="Times New Roman" w:hAnsi="Times New Roman" w:cs="Times New Roman"/>
          <w:iCs/>
        </w:rPr>
        <w:t>estimati</w:t>
      </w:r>
      <w:r w:rsidR="003B0CCE" w:rsidRPr="00F650D8">
        <w:rPr>
          <w:rFonts w:ascii="Times New Roman" w:hAnsi="Times New Roman" w:cs="Times New Roman"/>
          <w:iCs/>
        </w:rPr>
        <w:t>n</w:t>
      </w:r>
      <w:r w:rsidR="00461E58" w:rsidRPr="00F650D8">
        <w:rPr>
          <w:rFonts w:ascii="Times New Roman" w:hAnsi="Times New Roman" w:cs="Times New Roman"/>
          <w:iCs/>
        </w:rPr>
        <w:t>g</w:t>
      </w:r>
      <w:r w:rsidR="003B0CCE" w:rsidRPr="00F650D8">
        <w:rPr>
          <w:rFonts w:ascii="Times New Roman" w:hAnsi="Times New Roman" w:cs="Times New Roman"/>
          <w:iCs/>
        </w:rPr>
        <w:t xml:space="preserve"> equations (GEE</w:t>
      </w:r>
      <w:r w:rsidR="003643CA" w:rsidRPr="00F650D8">
        <w:rPr>
          <w:rFonts w:ascii="Times New Roman" w:hAnsi="Times New Roman" w:cs="Times New Roman"/>
          <w:iCs/>
        </w:rPr>
        <w:t>)</w:t>
      </w:r>
      <w:r w:rsidR="003B0CCE" w:rsidRPr="00F650D8">
        <w:rPr>
          <w:rFonts w:ascii="Times New Roman" w:hAnsi="Times New Roman" w:cs="Times New Roman"/>
          <w:iCs/>
        </w:rPr>
        <w:t xml:space="preserve"> </w:t>
      </w:r>
      <w:r w:rsidR="00461E58" w:rsidRPr="00F650D8">
        <w:rPr>
          <w:rFonts w:ascii="Times New Roman" w:hAnsi="Times New Roman" w:cs="Times New Roman"/>
          <w:iCs/>
        </w:rPr>
        <w:t xml:space="preserve">were </w:t>
      </w:r>
      <w:r w:rsidR="00E02B69" w:rsidRPr="00F650D8">
        <w:rPr>
          <w:rFonts w:ascii="Times New Roman" w:hAnsi="Times New Roman" w:cs="Times New Roman"/>
          <w:iCs/>
        </w:rPr>
        <w:t>performed</w:t>
      </w:r>
      <w:r w:rsidR="00F16311" w:rsidRPr="00F650D8">
        <w:rPr>
          <w:rFonts w:ascii="Times New Roman" w:hAnsi="Times New Roman" w:cs="Times New Roman"/>
          <w:iCs/>
        </w:rPr>
        <w:t xml:space="preserve"> for each outcome</w:t>
      </w:r>
      <w:r w:rsidR="00461E58" w:rsidRPr="00F650D8">
        <w:rPr>
          <w:rFonts w:ascii="Times New Roman" w:hAnsi="Times New Roman" w:cs="Times New Roman"/>
          <w:iCs/>
        </w:rPr>
        <w:t xml:space="preserve"> to </w:t>
      </w:r>
      <w:r w:rsidR="003B0CCE" w:rsidRPr="00F650D8">
        <w:rPr>
          <w:rFonts w:ascii="Times New Roman" w:hAnsi="Times New Roman" w:cs="Times New Roman"/>
          <w:iCs/>
        </w:rPr>
        <w:t>complement GLM</w:t>
      </w:r>
      <w:r w:rsidR="002D7B46" w:rsidRPr="00F650D8">
        <w:rPr>
          <w:rFonts w:ascii="Times New Roman" w:hAnsi="Times New Roman" w:cs="Times New Roman"/>
          <w:iCs/>
        </w:rPr>
        <w:t xml:space="preserve"> analyses</w:t>
      </w:r>
      <w:r w:rsidR="003B0CCE" w:rsidRPr="00F650D8">
        <w:rPr>
          <w:rFonts w:ascii="Times New Roman" w:hAnsi="Times New Roman" w:cs="Times New Roman"/>
          <w:iCs/>
        </w:rPr>
        <w:t xml:space="preserve"> at each timepoint. GEE accounts for repeated measurements, does not require imputation or exclusion of participants for missing data, and can be interpreted as </w:t>
      </w:r>
      <w:r w:rsidR="009510B1" w:rsidRPr="00F650D8">
        <w:rPr>
          <w:rFonts w:ascii="Times New Roman" w:hAnsi="Times New Roman" w:cs="Times New Roman"/>
          <w:iCs/>
        </w:rPr>
        <w:t>a ‘summary’</w:t>
      </w:r>
      <w:r w:rsidR="00461E58" w:rsidRPr="00F650D8">
        <w:rPr>
          <w:rFonts w:ascii="Times New Roman" w:hAnsi="Times New Roman" w:cs="Times New Roman"/>
          <w:iCs/>
        </w:rPr>
        <w:t xml:space="preserve"> intervention effect across the entire follow-up period</w:t>
      </w:r>
      <w:r w:rsidR="009510B1" w:rsidRPr="00F650D8">
        <w:rPr>
          <w:rFonts w:ascii="Times New Roman" w:hAnsi="Times New Roman" w:cs="Times New Roman"/>
          <w:iCs/>
        </w:rPr>
        <w:t>.</w:t>
      </w:r>
      <w:r w:rsidR="00461E58" w:rsidRPr="00F650D8">
        <w:rPr>
          <w:rFonts w:ascii="Times New Roman" w:hAnsi="Times New Roman" w:cs="Times New Roman"/>
          <w:iCs/>
        </w:rPr>
        <w:t xml:space="preserve"> </w:t>
      </w:r>
      <w:r w:rsidR="00AE60B6" w:rsidRPr="00F650D8">
        <w:rPr>
          <w:rFonts w:ascii="Times New Roman" w:hAnsi="Times New Roman" w:cs="Times New Roman"/>
          <w:iCs/>
        </w:rPr>
        <w:t xml:space="preserve">GEE analyses </w:t>
      </w:r>
      <w:r w:rsidR="00B6699E" w:rsidRPr="00F650D8">
        <w:rPr>
          <w:rFonts w:ascii="Times New Roman" w:hAnsi="Times New Roman" w:cs="Times New Roman"/>
          <w:iCs/>
        </w:rPr>
        <w:t>compared each experimental group with place</w:t>
      </w:r>
      <w:r w:rsidR="00E02B69" w:rsidRPr="00F650D8">
        <w:rPr>
          <w:rFonts w:ascii="Times New Roman" w:hAnsi="Times New Roman" w:cs="Times New Roman"/>
          <w:iCs/>
        </w:rPr>
        <w:t>bo-</w:t>
      </w:r>
      <w:r w:rsidR="005D6C92" w:rsidRPr="00F650D8">
        <w:rPr>
          <w:rFonts w:ascii="Times New Roman" w:hAnsi="Times New Roman" w:cs="Times New Roman"/>
          <w:iCs/>
        </w:rPr>
        <w:t>only</w:t>
      </w:r>
      <w:r w:rsidR="000378C6" w:rsidRPr="00F650D8">
        <w:rPr>
          <w:rFonts w:ascii="Times New Roman" w:hAnsi="Times New Roman" w:cs="Times New Roman"/>
          <w:iCs/>
        </w:rPr>
        <w:t>,</w:t>
      </w:r>
      <w:r w:rsidR="005D6C92" w:rsidRPr="00F650D8">
        <w:rPr>
          <w:rFonts w:ascii="Times New Roman" w:hAnsi="Times New Roman" w:cs="Times New Roman"/>
          <w:iCs/>
        </w:rPr>
        <w:t xml:space="preserve"> using a normal distribution and an exchangeable correlation matrix, and </w:t>
      </w:r>
      <w:r w:rsidR="00AE60B6" w:rsidRPr="00F650D8">
        <w:rPr>
          <w:rFonts w:ascii="Times New Roman" w:hAnsi="Times New Roman" w:cs="Times New Roman"/>
          <w:iCs/>
        </w:rPr>
        <w:t xml:space="preserve">were adjusted as per GLM </w:t>
      </w:r>
      <w:r w:rsidR="001C1D69" w:rsidRPr="00F650D8">
        <w:rPr>
          <w:rFonts w:ascii="Times New Roman" w:hAnsi="Times New Roman" w:cs="Times New Roman"/>
          <w:iCs/>
        </w:rPr>
        <w:t>models</w:t>
      </w:r>
      <w:r w:rsidR="00AE60B6" w:rsidRPr="00F650D8">
        <w:rPr>
          <w:rFonts w:ascii="Times New Roman" w:hAnsi="Times New Roman" w:cs="Times New Roman"/>
          <w:iCs/>
        </w:rPr>
        <w:t>.</w:t>
      </w:r>
      <w:r w:rsidR="006C6734" w:rsidRPr="00F650D8">
        <w:rPr>
          <w:rFonts w:ascii="Times New Roman" w:hAnsi="Times New Roman" w:cs="Times New Roman"/>
          <w:iCs/>
        </w:rPr>
        <w:t xml:space="preserve"> </w:t>
      </w:r>
      <w:r w:rsidR="00A7342B" w:rsidRPr="00F650D8">
        <w:rPr>
          <w:rFonts w:ascii="Times New Roman" w:hAnsi="Times New Roman" w:cs="Times New Roman"/>
          <w:iCs/>
        </w:rPr>
        <w:t>S</w:t>
      </w:r>
      <w:r w:rsidR="000329B2" w:rsidRPr="00F650D8">
        <w:rPr>
          <w:rFonts w:ascii="Times New Roman" w:hAnsi="Times New Roman" w:cs="Times New Roman"/>
          <w:iCs/>
        </w:rPr>
        <w:t>tatistical analyses were performed us</w:t>
      </w:r>
      <w:r w:rsidR="00DE24A9" w:rsidRPr="00F650D8">
        <w:rPr>
          <w:rFonts w:ascii="Times New Roman" w:hAnsi="Times New Roman" w:cs="Times New Roman"/>
          <w:iCs/>
        </w:rPr>
        <w:t>ing</w:t>
      </w:r>
      <w:r w:rsidR="000329B2" w:rsidRPr="00F650D8">
        <w:rPr>
          <w:rFonts w:ascii="Times New Roman" w:hAnsi="Times New Roman" w:cs="Times New Roman"/>
          <w:iCs/>
        </w:rPr>
        <w:t xml:space="preserve"> STATA </w:t>
      </w:r>
      <w:r w:rsidR="00A7342B" w:rsidRPr="00F650D8">
        <w:rPr>
          <w:rFonts w:ascii="Times New Roman" w:hAnsi="Times New Roman" w:cs="Times New Roman"/>
          <w:iCs/>
        </w:rPr>
        <w:t>v</w:t>
      </w:r>
      <w:r w:rsidR="0014739E" w:rsidRPr="00F650D8">
        <w:rPr>
          <w:rFonts w:ascii="Times New Roman" w:hAnsi="Times New Roman" w:cs="Times New Roman"/>
          <w:iCs/>
        </w:rPr>
        <w:t>16</w:t>
      </w:r>
      <w:r w:rsidR="00563D5A" w:rsidRPr="00F650D8">
        <w:rPr>
          <w:rFonts w:ascii="Times New Roman" w:hAnsi="Times New Roman" w:cs="Times New Roman"/>
        </w:rPr>
        <w:t>.</w:t>
      </w:r>
      <w:r w:rsidR="0014739E" w:rsidRPr="00F650D8">
        <w:rPr>
          <w:rFonts w:ascii="Times New Roman" w:hAnsi="Times New Roman" w:cs="Times New Roman"/>
          <w:iCs/>
        </w:rPr>
        <w:t>1</w:t>
      </w:r>
      <w:r w:rsidR="000329B2" w:rsidRPr="00F650D8">
        <w:rPr>
          <w:rFonts w:ascii="Times New Roman" w:hAnsi="Times New Roman" w:cs="Times New Roman"/>
          <w:iCs/>
        </w:rPr>
        <w:t xml:space="preserve"> (StataCorp LP, Texas, USA). </w:t>
      </w:r>
    </w:p>
    <w:p w14:paraId="4FAC7D53" w14:textId="77777777" w:rsidR="00E50D78" w:rsidRPr="00F650D8" w:rsidRDefault="00E50D78" w:rsidP="00013C9D">
      <w:pPr>
        <w:spacing w:line="480" w:lineRule="auto"/>
        <w:jc w:val="both"/>
        <w:rPr>
          <w:rFonts w:ascii="Times New Roman" w:hAnsi="Times New Roman" w:cs="Times New Roman"/>
          <w:iCs/>
        </w:rPr>
      </w:pPr>
    </w:p>
    <w:p w14:paraId="4BBEB9C1" w14:textId="040FFBCD" w:rsidR="00D618FF" w:rsidRPr="00F650D8" w:rsidRDefault="00CF4526" w:rsidP="00013C9D">
      <w:pPr>
        <w:spacing w:line="480" w:lineRule="auto"/>
        <w:jc w:val="both"/>
        <w:rPr>
          <w:rFonts w:ascii="Times New Roman" w:hAnsi="Times New Roman" w:cs="Times New Roman"/>
          <w:iCs/>
        </w:rPr>
      </w:pPr>
      <w:r w:rsidRPr="00F650D8">
        <w:rPr>
          <w:rFonts w:ascii="Times New Roman" w:hAnsi="Times New Roman" w:cs="Times New Roman"/>
          <w:iCs/>
        </w:rPr>
        <w:t xml:space="preserve">Comparisons between </w:t>
      </w:r>
      <w:r w:rsidR="00F16311" w:rsidRPr="00F650D8">
        <w:rPr>
          <w:rFonts w:ascii="Times New Roman" w:hAnsi="Times New Roman" w:cs="Times New Roman"/>
          <w:iCs/>
        </w:rPr>
        <w:t>experimental groups and placebo-</w:t>
      </w:r>
      <w:r w:rsidR="000378C6" w:rsidRPr="00F650D8">
        <w:rPr>
          <w:rFonts w:ascii="Times New Roman" w:hAnsi="Times New Roman" w:cs="Times New Roman"/>
          <w:iCs/>
        </w:rPr>
        <w:t xml:space="preserve">only </w:t>
      </w:r>
      <w:r w:rsidRPr="00F650D8">
        <w:rPr>
          <w:rFonts w:ascii="Times New Roman" w:hAnsi="Times New Roman" w:cs="Times New Roman"/>
          <w:iCs/>
        </w:rPr>
        <w:t>are reported as adjusted mean difference (experimental group minus placebo</w:t>
      </w:r>
      <w:r w:rsidR="00F16311" w:rsidRPr="00F650D8">
        <w:rPr>
          <w:rFonts w:ascii="Times New Roman" w:hAnsi="Times New Roman" w:cs="Times New Roman"/>
          <w:iCs/>
        </w:rPr>
        <w:t>-only</w:t>
      </w:r>
      <w:r w:rsidR="00FC3DC1" w:rsidRPr="00F650D8">
        <w:rPr>
          <w:rFonts w:ascii="Times New Roman" w:hAnsi="Times New Roman" w:cs="Times New Roman"/>
          <w:iCs/>
        </w:rPr>
        <w:t xml:space="preserve">) with 95% </w:t>
      </w:r>
      <w:r w:rsidRPr="00F650D8">
        <w:rPr>
          <w:rFonts w:ascii="Times New Roman" w:hAnsi="Times New Roman" w:cs="Times New Roman"/>
          <w:iCs/>
        </w:rPr>
        <w:t xml:space="preserve">CI. </w:t>
      </w:r>
      <w:r w:rsidR="00485C3D" w:rsidRPr="00F650D8">
        <w:rPr>
          <w:rFonts w:ascii="Times New Roman" w:hAnsi="Times New Roman" w:cs="Times New Roman"/>
          <w:iCs/>
        </w:rPr>
        <w:t>To account for multiple testing, s</w:t>
      </w:r>
      <w:r w:rsidRPr="00F650D8">
        <w:rPr>
          <w:rFonts w:ascii="Times New Roman" w:hAnsi="Times New Roman" w:cs="Times New Roman"/>
          <w:iCs/>
        </w:rPr>
        <w:t xml:space="preserve">tatistical significance of all comparisons was determined using Holm’s sequential Bonferroni procedure, whereby the </w:t>
      </w:r>
      <w:r w:rsidR="00F16311" w:rsidRPr="00F650D8">
        <w:rPr>
          <w:rFonts w:ascii="Times New Roman" w:hAnsi="Times New Roman" w:cs="Times New Roman"/>
          <w:iCs/>
        </w:rPr>
        <w:t xml:space="preserve">three </w:t>
      </w:r>
      <w:r w:rsidR="00F16311" w:rsidRPr="00F650D8">
        <w:rPr>
          <w:rFonts w:ascii="Times New Roman" w:hAnsi="Times New Roman" w:cs="Times New Roman"/>
          <w:i/>
          <w:iCs/>
        </w:rPr>
        <w:t>p</w:t>
      </w:r>
      <w:r w:rsidR="00F16311" w:rsidRPr="00F650D8">
        <w:rPr>
          <w:rFonts w:ascii="Times New Roman" w:hAnsi="Times New Roman" w:cs="Times New Roman"/>
          <w:iCs/>
        </w:rPr>
        <w:t>-values for comparisons within a given analysis were assessed sequentially, from lowest to highest, against thresholds of 0</w:t>
      </w:r>
      <w:r w:rsidR="005840E9" w:rsidRPr="00F650D8">
        <w:rPr>
          <w:rFonts w:ascii="Times New Roman" w:hAnsi="Times New Roman" w:cs="Times New Roman"/>
        </w:rPr>
        <w:sym w:font="Symbol" w:char="F0D7"/>
      </w:r>
      <w:r w:rsidR="00F16311" w:rsidRPr="00F650D8">
        <w:rPr>
          <w:rFonts w:ascii="Times New Roman" w:hAnsi="Times New Roman" w:cs="Times New Roman"/>
          <w:iCs/>
        </w:rPr>
        <w:t>017, 0</w:t>
      </w:r>
      <w:r w:rsidR="005840E9" w:rsidRPr="00F650D8">
        <w:rPr>
          <w:rFonts w:ascii="Times New Roman" w:hAnsi="Times New Roman" w:cs="Times New Roman"/>
        </w:rPr>
        <w:sym w:font="Symbol" w:char="F0D7"/>
      </w:r>
      <w:r w:rsidR="00F16311" w:rsidRPr="00F650D8">
        <w:rPr>
          <w:rFonts w:ascii="Times New Roman" w:hAnsi="Times New Roman" w:cs="Times New Roman"/>
          <w:iCs/>
        </w:rPr>
        <w:t>025 and 0</w:t>
      </w:r>
      <w:r w:rsidR="005840E9" w:rsidRPr="00F650D8">
        <w:rPr>
          <w:rFonts w:ascii="Times New Roman" w:hAnsi="Times New Roman" w:cs="Times New Roman"/>
        </w:rPr>
        <w:sym w:font="Symbol" w:char="F0D7"/>
      </w:r>
      <w:r w:rsidR="00F16311" w:rsidRPr="00F650D8">
        <w:rPr>
          <w:rFonts w:ascii="Times New Roman" w:hAnsi="Times New Roman" w:cs="Times New Roman"/>
          <w:iCs/>
        </w:rPr>
        <w:t xml:space="preserve">050, respectively, stopping once a </w:t>
      </w:r>
      <w:r w:rsidR="00F16311" w:rsidRPr="00F650D8">
        <w:rPr>
          <w:rFonts w:ascii="Times New Roman" w:hAnsi="Times New Roman" w:cs="Times New Roman"/>
          <w:i/>
          <w:iCs/>
        </w:rPr>
        <w:t>p</w:t>
      </w:r>
      <w:r w:rsidR="00F16311" w:rsidRPr="00F650D8">
        <w:rPr>
          <w:rFonts w:ascii="Times New Roman" w:hAnsi="Times New Roman" w:cs="Times New Roman"/>
          <w:iCs/>
        </w:rPr>
        <w:t>-value was greater than the threshold to which it was being compared.</w:t>
      </w:r>
      <w:r w:rsidR="00E50D78" w:rsidRPr="00F650D8">
        <w:rPr>
          <w:rFonts w:ascii="Times New Roman" w:hAnsi="Times New Roman" w:cs="Times New Roman"/>
          <w:iCs/>
        </w:rPr>
        <w:t xml:space="preserve"> </w:t>
      </w:r>
      <w:r w:rsidR="00FD66FA" w:rsidRPr="00F650D8">
        <w:rPr>
          <w:rFonts w:ascii="Times New Roman" w:hAnsi="Times New Roman" w:cs="Times New Roman"/>
          <w:iCs/>
        </w:rPr>
        <w:t>Further details of statistical analyses can be found in supplementa</w:t>
      </w:r>
      <w:r w:rsidR="00FD31AC" w:rsidRPr="00F650D8">
        <w:rPr>
          <w:rFonts w:ascii="Times New Roman" w:hAnsi="Times New Roman" w:cs="Times New Roman"/>
          <w:iCs/>
        </w:rPr>
        <w:t>ry</w:t>
      </w:r>
      <w:r w:rsidR="00FD66FA" w:rsidRPr="00F650D8">
        <w:rPr>
          <w:rFonts w:ascii="Times New Roman" w:hAnsi="Times New Roman" w:cs="Times New Roman"/>
          <w:iCs/>
        </w:rPr>
        <w:t xml:space="preserve"> methods</w:t>
      </w:r>
      <w:r w:rsidR="00186C93" w:rsidRPr="00F650D8">
        <w:rPr>
          <w:rFonts w:ascii="Times New Roman" w:hAnsi="Times New Roman" w:cs="Times New Roman"/>
        </w:rPr>
        <w:t>.</w:t>
      </w:r>
    </w:p>
    <w:p w14:paraId="787C1BD1" w14:textId="206487E9" w:rsidR="00D618FF" w:rsidRPr="00F650D8" w:rsidRDefault="00D618FF" w:rsidP="00013C9D">
      <w:pPr>
        <w:spacing w:line="480" w:lineRule="auto"/>
        <w:jc w:val="both"/>
        <w:rPr>
          <w:rFonts w:ascii="Times New Roman" w:hAnsi="Times New Roman" w:cs="Times New Roman"/>
          <w:b/>
          <w:bCs/>
        </w:rPr>
        <w:sectPr w:rsidR="00D618FF" w:rsidRPr="00F650D8" w:rsidSect="00FD3C30">
          <w:pgSz w:w="11900" w:h="16840"/>
          <w:pgMar w:top="1440" w:right="1440" w:bottom="1440" w:left="1440" w:header="708" w:footer="708" w:gutter="0"/>
          <w:lnNumType w:countBy="1" w:restart="continuous"/>
          <w:cols w:space="708"/>
          <w:docGrid w:linePitch="360"/>
        </w:sectPr>
      </w:pPr>
    </w:p>
    <w:p w14:paraId="306165BF" w14:textId="77777777" w:rsidR="00BC4D8F" w:rsidRPr="00F650D8" w:rsidRDefault="003E210D" w:rsidP="00013C9D">
      <w:pPr>
        <w:spacing w:line="480" w:lineRule="auto"/>
        <w:jc w:val="both"/>
        <w:rPr>
          <w:rFonts w:ascii="Times New Roman" w:hAnsi="Times New Roman" w:cs="Times New Roman"/>
          <w:b/>
          <w:bCs/>
        </w:rPr>
      </w:pPr>
      <w:r w:rsidRPr="00F650D8">
        <w:rPr>
          <w:rFonts w:ascii="Times New Roman" w:hAnsi="Times New Roman" w:cs="Times New Roman"/>
          <w:b/>
          <w:bCs/>
        </w:rPr>
        <w:t>Results</w:t>
      </w:r>
    </w:p>
    <w:p w14:paraId="1BA6EC9B" w14:textId="4979FF2A" w:rsidR="0015449D" w:rsidRPr="00F650D8" w:rsidRDefault="0015449D" w:rsidP="00275AB5">
      <w:pPr>
        <w:spacing w:line="480" w:lineRule="auto"/>
        <w:jc w:val="both"/>
        <w:rPr>
          <w:rFonts w:ascii="Times New Roman" w:hAnsi="Times New Roman" w:cs="Times New Roman"/>
          <w:i/>
        </w:rPr>
      </w:pPr>
      <w:r w:rsidRPr="00F650D8">
        <w:rPr>
          <w:rFonts w:ascii="Times New Roman" w:hAnsi="Times New Roman" w:cs="Times New Roman"/>
          <w:i/>
          <w:highlight w:val="yellow"/>
        </w:rPr>
        <w:t>Participant flow and baseline characteristics</w:t>
      </w:r>
    </w:p>
    <w:p w14:paraId="48F00177" w14:textId="22870DF8" w:rsidR="00D9504A" w:rsidRPr="00F650D8" w:rsidDel="00061542" w:rsidRDefault="00CE2C85" w:rsidP="00D9504A">
      <w:pPr>
        <w:spacing w:line="480" w:lineRule="auto"/>
        <w:jc w:val="both"/>
        <w:rPr>
          <w:rFonts w:ascii="Times New Roman" w:hAnsi="Times New Roman" w:cs="Times New Roman"/>
        </w:rPr>
      </w:pPr>
      <w:r w:rsidRPr="00F650D8">
        <w:rPr>
          <w:rFonts w:ascii="Times New Roman" w:hAnsi="Times New Roman" w:cs="Times New Roman"/>
        </w:rPr>
        <w:t>Participant flow is outlined in Figure 1. Recruitment took place b</w:t>
      </w:r>
      <w:r w:rsidR="00275AB5" w:rsidRPr="00F650D8">
        <w:rPr>
          <w:rFonts w:ascii="Times New Roman" w:hAnsi="Times New Roman" w:cs="Times New Roman"/>
        </w:rPr>
        <w:t>etween 4</w:t>
      </w:r>
      <w:r w:rsidR="00275AB5" w:rsidRPr="00F650D8">
        <w:rPr>
          <w:rFonts w:ascii="Times New Roman" w:hAnsi="Times New Roman" w:cs="Times New Roman"/>
          <w:vertAlign w:val="superscript"/>
        </w:rPr>
        <w:t>th</w:t>
      </w:r>
      <w:r w:rsidR="00275AB5" w:rsidRPr="00F650D8">
        <w:rPr>
          <w:rFonts w:ascii="Times New Roman" w:hAnsi="Times New Roman" w:cs="Times New Roman"/>
        </w:rPr>
        <w:t xml:space="preserve"> January 2017 and 16</w:t>
      </w:r>
      <w:r w:rsidR="00275AB5" w:rsidRPr="00F650D8">
        <w:rPr>
          <w:rFonts w:ascii="Times New Roman" w:hAnsi="Times New Roman" w:cs="Times New Roman"/>
          <w:vertAlign w:val="superscript"/>
        </w:rPr>
        <w:t>th</w:t>
      </w:r>
      <w:r w:rsidR="00275AB5" w:rsidRPr="00F650D8">
        <w:rPr>
          <w:rFonts w:ascii="Times New Roman" w:hAnsi="Times New Roman" w:cs="Times New Roman"/>
        </w:rPr>
        <w:t xml:space="preserve"> January 2019</w:t>
      </w:r>
      <w:r w:rsidRPr="00F650D8">
        <w:rPr>
          <w:rFonts w:ascii="Times New Roman" w:hAnsi="Times New Roman" w:cs="Times New Roman"/>
        </w:rPr>
        <w:t>. Of 68 randomised participants, 63 completed the trial.</w:t>
      </w:r>
      <w:r w:rsidR="00275AB5" w:rsidRPr="00F650D8">
        <w:rPr>
          <w:rFonts w:ascii="Times New Roman" w:hAnsi="Times New Roman" w:cs="Times New Roman"/>
        </w:rPr>
        <w:t xml:space="preserve"> </w:t>
      </w:r>
      <w:r w:rsidR="00D9504A" w:rsidRPr="00F650D8" w:rsidDel="00061542">
        <w:rPr>
          <w:rFonts w:ascii="Times New Roman" w:hAnsi="Times New Roman" w:cs="Times New Roman"/>
          <w:highlight w:val="yellow"/>
        </w:rPr>
        <w:t>Within-group change and between-group analyses for all trial outcomes are provided in Tables S2-S4.</w:t>
      </w:r>
      <w:r w:rsidR="00D9504A" w:rsidRPr="00F650D8">
        <w:rPr>
          <w:rFonts w:ascii="Times New Roman" w:hAnsi="Times New Roman" w:cs="Times New Roman"/>
          <w:highlight w:val="yellow"/>
        </w:rPr>
        <w:t xml:space="preserve"> Those related to appetite regulation, energy balance and glycaemic control are presented in detail below.</w:t>
      </w:r>
    </w:p>
    <w:p w14:paraId="2024AE95" w14:textId="77777777" w:rsidR="00275AB5" w:rsidRPr="00F650D8" w:rsidRDefault="00275AB5" w:rsidP="00013C9D">
      <w:pPr>
        <w:spacing w:line="480" w:lineRule="auto"/>
        <w:jc w:val="both"/>
        <w:rPr>
          <w:rFonts w:ascii="Times New Roman" w:hAnsi="Times New Roman" w:cs="Times New Roman"/>
        </w:rPr>
      </w:pPr>
    </w:p>
    <w:p w14:paraId="123533B8" w14:textId="680D6525" w:rsidR="00816F7F" w:rsidRPr="00F650D8" w:rsidRDefault="00BD16A6" w:rsidP="00013C9D">
      <w:pPr>
        <w:spacing w:line="480" w:lineRule="auto"/>
        <w:jc w:val="both"/>
        <w:rPr>
          <w:rFonts w:ascii="Times New Roman" w:hAnsi="Times New Roman" w:cs="Times New Roman"/>
        </w:rPr>
      </w:pPr>
      <w:r w:rsidRPr="00F650D8">
        <w:rPr>
          <w:rFonts w:ascii="Times New Roman" w:hAnsi="Times New Roman" w:cs="Times New Roman"/>
        </w:rPr>
        <w:t>Baseline p</w:t>
      </w:r>
      <w:r w:rsidR="009A5670" w:rsidRPr="00F650D8">
        <w:rPr>
          <w:rFonts w:ascii="Times New Roman" w:hAnsi="Times New Roman" w:cs="Times New Roman"/>
        </w:rPr>
        <w:t xml:space="preserve">articipant </w:t>
      </w:r>
      <w:r w:rsidR="005213E9" w:rsidRPr="00F650D8">
        <w:rPr>
          <w:rFonts w:ascii="Times New Roman" w:hAnsi="Times New Roman" w:cs="Times New Roman"/>
        </w:rPr>
        <w:t>characteristics</w:t>
      </w:r>
      <w:r w:rsidR="005D08B4" w:rsidRPr="00F650D8">
        <w:rPr>
          <w:rFonts w:ascii="Times New Roman" w:hAnsi="Times New Roman" w:cs="Times New Roman"/>
        </w:rPr>
        <w:t xml:space="preserve"> </w:t>
      </w:r>
      <w:r w:rsidR="00CE2C85" w:rsidRPr="00F650D8">
        <w:rPr>
          <w:rFonts w:ascii="Times New Roman" w:hAnsi="Times New Roman" w:cs="Times New Roman"/>
        </w:rPr>
        <w:t>for</w:t>
      </w:r>
      <w:r w:rsidR="005F456C" w:rsidRPr="00F650D8">
        <w:rPr>
          <w:rFonts w:ascii="Times New Roman" w:hAnsi="Times New Roman" w:cs="Times New Roman"/>
        </w:rPr>
        <w:t xml:space="preserve"> each group </w:t>
      </w:r>
      <w:r w:rsidR="005213E9" w:rsidRPr="00F650D8">
        <w:rPr>
          <w:rFonts w:ascii="Times New Roman" w:hAnsi="Times New Roman" w:cs="Times New Roman"/>
        </w:rPr>
        <w:t>are presented in Table 1</w:t>
      </w:r>
      <w:r w:rsidR="00B0732B" w:rsidRPr="00F650D8">
        <w:rPr>
          <w:rFonts w:ascii="Times New Roman" w:hAnsi="Times New Roman" w:cs="Times New Roman"/>
        </w:rPr>
        <w:t xml:space="preserve"> </w:t>
      </w:r>
      <w:r w:rsidR="00F70AF4" w:rsidRPr="00F650D8">
        <w:rPr>
          <w:rFonts w:ascii="Times New Roman" w:hAnsi="Times New Roman" w:cs="Times New Roman"/>
        </w:rPr>
        <w:t>(</w:t>
      </w:r>
      <w:r w:rsidR="00CE2C85" w:rsidRPr="00F650D8">
        <w:rPr>
          <w:rFonts w:ascii="Times New Roman" w:hAnsi="Times New Roman" w:cs="Times New Roman"/>
        </w:rPr>
        <w:t>see</w:t>
      </w:r>
      <w:r w:rsidRPr="00F650D8">
        <w:rPr>
          <w:rFonts w:ascii="Times New Roman" w:hAnsi="Times New Roman" w:cs="Times New Roman"/>
        </w:rPr>
        <w:t xml:space="preserve"> </w:t>
      </w:r>
      <w:r w:rsidR="009A5670" w:rsidRPr="00F650D8">
        <w:rPr>
          <w:rFonts w:ascii="Times New Roman" w:hAnsi="Times New Roman" w:cs="Times New Roman"/>
        </w:rPr>
        <w:t xml:space="preserve">Table </w:t>
      </w:r>
      <w:r w:rsidR="003616A9" w:rsidRPr="00F650D8">
        <w:rPr>
          <w:rFonts w:ascii="Times New Roman" w:hAnsi="Times New Roman" w:cs="Times New Roman"/>
        </w:rPr>
        <w:t>S</w:t>
      </w:r>
      <w:r w:rsidR="00CC6D20" w:rsidRPr="00F650D8">
        <w:rPr>
          <w:rFonts w:ascii="Times New Roman" w:hAnsi="Times New Roman" w:cs="Times New Roman"/>
        </w:rPr>
        <w:t>1</w:t>
      </w:r>
      <w:r w:rsidR="00CE2C85" w:rsidRPr="00F650D8">
        <w:rPr>
          <w:rFonts w:ascii="Times New Roman" w:hAnsi="Times New Roman" w:cs="Times New Roman"/>
        </w:rPr>
        <w:t xml:space="preserve"> for combined population</w:t>
      </w:r>
      <w:r w:rsidR="00F70AF4" w:rsidRPr="00F650D8">
        <w:rPr>
          <w:rFonts w:ascii="Times New Roman" w:hAnsi="Times New Roman" w:cs="Times New Roman"/>
        </w:rPr>
        <w:t>)</w:t>
      </w:r>
      <w:r w:rsidR="005213E9" w:rsidRPr="00F650D8">
        <w:rPr>
          <w:rFonts w:ascii="Times New Roman" w:hAnsi="Times New Roman" w:cs="Times New Roman"/>
        </w:rPr>
        <w:t xml:space="preserve">. </w:t>
      </w:r>
      <w:r w:rsidR="001870D9" w:rsidRPr="00F650D8">
        <w:rPr>
          <w:rFonts w:ascii="Times New Roman" w:hAnsi="Times New Roman" w:cs="Times New Roman"/>
        </w:rPr>
        <w:t xml:space="preserve">Participants had a median age of 63 years, diabetes duration of 6 years, HbA1c of </w:t>
      </w:r>
      <w:r w:rsidR="00D01028" w:rsidRPr="00F650D8">
        <w:rPr>
          <w:rFonts w:ascii="Times New Roman" w:hAnsi="Times New Roman" w:cs="Times New Roman"/>
        </w:rPr>
        <w:t>6.9% (</w:t>
      </w:r>
      <w:r w:rsidR="001870D9" w:rsidRPr="00F650D8">
        <w:rPr>
          <w:rFonts w:ascii="Times New Roman" w:hAnsi="Times New Roman" w:cs="Times New Roman"/>
        </w:rPr>
        <w:t>52mmol/mol) and BMI of 31</w:t>
      </w:r>
      <w:r w:rsidR="00CE2C85" w:rsidRPr="00F650D8">
        <w:rPr>
          <w:rFonts w:ascii="Times New Roman" w:hAnsi="Times New Roman" w:cs="Times New Roman"/>
        </w:rPr>
        <w:t>.</w:t>
      </w:r>
      <w:r w:rsidR="00B76407" w:rsidRPr="00F650D8">
        <w:rPr>
          <w:rFonts w:ascii="Times New Roman" w:hAnsi="Times New Roman" w:cs="Times New Roman"/>
        </w:rPr>
        <w:t>8</w:t>
      </w:r>
      <w:r w:rsidR="001870D9" w:rsidRPr="00F650D8">
        <w:rPr>
          <w:rFonts w:ascii="Times New Roman" w:hAnsi="Times New Roman" w:cs="Times New Roman"/>
        </w:rPr>
        <w:t>kg/m</w:t>
      </w:r>
      <w:r w:rsidR="001870D9" w:rsidRPr="00F650D8">
        <w:rPr>
          <w:rFonts w:ascii="Times New Roman" w:hAnsi="Times New Roman" w:cs="Times New Roman"/>
          <w:vertAlign w:val="superscript"/>
        </w:rPr>
        <w:t>2</w:t>
      </w:r>
      <w:r w:rsidR="00C70854" w:rsidRPr="00F650D8">
        <w:rPr>
          <w:rFonts w:ascii="Times New Roman" w:hAnsi="Times New Roman" w:cs="Times New Roman"/>
        </w:rPr>
        <w:t>.</w:t>
      </w:r>
      <w:r w:rsidR="001870D9" w:rsidRPr="00F650D8">
        <w:rPr>
          <w:rFonts w:ascii="Times New Roman" w:hAnsi="Times New Roman" w:cs="Times New Roman"/>
          <w:vertAlign w:val="superscript"/>
        </w:rPr>
        <w:t xml:space="preserve"> </w:t>
      </w:r>
      <w:r w:rsidR="00C70854" w:rsidRPr="00F650D8">
        <w:rPr>
          <w:rFonts w:ascii="Times New Roman" w:hAnsi="Times New Roman" w:cs="Times New Roman"/>
        </w:rPr>
        <w:t>Thirty-five percent were female</w:t>
      </w:r>
      <w:r w:rsidR="00BA09B4" w:rsidRPr="00F650D8">
        <w:rPr>
          <w:rFonts w:ascii="Times New Roman" w:hAnsi="Times New Roman" w:cs="Times New Roman"/>
        </w:rPr>
        <w:t>, and 82%</w:t>
      </w:r>
      <w:r w:rsidR="0032637D" w:rsidRPr="00F650D8">
        <w:rPr>
          <w:rFonts w:ascii="Times New Roman" w:hAnsi="Times New Roman" w:cs="Times New Roman"/>
        </w:rPr>
        <w:t xml:space="preserve"> were </w:t>
      </w:r>
      <w:r w:rsidR="009A5670" w:rsidRPr="00F650D8">
        <w:rPr>
          <w:rFonts w:ascii="Times New Roman" w:hAnsi="Times New Roman" w:cs="Times New Roman"/>
        </w:rPr>
        <w:t>receiving</w:t>
      </w:r>
      <w:r w:rsidR="0032637D" w:rsidRPr="00F650D8">
        <w:rPr>
          <w:rFonts w:ascii="Times New Roman" w:hAnsi="Times New Roman" w:cs="Times New Roman"/>
        </w:rPr>
        <w:t xml:space="preserve"> </w:t>
      </w:r>
      <w:r w:rsidR="005D08B4" w:rsidRPr="00F650D8">
        <w:rPr>
          <w:rFonts w:ascii="Times New Roman" w:hAnsi="Times New Roman" w:cs="Times New Roman"/>
        </w:rPr>
        <w:t>metformin monotherapy</w:t>
      </w:r>
      <w:r w:rsidR="005F456C" w:rsidRPr="00F650D8">
        <w:rPr>
          <w:rFonts w:ascii="Times New Roman" w:hAnsi="Times New Roman" w:cs="Times New Roman"/>
        </w:rPr>
        <w:t xml:space="preserve"> </w:t>
      </w:r>
      <w:r w:rsidR="009A5670" w:rsidRPr="00F650D8">
        <w:rPr>
          <w:rFonts w:ascii="Times New Roman" w:hAnsi="Times New Roman" w:cs="Times New Roman"/>
        </w:rPr>
        <w:t xml:space="preserve">for </w:t>
      </w:r>
      <w:r w:rsidR="00BA09B4" w:rsidRPr="00F650D8">
        <w:rPr>
          <w:rFonts w:ascii="Times New Roman" w:hAnsi="Times New Roman" w:cs="Times New Roman"/>
        </w:rPr>
        <w:t xml:space="preserve">the management of their </w:t>
      </w:r>
      <w:r w:rsidR="00DC0FAE" w:rsidRPr="00F650D8">
        <w:rPr>
          <w:rFonts w:ascii="Times New Roman" w:hAnsi="Times New Roman" w:cs="Times New Roman"/>
        </w:rPr>
        <w:t>diabetes</w:t>
      </w:r>
      <w:r w:rsidR="005D08B4" w:rsidRPr="00F650D8">
        <w:rPr>
          <w:rFonts w:ascii="Times New Roman" w:hAnsi="Times New Roman" w:cs="Times New Roman"/>
        </w:rPr>
        <w:t>.</w:t>
      </w:r>
      <w:r w:rsidR="00133F36" w:rsidRPr="00F650D8">
        <w:rPr>
          <w:rFonts w:ascii="Times New Roman" w:hAnsi="Times New Roman" w:cs="Times New Roman"/>
        </w:rPr>
        <w:t xml:space="preserve"> </w:t>
      </w:r>
      <w:r w:rsidR="00CE2C85" w:rsidRPr="00F650D8">
        <w:rPr>
          <w:rFonts w:ascii="Times New Roman" w:hAnsi="Times New Roman" w:cs="Times New Roman"/>
        </w:rPr>
        <w:t>C</w:t>
      </w:r>
      <w:r w:rsidR="005D08B4" w:rsidRPr="00F650D8">
        <w:rPr>
          <w:rFonts w:ascii="Times New Roman" w:hAnsi="Times New Roman" w:cs="Times New Roman"/>
        </w:rPr>
        <w:t>haracteristics</w:t>
      </w:r>
      <w:r w:rsidR="004A5D0E" w:rsidRPr="00F650D8">
        <w:rPr>
          <w:rFonts w:ascii="Times New Roman" w:hAnsi="Times New Roman" w:cs="Times New Roman"/>
        </w:rPr>
        <w:t xml:space="preserve"> we</w:t>
      </w:r>
      <w:r w:rsidR="005D08B4" w:rsidRPr="00F650D8">
        <w:rPr>
          <w:rFonts w:ascii="Times New Roman" w:hAnsi="Times New Roman" w:cs="Times New Roman"/>
        </w:rPr>
        <w:t xml:space="preserve">re </w:t>
      </w:r>
      <w:r w:rsidR="009A5670" w:rsidRPr="00F650D8">
        <w:rPr>
          <w:rFonts w:ascii="Times New Roman" w:hAnsi="Times New Roman" w:cs="Times New Roman"/>
        </w:rPr>
        <w:t>similar</w:t>
      </w:r>
      <w:r w:rsidR="005D08B4" w:rsidRPr="00F650D8">
        <w:rPr>
          <w:rFonts w:ascii="Times New Roman" w:hAnsi="Times New Roman" w:cs="Times New Roman"/>
        </w:rPr>
        <w:t xml:space="preserve"> across groups</w:t>
      </w:r>
      <w:r w:rsidR="004A5D0E" w:rsidRPr="00F650D8">
        <w:rPr>
          <w:rFonts w:ascii="Times New Roman" w:hAnsi="Times New Roman" w:cs="Times New Roman"/>
        </w:rPr>
        <w:t>,</w:t>
      </w:r>
      <w:r w:rsidR="005D08B4" w:rsidRPr="00F650D8">
        <w:rPr>
          <w:rFonts w:ascii="Times New Roman" w:hAnsi="Times New Roman" w:cs="Times New Roman"/>
        </w:rPr>
        <w:t xml:space="preserve"> except that</w:t>
      </w:r>
      <w:r w:rsidR="005213E9" w:rsidRPr="00F650D8">
        <w:rPr>
          <w:rFonts w:ascii="Times New Roman" w:hAnsi="Times New Roman" w:cs="Times New Roman"/>
        </w:rPr>
        <w:t xml:space="preserve"> there was a greater proportion of female participants</w:t>
      </w:r>
      <w:r w:rsidRPr="00F650D8">
        <w:rPr>
          <w:rFonts w:ascii="Times New Roman" w:hAnsi="Times New Roman" w:cs="Times New Roman"/>
        </w:rPr>
        <w:t xml:space="preserve"> in the</w:t>
      </w:r>
      <w:r w:rsidR="005213E9" w:rsidRPr="00F650D8">
        <w:rPr>
          <w:rFonts w:ascii="Times New Roman" w:hAnsi="Times New Roman" w:cs="Times New Roman"/>
        </w:rPr>
        <w:t xml:space="preserve"> </w:t>
      </w:r>
      <w:r w:rsidR="00B0732B" w:rsidRPr="00F650D8">
        <w:rPr>
          <w:rFonts w:ascii="Times New Roman" w:hAnsi="Times New Roman" w:cs="Times New Roman"/>
        </w:rPr>
        <w:t>groups</w:t>
      </w:r>
      <w:r w:rsidR="004A37D5" w:rsidRPr="00F650D8">
        <w:rPr>
          <w:rFonts w:ascii="Times New Roman" w:hAnsi="Times New Roman" w:cs="Times New Roman"/>
        </w:rPr>
        <w:t xml:space="preserve"> receiving empagliflozin</w:t>
      </w:r>
      <w:r w:rsidR="0032637D" w:rsidRPr="00F650D8">
        <w:rPr>
          <w:rFonts w:ascii="Times New Roman" w:hAnsi="Times New Roman" w:cs="Times New Roman"/>
        </w:rPr>
        <w:t>,</w:t>
      </w:r>
      <w:r w:rsidR="004A5D0E" w:rsidRPr="00F650D8">
        <w:rPr>
          <w:rFonts w:ascii="Times New Roman" w:hAnsi="Times New Roman" w:cs="Times New Roman"/>
        </w:rPr>
        <w:t xml:space="preserve"> </w:t>
      </w:r>
      <w:r w:rsidR="004A37D5" w:rsidRPr="00F650D8">
        <w:rPr>
          <w:rFonts w:ascii="Times New Roman" w:hAnsi="Times New Roman" w:cs="Times New Roman"/>
        </w:rPr>
        <w:t xml:space="preserve">a </w:t>
      </w:r>
      <w:r w:rsidR="004F755C" w:rsidRPr="00F650D8">
        <w:rPr>
          <w:rFonts w:ascii="Times New Roman" w:hAnsi="Times New Roman" w:cs="Times New Roman"/>
        </w:rPr>
        <w:t>lower</w:t>
      </w:r>
      <w:r w:rsidR="005D08B4" w:rsidRPr="00F650D8">
        <w:rPr>
          <w:rFonts w:ascii="Times New Roman" w:hAnsi="Times New Roman" w:cs="Times New Roman"/>
        </w:rPr>
        <w:t xml:space="preserve"> proportion of individuals </w:t>
      </w:r>
      <w:r w:rsidR="009A5670" w:rsidRPr="00F650D8">
        <w:rPr>
          <w:rFonts w:ascii="Times New Roman" w:hAnsi="Times New Roman" w:cs="Times New Roman"/>
        </w:rPr>
        <w:t>receiving metformin monotherapy</w:t>
      </w:r>
      <w:r w:rsidR="005D08B4" w:rsidRPr="00F650D8">
        <w:rPr>
          <w:rFonts w:ascii="Times New Roman" w:hAnsi="Times New Roman" w:cs="Times New Roman"/>
        </w:rPr>
        <w:t xml:space="preserve"> in </w:t>
      </w:r>
      <w:r w:rsidR="004A37D5" w:rsidRPr="00F650D8">
        <w:rPr>
          <w:rFonts w:ascii="Times New Roman" w:hAnsi="Times New Roman" w:cs="Times New Roman"/>
        </w:rPr>
        <w:t>the</w:t>
      </w:r>
      <w:r w:rsidR="00B0732B" w:rsidRPr="00F650D8">
        <w:rPr>
          <w:rFonts w:ascii="Times New Roman" w:hAnsi="Times New Roman" w:cs="Times New Roman"/>
        </w:rPr>
        <w:t xml:space="preserve"> groups</w:t>
      </w:r>
      <w:r w:rsidR="004A37D5" w:rsidRPr="00F650D8">
        <w:rPr>
          <w:rFonts w:ascii="Times New Roman" w:hAnsi="Times New Roman" w:cs="Times New Roman"/>
        </w:rPr>
        <w:t xml:space="preserve"> receiving the energy</w:t>
      </w:r>
      <w:r w:rsidR="00A92F69" w:rsidRPr="00F650D8">
        <w:rPr>
          <w:rFonts w:ascii="Times New Roman" w:hAnsi="Times New Roman" w:cs="Times New Roman"/>
        </w:rPr>
        <w:t>-</w:t>
      </w:r>
      <w:r w:rsidR="004A37D5" w:rsidRPr="00F650D8">
        <w:rPr>
          <w:rFonts w:ascii="Times New Roman" w:hAnsi="Times New Roman" w:cs="Times New Roman"/>
        </w:rPr>
        <w:t>restrict</w:t>
      </w:r>
      <w:r w:rsidR="00A92F69" w:rsidRPr="00F650D8">
        <w:rPr>
          <w:rFonts w:ascii="Times New Roman" w:hAnsi="Times New Roman" w:cs="Times New Roman"/>
        </w:rPr>
        <w:t>ed</w:t>
      </w:r>
      <w:r w:rsidR="004A37D5" w:rsidRPr="00F650D8">
        <w:rPr>
          <w:rFonts w:ascii="Times New Roman" w:hAnsi="Times New Roman" w:cs="Times New Roman"/>
        </w:rPr>
        <w:t xml:space="preserve"> diet</w:t>
      </w:r>
      <w:r w:rsidR="00BA09B4" w:rsidRPr="00F650D8">
        <w:rPr>
          <w:rFonts w:ascii="Times New Roman" w:hAnsi="Times New Roman" w:cs="Times New Roman"/>
        </w:rPr>
        <w:t>, and m</w:t>
      </w:r>
      <w:r w:rsidR="005D08B4" w:rsidRPr="00F650D8">
        <w:rPr>
          <w:rFonts w:ascii="Times New Roman" w:hAnsi="Times New Roman" w:cs="Times New Roman"/>
        </w:rPr>
        <w:t>edian diabetes duration was</w:t>
      </w:r>
      <w:r w:rsidR="004A5D0E" w:rsidRPr="00F650D8">
        <w:rPr>
          <w:rFonts w:ascii="Times New Roman" w:hAnsi="Times New Roman" w:cs="Times New Roman"/>
        </w:rPr>
        <w:t xml:space="preserve"> </w:t>
      </w:r>
      <w:r w:rsidR="00F70AF4" w:rsidRPr="00F650D8">
        <w:rPr>
          <w:rFonts w:ascii="Times New Roman" w:hAnsi="Times New Roman" w:cs="Times New Roman"/>
        </w:rPr>
        <w:t>2-3 years</w:t>
      </w:r>
      <w:r w:rsidR="002154E8" w:rsidRPr="00F650D8">
        <w:rPr>
          <w:rFonts w:ascii="Times New Roman" w:hAnsi="Times New Roman" w:cs="Times New Roman"/>
        </w:rPr>
        <w:t xml:space="preserve"> </w:t>
      </w:r>
      <w:r w:rsidR="005D08B4" w:rsidRPr="00F650D8">
        <w:rPr>
          <w:rFonts w:ascii="Times New Roman" w:hAnsi="Times New Roman" w:cs="Times New Roman"/>
        </w:rPr>
        <w:t xml:space="preserve">shorter in the </w:t>
      </w:r>
      <w:r w:rsidR="005F456C" w:rsidRPr="00F650D8">
        <w:rPr>
          <w:rFonts w:ascii="Times New Roman" w:hAnsi="Times New Roman" w:cs="Times New Roman"/>
        </w:rPr>
        <w:t xml:space="preserve">placebo-plus-diet </w:t>
      </w:r>
      <w:r w:rsidR="005D08B4" w:rsidRPr="00F650D8">
        <w:rPr>
          <w:rFonts w:ascii="Times New Roman" w:hAnsi="Times New Roman" w:cs="Times New Roman"/>
        </w:rPr>
        <w:t>group</w:t>
      </w:r>
      <w:r w:rsidR="00A51BAF" w:rsidRPr="00F650D8">
        <w:rPr>
          <w:rFonts w:ascii="Times New Roman" w:hAnsi="Times New Roman" w:cs="Times New Roman"/>
        </w:rPr>
        <w:t>.</w:t>
      </w:r>
    </w:p>
    <w:p w14:paraId="58C31730" w14:textId="77777777" w:rsidR="003C4A73" w:rsidRPr="00F650D8" w:rsidRDefault="003C4A73" w:rsidP="00013C9D">
      <w:pPr>
        <w:spacing w:line="480" w:lineRule="auto"/>
        <w:jc w:val="both"/>
        <w:rPr>
          <w:rFonts w:ascii="Times New Roman" w:hAnsi="Times New Roman" w:cs="Times New Roman"/>
        </w:rPr>
      </w:pPr>
    </w:p>
    <w:p w14:paraId="28BCC1BE" w14:textId="74E8193B" w:rsidR="003C4A73" w:rsidRPr="00F650D8" w:rsidRDefault="00061542" w:rsidP="00013C9D">
      <w:pPr>
        <w:spacing w:line="480" w:lineRule="auto"/>
        <w:jc w:val="both"/>
        <w:rPr>
          <w:rFonts w:ascii="Times New Roman" w:hAnsi="Times New Roman" w:cs="Times New Roman"/>
          <w:i/>
          <w:highlight w:val="yellow"/>
        </w:rPr>
      </w:pPr>
      <w:r w:rsidRPr="00F650D8">
        <w:rPr>
          <w:rFonts w:ascii="Times New Roman" w:hAnsi="Times New Roman" w:cs="Times New Roman"/>
          <w:i/>
          <w:highlight w:val="yellow"/>
        </w:rPr>
        <w:t xml:space="preserve">Body weight changes </w:t>
      </w:r>
    </w:p>
    <w:p w14:paraId="160C0EF3" w14:textId="157C5FC1" w:rsidR="003C4A73" w:rsidRPr="00F650D8" w:rsidRDefault="00061542" w:rsidP="00013C9D">
      <w:pPr>
        <w:spacing w:line="480" w:lineRule="auto"/>
        <w:jc w:val="both"/>
        <w:rPr>
          <w:rFonts w:ascii="Times New Roman" w:hAnsi="Times New Roman" w:cs="Times New Roman"/>
          <w:i/>
          <w:u w:val="single"/>
        </w:rPr>
      </w:pPr>
      <w:r w:rsidRPr="00F650D8">
        <w:rPr>
          <w:rFonts w:ascii="Times New Roman" w:hAnsi="Times New Roman" w:cs="Times New Roman"/>
          <w:highlight w:val="yellow"/>
        </w:rPr>
        <w:t xml:space="preserve">The mean weight loss </w:t>
      </w:r>
      <w:r w:rsidR="00621C7D" w:rsidRPr="00F650D8">
        <w:rPr>
          <w:rFonts w:ascii="Times New Roman" w:hAnsi="Times New Roman" w:cs="Times New Roman"/>
          <w:highlight w:val="yellow"/>
        </w:rPr>
        <w:t>from baseline to</w:t>
      </w:r>
      <w:r w:rsidRPr="00F650D8">
        <w:rPr>
          <w:rFonts w:ascii="Times New Roman" w:hAnsi="Times New Roman" w:cs="Times New Roman"/>
          <w:highlight w:val="yellow"/>
        </w:rPr>
        <w:t xml:space="preserve"> 24 weeks was 0.44, 1.91</w:t>
      </w:r>
      <w:r w:rsidR="00621C7D" w:rsidRPr="00F650D8">
        <w:rPr>
          <w:rFonts w:ascii="Times New Roman" w:hAnsi="Times New Roman" w:cs="Times New Roman"/>
          <w:highlight w:val="yellow"/>
        </w:rPr>
        <w:t xml:space="preserve">, </w:t>
      </w:r>
      <w:r w:rsidRPr="00F650D8">
        <w:rPr>
          <w:rFonts w:ascii="Times New Roman" w:hAnsi="Times New Roman" w:cs="Times New Roman"/>
          <w:highlight w:val="yellow"/>
        </w:rPr>
        <w:t>2.22</w:t>
      </w:r>
      <w:r w:rsidR="00621C7D" w:rsidRPr="00F650D8">
        <w:rPr>
          <w:rFonts w:ascii="Times New Roman" w:hAnsi="Times New Roman" w:cs="Times New Roman"/>
          <w:highlight w:val="yellow"/>
        </w:rPr>
        <w:t xml:space="preserve"> and 5.74</w:t>
      </w:r>
      <w:r w:rsidR="00AD3D5E" w:rsidRPr="00F650D8">
        <w:rPr>
          <w:rFonts w:ascii="Times New Roman" w:hAnsi="Times New Roman" w:cs="Times New Roman"/>
          <w:highlight w:val="yellow"/>
        </w:rPr>
        <w:t xml:space="preserve"> </w:t>
      </w:r>
      <w:r w:rsidRPr="00F650D8">
        <w:rPr>
          <w:rFonts w:ascii="Times New Roman" w:hAnsi="Times New Roman" w:cs="Times New Roman"/>
          <w:highlight w:val="yellow"/>
        </w:rPr>
        <w:t>kg</w:t>
      </w:r>
      <w:r w:rsidR="00AD3D5E" w:rsidRPr="00F650D8">
        <w:rPr>
          <w:rFonts w:ascii="Times New Roman" w:hAnsi="Times New Roman" w:cs="Times New Roman"/>
          <w:highlight w:val="yellow"/>
        </w:rPr>
        <w:t xml:space="preserve"> </w:t>
      </w:r>
      <w:r w:rsidRPr="00F650D8">
        <w:rPr>
          <w:rFonts w:ascii="Times New Roman" w:hAnsi="Times New Roman" w:cs="Times New Roman"/>
          <w:highlight w:val="yellow"/>
        </w:rPr>
        <w:t>in placebo-only, placebo-plus-</w:t>
      </w:r>
      <w:r w:rsidR="00AD3D5E" w:rsidRPr="00F650D8">
        <w:rPr>
          <w:rFonts w:ascii="Times New Roman" w:hAnsi="Times New Roman" w:cs="Times New Roman"/>
          <w:highlight w:val="yellow"/>
        </w:rPr>
        <w:t>diet</w:t>
      </w:r>
      <w:r w:rsidR="00621C7D" w:rsidRPr="00F650D8">
        <w:rPr>
          <w:rFonts w:ascii="Times New Roman" w:hAnsi="Times New Roman" w:cs="Times New Roman"/>
          <w:highlight w:val="yellow"/>
        </w:rPr>
        <w:t xml:space="preserve">, </w:t>
      </w:r>
      <w:r w:rsidRPr="00F650D8">
        <w:rPr>
          <w:rFonts w:ascii="Times New Roman" w:hAnsi="Times New Roman" w:cs="Times New Roman"/>
          <w:highlight w:val="yellow"/>
        </w:rPr>
        <w:t>empagliflozin-only</w:t>
      </w:r>
      <w:r w:rsidR="00AD3D5E" w:rsidRPr="00F650D8">
        <w:rPr>
          <w:rFonts w:ascii="Times New Roman" w:hAnsi="Times New Roman" w:cs="Times New Roman"/>
          <w:highlight w:val="yellow"/>
        </w:rPr>
        <w:t xml:space="preserve"> </w:t>
      </w:r>
      <w:r w:rsidR="00621C7D" w:rsidRPr="00F650D8">
        <w:rPr>
          <w:rFonts w:ascii="Times New Roman" w:hAnsi="Times New Roman" w:cs="Times New Roman"/>
          <w:highlight w:val="yellow"/>
        </w:rPr>
        <w:t xml:space="preserve">and empagliflozin-plus-diet </w:t>
      </w:r>
      <w:r w:rsidR="00AD3D5E" w:rsidRPr="00F650D8">
        <w:rPr>
          <w:rFonts w:ascii="Times New Roman" w:hAnsi="Times New Roman" w:cs="Times New Roman"/>
          <w:highlight w:val="yellow"/>
        </w:rPr>
        <w:t xml:space="preserve">groups, </w:t>
      </w:r>
      <w:r w:rsidR="00621C7D" w:rsidRPr="00F650D8">
        <w:rPr>
          <w:rFonts w:ascii="Times New Roman" w:hAnsi="Times New Roman" w:cs="Times New Roman"/>
          <w:highlight w:val="yellow"/>
        </w:rPr>
        <w:t>respectively</w:t>
      </w:r>
      <w:r w:rsidRPr="00F650D8">
        <w:rPr>
          <w:rFonts w:ascii="Times New Roman" w:hAnsi="Times New Roman" w:cs="Times New Roman"/>
          <w:highlight w:val="yellow"/>
        </w:rPr>
        <w:t xml:space="preserve">. </w:t>
      </w:r>
      <w:r w:rsidR="00621C7D" w:rsidRPr="00F650D8">
        <w:rPr>
          <w:rFonts w:ascii="Times New Roman" w:hAnsi="Times New Roman" w:cs="Times New Roman"/>
          <w:highlight w:val="yellow"/>
        </w:rPr>
        <w:t>Compared to placebo-only</w:t>
      </w:r>
      <w:r w:rsidR="00AD3D5E" w:rsidRPr="00F650D8">
        <w:rPr>
          <w:rFonts w:ascii="Times New Roman" w:hAnsi="Times New Roman" w:cs="Times New Roman"/>
          <w:highlight w:val="yellow"/>
        </w:rPr>
        <w:t>, b</w:t>
      </w:r>
      <w:r w:rsidRPr="00F650D8">
        <w:rPr>
          <w:rFonts w:ascii="Times New Roman" w:hAnsi="Times New Roman" w:cs="Times New Roman"/>
          <w:highlight w:val="yellow"/>
        </w:rPr>
        <w:t xml:space="preserve">ody weight was lower </w:t>
      </w:r>
      <w:r w:rsidR="00AD3D5E" w:rsidRPr="00F650D8">
        <w:rPr>
          <w:rFonts w:ascii="Times New Roman" w:hAnsi="Times New Roman" w:cs="Times New Roman"/>
          <w:highlight w:val="yellow"/>
        </w:rPr>
        <w:t>across individual timepoints and follow-up collectively in both of the empagliflozin groups</w:t>
      </w:r>
      <w:r w:rsidR="002A7D88" w:rsidRPr="00F650D8">
        <w:rPr>
          <w:rFonts w:ascii="Times New Roman" w:hAnsi="Times New Roman" w:cs="Times New Roman"/>
          <w:highlight w:val="yellow"/>
        </w:rPr>
        <w:t>,</w:t>
      </w:r>
      <w:r w:rsidR="00621C7D" w:rsidRPr="00F650D8">
        <w:rPr>
          <w:rFonts w:ascii="Times New Roman" w:hAnsi="Times New Roman" w:cs="Times New Roman"/>
          <w:highlight w:val="yellow"/>
        </w:rPr>
        <w:t xml:space="preserve"> </w:t>
      </w:r>
      <w:r w:rsidR="00AD3D5E" w:rsidRPr="00F650D8">
        <w:rPr>
          <w:rFonts w:ascii="Times New Roman" w:hAnsi="Times New Roman" w:cs="Times New Roman"/>
          <w:highlight w:val="yellow"/>
        </w:rPr>
        <w:t xml:space="preserve">except </w:t>
      </w:r>
      <w:r w:rsidR="00621C7D" w:rsidRPr="00F650D8">
        <w:rPr>
          <w:rFonts w:ascii="Times New Roman" w:hAnsi="Times New Roman" w:cs="Times New Roman"/>
          <w:highlight w:val="yellow"/>
        </w:rPr>
        <w:t xml:space="preserve">in the empagliflozin-only group </w:t>
      </w:r>
      <w:r w:rsidR="002A7D88" w:rsidRPr="00F650D8">
        <w:rPr>
          <w:rFonts w:ascii="Times New Roman" w:hAnsi="Times New Roman" w:cs="Times New Roman"/>
          <w:highlight w:val="yellow"/>
        </w:rPr>
        <w:t>at 24 weeks (</w:t>
      </w:r>
      <w:r w:rsidR="00AD3D5E" w:rsidRPr="00F650D8">
        <w:rPr>
          <w:rFonts w:ascii="Times New Roman" w:hAnsi="Times New Roman" w:cs="Times New Roman"/>
          <w:highlight w:val="yellow"/>
        </w:rPr>
        <w:t>which did not reach statistical significance</w:t>
      </w:r>
      <w:r w:rsidR="00621C7D" w:rsidRPr="00F650D8">
        <w:rPr>
          <w:rFonts w:ascii="Times New Roman" w:hAnsi="Times New Roman" w:cs="Times New Roman"/>
          <w:highlight w:val="yellow"/>
        </w:rPr>
        <w:t xml:space="preserve"> after correction for multiple comparisons</w:t>
      </w:r>
      <w:r w:rsidR="002A7D88" w:rsidRPr="00F650D8">
        <w:rPr>
          <w:rFonts w:ascii="Times New Roman" w:hAnsi="Times New Roman" w:cs="Times New Roman"/>
          <w:highlight w:val="yellow"/>
        </w:rPr>
        <w:t>)</w:t>
      </w:r>
      <w:r w:rsidR="00AD3D5E" w:rsidRPr="00F650D8">
        <w:rPr>
          <w:rFonts w:ascii="Times New Roman" w:hAnsi="Times New Roman" w:cs="Times New Roman"/>
          <w:highlight w:val="yellow"/>
        </w:rPr>
        <w:t>.</w:t>
      </w:r>
      <w:r w:rsidR="00621C7D" w:rsidRPr="00F650D8">
        <w:rPr>
          <w:rFonts w:ascii="Times New Roman" w:hAnsi="Times New Roman" w:cs="Times New Roman"/>
          <w:highlight w:val="yellow"/>
        </w:rPr>
        <w:t xml:space="preserve"> In the placebo-plus-diet group, body weight was statistically lower than placebo-only at 6 weeks </w:t>
      </w:r>
      <w:r w:rsidRPr="00F650D8">
        <w:rPr>
          <w:rFonts w:ascii="Times New Roman" w:hAnsi="Times New Roman" w:cs="Times New Roman"/>
          <w:highlight w:val="yellow"/>
        </w:rPr>
        <w:t>(Figure 3A, Tables 2 and S3).</w:t>
      </w:r>
    </w:p>
    <w:p w14:paraId="1C591E8A" w14:textId="77777777" w:rsidR="006E76E0" w:rsidRPr="00F650D8" w:rsidRDefault="006E76E0" w:rsidP="00CD4D63">
      <w:pPr>
        <w:spacing w:line="480" w:lineRule="auto"/>
        <w:jc w:val="both"/>
        <w:rPr>
          <w:rFonts w:ascii="Times New Roman" w:hAnsi="Times New Roman" w:cs="Times New Roman"/>
        </w:rPr>
      </w:pPr>
    </w:p>
    <w:p w14:paraId="66CF23C1" w14:textId="71454EDB" w:rsidR="0015449D" w:rsidRPr="00F650D8" w:rsidRDefault="0015449D" w:rsidP="002A7D88">
      <w:pPr>
        <w:tabs>
          <w:tab w:val="left" w:pos="3765"/>
        </w:tabs>
        <w:spacing w:line="480" w:lineRule="auto"/>
        <w:jc w:val="both"/>
        <w:rPr>
          <w:rFonts w:ascii="Times New Roman" w:hAnsi="Times New Roman" w:cs="Times New Roman"/>
          <w:i/>
        </w:rPr>
      </w:pPr>
      <w:r w:rsidRPr="00F650D8">
        <w:rPr>
          <w:rFonts w:ascii="Times New Roman" w:hAnsi="Times New Roman" w:cs="Times New Roman"/>
          <w:i/>
          <w:highlight w:val="yellow"/>
        </w:rPr>
        <w:t>Appetite-regulatory peptides</w:t>
      </w:r>
    </w:p>
    <w:p w14:paraId="3CE1A5D6" w14:textId="7613D462" w:rsidR="00E815CC" w:rsidRPr="00F650D8" w:rsidRDefault="00CD4D63" w:rsidP="00CD4D63">
      <w:pPr>
        <w:spacing w:line="480" w:lineRule="auto"/>
        <w:jc w:val="both"/>
        <w:rPr>
          <w:rFonts w:ascii="Times New Roman" w:hAnsi="Times New Roman" w:cs="Times New Roman"/>
        </w:rPr>
      </w:pPr>
      <w:r w:rsidRPr="00F650D8">
        <w:rPr>
          <w:rFonts w:ascii="Times New Roman" w:hAnsi="Times New Roman" w:cs="Times New Roman"/>
        </w:rPr>
        <w:t xml:space="preserve">Primary outcome data </w:t>
      </w:r>
      <w:r w:rsidR="000B70C6" w:rsidRPr="00F650D8">
        <w:rPr>
          <w:rFonts w:ascii="Times New Roman" w:hAnsi="Times New Roman" w:cs="Times New Roman"/>
        </w:rPr>
        <w:t xml:space="preserve">at baseline and 24 weeks </w:t>
      </w:r>
      <w:r w:rsidRPr="00F650D8">
        <w:rPr>
          <w:rFonts w:ascii="Times New Roman" w:hAnsi="Times New Roman" w:cs="Times New Roman"/>
        </w:rPr>
        <w:t xml:space="preserve">were available for 61 participants, who </w:t>
      </w:r>
      <w:r w:rsidR="00736E5D" w:rsidRPr="00F650D8">
        <w:rPr>
          <w:rFonts w:ascii="Times New Roman" w:hAnsi="Times New Roman" w:cs="Times New Roman"/>
        </w:rPr>
        <w:t xml:space="preserve">thus </w:t>
      </w:r>
      <w:r w:rsidRPr="00F650D8">
        <w:rPr>
          <w:rFonts w:ascii="Times New Roman" w:hAnsi="Times New Roman" w:cs="Times New Roman"/>
        </w:rPr>
        <w:t>comprised the complete case</w:t>
      </w:r>
      <w:r w:rsidR="00A92F69" w:rsidRPr="00F650D8">
        <w:rPr>
          <w:rFonts w:ascii="Times New Roman" w:hAnsi="Times New Roman" w:cs="Times New Roman"/>
        </w:rPr>
        <w:t>s</w:t>
      </w:r>
      <w:r w:rsidRPr="00F650D8">
        <w:rPr>
          <w:rFonts w:ascii="Times New Roman" w:hAnsi="Times New Roman" w:cs="Times New Roman"/>
        </w:rPr>
        <w:t xml:space="preserve"> population for the primary analysis (Figure 1). </w:t>
      </w:r>
      <w:r w:rsidR="002154E8" w:rsidRPr="00F650D8">
        <w:rPr>
          <w:rFonts w:ascii="Times New Roman" w:hAnsi="Times New Roman" w:cs="Times New Roman"/>
        </w:rPr>
        <w:t>T</w:t>
      </w:r>
      <w:r w:rsidR="006A454F" w:rsidRPr="00F650D8">
        <w:rPr>
          <w:rFonts w:ascii="Times New Roman" w:hAnsi="Times New Roman" w:cs="Times New Roman"/>
        </w:rPr>
        <w:t>here were no</w:t>
      </w:r>
      <w:r w:rsidR="00764209" w:rsidRPr="00F650D8">
        <w:rPr>
          <w:rFonts w:ascii="Times New Roman" w:hAnsi="Times New Roman" w:cs="Times New Roman"/>
        </w:rPr>
        <w:t xml:space="preserve"> differences</w:t>
      </w:r>
      <w:r w:rsidR="006A454F" w:rsidRPr="00F650D8">
        <w:rPr>
          <w:rFonts w:ascii="Times New Roman" w:hAnsi="Times New Roman" w:cs="Times New Roman"/>
        </w:rPr>
        <w:t xml:space="preserve"> </w:t>
      </w:r>
      <w:r w:rsidR="00764209" w:rsidRPr="00F650D8">
        <w:rPr>
          <w:rFonts w:ascii="Times New Roman" w:hAnsi="Times New Roman" w:cs="Times New Roman"/>
        </w:rPr>
        <w:t xml:space="preserve">in </w:t>
      </w:r>
      <w:r w:rsidR="0097565A" w:rsidRPr="00F650D8">
        <w:rPr>
          <w:rFonts w:ascii="Times New Roman" w:hAnsi="Times New Roman" w:cs="Times New Roman"/>
        </w:rPr>
        <w:t xml:space="preserve">postprandial </w:t>
      </w:r>
      <w:r w:rsidR="00764209" w:rsidRPr="00F650D8">
        <w:rPr>
          <w:rFonts w:ascii="Times New Roman" w:hAnsi="Times New Roman" w:cs="Times New Roman"/>
        </w:rPr>
        <w:t xml:space="preserve">total PYY at 24 weeks </w:t>
      </w:r>
      <w:r w:rsidR="006A454F" w:rsidRPr="00F650D8">
        <w:rPr>
          <w:rFonts w:ascii="Times New Roman" w:hAnsi="Times New Roman" w:cs="Times New Roman"/>
        </w:rPr>
        <w:t>between experimental groups and</w:t>
      </w:r>
      <w:r w:rsidR="002154E8" w:rsidRPr="00F650D8">
        <w:rPr>
          <w:rFonts w:ascii="Times New Roman" w:hAnsi="Times New Roman" w:cs="Times New Roman"/>
        </w:rPr>
        <w:t xml:space="preserve"> </w:t>
      </w:r>
      <w:r w:rsidR="005E29F0" w:rsidRPr="00F650D8">
        <w:rPr>
          <w:rFonts w:ascii="Times New Roman" w:hAnsi="Times New Roman" w:cs="Times New Roman"/>
        </w:rPr>
        <w:t>placebo-</w:t>
      </w:r>
      <w:r w:rsidR="00785497" w:rsidRPr="00F650D8">
        <w:rPr>
          <w:rFonts w:ascii="Times New Roman" w:hAnsi="Times New Roman" w:cs="Times New Roman"/>
        </w:rPr>
        <w:t xml:space="preserve">only </w:t>
      </w:r>
      <w:r w:rsidR="006A454F" w:rsidRPr="00F650D8">
        <w:rPr>
          <w:rFonts w:ascii="Times New Roman" w:hAnsi="Times New Roman" w:cs="Times New Roman"/>
        </w:rPr>
        <w:t>(</w:t>
      </w:r>
      <w:r w:rsidR="004A66A9" w:rsidRPr="00F650D8">
        <w:rPr>
          <w:rFonts w:ascii="Times New Roman" w:hAnsi="Times New Roman" w:cs="Times New Roman"/>
        </w:rPr>
        <w:t xml:space="preserve">Figure </w:t>
      </w:r>
      <w:r w:rsidR="006D15D8" w:rsidRPr="00F650D8">
        <w:rPr>
          <w:rFonts w:ascii="Times New Roman" w:hAnsi="Times New Roman" w:cs="Times New Roman"/>
        </w:rPr>
        <w:t>2</w:t>
      </w:r>
      <w:r w:rsidR="004A66A9" w:rsidRPr="00F650D8">
        <w:rPr>
          <w:rFonts w:ascii="Times New Roman" w:hAnsi="Times New Roman" w:cs="Times New Roman"/>
        </w:rPr>
        <w:t xml:space="preserve">A, </w:t>
      </w:r>
      <w:r w:rsidR="006A454F" w:rsidRPr="00F650D8">
        <w:rPr>
          <w:rFonts w:ascii="Times New Roman" w:hAnsi="Times New Roman" w:cs="Times New Roman"/>
        </w:rPr>
        <w:t xml:space="preserve">Table </w:t>
      </w:r>
      <w:r w:rsidR="006D35B1" w:rsidRPr="00F650D8">
        <w:rPr>
          <w:rFonts w:ascii="Times New Roman" w:hAnsi="Times New Roman" w:cs="Times New Roman"/>
        </w:rPr>
        <w:t>2</w:t>
      </w:r>
      <w:r w:rsidR="006A454F" w:rsidRPr="00F650D8">
        <w:rPr>
          <w:rFonts w:ascii="Times New Roman" w:hAnsi="Times New Roman" w:cs="Times New Roman"/>
        </w:rPr>
        <w:t>).</w:t>
      </w:r>
      <w:r w:rsidR="00E815CC" w:rsidRPr="00F650D8">
        <w:rPr>
          <w:rFonts w:ascii="Times New Roman" w:hAnsi="Times New Roman" w:cs="Times New Roman"/>
        </w:rPr>
        <w:t xml:space="preserve"> </w:t>
      </w:r>
      <w:r w:rsidR="0097565A" w:rsidRPr="00F650D8">
        <w:rPr>
          <w:rFonts w:ascii="Times New Roman" w:hAnsi="Times New Roman" w:cs="Times New Roman"/>
        </w:rPr>
        <w:t>Postprandial total PYY</w:t>
      </w:r>
      <w:r w:rsidR="00E815CC" w:rsidRPr="00F650D8">
        <w:rPr>
          <w:rFonts w:ascii="Times New Roman" w:hAnsi="Times New Roman" w:cs="Times New Roman"/>
        </w:rPr>
        <w:t xml:space="preserve"> was higher at 12 weeks in the empagliflozin</w:t>
      </w:r>
      <w:r w:rsidR="005E29F0" w:rsidRPr="00F650D8">
        <w:rPr>
          <w:rFonts w:ascii="Times New Roman" w:hAnsi="Times New Roman" w:cs="Times New Roman"/>
        </w:rPr>
        <w:t>-</w:t>
      </w:r>
      <w:r w:rsidR="00E815CC" w:rsidRPr="00F650D8">
        <w:rPr>
          <w:rFonts w:ascii="Times New Roman" w:hAnsi="Times New Roman" w:cs="Times New Roman"/>
        </w:rPr>
        <w:t xml:space="preserve">only </w:t>
      </w:r>
      <w:r w:rsidR="002154E8" w:rsidRPr="00F650D8">
        <w:rPr>
          <w:rFonts w:ascii="Times New Roman" w:hAnsi="Times New Roman" w:cs="Times New Roman"/>
        </w:rPr>
        <w:t>group</w:t>
      </w:r>
      <w:r w:rsidR="00F70AF4" w:rsidRPr="00F650D8">
        <w:rPr>
          <w:rFonts w:ascii="Times New Roman" w:hAnsi="Times New Roman" w:cs="Times New Roman"/>
        </w:rPr>
        <w:t>,</w:t>
      </w:r>
      <w:r w:rsidR="002154E8" w:rsidRPr="00F650D8">
        <w:rPr>
          <w:rFonts w:ascii="Times New Roman" w:hAnsi="Times New Roman" w:cs="Times New Roman"/>
        </w:rPr>
        <w:t xml:space="preserve"> </w:t>
      </w:r>
      <w:r w:rsidR="00E815CC" w:rsidRPr="00F650D8">
        <w:rPr>
          <w:rFonts w:ascii="Times New Roman" w:hAnsi="Times New Roman" w:cs="Times New Roman"/>
        </w:rPr>
        <w:t xml:space="preserve">compared to </w:t>
      </w:r>
      <w:r w:rsidR="00031BF0" w:rsidRPr="00F650D8">
        <w:rPr>
          <w:rFonts w:ascii="Times New Roman" w:hAnsi="Times New Roman" w:cs="Times New Roman"/>
        </w:rPr>
        <w:t>placebo</w:t>
      </w:r>
      <w:r w:rsidR="005E29F0" w:rsidRPr="00F650D8">
        <w:rPr>
          <w:rFonts w:ascii="Times New Roman" w:hAnsi="Times New Roman" w:cs="Times New Roman"/>
        </w:rPr>
        <w:t>-</w:t>
      </w:r>
      <w:r w:rsidR="00031BF0" w:rsidRPr="00F650D8">
        <w:rPr>
          <w:rFonts w:ascii="Times New Roman" w:hAnsi="Times New Roman" w:cs="Times New Roman"/>
        </w:rPr>
        <w:t>only</w:t>
      </w:r>
      <w:r w:rsidR="00E815CC" w:rsidRPr="00F650D8">
        <w:rPr>
          <w:rFonts w:ascii="Times New Roman" w:hAnsi="Times New Roman" w:cs="Times New Roman"/>
        </w:rPr>
        <w:t xml:space="preserve">, but </w:t>
      </w:r>
      <w:r w:rsidR="004C444A" w:rsidRPr="00F650D8">
        <w:rPr>
          <w:rFonts w:ascii="Times New Roman" w:hAnsi="Times New Roman" w:cs="Times New Roman"/>
        </w:rPr>
        <w:t xml:space="preserve">was </w:t>
      </w:r>
      <w:r w:rsidR="0077106E" w:rsidRPr="00F650D8">
        <w:rPr>
          <w:rFonts w:ascii="Times New Roman" w:hAnsi="Times New Roman" w:cs="Times New Roman"/>
        </w:rPr>
        <w:t xml:space="preserve">otherwise </w:t>
      </w:r>
      <w:r w:rsidR="00E815CC" w:rsidRPr="00F650D8">
        <w:rPr>
          <w:rFonts w:ascii="Times New Roman" w:hAnsi="Times New Roman" w:cs="Times New Roman"/>
        </w:rPr>
        <w:t xml:space="preserve">similar between </w:t>
      </w:r>
      <w:r w:rsidR="00031BF0" w:rsidRPr="00F650D8">
        <w:rPr>
          <w:rFonts w:ascii="Times New Roman" w:hAnsi="Times New Roman" w:cs="Times New Roman"/>
        </w:rPr>
        <w:t>groups</w:t>
      </w:r>
      <w:r w:rsidR="00E815CC" w:rsidRPr="00F650D8">
        <w:rPr>
          <w:rFonts w:ascii="Times New Roman" w:hAnsi="Times New Roman" w:cs="Times New Roman"/>
        </w:rPr>
        <w:t xml:space="preserve"> at 2, 6 and 12 week</w:t>
      </w:r>
      <w:r w:rsidR="004B15CB" w:rsidRPr="00F650D8">
        <w:rPr>
          <w:rFonts w:ascii="Times New Roman" w:hAnsi="Times New Roman" w:cs="Times New Roman"/>
        </w:rPr>
        <w:t>s</w:t>
      </w:r>
      <w:r w:rsidR="006E76E0" w:rsidRPr="00F650D8">
        <w:rPr>
          <w:rFonts w:ascii="Times New Roman" w:hAnsi="Times New Roman" w:cs="Times New Roman"/>
        </w:rPr>
        <w:t xml:space="preserve"> and across the follow-up period collectively.</w:t>
      </w:r>
      <w:r w:rsidR="006D35B1" w:rsidRPr="00F650D8">
        <w:rPr>
          <w:rFonts w:ascii="Times New Roman" w:hAnsi="Times New Roman" w:cs="Times New Roman"/>
        </w:rPr>
        <w:t xml:space="preserve"> </w:t>
      </w:r>
      <w:r w:rsidR="00736E5D" w:rsidRPr="00F650D8">
        <w:rPr>
          <w:rFonts w:ascii="Times New Roman" w:hAnsi="Times New Roman" w:cs="Times New Roman"/>
        </w:rPr>
        <w:t xml:space="preserve">Results in the ITT population were similar to the primary analysis. However, in the per protocol analysis (placebo-only </w:t>
      </w:r>
      <w:r w:rsidR="00736E5D" w:rsidRPr="00F650D8">
        <w:rPr>
          <w:rFonts w:ascii="Times New Roman" w:hAnsi="Times New Roman" w:cs="Times New Roman"/>
          <w:i/>
          <w:iCs/>
        </w:rPr>
        <w:t>n</w:t>
      </w:r>
      <w:r w:rsidR="00736E5D" w:rsidRPr="00F650D8">
        <w:rPr>
          <w:rFonts w:ascii="Times New Roman" w:hAnsi="Times New Roman" w:cs="Times New Roman"/>
        </w:rPr>
        <w:t xml:space="preserve">=11, placebo-plus-diet </w:t>
      </w:r>
      <w:r w:rsidR="00736E5D" w:rsidRPr="00F650D8">
        <w:rPr>
          <w:rFonts w:ascii="Times New Roman" w:hAnsi="Times New Roman" w:cs="Times New Roman"/>
          <w:i/>
          <w:iCs/>
        </w:rPr>
        <w:t>n</w:t>
      </w:r>
      <w:r w:rsidR="00736E5D" w:rsidRPr="00F650D8">
        <w:rPr>
          <w:rFonts w:ascii="Times New Roman" w:hAnsi="Times New Roman" w:cs="Times New Roman"/>
        </w:rPr>
        <w:t xml:space="preserve">=8, empagliflozin-only </w:t>
      </w:r>
      <w:r w:rsidR="00736E5D" w:rsidRPr="00F650D8">
        <w:rPr>
          <w:rFonts w:ascii="Times New Roman" w:hAnsi="Times New Roman" w:cs="Times New Roman"/>
          <w:i/>
          <w:iCs/>
        </w:rPr>
        <w:t>n</w:t>
      </w:r>
      <w:r w:rsidR="00736E5D" w:rsidRPr="00F650D8">
        <w:rPr>
          <w:rFonts w:ascii="Times New Roman" w:hAnsi="Times New Roman" w:cs="Times New Roman"/>
        </w:rPr>
        <w:t xml:space="preserve">=12, empagliflozin-plus-diet </w:t>
      </w:r>
      <w:r w:rsidR="00736E5D" w:rsidRPr="00F650D8">
        <w:rPr>
          <w:rFonts w:ascii="Times New Roman" w:hAnsi="Times New Roman" w:cs="Times New Roman"/>
          <w:i/>
          <w:iCs/>
        </w:rPr>
        <w:t>n</w:t>
      </w:r>
      <w:r w:rsidR="00736E5D" w:rsidRPr="00F650D8">
        <w:rPr>
          <w:rFonts w:ascii="Times New Roman" w:hAnsi="Times New Roman" w:cs="Times New Roman"/>
        </w:rPr>
        <w:t>=13), postprandial total PYY was higher at 24 weeks in the empagliflozin-only group, compared to placebo-only (</w:t>
      </w:r>
      <w:r w:rsidR="004A66A9" w:rsidRPr="00F650D8">
        <w:rPr>
          <w:rFonts w:ascii="Times New Roman" w:hAnsi="Times New Roman" w:cs="Times New Roman"/>
        </w:rPr>
        <w:t xml:space="preserve">Figure </w:t>
      </w:r>
      <w:r w:rsidR="00096440" w:rsidRPr="00F650D8">
        <w:rPr>
          <w:rFonts w:ascii="Times New Roman" w:hAnsi="Times New Roman" w:cs="Times New Roman"/>
        </w:rPr>
        <w:t>2</w:t>
      </w:r>
      <w:r w:rsidR="004A66A9" w:rsidRPr="00F650D8">
        <w:rPr>
          <w:rFonts w:ascii="Times New Roman" w:hAnsi="Times New Roman" w:cs="Times New Roman"/>
        </w:rPr>
        <w:t xml:space="preserve">A, </w:t>
      </w:r>
      <w:r w:rsidR="00736E5D" w:rsidRPr="00F650D8">
        <w:rPr>
          <w:rFonts w:ascii="Times New Roman" w:hAnsi="Times New Roman" w:cs="Times New Roman"/>
        </w:rPr>
        <w:t>Table</w:t>
      </w:r>
      <w:r w:rsidR="003616A9" w:rsidRPr="00F650D8">
        <w:rPr>
          <w:rFonts w:ascii="Times New Roman" w:hAnsi="Times New Roman" w:cs="Times New Roman"/>
        </w:rPr>
        <w:t>s</w:t>
      </w:r>
      <w:r w:rsidR="00736E5D" w:rsidRPr="00F650D8">
        <w:rPr>
          <w:rFonts w:ascii="Times New Roman" w:hAnsi="Times New Roman" w:cs="Times New Roman"/>
        </w:rPr>
        <w:t xml:space="preserve"> 2</w:t>
      </w:r>
      <w:r w:rsidR="003616A9" w:rsidRPr="00F650D8">
        <w:rPr>
          <w:rFonts w:ascii="Times New Roman" w:hAnsi="Times New Roman" w:cs="Times New Roman"/>
        </w:rPr>
        <w:t xml:space="preserve"> and</w:t>
      </w:r>
      <w:r w:rsidR="004A66A9" w:rsidRPr="00F650D8">
        <w:rPr>
          <w:rFonts w:ascii="Times New Roman" w:hAnsi="Times New Roman" w:cs="Times New Roman"/>
        </w:rPr>
        <w:t xml:space="preserve"> S</w:t>
      </w:r>
      <w:r w:rsidR="003616A9" w:rsidRPr="00F650D8">
        <w:rPr>
          <w:rFonts w:ascii="Times New Roman" w:hAnsi="Times New Roman" w:cs="Times New Roman"/>
        </w:rPr>
        <w:t>2</w:t>
      </w:r>
      <w:r w:rsidR="00736E5D" w:rsidRPr="00F650D8">
        <w:rPr>
          <w:rFonts w:ascii="Times New Roman" w:hAnsi="Times New Roman" w:cs="Times New Roman"/>
        </w:rPr>
        <w:t>).</w:t>
      </w:r>
    </w:p>
    <w:p w14:paraId="779B913F" w14:textId="77777777" w:rsidR="006E76E0" w:rsidRPr="00F650D8" w:rsidRDefault="006E76E0" w:rsidP="00013C9D">
      <w:pPr>
        <w:spacing w:line="480" w:lineRule="auto"/>
        <w:jc w:val="both"/>
        <w:rPr>
          <w:rFonts w:ascii="Times New Roman" w:hAnsi="Times New Roman" w:cs="Times New Roman"/>
        </w:rPr>
      </w:pPr>
    </w:p>
    <w:p w14:paraId="3FDC08F6" w14:textId="44FF9953" w:rsidR="00690663" w:rsidRPr="00F650D8" w:rsidRDefault="00FD6769" w:rsidP="00013C9D">
      <w:pPr>
        <w:spacing w:line="480" w:lineRule="auto"/>
        <w:jc w:val="both"/>
        <w:rPr>
          <w:rFonts w:ascii="Times New Roman" w:hAnsi="Times New Roman" w:cs="Times New Roman"/>
        </w:rPr>
      </w:pPr>
      <w:r w:rsidRPr="00F650D8">
        <w:rPr>
          <w:rFonts w:ascii="Times New Roman" w:hAnsi="Times New Roman" w:cs="Times New Roman"/>
        </w:rPr>
        <w:t xml:space="preserve">There were no differences </w:t>
      </w:r>
      <w:r w:rsidR="00764209" w:rsidRPr="00F650D8">
        <w:rPr>
          <w:rFonts w:ascii="Times New Roman" w:hAnsi="Times New Roman" w:cs="Times New Roman"/>
        </w:rPr>
        <w:t xml:space="preserve">in </w:t>
      </w:r>
      <w:r w:rsidR="0097565A" w:rsidRPr="00F650D8">
        <w:rPr>
          <w:rFonts w:ascii="Times New Roman" w:hAnsi="Times New Roman" w:cs="Times New Roman"/>
        </w:rPr>
        <w:t>postprandial</w:t>
      </w:r>
      <w:r w:rsidR="00F70AF4" w:rsidRPr="00F650D8">
        <w:rPr>
          <w:rFonts w:ascii="Times New Roman" w:hAnsi="Times New Roman" w:cs="Times New Roman"/>
        </w:rPr>
        <w:t xml:space="preserve"> </w:t>
      </w:r>
      <w:r w:rsidR="00736E5D" w:rsidRPr="00F650D8">
        <w:rPr>
          <w:rFonts w:ascii="Times New Roman" w:hAnsi="Times New Roman" w:cs="Times New Roman"/>
        </w:rPr>
        <w:t xml:space="preserve">total GLP-1 or </w:t>
      </w:r>
      <w:r w:rsidR="00764209" w:rsidRPr="00F650D8">
        <w:rPr>
          <w:rFonts w:ascii="Times New Roman" w:hAnsi="Times New Roman" w:cs="Times New Roman"/>
        </w:rPr>
        <w:t xml:space="preserve">acylated ghrelin </w:t>
      </w:r>
      <w:r w:rsidRPr="00F650D8">
        <w:rPr>
          <w:rFonts w:ascii="Times New Roman" w:hAnsi="Times New Roman" w:cs="Times New Roman"/>
        </w:rPr>
        <w:t xml:space="preserve">between </w:t>
      </w:r>
      <w:r w:rsidR="005E29F0" w:rsidRPr="00F650D8">
        <w:rPr>
          <w:rFonts w:ascii="Times New Roman" w:hAnsi="Times New Roman" w:cs="Times New Roman"/>
        </w:rPr>
        <w:t>experimental groups and placebo-</w:t>
      </w:r>
      <w:r w:rsidRPr="00F650D8">
        <w:rPr>
          <w:rFonts w:ascii="Times New Roman" w:hAnsi="Times New Roman" w:cs="Times New Roman"/>
        </w:rPr>
        <w:t xml:space="preserve">only </w:t>
      </w:r>
      <w:r w:rsidRPr="00F650D8">
        <w:rPr>
          <w:rFonts w:ascii="Times New Roman" w:hAnsi="Times New Roman" w:cs="Times New Roman"/>
          <w:highlight w:val="yellow"/>
        </w:rPr>
        <w:t xml:space="preserve">at </w:t>
      </w:r>
      <w:r w:rsidR="00CB4077" w:rsidRPr="00F650D8">
        <w:rPr>
          <w:rFonts w:ascii="Times New Roman" w:hAnsi="Times New Roman" w:cs="Times New Roman"/>
          <w:highlight w:val="yellow"/>
        </w:rPr>
        <w:t>24 weeks</w:t>
      </w:r>
      <w:r w:rsidR="00CB4077" w:rsidRPr="00F650D8">
        <w:rPr>
          <w:rFonts w:ascii="Times New Roman" w:hAnsi="Times New Roman" w:cs="Times New Roman"/>
        </w:rPr>
        <w:t xml:space="preserve"> or </w:t>
      </w:r>
      <w:r w:rsidR="00DB012F" w:rsidRPr="00F650D8">
        <w:rPr>
          <w:rFonts w:ascii="Times New Roman" w:hAnsi="Times New Roman" w:cs="Times New Roman"/>
        </w:rPr>
        <w:t>any</w:t>
      </w:r>
      <w:r w:rsidR="00CB4077" w:rsidRPr="00F650D8">
        <w:rPr>
          <w:rFonts w:ascii="Times New Roman" w:hAnsi="Times New Roman" w:cs="Times New Roman"/>
        </w:rPr>
        <w:t xml:space="preserve"> intermediate</w:t>
      </w:r>
      <w:r w:rsidR="00DB012F" w:rsidRPr="00F650D8">
        <w:rPr>
          <w:rFonts w:ascii="Times New Roman" w:hAnsi="Times New Roman" w:cs="Times New Roman"/>
        </w:rPr>
        <w:t xml:space="preserve"> timepoint</w:t>
      </w:r>
      <w:r w:rsidRPr="00F650D8">
        <w:rPr>
          <w:rFonts w:ascii="Times New Roman" w:hAnsi="Times New Roman" w:cs="Times New Roman"/>
        </w:rPr>
        <w:t xml:space="preserve"> (</w:t>
      </w:r>
      <w:r w:rsidR="001A6CB2" w:rsidRPr="00F650D8">
        <w:rPr>
          <w:rFonts w:ascii="Times New Roman" w:hAnsi="Times New Roman" w:cs="Times New Roman"/>
        </w:rPr>
        <w:t>Figure</w:t>
      </w:r>
      <w:r w:rsidR="003616A9" w:rsidRPr="00F650D8">
        <w:rPr>
          <w:rFonts w:ascii="Times New Roman" w:hAnsi="Times New Roman" w:cs="Times New Roman"/>
        </w:rPr>
        <w:t>s</w:t>
      </w:r>
      <w:r w:rsidR="001A6CB2" w:rsidRPr="00F650D8">
        <w:rPr>
          <w:rFonts w:ascii="Times New Roman" w:hAnsi="Times New Roman" w:cs="Times New Roman"/>
        </w:rPr>
        <w:t xml:space="preserve"> </w:t>
      </w:r>
      <w:r w:rsidR="007721B1" w:rsidRPr="00F650D8">
        <w:rPr>
          <w:rFonts w:ascii="Times New Roman" w:hAnsi="Times New Roman" w:cs="Times New Roman"/>
        </w:rPr>
        <w:t>2</w:t>
      </w:r>
      <w:r w:rsidR="001A6CB2" w:rsidRPr="00F650D8">
        <w:rPr>
          <w:rFonts w:ascii="Times New Roman" w:hAnsi="Times New Roman" w:cs="Times New Roman"/>
        </w:rPr>
        <w:t>B-</w:t>
      </w:r>
      <w:r w:rsidR="0097223D" w:rsidRPr="00F650D8">
        <w:rPr>
          <w:rFonts w:ascii="Times New Roman" w:hAnsi="Times New Roman" w:cs="Times New Roman"/>
        </w:rPr>
        <w:t>C</w:t>
      </w:r>
      <w:r w:rsidR="001A6CB2" w:rsidRPr="00F650D8">
        <w:rPr>
          <w:rFonts w:ascii="Times New Roman" w:hAnsi="Times New Roman" w:cs="Times New Roman"/>
        </w:rPr>
        <w:t xml:space="preserve">, </w:t>
      </w:r>
      <w:r w:rsidR="003616A9" w:rsidRPr="00F650D8">
        <w:rPr>
          <w:rFonts w:ascii="Times New Roman" w:hAnsi="Times New Roman" w:cs="Times New Roman"/>
        </w:rPr>
        <w:t>Tables 2 and S2</w:t>
      </w:r>
      <w:r w:rsidRPr="00F650D8">
        <w:rPr>
          <w:rFonts w:ascii="Times New Roman" w:hAnsi="Times New Roman" w:cs="Times New Roman"/>
        </w:rPr>
        <w:t xml:space="preserve">). </w:t>
      </w:r>
      <w:r w:rsidR="004A37D5" w:rsidRPr="00F650D8">
        <w:rPr>
          <w:rFonts w:ascii="Times New Roman" w:hAnsi="Times New Roman" w:cs="Times New Roman"/>
        </w:rPr>
        <w:t>However, a</w:t>
      </w:r>
      <w:r w:rsidRPr="00F650D8">
        <w:rPr>
          <w:rFonts w:ascii="Times New Roman" w:hAnsi="Times New Roman" w:cs="Times New Roman"/>
        </w:rPr>
        <w:t xml:space="preserve">cross follow-up </w:t>
      </w:r>
      <w:r w:rsidR="00764209" w:rsidRPr="00F650D8">
        <w:rPr>
          <w:rFonts w:ascii="Times New Roman" w:hAnsi="Times New Roman" w:cs="Times New Roman"/>
        </w:rPr>
        <w:t>collectively</w:t>
      </w:r>
      <w:r w:rsidRPr="00F650D8">
        <w:rPr>
          <w:rFonts w:ascii="Times New Roman" w:hAnsi="Times New Roman" w:cs="Times New Roman"/>
        </w:rPr>
        <w:t xml:space="preserve">, </w:t>
      </w:r>
      <w:r w:rsidR="0097565A" w:rsidRPr="00F650D8">
        <w:rPr>
          <w:rFonts w:ascii="Times New Roman" w:hAnsi="Times New Roman" w:cs="Times New Roman"/>
        </w:rPr>
        <w:t xml:space="preserve">postprandial </w:t>
      </w:r>
      <w:r w:rsidRPr="00F650D8">
        <w:rPr>
          <w:rFonts w:ascii="Times New Roman" w:hAnsi="Times New Roman" w:cs="Times New Roman"/>
        </w:rPr>
        <w:t>total GLP-1 was higher in the empagliflozin</w:t>
      </w:r>
      <w:r w:rsidR="002E1305" w:rsidRPr="00F650D8">
        <w:rPr>
          <w:rFonts w:ascii="Times New Roman" w:hAnsi="Times New Roman" w:cs="Times New Roman"/>
        </w:rPr>
        <w:t>-</w:t>
      </w:r>
      <w:r w:rsidRPr="00F650D8">
        <w:rPr>
          <w:rFonts w:ascii="Times New Roman" w:hAnsi="Times New Roman" w:cs="Times New Roman"/>
        </w:rPr>
        <w:t>only group</w:t>
      </w:r>
      <w:r w:rsidR="0097223D" w:rsidRPr="00F650D8">
        <w:rPr>
          <w:rFonts w:ascii="Times New Roman" w:hAnsi="Times New Roman" w:cs="Times New Roman"/>
        </w:rPr>
        <w:t xml:space="preserve">. </w:t>
      </w:r>
      <w:r w:rsidR="007F3904" w:rsidRPr="00F650D8">
        <w:rPr>
          <w:rFonts w:ascii="Times New Roman" w:hAnsi="Times New Roman" w:cs="Times New Roman"/>
        </w:rPr>
        <w:t>Fa</w:t>
      </w:r>
      <w:r w:rsidR="0097223D" w:rsidRPr="00F650D8">
        <w:rPr>
          <w:rFonts w:ascii="Times New Roman" w:hAnsi="Times New Roman" w:cs="Times New Roman"/>
        </w:rPr>
        <w:t>sting l</w:t>
      </w:r>
      <w:r w:rsidRPr="00F650D8">
        <w:rPr>
          <w:rFonts w:ascii="Times New Roman" w:hAnsi="Times New Roman" w:cs="Times New Roman"/>
        </w:rPr>
        <w:t>eptin</w:t>
      </w:r>
      <w:r w:rsidR="0097223D" w:rsidRPr="00F650D8">
        <w:rPr>
          <w:rFonts w:ascii="Times New Roman" w:hAnsi="Times New Roman" w:cs="Times New Roman"/>
        </w:rPr>
        <w:t xml:space="preserve"> was </w:t>
      </w:r>
      <w:r w:rsidR="00DB012F" w:rsidRPr="00F650D8">
        <w:rPr>
          <w:rFonts w:ascii="Times New Roman" w:hAnsi="Times New Roman" w:cs="Times New Roman"/>
        </w:rPr>
        <w:t>no different</w:t>
      </w:r>
      <w:r w:rsidR="0097223D" w:rsidRPr="00F650D8">
        <w:rPr>
          <w:rFonts w:ascii="Times New Roman" w:hAnsi="Times New Roman" w:cs="Times New Roman"/>
        </w:rPr>
        <w:t xml:space="preserve"> between experimental groups and placebo-only at </w:t>
      </w:r>
      <w:r w:rsidR="0059750C" w:rsidRPr="00F650D8">
        <w:rPr>
          <w:rFonts w:ascii="Times New Roman" w:hAnsi="Times New Roman" w:cs="Times New Roman"/>
          <w:highlight w:val="yellow"/>
        </w:rPr>
        <w:t>24 weeks and intermediate timepoints</w:t>
      </w:r>
      <w:r w:rsidR="006E7965" w:rsidRPr="00F650D8">
        <w:rPr>
          <w:rFonts w:ascii="Times New Roman" w:hAnsi="Times New Roman" w:cs="Times New Roman"/>
        </w:rPr>
        <w:t xml:space="preserve"> </w:t>
      </w:r>
      <w:r w:rsidR="00690663" w:rsidRPr="00F650D8">
        <w:rPr>
          <w:rFonts w:ascii="Times New Roman" w:hAnsi="Times New Roman" w:cs="Times New Roman"/>
        </w:rPr>
        <w:t xml:space="preserve">but </w:t>
      </w:r>
      <w:r w:rsidR="00DB012F" w:rsidRPr="00F650D8">
        <w:rPr>
          <w:rFonts w:ascii="Times New Roman" w:hAnsi="Times New Roman" w:cs="Times New Roman"/>
        </w:rPr>
        <w:t xml:space="preserve">was </w:t>
      </w:r>
      <w:r w:rsidR="00690663" w:rsidRPr="00F650D8">
        <w:rPr>
          <w:rFonts w:ascii="Times New Roman" w:hAnsi="Times New Roman" w:cs="Times New Roman"/>
        </w:rPr>
        <w:t>lower across follow-up collectively in the empagliflozin-plus-diet group</w:t>
      </w:r>
      <w:r w:rsidR="0097223D" w:rsidRPr="00F650D8">
        <w:rPr>
          <w:rFonts w:ascii="Times New Roman" w:hAnsi="Times New Roman" w:cs="Times New Roman"/>
        </w:rPr>
        <w:t xml:space="preserve"> (Figure </w:t>
      </w:r>
      <w:r w:rsidR="00E2794F" w:rsidRPr="00F650D8">
        <w:rPr>
          <w:rFonts w:ascii="Times New Roman" w:hAnsi="Times New Roman" w:cs="Times New Roman"/>
        </w:rPr>
        <w:t>2</w:t>
      </w:r>
      <w:r w:rsidR="0097223D" w:rsidRPr="00F650D8">
        <w:rPr>
          <w:rFonts w:ascii="Times New Roman" w:hAnsi="Times New Roman" w:cs="Times New Roman"/>
        </w:rPr>
        <w:t xml:space="preserve">D, </w:t>
      </w:r>
      <w:r w:rsidR="003616A9" w:rsidRPr="00F650D8">
        <w:rPr>
          <w:rFonts w:ascii="Times New Roman" w:hAnsi="Times New Roman" w:cs="Times New Roman"/>
        </w:rPr>
        <w:t>Tables 2 and S2</w:t>
      </w:r>
      <w:r w:rsidR="0097223D" w:rsidRPr="00F650D8">
        <w:rPr>
          <w:rFonts w:ascii="Times New Roman" w:hAnsi="Times New Roman" w:cs="Times New Roman"/>
        </w:rPr>
        <w:t xml:space="preserve">). This </w:t>
      </w:r>
      <w:r w:rsidR="00690663" w:rsidRPr="00F650D8">
        <w:rPr>
          <w:rFonts w:ascii="Times New Roman" w:hAnsi="Times New Roman" w:cs="Times New Roman"/>
        </w:rPr>
        <w:t xml:space="preserve">difference </w:t>
      </w:r>
      <w:r w:rsidR="00DC248A" w:rsidRPr="00F650D8">
        <w:rPr>
          <w:rFonts w:ascii="Times New Roman" w:hAnsi="Times New Roman" w:cs="Times New Roman"/>
        </w:rPr>
        <w:t xml:space="preserve">was </w:t>
      </w:r>
      <w:r w:rsidR="00690663" w:rsidRPr="00F650D8">
        <w:rPr>
          <w:rFonts w:ascii="Times New Roman" w:hAnsi="Times New Roman" w:cs="Times New Roman"/>
        </w:rPr>
        <w:t xml:space="preserve">attenuated and </w:t>
      </w:r>
      <w:r w:rsidR="0097223D" w:rsidRPr="00F650D8">
        <w:rPr>
          <w:rFonts w:ascii="Times New Roman" w:hAnsi="Times New Roman" w:cs="Times New Roman"/>
        </w:rPr>
        <w:t xml:space="preserve">no longer statistically significant when </w:t>
      </w:r>
      <w:r w:rsidR="00690663" w:rsidRPr="00F650D8">
        <w:rPr>
          <w:rFonts w:ascii="Times New Roman" w:hAnsi="Times New Roman" w:cs="Times New Roman"/>
        </w:rPr>
        <w:t xml:space="preserve">leptin concentrations were </w:t>
      </w:r>
      <w:r w:rsidR="0097223D" w:rsidRPr="00F650D8">
        <w:rPr>
          <w:rFonts w:ascii="Times New Roman" w:hAnsi="Times New Roman" w:cs="Times New Roman"/>
        </w:rPr>
        <w:t>normali</w:t>
      </w:r>
      <w:r w:rsidR="002B7883" w:rsidRPr="00F650D8">
        <w:rPr>
          <w:rFonts w:ascii="Times New Roman" w:hAnsi="Times New Roman" w:cs="Times New Roman"/>
        </w:rPr>
        <w:t>s</w:t>
      </w:r>
      <w:r w:rsidR="0097223D" w:rsidRPr="00F650D8">
        <w:rPr>
          <w:rFonts w:ascii="Times New Roman" w:hAnsi="Times New Roman" w:cs="Times New Roman"/>
        </w:rPr>
        <w:t>ed to body weight</w:t>
      </w:r>
      <w:r w:rsidR="00843A5D" w:rsidRPr="00F650D8">
        <w:rPr>
          <w:rFonts w:ascii="Times New Roman" w:hAnsi="Times New Roman" w:cs="Times New Roman"/>
        </w:rPr>
        <w:t>.</w:t>
      </w:r>
    </w:p>
    <w:p w14:paraId="06679113" w14:textId="77777777" w:rsidR="00DB012F" w:rsidRPr="00F650D8" w:rsidRDefault="00DB012F" w:rsidP="00013C9D">
      <w:pPr>
        <w:spacing w:line="480" w:lineRule="auto"/>
        <w:jc w:val="both"/>
        <w:rPr>
          <w:rFonts w:ascii="Times New Roman" w:hAnsi="Times New Roman" w:cs="Times New Roman"/>
        </w:rPr>
      </w:pPr>
    </w:p>
    <w:p w14:paraId="6A705590" w14:textId="09E871DD" w:rsidR="0015449D" w:rsidRPr="00F650D8" w:rsidRDefault="00BA5D0F" w:rsidP="00013C9D">
      <w:pPr>
        <w:spacing w:line="480" w:lineRule="auto"/>
        <w:jc w:val="both"/>
        <w:rPr>
          <w:rFonts w:ascii="Times New Roman" w:hAnsi="Times New Roman" w:cs="Times New Roman"/>
          <w:i/>
        </w:rPr>
      </w:pPr>
      <w:r w:rsidRPr="00F650D8">
        <w:rPr>
          <w:rFonts w:ascii="Times New Roman" w:hAnsi="Times New Roman" w:cs="Times New Roman"/>
          <w:i/>
          <w:highlight w:val="yellow"/>
        </w:rPr>
        <w:t>Subjective a</w:t>
      </w:r>
      <w:r w:rsidR="0015449D" w:rsidRPr="00F650D8">
        <w:rPr>
          <w:rFonts w:ascii="Times New Roman" w:hAnsi="Times New Roman" w:cs="Times New Roman"/>
          <w:i/>
          <w:highlight w:val="yellow"/>
        </w:rPr>
        <w:t>ppetite perceptions and self-reported energy intake</w:t>
      </w:r>
    </w:p>
    <w:p w14:paraId="20DFAF8A" w14:textId="16688AAD" w:rsidR="00313A02" w:rsidRPr="00F650D8" w:rsidRDefault="00313A02" w:rsidP="00013C9D">
      <w:pPr>
        <w:spacing w:line="480" w:lineRule="auto"/>
        <w:jc w:val="both"/>
        <w:rPr>
          <w:rFonts w:ascii="Times New Roman" w:hAnsi="Times New Roman" w:cs="Times New Roman"/>
        </w:rPr>
      </w:pPr>
      <w:r w:rsidRPr="00F650D8">
        <w:rPr>
          <w:rFonts w:ascii="Times New Roman" w:hAnsi="Times New Roman" w:cs="Times New Roman"/>
        </w:rPr>
        <w:t xml:space="preserve">There were no differences </w:t>
      </w:r>
      <w:r w:rsidR="00764209" w:rsidRPr="00F650D8">
        <w:rPr>
          <w:rFonts w:ascii="Times New Roman" w:hAnsi="Times New Roman" w:cs="Times New Roman"/>
        </w:rPr>
        <w:t>in VAS-derived appetite perceptions</w:t>
      </w:r>
      <w:r w:rsidR="00F804AA" w:rsidRPr="00F650D8">
        <w:rPr>
          <w:rFonts w:ascii="Times New Roman" w:hAnsi="Times New Roman" w:cs="Times New Roman"/>
        </w:rPr>
        <w:t xml:space="preserve">, TFEQ-measured disinhibition and hunger, or self-reported daily </w:t>
      </w:r>
      <w:r w:rsidR="00F36FAB" w:rsidRPr="00F650D8">
        <w:rPr>
          <w:rFonts w:ascii="Times New Roman" w:hAnsi="Times New Roman" w:cs="Times New Roman"/>
        </w:rPr>
        <w:t>EI</w:t>
      </w:r>
      <w:r w:rsidR="00764209" w:rsidRPr="00F650D8">
        <w:rPr>
          <w:rFonts w:ascii="Times New Roman" w:hAnsi="Times New Roman" w:cs="Times New Roman"/>
        </w:rPr>
        <w:t xml:space="preserve"> between </w:t>
      </w:r>
      <w:r w:rsidRPr="00F650D8">
        <w:rPr>
          <w:rFonts w:ascii="Times New Roman" w:hAnsi="Times New Roman" w:cs="Times New Roman"/>
        </w:rPr>
        <w:t xml:space="preserve">experimental groups and </w:t>
      </w:r>
      <w:r w:rsidR="0077739D" w:rsidRPr="00F650D8">
        <w:rPr>
          <w:rFonts w:ascii="Times New Roman" w:hAnsi="Times New Roman" w:cs="Times New Roman"/>
        </w:rPr>
        <w:t>placebo</w:t>
      </w:r>
      <w:r w:rsidR="005E29F0" w:rsidRPr="00F650D8">
        <w:rPr>
          <w:rFonts w:ascii="Times New Roman" w:hAnsi="Times New Roman" w:cs="Times New Roman"/>
        </w:rPr>
        <w:t>-</w:t>
      </w:r>
      <w:r w:rsidR="0077739D" w:rsidRPr="00F650D8">
        <w:rPr>
          <w:rFonts w:ascii="Times New Roman" w:hAnsi="Times New Roman" w:cs="Times New Roman"/>
        </w:rPr>
        <w:t>only</w:t>
      </w:r>
      <w:r w:rsidR="00764209" w:rsidRPr="00F650D8">
        <w:rPr>
          <w:rFonts w:ascii="Times New Roman" w:hAnsi="Times New Roman" w:cs="Times New Roman"/>
        </w:rPr>
        <w:t xml:space="preserve"> </w:t>
      </w:r>
      <w:r w:rsidRPr="00F650D8">
        <w:rPr>
          <w:rFonts w:ascii="Times New Roman" w:hAnsi="Times New Roman" w:cs="Times New Roman"/>
        </w:rPr>
        <w:t xml:space="preserve">at any timepoint or across follow-up </w:t>
      </w:r>
      <w:r w:rsidR="005E29F0" w:rsidRPr="00F650D8">
        <w:rPr>
          <w:rFonts w:ascii="Times New Roman" w:hAnsi="Times New Roman" w:cs="Times New Roman"/>
        </w:rPr>
        <w:t>collectively</w:t>
      </w:r>
      <w:r w:rsidR="00D84674" w:rsidRPr="00F650D8">
        <w:rPr>
          <w:rFonts w:ascii="Times New Roman" w:hAnsi="Times New Roman" w:cs="Times New Roman"/>
        </w:rPr>
        <w:t xml:space="preserve"> (</w:t>
      </w:r>
      <w:r w:rsidR="0016657B" w:rsidRPr="00F650D8">
        <w:rPr>
          <w:rFonts w:ascii="Times New Roman" w:hAnsi="Times New Roman" w:cs="Times New Roman"/>
        </w:rPr>
        <w:t>Figure</w:t>
      </w:r>
      <w:r w:rsidR="003616A9" w:rsidRPr="00F650D8">
        <w:rPr>
          <w:rFonts w:ascii="Times New Roman" w:hAnsi="Times New Roman" w:cs="Times New Roman"/>
        </w:rPr>
        <w:t>s</w:t>
      </w:r>
      <w:r w:rsidR="0016657B" w:rsidRPr="00F650D8">
        <w:rPr>
          <w:rFonts w:ascii="Times New Roman" w:hAnsi="Times New Roman" w:cs="Times New Roman"/>
        </w:rPr>
        <w:t xml:space="preserve"> </w:t>
      </w:r>
      <w:r w:rsidR="003616A9" w:rsidRPr="00F650D8">
        <w:rPr>
          <w:rFonts w:ascii="Times New Roman" w:hAnsi="Times New Roman" w:cs="Times New Roman"/>
        </w:rPr>
        <w:t>S</w:t>
      </w:r>
      <w:r w:rsidR="00FD2120" w:rsidRPr="00F650D8">
        <w:rPr>
          <w:rFonts w:ascii="Times New Roman" w:hAnsi="Times New Roman" w:cs="Times New Roman"/>
        </w:rPr>
        <w:t>1</w:t>
      </w:r>
      <w:r w:rsidR="0016657B" w:rsidRPr="00F650D8">
        <w:rPr>
          <w:rFonts w:ascii="Times New Roman" w:hAnsi="Times New Roman" w:cs="Times New Roman"/>
        </w:rPr>
        <w:t xml:space="preserve">A-D, </w:t>
      </w:r>
      <w:r w:rsidR="003616A9" w:rsidRPr="00F650D8">
        <w:rPr>
          <w:rFonts w:ascii="Times New Roman" w:hAnsi="Times New Roman" w:cs="Times New Roman"/>
        </w:rPr>
        <w:t>Tables 2 and S2</w:t>
      </w:r>
      <w:r w:rsidR="00D84674" w:rsidRPr="00F650D8">
        <w:rPr>
          <w:rFonts w:ascii="Times New Roman" w:hAnsi="Times New Roman" w:cs="Times New Roman"/>
        </w:rPr>
        <w:t>)</w:t>
      </w:r>
      <w:r w:rsidRPr="00F650D8">
        <w:rPr>
          <w:rFonts w:ascii="Times New Roman" w:hAnsi="Times New Roman" w:cs="Times New Roman"/>
        </w:rPr>
        <w:t xml:space="preserve">. </w:t>
      </w:r>
      <w:r w:rsidR="00764209" w:rsidRPr="00F650D8">
        <w:rPr>
          <w:rFonts w:ascii="Times New Roman" w:hAnsi="Times New Roman" w:cs="Times New Roman"/>
        </w:rPr>
        <w:t xml:space="preserve">However, </w:t>
      </w:r>
      <w:r w:rsidRPr="00F650D8">
        <w:rPr>
          <w:rFonts w:ascii="Times New Roman" w:hAnsi="Times New Roman" w:cs="Times New Roman"/>
        </w:rPr>
        <w:t xml:space="preserve">cognitive </w:t>
      </w:r>
      <w:r w:rsidR="00472578" w:rsidRPr="00F650D8">
        <w:rPr>
          <w:rFonts w:ascii="Times New Roman" w:hAnsi="Times New Roman" w:cs="Times New Roman"/>
        </w:rPr>
        <w:t xml:space="preserve">dietary </w:t>
      </w:r>
      <w:r w:rsidRPr="00F650D8">
        <w:rPr>
          <w:rFonts w:ascii="Times New Roman" w:hAnsi="Times New Roman" w:cs="Times New Roman"/>
        </w:rPr>
        <w:t xml:space="preserve">restraint was higher in the </w:t>
      </w:r>
      <w:r w:rsidR="00F16838" w:rsidRPr="00F650D8">
        <w:rPr>
          <w:rFonts w:ascii="Times New Roman" w:hAnsi="Times New Roman" w:cs="Times New Roman"/>
        </w:rPr>
        <w:t xml:space="preserve">placebo-plus-diet and </w:t>
      </w:r>
      <w:r w:rsidRPr="00F650D8">
        <w:rPr>
          <w:rFonts w:ascii="Times New Roman" w:hAnsi="Times New Roman" w:cs="Times New Roman"/>
        </w:rPr>
        <w:t>empagliflozin-plus-diet</w:t>
      </w:r>
      <w:r w:rsidR="00DB012F" w:rsidRPr="00F650D8">
        <w:rPr>
          <w:rFonts w:ascii="Times New Roman" w:hAnsi="Times New Roman" w:cs="Times New Roman"/>
        </w:rPr>
        <w:t xml:space="preserve"> groups</w:t>
      </w:r>
      <w:r w:rsidRPr="00F650D8">
        <w:rPr>
          <w:rFonts w:ascii="Times New Roman" w:hAnsi="Times New Roman" w:cs="Times New Roman"/>
        </w:rPr>
        <w:t xml:space="preserve"> </w:t>
      </w:r>
      <w:r w:rsidR="00F16838" w:rsidRPr="00F650D8">
        <w:rPr>
          <w:rFonts w:ascii="Times New Roman" w:hAnsi="Times New Roman" w:cs="Times New Roman"/>
        </w:rPr>
        <w:t>(</w:t>
      </w:r>
      <w:r w:rsidR="00F16838" w:rsidRPr="00F650D8">
        <w:rPr>
          <w:rFonts w:ascii="Times New Roman" w:hAnsi="Times New Roman" w:cs="Times New Roman"/>
          <w:highlight w:val="yellow"/>
        </w:rPr>
        <w:t>significant</w:t>
      </w:r>
      <w:r w:rsidR="00DB012F" w:rsidRPr="00F650D8">
        <w:rPr>
          <w:rFonts w:ascii="Times New Roman" w:hAnsi="Times New Roman" w:cs="Times New Roman"/>
          <w:highlight w:val="yellow"/>
        </w:rPr>
        <w:t xml:space="preserve">ly different </w:t>
      </w:r>
      <w:r w:rsidR="0059750C" w:rsidRPr="00F650D8">
        <w:rPr>
          <w:rFonts w:ascii="Times New Roman" w:hAnsi="Times New Roman" w:cs="Times New Roman"/>
          <w:highlight w:val="yellow"/>
        </w:rPr>
        <w:t>in the empagliflozin-plus-diet group at 24 weeks and in both groups at 12 weeks and across follow-up collectively</w:t>
      </w:r>
      <w:r w:rsidR="00DB012F" w:rsidRPr="00F650D8">
        <w:rPr>
          <w:rFonts w:ascii="Times New Roman" w:hAnsi="Times New Roman" w:cs="Times New Roman"/>
        </w:rPr>
        <w:t xml:space="preserve">; </w:t>
      </w:r>
      <w:r w:rsidR="003616A9" w:rsidRPr="00F650D8">
        <w:rPr>
          <w:rFonts w:ascii="Times New Roman" w:hAnsi="Times New Roman" w:cs="Times New Roman"/>
        </w:rPr>
        <w:t>Tables 2 and S2</w:t>
      </w:r>
      <w:r w:rsidR="005E29F0" w:rsidRPr="00F650D8">
        <w:rPr>
          <w:rFonts w:ascii="Times New Roman" w:hAnsi="Times New Roman" w:cs="Times New Roman"/>
        </w:rPr>
        <w:t>)</w:t>
      </w:r>
      <w:r w:rsidR="009F3DD1" w:rsidRPr="00F650D8">
        <w:rPr>
          <w:rFonts w:ascii="Times New Roman" w:hAnsi="Times New Roman" w:cs="Times New Roman"/>
        </w:rPr>
        <w:t xml:space="preserve">. </w:t>
      </w:r>
    </w:p>
    <w:p w14:paraId="0904E6A8" w14:textId="77777777" w:rsidR="00DB012F" w:rsidRPr="00F650D8" w:rsidRDefault="00DB012F" w:rsidP="00013C9D">
      <w:pPr>
        <w:spacing w:line="480" w:lineRule="auto"/>
        <w:jc w:val="both"/>
        <w:rPr>
          <w:rFonts w:ascii="Times New Roman" w:hAnsi="Times New Roman" w:cs="Times New Roman"/>
        </w:rPr>
      </w:pPr>
    </w:p>
    <w:p w14:paraId="176EB7A1" w14:textId="29B018B8" w:rsidR="0015449D" w:rsidRPr="00F650D8" w:rsidRDefault="0015449D" w:rsidP="00013C9D">
      <w:pPr>
        <w:spacing w:line="480" w:lineRule="auto"/>
        <w:jc w:val="both"/>
        <w:rPr>
          <w:rFonts w:ascii="Times New Roman" w:hAnsi="Times New Roman" w:cs="Times New Roman"/>
          <w:i/>
        </w:rPr>
      </w:pPr>
      <w:r w:rsidRPr="00F650D8">
        <w:rPr>
          <w:rFonts w:ascii="Times New Roman" w:hAnsi="Times New Roman" w:cs="Times New Roman"/>
          <w:i/>
          <w:highlight w:val="yellow"/>
        </w:rPr>
        <w:t xml:space="preserve">Body </w:t>
      </w:r>
      <w:r w:rsidR="00061542" w:rsidRPr="00F650D8">
        <w:rPr>
          <w:rFonts w:ascii="Times New Roman" w:hAnsi="Times New Roman" w:cs="Times New Roman"/>
          <w:i/>
          <w:highlight w:val="yellow"/>
        </w:rPr>
        <w:t>composition</w:t>
      </w:r>
      <w:r w:rsidRPr="00F650D8">
        <w:rPr>
          <w:rFonts w:ascii="Times New Roman" w:hAnsi="Times New Roman" w:cs="Times New Roman"/>
          <w:i/>
          <w:highlight w:val="yellow"/>
        </w:rPr>
        <w:t xml:space="preserve"> and energy expenditure</w:t>
      </w:r>
    </w:p>
    <w:p w14:paraId="31B2E83C" w14:textId="797FB401" w:rsidR="00E52822" w:rsidRPr="00F650D8" w:rsidRDefault="0059750C" w:rsidP="00013C9D">
      <w:pPr>
        <w:spacing w:line="480" w:lineRule="auto"/>
        <w:jc w:val="both"/>
        <w:rPr>
          <w:rFonts w:ascii="Times New Roman" w:hAnsi="Times New Roman" w:cs="Times New Roman"/>
        </w:rPr>
      </w:pPr>
      <w:r w:rsidRPr="00F650D8">
        <w:rPr>
          <w:rFonts w:ascii="Times New Roman" w:hAnsi="Times New Roman" w:cs="Times New Roman"/>
        </w:rPr>
        <w:t xml:space="preserve">At 24 weeks, </w:t>
      </w:r>
      <w:r w:rsidR="00C07BD9" w:rsidRPr="00F650D8">
        <w:rPr>
          <w:rFonts w:ascii="Times New Roman" w:hAnsi="Times New Roman" w:cs="Times New Roman"/>
        </w:rPr>
        <w:t xml:space="preserve">DEXA-derived </w:t>
      </w:r>
      <w:r w:rsidR="00753D7F" w:rsidRPr="00F650D8">
        <w:rPr>
          <w:rFonts w:ascii="Times New Roman" w:hAnsi="Times New Roman" w:cs="Times New Roman"/>
        </w:rPr>
        <w:t xml:space="preserve">total body </w:t>
      </w:r>
      <w:r w:rsidR="00C07BD9" w:rsidRPr="00F650D8">
        <w:rPr>
          <w:rFonts w:ascii="Times New Roman" w:hAnsi="Times New Roman" w:cs="Times New Roman"/>
        </w:rPr>
        <w:t>fat mass was l</w:t>
      </w:r>
      <w:r w:rsidR="00E0714D" w:rsidRPr="00F650D8">
        <w:rPr>
          <w:rFonts w:ascii="Times New Roman" w:hAnsi="Times New Roman" w:cs="Times New Roman"/>
        </w:rPr>
        <w:t>ower in the empagliflozin-plus-</w:t>
      </w:r>
      <w:r w:rsidR="00C07BD9" w:rsidRPr="00F650D8">
        <w:rPr>
          <w:rFonts w:ascii="Times New Roman" w:hAnsi="Times New Roman" w:cs="Times New Roman"/>
        </w:rPr>
        <w:t>diet group, compared to placebo</w:t>
      </w:r>
      <w:r w:rsidR="00E93A41" w:rsidRPr="00F650D8">
        <w:rPr>
          <w:rFonts w:ascii="Times New Roman" w:hAnsi="Times New Roman" w:cs="Times New Roman"/>
        </w:rPr>
        <w:t>-</w:t>
      </w:r>
      <w:r w:rsidR="00C07BD9" w:rsidRPr="00F650D8">
        <w:rPr>
          <w:rFonts w:ascii="Times New Roman" w:hAnsi="Times New Roman" w:cs="Times New Roman"/>
        </w:rPr>
        <w:t xml:space="preserve">only, </w:t>
      </w:r>
      <w:r w:rsidRPr="00F650D8">
        <w:rPr>
          <w:rFonts w:ascii="Times New Roman" w:hAnsi="Times New Roman" w:cs="Times New Roman"/>
        </w:rPr>
        <w:t>whilst</w:t>
      </w:r>
      <w:r w:rsidR="00E93A41" w:rsidRPr="00F650D8">
        <w:rPr>
          <w:rFonts w:ascii="Times New Roman" w:hAnsi="Times New Roman" w:cs="Times New Roman"/>
        </w:rPr>
        <w:t xml:space="preserve"> </w:t>
      </w:r>
      <w:r w:rsidR="00C07BD9" w:rsidRPr="00F650D8">
        <w:rPr>
          <w:rFonts w:ascii="Times New Roman" w:hAnsi="Times New Roman" w:cs="Times New Roman"/>
        </w:rPr>
        <w:t>total lean body mass was lower in both the empagliflozin</w:t>
      </w:r>
      <w:r w:rsidR="00E93A41" w:rsidRPr="00F650D8">
        <w:rPr>
          <w:rFonts w:ascii="Times New Roman" w:hAnsi="Times New Roman" w:cs="Times New Roman"/>
        </w:rPr>
        <w:t>-</w:t>
      </w:r>
      <w:r w:rsidR="00C07BD9" w:rsidRPr="00F650D8">
        <w:rPr>
          <w:rFonts w:ascii="Times New Roman" w:hAnsi="Times New Roman" w:cs="Times New Roman"/>
        </w:rPr>
        <w:t>only and empagliflozin-plus-diet groups (</w:t>
      </w:r>
      <w:r w:rsidR="003616A9" w:rsidRPr="00F650D8">
        <w:rPr>
          <w:rFonts w:ascii="Times New Roman" w:hAnsi="Times New Roman" w:cs="Times New Roman"/>
        </w:rPr>
        <w:t>Tables 2 and S3</w:t>
      </w:r>
      <w:r w:rsidR="00C07BD9" w:rsidRPr="00F650D8">
        <w:rPr>
          <w:rFonts w:ascii="Times New Roman" w:hAnsi="Times New Roman" w:cs="Times New Roman"/>
        </w:rPr>
        <w:t>). R</w:t>
      </w:r>
      <w:r w:rsidR="005F5F5D" w:rsidRPr="00F650D8">
        <w:rPr>
          <w:rFonts w:ascii="Times New Roman" w:hAnsi="Times New Roman" w:cs="Times New Roman"/>
        </w:rPr>
        <w:t xml:space="preserve">esting </w:t>
      </w:r>
      <w:r w:rsidR="00F36FAB" w:rsidRPr="00F650D8">
        <w:rPr>
          <w:rFonts w:ascii="Times New Roman" w:hAnsi="Times New Roman" w:cs="Times New Roman"/>
        </w:rPr>
        <w:t>EE</w:t>
      </w:r>
      <w:r w:rsidR="00C07BD9" w:rsidRPr="00F650D8">
        <w:rPr>
          <w:rFonts w:ascii="Times New Roman" w:hAnsi="Times New Roman" w:cs="Times New Roman"/>
        </w:rPr>
        <w:t xml:space="preserve"> </w:t>
      </w:r>
      <w:r w:rsidR="00C8249B" w:rsidRPr="00F650D8">
        <w:rPr>
          <w:rFonts w:ascii="Times New Roman" w:hAnsi="Times New Roman" w:cs="Times New Roman"/>
        </w:rPr>
        <w:t xml:space="preserve">was lower </w:t>
      </w:r>
      <w:r w:rsidR="00C51E0C" w:rsidRPr="00F650D8">
        <w:rPr>
          <w:rFonts w:ascii="Times New Roman" w:hAnsi="Times New Roman" w:cs="Times New Roman"/>
        </w:rPr>
        <w:t xml:space="preserve">at 24 weeks </w:t>
      </w:r>
      <w:r w:rsidR="00C8249B" w:rsidRPr="00F650D8">
        <w:rPr>
          <w:rFonts w:ascii="Times New Roman" w:hAnsi="Times New Roman" w:cs="Times New Roman"/>
        </w:rPr>
        <w:t xml:space="preserve">in the empagliflozin-plus-diet group, compared to placebo-only </w:t>
      </w:r>
      <w:r w:rsidR="00315DF8" w:rsidRPr="00F650D8">
        <w:rPr>
          <w:rFonts w:ascii="Times New Roman" w:hAnsi="Times New Roman" w:cs="Times New Roman"/>
        </w:rPr>
        <w:t xml:space="preserve">(Figure </w:t>
      </w:r>
      <w:r w:rsidR="004872AA" w:rsidRPr="00F650D8">
        <w:rPr>
          <w:rFonts w:ascii="Times New Roman" w:hAnsi="Times New Roman" w:cs="Times New Roman"/>
        </w:rPr>
        <w:t>3</w:t>
      </w:r>
      <w:r w:rsidR="00FA3803" w:rsidRPr="00F650D8">
        <w:rPr>
          <w:rFonts w:ascii="Times New Roman" w:hAnsi="Times New Roman" w:cs="Times New Roman"/>
        </w:rPr>
        <w:t>B</w:t>
      </w:r>
      <w:r w:rsidR="00315DF8" w:rsidRPr="00F650D8">
        <w:rPr>
          <w:rFonts w:ascii="Times New Roman" w:hAnsi="Times New Roman" w:cs="Times New Roman"/>
        </w:rPr>
        <w:t xml:space="preserve">), </w:t>
      </w:r>
      <w:r w:rsidR="00C8249B" w:rsidRPr="00F650D8">
        <w:rPr>
          <w:rFonts w:ascii="Times New Roman" w:hAnsi="Times New Roman" w:cs="Times New Roman"/>
        </w:rPr>
        <w:t xml:space="preserve">but </w:t>
      </w:r>
      <w:r w:rsidR="00315DF8" w:rsidRPr="00F650D8">
        <w:rPr>
          <w:rFonts w:ascii="Times New Roman" w:hAnsi="Times New Roman" w:cs="Times New Roman"/>
        </w:rPr>
        <w:t xml:space="preserve">daily steps (Figure </w:t>
      </w:r>
      <w:r w:rsidR="004872AA" w:rsidRPr="00F650D8">
        <w:rPr>
          <w:rFonts w:ascii="Times New Roman" w:hAnsi="Times New Roman" w:cs="Times New Roman"/>
        </w:rPr>
        <w:t>3</w:t>
      </w:r>
      <w:r w:rsidR="00FA3803" w:rsidRPr="00F650D8">
        <w:rPr>
          <w:rFonts w:ascii="Times New Roman" w:hAnsi="Times New Roman" w:cs="Times New Roman"/>
        </w:rPr>
        <w:t>C</w:t>
      </w:r>
      <w:r w:rsidR="00315DF8" w:rsidRPr="00F650D8">
        <w:rPr>
          <w:rFonts w:ascii="Times New Roman" w:hAnsi="Times New Roman" w:cs="Times New Roman"/>
        </w:rPr>
        <w:t>), sedentary time, and light- and moderate-to-vigorous-intensity physical activity were</w:t>
      </w:r>
      <w:r w:rsidR="00C07BD9" w:rsidRPr="00F650D8">
        <w:rPr>
          <w:rFonts w:ascii="Times New Roman" w:hAnsi="Times New Roman" w:cs="Times New Roman"/>
        </w:rPr>
        <w:t xml:space="preserve"> similar in each experimental group versus placebo</w:t>
      </w:r>
      <w:r w:rsidR="00E93A41" w:rsidRPr="00F650D8">
        <w:rPr>
          <w:rFonts w:ascii="Times New Roman" w:hAnsi="Times New Roman" w:cs="Times New Roman"/>
        </w:rPr>
        <w:t>-only</w:t>
      </w:r>
      <w:r w:rsidR="00C07BD9" w:rsidRPr="00F650D8">
        <w:rPr>
          <w:rFonts w:ascii="Times New Roman" w:hAnsi="Times New Roman" w:cs="Times New Roman"/>
        </w:rPr>
        <w:t xml:space="preserve"> </w:t>
      </w:r>
      <w:r w:rsidR="002E1305" w:rsidRPr="00F650D8">
        <w:rPr>
          <w:rFonts w:ascii="Times New Roman" w:hAnsi="Times New Roman" w:cs="Times New Roman"/>
        </w:rPr>
        <w:t>in all analyses</w:t>
      </w:r>
      <w:r w:rsidR="00753D7F" w:rsidRPr="00F650D8">
        <w:rPr>
          <w:rFonts w:ascii="Times New Roman" w:hAnsi="Times New Roman" w:cs="Times New Roman"/>
        </w:rPr>
        <w:t xml:space="preserve"> </w:t>
      </w:r>
      <w:r w:rsidR="002B04B5" w:rsidRPr="00F650D8">
        <w:rPr>
          <w:rFonts w:ascii="Times New Roman" w:hAnsi="Times New Roman" w:cs="Times New Roman"/>
        </w:rPr>
        <w:t>(</w:t>
      </w:r>
      <w:r w:rsidR="003616A9" w:rsidRPr="00F650D8">
        <w:rPr>
          <w:rFonts w:ascii="Times New Roman" w:hAnsi="Times New Roman" w:cs="Times New Roman"/>
        </w:rPr>
        <w:t>Tables 2 and S3</w:t>
      </w:r>
      <w:r w:rsidR="002B04B5" w:rsidRPr="00F650D8">
        <w:rPr>
          <w:rFonts w:ascii="Times New Roman" w:hAnsi="Times New Roman" w:cs="Times New Roman"/>
        </w:rPr>
        <w:t>)</w:t>
      </w:r>
      <w:r w:rsidR="00097C28" w:rsidRPr="00F650D8">
        <w:rPr>
          <w:rFonts w:ascii="Times New Roman" w:hAnsi="Times New Roman" w:cs="Times New Roman"/>
        </w:rPr>
        <w:t xml:space="preserve">. </w:t>
      </w:r>
    </w:p>
    <w:p w14:paraId="0F6BD60E" w14:textId="77777777" w:rsidR="00DB012F" w:rsidRPr="00F650D8" w:rsidRDefault="00DB012F" w:rsidP="00013C9D">
      <w:pPr>
        <w:spacing w:line="480" w:lineRule="auto"/>
        <w:jc w:val="both"/>
        <w:rPr>
          <w:rFonts w:ascii="Times New Roman" w:hAnsi="Times New Roman" w:cs="Times New Roman"/>
        </w:rPr>
      </w:pPr>
    </w:p>
    <w:p w14:paraId="1A2583A4" w14:textId="1C796631" w:rsidR="00BA5D0F" w:rsidRPr="00F650D8" w:rsidRDefault="00BA5D0F" w:rsidP="00013C9D">
      <w:pPr>
        <w:spacing w:line="480" w:lineRule="auto"/>
        <w:jc w:val="both"/>
        <w:rPr>
          <w:rFonts w:ascii="Times New Roman" w:hAnsi="Times New Roman" w:cs="Times New Roman"/>
          <w:i/>
        </w:rPr>
      </w:pPr>
      <w:r w:rsidRPr="00F650D8">
        <w:rPr>
          <w:rFonts w:ascii="Times New Roman" w:hAnsi="Times New Roman" w:cs="Times New Roman"/>
          <w:i/>
          <w:highlight w:val="yellow"/>
        </w:rPr>
        <w:t>Glycaemic control</w:t>
      </w:r>
    </w:p>
    <w:p w14:paraId="056177D5" w14:textId="3B37515C" w:rsidR="006C6734" w:rsidRPr="00F650D8" w:rsidRDefault="0059750C" w:rsidP="00013C9D">
      <w:pPr>
        <w:spacing w:line="480" w:lineRule="auto"/>
        <w:jc w:val="both"/>
        <w:rPr>
          <w:rFonts w:ascii="Times New Roman" w:hAnsi="Times New Roman" w:cs="Times New Roman"/>
        </w:rPr>
      </w:pPr>
      <w:r w:rsidRPr="00F650D8">
        <w:rPr>
          <w:rFonts w:ascii="Times New Roman" w:hAnsi="Times New Roman" w:cs="Times New Roman"/>
          <w:highlight w:val="yellow"/>
        </w:rPr>
        <w:t xml:space="preserve">Compared to placebo-only, </w:t>
      </w:r>
      <w:r w:rsidR="004C601E" w:rsidRPr="00F650D8">
        <w:rPr>
          <w:rFonts w:ascii="Times New Roman" w:hAnsi="Times New Roman" w:cs="Times New Roman"/>
          <w:highlight w:val="yellow"/>
        </w:rPr>
        <w:t xml:space="preserve">HbA1c was lower </w:t>
      </w:r>
      <w:r w:rsidRPr="00F650D8">
        <w:rPr>
          <w:rFonts w:ascii="Times New Roman" w:hAnsi="Times New Roman" w:cs="Times New Roman"/>
          <w:highlight w:val="yellow"/>
        </w:rPr>
        <w:t xml:space="preserve">at 24 weeks in the empagliflozin-plus-diet group, and </w:t>
      </w:r>
      <w:r w:rsidR="00F74301" w:rsidRPr="00F650D8">
        <w:rPr>
          <w:rFonts w:ascii="Times New Roman" w:hAnsi="Times New Roman" w:cs="Times New Roman"/>
          <w:highlight w:val="yellow"/>
        </w:rPr>
        <w:t>lower in both empagliflozin-only and em</w:t>
      </w:r>
      <w:r w:rsidR="001E03F3">
        <w:rPr>
          <w:rFonts w:ascii="Times New Roman" w:hAnsi="Times New Roman" w:cs="Times New Roman"/>
          <w:highlight w:val="yellow"/>
        </w:rPr>
        <w:t>p</w:t>
      </w:r>
      <w:r w:rsidR="00F74301" w:rsidRPr="00F650D8">
        <w:rPr>
          <w:rFonts w:ascii="Times New Roman" w:hAnsi="Times New Roman" w:cs="Times New Roman"/>
          <w:highlight w:val="yellow"/>
        </w:rPr>
        <w:t xml:space="preserve">agliflozin-plus-diet groups at 6, 12 weeks and </w:t>
      </w:r>
      <w:r w:rsidR="004C601E" w:rsidRPr="00F650D8">
        <w:rPr>
          <w:rFonts w:ascii="Times New Roman" w:hAnsi="Times New Roman" w:cs="Times New Roman"/>
          <w:highlight w:val="yellow"/>
        </w:rPr>
        <w:t>across follow-up</w:t>
      </w:r>
      <w:r w:rsidR="00155060" w:rsidRPr="00F650D8">
        <w:rPr>
          <w:rFonts w:ascii="Times New Roman" w:hAnsi="Times New Roman" w:cs="Times New Roman"/>
          <w:highlight w:val="yellow"/>
        </w:rPr>
        <w:t xml:space="preserve"> collectively</w:t>
      </w:r>
      <w:r w:rsidR="004C601E" w:rsidRPr="00F650D8">
        <w:rPr>
          <w:rFonts w:ascii="Times New Roman" w:hAnsi="Times New Roman" w:cs="Times New Roman"/>
        </w:rPr>
        <w:t xml:space="preserve"> (</w:t>
      </w:r>
      <w:r w:rsidR="0016657B" w:rsidRPr="00F650D8">
        <w:rPr>
          <w:rFonts w:ascii="Times New Roman" w:hAnsi="Times New Roman" w:cs="Times New Roman"/>
        </w:rPr>
        <w:t xml:space="preserve">Figure </w:t>
      </w:r>
      <w:r w:rsidR="007B3FD2" w:rsidRPr="00F650D8">
        <w:rPr>
          <w:rFonts w:ascii="Times New Roman" w:hAnsi="Times New Roman" w:cs="Times New Roman"/>
        </w:rPr>
        <w:t>3</w:t>
      </w:r>
      <w:r w:rsidR="0016657B" w:rsidRPr="00F650D8">
        <w:rPr>
          <w:rFonts w:ascii="Times New Roman" w:hAnsi="Times New Roman" w:cs="Times New Roman"/>
        </w:rPr>
        <w:t xml:space="preserve">D, </w:t>
      </w:r>
      <w:r w:rsidR="003616A9" w:rsidRPr="00F650D8">
        <w:rPr>
          <w:rFonts w:ascii="Times New Roman" w:hAnsi="Times New Roman" w:cs="Times New Roman"/>
        </w:rPr>
        <w:t>Tables 2 and S4</w:t>
      </w:r>
      <w:r w:rsidR="0016657B" w:rsidRPr="00F650D8">
        <w:rPr>
          <w:rFonts w:ascii="Times New Roman" w:hAnsi="Times New Roman" w:cs="Times New Roman"/>
        </w:rPr>
        <w:t>)</w:t>
      </w:r>
      <w:r w:rsidR="00155060" w:rsidRPr="00F650D8">
        <w:rPr>
          <w:rFonts w:ascii="Times New Roman" w:hAnsi="Times New Roman" w:cs="Times New Roman"/>
        </w:rPr>
        <w:t>. It was lower</w:t>
      </w:r>
      <w:r w:rsidR="00315DF8" w:rsidRPr="00F650D8">
        <w:rPr>
          <w:rFonts w:ascii="Times New Roman" w:hAnsi="Times New Roman" w:cs="Times New Roman"/>
        </w:rPr>
        <w:t xml:space="preserve"> </w:t>
      </w:r>
      <w:r w:rsidR="00DB012F" w:rsidRPr="00F650D8">
        <w:rPr>
          <w:rFonts w:ascii="Times New Roman" w:hAnsi="Times New Roman" w:cs="Times New Roman"/>
        </w:rPr>
        <w:t>in the placebo-plus-diet group at 2 and 6 weeks only</w:t>
      </w:r>
      <w:r w:rsidR="00041C43" w:rsidRPr="00F650D8">
        <w:rPr>
          <w:rFonts w:ascii="Times New Roman" w:hAnsi="Times New Roman" w:cs="Times New Roman"/>
        </w:rPr>
        <w:t xml:space="preserve">. </w:t>
      </w:r>
      <w:r w:rsidR="00D9504A" w:rsidRPr="00F650D8">
        <w:rPr>
          <w:rFonts w:ascii="Times New Roman" w:hAnsi="Times New Roman" w:cs="Times New Roman"/>
          <w:highlight w:val="yellow"/>
        </w:rPr>
        <w:t xml:space="preserve">Fasted and post-prandial glucose concentrations were </w:t>
      </w:r>
      <w:r w:rsidR="00F74301" w:rsidRPr="00F650D8">
        <w:rPr>
          <w:rFonts w:ascii="Times New Roman" w:hAnsi="Times New Roman" w:cs="Times New Roman"/>
          <w:highlight w:val="yellow"/>
        </w:rPr>
        <w:t>lower</w:t>
      </w:r>
      <w:r w:rsidR="00D9504A" w:rsidRPr="00F650D8">
        <w:rPr>
          <w:rFonts w:ascii="Times New Roman" w:hAnsi="Times New Roman" w:cs="Times New Roman"/>
          <w:highlight w:val="yellow"/>
        </w:rPr>
        <w:t xml:space="preserve"> accordingly</w:t>
      </w:r>
      <w:r w:rsidR="006F7865" w:rsidRPr="00F650D8">
        <w:rPr>
          <w:rFonts w:ascii="Times New Roman" w:hAnsi="Times New Roman" w:cs="Times New Roman"/>
        </w:rPr>
        <w:t xml:space="preserve"> (</w:t>
      </w:r>
      <w:r w:rsidR="00D9504A" w:rsidRPr="00F650D8">
        <w:rPr>
          <w:rFonts w:ascii="Times New Roman" w:hAnsi="Times New Roman" w:cs="Times New Roman"/>
        </w:rPr>
        <w:t xml:space="preserve">see </w:t>
      </w:r>
      <w:r w:rsidR="003616A9" w:rsidRPr="00F650D8">
        <w:rPr>
          <w:rFonts w:ascii="Times New Roman" w:hAnsi="Times New Roman" w:cs="Times New Roman"/>
        </w:rPr>
        <w:t>Tables 2 and S4</w:t>
      </w:r>
      <w:r w:rsidR="00D9504A" w:rsidRPr="00F650D8">
        <w:rPr>
          <w:rFonts w:ascii="Times New Roman" w:hAnsi="Times New Roman" w:cs="Times New Roman"/>
        </w:rPr>
        <w:t xml:space="preserve"> for details</w:t>
      </w:r>
      <w:r w:rsidR="006F7865" w:rsidRPr="00F650D8">
        <w:rPr>
          <w:rFonts w:ascii="Times New Roman" w:hAnsi="Times New Roman" w:cs="Times New Roman"/>
        </w:rPr>
        <w:t>)</w:t>
      </w:r>
      <w:r w:rsidR="00603ED9" w:rsidRPr="00F650D8">
        <w:rPr>
          <w:rFonts w:ascii="Times New Roman" w:hAnsi="Times New Roman" w:cs="Times New Roman"/>
        </w:rPr>
        <w:t>.</w:t>
      </w:r>
      <w:r w:rsidR="004E472B" w:rsidRPr="00F650D8">
        <w:rPr>
          <w:rFonts w:ascii="Times New Roman" w:hAnsi="Times New Roman" w:cs="Times New Roman"/>
        </w:rPr>
        <w:t xml:space="preserve"> </w:t>
      </w:r>
      <w:r w:rsidR="001D34B1" w:rsidRPr="00F650D8">
        <w:rPr>
          <w:rFonts w:ascii="Times New Roman" w:hAnsi="Times New Roman" w:cs="Times New Roman"/>
        </w:rPr>
        <w:t>Fasting pla</w:t>
      </w:r>
      <w:r w:rsidR="00D1007B" w:rsidRPr="00F650D8">
        <w:rPr>
          <w:rFonts w:ascii="Times New Roman" w:hAnsi="Times New Roman" w:cs="Times New Roman"/>
        </w:rPr>
        <w:t>sma insulin</w:t>
      </w:r>
      <w:r w:rsidR="001D34B1" w:rsidRPr="00F650D8">
        <w:rPr>
          <w:rFonts w:ascii="Times New Roman" w:hAnsi="Times New Roman" w:cs="Times New Roman"/>
        </w:rPr>
        <w:t xml:space="preserve"> was </w:t>
      </w:r>
      <w:r w:rsidR="00E0714D" w:rsidRPr="00F650D8">
        <w:rPr>
          <w:rFonts w:ascii="Times New Roman" w:hAnsi="Times New Roman" w:cs="Times New Roman"/>
        </w:rPr>
        <w:t xml:space="preserve">similar </w:t>
      </w:r>
      <w:r w:rsidR="001D34B1" w:rsidRPr="00F650D8">
        <w:rPr>
          <w:rFonts w:ascii="Times New Roman" w:hAnsi="Times New Roman" w:cs="Times New Roman"/>
        </w:rPr>
        <w:t>b</w:t>
      </w:r>
      <w:r w:rsidR="00F308A1" w:rsidRPr="00F650D8">
        <w:rPr>
          <w:rFonts w:ascii="Times New Roman" w:hAnsi="Times New Roman" w:cs="Times New Roman"/>
        </w:rPr>
        <w:t xml:space="preserve">etween experimental groups and </w:t>
      </w:r>
      <w:r w:rsidR="001D34B1" w:rsidRPr="00F650D8">
        <w:rPr>
          <w:rFonts w:ascii="Times New Roman" w:hAnsi="Times New Roman" w:cs="Times New Roman"/>
        </w:rPr>
        <w:t>placebo</w:t>
      </w:r>
      <w:r w:rsidR="001369D1" w:rsidRPr="00F650D8">
        <w:rPr>
          <w:rFonts w:ascii="Times New Roman" w:hAnsi="Times New Roman" w:cs="Times New Roman"/>
        </w:rPr>
        <w:t>-only</w:t>
      </w:r>
      <w:r w:rsidR="001D34B1" w:rsidRPr="00F650D8">
        <w:rPr>
          <w:rFonts w:ascii="Times New Roman" w:hAnsi="Times New Roman" w:cs="Times New Roman"/>
        </w:rPr>
        <w:t xml:space="preserve"> </w:t>
      </w:r>
      <w:r w:rsidR="00E0714D" w:rsidRPr="00F650D8">
        <w:rPr>
          <w:rFonts w:ascii="Times New Roman" w:hAnsi="Times New Roman" w:cs="Times New Roman"/>
        </w:rPr>
        <w:t>in all analyses</w:t>
      </w:r>
      <w:r w:rsidR="001369D1" w:rsidRPr="00F650D8">
        <w:rPr>
          <w:rFonts w:ascii="Times New Roman" w:hAnsi="Times New Roman" w:cs="Times New Roman"/>
        </w:rPr>
        <w:t xml:space="preserve"> performed</w:t>
      </w:r>
      <w:r w:rsidR="001D34B1" w:rsidRPr="00F650D8">
        <w:rPr>
          <w:rFonts w:ascii="Times New Roman" w:hAnsi="Times New Roman" w:cs="Times New Roman"/>
        </w:rPr>
        <w:t>, but</w:t>
      </w:r>
      <w:r w:rsidR="0097565A" w:rsidRPr="00F650D8">
        <w:rPr>
          <w:rFonts w:ascii="Times New Roman" w:hAnsi="Times New Roman" w:cs="Times New Roman"/>
        </w:rPr>
        <w:t xml:space="preserve"> postprandial</w:t>
      </w:r>
      <w:r w:rsidR="001D34B1" w:rsidRPr="00F650D8">
        <w:rPr>
          <w:rFonts w:ascii="Times New Roman" w:hAnsi="Times New Roman" w:cs="Times New Roman"/>
        </w:rPr>
        <w:t xml:space="preserve"> insulin</w:t>
      </w:r>
      <w:r w:rsidR="0097565A" w:rsidRPr="00F650D8">
        <w:rPr>
          <w:rFonts w:ascii="Times New Roman" w:hAnsi="Times New Roman" w:cs="Times New Roman"/>
        </w:rPr>
        <w:t xml:space="preserve"> responses </w:t>
      </w:r>
      <w:r w:rsidR="00736E5D" w:rsidRPr="00F650D8">
        <w:rPr>
          <w:rFonts w:ascii="Times New Roman" w:hAnsi="Times New Roman" w:cs="Times New Roman"/>
        </w:rPr>
        <w:t>were</w:t>
      </w:r>
      <w:r w:rsidR="001D34B1" w:rsidRPr="00F650D8">
        <w:rPr>
          <w:rFonts w:ascii="Times New Roman" w:hAnsi="Times New Roman" w:cs="Times New Roman"/>
        </w:rPr>
        <w:t xml:space="preserve"> lower at 24 weeks in all three </w:t>
      </w:r>
      <w:r w:rsidR="001369D1" w:rsidRPr="00F650D8">
        <w:rPr>
          <w:rFonts w:ascii="Times New Roman" w:hAnsi="Times New Roman" w:cs="Times New Roman"/>
        </w:rPr>
        <w:t xml:space="preserve">experimental </w:t>
      </w:r>
      <w:r w:rsidR="001D34B1" w:rsidRPr="00F650D8">
        <w:rPr>
          <w:rFonts w:ascii="Times New Roman" w:hAnsi="Times New Roman" w:cs="Times New Roman"/>
        </w:rPr>
        <w:t>groups</w:t>
      </w:r>
      <w:r w:rsidR="00967019" w:rsidRPr="00F650D8">
        <w:rPr>
          <w:rFonts w:ascii="Times New Roman" w:hAnsi="Times New Roman" w:cs="Times New Roman"/>
        </w:rPr>
        <w:t>,</w:t>
      </w:r>
      <w:r w:rsidR="001D34B1" w:rsidRPr="00F650D8">
        <w:rPr>
          <w:rFonts w:ascii="Times New Roman" w:hAnsi="Times New Roman" w:cs="Times New Roman"/>
        </w:rPr>
        <w:t xml:space="preserve"> </w:t>
      </w:r>
      <w:r w:rsidR="00212317" w:rsidRPr="00F650D8">
        <w:rPr>
          <w:rFonts w:ascii="Times New Roman" w:hAnsi="Times New Roman" w:cs="Times New Roman"/>
        </w:rPr>
        <w:t>as well as</w:t>
      </w:r>
      <w:r w:rsidR="001D34B1" w:rsidRPr="00F650D8">
        <w:rPr>
          <w:rFonts w:ascii="Times New Roman" w:hAnsi="Times New Roman" w:cs="Times New Roman"/>
        </w:rPr>
        <w:t xml:space="preserve"> across follow-up collectively in the empagliflozin</w:t>
      </w:r>
      <w:r w:rsidR="001369D1" w:rsidRPr="00F650D8">
        <w:rPr>
          <w:rFonts w:ascii="Times New Roman" w:hAnsi="Times New Roman" w:cs="Times New Roman"/>
        </w:rPr>
        <w:t>-</w:t>
      </w:r>
      <w:r w:rsidR="001D34B1" w:rsidRPr="00F650D8">
        <w:rPr>
          <w:rFonts w:ascii="Times New Roman" w:hAnsi="Times New Roman" w:cs="Times New Roman"/>
        </w:rPr>
        <w:t>only group</w:t>
      </w:r>
      <w:r w:rsidR="006F7865" w:rsidRPr="00F650D8">
        <w:rPr>
          <w:rFonts w:ascii="Times New Roman" w:hAnsi="Times New Roman" w:cs="Times New Roman"/>
        </w:rPr>
        <w:t xml:space="preserve"> </w:t>
      </w:r>
      <w:r w:rsidR="00F308A1" w:rsidRPr="00F650D8">
        <w:rPr>
          <w:rFonts w:ascii="Times New Roman" w:hAnsi="Times New Roman" w:cs="Times New Roman"/>
        </w:rPr>
        <w:t>(</w:t>
      </w:r>
      <w:r w:rsidR="003616A9" w:rsidRPr="00F650D8">
        <w:rPr>
          <w:rFonts w:ascii="Times New Roman" w:hAnsi="Times New Roman" w:cs="Times New Roman"/>
        </w:rPr>
        <w:t>Tables 2 and S4</w:t>
      </w:r>
      <w:r w:rsidR="00F308A1" w:rsidRPr="00F650D8">
        <w:rPr>
          <w:rFonts w:ascii="Times New Roman" w:hAnsi="Times New Roman" w:cs="Times New Roman"/>
        </w:rPr>
        <w:t>)</w:t>
      </w:r>
      <w:r w:rsidR="001D34B1" w:rsidRPr="00F650D8">
        <w:rPr>
          <w:rFonts w:ascii="Times New Roman" w:hAnsi="Times New Roman" w:cs="Times New Roman"/>
        </w:rPr>
        <w:t xml:space="preserve">. </w:t>
      </w:r>
      <w:r w:rsidR="008020BB" w:rsidRPr="00F650D8">
        <w:rPr>
          <w:rFonts w:ascii="Times New Roman" w:hAnsi="Times New Roman" w:cs="Times New Roman"/>
        </w:rPr>
        <w:t xml:space="preserve">Postprandial glucagon </w:t>
      </w:r>
      <w:r w:rsidR="00A87DB4" w:rsidRPr="00F650D8">
        <w:rPr>
          <w:rFonts w:ascii="Times New Roman" w:hAnsi="Times New Roman" w:cs="Times New Roman"/>
        </w:rPr>
        <w:t xml:space="preserve">responses </w:t>
      </w:r>
      <w:r w:rsidR="00164566" w:rsidRPr="00F650D8">
        <w:rPr>
          <w:rFonts w:ascii="Times New Roman" w:hAnsi="Times New Roman" w:cs="Times New Roman"/>
        </w:rPr>
        <w:t>were similar between experimental groups in all analyses</w:t>
      </w:r>
      <w:r w:rsidR="00EE60DC" w:rsidRPr="00F650D8">
        <w:rPr>
          <w:rFonts w:ascii="Times New Roman" w:hAnsi="Times New Roman" w:cs="Times New Roman"/>
        </w:rPr>
        <w:t>.</w:t>
      </w:r>
    </w:p>
    <w:p w14:paraId="2F9713CA" w14:textId="77777777" w:rsidR="00212317" w:rsidRPr="00F650D8" w:rsidRDefault="00212317" w:rsidP="00013C9D">
      <w:pPr>
        <w:spacing w:line="480" w:lineRule="auto"/>
        <w:jc w:val="both"/>
        <w:rPr>
          <w:rFonts w:ascii="Times New Roman" w:hAnsi="Times New Roman" w:cs="Times New Roman"/>
        </w:rPr>
      </w:pPr>
    </w:p>
    <w:p w14:paraId="6A0D2140" w14:textId="2AE32C13" w:rsidR="00697FF3" w:rsidRPr="00F650D8" w:rsidRDefault="00697FF3" w:rsidP="00013C9D">
      <w:pPr>
        <w:spacing w:line="480" w:lineRule="auto"/>
        <w:jc w:val="both"/>
        <w:rPr>
          <w:rFonts w:ascii="Times New Roman" w:hAnsi="Times New Roman" w:cs="Times New Roman"/>
          <w:i/>
        </w:rPr>
      </w:pPr>
      <w:r w:rsidRPr="00F650D8">
        <w:rPr>
          <w:rFonts w:ascii="Times New Roman" w:hAnsi="Times New Roman" w:cs="Times New Roman"/>
          <w:i/>
          <w:highlight w:val="yellow"/>
        </w:rPr>
        <w:t>Adverse events</w:t>
      </w:r>
    </w:p>
    <w:p w14:paraId="4EF2BF24" w14:textId="5728A974" w:rsidR="002154E8" w:rsidRPr="00F650D8" w:rsidRDefault="0035163E" w:rsidP="00013C9D">
      <w:pPr>
        <w:spacing w:line="480" w:lineRule="auto"/>
        <w:jc w:val="both"/>
        <w:rPr>
          <w:rFonts w:ascii="Times New Roman" w:hAnsi="Times New Roman" w:cs="Times New Roman"/>
        </w:rPr>
      </w:pPr>
      <w:r w:rsidRPr="00F650D8">
        <w:rPr>
          <w:rFonts w:ascii="Times New Roman" w:hAnsi="Times New Roman" w:cs="Times New Roman"/>
        </w:rPr>
        <w:t xml:space="preserve">Adverse event data are provided in </w:t>
      </w:r>
      <w:r w:rsidR="00DB4D98" w:rsidRPr="00F650D8">
        <w:rPr>
          <w:rFonts w:ascii="Times New Roman" w:hAnsi="Times New Roman" w:cs="Times New Roman"/>
        </w:rPr>
        <w:t xml:space="preserve">Table </w:t>
      </w:r>
      <w:r w:rsidR="003616A9" w:rsidRPr="00F650D8">
        <w:rPr>
          <w:rFonts w:ascii="Times New Roman" w:hAnsi="Times New Roman" w:cs="Times New Roman"/>
        </w:rPr>
        <w:t>S</w:t>
      </w:r>
      <w:r w:rsidR="004A66A9" w:rsidRPr="00F650D8">
        <w:rPr>
          <w:rFonts w:ascii="Times New Roman" w:hAnsi="Times New Roman" w:cs="Times New Roman"/>
        </w:rPr>
        <w:t>5</w:t>
      </w:r>
      <w:r w:rsidR="00DB4D98" w:rsidRPr="00F650D8">
        <w:rPr>
          <w:rFonts w:ascii="Times New Roman" w:hAnsi="Times New Roman" w:cs="Times New Roman"/>
        </w:rPr>
        <w:t xml:space="preserve">. </w:t>
      </w:r>
      <w:r w:rsidR="001B7777" w:rsidRPr="00F650D8">
        <w:rPr>
          <w:rFonts w:ascii="Times New Roman" w:hAnsi="Times New Roman" w:cs="Times New Roman"/>
        </w:rPr>
        <w:t xml:space="preserve">The total number of adverse events and the number of participants with </w:t>
      </w:r>
      <w:r w:rsidR="00537306" w:rsidRPr="00F650D8">
        <w:rPr>
          <w:rFonts w:ascii="Times New Roman" w:hAnsi="Times New Roman" w:cs="Times New Roman"/>
        </w:rPr>
        <w:t>at least one adverse event</w:t>
      </w:r>
      <w:r w:rsidR="001B7777" w:rsidRPr="00F650D8">
        <w:rPr>
          <w:rFonts w:ascii="Times New Roman" w:hAnsi="Times New Roman" w:cs="Times New Roman"/>
        </w:rPr>
        <w:t xml:space="preserve"> were similar between groups. Two serious adverse ev</w:t>
      </w:r>
      <w:r w:rsidR="00537306" w:rsidRPr="00F650D8">
        <w:rPr>
          <w:rFonts w:ascii="Times New Roman" w:hAnsi="Times New Roman" w:cs="Times New Roman"/>
        </w:rPr>
        <w:t>ents occurred during the tr</w:t>
      </w:r>
      <w:r w:rsidR="00EE3530" w:rsidRPr="00F650D8">
        <w:rPr>
          <w:rFonts w:ascii="Times New Roman" w:hAnsi="Times New Roman" w:cs="Times New Roman"/>
        </w:rPr>
        <w:t>ial (one in each of the placebo-</w:t>
      </w:r>
      <w:r w:rsidR="00537306" w:rsidRPr="00F650D8">
        <w:rPr>
          <w:rFonts w:ascii="Times New Roman" w:hAnsi="Times New Roman" w:cs="Times New Roman"/>
        </w:rPr>
        <w:t xml:space="preserve">only and placebo-plus-diet groups), but </w:t>
      </w:r>
      <w:r w:rsidR="001B7777" w:rsidRPr="00F650D8">
        <w:rPr>
          <w:rFonts w:ascii="Times New Roman" w:hAnsi="Times New Roman" w:cs="Times New Roman"/>
        </w:rPr>
        <w:t>neither were considered related to trial</w:t>
      </w:r>
      <w:r w:rsidR="00DD2E0E" w:rsidRPr="00F650D8">
        <w:rPr>
          <w:rFonts w:ascii="Times New Roman" w:hAnsi="Times New Roman" w:cs="Times New Roman"/>
        </w:rPr>
        <w:t>/</w:t>
      </w:r>
      <w:r w:rsidR="001B7777" w:rsidRPr="00F650D8">
        <w:rPr>
          <w:rFonts w:ascii="Times New Roman" w:hAnsi="Times New Roman" w:cs="Times New Roman"/>
        </w:rPr>
        <w:t>intervention procedures and neither were fatal</w:t>
      </w:r>
      <w:r w:rsidR="002154E8" w:rsidRPr="00F650D8">
        <w:rPr>
          <w:rFonts w:ascii="Times New Roman" w:hAnsi="Times New Roman" w:cs="Times New Roman"/>
        </w:rPr>
        <w:t>.</w:t>
      </w:r>
    </w:p>
    <w:p w14:paraId="72048DBC" w14:textId="272906F0" w:rsidR="003E210D" w:rsidRPr="00F650D8" w:rsidRDefault="003E210D" w:rsidP="00013C9D">
      <w:pPr>
        <w:spacing w:line="480" w:lineRule="auto"/>
        <w:jc w:val="both"/>
        <w:rPr>
          <w:rFonts w:ascii="Times New Roman" w:hAnsi="Times New Roman" w:cs="Times New Roman"/>
        </w:rPr>
        <w:sectPr w:rsidR="003E210D" w:rsidRPr="00F650D8" w:rsidSect="00FD3C30">
          <w:pgSz w:w="11900" w:h="16840"/>
          <w:pgMar w:top="1440" w:right="1440" w:bottom="1440" w:left="1440" w:header="708" w:footer="708" w:gutter="0"/>
          <w:lnNumType w:countBy="1" w:restart="continuous"/>
          <w:cols w:space="708"/>
          <w:docGrid w:linePitch="360"/>
        </w:sectPr>
      </w:pPr>
    </w:p>
    <w:p w14:paraId="40F40A3D" w14:textId="33513102" w:rsidR="00BC4D8F" w:rsidRPr="00F650D8" w:rsidRDefault="00C524DA" w:rsidP="00013C9D">
      <w:pPr>
        <w:spacing w:line="480" w:lineRule="auto"/>
        <w:jc w:val="both"/>
        <w:rPr>
          <w:rFonts w:ascii="Times New Roman" w:hAnsi="Times New Roman" w:cs="Times New Roman"/>
          <w:b/>
          <w:bCs/>
        </w:rPr>
      </w:pPr>
      <w:r w:rsidRPr="00F650D8">
        <w:rPr>
          <w:rFonts w:ascii="Times New Roman" w:hAnsi="Times New Roman" w:cs="Times New Roman"/>
          <w:b/>
          <w:bCs/>
        </w:rPr>
        <w:t>Discussion</w:t>
      </w:r>
    </w:p>
    <w:p w14:paraId="2734377D" w14:textId="7F16996C" w:rsidR="00991FA4" w:rsidRPr="00F650D8" w:rsidRDefault="00991FA4" w:rsidP="00991FA4">
      <w:pPr>
        <w:spacing w:line="480" w:lineRule="auto"/>
        <w:jc w:val="both"/>
        <w:rPr>
          <w:rFonts w:ascii="Times New Roman" w:hAnsi="Times New Roman" w:cs="Times New Roman"/>
        </w:rPr>
      </w:pPr>
      <w:r w:rsidRPr="00F650D8">
        <w:rPr>
          <w:rFonts w:ascii="Times New Roman" w:hAnsi="Times New Roman" w:cs="Times New Roman"/>
        </w:rPr>
        <w:t xml:space="preserve">The </w:t>
      </w:r>
      <w:r w:rsidR="00F84328" w:rsidRPr="00F650D8">
        <w:rPr>
          <w:rFonts w:ascii="Times New Roman" w:hAnsi="Times New Roman" w:cs="Times New Roman"/>
        </w:rPr>
        <w:t xml:space="preserve">SEESAW </w:t>
      </w:r>
      <w:r w:rsidR="00EC3B81" w:rsidRPr="00F650D8">
        <w:rPr>
          <w:rFonts w:ascii="Times New Roman" w:hAnsi="Times New Roman" w:cs="Times New Roman"/>
        </w:rPr>
        <w:t>trial</w:t>
      </w:r>
      <w:r w:rsidRPr="00F650D8">
        <w:rPr>
          <w:rFonts w:ascii="Times New Roman" w:hAnsi="Times New Roman" w:cs="Times New Roman"/>
        </w:rPr>
        <w:t xml:space="preserve"> investigated the effects of empagliflozin therapy, an energy</w:t>
      </w:r>
      <w:r w:rsidR="00A92F69" w:rsidRPr="00F650D8">
        <w:rPr>
          <w:rFonts w:ascii="Times New Roman" w:hAnsi="Times New Roman" w:cs="Times New Roman"/>
        </w:rPr>
        <w:t>-</w:t>
      </w:r>
      <w:r w:rsidRPr="00F650D8">
        <w:rPr>
          <w:rFonts w:ascii="Times New Roman" w:hAnsi="Times New Roman" w:cs="Times New Roman"/>
        </w:rPr>
        <w:t xml:space="preserve">restricted diet, and their combination, on appetite regulation and </w:t>
      </w:r>
      <w:r w:rsidR="00EC3B81" w:rsidRPr="00F650D8">
        <w:rPr>
          <w:rFonts w:ascii="Times New Roman" w:hAnsi="Times New Roman" w:cs="Times New Roman"/>
        </w:rPr>
        <w:t>key components</w:t>
      </w:r>
      <w:r w:rsidRPr="00F650D8">
        <w:rPr>
          <w:rFonts w:ascii="Times New Roman" w:hAnsi="Times New Roman" w:cs="Times New Roman"/>
        </w:rPr>
        <w:t xml:space="preserve"> of energy balance in </w:t>
      </w:r>
      <w:r w:rsidR="00E83904" w:rsidRPr="00F650D8">
        <w:rPr>
          <w:rFonts w:ascii="Times New Roman" w:hAnsi="Times New Roman" w:cs="Times New Roman"/>
        </w:rPr>
        <w:t>people</w:t>
      </w:r>
      <w:r w:rsidRPr="00F650D8">
        <w:rPr>
          <w:rFonts w:ascii="Times New Roman" w:hAnsi="Times New Roman" w:cs="Times New Roman"/>
        </w:rPr>
        <w:t xml:space="preserve"> with </w:t>
      </w:r>
      <w:r w:rsidR="007D6367" w:rsidRPr="00F650D8">
        <w:rPr>
          <w:rFonts w:ascii="Times New Roman" w:hAnsi="Times New Roman" w:cs="Times New Roman"/>
        </w:rPr>
        <w:t>T2D</w:t>
      </w:r>
      <w:r w:rsidR="00E83904" w:rsidRPr="00F650D8">
        <w:rPr>
          <w:rFonts w:ascii="Times New Roman" w:hAnsi="Times New Roman" w:cs="Times New Roman"/>
        </w:rPr>
        <w:t xml:space="preserve"> and overweight or obesity</w:t>
      </w:r>
      <w:r w:rsidRPr="00F650D8">
        <w:rPr>
          <w:rFonts w:ascii="Times New Roman" w:hAnsi="Times New Roman" w:cs="Times New Roman"/>
        </w:rPr>
        <w:t xml:space="preserve">. </w:t>
      </w:r>
      <w:r w:rsidR="00C90C2F" w:rsidRPr="00F650D8">
        <w:rPr>
          <w:rFonts w:ascii="Times New Roman" w:hAnsi="Times New Roman" w:cs="Times New Roman"/>
        </w:rPr>
        <w:t xml:space="preserve">Empagliflozin </w:t>
      </w:r>
      <w:r w:rsidR="00A56335" w:rsidRPr="00F650D8">
        <w:rPr>
          <w:rFonts w:ascii="Times New Roman" w:hAnsi="Times New Roman" w:cs="Times New Roman"/>
        </w:rPr>
        <w:t xml:space="preserve">therapy </w:t>
      </w:r>
      <w:r w:rsidRPr="00F650D8">
        <w:rPr>
          <w:rFonts w:ascii="Times New Roman" w:hAnsi="Times New Roman" w:cs="Times New Roman"/>
        </w:rPr>
        <w:t xml:space="preserve">and </w:t>
      </w:r>
      <w:r w:rsidR="00387BE4" w:rsidRPr="00F650D8">
        <w:rPr>
          <w:rFonts w:ascii="Times New Roman" w:hAnsi="Times New Roman" w:cs="Times New Roman"/>
        </w:rPr>
        <w:t xml:space="preserve">matched </w:t>
      </w:r>
      <w:r w:rsidRPr="00F650D8">
        <w:rPr>
          <w:rFonts w:ascii="Times New Roman" w:hAnsi="Times New Roman" w:cs="Times New Roman"/>
        </w:rPr>
        <w:t xml:space="preserve">dietary energy restriction </w:t>
      </w:r>
      <w:r w:rsidR="00F64216" w:rsidRPr="00F650D8">
        <w:rPr>
          <w:rFonts w:ascii="Times New Roman" w:hAnsi="Times New Roman" w:cs="Times New Roman"/>
        </w:rPr>
        <w:t xml:space="preserve">both </w:t>
      </w:r>
      <w:r w:rsidRPr="00F650D8">
        <w:rPr>
          <w:rFonts w:ascii="Times New Roman" w:hAnsi="Times New Roman" w:cs="Times New Roman"/>
        </w:rPr>
        <w:t xml:space="preserve">induced weight loss </w:t>
      </w:r>
      <w:r w:rsidR="00D51DB0">
        <w:rPr>
          <w:rFonts w:ascii="Times New Roman" w:hAnsi="Times New Roman" w:cs="Times New Roman"/>
          <w:highlight w:val="yellow"/>
        </w:rPr>
        <w:t xml:space="preserve">but did not affect </w:t>
      </w:r>
      <w:r w:rsidR="00F34F9E">
        <w:rPr>
          <w:rFonts w:ascii="Times New Roman" w:hAnsi="Times New Roman" w:cs="Times New Roman"/>
          <w:highlight w:val="yellow"/>
        </w:rPr>
        <w:t xml:space="preserve">appetite regulatory hormones, </w:t>
      </w:r>
      <w:r w:rsidR="00D51DB0">
        <w:rPr>
          <w:rFonts w:ascii="Times New Roman" w:hAnsi="Times New Roman" w:cs="Times New Roman"/>
          <w:highlight w:val="yellow"/>
        </w:rPr>
        <w:t>appetite perceptions, habitual EI or EE</w:t>
      </w:r>
      <w:r w:rsidRPr="00F650D8">
        <w:rPr>
          <w:rFonts w:ascii="Times New Roman" w:hAnsi="Times New Roman" w:cs="Times New Roman"/>
          <w:highlight w:val="yellow"/>
        </w:rPr>
        <w:t>.</w:t>
      </w:r>
      <w:r w:rsidRPr="00F650D8">
        <w:rPr>
          <w:rFonts w:ascii="Times New Roman" w:hAnsi="Times New Roman" w:cs="Times New Roman"/>
        </w:rPr>
        <w:t xml:space="preserve"> </w:t>
      </w:r>
      <w:r w:rsidR="00EC3B81" w:rsidRPr="00F650D8">
        <w:rPr>
          <w:rFonts w:ascii="Times New Roman" w:hAnsi="Times New Roman" w:cs="Times New Roman"/>
        </w:rPr>
        <w:t>T</w:t>
      </w:r>
      <w:r w:rsidRPr="00F650D8">
        <w:rPr>
          <w:rFonts w:ascii="Times New Roman" w:hAnsi="Times New Roman" w:cs="Times New Roman"/>
        </w:rPr>
        <w:t xml:space="preserve">he combination of </w:t>
      </w:r>
      <w:r w:rsidR="007D39E6" w:rsidRPr="00F650D8">
        <w:rPr>
          <w:rFonts w:ascii="Times New Roman" w:hAnsi="Times New Roman" w:cs="Times New Roman"/>
        </w:rPr>
        <w:t>interventions</w:t>
      </w:r>
      <w:r w:rsidRPr="00F650D8">
        <w:rPr>
          <w:rFonts w:ascii="Times New Roman" w:hAnsi="Times New Roman" w:cs="Times New Roman"/>
        </w:rPr>
        <w:t xml:space="preserve"> potentiated weight loss</w:t>
      </w:r>
      <w:r w:rsidR="00B04D51" w:rsidRPr="00F650D8">
        <w:rPr>
          <w:rFonts w:ascii="Times New Roman" w:hAnsi="Times New Roman" w:cs="Times New Roman"/>
        </w:rPr>
        <w:t xml:space="preserve">, alongside reduced </w:t>
      </w:r>
      <w:r w:rsidRPr="00F650D8">
        <w:rPr>
          <w:rFonts w:ascii="Times New Roman" w:hAnsi="Times New Roman" w:cs="Times New Roman"/>
        </w:rPr>
        <w:t xml:space="preserve">circulating leptin concentrations and resting </w:t>
      </w:r>
      <w:r w:rsidR="00F36FAB" w:rsidRPr="00F650D8">
        <w:rPr>
          <w:rFonts w:ascii="Times New Roman" w:hAnsi="Times New Roman" w:cs="Times New Roman"/>
        </w:rPr>
        <w:t>EE</w:t>
      </w:r>
      <w:r w:rsidRPr="00F650D8">
        <w:rPr>
          <w:rFonts w:ascii="Times New Roman" w:hAnsi="Times New Roman" w:cs="Times New Roman"/>
        </w:rPr>
        <w:t>, but appetit</w:t>
      </w:r>
      <w:r w:rsidR="00F15DB2" w:rsidRPr="00F650D8">
        <w:rPr>
          <w:rFonts w:ascii="Times New Roman" w:hAnsi="Times New Roman" w:cs="Times New Roman"/>
        </w:rPr>
        <w:t xml:space="preserve">e-regulatory </w:t>
      </w:r>
      <w:r w:rsidR="00EC3B81" w:rsidRPr="00F650D8">
        <w:rPr>
          <w:rFonts w:ascii="Times New Roman" w:hAnsi="Times New Roman" w:cs="Times New Roman"/>
        </w:rPr>
        <w:t xml:space="preserve">gut </w:t>
      </w:r>
      <w:r w:rsidR="00A14161" w:rsidRPr="00F650D8">
        <w:rPr>
          <w:rFonts w:ascii="Times New Roman" w:hAnsi="Times New Roman" w:cs="Times New Roman"/>
        </w:rPr>
        <w:t>peptides</w:t>
      </w:r>
      <w:r w:rsidR="00325367" w:rsidRPr="00F650D8">
        <w:rPr>
          <w:rFonts w:ascii="Times New Roman" w:hAnsi="Times New Roman" w:cs="Times New Roman"/>
        </w:rPr>
        <w:t xml:space="preserve">, </w:t>
      </w:r>
      <w:r w:rsidR="00EA3B7F" w:rsidRPr="00F650D8">
        <w:rPr>
          <w:rFonts w:ascii="Times New Roman" w:hAnsi="Times New Roman" w:cs="Times New Roman"/>
        </w:rPr>
        <w:t>appetite perceptions</w:t>
      </w:r>
      <w:r w:rsidR="00325367" w:rsidRPr="00F650D8">
        <w:rPr>
          <w:rFonts w:ascii="Times New Roman" w:hAnsi="Times New Roman" w:cs="Times New Roman"/>
        </w:rPr>
        <w:t xml:space="preserve"> and </w:t>
      </w:r>
      <w:r w:rsidR="00F36FAB" w:rsidRPr="00F650D8">
        <w:rPr>
          <w:rFonts w:ascii="Times New Roman" w:hAnsi="Times New Roman" w:cs="Times New Roman"/>
        </w:rPr>
        <w:t>EI</w:t>
      </w:r>
      <w:r w:rsidR="00EA3B7F" w:rsidRPr="00F650D8">
        <w:rPr>
          <w:rFonts w:ascii="Times New Roman" w:hAnsi="Times New Roman" w:cs="Times New Roman"/>
        </w:rPr>
        <w:t xml:space="preserve"> </w:t>
      </w:r>
      <w:r w:rsidR="00F15DB2" w:rsidRPr="00F650D8">
        <w:rPr>
          <w:rFonts w:ascii="Times New Roman" w:hAnsi="Times New Roman" w:cs="Times New Roman"/>
        </w:rPr>
        <w:t>remained unaffected</w:t>
      </w:r>
      <w:r w:rsidRPr="00F650D8">
        <w:rPr>
          <w:rFonts w:ascii="Times New Roman" w:hAnsi="Times New Roman" w:cs="Times New Roman"/>
        </w:rPr>
        <w:t xml:space="preserve">. </w:t>
      </w:r>
      <w:r w:rsidR="0064595F" w:rsidRPr="00F650D8">
        <w:rPr>
          <w:rFonts w:ascii="Times New Roman" w:hAnsi="Times New Roman" w:cs="Times New Roman"/>
        </w:rPr>
        <w:t>Glyc</w:t>
      </w:r>
      <w:r w:rsidR="002B7883" w:rsidRPr="00F650D8">
        <w:rPr>
          <w:rFonts w:ascii="Times New Roman" w:hAnsi="Times New Roman" w:cs="Times New Roman"/>
        </w:rPr>
        <w:t>a</w:t>
      </w:r>
      <w:r w:rsidR="0064595F" w:rsidRPr="00F650D8">
        <w:rPr>
          <w:rFonts w:ascii="Times New Roman" w:hAnsi="Times New Roman" w:cs="Times New Roman"/>
        </w:rPr>
        <w:t>emic control was improved in both groups receiving empagliflozin therapy.</w:t>
      </w:r>
    </w:p>
    <w:p w14:paraId="104DBFF4" w14:textId="77777777" w:rsidR="00A64327" w:rsidRPr="00F650D8" w:rsidRDefault="00A64327" w:rsidP="00991FA4">
      <w:pPr>
        <w:spacing w:line="480" w:lineRule="auto"/>
        <w:jc w:val="both"/>
        <w:rPr>
          <w:rFonts w:ascii="Times New Roman" w:hAnsi="Times New Roman" w:cs="Times New Roman"/>
        </w:rPr>
      </w:pPr>
    </w:p>
    <w:p w14:paraId="22B3CE43" w14:textId="30CDDCED" w:rsidR="00261886" w:rsidRPr="00F650D8" w:rsidRDefault="00991FA4" w:rsidP="00991FA4">
      <w:pPr>
        <w:spacing w:line="480" w:lineRule="auto"/>
        <w:jc w:val="both"/>
        <w:rPr>
          <w:rFonts w:ascii="Times New Roman" w:hAnsi="Times New Roman" w:cs="Times New Roman"/>
        </w:rPr>
      </w:pPr>
      <w:r w:rsidRPr="00F650D8">
        <w:rPr>
          <w:rFonts w:ascii="Times New Roman" w:hAnsi="Times New Roman" w:cs="Times New Roman"/>
        </w:rPr>
        <w:t xml:space="preserve">Evidence from murine experiments and human clinical trials </w:t>
      </w:r>
      <w:r w:rsidR="007E6CA1" w:rsidRPr="00F650D8">
        <w:rPr>
          <w:rFonts w:ascii="Times New Roman" w:hAnsi="Times New Roman" w:cs="Times New Roman"/>
        </w:rPr>
        <w:t>indicates</w:t>
      </w:r>
      <w:r w:rsidRPr="00F650D8">
        <w:rPr>
          <w:rFonts w:ascii="Times New Roman" w:hAnsi="Times New Roman" w:cs="Times New Roman"/>
        </w:rPr>
        <w:t xml:space="preserve"> that the weight loss elicited by SGLT2</w:t>
      </w:r>
      <w:r w:rsidR="00A92F69" w:rsidRPr="00F650D8">
        <w:rPr>
          <w:rFonts w:ascii="Times New Roman" w:hAnsi="Times New Roman" w:cs="Times New Roman"/>
        </w:rPr>
        <w:t>i</w:t>
      </w:r>
      <w:r w:rsidRPr="00F650D8">
        <w:rPr>
          <w:rFonts w:ascii="Times New Roman" w:hAnsi="Times New Roman" w:cs="Times New Roman"/>
        </w:rPr>
        <w:t xml:space="preserve"> therapies is less than </w:t>
      </w:r>
      <w:r w:rsidR="00F15DB2" w:rsidRPr="00F650D8">
        <w:rPr>
          <w:rFonts w:ascii="Times New Roman" w:hAnsi="Times New Roman" w:cs="Times New Roman"/>
        </w:rPr>
        <w:t>that predicted</w:t>
      </w:r>
      <w:r w:rsidRPr="00F650D8">
        <w:rPr>
          <w:rFonts w:ascii="Times New Roman" w:hAnsi="Times New Roman" w:cs="Times New Roman"/>
        </w:rPr>
        <w:t xml:space="preserve"> based on </w:t>
      </w:r>
      <w:r w:rsidR="00B96799" w:rsidRPr="00F650D8">
        <w:rPr>
          <w:rFonts w:ascii="Times New Roman" w:hAnsi="Times New Roman" w:cs="Times New Roman"/>
        </w:rPr>
        <w:t>urinary glucose excretion</w:t>
      </w:r>
      <w:r w:rsidR="005F111E" w:rsidRPr="00F650D8">
        <w:rPr>
          <w:rFonts w:ascii="Times New Roman" w:hAnsi="Times New Roman" w:cs="Times New Roman"/>
        </w:rPr>
        <w:t>.</w:t>
      </w:r>
      <w:r w:rsidR="00B96799" w:rsidRPr="00F650D8">
        <w:rPr>
          <w:rFonts w:ascii="Times New Roman" w:hAnsi="Times New Roman" w:cs="Times New Roman"/>
        </w:rPr>
        <w:fldChar w:fldCharType="begin" w:fldLock="1"/>
      </w:r>
      <w:r w:rsidR="00AF2D11" w:rsidRPr="00F650D8">
        <w:rPr>
          <w:rFonts w:ascii="Times New Roman" w:hAnsi="Times New Roman" w:cs="Times New Roman"/>
        </w:rPr>
        <w:instrText xml:space="preserve">ADDIN CSL_CITATION {"citationItems":[{"id":"ITEM-1","itemData":{"DOI":"10.1038/oby.2012.59","ISSN":"19307381","PMID":"22402735","abstract":"Dapagliflozin is a potent and selective sodium glucose cotransporter-2 (SGLT2) inhibitor which promotes urinary glucose excretion and induces weight loss. Since metabolic compensation can offset a negative energy balance, we explored the potential for a compensatory physiological response to the weight loss induced by dapagliflozin. Dapagliflozin was administered (0.5-5 mpk; p.o.) to diet-induced obese (DIO) rats with or without ad libitum access to food for 38 days. Along with inducing urinary glucose excretion, chronic administration of dapagliflozin dose-dependently increased food and water intake relative to vehicle-treated controls. Despite this, it reduced body weight by 4% (relative to controls) at the highest dose. The degree of weight loss was increased by an additional 9% if hyperphagia was prevented by restricting food intake to that of vehicle controls. Neither oxygen consumption (vO2) or the respiratory exchange ratio (RER) were altered by dapagliflozin treatment alone. Animals treated with dapagliflozin and pair-fed to vehicle controls (5 mpk PF-V) showed a reduction in RER and an elevation in nonfasting Β-hydroxybutyrate (BHBA) relative to ad libitum-fed 5 mpk counterparts. Fasting BHBA was elevated in the 1 mpk, 5 mpk, and 5 mpk PF-V groups. Serum glucose was reduced in the fasted, but not the unfasted state. Insulin was reduced in the non-fasted state. These data suggest that in rodents, the persistent urinary glucose excretion induced by dapagliflozin was accompanied by compensatory hyperphagia, which attenuated the weight loss induced by SGLT2 inhibition. Therefore, it is possible that dapagliflozin-induced weight loss could be enhanced with dietary intervention. © 2011 The Obesity Society.","author":[{"dropping-particle":"","family":"Devenny","given":"James J.","non-dropping-particle":"","parse-names":false,"suffix":""},{"dropping-particle":"","family":"Godonis","given":"Helen E.","non-dropping-particle":"","parse-names":false,"suffix":""},{"dropping-particle":"","family":"Harvey","given":"Susan J.","non-dropping-particle":"","parse-names":false,"suffix":""},{"dropping-particle":"","family":"Rooney","given":"Suzanne","non-dropping-particle":"","parse-names":false,"suffix":""},{"dropping-particle":"","family":"Cullen","given":"Mary J.","non-dropping-particle":"","parse-names":false,"suffix":""},{"dropping-particle":"","family":"Pelleymounter","given":"Mary Ann","non-dropping-particle":"","parse-names":false,"suffix":""}],"container-title":"Obesity","id":"ITEM-1","issue":"8","issued":{"date-parts":[["2012"]]},"page":"1645-1652","title":"Weight loss induced by chronic dapagliflozin treatment is attenuated by compensatory hyperphagia in diet-induced obese (DIO) rats","type":"article-journal","volume":"20"},"uris":["http://www.mendeley.com/documents/?uuid=95583340-2f5d-459b-87a5-b4389d93659d"]},{"id":"ITEM-2","itemData":{"DOI":"10.2337/dc15-0355","ISSN":"19355548","PMID":"26180105","abstract":"OBJECTIVE Sodium-glucose cotransporter 2 (SGLT2) inhibitors cause substantially less weight loss than expected from the energy excreted via glycosuria. Our aim was to analyze this phenomenon quantitatively. RESEARCH DESIGN AND METHODS Eighty-six patients with type 2 diabetes (HbA1c 7.8 ± 0.8% [62 ± 9 mmol/mol], estimated glomerular filtration rate [EGFR] 89 ± 19 mL · min2-1 · 1.73 m-2) received empagliflozin (25 mg/day) for 90 weeks with frequent (n = 11) assessments of body weight, EGFR, and fasting plasma glucose (FPG). Time-dependent glucose filtration was calculated as the product of EGFR and FPG; time-dependent glycosuria was estimated from previous direct measurements. The relation of calorie-to-weight changes was estimated using a mathematical model of human energy metabolism that simulates the time course of weight change for a given change in calorie balance and calculates the corresponding energy intake changes. RESULTS At week 90, weight loss averaged 23.2 ± 4.2 kg (corresponding to a median calorie deficit of 51 kcal/day [interquartile range (IQR) 112]). However, the observed calorie loss through glycosuria (206 kcal/day [IQR 90]) was predicted to result in a weight loss of -11.3 ± 3.1 kg, assuming no compensatory changes in energy intake. Thus, patients lost only 29 ± 41% of the weight loss predicted by their glycosuria; the model indicated that this difference was accounted for by a 13% (IQR 12) increase in calorie intake (269 kcal/day [IQR 258]) coupled with a 2% (IQR 5) increase in daily energy expenditure (due to diet-induced thermogenesis). This increased calorie intake was inversely related to baseline BMI (partial r = 20.34, P &lt; 0.01) and positively to baseline EGFR (partial r = 0.29, P &lt; 0.01). CONCLUSIONS Chronic glycosuria elicits an adaptive increase in energy intake. Combining SGLT2 inhibition with caloric restriction is expected to be associated with major weight loss.","author":[{"dropping-particle":"","family":"Ferrannini","given":"Giulia","non-dropping-particle":"","parse-names":false,"suffix":""},{"dropping-particle":"","family":"Hach","given":"Thomas","non-dropping-particle":"","parse-names":false,"suffix":""},{"dropping-particle":"","family":"Crowe","given":"Susanne","non-dropping-particle":"","parse-names":false,"suffix":""},{"dropping-particle":"","family":"Sanghvi","given":"Arjun","non-dropping-particle":"","parse-names":false,"suffix":""},{"dropping-particle":"","family":"Hall","given":"Kevin D.","non-dropping-particle":"","parse-names":false,"suffix":""},{"dropping-particle":"","family":"Ferrannini","given":"Ele","non-dropping-particle":"","parse-names":false,"suffix":""}],"container-title":"Diabetes Care","id":"ITEM-2","issue":"9","issued":{"date-parts":[["2015"]]},"page":"1730-1735","title":"Energy balance after sodium- glucose cotransporter 2 inhibition","type":"article-journal","volume":"38"},"uris":["http://www.mendeley.com/documents/?uuid=37ae20cb-8dfe-432f-99d1-54855074615e"]},{"id":"ITEM-3","itemData":{"DOI":"10.1002/oby.21653","ISSN":"1930739X","abstract":"Objective: To quantify the feedback control of energy intake in response to long-term covert manipulation of energy balance in free-living humans. Methods: A validated mathematical method was used to calculate energy intake changes during a 52-week placebo-controlled trial in 153 patients treated with canagliflozin, a sodium glucose co-transporter inhibitor that increases urinary glucose excretion, thereby resulting in weight loss without patients being directly aware of the energy deficit. The relationship between the body weight time course and the calculated energy intake changes was analyzed using principles from engineering control theory. Results: It was discovered that weight loss leads to a proportional increase in appetite resulting in eating above baseline by </w:instrText>
      </w:r>
      <w:r w:rsidR="00AF2D11" w:rsidRPr="00F650D8">
        <w:rPr>
          <w:rFonts w:ascii="Cambria Math" w:hAnsi="Cambria Math" w:cs="Cambria Math"/>
        </w:rPr>
        <w:instrText>∼</w:instrText>
      </w:r>
      <w:r w:rsidR="00AF2D11" w:rsidRPr="00F650D8">
        <w:rPr>
          <w:rFonts w:ascii="Times New Roman" w:hAnsi="Times New Roman" w:cs="Times New Roman"/>
        </w:rPr>
        <w:instrText>100 kcal/day per kilogram of lost weight—an amount more than threefold larger than the corresponding energy expenditure adaptations. Conclusions: While energy expenditure adaptations have often been considered the main reason for slowing of weight loss and subsequent regain, feedback control of energy intake plays an even larger role and helps explain why long-term maintenance of a reduced body weight is so difficult.","author":[{"dropping-particle":"","family":"Polidori","given":"David","non-dropping-particle":"","parse-names":false,"suffix":""},{"dropping-particle":"","family":"Sanghvi","given":"Arjun","non-dropping-particle":"","parse-names":false,"suffix":""},{"dropping-particle":"","family":"Seeley","given":"Randy J.","non-dropping-particle":"","parse-names":false,"suffix":""},{"dropping-particle":"","family":"Hall","given":"Kevin D.","non-dropping-particle":"","parse-names":false,"suffix":""}],"container-title":"Obesity","id":"ITEM-3","issue":"11","issued":{"date-parts":[["2016"]]},"page":"2289-2295","title":"How Strongly Does Appetite Counter Weight Loss? Quantification of the Feedback Control of Human Energy Intake","type":"article-journal","volume":"24"},"uris":["http://www.mendeley.com/documents/?uuid=93dfcd6c-5e9a-4887-9e87-00585a89f538"]}],"mendeley":{"formattedCitation":"&lt;sup&gt;6,7,9&lt;/sup&gt;","plainTextFormattedCitation":"6,7,9","previouslyFormattedCitation":"&lt;sup&gt;6,7,9&lt;/sup&gt;"},"properties":{"noteIndex":0},"schema":"https://github.com/citation-style-language/schema/raw/master/csl-citation.json"}</w:instrText>
      </w:r>
      <w:r w:rsidR="00B96799"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6,7,9</w:t>
      </w:r>
      <w:r w:rsidR="00B96799" w:rsidRPr="00F650D8">
        <w:rPr>
          <w:rFonts w:ascii="Times New Roman" w:hAnsi="Times New Roman" w:cs="Times New Roman"/>
        </w:rPr>
        <w:fldChar w:fldCharType="end"/>
      </w:r>
      <w:r w:rsidRPr="00F650D8">
        <w:rPr>
          <w:rFonts w:ascii="Times New Roman" w:hAnsi="Times New Roman" w:cs="Times New Roman"/>
        </w:rPr>
        <w:t xml:space="preserve"> It has been suggested that </w:t>
      </w:r>
      <w:r w:rsidR="00EC3B81" w:rsidRPr="00F650D8">
        <w:rPr>
          <w:rFonts w:ascii="Times New Roman" w:hAnsi="Times New Roman" w:cs="Times New Roman"/>
        </w:rPr>
        <w:t xml:space="preserve">increased </w:t>
      </w:r>
      <w:r w:rsidR="00F36FAB" w:rsidRPr="00F650D8">
        <w:rPr>
          <w:rFonts w:ascii="Times New Roman" w:hAnsi="Times New Roman" w:cs="Times New Roman"/>
        </w:rPr>
        <w:t>EI</w:t>
      </w:r>
      <w:r w:rsidR="00EC3B81" w:rsidRPr="00F650D8">
        <w:rPr>
          <w:rFonts w:ascii="Times New Roman" w:hAnsi="Times New Roman" w:cs="Times New Roman"/>
        </w:rPr>
        <w:t xml:space="preserve">, underpinned by </w:t>
      </w:r>
      <w:r w:rsidR="006B5FC1" w:rsidRPr="00F650D8">
        <w:rPr>
          <w:rFonts w:ascii="Times New Roman" w:hAnsi="Times New Roman" w:cs="Times New Roman"/>
          <w:highlight w:val="yellow"/>
        </w:rPr>
        <w:t>enhanced appetite</w:t>
      </w:r>
      <w:r w:rsidR="00EC3B81" w:rsidRPr="00F650D8">
        <w:rPr>
          <w:rFonts w:ascii="Times New Roman" w:hAnsi="Times New Roman" w:cs="Times New Roman"/>
        </w:rPr>
        <w:t>,</w:t>
      </w:r>
      <w:r w:rsidRPr="00F650D8">
        <w:rPr>
          <w:rFonts w:ascii="Times New Roman" w:hAnsi="Times New Roman" w:cs="Times New Roman"/>
        </w:rPr>
        <w:t xml:space="preserve"> </w:t>
      </w:r>
      <w:r w:rsidR="00EC3B81" w:rsidRPr="00F650D8">
        <w:rPr>
          <w:rFonts w:ascii="Times New Roman" w:hAnsi="Times New Roman" w:cs="Times New Roman"/>
        </w:rPr>
        <w:t>contribute</w:t>
      </w:r>
      <w:r w:rsidR="002E1305" w:rsidRPr="00F650D8">
        <w:rPr>
          <w:rFonts w:ascii="Times New Roman" w:hAnsi="Times New Roman" w:cs="Times New Roman"/>
        </w:rPr>
        <w:t>s</w:t>
      </w:r>
      <w:r w:rsidR="00EC3B81" w:rsidRPr="00F650D8">
        <w:rPr>
          <w:rFonts w:ascii="Times New Roman" w:hAnsi="Times New Roman" w:cs="Times New Roman"/>
        </w:rPr>
        <w:t xml:space="preserve"> to </w:t>
      </w:r>
      <w:r w:rsidRPr="00F650D8">
        <w:rPr>
          <w:rFonts w:ascii="Times New Roman" w:hAnsi="Times New Roman" w:cs="Times New Roman"/>
        </w:rPr>
        <w:t>this discrepancy</w:t>
      </w:r>
      <w:r w:rsidR="005F111E" w:rsidRPr="00F650D8">
        <w:rPr>
          <w:rFonts w:ascii="Times New Roman" w:hAnsi="Times New Roman" w:cs="Times New Roman"/>
        </w:rPr>
        <w:t>,</w:t>
      </w:r>
      <w:r w:rsidR="00AA2DE8" w:rsidRPr="00F650D8">
        <w:rPr>
          <w:rFonts w:ascii="Times New Roman" w:hAnsi="Times New Roman" w:cs="Times New Roman"/>
        </w:rPr>
        <w:fldChar w:fldCharType="begin" w:fldLock="1"/>
      </w:r>
      <w:r w:rsidR="00AF2D11" w:rsidRPr="00F650D8">
        <w:rPr>
          <w:rFonts w:ascii="Times New Roman" w:hAnsi="Times New Roman" w:cs="Times New Roman"/>
        </w:rPr>
        <w:instrText xml:space="preserve">ADDIN CSL_CITATION {"citationItems":[{"id":"ITEM-1","itemData":{"DOI":"10.2337/dc15-0355","ISSN":"19355548","PMID":"26180105","abstract":"OBJECTIVE Sodium-glucose cotransporter 2 (SGLT2) inhibitors cause substantially less weight loss than expected from the energy excreted via glycosuria. Our aim was to analyze this phenomenon quantitatively. RESEARCH DESIGN AND METHODS Eighty-six patients with type 2 diabetes (HbA1c 7.8 ± 0.8% [62 ± 9 mmol/mol], estimated glomerular filtration rate [EGFR] 89 ± 19 mL · min2-1 · 1.73 m-2) received empagliflozin (25 mg/day) for 90 weeks with frequent (n = 11) assessments of body weight, EGFR, and fasting plasma glucose (FPG). Time-dependent glucose filtration was calculated as the product of EGFR and FPG; time-dependent glycosuria was estimated from previous direct measurements. The relation of calorie-to-weight changes was estimated using a mathematical model of human energy metabolism that simulates the time course of weight change for a given change in calorie balance and calculates the corresponding energy intake changes. RESULTS At week 90, weight loss averaged 23.2 ± 4.2 kg (corresponding to a median calorie deficit of 51 kcal/day [interquartile range (IQR) 112]). However, the observed calorie loss through glycosuria (206 kcal/day [IQR 90]) was predicted to result in a weight loss of -11.3 ± 3.1 kg, assuming no compensatory changes in energy intake. Thus, patients lost only 29 ± 41% of the weight loss predicted by their glycosuria; the model indicated that this difference was accounted for by a 13% (IQR 12) increase in calorie intake (269 kcal/day [IQR 258]) coupled with a 2% (IQR 5) increase in daily energy expenditure (due to diet-induced thermogenesis). This increased calorie intake was inversely related to baseline BMI (partial r = 20.34, P &lt; 0.01) and positively to baseline EGFR (partial r = 0.29, P &lt; 0.01). CONCLUSIONS Chronic glycosuria elicits an adaptive increase in energy intake. Combining SGLT2 inhibition with caloric restriction is expected to be associated with major weight loss.","author":[{"dropping-particle":"","family":"Ferrannini","given":"Giulia","non-dropping-particle":"","parse-names":false,"suffix":""},{"dropping-particle":"","family":"Hach","given":"Thomas","non-dropping-particle":"","parse-names":false,"suffix":""},{"dropping-particle":"","family":"Crowe","given":"Susanne","non-dropping-particle":"","parse-names":false,"suffix":""},{"dropping-particle":"","family":"Sanghvi","given":"Arjun","non-dropping-particle":"","parse-names":false,"suffix":""},{"dropping-particle":"","family":"Hall","given":"Kevin D.","non-dropping-particle":"","parse-names":false,"suffix":""},{"dropping-particle":"","family":"Ferrannini","given":"Ele","non-dropping-particle":"","parse-names":false,"suffix":""}],"container-title":"Diabetes Care","id":"ITEM-1","issue":"9","issued":{"date-parts":[["2015"]]},"page":"1730-1735","title":"Energy balance after sodium- glucose cotransporter 2 inhibition","type":"article-journal","volume":"38"},"uris":["http://www.mendeley.com/documents/?uuid=37ae20cb-8dfe-432f-99d1-54855074615e"]},{"id":"ITEM-2","itemData":{"DOI":"10.1002/oby.21653","ISSN":"1930739X","abstract":"Objective: To quantify the feedback control of energy intake in response to long-term covert manipulation of energy balance in free-living humans. Methods: A validated mathematical method was used to calculate energy intake changes during a 52-week placebo-controlled trial in 153 patients treated with canagliflozin, a sodium glucose co-transporter inhibitor that increases urinary glucose excretion, thereby resulting in weight loss without patients being directly aware of the energy deficit. The relationship between the body weight time course and the calculated energy intake changes was analyzed using principles from engineering control theory. Results: It was discovered that weight loss leads to a proportional increase in appetite resulting in eating above baseline by </w:instrText>
      </w:r>
      <w:r w:rsidR="00AF2D11" w:rsidRPr="00F650D8">
        <w:rPr>
          <w:rFonts w:ascii="Cambria Math" w:hAnsi="Cambria Math" w:cs="Cambria Math"/>
        </w:rPr>
        <w:instrText>∼</w:instrText>
      </w:r>
      <w:r w:rsidR="00AF2D11" w:rsidRPr="00F650D8">
        <w:rPr>
          <w:rFonts w:ascii="Times New Roman" w:hAnsi="Times New Roman" w:cs="Times New Roman"/>
        </w:rPr>
        <w:instrText>100 kcal/day per kilogram of lost weight—an amount more than threefold larger than the corresponding energy expenditure adaptations. Conclusions: While energy expenditure adaptations have often been considered the main reason for slowing of weight loss and subsequent regain, feedback control of energy intake plays an even larger role and helps explain why long-term maintenance of a reduced body weight is so difficult.","author":[{"dropping-particle":"","family":"Polidori","given":"David","non-dropping-particle":"","parse-names":false,"suffix":""},{"dropping-particle":"","family":"Sanghvi","given":"Arjun","non-dropping-particle":"","parse-names":false,"suffix":""},{"dropping-particle":"","family":"Seeley","given":"Randy J.","non-dropping-particle":"","parse-names":false,"suffix":""},{"dropping-particle":"","family":"Hall","given":"Kevin D.","non-dropping-particle":"","parse-names":false,"suffix":""}],"container-title":"Obesity","id":"ITEM-2","issue":"11","issued":{"date-parts":[["2016"]]},"page":"2289-2295","title":"How Strongly Does Appetite Counter Weight Loss? Quantification of the Feedback Control of Human Energy Intake","type":"article-journal","volume":"24"},"uris":["http://www.mendeley.com/documents/?uuid=93dfcd6c-5e9a-4887-9e87-00585a89f538"]},{"id":"ITEM-3","itemData":{"DOI":"10.1038/oby.2012.59","ISSN":"19307381","PMID":"22402735","abstract":"Dapagliflozin is a potent and selective sodium glucose cotransporter-2 (SGLT2) inhibitor which promotes urinary glucose excretion and induces weight loss. Since metabolic compensation can offset a negative energy balance, we explored the potential for a compensatory physiological response to the weight loss induced by dapagliflozin. Dapagliflozin was administered (0.5-5 mpk; p.o.) to diet-induced obese (DIO) rats with or without ad libitum access to food for 38 days. Along with inducing urinary glucose excretion, chronic administration of dapagliflozin dose-dependently increased food and water intake relative to vehicle-treated controls. Despite this, it reduced body weight by 4% (relative to controls) at the highest dose. The degree of weight loss was increased by an additional 9% if hyperphagia was prevented by restricting food intake to that of vehicle controls. Neither oxygen consumption (vO2) or the respiratory exchange ratio (RER) were altered by dapagliflozin treatment alone. Animals treated with dapagliflozin and pair-fed to vehicle controls (5 mpk PF-V) showed a reduction in RER and an elevation in nonfasting Β-hydroxybutyrate (BHBA) relative to ad libitum-fed 5 mpk counterparts. Fasting BHBA was elevated in the 1 mpk, 5 mpk, and 5 mpk PF-V groups. Serum glucose was reduced in the fasted, but not the unfasted state. Insulin was reduced in the non-fasted state. These data suggest that in rodents, the persistent urinary glucose excretion induced by dapagliflozin was accompanied by compensatory hyperphagia, which attenuated the weight loss induced by SGLT2 inhibition. Therefore, it is possible that dapagliflozin-induced weight loss could be enhanced with dietary intervention. © 2011 The Obesity Society.","author":[{"dropping-particle":"","family":"Devenny","given":"James J.","non-dropping-particle":"","parse-names":false,"suffix":""},{"dropping-particle":"","family":"Godonis","given":"Helen E.","non-dropping-particle":"","parse-names":false,"suffix":""},{"dropping-particle":"","family":"Harvey","given":"Susan J.","non-dropping-particle":"","parse-names":false,"suffix":""},{"dropping-particle":"","family":"Rooney","given":"Suzanne","non-dropping-particle":"","parse-names":false,"suffix":""},{"dropping-particle":"","family":"Cullen","given":"Mary J.","non-dropping-particle":"","parse-names":false,"suffix":""},{"dropping-particle":"","family":"Pelleymounter","given":"Mary Ann","non-dropping-particle":"","parse-names":false,"suffix":""}],"container-title":"Obesity","id":"ITEM-3","issue":"8","issued":{"date-parts":[["2012"]]},"page":"1645-1652","title":"Weight loss induced by chronic dapagliflozin treatment is attenuated by compensatory hyperphagia in diet-induced obese (DIO) rats","type":"article-journal","volume":"20"},"uris":["http://www.mendeley.com/documents/?uuid=95583340-2f5d-459b-87a5-b4389d93659d"]},{"id":"ITEM-4","itemData":{"author":[{"dropping-particle":"","family":"Matsuba","given":"Ikuro","non-dropping-particle":"","parse-names":false,"suffix":""},{"dropping-particle":"","family":"Kanamori","given":"Akira","non-dropping-particle":"","parse-names":false,"suffix":""},{"dropping-particle":"","family":"Takihata","given":"Mashahiro","non-dropping-particle":"","parse-names":false,"suffix":""},{"dropping-particle":"","family":"Takai","given":"Masahiko","non-dropping-particle":"","parse-names":false,"suffix":""},{"dropping-particle":"","family":"Maeda","given":"Hajime","non-dropping-particle":"","parse-names":false,"suffix":""},{"dropping-particle":"","family":"Kubota","given":"Akira","non-dropping-particle":"","parse-names":false,"suffix":""},{"dropping-particle":"","family":"Lemitsu","given":"Kotaro","non-dropping-particle":"","parse-names":false,"suffix":""},{"dropping-particle":"","family":"Umezawa","given":"Shinichi","non-dropping-particle":"","parse-names":false,"suffix":""},{"dropping-particle":"","family":"Obana","given":"Mitsuo","non-dropping-particle":"","parse-names":false,"suffix":""},{"dropping-particle":"","family":"Kaneshiro","given":"Mizuki","non-dropping-particle":"","parse-names":false,"suffix":""},{"dropping-particle":"","family":"Kawata","given":"Takehiro","non-dropping-particle":"","parse-names":false,"suffix":""},{"dropping-particle":"","family":"Takuma","given":"Tetsuo","non-dropping-particle":"","parse-names":false,"suffix":""},{"dropping-particle":"","family":"Takeda","given":"Hiroshi","non-dropping-particle":"","parse-names":false,"suffix":""},{"dropping-particle":"","family":"Machimura","given":"Hideo","non-dropping-particle":"","parse-names":false,"suffix":""},{"dropping-particle":"","family":"Mokubo","given":"Atsuko","non-dropping-particle":"","parse-names":false,"suffix":""},{"dropping-particle":"","family":"Motomiya","given":"Tetsuya","non-dropping-particle":"","parse-names":false,"suffix":""},{"dropping-particle":"","family":"Asakura","given":"Taro","non-dropping-particle":"","parse-names":false,"suffix":""},{"dropping-particle":"","family":"Kikuchi","given":"Taisuke","non-dropping-particle":"","parse-names":false,"suffix":""},{"dropping-particle":"","family":"Matsuzawa","given":"Yoko","non-dropping-particle":"","parse-names":false,"suffix":""},{"dropping-particle":"","family":"Ito","given":"Shogo","non-dropping-particle":"","parse-names":false,"suffix":""},{"dropping-particle":"","family":"Miyakawa","given":"Masaaki","non-dropping-particle":"","parse-names":false,"suffix":""},{"dropping-particle":"","family":"Terauchi","given":"Yasuo","non-dropping-particle":"","parse-names":false,"suffix":""},{"dropping-particle":"","family":"Tanaka","given":"Yasushi","non-dropping-particle":"","parse-names":false,"suffix":""}],"container-title":"Diabetes technology &amp; therapeutics","id":"ITEM-4","issue":"3","issued":{"date-parts":[["2020"]]},"page":"228-234.","title":"Canagliflozin Increases Calorie Intake in Type 2 Diabetes Without Changing the Energy Ratio of the Three Macronutrients: CANA-K Study","type":"article-journal","volume":"22"},"uris":["http://www.mendeley.com/documents/?uuid=895488f8-9f27-489c-8fe7-9e04e87bf677"]}],"mendeley":{"formattedCitation":"&lt;sup&gt;6–9&lt;/sup&gt;","plainTextFormattedCitation":"6–9","previouslyFormattedCitation":"&lt;sup&gt;6–9&lt;/sup&gt;"},"properties":{"noteIndex":0},"schema":"https://github.com/citation-style-language/schema/raw/master/csl-citation.json"}</w:instrText>
      </w:r>
      <w:r w:rsidR="00AA2DE8"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6–9</w:t>
      </w:r>
      <w:r w:rsidR="00AA2DE8" w:rsidRPr="00F650D8">
        <w:rPr>
          <w:rFonts w:ascii="Times New Roman" w:hAnsi="Times New Roman" w:cs="Times New Roman"/>
        </w:rPr>
        <w:fldChar w:fldCharType="end"/>
      </w:r>
      <w:r w:rsidR="00AA2DE8" w:rsidRPr="00F650D8">
        <w:rPr>
          <w:rFonts w:ascii="Times New Roman" w:hAnsi="Times New Roman" w:cs="Times New Roman"/>
        </w:rPr>
        <w:t xml:space="preserve"> </w:t>
      </w:r>
      <w:r w:rsidR="00052C50" w:rsidRPr="00F650D8">
        <w:rPr>
          <w:rFonts w:ascii="Times New Roman" w:hAnsi="Times New Roman" w:cs="Times New Roman"/>
        </w:rPr>
        <w:t>but</w:t>
      </w:r>
      <w:r w:rsidRPr="00F650D8">
        <w:rPr>
          <w:rFonts w:ascii="Times New Roman" w:hAnsi="Times New Roman" w:cs="Times New Roman"/>
        </w:rPr>
        <w:t xml:space="preserve"> this has not been comprehensively tested</w:t>
      </w:r>
      <w:r w:rsidR="005F111E" w:rsidRPr="00F650D8">
        <w:rPr>
          <w:rFonts w:ascii="Times New Roman" w:hAnsi="Times New Roman" w:cs="Times New Roman"/>
        </w:rPr>
        <w:t>.</w:t>
      </w:r>
      <w:r w:rsidR="004F45B8"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{"citationItems":[{"id":"ITEM-1","itemData":{"author":[{"dropping-particle":"","family":"Rajeev","given":"S P","non-dropping-particle":"","parse-names":false,"suffix":""},{"dropping-particle":"","family":"Cuthbertson","given":"D J","non-dropping-particle":"","parse-names":false,"suffix":""},{"dropping-particle":"","family":"Wilding","given":"J P H","non-dropping-particle":"","parse-names":false,"suffix":""}],"container-title":"Diabetes, obesity &amp; metabolism","id":"ITEM-1","issued":{"date-parts":[["2015"]]},"page":"1-10","title":"Energy balance and metabolic changes with sodium-glucose co-transporter 2 inhibition","type":"article-journal"},"uris":["http://www.mendeley.com/documents/?uuid=e7329838-ff95-4199-ba55-d323fb46ee95"]}],"mendeley":{"formattedCitation":"&lt;sup&gt;5&lt;/sup&gt;","plainTextFormattedCitation":"5","previouslyFormattedCitation":"&lt;sup&gt;5&lt;/sup&gt;"},"properties":{"noteIndex":0},"schema":"https://github.com/citation-style-language/schema/raw/master/csl-citation.json"}</w:instrText>
      </w:r>
      <w:r w:rsidR="004F45B8"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5</w:t>
      </w:r>
      <w:r w:rsidR="004F45B8" w:rsidRPr="00F650D8">
        <w:rPr>
          <w:rFonts w:ascii="Times New Roman" w:hAnsi="Times New Roman" w:cs="Times New Roman"/>
        </w:rPr>
        <w:fldChar w:fldCharType="end"/>
      </w:r>
      <w:r w:rsidRPr="00F650D8">
        <w:rPr>
          <w:rFonts w:ascii="Times New Roman" w:hAnsi="Times New Roman" w:cs="Times New Roman"/>
        </w:rPr>
        <w:t xml:space="preserve"> </w:t>
      </w:r>
      <w:r w:rsidR="00794322" w:rsidRPr="00F650D8">
        <w:rPr>
          <w:rFonts w:ascii="Times New Roman" w:hAnsi="Times New Roman" w:cs="Times New Roman"/>
        </w:rPr>
        <w:t xml:space="preserve">The principal objective of </w:t>
      </w:r>
      <w:r w:rsidR="002015EE" w:rsidRPr="00F650D8">
        <w:rPr>
          <w:rFonts w:ascii="Times New Roman" w:hAnsi="Times New Roman" w:cs="Times New Roman"/>
        </w:rPr>
        <w:t>the SEESAW trial</w:t>
      </w:r>
      <w:r w:rsidR="00794322" w:rsidRPr="00F650D8">
        <w:rPr>
          <w:rFonts w:ascii="Times New Roman" w:hAnsi="Times New Roman" w:cs="Times New Roman"/>
        </w:rPr>
        <w:t xml:space="preserve"> was to examine the impact of our interventions on </w:t>
      </w:r>
      <w:r w:rsidR="002015EE" w:rsidRPr="00F650D8">
        <w:rPr>
          <w:rFonts w:ascii="Times New Roman" w:hAnsi="Times New Roman" w:cs="Times New Roman"/>
        </w:rPr>
        <w:t>the appetite-</w:t>
      </w:r>
      <w:r w:rsidR="0028266C" w:rsidRPr="00F650D8">
        <w:rPr>
          <w:rFonts w:ascii="Times New Roman" w:hAnsi="Times New Roman" w:cs="Times New Roman"/>
        </w:rPr>
        <w:t>regulatory</w:t>
      </w:r>
      <w:r w:rsidR="002015EE" w:rsidRPr="00F650D8">
        <w:rPr>
          <w:rFonts w:ascii="Times New Roman" w:hAnsi="Times New Roman" w:cs="Times New Roman"/>
        </w:rPr>
        <w:t xml:space="preserve"> peptides PYY, GLP-1 and acylated ghrelin.</w:t>
      </w:r>
      <w:r w:rsidR="00794322" w:rsidRPr="00F650D8">
        <w:rPr>
          <w:rFonts w:ascii="Times New Roman" w:hAnsi="Times New Roman" w:cs="Times New Roman"/>
        </w:rPr>
        <w:t xml:space="preserve"> </w:t>
      </w:r>
      <w:r w:rsidR="002015EE" w:rsidRPr="00F650D8">
        <w:rPr>
          <w:rFonts w:ascii="Times New Roman" w:hAnsi="Times New Roman" w:cs="Times New Roman"/>
        </w:rPr>
        <w:t>PYY is</w:t>
      </w:r>
      <w:r w:rsidR="00794322" w:rsidRPr="00F650D8">
        <w:rPr>
          <w:rFonts w:ascii="Times New Roman" w:hAnsi="Times New Roman" w:cs="Times New Roman"/>
        </w:rPr>
        <w:t xml:space="preserve"> a gut peptide released into the circulation after meal ingestion </w:t>
      </w:r>
      <w:r w:rsidR="007B0173" w:rsidRPr="00F650D8">
        <w:rPr>
          <w:rFonts w:ascii="Times New Roman" w:hAnsi="Times New Roman" w:cs="Times New Roman"/>
        </w:rPr>
        <w:t>that</w:t>
      </w:r>
      <w:r w:rsidR="00794322" w:rsidRPr="00F650D8">
        <w:rPr>
          <w:rFonts w:ascii="Times New Roman" w:hAnsi="Times New Roman" w:cs="Times New Roman"/>
        </w:rPr>
        <w:t xml:space="preserve"> promotes satiety</w:t>
      </w:r>
      <w:r w:rsidR="005F111E" w:rsidRPr="00F650D8">
        <w:rPr>
          <w:rFonts w:ascii="Times New Roman" w:hAnsi="Times New Roman" w:cs="Times New Roman"/>
        </w:rPr>
        <w:t>.</w:t>
      </w:r>
      <w:r w:rsidR="00794322"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Batterham","given":"RL","non-dropping-particle":"","parse-names":false,"suffix":""},{"dropping-particle":"","family":"Bloom","given":"SR","non-dropping-particle":"","parse-names":false,"suffix":""}],"container-title":"Annals of the New York Academy of Sciences","id":"ITEM-1","issued":{"date-parts":[["2003"]]},"page":"162-168.","title":"The gut hormone PYY regulates appetite","type":"article-journal","volume":"994"},"uris":["http://www.mendeley.com/documents/?uuid=fa13712c-036d-4823-a5c0-e5e989a54616"]}],"mendeley":{"formattedCitation":"&lt;sup&gt;12&lt;/sup&gt;","plainTextFormattedCitation":"12","previouslyFormattedCitation":"&lt;sup&gt;12&lt;/sup&gt;"},"properties":{"noteIndex":0},"schema":"https://github.com/citation-style-language/schema/raw/master/csl-citation.json"}</w:instrText>
      </w:r>
      <w:r w:rsidR="00794322"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12</w:t>
      </w:r>
      <w:r w:rsidR="00794322" w:rsidRPr="00F650D8">
        <w:rPr>
          <w:rFonts w:ascii="Times New Roman" w:hAnsi="Times New Roman" w:cs="Times New Roman"/>
        </w:rPr>
        <w:fldChar w:fldCharType="end"/>
      </w:r>
      <w:r w:rsidR="00794322" w:rsidRPr="00F650D8">
        <w:rPr>
          <w:rFonts w:ascii="Times New Roman" w:hAnsi="Times New Roman" w:cs="Times New Roman"/>
        </w:rPr>
        <w:t xml:space="preserve"> PYY is released from L-cells predominantly within the lower intestine</w:t>
      </w:r>
      <w:r w:rsidR="005F111E" w:rsidRPr="00F650D8">
        <w:rPr>
          <w:rFonts w:ascii="Times New Roman" w:hAnsi="Times New Roman" w:cs="Times New Roman"/>
        </w:rPr>
        <w:t>,</w:t>
      </w:r>
      <w:r w:rsidR="00794322"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{"citationItems":[{"id":"ITEM-1","itemData":{"DOI":"10.1381/096089206776944959","ISSN":"0960-8923","PMID":"16687037","abstract":"Peptide YY (PYY) is a 36 amino acid, straight chain polypeptide, which is co-localized with GLP-1 in the L-type endocrine cells of the GI mucosa. PYY shares structural homology with neuropeptide Y (NPY) and pancreatic polypeptide (PP), and together form the Neuropeptide Y Family of Peptides, which is also called the Pancreatic Polypeptide-Fold Family of Peptides. PYY release is stimulated by intraluminal nutrients, including glucose, bile salts, lipids, short-chain fatty acids and amino acids. Regulatory peptides such as cholecystokinin (CCK), vasoactive intestinal polypeptide (VIP), gastrin and GLP-1 modulate PYY release. The proximal GI tract may also participate in the regulation of PYY release through vagal fibers. After release, dipeptidyl peptidase IV (DPP-IV; CD 26) cleaves the N-terminal tyrosine-proline residues forming PYY(3-36). PYY(1-36) represents about 60% and PYY(3-36) 40% of circulating PYY. PYY acts through Y-receptor subtypes: Y1, Y2, Y4 and Y5 in humans. PYY(1-36) shows high affinity to all four receptors while PYY(3-36) is a specific Y2 agonist. PYY inhibits many GI functions, including gastric acid secretion, gastric emptying, small bowel and colonic chloride secretion, mouth to cecum transit time, pancreatic exocrine secretion and pancreatic insulin secretion. PYY also promotes postprandial naturesis and elevates systolic and diastolic blood pressure. PYY(1-36) and PYY(3-36) cross the blood-brain barrier and participate in appetite and weight control regulation. PYY(1-36) acting through Y1- and Y5-receptors increases appetite and stimulates weight gain. PYY(3-36) acting through Y2-receptors on NPY-containing cells in the arcuate nucleus inhibits NPY release and, thereby, decreases appetite and promotes weight loss. PYY may play a primary role in the appetite suppression and weight loss observed after bariatric operations.","author":[{"dropping-particle":"","family":"Ballantyne","given":"Garth H","non-dropping-particle":"","parse-names":false,"suffix":""}],"container-title":"Obesity surgery","id":"ITEM-1","issue":"5","issued":{"date-parts":[["2006","5"]]},"page":"651-8","title":"Peptide YY(1-36) and peptide YY(3-36): Part I. Distribution, release and actions.","type":"article-journal","volume":"16"},"uris":["http://www.mendeley.com/documents/?uuid=5a0032af-9406-4954-a62b-e3445afe9fa4"]}],"mendeley":{"formattedCitation":"&lt;sup&gt;31&lt;/sup&gt;","plainTextFormattedCitation":"31","previouslyFormattedCitation":"&lt;sup&gt;31&lt;/sup&gt;"},"properties":{"noteIndex":0},"schema":"https://github.com/citation-style-language/schema/raw/master/csl-citation.json"}</w:instrText>
      </w:r>
      <w:r w:rsidR="00794322"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31</w:t>
      </w:r>
      <w:r w:rsidR="00794322" w:rsidRPr="00F650D8">
        <w:rPr>
          <w:rFonts w:ascii="Times New Roman" w:hAnsi="Times New Roman" w:cs="Times New Roman"/>
        </w:rPr>
        <w:fldChar w:fldCharType="end"/>
      </w:r>
      <w:r w:rsidR="00CB3B61" w:rsidRPr="00F650D8">
        <w:rPr>
          <w:rFonts w:ascii="Times New Roman" w:hAnsi="Times New Roman" w:cs="Times New Roman"/>
        </w:rPr>
        <w:t xml:space="preserve"> </w:t>
      </w:r>
      <w:r w:rsidR="00794322" w:rsidRPr="00F650D8">
        <w:rPr>
          <w:rFonts w:ascii="Times New Roman" w:hAnsi="Times New Roman" w:cs="Times New Roman"/>
        </w:rPr>
        <w:t>along with GLP-1</w:t>
      </w:r>
      <w:r w:rsidR="002015EE" w:rsidRPr="00F650D8">
        <w:rPr>
          <w:rFonts w:ascii="Times New Roman" w:hAnsi="Times New Roman" w:cs="Times New Roman"/>
        </w:rPr>
        <w:t>,</w:t>
      </w:r>
      <w:r w:rsidR="00794322" w:rsidRPr="00F650D8">
        <w:rPr>
          <w:rFonts w:ascii="Times New Roman" w:hAnsi="Times New Roman" w:cs="Times New Roman"/>
        </w:rPr>
        <w:t xml:space="preserve"> another central acting satiety-related peptide that also modulates glycemia</w:t>
      </w:r>
      <w:r w:rsidR="005F111E" w:rsidRPr="00F650D8">
        <w:rPr>
          <w:rFonts w:ascii="Times New Roman" w:hAnsi="Times New Roman" w:cs="Times New Roman"/>
        </w:rPr>
        <w:t>.</w:t>
      </w:r>
      <w:r w:rsidR="00794322"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{"citationItems":[{"id":"ITEM-1","itemData":{"DOI":"10.1111/dom.13129","ISSN":"14631326","PMID":"29364588","abstract":"Incretin hormones are gut peptides that are secreted after nutrient intake and stimulate insulin secretion together with hyperglycaemia. GIP (glucose-dependent insulinotropic polypeptide) und GLP-1 (glucagon-like peptide-1) are the known incretin hormones from the upper (GIP, K cells) and lower (GLP-1, L cells) gut. Together, they are responsible for the incretin effect: a two- to three-fold higher insulin secretory response to oral as compared to intravenous glucose administration. In subjects with type 2 diabetes, this incretin effect is diminished or no longer present. This is the consequence of a substantially reduced effectiveness of GIP on the diabetic endocrine pancreas, and of the negligible physiological role of GLP-1 in mediating the incretin effect even in healthy subjects. However, the insulinotropic and glucagonostatic effects of GLP-1 are preserved in subjects with type 2 diabetes to the degree that pharmacological stimulation of GLP-1 receptors significantly reduces plasma glucose and improves glycaemic control. Thus, it has become a parent compound of incretin-based glucose-lowering medications (GLP-1 receptor agonists and inhibitors of dipeptidyl peptidase-4 or DPP-4). GLP-1, in addition, has multiple effects on various organ systems. Most relevant are a reduction in appetite and food intake, leading to weight loss in the long term. Since GLP-1 secretion from the gut seems to be impaired in obese subjects, this may even indicate a role in the pathophysiology of obesity. Along these lines, an increased secretion of GLP-1 induced by delivering nutrients to lower parts of the small intestines (rich in L cells) may be one factor (among others like peptide YY) explaining weight loss and improvements in glycaemic control after bariatric surgery (e.g., Roux-en-Y gastric bypass). GIP and GLP-1, originally characterized as incretin hormones, have additional effects in adipose cells, bone, and the cardiovascular system. Especially, the latter have received attention based on recent findings that GLP-1 receptor agonists such as liraglutide reduce cardiovascular events and prolong life in high-risk patients with type 2 diabetes. Thus, incretin hormones have an important role physiologically, namely they are involved in the pathophysiology of obesity and type 2 diabetes, and they have therapeutic potential that can be traced to well-characterized physiological effects.","author":[{"dropping-particle":"","family":"Nauck","given":"Michael A.","non-dropping-particle":"","parse-names":false,"suffix":""},{"dropping-particle":"","family":"Meier","given":"Juris J.","non-dropping-particle":"","parse-names":false,"suffix":""}],"container-title":"Diabetes, Obesity and Metabolism","id":"ITEM-1","issue":"October 2017","issued":{"date-parts":[["2018"]]},"page":"5-21","title":"Incretin hormones: Their role in health and disease","type":"article-journal","volume":"20"},"uris":["http://www.mendeley.com/documents/?uuid=15e463a5-5f75-4194-ab8e-ff239e3c2f54"]}],"mendeley":{"formattedCitation":"&lt;sup&gt;32&lt;/sup&gt;","plainTextFormattedCitation":"32","previouslyFormattedCitation":"&lt;sup&gt;32&lt;/sup&gt;"},"properties":{"noteIndex":0},"schema":"https://github.com/citation-style-language/schema/raw/master/csl-citation.json"}</w:instrText>
      </w:r>
      <w:r w:rsidR="00794322"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32</w:t>
      </w:r>
      <w:r w:rsidR="00794322" w:rsidRPr="00F650D8">
        <w:rPr>
          <w:rFonts w:ascii="Times New Roman" w:hAnsi="Times New Roman" w:cs="Times New Roman"/>
        </w:rPr>
        <w:fldChar w:fldCharType="end"/>
      </w:r>
      <w:r w:rsidR="00794322" w:rsidRPr="00F650D8">
        <w:rPr>
          <w:rFonts w:ascii="Times New Roman" w:hAnsi="Times New Roman" w:cs="Times New Roman"/>
        </w:rPr>
        <w:t xml:space="preserve"> </w:t>
      </w:r>
      <w:r w:rsidR="00CB3B61" w:rsidRPr="00F650D8">
        <w:rPr>
          <w:rFonts w:ascii="Times New Roman" w:hAnsi="Times New Roman" w:cs="Times New Roman"/>
        </w:rPr>
        <w:t>Conversely</w:t>
      </w:r>
      <w:r w:rsidR="00794322" w:rsidRPr="00F650D8">
        <w:rPr>
          <w:rFonts w:ascii="Times New Roman" w:hAnsi="Times New Roman" w:cs="Times New Roman"/>
        </w:rPr>
        <w:t>, acylated ghrelin is a stomach-derived orexigenic peptide implicated in meal-initiation and energy conservation</w:t>
      </w:r>
      <w:r w:rsidR="005F111E" w:rsidRPr="00F650D8">
        <w:rPr>
          <w:rFonts w:ascii="Times New Roman" w:hAnsi="Times New Roman" w:cs="Times New Roman"/>
        </w:rPr>
        <w:t>.</w:t>
      </w:r>
      <w:r w:rsidR="00794322"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{"citationItems":[{"id":"ITEM-1","itemData":{"DOI":"10.14310/horm.2002.1672","ISSN":"11093099","abstract":"Ghrelin is a gut peptide composed of 28 amino acids mostly secreted in the gastric fundus mucosa. It was isolated and described in 1999 by Kojima et al. and only three years later its specific receptor, GHS R1a, was also identified. Ghrelin, the endogenous ligand for the GH secretagogue receptor, is the only peripheral orexigenic hormone that activates the receptors to be found especially in the appetite center (hypothalamus and pituitary gland). Ghrelin is present in human plasma in two forms: an inactive form known as deacylated ghrelin, and an active form called acylated ghrelin synthesized under the action of ghrelin O-acyltransferase enzyme (GOAT). The literature even mentions an extremely complex ghrelin/GOAT/GHS R system involved in the regulation of human energy, metabolism and adaptation of energy homeostasis to environmental changes. In humans, there is a preprandial rise and a postprandial fall in plasma ghrelin levels, which strongly suggest that the peptide plays a physiological role in meal initiation and may be employed in determining the amount and quality of ingested food. Besides the stimulation of food intake, ghrelin determines a decrease in energy expenditure and promotes the storage of fatty acids in adipocytes. Thus, in the human body ghrelin induces a positive energy balance, an increased adiposity gain, as well as an increase in caloric storage, seen as an adaptive mechanism to caloric restriction conditions. In the current world context, when we are witnessing an increasing availability of food and a reduction of energy expenditure to a minimum level, these mechanisms have become pathogenic. As a consequence, the hypothesis that ghrelin is involved in the current obesity epidemic has been embraced by many scholars and researchers.","author":[{"dropping-particle":"","family":"Mihalache","given":"Laura","non-dropping-particle":"","parse-names":false,"suffix":""},{"dropping-particle":"","family":"Gherasim","given":"Andreea","non-dropping-particle":"","parse-names":false,"suffix":""},{"dropping-particle":"","family":"Niță","given":"Otilia","non-dropping-particle":"","parse-names":false,"suffix":""},{"dropping-particle":"","family":"Ungureanu","given":"Maria Christina","non-dropping-particle":"","parse-names":false,"suffix":""},{"dropping-particle":"","family":"Pădureanu","given":"Sergiu Serghei","non-dropping-particle":"","parse-names":false,"suffix":""},{"dropping-particle":"","family":"Gavril","given":"Radu Sebastian","non-dropping-particle":"","parse-names":false,"suffix":""},{"dropping-particle":"","family":"Arhire","given":"Lidia Iuliana","non-dropping-particle":"","parse-names":false,"suffix":""}],"container-title":"Hormones","id":"ITEM-1","issue":"2","issued":{"date-parts":[["2016"]]},"page":"186-196","title":"Effects of ghrelin in energy balance and body weight homeostasis","type":"article-journal","volume":"15"},"uris":["http://www.mendeley.com/documents/?uuid=1afbcee9-02ce-4196-809c-23e28cbd3163"]}],"mendeley":{"formattedCitation":"&lt;sup&gt;33&lt;/sup&gt;","plainTextFormattedCitation":"33","previouslyFormattedCitation":"&lt;sup&gt;33&lt;/sup&gt;"},"properties":{"noteIndex":0},"schema":"https://github.com/citation-style-language/schema/raw/master/csl-citation.json"}</w:instrText>
      </w:r>
      <w:r w:rsidR="00794322"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33</w:t>
      </w:r>
      <w:r w:rsidR="00794322" w:rsidRPr="00F650D8">
        <w:rPr>
          <w:rFonts w:ascii="Times New Roman" w:hAnsi="Times New Roman" w:cs="Times New Roman"/>
        </w:rPr>
        <w:fldChar w:fldCharType="end"/>
      </w:r>
      <w:r w:rsidR="00A14161" w:rsidRPr="00F650D8">
        <w:rPr>
          <w:rFonts w:ascii="Times New Roman" w:hAnsi="Times New Roman" w:cs="Times New Roman"/>
        </w:rPr>
        <w:t xml:space="preserve"> </w:t>
      </w:r>
      <w:r w:rsidRPr="00F650D8">
        <w:rPr>
          <w:rFonts w:ascii="Times New Roman" w:hAnsi="Times New Roman" w:cs="Times New Roman"/>
        </w:rPr>
        <w:t xml:space="preserve">Previous studies have described compensatory changes in the circulating levels of these peptides </w:t>
      </w:r>
      <w:r w:rsidR="00D7613E" w:rsidRPr="00F650D8">
        <w:rPr>
          <w:rFonts w:ascii="Times New Roman" w:hAnsi="Times New Roman" w:cs="Times New Roman"/>
        </w:rPr>
        <w:t>after</w:t>
      </w:r>
      <w:r w:rsidRPr="00F650D8">
        <w:rPr>
          <w:rFonts w:ascii="Times New Roman" w:hAnsi="Times New Roman" w:cs="Times New Roman"/>
        </w:rPr>
        <w:t xml:space="preserve"> weight loss, </w:t>
      </w:r>
      <w:r w:rsidR="00C83CE1" w:rsidRPr="00F650D8">
        <w:rPr>
          <w:rFonts w:ascii="Times New Roman" w:hAnsi="Times New Roman" w:cs="Times New Roman"/>
        </w:rPr>
        <w:t xml:space="preserve">where </w:t>
      </w:r>
      <w:r w:rsidRPr="00F650D8">
        <w:rPr>
          <w:rFonts w:ascii="Times New Roman" w:hAnsi="Times New Roman" w:cs="Times New Roman"/>
        </w:rPr>
        <w:t>PYY and GLP-1 are reduced</w:t>
      </w:r>
      <w:r w:rsidR="00CB3B61" w:rsidRPr="00F650D8">
        <w:rPr>
          <w:rFonts w:ascii="Times New Roman" w:hAnsi="Times New Roman" w:cs="Times New Roman"/>
        </w:rPr>
        <w:t>, and acylated ghrelin is increased</w:t>
      </w:r>
      <w:r w:rsidR="005F111E" w:rsidRPr="00F650D8">
        <w:rPr>
          <w:rFonts w:ascii="Times New Roman" w:hAnsi="Times New Roman" w:cs="Times New Roman"/>
        </w:rPr>
        <w:t>.</w:t>
      </w:r>
      <w:r w:rsidR="005F4066"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{"citationItems":[{"id":"ITEM-1","itemData":{"DOI":"10.1016/j.ejim.2021.01.002","ISSN":"09536205","PMID":"33461826","abstract":"Gut hormone secretion profiles impact upon predisposition to weight regain according to an individual variability, although it is recognised a usual pattern of compensatory changes: a reduction in anorectic hormones secretion and an increase in orexigenic hormone. These changes lead to both increased appetite and reward value of food leading to increased energye intake. In addition, resting energy expenditure after weight loss is lower than expected according to body composition changes. This gap between observed and predicted energy expenditure following weight loss is named metabolic adaptation, which has been suggested to explain partly weight regain. This complicated scenario, beyond patient motivation, makes weight regain a challenge in long-term management interventions in patients with obesity.","author":[{"dropping-particle":"","family":"Busetto","given":"Luca","non-dropping-particle":"","parse-names":false,"suffix":""},{"dropping-particle":"","family":"Bettini","given":"Silvia","non-dropping-particle":"","parse-names":false,"suffix":""},{"dropping-particle":"","family":"Makaronidis","given":"Janine","non-dropping-particle":"","parse-names":false,"suffix":""},{"dropping-particle":"","family":"Roberts","given":"Carl A.","non-dropping-particle":"","parse-names":false,"suffix":""},{"dropping-particle":"","family":"Halford","given":"Jason C.G.","non-dropping-particle":"","parse-names":false,"suffix":""},{"dropping-particle":"","family":"Batterham","given":"Rachel L.","non-dropping-particle":"","parse-names":false,"suffix":""}],"container-title":"European Journal of Internal Medicine","id":"ITEM-1","issue":"October 2020","issued":{"date-parts":[["2021"]]},"publisher":"Elsevier B.V.","title":"Mechanisms of weight regain.","type":"article-journal"},"uris":["http://www.mendeley.com/documents/?uuid=0fe4aa67-57ce-43d7-a864-4ec1ed068a06"]},{"id":"ITEM-2","itemData":{"DOI":"10.1056/NEJMoa1105816","ISSN":"15334406","abstract":"BACKGROUND: After weight loss, changes in the circulating levels of several peripheral hormones involved in the homeostatic regulation of body weight occur. Whether these changes are transient or persist over time may be important for an understanding of the reasons behind the high rate of weight regain after diet-induced weight loss. METHODS: We enrolled 50 overweight or obese patients without diabetes in a 10-week weight-loss program for which a very-low-energy diet was prescribed. At baseline (before weight loss), at 10 weeks (after program completion), and at 62 weeks, we examined circulating levels of leptin, ghrelin, peptide YY, gastric inhibitory polypeptide, glucagon-like peptide 1, amylin, pancreatic polypeptide, cholecystokinin, and insulin and subjective ratings of appetite. RESULTS: Weight loss (mean [±SE], 13.5±0.5 kg) led to significant reductions in levels of leptin, peptide YY, cholecystokinin, insulin (P&lt;0.001 for all comparisons), and amylin (P = 0.002) and to increases in levels of ghrelin (P&lt;0.001), gastric inhibitory polypeptide (P = 0.004), and pancreatic polypeptide (P = 0.008). There was also a significant increase in subjective appetite (P&lt;0.001). One year after the initial weight loss, there were still significant differences from baseline in the mean levels of leptin (P&lt;0.001), peptide YY (P&lt;0.001), cholecystokinin (P = 0.04), insulin (P = 0.01), ghrelin (P&lt;0.001), gastric inhibitory polypeptide (P&lt;0.001), and pancreatic polypeptide (P = 0.002), as well as hunger (P&lt;0.001). CONCLUSIONS: One year after initial weight reduction, levels of the circulating mediators of appetite that encourage weight regain after diet-induced weight loss do not revert to the levels recorded before weight loss. Long-term strategies to counteract this change may be needed to prevent obesity relapse. (Funded by the National Health and Medical Research Council and others; ClinicalTrials.gov number, NCT00870259.) Copyright © 2011 Massachusetts Medical Society.","author":[{"dropping-particle":"","family":"Sumithran","given":"Priya","non-dropping-particle":"","parse-names":false,"suffix":""},{"dropping-particle":"","family":"Prendergast","given":"Luke A.","non-dropping-particle":"","parse-names":false,"suffix":""},{"dropping-particle":"","family":"Delbridge","given":"Elizabeth","non-dropping-particle":"","parse-names":false,"suffix":""},{"dropping-particle":"","family":"Purcell","given":"Katrina","non-dropping-particle":"","parse-names":false,"suffix":""},{"dropping-particle":"","family":"Shulkes","given":"Arthur","non-dropping-particle":"","parse-names":false,"suffix":""},{"dropping-particle":"","family":"Kriketos","given":"Adamandia","non-dropping-particle":"","parse-names":false,"suffix":""},{"dropping-particle":"","family":"Proietto","given":"Joseph","non-dropping-particle":"","parse-names":false,"suffix":""}],"container-title":"New England Journal of Medicine","id":"ITEM-2","issue":"17","issued":{"date-parts":[["2011"]]},"page":"1597-1604","title":"Long-term persistence of hormonal adaptations to weight loss","type":"article-journal","volume":"365"},"uris":["http://www.mendeley.com/documents/?uuid=b19b6fa5-6f90-44da-a7f0-9eab738bcc79"]}],"mendeley":{"formattedCitation":"&lt;sup&gt;4,34&lt;/sup&gt;","plainTextFormattedCitation":"4,34","previouslyFormattedCitation":"&lt;sup&gt;4,34&lt;/sup&gt;"},"properties":{"noteIndex":0},"schema":"https://github.com/citation-style-language/schema/raw/master/csl-citation.json"}</w:instrText>
      </w:r>
      <w:r w:rsidR="005F4066"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4,34</w:t>
      </w:r>
      <w:r w:rsidR="005F4066" w:rsidRPr="00F650D8">
        <w:rPr>
          <w:rFonts w:ascii="Times New Roman" w:hAnsi="Times New Roman" w:cs="Times New Roman"/>
        </w:rPr>
        <w:fldChar w:fldCharType="end"/>
      </w:r>
      <w:r w:rsidRPr="00F650D8">
        <w:rPr>
          <w:rFonts w:ascii="Times New Roman" w:hAnsi="Times New Roman" w:cs="Times New Roman"/>
        </w:rPr>
        <w:t xml:space="preserve"> </w:t>
      </w:r>
      <w:r w:rsidR="003B685C" w:rsidRPr="00F650D8">
        <w:rPr>
          <w:rFonts w:ascii="Times New Roman" w:hAnsi="Times New Roman" w:cs="Times New Roman"/>
        </w:rPr>
        <w:t>Consequently</w:t>
      </w:r>
      <w:r w:rsidRPr="00F650D8">
        <w:rPr>
          <w:rFonts w:ascii="Times New Roman" w:hAnsi="Times New Roman" w:cs="Times New Roman"/>
        </w:rPr>
        <w:t>, we hypothesi</w:t>
      </w:r>
      <w:r w:rsidR="002B7883" w:rsidRPr="00F650D8">
        <w:rPr>
          <w:rFonts w:ascii="Times New Roman" w:hAnsi="Times New Roman" w:cs="Times New Roman"/>
        </w:rPr>
        <w:t>s</w:t>
      </w:r>
      <w:r w:rsidRPr="00F650D8">
        <w:rPr>
          <w:rFonts w:ascii="Times New Roman" w:hAnsi="Times New Roman" w:cs="Times New Roman"/>
        </w:rPr>
        <w:t xml:space="preserve">ed that empagliflozin and diet-induced weight loss would alter the profile of these peptides commensurate with increased hunger and reduced satiety, </w:t>
      </w:r>
      <w:r w:rsidR="00A14161" w:rsidRPr="00F650D8">
        <w:rPr>
          <w:rFonts w:ascii="Times New Roman" w:hAnsi="Times New Roman" w:cs="Times New Roman"/>
        </w:rPr>
        <w:t xml:space="preserve">with </w:t>
      </w:r>
      <w:r w:rsidRPr="00F650D8">
        <w:rPr>
          <w:rFonts w:ascii="Times New Roman" w:hAnsi="Times New Roman" w:cs="Times New Roman"/>
        </w:rPr>
        <w:t xml:space="preserve">such responses potentiated </w:t>
      </w:r>
      <w:r w:rsidR="00A14161" w:rsidRPr="00F650D8">
        <w:rPr>
          <w:rFonts w:ascii="Times New Roman" w:hAnsi="Times New Roman" w:cs="Times New Roman"/>
        </w:rPr>
        <w:t>when the two</w:t>
      </w:r>
      <w:r w:rsidRPr="00F650D8">
        <w:rPr>
          <w:rFonts w:ascii="Times New Roman" w:hAnsi="Times New Roman" w:cs="Times New Roman"/>
        </w:rPr>
        <w:t xml:space="preserve"> interventions</w:t>
      </w:r>
      <w:r w:rsidR="00A14161" w:rsidRPr="00F650D8">
        <w:rPr>
          <w:rFonts w:ascii="Times New Roman" w:hAnsi="Times New Roman" w:cs="Times New Roman"/>
        </w:rPr>
        <w:t xml:space="preserve"> were combined</w:t>
      </w:r>
      <w:r w:rsidRPr="00F650D8">
        <w:rPr>
          <w:rFonts w:ascii="Times New Roman" w:hAnsi="Times New Roman" w:cs="Times New Roman"/>
        </w:rPr>
        <w:t xml:space="preserve">. </w:t>
      </w:r>
    </w:p>
    <w:p w14:paraId="23D963A6" w14:textId="77777777" w:rsidR="00FE448C" w:rsidRPr="00F650D8" w:rsidRDefault="00FE448C" w:rsidP="00991FA4">
      <w:pPr>
        <w:spacing w:line="480" w:lineRule="auto"/>
        <w:jc w:val="both"/>
        <w:rPr>
          <w:rFonts w:ascii="Times New Roman" w:hAnsi="Times New Roman" w:cs="Times New Roman"/>
        </w:rPr>
      </w:pPr>
    </w:p>
    <w:p w14:paraId="48EC9D4D" w14:textId="48272A59" w:rsidR="00495D4E" w:rsidRPr="00F650D8" w:rsidRDefault="00F46B02" w:rsidP="00991FA4">
      <w:pPr>
        <w:spacing w:line="480" w:lineRule="auto"/>
        <w:jc w:val="both"/>
        <w:rPr>
          <w:rFonts w:ascii="Times New Roman" w:hAnsi="Times New Roman" w:cs="Times New Roman"/>
        </w:rPr>
      </w:pPr>
      <w:r w:rsidRPr="00F650D8">
        <w:rPr>
          <w:rFonts w:ascii="Times New Roman" w:hAnsi="Times New Roman" w:cs="Times New Roman"/>
        </w:rPr>
        <w:t>In</w:t>
      </w:r>
      <w:r w:rsidR="00991FA4" w:rsidRPr="00F650D8">
        <w:rPr>
          <w:rFonts w:ascii="Times New Roman" w:hAnsi="Times New Roman" w:cs="Times New Roman"/>
        </w:rPr>
        <w:t xml:space="preserve"> contrast</w:t>
      </w:r>
      <w:r w:rsidR="00A14161" w:rsidRPr="00F650D8">
        <w:rPr>
          <w:rFonts w:ascii="Times New Roman" w:hAnsi="Times New Roman" w:cs="Times New Roman"/>
        </w:rPr>
        <w:t xml:space="preserve"> to our hypothesis,</w:t>
      </w:r>
      <w:r w:rsidR="00991FA4" w:rsidRPr="00F650D8">
        <w:rPr>
          <w:rFonts w:ascii="Times New Roman" w:hAnsi="Times New Roman" w:cs="Times New Roman"/>
        </w:rPr>
        <w:t xml:space="preserve"> </w:t>
      </w:r>
      <w:r w:rsidR="0051245E" w:rsidRPr="00F650D8">
        <w:rPr>
          <w:rFonts w:ascii="Times New Roman" w:hAnsi="Times New Roman" w:cs="Times New Roman"/>
        </w:rPr>
        <w:t>postprandial</w:t>
      </w:r>
      <w:r w:rsidR="00991FA4" w:rsidRPr="00F650D8">
        <w:rPr>
          <w:rFonts w:ascii="Times New Roman" w:hAnsi="Times New Roman" w:cs="Times New Roman"/>
        </w:rPr>
        <w:t xml:space="preserve"> </w:t>
      </w:r>
      <w:r w:rsidR="00CB3B61" w:rsidRPr="00F650D8">
        <w:rPr>
          <w:rFonts w:ascii="Times New Roman" w:hAnsi="Times New Roman" w:cs="Times New Roman"/>
        </w:rPr>
        <w:t xml:space="preserve">total </w:t>
      </w:r>
      <w:r w:rsidR="00991FA4" w:rsidRPr="00F650D8">
        <w:rPr>
          <w:rFonts w:ascii="Times New Roman" w:hAnsi="Times New Roman" w:cs="Times New Roman"/>
        </w:rPr>
        <w:t>PYY</w:t>
      </w:r>
      <w:r w:rsidR="008F691B" w:rsidRPr="00F650D8">
        <w:rPr>
          <w:rFonts w:ascii="Times New Roman" w:hAnsi="Times New Roman" w:cs="Times New Roman"/>
        </w:rPr>
        <w:t xml:space="preserve"> was unaffected in our primary analysis</w:t>
      </w:r>
      <w:r w:rsidR="00A14161" w:rsidRPr="00F650D8">
        <w:rPr>
          <w:rFonts w:ascii="Times New Roman" w:hAnsi="Times New Roman" w:cs="Times New Roman"/>
        </w:rPr>
        <w:t xml:space="preserve"> (at 24 weeks),</w:t>
      </w:r>
      <w:r w:rsidR="008F691B" w:rsidRPr="00F650D8">
        <w:rPr>
          <w:rFonts w:ascii="Times New Roman" w:hAnsi="Times New Roman" w:cs="Times New Roman"/>
        </w:rPr>
        <w:t xml:space="preserve"> and in fact greater in the empagliflozin-only group </w:t>
      </w:r>
      <w:r w:rsidR="00CB3B61" w:rsidRPr="00F650D8">
        <w:rPr>
          <w:rFonts w:ascii="Times New Roman" w:hAnsi="Times New Roman" w:cs="Times New Roman"/>
        </w:rPr>
        <w:t>within</w:t>
      </w:r>
      <w:r w:rsidR="008F691B" w:rsidRPr="00F650D8">
        <w:rPr>
          <w:rFonts w:ascii="Times New Roman" w:hAnsi="Times New Roman" w:cs="Times New Roman"/>
        </w:rPr>
        <w:t xml:space="preserve"> two of our secondary analyses </w:t>
      </w:r>
      <w:r w:rsidR="004E098A" w:rsidRPr="00F650D8">
        <w:rPr>
          <w:rFonts w:ascii="Times New Roman" w:hAnsi="Times New Roman" w:cs="Times New Roman"/>
        </w:rPr>
        <w:t>(</w:t>
      </w:r>
      <w:r w:rsidR="003B685C" w:rsidRPr="00F650D8">
        <w:rPr>
          <w:rFonts w:ascii="Times New Roman" w:hAnsi="Times New Roman" w:cs="Times New Roman"/>
        </w:rPr>
        <w:t>including our</w:t>
      </w:r>
      <w:r w:rsidR="00A14161" w:rsidRPr="00F650D8">
        <w:rPr>
          <w:rFonts w:ascii="Times New Roman" w:hAnsi="Times New Roman" w:cs="Times New Roman"/>
        </w:rPr>
        <w:t xml:space="preserve"> </w:t>
      </w:r>
      <w:r w:rsidR="008F691B" w:rsidRPr="00F650D8">
        <w:rPr>
          <w:rFonts w:ascii="Times New Roman" w:hAnsi="Times New Roman" w:cs="Times New Roman"/>
        </w:rPr>
        <w:t>per protocol sensitivity analysis</w:t>
      </w:r>
      <w:r w:rsidR="00764809" w:rsidRPr="00F650D8">
        <w:rPr>
          <w:rFonts w:ascii="Times New Roman" w:hAnsi="Times New Roman" w:cs="Times New Roman"/>
        </w:rPr>
        <w:t>)</w:t>
      </w:r>
      <w:r w:rsidR="008F691B" w:rsidRPr="00F650D8">
        <w:rPr>
          <w:rFonts w:ascii="Times New Roman" w:hAnsi="Times New Roman" w:cs="Times New Roman"/>
        </w:rPr>
        <w:t xml:space="preserve">. </w:t>
      </w:r>
      <w:r w:rsidR="008F691B" w:rsidRPr="00F650D8">
        <w:rPr>
          <w:rFonts w:ascii="Times New Roman" w:hAnsi="Times New Roman" w:cs="Times New Roman"/>
          <w:highlight w:val="yellow"/>
        </w:rPr>
        <w:t xml:space="preserve">Similarly, </w:t>
      </w:r>
      <w:r w:rsidR="00911F78" w:rsidRPr="00F650D8">
        <w:rPr>
          <w:rFonts w:ascii="Times New Roman" w:hAnsi="Times New Roman" w:cs="Times New Roman"/>
          <w:highlight w:val="yellow"/>
        </w:rPr>
        <w:t xml:space="preserve">there were no differences between experimental groups and placebo-only in </w:t>
      </w:r>
      <w:r w:rsidR="00CB3B61" w:rsidRPr="00F650D8">
        <w:rPr>
          <w:rFonts w:ascii="Times New Roman" w:hAnsi="Times New Roman" w:cs="Times New Roman"/>
          <w:highlight w:val="yellow"/>
        </w:rPr>
        <w:t xml:space="preserve">total </w:t>
      </w:r>
      <w:r w:rsidR="00D757C9" w:rsidRPr="00F650D8">
        <w:rPr>
          <w:rFonts w:ascii="Times New Roman" w:hAnsi="Times New Roman" w:cs="Times New Roman"/>
          <w:highlight w:val="yellow"/>
        </w:rPr>
        <w:t>GLP-</w:t>
      </w:r>
      <w:r w:rsidR="008F691B" w:rsidRPr="00F650D8">
        <w:rPr>
          <w:rFonts w:ascii="Times New Roman" w:hAnsi="Times New Roman" w:cs="Times New Roman"/>
          <w:highlight w:val="yellow"/>
        </w:rPr>
        <w:t xml:space="preserve">1 </w:t>
      </w:r>
      <w:r w:rsidR="00911F78" w:rsidRPr="00F650D8">
        <w:rPr>
          <w:rFonts w:ascii="Times New Roman" w:hAnsi="Times New Roman" w:cs="Times New Roman"/>
          <w:highlight w:val="yellow"/>
        </w:rPr>
        <w:t xml:space="preserve">at 24 weeks, but </w:t>
      </w:r>
      <w:r w:rsidR="00FE448C" w:rsidRPr="00F650D8">
        <w:rPr>
          <w:rFonts w:ascii="Times New Roman" w:hAnsi="Times New Roman" w:cs="Times New Roman"/>
          <w:highlight w:val="yellow"/>
        </w:rPr>
        <w:t>an</w:t>
      </w:r>
      <w:r w:rsidR="008F691B" w:rsidRPr="00F650D8">
        <w:rPr>
          <w:rFonts w:ascii="Times New Roman" w:hAnsi="Times New Roman" w:cs="Times New Roman"/>
          <w:highlight w:val="yellow"/>
        </w:rPr>
        <w:t xml:space="preserve"> increase in the empagliflozin-only group across follow</w:t>
      </w:r>
      <w:r w:rsidR="00A14161" w:rsidRPr="00F650D8">
        <w:rPr>
          <w:rFonts w:ascii="Times New Roman" w:hAnsi="Times New Roman" w:cs="Times New Roman"/>
          <w:highlight w:val="yellow"/>
        </w:rPr>
        <w:t>-</w:t>
      </w:r>
      <w:r w:rsidR="008F691B" w:rsidRPr="00F650D8">
        <w:rPr>
          <w:rFonts w:ascii="Times New Roman" w:hAnsi="Times New Roman" w:cs="Times New Roman"/>
          <w:highlight w:val="yellow"/>
        </w:rPr>
        <w:t>up collectively</w:t>
      </w:r>
      <w:r w:rsidR="00A14161" w:rsidRPr="00F650D8">
        <w:rPr>
          <w:rFonts w:ascii="Times New Roman" w:hAnsi="Times New Roman" w:cs="Times New Roman"/>
        </w:rPr>
        <w:t>.</w:t>
      </w:r>
      <w:r w:rsidR="008F691B" w:rsidRPr="00F650D8">
        <w:rPr>
          <w:rFonts w:ascii="Times New Roman" w:hAnsi="Times New Roman" w:cs="Times New Roman"/>
        </w:rPr>
        <w:t xml:space="preserve"> A</w:t>
      </w:r>
      <w:r w:rsidR="00991FA4" w:rsidRPr="00F650D8">
        <w:rPr>
          <w:rFonts w:ascii="Times New Roman" w:hAnsi="Times New Roman" w:cs="Times New Roman"/>
        </w:rPr>
        <w:t xml:space="preserve">cylated ghrelin responses were not influenced by any of our interventions. </w:t>
      </w:r>
      <w:r w:rsidR="00991FA4" w:rsidRPr="00F650D8">
        <w:rPr>
          <w:rFonts w:ascii="Times New Roman" w:hAnsi="Times New Roman" w:cs="Times New Roman"/>
          <w:highlight w:val="yellow"/>
        </w:rPr>
        <w:t xml:space="preserve">Collectively, these findings indicate that empagliflozin therapy, </w:t>
      </w:r>
      <w:r w:rsidR="00D757C9" w:rsidRPr="00F650D8">
        <w:rPr>
          <w:rFonts w:ascii="Times New Roman" w:hAnsi="Times New Roman" w:cs="Times New Roman"/>
          <w:highlight w:val="yellow"/>
        </w:rPr>
        <w:t>matched weight loss through dietary energy restriction, and the combination of both</w:t>
      </w:r>
      <w:r w:rsidR="00991FA4" w:rsidRPr="00F650D8">
        <w:rPr>
          <w:rFonts w:ascii="Times New Roman" w:hAnsi="Times New Roman" w:cs="Times New Roman"/>
          <w:highlight w:val="yellow"/>
        </w:rPr>
        <w:t xml:space="preserve"> </w:t>
      </w:r>
      <w:r w:rsidR="00F56193" w:rsidRPr="00F650D8">
        <w:rPr>
          <w:rFonts w:ascii="Times New Roman" w:hAnsi="Times New Roman" w:cs="Times New Roman"/>
          <w:highlight w:val="yellow"/>
        </w:rPr>
        <w:t>do</w:t>
      </w:r>
      <w:r w:rsidR="00991FA4" w:rsidRPr="00F650D8">
        <w:rPr>
          <w:rFonts w:ascii="Times New Roman" w:hAnsi="Times New Roman" w:cs="Times New Roman"/>
          <w:highlight w:val="yellow"/>
        </w:rPr>
        <w:t xml:space="preserve"> not provoke changes in </w:t>
      </w:r>
      <w:r w:rsidR="00F222EF" w:rsidRPr="00F650D8">
        <w:rPr>
          <w:rFonts w:ascii="Times New Roman" w:hAnsi="Times New Roman" w:cs="Times New Roman"/>
          <w:highlight w:val="yellow"/>
        </w:rPr>
        <w:t xml:space="preserve">circulating </w:t>
      </w:r>
      <w:r w:rsidR="00E15EC8" w:rsidRPr="00F650D8">
        <w:rPr>
          <w:rFonts w:ascii="Times New Roman" w:hAnsi="Times New Roman" w:cs="Times New Roman"/>
          <w:highlight w:val="yellow"/>
        </w:rPr>
        <w:t xml:space="preserve">appetite-related </w:t>
      </w:r>
      <w:r w:rsidR="00991FA4" w:rsidRPr="00F650D8">
        <w:rPr>
          <w:rFonts w:ascii="Times New Roman" w:hAnsi="Times New Roman" w:cs="Times New Roman"/>
          <w:highlight w:val="yellow"/>
        </w:rPr>
        <w:t xml:space="preserve">peptides which </w:t>
      </w:r>
      <w:r w:rsidR="008119D1" w:rsidRPr="00F650D8">
        <w:rPr>
          <w:rFonts w:ascii="Times New Roman" w:hAnsi="Times New Roman" w:cs="Times New Roman"/>
          <w:highlight w:val="yellow"/>
        </w:rPr>
        <w:t xml:space="preserve">would be expected to </w:t>
      </w:r>
      <w:r w:rsidR="008E21D7" w:rsidRPr="00F650D8">
        <w:rPr>
          <w:rFonts w:ascii="Times New Roman" w:hAnsi="Times New Roman" w:cs="Times New Roman"/>
          <w:highlight w:val="yellow"/>
        </w:rPr>
        <w:t>increase hunger and/or reduce satiety</w:t>
      </w:r>
      <w:r w:rsidR="002475C3" w:rsidRPr="00F650D8">
        <w:rPr>
          <w:rFonts w:ascii="Times New Roman" w:hAnsi="Times New Roman" w:cs="Times New Roman"/>
          <w:highlight w:val="yellow"/>
        </w:rPr>
        <w:t xml:space="preserve">, </w:t>
      </w:r>
      <w:r w:rsidR="00F56193" w:rsidRPr="00F650D8">
        <w:rPr>
          <w:rFonts w:ascii="Times New Roman" w:hAnsi="Times New Roman" w:cs="Times New Roman"/>
          <w:highlight w:val="yellow"/>
        </w:rPr>
        <w:t xml:space="preserve">in individuals with </w:t>
      </w:r>
      <w:r w:rsidR="007D6367" w:rsidRPr="00F650D8">
        <w:rPr>
          <w:rFonts w:ascii="Times New Roman" w:hAnsi="Times New Roman" w:cs="Times New Roman"/>
          <w:highlight w:val="yellow"/>
        </w:rPr>
        <w:t>T2D</w:t>
      </w:r>
      <w:r w:rsidR="003F4A63" w:rsidRPr="00F650D8">
        <w:rPr>
          <w:rFonts w:ascii="Times New Roman" w:hAnsi="Times New Roman" w:cs="Times New Roman"/>
          <w:highlight w:val="yellow"/>
        </w:rPr>
        <w:t xml:space="preserve"> and </w:t>
      </w:r>
      <w:r w:rsidR="00F56193" w:rsidRPr="00F650D8">
        <w:rPr>
          <w:rFonts w:ascii="Times New Roman" w:hAnsi="Times New Roman" w:cs="Times New Roman"/>
          <w:highlight w:val="yellow"/>
        </w:rPr>
        <w:t>overweight or obesity</w:t>
      </w:r>
      <w:r w:rsidR="00991FA4" w:rsidRPr="00F650D8">
        <w:rPr>
          <w:rFonts w:ascii="Times New Roman" w:hAnsi="Times New Roman" w:cs="Times New Roman"/>
        </w:rPr>
        <w:t xml:space="preserve">. </w:t>
      </w:r>
      <w:r w:rsidR="00F56193" w:rsidRPr="00F650D8">
        <w:rPr>
          <w:rFonts w:ascii="Times New Roman" w:hAnsi="Times New Roman" w:cs="Times New Roman"/>
        </w:rPr>
        <w:t xml:space="preserve">It is notable, however, that the magnitude of weight loss elicited in our study </w:t>
      </w:r>
      <w:r w:rsidR="00283431" w:rsidRPr="00F650D8">
        <w:rPr>
          <w:rFonts w:ascii="Times New Roman" w:hAnsi="Times New Roman" w:cs="Times New Roman"/>
        </w:rPr>
        <w:t>is</w:t>
      </w:r>
      <w:r w:rsidR="00F56193" w:rsidRPr="00F650D8">
        <w:rPr>
          <w:rFonts w:ascii="Times New Roman" w:hAnsi="Times New Roman" w:cs="Times New Roman"/>
        </w:rPr>
        <w:t xml:space="preserve"> less than that </w:t>
      </w:r>
      <w:r w:rsidR="00283431" w:rsidRPr="00F650D8">
        <w:rPr>
          <w:rFonts w:ascii="Times New Roman" w:hAnsi="Times New Roman" w:cs="Times New Roman"/>
        </w:rPr>
        <w:t>of</w:t>
      </w:r>
      <w:r w:rsidR="00F56193" w:rsidRPr="00F650D8">
        <w:rPr>
          <w:rFonts w:ascii="Times New Roman" w:hAnsi="Times New Roman" w:cs="Times New Roman"/>
        </w:rPr>
        <w:t xml:space="preserve"> previous trials </w:t>
      </w:r>
      <w:r w:rsidR="0058576E" w:rsidRPr="00F650D8">
        <w:rPr>
          <w:rFonts w:ascii="Times New Roman" w:hAnsi="Times New Roman" w:cs="Times New Roman"/>
        </w:rPr>
        <w:t>with</w:t>
      </w:r>
      <w:r w:rsidR="00283431" w:rsidRPr="00F650D8">
        <w:rPr>
          <w:rFonts w:ascii="Times New Roman" w:hAnsi="Times New Roman" w:cs="Times New Roman"/>
        </w:rPr>
        <w:t xml:space="preserve">in </w:t>
      </w:r>
      <w:r w:rsidR="00F56193" w:rsidRPr="00F650D8">
        <w:rPr>
          <w:rFonts w:ascii="Times New Roman" w:hAnsi="Times New Roman" w:cs="Times New Roman"/>
        </w:rPr>
        <w:t>which compensatory responses</w:t>
      </w:r>
      <w:r w:rsidR="00482E04" w:rsidRPr="00F650D8">
        <w:rPr>
          <w:rFonts w:ascii="Times New Roman" w:hAnsi="Times New Roman" w:cs="Times New Roman"/>
        </w:rPr>
        <w:t xml:space="preserve"> </w:t>
      </w:r>
      <w:r w:rsidR="00482E04" w:rsidRPr="00F650D8">
        <w:rPr>
          <w:rFonts w:ascii="Times New Roman" w:hAnsi="Times New Roman" w:cs="Times New Roman"/>
          <w:highlight w:val="yellow"/>
        </w:rPr>
        <w:t>(increased circulating ghrelin; reduced PYY, and GLP-1)</w:t>
      </w:r>
      <w:r w:rsidR="00F56193" w:rsidRPr="00F650D8">
        <w:rPr>
          <w:rFonts w:ascii="Times New Roman" w:hAnsi="Times New Roman" w:cs="Times New Roman"/>
        </w:rPr>
        <w:t xml:space="preserve"> to diet-induced weight loss</w:t>
      </w:r>
      <w:r w:rsidR="00283431" w:rsidRPr="00F650D8">
        <w:rPr>
          <w:rFonts w:ascii="Times New Roman" w:hAnsi="Times New Roman" w:cs="Times New Roman"/>
        </w:rPr>
        <w:t xml:space="preserve"> ha</w:t>
      </w:r>
      <w:r w:rsidR="00B04D51" w:rsidRPr="00F650D8">
        <w:rPr>
          <w:rFonts w:ascii="Times New Roman" w:hAnsi="Times New Roman" w:cs="Times New Roman"/>
        </w:rPr>
        <w:t xml:space="preserve">ve </w:t>
      </w:r>
      <w:r w:rsidR="00283431" w:rsidRPr="00F650D8">
        <w:rPr>
          <w:rFonts w:ascii="Times New Roman" w:hAnsi="Times New Roman" w:cs="Times New Roman"/>
        </w:rPr>
        <w:t>been observed</w:t>
      </w:r>
      <w:r w:rsidR="005F111E" w:rsidRPr="00F650D8">
        <w:rPr>
          <w:rFonts w:ascii="Times New Roman" w:hAnsi="Times New Roman" w:cs="Times New Roman"/>
        </w:rPr>
        <w:t>.</w:t>
      </w:r>
      <w:r w:rsidR="00F56193"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{"citationItems":[{"id":"ITEM-1","itemData":{"DOI":"10.1056/NEJMoa1105816","ISSN":"15334406","abstract":"BACKGROUND: After weight loss, changes in the circulating levels of several peripheral hormones involved in the homeostatic regulation of body weight occur. Whether these changes are transient or persist over time may be important for an understanding of the reasons behind the high rate of weight regain after diet-induced weight loss. METHODS: We enrolled 50 overweight or obese patients without diabetes in a 10-week weight-loss program for which a very-low-energy diet was prescribed. At baseline (before weight loss), at 10 weeks (after program completion), and at 62 weeks, we examined circulating levels of leptin, ghrelin, peptide YY, gastric inhibitory polypeptide, glucagon-like peptide 1, amylin, pancreatic polypeptide, cholecystokinin, and insulin and subjective ratings of appetite. RESULTS: Weight loss (mean [±SE], 13.5±0.5 kg) led to significant reductions in levels of leptin, peptide YY, cholecystokinin, insulin (P&lt;0.001 for all comparisons), and amylin (P = 0.002) and to increases in levels of ghrelin (P&lt;0.001), gastric inhibitory polypeptide (P = 0.004), and pancreatic polypeptide (P = 0.008). There was also a significant increase in subjective appetite (P&lt;0.001). One year after the initial weight loss, there were still significant differences from baseline in the mean levels of leptin (P&lt;0.001), peptide YY (P&lt;0.001), cholecystokinin (P = 0.04), insulin (P = 0.01), ghrelin (P&lt;0.001), gastric inhibitory polypeptide (P&lt;0.001), and pancreatic polypeptide (P = 0.002), as well as hunger (P&lt;0.001). CONCLUSIONS: One year after initial weight reduction, levels of the circulating mediators of appetite that encourage weight regain after diet-induced weight loss do not revert to the levels recorded before weight loss. Long-term strategies to counteract this change may be needed to prevent obesity relapse. (Funded by the National Health and Medical Research Council and others; ClinicalTrials.gov number, NCT00870259.) Copyright © 2011 Massachusetts Medical Society.","author":[{"dropping-particle":"","family":"Sumithran","given":"Priya","non-dropping-particle":"","parse-names":false,"suffix":""},{"dropping-particle":"","family":"Prendergast","given":"Luke A.","non-dropping-particle":"","parse-names":false,"suffix":""},{"dropping-particle":"","family":"Delbridge","given":"Elizabeth","non-dropping-particle":"","parse-names":false,"suffix":""},{"dropping-particle":"","family":"Purcell","given":"Katrina","non-dropping-particle":"","parse-names":false,"suffix":""},{"dropping-particle":"","family":"Shulkes","given":"Arthur","non-dropping-particle":"","parse-names":false,"suffix":""},{"dropping-particle":"","family":"Kriketos","given":"Adamandia","non-dropping-particle":"","parse-names":false,"suffix":""},{"dropping-particle":"","family":"Proietto","given":"Joseph","non-dropping-particle":"","parse-names":false,"suffix":""}],"container-title":"New England Journal of Medicine","id":"ITEM-1","issue":"17","issued":{"date-parts":[["2011"]]},"page":"1597-1604","title":"Long-term persistence of hormonal adaptations to weight loss","type":"article-journal","volume":"365"},"uris":["http://www.mendeley.com/documents/?uuid=b19b6fa5-6f90-44da-a7f0-9eab738bcc79"]}],"mendeley":{"formattedCitation":"&lt;sup&gt;34&lt;/sup&gt;","plainTextFormattedCitation":"34","previouslyFormattedCitation":"&lt;sup&gt;34&lt;/sup&gt;"},"properties":{"noteIndex":0},"schema":"https://github.com/citation-style-language/schema/raw/master/csl-citation.json"}</w:instrText>
      </w:r>
      <w:r w:rsidR="00F56193"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34</w:t>
      </w:r>
      <w:r w:rsidR="00F56193" w:rsidRPr="00F650D8">
        <w:rPr>
          <w:rFonts w:ascii="Times New Roman" w:hAnsi="Times New Roman" w:cs="Times New Roman"/>
        </w:rPr>
        <w:fldChar w:fldCharType="end"/>
      </w:r>
      <w:r w:rsidR="00D757C9" w:rsidRPr="00F650D8">
        <w:rPr>
          <w:rFonts w:ascii="Times New Roman" w:hAnsi="Times New Roman" w:cs="Times New Roman"/>
        </w:rPr>
        <w:t xml:space="preserve"> Therefore, changes in these peptides may </w:t>
      </w:r>
      <w:r w:rsidR="00A242FC" w:rsidRPr="00F650D8">
        <w:rPr>
          <w:rFonts w:ascii="Times New Roman" w:hAnsi="Times New Roman" w:cs="Times New Roman"/>
        </w:rPr>
        <w:t xml:space="preserve">only </w:t>
      </w:r>
      <w:r w:rsidR="00D757C9" w:rsidRPr="00F650D8">
        <w:rPr>
          <w:rFonts w:ascii="Times New Roman" w:hAnsi="Times New Roman" w:cs="Times New Roman"/>
        </w:rPr>
        <w:t xml:space="preserve">become apparent </w:t>
      </w:r>
      <w:r w:rsidR="00A242FC" w:rsidRPr="00F650D8">
        <w:rPr>
          <w:rFonts w:ascii="Times New Roman" w:hAnsi="Times New Roman" w:cs="Times New Roman"/>
        </w:rPr>
        <w:t xml:space="preserve">with </w:t>
      </w:r>
      <w:r w:rsidR="00996BC4" w:rsidRPr="00F650D8">
        <w:rPr>
          <w:rFonts w:ascii="Times New Roman" w:hAnsi="Times New Roman" w:cs="Times New Roman"/>
        </w:rPr>
        <w:t xml:space="preserve">interventions eliciting </w:t>
      </w:r>
      <w:r w:rsidR="00D757C9" w:rsidRPr="00F650D8">
        <w:rPr>
          <w:rFonts w:ascii="Times New Roman" w:hAnsi="Times New Roman" w:cs="Times New Roman"/>
        </w:rPr>
        <w:t>greater weight loss.</w:t>
      </w:r>
      <w:r w:rsidR="00991FA4" w:rsidRPr="00F650D8">
        <w:rPr>
          <w:rFonts w:ascii="Times New Roman" w:hAnsi="Times New Roman" w:cs="Times New Roman"/>
        </w:rPr>
        <w:t xml:space="preserve"> </w:t>
      </w:r>
      <w:r w:rsidR="0058576E" w:rsidRPr="00F650D8">
        <w:rPr>
          <w:rFonts w:ascii="Times New Roman" w:hAnsi="Times New Roman" w:cs="Times New Roman"/>
        </w:rPr>
        <w:t>Furthermore, c</w:t>
      </w:r>
      <w:r w:rsidR="00991FA4" w:rsidRPr="00F650D8">
        <w:rPr>
          <w:rFonts w:ascii="Times New Roman" w:hAnsi="Times New Roman" w:cs="Times New Roman"/>
        </w:rPr>
        <w:t xml:space="preserve">irculating levels </w:t>
      </w:r>
      <w:r w:rsidR="00F56193" w:rsidRPr="00F650D8">
        <w:rPr>
          <w:rFonts w:ascii="Times New Roman" w:hAnsi="Times New Roman" w:cs="Times New Roman"/>
        </w:rPr>
        <w:t xml:space="preserve">of PYY and GLP-1 </w:t>
      </w:r>
      <w:r w:rsidR="00991FA4" w:rsidRPr="00F650D8">
        <w:rPr>
          <w:rFonts w:ascii="Times New Roman" w:hAnsi="Times New Roman" w:cs="Times New Roman"/>
        </w:rPr>
        <w:t>are reduced in obesity</w:t>
      </w:r>
      <w:r w:rsidR="005F111E" w:rsidRPr="00F650D8">
        <w:rPr>
          <w:rFonts w:ascii="Times New Roman" w:hAnsi="Times New Roman" w:cs="Times New Roman"/>
        </w:rPr>
        <w:t>,</w:t>
      </w:r>
      <w:r w:rsidR="0046763B"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{"citationItems":[{"id":"ITEM-1","itemData":{"DOI":"10.1111/dom.13129","ISSN":"14631326","PMID":"29364588","abstract":"Incretin hormones are gut peptides that are secreted after nutrient intake and stimulate insulin secretion together with hyperglycaemia. GIP (glucose-dependent insulinotropic polypeptide) und GLP-1 (glucagon-like peptide-1) are the known incretin hormones from the upper (GIP, K cells) and lower (GLP-1, L cells) gut. Together, they are responsible for the incretin effect: a two- to three-fold higher insulin secretory response to oral as compared to intravenous glucose administration. In subjects with type 2 diabetes, this incretin effect is diminished or no longer present. This is the consequence of a substantially reduced effectiveness of GIP on the diabetic endocrine pancreas, and of the negligible physiological role of GLP-1 in mediating the incretin effect even in healthy subjects. However, the insulinotropic and glucagonostatic effects of GLP-1 are preserved in subjects with type 2 diabetes to the degree that pharmacological stimulation of GLP-1 receptors significantly reduces plasma glucose and improves glycaemic control. Thus, it has become a parent compound of incretin-based glucose-lowering medications (GLP-1 receptor agonists and inhibitors of dipeptidyl peptidase-4 or DPP-4). GLP-1, in addition, has multiple effects on various organ systems. Most relevant are a reduction in appetite and food intake, leading to weight loss in the long term. Since GLP-1 secretion from the gut seems to be impaired in obese subjects, this may even indicate a role in the pathophysiology of obesity. Along these lines, an increased secretion of GLP-1 induced by delivering nutrients to lower parts of the small intestines (rich in L cells) may be one factor (among others like peptide YY) explaining weight loss and improvements in glycaemic control after bariatric surgery (e.g., Roux-en-Y gastric bypass). GIP and GLP-1, originally characterized as incretin hormones, have additional effects in adipose cells, bone, and the cardiovascular system. Especially, the latter have received attention based on recent findings that GLP-1 receptor agonists such as liraglutide reduce cardiovascular events and prolong life in high-risk patients with type 2 diabetes. Thus, incretin hormones have an important role physiologically, namely they are involved in the pathophysiology of obesity and type 2 diabetes, and they have therapeutic potential that can be traced to well-characterized physiological effects.","author":[{"dropping-particle":"","family":"Nauck","given":"Michael A.","non-dropping-particle":"","parse-names":false,"suffix":""},{"dropping-particle":"","family":"Meier","given":"Juris J.","non-dropping-particle":"","parse-names":false,"suffix":""}],"container-title":"Diabetes, Obesity and Metabolism","id":"ITEM-1","issue":"October 2017","issued":{"date-parts":[["2018"]]},"page":"5-21","title":"Incretin hormones: Their role in health and disease","type":"article-journal","volume":"20"},"uris":["http://www.mendeley.com/documents/?uuid=15e463a5-5f75-4194-ab8e-ff239e3c2f54"]},{"id":"ITEM-2","itemData":{"DOI":"10.1210/en.2005-0972","ISSN":"0013-7227","PMID":"16166213","abstract":"The responses of the gut hormone peptide YY (PYY) to food were investigated in 20 normal-weight and 20 obese humans in response to six test meals of varying calorie content. Human volunteers had a graded rise in plasma PYY (R2 = 0.96; P &lt; 0.001) during increasing calorific meals, but the obese subjects had a lower endogenous PYY response at each meal size (P &lt; 0.05 at all levels). The ratio of plasma PYY(1-36) to PYY(3-36) was similar in normal-weight and obese subjects. The effect on food intake and satiety of graded doses of exogenous PYY(3-36) was also evaluated in 12 human volunteers. Stepwise increasing doses of exogenous PYY(3-36) in humans caused a graded reduction in food intake (R2 = 0.38; P &lt; 0.001). In high-fat-fed (HF) mice that became obese and low-fat-fed mice that remained normal weight, we measured plasma PYY, tissue PYY, and PYY mRNA levels and assessed the effect of exogenous administered PYY(3-36) on food intake in HF mice. HF mice remained sensitive to the anorectic effects of exogenous ip PYY(3-36). Compared with low-fat-fed fed mice, the HF mice had lower endogenous plasma PYY and higher tissue PYY but similar PYY mRNA levels, suggesting a possible reduction of PYY release. Thus, fasting and postprandial endogenous plasma PYY levels were attenuated in obese humans and rodents. The PYY(3-36) infusion study showed that the degree of plasma PYY reduction in obese subjects were likely associated with decreased satiety and relatively increased food intake. We conclude that obese subjects have a PYY deficiency that would reduce satiety and could thus reinforce their obesity.","author":[{"dropping-particle":"","family":"Roux","given":"C W","non-dropping-particle":"le","parse-names":false,"suffix":""},{"dropping-particle":"","family":"Batterham","given":"R L","non-dropping-particle":"","parse-names":false,"suffix":""},{"dropping-particle":"","family":"Aylwin","given":"S J B","non-dropping-particle":"","parse-names":false,"suffix":""},{"dropping-particle":"","family":"Patterson","given":"M","non-dropping-particle":"","parse-names":false,"suffix":""},{"dropping-particle":"","family":"Borg","given":"C M","non-dropping-particle":"","parse-names":false,"suffix":""},{"dropping-particle":"","family":"Wynne","given":"K J","non-dropping-particle":"","parse-names":false,"suffix":""},{"dropping-particle":"","family":"Kent","given":"a","non-dropping-particle":"","parse-names":false,"suffix":""},{"dropping-particle":"","family":"Vincent","given":"R P","non-dropping-particle":"","parse-names":false,"suffix":""},{"dropping-particle":"","family":"Gardiner","given":"J","non-dropping-particle":"","parse-names":false,"suffix":""},{"dropping-particle":"","family":"Ghatei","given":"M a","non-dropping-particle":"","parse-names":false,"suffix":""},{"dropping-particle":"","family":"Bloom","given":"S R","non-dropping-particle":"","parse-names":false,"suffix":""}],"container-title":"Endocrinology","id":"ITEM-2","issue":"1","issued":{"date-parts":[["2006","1"]]},"page":"3-8","title":"Attenuated peptide YY release in obese subjects is associated with reduced satiety.","type":"article-journal","volume":"147"},"uris":["http://www.mendeley.com/documents/?uuid=8697a832-0422-48ec-9336-2393a11c0e5b"]}],"mendeley":{"formattedCitation":"&lt;sup&gt;32,35&lt;/sup&gt;","plainTextFormattedCitation":"32,35","previouslyFormattedCitation":"&lt;sup&gt;32,35&lt;/sup&gt;"},"properties":{"noteIndex":0},"schema":"https://github.com/citation-style-language/schema/raw/master/csl-citation.json"}</w:instrText>
      </w:r>
      <w:r w:rsidR="0046763B"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32,35</w:t>
      </w:r>
      <w:r w:rsidR="0046763B" w:rsidRPr="00F650D8">
        <w:rPr>
          <w:rFonts w:ascii="Times New Roman" w:hAnsi="Times New Roman" w:cs="Times New Roman"/>
        </w:rPr>
        <w:fldChar w:fldCharType="end"/>
      </w:r>
      <w:r w:rsidR="00F56193" w:rsidRPr="00F650D8">
        <w:rPr>
          <w:rFonts w:ascii="Times New Roman" w:hAnsi="Times New Roman" w:cs="Times New Roman"/>
        </w:rPr>
        <w:t xml:space="preserve"> and</w:t>
      </w:r>
      <w:r w:rsidR="00991FA4" w:rsidRPr="00F650D8">
        <w:rPr>
          <w:rFonts w:ascii="Times New Roman" w:hAnsi="Times New Roman" w:cs="Times New Roman"/>
        </w:rPr>
        <w:t xml:space="preserve"> </w:t>
      </w:r>
      <w:r w:rsidR="00F56193" w:rsidRPr="00F650D8">
        <w:rPr>
          <w:rFonts w:ascii="Times New Roman" w:hAnsi="Times New Roman" w:cs="Times New Roman"/>
        </w:rPr>
        <w:t xml:space="preserve">thus </w:t>
      </w:r>
      <w:r w:rsidR="00991FA4" w:rsidRPr="00F650D8">
        <w:rPr>
          <w:rFonts w:ascii="Times New Roman" w:hAnsi="Times New Roman" w:cs="Times New Roman"/>
        </w:rPr>
        <w:t>the capacity for f</w:t>
      </w:r>
      <w:r w:rsidR="00D757C9" w:rsidRPr="00F650D8">
        <w:rPr>
          <w:rFonts w:ascii="Times New Roman" w:hAnsi="Times New Roman" w:cs="Times New Roman"/>
        </w:rPr>
        <w:t>urther reduction may be limited</w:t>
      </w:r>
      <w:r w:rsidR="00B04D51" w:rsidRPr="00F650D8">
        <w:rPr>
          <w:rFonts w:ascii="Times New Roman" w:hAnsi="Times New Roman" w:cs="Times New Roman"/>
        </w:rPr>
        <w:t xml:space="preserve">. </w:t>
      </w:r>
      <w:r w:rsidR="00495D4E" w:rsidRPr="00F650D8">
        <w:rPr>
          <w:rFonts w:ascii="Times New Roman" w:hAnsi="Times New Roman" w:cs="Times New Roman"/>
          <w:highlight w:val="yellow"/>
        </w:rPr>
        <w:t xml:space="preserve">Our documented increase in postprandial GLP-1 concentration in the empagliflozin and empagliflozin-plus-diet treated </w:t>
      </w:r>
      <w:r w:rsidR="00FB1B7F" w:rsidRPr="00F650D8">
        <w:rPr>
          <w:rFonts w:ascii="Times New Roman" w:hAnsi="Times New Roman" w:cs="Times New Roman"/>
          <w:highlight w:val="yellow"/>
        </w:rPr>
        <w:t xml:space="preserve">groups is interesting and may </w:t>
      </w:r>
      <w:r w:rsidR="00FF6840" w:rsidRPr="00F650D8">
        <w:rPr>
          <w:rFonts w:ascii="Times New Roman" w:hAnsi="Times New Roman" w:cs="Times New Roman"/>
          <w:highlight w:val="yellow"/>
        </w:rPr>
        <w:t xml:space="preserve">represent a partial normalisation of GLP-1 response secondary to </w:t>
      </w:r>
      <w:r w:rsidR="00D81E7B" w:rsidRPr="00F650D8">
        <w:rPr>
          <w:rFonts w:ascii="Times New Roman" w:hAnsi="Times New Roman" w:cs="Times New Roman"/>
          <w:highlight w:val="yellow"/>
        </w:rPr>
        <w:t>weight loss</w:t>
      </w:r>
      <w:r w:rsidR="008F2260" w:rsidRPr="00F650D8">
        <w:rPr>
          <w:rFonts w:ascii="Times New Roman" w:hAnsi="Times New Roman" w:cs="Times New Roman"/>
          <w:highlight w:val="yellow"/>
        </w:rPr>
        <w:fldChar w:fldCharType="begin" w:fldLock="1"/>
      </w:r>
      <w:r w:rsidR="003E3229" w:rsidRPr="00F650D8">
        <w:rPr>
          <w:rFonts w:ascii="Times New Roman" w:hAnsi="Times New Roman" w:cs="Times New Roman"/>
          <w:highlight w:val="yellow"/>
        </w:rPr>
        <w:instrText>ADDIN CSL_CITATION {"citationItems":[{"id":"ITEM-1","itemData":{"DOI":"10.1093/ajcn/nqaa243","ISSN":"19383207","PMID":"32936896","abstract":"Weight regain remains the main challenge in obesity management, and its etiology remains elusive. The aim of the present review was to revise the available evidence regarding the \"Compensatory Theory,\"which is an explanatory model of relapse in obesity treatment, and to propose alternative mechanisms that can contribute to weight regain. It has been proposed, and generally accepted as true, that when a person loses weight the body fights back, with physiological adaptations on both sides of the energy balance equation that try to bring body weight back to its original state: this is the Compensatory Theory. This theory proposes that the increased orexigenic drive to eat and the reduced energy expenditure that follow weight loss are the main drivers of relapse. However, evidence showing a link between these physiological adaptations to weight loss and weight regain is lacking. Here, we propose that the physiological adaptations to weight loss, both at the level of the homeostatic appetite control system and energy expenditure, are in fact a normalization to a lower body weight and not drivers of weight regain. In light of this we explore other potential mechanisms, both physiological and behavioral, that can contribute to the high incidence of relapse in obesity management. More research is needed to clearly ascertain whether the changes in energy expenditure and homeostatic appetite markers seen in reduced-obese individuals are a compensatory mechanism that drives relapse or a normalization towards a lower body weight, and to explore alternative hypotheses that explain relapse in obesity management.","author":[{"dropping-particle":"","family":"Martins","given":"Catia","non-dropping-particle":"","parse-names":false,"suffix":""},{"dropping-particle":"","family":"Dutton","given":"Gareth R.","non-dropping-particle":"","parse-names":false,"suffix":""},{"dropping-particle":"","family":"Hunter","given":"Gary R.","non-dropping-particle":"","parse-names":false,"suffix":""},{"dropping-particle":"","family":"Gower","given":"Barbara A.","non-dropping-particle":"","parse-names":false,"suffix":""}],"container-title":"American Journal of Clinical Nutrition","id":"ITEM-1","issue":"5","issued":{"date-parts":[["2020"]]},"page":"1170-1179","title":"Revisiting the Compensatory Theory as an explanatory model for relapse in obesity management","type":"article-journal","volume":"112"},"uris":["http://www.mendeley.com/documents/?uuid=74493d67-76c5-46a1-a70e-5c93430bbcee"]}],"mendeley":{"formattedCitation":"&lt;sup&gt;19&lt;/sup&gt;","plainTextFormattedCitation":"19","previouslyFormattedCitation":"&lt;sup&gt;19&lt;/sup&gt;"},"properties":{"noteIndex":0},"schema":"https://github.com/citation-style-language/schema/raw/master/csl-citation.json"}</w:instrText>
      </w:r>
      <w:r w:rsidR="008F2260" w:rsidRPr="00F650D8">
        <w:rPr>
          <w:rFonts w:ascii="Times New Roman" w:hAnsi="Times New Roman" w:cs="Times New Roman"/>
          <w:highlight w:val="yellow"/>
        </w:rPr>
        <w:fldChar w:fldCharType="separate"/>
      </w:r>
      <w:r w:rsidR="008F2260" w:rsidRPr="00F650D8">
        <w:rPr>
          <w:rFonts w:ascii="Times New Roman" w:hAnsi="Times New Roman" w:cs="Times New Roman"/>
          <w:noProof/>
          <w:highlight w:val="yellow"/>
          <w:vertAlign w:val="superscript"/>
        </w:rPr>
        <w:t>19</w:t>
      </w:r>
      <w:r w:rsidR="008F2260" w:rsidRPr="00F650D8">
        <w:rPr>
          <w:rFonts w:ascii="Times New Roman" w:hAnsi="Times New Roman" w:cs="Times New Roman"/>
          <w:highlight w:val="yellow"/>
        </w:rPr>
        <w:fldChar w:fldCharType="end"/>
      </w:r>
      <w:r w:rsidR="0062524D" w:rsidRPr="00F650D8">
        <w:rPr>
          <w:rFonts w:ascii="Times New Roman" w:hAnsi="Times New Roman" w:cs="Times New Roman"/>
          <w:highlight w:val="yellow"/>
        </w:rPr>
        <w:t xml:space="preserve">. </w:t>
      </w:r>
    </w:p>
    <w:p w14:paraId="2FACFEA3" w14:textId="77777777" w:rsidR="00652F84" w:rsidRPr="00F650D8" w:rsidRDefault="00652F84" w:rsidP="00991FA4">
      <w:pPr>
        <w:spacing w:line="480" w:lineRule="auto"/>
        <w:jc w:val="both"/>
        <w:rPr>
          <w:rFonts w:ascii="Times New Roman" w:hAnsi="Times New Roman" w:cs="Times New Roman"/>
        </w:rPr>
      </w:pPr>
    </w:p>
    <w:p w14:paraId="100EA34E" w14:textId="41F36BAE" w:rsidR="00D258F8" w:rsidRPr="00F650D8" w:rsidRDefault="00991FA4" w:rsidP="00991FA4">
      <w:pPr>
        <w:spacing w:line="480" w:lineRule="auto"/>
        <w:jc w:val="both"/>
        <w:rPr>
          <w:rFonts w:ascii="Times New Roman" w:hAnsi="Times New Roman" w:cs="Times New Roman"/>
        </w:rPr>
      </w:pPr>
      <w:r w:rsidRPr="00F650D8">
        <w:rPr>
          <w:rFonts w:ascii="Times New Roman" w:hAnsi="Times New Roman" w:cs="Times New Roman"/>
        </w:rPr>
        <w:t>Working in synergy</w:t>
      </w:r>
      <w:r w:rsidR="00DE447E" w:rsidRPr="00F650D8">
        <w:rPr>
          <w:rFonts w:ascii="Times New Roman" w:hAnsi="Times New Roman" w:cs="Times New Roman"/>
        </w:rPr>
        <w:t xml:space="preserve"> with acute appetite</w:t>
      </w:r>
      <w:r w:rsidR="00A51501" w:rsidRPr="00F650D8">
        <w:rPr>
          <w:rFonts w:ascii="Times New Roman" w:hAnsi="Times New Roman" w:cs="Times New Roman"/>
        </w:rPr>
        <w:t>-</w:t>
      </w:r>
      <w:r w:rsidR="0028266C" w:rsidRPr="00F650D8">
        <w:rPr>
          <w:rFonts w:ascii="Times New Roman" w:hAnsi="Times New Roman" w:cs="Times New Roman"/>
        </w:rPr>
        <w:t>regulatory</w:t>
      </w:r>
      <w:r w:rsidR="00DE447E" w:rsidRPr="00F650D8">
        <w:rPr>
          <w:rFonts w:ascii="Times New Roman" w:hAnsi="Times New Roman" w:cs="Times New Roman"/>
        </w:rPr>
        <w:t xml:space="preserve"> peptides</w:t>
      </w:r>
      <w:r w:rsidRPr="00F650D8">
        <w:rPr>
          <w:rFonts w:ascii="Times New Roman" w:hAnsi="Times New Roman" w:cs="Times New Roman"/>
        </w:rPr>
        <w:t xml:space="preserve">, leptin and insulin are </w:t>
      </w:r>
      <w:r w:rsidR="00CB3B61" w:rsidRPr="00F650D8">
        <w:rPr>
          <w:rFonts w:ascii="Times New Roman" w:hAnsi="Times New Roman" w:cs="Times New Roman"/>
        </w:rPr>
        <w:t xml:space="preserve">chronic </w:t>
      </w:r>
      <w:r w:rsidRPr="00F650D8">
        <w:rPr>
          <w:rFonts w:ascii="Times New Roman" w:hAnsi="Times New Roman" w:cs="Times New Roman"/>
        </w:rPr>
        <w:t>‘adiposity signals’</w:t>
      </w:r>
      <w:r w:rsidR="00CB3B61" w:rsidRPr="00F650D8">
        <w:rPr>
          <w:rFonts w:ascii="Times New Roman" w:hAnsi="Times New Roman" w:cs="Times New Roman"/>
        </w:rPr>
        <w:t>,</w:t>
      </w:r>
      <w:r w:rsidRPr="00F650D8">
        <w:rPr>
          <w:rFonts w:ascii="Times New Roman" w:hAnsi="Times New Roman" w:cs="Times New Roman"/>
        </w:rPr>
        <w:t xml:space="preserve"> </w:t>
      </w:r>
      <w:r w:rsidR="00CB3B61" w:rsidRPr="00F650D8">
        <w:rPr>
          <w:rFonts w:ascii="Times New Roman" w:hAnsi="Times New Roman" w:cs="Times New Roman"/>
        </w:rPr>
        <w:t>which</w:t>
      </w:r>
      <w:r w:rsidRPr="00F650D8">
        <w:rPr>
          <w:rFonts w:ascii="Times New Roman" w:hAnsi="Times New Roman" w:cs="Times New Roman"/>
        </w:rPr>
        <w:t xml:space="preserve"> inform the brain about the </w:t>
      </w:r>
      <w:r w:rsidR="002F1FF7" w:rsidRPr="00F650D8">
        <w:rPr>
          <w:rFonts w:ascii="Times New Roman" w:hAnsi="Times New Roman" w:cs="Times New Roman"/>
        </w:rPr>
        <w:t>repleteness</w:t>
      </w:r>
      <w:r w:rsidRPr="00F650D8">
        <w:rPr>
          <w:rFonts w:ascii="Times New Roman" w:hAnsi="Times New Roman" w:cs="Times New Roman"/>
        </w:rPr>
        <w:t xml:space="preserve"> of peripheral energy stores</w:t>
      </w:r>
      <w:r w:rsidR="005F111E" w:rsidRPr="00F650D8">
        <w:rPr>
          <w:rFonts w:ascii="Times New Roman" w:hAnsi="Times New Roman" w:cs="Times New Roman"/>
        </w:rPr>
        <w:t>.</w:t>
      </w:r>
      <w:r w:rsidR="006810CE"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{"citationItems":[{"id":"ITEM-1","itemData":{"DOI":"10.1016/j.physbeh.2020.112846","ISSN":"1873507X","abstract":"The drive to eat is a component of appetite control, independent of the omnivorous habit of humans, and separate from food choice, satiety and food reward. The drive forms part of the tonic component of appetite and arises from biological needs; it is distinct from episodic aspects of appetite which are heavily influenced by culture and the environment (and which reflect the omnivorous habit). It is proposed that the tonic drive to eat reflects a need state generated by metabolic energy expenditure (EE) required to maintain the functioning and integrity of vital organs. Specifically, the tonic drive is quantitatively associated with fat-free mass (FFM) and resting metabolic rate (RMR). A rational proposition is that high metabolic rate organs (such as heart, liver, kidneys, brain) together with skeletal muscle generate a metabolic need which drives energy intake (EI). The basic phenomenon of a relationship between FFM, RMR and EI, first published in 2011, has been substantially replicated and there are at least 14 concordant published studies carried out in 9 different countries (and 4 continents) with various ethnic groups of lean and obese humans. These studies demonstrate that FFM and RMR represent major determinants of the drive to eat, and this is rational from an evolutionary perspective. The EE of bodily movements through skeletal muscle activity (namely physical activity and exercise) represents another driver which is clearly but more weakly associated with an increase in EI. This account of appetite control, developed within an energy balance framework, is consistent with the apparent inexorable escalation of fatness in individual humans, and for the progressive increase in the prevalence of obesity which, among other factors, reflects the difficulty of managing the biological drive to eat.","author":[{"dropping-particle":"","family":"Blundell","given":"John E.","non-dropping-particle":"","parse-names":false,"suffix":""},{"dropping-particle":"","family":"Gibbons","given":"Catherine","non-dropping-particle":"","parse-names":false,"suffix":""},{"dropping-particle":"","family":"Beaulieu","given":"Kristine","non-dropping-particle":"","parse-names":false,"suffix":""},{"dropping-particle":"","family":"Casanova","given":"Nuno","non-dropping-particle":"","parse-names":false,"suffix":""},{"dropping-particle":"","family":"Duarte","given":"Cristiana","non-dropping-particle":"","parse-names":false,"suffix":""},{"dropping-particle":"","family":"Finlayson","given":"Graham","non-dropping-particle":"","parse-names":false,"suffix":""},{"dropping-particle":"","family":"Stubbs","given":"R. James","non-dropping-particle":"","parse-names":false,"suffix":""},{"dropping-particle":"","family":"Hopkins","given":"Mark","non-dropping-particle":"","parse-names":false,"suffix":""}],"container-title":"Physiology and Behavior","id":"ITEM-1","issue":"February","issued":{"date-parts":[["2020"]]},"page":"112846","publisher":"Elsevier","title":"The drive to eat in homo sapiens: Energy expenditure drives energy intake","type":"article-journal","volume":"219"},"uris":["http://www.mendeley.com/documents/?uuid=5b3616d1-1306-4e9a-bfd5-f60e416a5669"]}],"mendeley":{"formattedCitation":"&lt;sup&gt;10&lt;/sup&gt;","plainTextFormattedCitation":"10","previouslyFormattedCitation":"&lt;sup&gt;10&lt;/sup&gt;"},"properties":{"noteIndex":0},"schema":"https://github.com/citation-style-language/schema/raw/master/csl-citation.json"}</w:instrText>
      </w:r>
      <w:r w:rsidR="006810CE"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10</w:t>
      </w:r>
      <w:r w:rsidR="006810CE" w:rsidRPr="00F650D8">
        <w:rPr>
          <w:rFonts w:ascii="Times New Roman" w:hAnsi="Times New Roman" w:cs="Times New Roman"/>
        </w:rPr>
        <w:fldChar w:fldCharType="end"/>
      </w:r>
      <w:r w:rsidRPr="00F650D8">
        <w:rPr>
          <w:rFonts w:ascii="Times New Roman" w:hAnsi="Times New Roman" w:cs="Times New Roman"/>
        </w:rPr>
        <w:t xml:space="preserve"> Reductions in circulating leptin and insulin are well characteri</w:t>
      </w:r>
      <w:r w:rsidR="002B7883" w:rsidRPr="00F650D8">
        <w:rPr>
          <w:rFonts w:ascii="Times New Roman" w:hAnsi="Times New Roman" w:cs="Times New Roman"/>
        </w:rPr>
        <w:t>s</w:t>
      </w:r>
      <w:r w:rsidRPr="00F650D8">
        <w:rPr>
          <w:rFonts w:ascii="Times New Roman" w:hAnsi="Times New Roman" w:cs="Times New Roman"/>
        </w:rPr>
        <w:t>ed responses to weight loss</w:t>
      </w:r>
      <w:r w:rsidR="005F111E" w:rsidRPr="00F650D8">
        <w:rPr>
          <w:rFonts w:ascii="Times New Roman" w:hAnsi="Times New Roman" w:cs="Times New Roman"/>
        </w:rPr>
        <w:t>,</w:t>
      </w:r>
      <w:r w:rsidR="0009715E"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{"citationItems":[{"id":"ITEM-1","itemData":{"DOI":"10.1152/ajpregu.00755.2010","ISSN":"03636119","PMID":"21677272","abstract":"Dieting is the most common approach to losing weight for the majority of obese and overweight individuals. Restricting intake leads to weight loss in the short term, but, by itself, dieting has a relatively poor success rate for long-term weight reduction. Most obese people eventually regain the weight they have worked so hard to lose. Weight regain has emerged as one of the most significant obstacles for obesity therapeutics, undoubtedly perpetuating the epidemic of excess weight that now affects more than 60% of U.S. adults. In this review, we summarize the evidence of biology's role in the problem of weight regain. Biology's impact is first placed in context with other pressures known to affect body weight. Then, the biological adaptations to an energy-restricted, low-fat diet that are known to occur in the overweight and obese are reviewed, and an integrative picture of energy homeostasis after long-term weight reduction and during weight regain is presented. Finally, a novel model is proposed to explain the persistence of the \"energy depletion\" signal during the dynamic metabolic state of weight regain, when traditional adiposity signals no longer reflect stored energy in the periphery. The preponderance of evidence would suggest that the biological response to weight loss involves comprehensive, persistent, and redundant adaptations in energy homeostasis and that these adaptations underlie the high recidivism rate in obesity therapeutics. To be successful in the long term, our strategies for preventing weight regain may need to be just as comprehensive, persistent, and redundant, as the biological adaptations they are attempting to counter. © 2011 the American Physiological Society.","author":[{"dropping-particle":"","family":"MacLean","given":"Paul S.","non-dropping-particle":"","parse-names":false,"suffix":""},{"dropping-particle":"","family":"Bergouignan","given":"Audrey","non-dropping-particle":"","parse-names":false,"suffix":""},{"dropping-particle":"","family":"Cornier","given":"Marc Andre","non-dropping-particle":"","parse-names":false,"suffix":""},{"dropping-particle":"","family":"Jackman","given":"Matthew R.","non-dropping-particle":"","parse-names":false,"suffix":""}],"container-title":"American Journal of Physiology - Regulatory Integrative and Comparative Physiology","id":"ITEM-1","issue":"3","issued":{"date-parts":[["2011"]]},"title":"Biology's response to dieting: The impetus for weight regain","type":"article-journal","volume":"301"},"uris":["http://www.mendeley.com/documents/?uuid=4496fb34-4cc5-46b7-9066-0f503f3704e0"]}],"mendeley":{"formattedCitation":"&lt;sup&gt;36&lt;/sup&gt;","plainTextFormattedCitation":"36","previouslyFormattedCitation":"&lt;sup&gt;36&lt;/sup&gt;"},"properties":{"noteIndex":0},"schema":"https://github.com/citation-style-language/schema/raw/master/csl-citation.json"}</w:instrText>
      </w:r>
      <w:r w:rsidR="0009715E"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36</w:t>
      </w:r>
      <w:r w:rsidR="0009715E" w:rsidRPr="00F650D8">
        <w:rPr>
          <w:rFonts w:ascii="Times New Roman" w:hAnsi="Times New Roman" w:cs="Times New Roman"/>
        </w:rPr>
        <w:fldChar w:fldCharType="end"/>
      </w:r>
      <w:r w:rsidRPr="00F650D8">
        <w:rPr>
          <w:rFonts w:ascii="Times New Roman" w:hAnsi="Times New Roman" w:cs="Times New Roman"/>
        </w:rPr>
        <w:t xml:space="preserve"> which provoke energy conservation via </w:t>
      </w:r>
      <w:r w:rsidR="00187FD9" w:rsidRPr="00F650D8">
        <w:rPr>
          <w:rFonts w:ascii="Times New Roman" w:hAnsi="Times New Roman" w:cs="Times New Roman"/>
        </w:rPr>
        <w:t>central</w:t>
      </w:r>
      <w:r w:rsidRPr="00F650D8">
        <w:rPr>
          <w:rFonts w:ascii="Times New Roman" w:hAnsi="Times New Roman" w:cs="Times New Roman"/>
        </w:rPr>
        <w:t xml:space="preserve"> effects</w:t>
      </w:r>
      <w:r w:rsidR="005F111E" w:rsidRPr="00F650D8">
        <w:rPr>
          <w:rFonts w:ascii="Times New Roman" w:hAnsi="Times New Roman" w:cs="Times New Roman"/>
        </w:rPr>
        <w:t>.</w:t>
      </w:r>
      <w:r w:rsidR="005E5853"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{"citationItems":[{"id":"ITEM-1","itemData":{"DOI":"10.1016/S0091-3022(02)00105-X","ISSN":"00913022","PMID":"12609497","abstract":"The adipocyte-derived hormone leptin and the pancreatic β cell-derived hormone insulin each function as afferent signals to the hypothalamus in an endocrine feedback loop that regulates body adiposity. Although these two hormones, and the receptors on which they act, are unrelated and structurally distinct, they exert overlapping effects in the arcuate nucleus, a key hypothalamic area involved in energy homeostasis. Defects in either insulin or leptin signaling in the brain result in hyperphagia, disordered glucose homeostasis, and reproductive dysfunction. To explain this striking physiological overlap, we hypothesize that hypothalamic insulin and leptin signaling converge upon a single intracellular signal transduction pathway, known as the insulin-receptor-substrate phosphatidylinositol 3-kinase pathway. Here we synthesize data from a variety of model systems in which such \"cross-talk\" between insulin and leptin signal transduction has either been observed or can be inferred, discuss our own data demonstrating that insulin and leptin both activate hypothalamic phosphatidylinositol 3-kinase signaling, and discuss the significance of such convergence with respect to neuronal function in normal individuals and in pathological states such as obesity. Identification of the key early molecular events mediating the action of both insulin and leptin in hypothalamic neurons promises new insight into the regulation of these neurons in health and disease. © 2002 Elsevier Science (USA). All rights reserved.","author":[{"dropping-particle":"","family":"Niswender","given":"Kevin D.","non-dropping-particle":"","parse-names":false,"suffix":""},{"dropping-particle":"","family":"Schwartz","given":"Michael W.","non-dropping-particle":"","parse-names":false,"suffix":""}],"container-title":"Frontiers in Neuroendocrinology","id":"ITEM-1","issue":"1","issued":{"date-parts":[["2003"]]},"page":"1-10","title":"Insulin and leptin revisited: Adiposity signals with overlapping physiological and intracellular signaling capabilities","type":"article-journal","volume":"24"},"uris":["http://www.mendeley.com/documents/?uuid=fde075bf-ff07-4af2-b709-8cfaf1e6a600"]}],"mendeley":{"formattedCitation":"&lt;sup&gt;37&lt;/sup&gt;","plainTextFormattedCitation":"37","previouslyFormattedCitation":"&lt;sup&gt;37&lt;/sup&gt;"},"properties":{"noteIndex":0},"schema":"https://github.com/citation-style-language/schema/raw/master/csl-citation.json"}</w:instrText>
      </w:r>
      <w:r w:rsidR="005E5853"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37</w:t>
      </w:r>
      <w:r w:rsidR="005E5853" w:rsidRPr="00F650D8">
        <w:rPr>
          <w:rFonts w:ascii="Times New Roman" w:hAnsi="Times New Roman" w:cs="Times New Roman"/>
        </w:rPr>
        <w:fldChar w:fldCharType="end"/>
      </w:r>
      <w:r w:rsidRPr="00F650D8">
        <w:rPr>
          <w:rFonts w:ascii="Times New Roman" w:hAnsi="Times New Roman" w:cs="Times New Roman"/>
        </w:rPr>
        <w:t xml:space="preserve"> Across our study, circulating leptin concentrations </w:t>
      </w:r>
      <w:r w:rsidR="000A4C36" w:rsidRPr="00F650D8">
        <w:rPr>
          <w:rFonts w:ascii="Times New Roman" w:hAnsi="Times New Roman" w:cs="Times New Roman"/>
        </w:rPr>
        <w:t>were reduced</w:t>
      </w:r>
      <w:r w:rsidRPr="00F650D8">
        <w:rPr>
          <w:rFonts w:ascii="Times New Roman" w:hAnsi="Times New Roman" w:cs="Times New Roman"/>
        </w:rPr>
        <w:t xml:space="preserve"> in the empagliflozin-plus-diet group</w:t>
      </w:r>
      <w:r w:rsidR="000A4C36" w:rsidRPr="00F650D8">
        <w:rPr>
          <w:rFonts w:ascii="Times New Roman" w:hAnsi="Times New Roman" w:cs="Times New Roman"/>
        </w:rPr>
        <w:t>,</w:t>
      </w:r>
      <w:r w:rsidRPr="00F650D8">
        <w:rPr>
          <w:rFonts w:ascii="Times New Roman" w:hAnsi="Times New Roman" w:cs="Times New Roman"/>
        </w:rPr>
        <w:t xml:space="preserve"> but were unchanged </w:t>
      </w:r>
      <w:r w:rsidR="000A4C36" w:rsidRPr="00F650D8">
        <w:rPr>
          <w:rFonts w:ascii="Times New Roman" w:hAnsi="Times New Roman" w:cs="Times New Roman"/>
        </w:rPr>
        <w:t>with diet or empagliflozin alone</w:t>
      </w:r>
      <w:r w:rsidRPr="00F650D8">
        <w:rPr>
          <w:rFonts w:ascii="Times New Roman" w:hAnsi="Times New Roman" w:cs="Times New Roman"/>
        </w:rPr>
        <w:t xml:space="preserve">. </w:t>
      </w:r>
      <w:r w:rsidR="00E03D53" w:rsidRPr="00F650D8">
        <w:rPr>
          <w:rFonts w:ascii="Times New Roman" w:hAnsi="Times New Roman" w:cs="Times New Roman"/>
          <w:highlight w:val="yellow"/>
        </w:rPr>
        <w:t>Despite</w:t>
      </w:r>
      <w:r w:rsidR="00911F78" w:rsidRPr="00F650D8">
        <w:rPr>
          <w:rFonts w:ascii="Times New Roman" w:hAnsi="Times New Roman" w:cs="Times New Roman"/>
          <w:highlight w:val="yellow"/>
        </w:rPr>
        <w:t xml:space="preserve"> no change in any experim</w:t>
      </w:r>
      <w:r w:rsidR="00FE448C" w:rsidRPr="00F650D8">
        <w:rPr>
          <w:rFonts w:ascii="Times New Roman" w:hAnsi="Times New Roman" w:cs="Times New Roman"/>
          <w:highlight w:val="yellow"/>
        </w:rPr>
        <w:t>ental group compared to placebo-</w:t>
      </w:r>
      <w:r w:rsidR="00911F78" w:rsidRPr="00F650D8">
        <w:rPr>
          <w:rFonts w:ascii="Times New Roman" w:hAnsi="Times New Roman" w:cs="Times New Roman"/>
          <w:highlight w:val="yellow"/>
        </w:rPr>
        <w:t xml:space="preserve">only at 24 weeks, circulating leptin concentrations were reduced in the empagliflozin-plus-diet group </w:t>
      </w:r>
      <w:r w:rsidR="002222EC" w:rsidRPr="00F650D8">
        <w:rPr>
          <w:rFonts w:ascii="Times New Roman" w:hAnsi="Times New Roman" w:cs="Times New Roman"/>
          <w:highlight w:val="yellow"/>
        </w:rPr>
        <w:t>across follow-up collectively</w:t>
      </w:r>
      <w:r w:rsidR="00911F78" w:rsidRPr="00F650D8">
        <w:rPr>
          <w:rFonts w:ascii="Times New Roman" w:hAnsi="Times New Roman" w:cs="Times New Roman"/>
          <w:highlight w:val="yellow"/>
        </w:rPr>
        <w:t>.</w:t>
      </w:r>
      <w:r w:rsidR="00911F78" w:rsidRPr="00F650D8">
        <w:rPr>
          <w:rFonts w:ascii="Times New Roman" w:hAnsi="Times New Roman" w:cs="Times New Roman"/>
        </w:rPr>
        <w:t xml:space="preserve"> </w:t>
      </w:r>
      <w:r w:rsidR="0017376E" w:rsidRPr="00F650D8">
        <w:rPr>
          <w:rFonts w:ascii="Times New Roman" w:hAnsi="Times New Roman" w:cs="Times New Roman"/>
        </w:rPr>
        <w:t>W</w:t>
      </w:r>
      <w:r w:rsidR="000A4C36" w:rsidRPr="00F650D8">
        <w:rPr>
          <w:rFonts w:ascii="Times New Roman" w:hAnsi="Times New Roman" w:cs="Times New Roman"/>
        </w:rPr>
        <w:t>hilst</w:t>
      </w:r>
      <w:r w:rsidRPr="00F650D8">
        <w:rPr>
          <w:rFonts w:ascii="Times New Roman" w:hAnsi="Times New Roman" w:cs="Times New Roman"/>
        </w:rPr>
        <w:t xml:space="preserve"> fasting insulin concentrations remained unchanged, </w:t>
      </w:r>
      <w:r w:rsidR="000A4C36" w:rsidRPr="00F650D8">
        <w:rPr>
          <w:rFonts w:ascii="Times New Roman" w:hAnsi="Times New Roman" w:cs="Times New Roman"/>
        </w:rPr>
        <w:t xml:space="preserve">insulin </w:t>
      </w:r>
      <w:r w:rsidRPr="00F650D8">
        <w:rPr>
          <w:rFonts w:ascii="Times New Roman" w:hAnsi="Times New Roman" w:cs="Times New Roman"/>
        </w:rPr>
        <w:t>responses to the MMTT were reduced at 24</w:t>
      </w:r>
      <w:r w:rsidR="000A4C36" w:rsidRPr="00F650D8">
        <w:rPr>
          <w:rFonts w:ascii="Times New Roman" w:hAnsi="Times New Roman" w:cs="Times New Roman"/>
        </w:rPr>
        <w:t xml:space="preserve"> </w:t>
      </w:r>
      <w:r w:rsidRPr="00F650D8">
        <w:rPr>
          <w:rFonts w:ascii="Times New Roman" w:hAnsi="Times New Roman" w:cs="Times New Roman"/>
        </w:rPr>
        <w:t xml:space="preserve">weeks in the empagliflozin-only and empagliflozin-plus-diet groups. </w:t>
      </w:r>
      <w:r w:rsidR="00CB3B61" w:rsidRPr="00F650D8">
        <w:rPr>
          <w:rFonts w:ascii="Times New Roman" w:hAnsi="Times New Roman" w:cs="Times New Roman"/>
        </w:rPr>
        <w:t xml:space="preserve">Our </w:t>
      </w:r>
      <w:r w:rsidRPr="00F650D8">
        <w:rPr>
          <w:rFonts w:ascii="Times New Roman" w:hAnsi="Times New Roman" w:cs="Times New Roman"/>
        </w:rPr>
        <w:t xml:space="preserve">data are consistent with a recent meta-analysis </w:t>
      </w:r>
      <w:r w:rsidR="000A4C36" w:rsidRPr="00F650D8">
        <w:rPr>
          <w:rFonts w:ascii="Times New Roman" w:hAnsi="Times New Roman" w:cs="Times New Roman"/>
        </w:rPr>
        <w:t xml:space="preserve">demonstrating reduced circulating leptin concentrations in people with </w:t>
      </w:r>
      <w:r w:rsidR="007D6367" w:rsidRPr="00F650D8">
        <w:rPr>
          <w:rFonts w:ascii="Times New Roman" w:hAnsi="Times New Roman" w:cs="Times New Roman"/>
        </w:rPr>
        <w:t>T2D</w:t>
      </w:r>
      <w:r w:rsidR="000A4C36" w:rsidRPr="00F650D8">
        <w:rPr>
          <w:rFonts w:ascii="Times New Roman" w:hAnsi="Times New Roman" w:cs="Times New Roman"/>
        </w:rPr>
        <w:t xml:space="preserve"> following</w:t>
      </w:r>
      <w:r w:rsidRPr="00F650D8">
        <w:rPr>
          <w:rFonts w:ascii="Times New Roman" w:hAnsi="Times New Roman" w:cs="Times New Roman"/>
        </w:rPr>
        <w:t xml:space="preserve"> </w:t>
      </w:r>
      <w:r w:rsidR="0072069F" w:rsidRPr="00F650D8">
        <w:rPr>
          <w:rFonts w:ascii="Times New Roman" w:hAnsi="Times New Roman" w:cs="Times New Roman"/>
        </w:rPr>
        <w:t>therapy wit</w:t>
      </w:r>
      <w:r w:rsidR="00A92F69" w:rsidRPr="00F650D8">
        <w:rPr>
          <w:rFonts w:ascii="Times New Roman" w:hAnsi="Times New Roman" w:cs="Times New Roman"/>
        </w:rPr>
        <w:t xml:space="preserve">h another SGLT2i </w:t>
      </w:r>
      <w:r w:rsidR="0072069F" w:rsidRPr="00F650D8">
        <w:rPr>
          <w:rFonts w:ascii="Times New Roman" w:hAnsi="Times New Roman" w:cs="Times New Roman"/>
        </w:rPr>
        <w:t>(</w:t>
      </w:r>
      <w:r w:rsidRPr="00F650D8">
        <w:rPr>
          <w:rFonts w:ascii="Times New Roman" w:hAnsi="Times New Roman" w:cs="Times New Roman"/>
        </w:rPr>
        <w:t>ipragliflozin</w:t>
      </w:r>
      <w:r w:rsidR="0072069F" w:rsidRPr="00F650D8">
        <w:rPr>
          <w:rFonts w:ascii="Times New Roman" w:hAnsi="Times New Roman" w:cs="Times New Roman"/>
        </w:rPr>
        <w:t>)</w:t>
      </w:r>
      <w:r w:rsidR="005F111E" w:rsidRPr="00F650D8">
        <w:rPr>
          <w:rFonts w:ascii="Times New Roman" w:hAnsi="Times New Roman" w:cs="Times New Roman"/>
        </w:rPr>
        <w:t>,</w:t>
      </w:r>
      <w:r w:rsidR="00010357"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{"citationItems":[{"id":"ITEM-1","itemData":{"DOI":"10.1055/a-0958-2441","ISSN":"14394286","abstract":"Sodium glucose cotransporter 2 (SGLT2) inhibitors are a new kind of hypoglycemic drugs that improve glucose homeostasis by inhibiting renal glucose reabsorption. Recent studies have shown that SGLT2 inhibitors can also mediate body metabolism through regulation of adipokines level, but the effects of SGLT2 inhibitors on the concentration of adipokines (leptin and adiponectin) remains controversial. This meta-analysis was set out to evaluate the changes in circulating leptin and adiponectin levels in patients with type 2 diabetes mellitus (T2DM) receiving SGLT2 inhibitors therapy. Ten randomized controlled trials (RCTs), that evaluated the effects of SGLT2 inhibitors on blood leptin and adiponectin levels in patients with type 2 diabetes, were identified by performing a systematic search of Pubmed, Embase, Cochrane, and Web of science databases through July 2018. Data were calculated using a random-effects model and presented as standardized mean difference (SMD) and 95% conïdence interval (CI). Compared with placebo, treatment with SGLT2 inhibitors contributed to a decreased circulating leptin levels (SMD-0.29, 95% CI-0.56,-0.03) and an increased circulating adiponectin levels (SMD 0.30, 95% CI 0.22, 0.38). SGLT2 inhibitor treatment was associated with decreased circulating leptin levels and increased circulating adiponectin levels, which might contribute to the beneficial effects of SGLT2 inhibitors on metabolic homeostasis.","author":[{"dropping-particle":"","family":"Wu","given":"Peili","non-dropping-particle":"","parse-names":false,"suffix":""},{"dropping-particle":"","family":"Wen","given":"Weiheng","non-dropping-particle":"","parse-names":false,"suffix":""},{"dropping-particle":"","family":"Li","given":"Jitong","non-dropping-particle":"","parse-names":false,"suffix":""},{"dropping-particle":"","family":"Xu","given":"Jie","non-dropping-particle":"","parse-names":false,"suffix":""},{"dropping-particle":"","family":"Zhao","given":"Min","non-dropping-particle":"","parse-names":false,"suffix":""},{"dropping-particle":"","family":"Chen","given":"Hong","non-dropping-particle":"","parse-names":false,"suffix":""},{"dropping-particle":"","family":"Sun","given":"Jia","non-dropping-particle":"","parse-names":false,"suffix":""}],"container-title":"Hormone and Metabolic Research","id":"ITEM-1","issue":"8","issued":{"date-parts":[["2019"]]},"page":"487-494","title":"Systematic review and meta-analysis of randomized controlled trials on the effect of SGLT2 Inhibitor on Blood Leptin and Adiponectin Level in Patients with Type 2 Diabetes","type":"article-journal","volume":"51"},"uris":["http://www.mendeley.com/documents/?uuid=8016c357-7a59-4d0a-88e4-fe4f9618a2c2"]}],"mendeley":{"formattedCitation":"&lt;sup&gt;18&lt;/sup&gt;","plainTextFormattedCitation":"18","previouslyFormattedCitation":"&lt;sup&gt;18&lt;/sup&gt;"},"properties":{"noteIndex":0},"schema":"https://github.com/citation-style-language/schema/raw/master/csl-citation.json"}</w:instrText>
      </w:r>
      <w:r w:rsidR="00010357"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18</w:t>
      </w:r>
      <w:r w:rsidR="00010357" w:rsidRPr="00F650D8">
        <w:rPr>
          <w:rFonts w:ascii="Times New Roman" w:hAnsi="Times New Roman" w:cs="Times New Roman"/>
        </w:rPr>
        <w:fldChar w:fldCharType="end"/>
      </w:r>
      <w:r w:rsidR="002E1305" w:rsidRPr="00F650D8">
        <w:rPr>
          <w:rFonts w:ascii="Times New Roman" w:hAnsi="Times New Roman" w:cs="Times New Roman"/>
        </w:rPr>
        <w:t xml:space="preserve"> whilst</w:t>
      </w:r>
      <w:r w:rsidRPr="00F650D8">
        <w:rPr>
          <w:rFonts w:ascii="Times New Roman" w:hAnsi="Times New Roman" w:cs="Times New Roman"/>
        </w:rPr>
        <w:t xml:space="preserve"> </w:t>
      </w:r>
      <w:r w:rsidR="000A4C36" w:rsidRPr="00F650D8">
        <w:rPr>
          <w:rFonts w:ascii="Times New Roman" w:hAnsi="Times New Roman" w:cs="Times New Roman"/>
        </w:rPr>
        <w:t>reductions in</w:t>
      </w:r>
      <w:r w:rsidRPr="00F650D8">
        <w:rPr>
          <w:rFonts w:ascii="Times New Roman" w:hAnsi="Times New Roman" w:cs="Times New Roman"/>
        </w:rPr>
        <w:t xml:space="preserve"> circulating insulin in response to </w:t>
      </w:r>
      <w:r w:rsidR="00A92F69" w:rsidRPr="00F650D8">
        <w:rPr>
          <w:rFonts w:ascii="Times New Roman" w:hAnsi="Times New Roman" w:cs="Times New Roman"/>
        </w:rPr>
        <w:t xml:space="preserve">SGLT2i </w:t>
      </w:r>
      <w:r w:rsidR="0093300E" w:rsidRPr="00F650D8">
        <w:rPr>
          <w:rFonts w:ascii="Times New Roman" w:hAnsi="Times New Roman" w:cs="Times New Roman"/>
        </w:rPr>
        <w:t xml:space="preserve">therapy (including </w:t>
      </w:r>
      <w:r w:rsidRPr="00F650D8">
        <w:rPr>
          <w:rFonts w:ascii="Times New Roman" w:hAnsi="Times New Roman" w:cs="Times New Roman"/>
        </w:rPr>
        <w:t>empagliflozin</w:t>
      </w:r>
      <w:r w:rsidR="0093300E" w:rsidRPr="00F650D8">
        <w:rPr>
          <w:rFonts w:ascii="Times New Roman" w:hAnsi="Times New Roman" w:cs="Times New Roman"/>
        </w:rPr>
        <w:t>)</w:t>
      </w:r>
      <w:r w:rsidRPr="00F650D8">
        <w:rPr>
          <w:rFonts w:ascii="Times New Roman" w:hAnsi="Times New Roman" w:cs="Times New Roman"/>
        </w:rPr>
        <w:t xml:space="preserve"> have previously been documented in </w:t>
      </w:r>
      <w:r w:rsidR="000772D0" w:rsidRPr="00F650D8">
        <w:rPr>
          <w:rFonts w:ascii="Times New Roman" w:hAnsi="Times New Roman" w:cs="Times New Roman"/>
        </w:rPr>
        <w:t>mechanistic experiments</w:t>
      </w:r>
      <w:r w:rsidR="005F111E" w:rsidRPr="00F650D8">
        <w:rPr>
          <w:rFonts w:ascii="Times New Roman" w:hAnsi="Times New Roman" w:cs="Times New Roman"/>
        </w:rPr>
        <w:t>.</w:t>
      </w:r>
      <w:r w:rsidR="00741FE8"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author":[{"dropping-particle":"","family":"Heise","given":"T","non-dropping-particle":"","parse-names":false,"suffix":""},{"dropping-particle":"","family":"Seewaldt-Becker","given":"E","non-dropping-particle":"","parse-names":false,"suffix":""},{"dropping-particle":"","family":"Macha","given":"S","non-dropping-particle":"","parse-names":false,"suffix":""},{"dropping-particle":"","family":"Hantel","given":"S","non-dropping-particle":"","parse-names":false,"suffix":""},{"dropping-particle":"","family":"Pinnetti","given":"S","non-dropping-particle":"","parse-names":false,"suffix":""},{"dropping-particle":"","family":"Seman","given":"L","non-dropping-particle":"","parse-names":false,"suffix":""},{"dropping-particle":"","family":"Woerle","given":"HJ","non-dropping-particle":"","parse-names":false,"suffix":""}],"container-title":"Diabetes, Obesity and Metabolism","id":"ITEM-1","issue":"7","issued":{"date-parts":[["2013"]]},"page":"613-621","title":"Safety, tolerability, pharmacokinetics and pharmacodynamics following 4 weeks' treatment with empagliflozin once daily in patients with type 2 diabetes","type":"article-journal","volume":"15"},"uris":["http://www.mendeley.com/documents/?uuid=21d7b3dc-bb64-4bcf-bf4e-d24618184515"]},{"id":"ITEM-2","itemData":{"DOI":"10.2337/dc20-2887","ISSN":"0149-5992","abstract":"OBJECTIVE: SGTL2 inhibitors increase urinary glucose excretion and have beneficial  effects on cardiovascular and renal outcomes. The underlying mechanism may involve caloric restriction-like metabolic effects due to urinary glucose loss. We investigated the effects of dapagliflozin on 24-h energy metabolism and insulin sensitivity in patients with type 2 diabetes. RESEARCH DESIGN AND METHODS: There were 26 patients with type 2 diabetes randomized to a 5-week double-blind, crossover study with a 6- to 8-week washout. Indirect calorimetry was used to measure 24-h energy metabolism and the respiratory exchange ratio (RER), both by whole-room calorimetry and by ventilated hood during a two-step euglycemic-hyperinsulinemic clamp. Results are presented as the differences in least squares mean (95% CI) between treatments. RESULTS: Evaluable patients (n = 24) had a mean (SD) age of 64.2 (4.6) years, BMI of 28.1 (2.4) kg/m(2), and HbA(1c) of 6.9% (0.7) (51.7 [6.8] mmol/mol). Rate of glucose disappearance was unaffected by dapagliflozin, whereas fasting endogenous glucose production (EGP) increased by dapagliflozin (+2.27 [1.39, 3.14] μmol/kg/min, P &lt; 0.0001). Insulin-induced suppression of EGP (-1.71 [-2.75, -0.63] μmol/kg/min, P = 0.0036) and plasma free fatty acids (-21.93% [-39.31, -4.54], P = 0.016) was greater with dapagliflozin. Twenty-four-hour energy expenditure (-0.11 [-0.24, 0.03] MJ/day) remained unaffected by dapagliflozin, but dapagliflozin reduced the RER during daytime and nighttime, resulting in an increased day-to-nighttime difference in the RER (-0.010 [-0.017, -0.002], P = 0.016). Dapagliflozin treatment resulted in a negative 24-h energy and fat balance (-20.51 [-27.90, -13.12] g/day). CONCLUSIONS: Dapagliflozin treatment for 5 weeks resulted in major adjustments of metabolism mimicking caloric restriction, increased fat oxidation, improved hepatic and adipose insulin sensitivity, and improved 24-h energy metabolism.","author":[{"dropping-particle":"","family":"Op den Kamp","given":"Yvo J.M.","non-dropping-particle":"","parse-names":false,"suffix":""},{"dropping-particle":"","family":"Ligt","given":"Marlies","non-dropping-particle":"de","parse-names":false,"suffix":""},{"dropping-particle":"","family":"Dautzenberg","given":"Bas","non-dropping-particle":"","parse-names":false,"suffix":""},{"dropping-particle":"","family":"Kornips","given":"Esther","non-dropping-particle":"","parse-names":false,"suffix":""},{"dropping-particle":"","family":"Esterline","given":"Russell","non-dropping-particle":"","parse-names":false,"suffix":""},{"dropping-particle":"","family":"Hesselink","given":"Matthijs K.C.","non-dropping-particle":"","parse-names":false,"suffix":""},{"dropping-particle":"","family":"Hoeks","given":"Joris","non-dropping-particle":"","parse-names":false,"suffix":""},{"dropping-particle":"","family":"Schrauwen-Hinderling","given":"Vera B.","non-dropping-particle":"","parse-names":false,"suffix":""},{"dropping-particle":"","family":"Havekes","given":"Bas","non-dropping-particle":"","parse-names":false,"suffix":""},{"dropping-particle":"","family":"Oscarsson","given":"Jan","non-dropping-particle":"","parse-names":false,"suffix":""},{"dropping-particle":"","family":"Phielix","given":"Esther","non-dropping-particle":"","parse-names":false,"suffix":""},{"dropping-particle":"","family":"Schrauwen","given":"Patrick","non-dropping-particle":"","parse-names":false,"suffix":""}],"container-title":"Diabetes Care","id":"ITEM-2","issue":"6","issued":{"date-parts":[["2021"]]},"page":"1334-1343","title":"Effects of the SGLT2 Inhibitor Dapagliflozin on Energy Metabolism in Patients With Type 2 Diabetes: A Randomized, Double-Blind Crossover Trial","type":"article-journal","volume":"44"},"uris":["http://www.mendeley.com/documents/?uuid=36935c99-56e7-46df-9995-dd8f360a80d2"]},{"id":"ITEM-3","itemData":{"DOI":"10.1172/JCI72227","ISSN":"00219738","PMID":"24463454","abstract":"Background. Sodium-glucose cotransporter 2 (SGLT2) inhibitors lower glycemia by enhancing urinary glucose excretion. The physiologic response to pharmacologically induced acute or chronic glycosuria has not been investigated in human diabetes. Methods. We evaluated 66 patients with type 2 diabetes (62 ± 7 years, BMI = 31.6 ± 4.6 kg/m2, HbA1c = 55 ± 8 mmol/mol, mean ± SD) at baseline, after a single dose, and following 4-week treatment with empagliflozin (25 mg). At each time point, patients received a mixed meal coupled with dual-tracer glucose administration and indirect calorimetry. Results. Both single-dose and chronic empagliflozin treatment caused glycosuria during fasting (median, 7.8 [interquartile range {IQR}, 4.4] g/3 hours and 9.2 [IQR, 5.2] g/3 hours) and after meal ingestion (median, 29.0 [IQR, 12.5] g/5 hours and 28.2 [IQR, 15.4] g/5 hours). After 3 hours of fasting, endogenous glucose production (EGP) was increased 25%, while glycemia was 0.9 ± 0.7 mmol/l lower (P &lt; 0.0001 vs. baseline). After meal ingestion, glucose and insulin AUC decreased, whereas the glucagon response increased (all P &lt; 0.001). While oral glucose appearance was unchanged, EGP was increased (median, 40 [IQR, 14] g and 37 [IQR, 11] g vs. 34 [IQR, 11] g, both P &lt; 0.01). Tissue glucose disposal was reduced (median, 75 [IQR, 16] g and 70 [IQR, 21] g vs. 93 [IQR, 18] g, P &lt; 0.0001), due to a decrease in both glucose oxidation and nonoxidative glucose disposal, with a concomitant rise in lipid oxidation after chronic administration (all P &lt; 0.01). β Cell glucose sensitivity increased (median, 55 [IQR, 35] pmol·min-1·m- 2·mM-1 and 55 [IQR, 39] pmol·min-1·m-2·mM-1 vs. 44 [IQR, 32] pmol·min-1·m-2·mM-1, P &lt; 0.0001), and insulin sensitivity was improved. Resting energy expenditure rates and those after meal ingestion were unchanged. Conclusions. In patients with type 2 diabetes, empagliflozin-induced glycosuria improved β cell function and insulin sensitivity, despite the fall in insulin secretion and tissue glucose disposal and the rise in EGP after one dose, thereby lowering fasting and postprandial glycemia. Chronic dosing shifted substrate utilization from carbohydrate to lipid. Trial registration. ClinicalTrials.Gov NCT01248364 (EudraCT no. 2010-018708-99). Funding. This study was funded by Boehringer Ingelheim. © Copyright 2014 American Society for Clinical Investigation.","author":[{"dropping-particle":"","family":"Ferrannini","given":"Ele","non-dropping-particle":"","parse-names":false,"suffix":""},{"dropping-particle":"","family":"Muscelli","given":"Elza","non-dropping-particle":"","parse-names":false,"suffix":""},{"dropping-particle":"","family":"Frascerra","given":"Silvia","non-dropping-particle":"","parse-names":false,"suffix":""},{"dropping-particle":"","family":"Baldi","given":"Simona","non-dropping-particle":"","parse-names":false,"suffix":""},{"dropping-particle":"","family":"Mari","given":"Andrea","non-dropping-particle":"","parse-names":false,"suffix":""},{"dropping-particle":"","family":"Heise","given":"Tim","non-dropping-particle":"","parse-names":false,"suffix":""},{"dropping-particle":"","family":"Broedl","given":"Uli C.","non-dropping-particle":"","parse-names":false,"suffix":""},{"dropping-particle":"","family":"Woerle","given":"Hans Juergen","non-dropping-particle":"","parse-names":false,"suffix":""}],"container-title":"Journal of Clinical Investigation","id":"ITEM-3","issue":"2","issued":{"date-parts":[["2014"]]},"page":"499-508","title":"Metabolic response to sodium-glucose cotransporter 2 inhibition in type 2 diabetic patients","type":"article-journal","volume":"124"},"uris":["http://www.mendeley.com/documents/?uuid=cdef5806-780e-46dc-9de7-3a44260f9ae3"]}],"mendeley":{"formattedCitation":"&lt;sup&gt;3,17,24&lt;/sup&gt;","plainTextFormattedCitation":"3,17,24","previouslyFormattedCitation":"&lt;sup&gt;3,17,24&lt;/sup&gt;"},"properties":{"noteIndex":0},"schema":"https://github.com/citation-style-language/schema/raw/master/csl-citation.json"}</w:instrText>
      </w:r>
      <w:r w:rsidR="00741FE8"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3,17,24</w:t>
      </w:r>
      <w:r w:rsidR="00741FE8" w:rsidRPr="00F650D8">
        <w:rPr>
          <w:rFonts w:ascii="Times New Roman" w:hAnsi="Times New Roman" w:cs="Times New Roman"/>
        </w:rPr>
        <w:fldChar w:fldCharType="end"/>
      </w:r>
      <w:r w:rsidR="001D0963" w:rsidRPr="00F650D8">
        <w:rPr>
          <w:rFonts w:ascii="Times New Roman" w:hAnsi="Times New Roman" w:cs="Times New Roman"/>
        </w:rPr>
        <w:t xml:space="preserve"> Reductions in postprandial insulinemia in the empagliflozin groups likely occurred secondary to improvements in glycemia</w:t>
      </w:r>
      <w:r w:rsidR="005F111E" w:rsidRPr="00F650D8">
        <w:rPr>
          <w:rFonts w:ascii="Times New Roman" w:hAnsi="Times New Roman" w:cs="Times New Roman"/>
        </w:rPr>
        <w:t>,</w:t>
      </w:r>
      <w:r w:rsidR="001D0963"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{"citationItems":[{"id":"ITEM-1","itemData":{"DOI":"10.1172/JCI72227","ISSN":"00219738","PMID":"24463454","abstract":"Background. Sodium-glucose cotransporter 2 (SGLT2) inhibitors lower glycemia by enhancing urinary glucose excretion. The physiologic response to pharmacologically induced acute or chronic glycosuria has not been investigated in human diabetes. Methods. We evaluated 66 patients with type 2 diabetes (62 ± 7 years, BMI = 31.6 ± 4.6 kg/m2, HbA1c = 55 ± 8 mmol/mol, mean ± SD) at baseline, after a single dose, and following 4-week treatment with empagliflozin (25 mg). At each time point, patients received a mixed meal coupled with dual-tracer glucose administration and indirect calorimetry. Results. Both single-dose and chronic empagliflozin treatment caused glycosuria during fasting (median, 7.8 [interquartile range {IQR}, 4.4] g/3 hours and 9.2 [IQR, 5.2] g/3 hours) and after meal ingestion (median, 29.0 [IQR, 12.5] g/5 hours and 28.2 [IQR, 15.4] g/5 hours). After 3 hours of fasting, endogenous glucose production (EGP) was increased 25%, while glycemia was 0.9 ± 0.7 mmol/l lower (P &lt; 0.0001 vs. baseline). After meal ingestion, glucose and insulin AUC decreased, whereas the glucagon response increased (all P &lt; 0.001). While oral glucose appearance was unchanged, EGP was increased (median, 40 [IQR, 14] g and 37 [IQR, 11] g vs. 34 [IQR, 11] g, both P &lt; 0.01). Tissue glucose disposal was reduced (median, 75 [IQR, 16] g and 70 [IQR, 21] g vs. 93 [IQR, 18] g, P &lt; 0.0001), due to a decrease in both glucose oxidation and nonoxidative glucose disposal, with a concomitant rise in lipid oxidation after chronic administration (all P &lt; 0.01). β Cell glucose sensitivity increased (median, 55 [IQR, 35] pmol·min-1·m- 2·mM-1 and 55 [IQR, 39] pmol·min-1·m-2·mM-1 vs. 44 [IQR, 32] pmol·min-1·m-2·mM-1, P &lt; 0.0001), and insulin sensitivity was improved. Resting energy expenditure rates and those after meal ingestion were unchanged. Conclusions. In patients with type 2 diabetes, empagliflozin-induced glycosuria improved β cell function and insulin sensitivity, despite the fall in insulin secretion and tissue glucose disposal and the rise in EGP after one dose, thereby lowering fasting and postprandial glycemia. Chronic dosing shifted substrate utilization from carbohydrate to lipid. Trial registration. ClinicalTrials.Gov NCT01248364 (EudraCT no. 2010-018708-99). Funding. This study was funded by Boehringer Ingelheim. © Copyright 2014 American Society for Clinical Investigation.","author":[{"dropping-particle":"","family":"Ferrannini","given":"Ele","non-dropping-particle":"","parse-names":false,"suffix":""},{"dropping-particle":"","family":"Muscelli","given":"Elza","non-dropping-particle":"","parse-names":false,"suffix":""},{"dropping-particle":"","family":"Frascerra","given":"Silvia","non-dropping-particle":"","parse-names":false,"suffix":""},{"dropping-particle":"","family":"Baldi","given":"Simona","non-dropping-particle":"","parse-names":false,"suffix":""},{"dropping-particle":"","family":"Mari","given":"Andrea","non-dropping-particle":"","parse-names":false,"suffix":""},{"dropping-particle":"","family":"Heise","given":"Tim","non-dropping-particle":"","parse-names":false,"suffix":""},{"dropping-particle":"","family":"Broedl","given":"Uli C.","non-dropping-particle":"","parse-names":false,"suffix":""},{"dropping-particle":"","family":"Woerle","given":"Hans Juergen","non-dropping-particle":"","parse-names":false,"suffix":""}],"container-title":"Journal of Clinical Investigation","id":"ITEM-1","issue":"2","issued":{"date-parts":[["2014"]]},"page":"499-508","title":"Metabolic response to sodium-glucose cotransporter 2 inhibition in type 2 diabetic patients","type":"article-journal","volume":"124"},"uris":["http://www.mendeley.com/documents/?uuid=cdef5806-780e-46dc-9de7-3a44260f9ae3"]}],"mendeley":{"formattedCitation":"&lt;sup&gt;17&lt;/sup&gt;","plainTextFormattedCitation":"17","previouslyFormattedCitation":"&lt;sup&gt;17&lt;/sup&gt;"},"properties":{"noteIndex":0},"schema":"https://github.com/citation-style-language/schema/raw/master/csl-citation.json"}</w:instrText>
      </w:r>
      <w:r w:rsidR="001D0963"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17</w:t>
      </w:r>
      <w:r w:rsidR="001D0963" w:rsidRPr="00F650D8">
        <w:rPr>
          <w:rFonts w:ascii="Times New Roman" w:hAnsi="Times New Roman" w:cs="Times New Roman"/>
        </w:rPr>
        <w:fldChar w:fldCharType="end"/>
      </w:r>
      <w:r w:rsidR="00495929" w:rsidRPr="00F650D8">
        <w:rPr>
          <w:rFonts w:ascii="Times New Roman" w:hAnsi="Times New Roman" w:cs="Times New Roman"/>
        </w:rPr>
        <w:t xml:space="preserve"> whereas</w:t>
      </w:r>
      <w:r w:rsidR="001D0963" w:rsidRPr="00F650D8">
        <w:rPr>
          <w:rFonts w:ascii="Times New Roman" w:hAnsi="Times New Roman" w:cs="Times New Roman"/>
        </w:rPr>
        <w:t xml:space="preserve"> </w:t>
      </w:r>
      <w:r w:rsidR="00495929" w:rsidRPr="00F650D8">
        <w:rPr>
          <w:rFonts w:ascii="Times New Roman" w:hAnsi="Times New Roman" w:cs="Times New Roman"/>
        </w:rPr>
        <w:t>t</w:t>
      </w:r>
      <w:r w:rsidR="001D0963" w:rsidRPr="00F650D8">
        <w:rPr>
          <w:rFonts w:ascii="Times New Roman" w:hAnsi="Times New Roman" w:cs="Times New Roman"/>
        </w:rPr>
        <w:t xml:space="preserve">he </w:t>
      </w:r>
      <w:r w:rsidR="00795690" w:rsidRPr="00F650D8">
        <w:rPr>
          <w:rFonts w:ascii="Times New Roman" w:hAnsi="Times New Roman" w:cs="Times New Roman"/>
        </w:rPr>
        <w:t xml:space="preserve">greater </w:t>
      </w:r>
      <w:r w:rsidR="001D0963" w:rsidRPr="00F650D8">
        <w:rPr>
          <w:rFonts w:ascii="Times New Roman" w:hAnsi="Times New Roman" w:cs="Times New Roman"/>
        </w:rPr>
        <w:t>weight</w:t>
      </w:r>
      <w:r w:rsidR="006E3F5E" w:rsidRPr="00F650D8">
        <w:rPr>
          <w:rFonts w:ascii="Times New Roman" w:hAnsi="Times New Roman" w:cs="Times New Roman"/>
        </w:rPr>
        <w:t xml:space="preserve"> (fat</w:t>
      </w:r>
      <w:r w:rsidR="00FF5668" w:rsidRPr="00F650D8">
        <w:rPr>
          <w:rFonts w:ascii="Times New Roman" w:hAnsi="Times New Roman" w:cs="Times New Roman"/>
        </w:rPr>
        <w:t xml:space="preserve"> mass</w:t>
      </w:r>
      <w:r w:rsidR="006E3F5E" w:rsidRPr="00F650D8">
        <w:rPr>
          <w:rFonts w:ascii="Times New Roman" w:hAnsi="Times New Roman" w:cs="Times New Roman"/>
        </w:rPr>
        <w:t>)</w:t>
      </w:r>
      <w:r w:rsidR="001D0963" w:rsidRPr="00F650D8">
        <w:rPr>
          <w:rFonts w:ascii="Times New Roman" w:hAnsi="Times New Roman" w:cs="Times New Roman"/>
        </w:rPr>
        <w:t xml:space="preserve"> loss, likely explains why leptin was reduced only in the empagliflozin-plus-diet group</w:t>
      </w:r>
      <w:r w:rsidR="00F168AE" w:rsidRPr="00F650D8">
        <w:rPr>
          <w:rFonts w:ascii="Times New Roman" w:hAnsi="Times New Roman" w:cs="Times New Roman"/>
        </w:rPr>
        <w:t xml:space="preserve">. </w:t>
      </w:r>
      <w:r w:rsidR="007D182B" w:rsidRPr="00F650D8">
        <w:rPr>
          <w:rFonts w:ascii="Times New Roman" w:hAnsi="Times New Roman" w:cs="Times New Roman"/>
        </w:rPr>
        <w:t xml:space="preserve">The superior weight loss </w:t>
      </w:r>
      <w:r w:rsidR="00FB7D14" w:rsidRPr="00F650D8">
        <w:rPr>
          <w:rFonts w:ascii="Times New Roman" w:hAnsi="Times New Roman" w:cs="Times New Roman"/>
        </w:rPr>
        <w:t>with the combination of interventions</w:t>
      </w:r>
      <w:r w:rsidR="007D182B" w:rsidRPr="00F650D8">
        <w:rPr>
          <w:rFonts w:ascii="Times New Roman" w:hAnsi="Times New Roman" w:cs="Times New Roman"/>
        </w:rPr>
        <w:t xml:space="preserve"> </w:t>
      </w:r>
      <w:r w:rsidR="00FB7D14" w:rsidRPr="00F650D8">
        <w:rPr>
          <w:rFonts w:ascii="Times New Roman" w:hAnsi="Times New Roman" w:cs="Times New Roman"/>
        </w:rPr>
        <w:t xml:space="preserve">may </w:t>
      </w:r>
      <w:r w:rsidR="007D182B" w:rsidRPr="00F650D8">
        <w:rPr>
          <w:rFonts w:ascii="Times New Roman" w:hAnsi="Times New Roman" w:cs="Times New Roman"/>
        </w:rPr>
        <w:t xml:space="preserve">also explain why </w:t>
      </w:r>
      <w:r w:rsidR="008A43EB" w:rsidRPr="00F650D8">
        <w:rPr>
          <w:rFonts w:ascii="Times New Roman" w:hAnsi="Times New Roman" w:cs="Times New Roman"/>
        </w:rPr>
        <w:t xml:space="preserve">resting </w:t>
      </w:r>
      <w:r w:rsidR="00F36FAB" w:rsidRPr="00F650D8">
        <w:rPr>
          <w:rFonts w:ascii="Times New Roman" w:hAnsi="Times New Roman" w:cs="Times New Roman"/>
        </w:rPr>
        <w:t>EE</w:t>
      </w:r>
      <w:r w:rsidR="007D182B" w:rsidRPr="00F650D8">
        <w:rPr>
          <w:rFonts w:ascii="Times New Roman" w:hAnsi="Times New Roman" w:cs="Times New Roman"/>
        </w:rPr>
        <w:t xml:space="preserve"> was lower only in t</w:t>
      </w:r>
      <w:r w:rsidR="00FB7D14" w:rsidRPr="00F650D8">
        <w:rPr>
          <w:rFonts w:ascii="Times New Roman" w:hAnsi="Times New Roman" w:cs="Times New Roman"/>
        </w:rPr>
        <w:t>he empagliflozin-plus-diet</w:t>
      </w:r>
      <w:r w:rsidR="007D182B" w:rsidRPr="00F650D8">
        <w:rPr>
          <w:rFonts w:ascii="Times New Roman" w:hAnsi="Times New Roman" w:cs="Times New Roman"/>
        </w:rPr>
        <w:t xml:space="preserve"> group.</w:t>
      </w:r>
      <w:r w:rsidR="00FF5668" w:rsidRPr="00F650D8">
        <w:rPr>
          <w:rFonts w:ascii="Times New Roman" w:hAnsi="Times New Roman" w:cs="Times New Roman"/>
        </w:rPr>
        <w:t xml:space="preserve"> </w:t>
      </w:r>
    </w:p>
    <w:p w14:paraId="5BE3960E" w14:textId="77777777" w:rsidR="00853BFD" w:rsidRPr="00F650D8" w:rsidRDefault="00853BFD" w:rsidP="00853BFD">
      <w:pPr>
        <w:spacing w:line="480" w:lineRule="auto"/>
        <w:jc w:val="both"/>
        <w:rPr>
          <w:rFonts w:ascii="Times New Roman" w:hAnsi="Times New Roman" w:cs="Times New Roman"/>
        </w:rPr>
      </w:pPr>
    </w:p>
    <w:p w14:paraId="529B08E3" w14:textId="58FB1A98" w:rsidR="00A06413" w:rsidRPr="00F650D8" w:rsidRDefault="00853BFD" w:rsidP="00991FA4">
      <w:pPr>
        <w:spacing w:line="480" w:lineRule="auto"/>
        <w:jc w:val="both"/>
        <w:rPr>
          <w:rFonts w:ascii="Times New Roman" w:hAnsi="Times New Roman" w:cs="Times New Roman"/>
        </w:rPr>
      </w:pPr>
      <w:r w:rsidRPr="00F650D8">
        <w:rPr>
          <w:rFonts w:ascii="Times New Roman" w:hAnsi="Times New Roman" w:cs="Times New Roman"/>
        </w:rPr>
        <w:t>Another notable finding of our study is that subjective appetite perceptions were also unresponsive to each of the interventions. This suggests that the energy deficits elicited by empagliflozin therapy, dietary energy restriction, and their combination, did not provoke physiological responses reaching the level of consciousness in our participants. This finding contrasts previous data demonstrating increased subjective appetite (particularly an increase in fasting and meal-related hunger) in response to negative energy balance and weight loss</w:t>
      </w:r>
      <w:r w:rsidR="005F111E" w:rsidRPr="00F650D8">
        <w:rPr>
          <w:rFonts w:ascii="Times New Roman" w:hAnsi="Times New Roman" w:cs="Times New Roman"/>
        </w:rPr>
        <w:t>,</w:t>
      </w:r>
      <w:r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{"citationItems":[{"id":"ITEM-1","itemData":{"DOI":"10.1152/ajpregu.00755.2010","ISSN":"03636119","PMID":"21677272","abstract":"Dieting is the most common approach to losing weight for the majority of obese and overweight individuals. Restricting intake leads to weight loss in the short term, but, by itself, dieting has a relatively poor success rate for long-term weight reduction. Most obese people eventually regain the weight they have worked so hard to lose. Weight regain has emerged as one of the most significant obstacles for obesity therapeutics, undoubtedly perpetuating the epidemic of excess weight that now affects more than 60% of U.S. adults. In this review, we summarize the evidence of biology's role in the problem of weight regain. Biology's impact is first placed in context with other pressures known to affect body weight. Then, the biological adaptations to an energy-restricted, low-fat diet that are known to occur in the overweight and obese are reviewed, and an integrative picture of energy homeostasis after long-term weight reduction and during weight regain is presented. Finally, a novel model is proposed to explain the persistence of the \"energy depletion\" signal during the dynamic metabolic state of weight regain, when traditional adiposity signals no longer reflect stored energy in the periphery. The preponderance of evidence would suggest that the biological response to weight loss involves comprehensive, persistent, and redundant adaptations in energy homeostasis and that these adaptations underlie the high recidivism rate in obesity therapeutics. To be successful in the long term, our strategies for preventing weight regain may need to be just as comprehensive, persistent, and redundant, as the biological adaptations they are attempting to counter. © 2011 the American Physiological Society.","author":[{"dropping-particle":"","family":"MacLean","given":"Paul S.","non-dropping-particle":"","parse-names":false,"suffix":""},{"dropping-particle":"","family":"Bergouignan","given":"Audrey","non-dropping-particle":"","parse-names":false,"suffix":""},{"dropping-particle":"","family":"Cornier","given":"Marc Andre","non-dropping-particle":"","parse-names":false,"suffix":""},{"dropping-particle":"","family":"Jackman","given":"Matthew R.","non-dropping-particle":"","parse-names":false,"suffix":""}],"container-title":"American Journal of Physiology - Regulatory Integrative and Comparative Physiology","id":"ITEM-1","issue":"3","issued":{"date-parts":[["2011"]]},"title":"Biology's response to dieting: The impetus for weight regain","type":"article-journal","volume":"301"},"uris":["http://www.mendeley.com/documents/?uuid=4496fb34-4cc5-46b7-9066-0f503f3704e0"]}],"mendeley":{"formattedCitation":"&lt;sup&gt;36&lt;/sup&gt;","plainTextFormattedCitation":"36","previouslyFormattedCitation":"&lt;sup&gt;36&lt;/sup&gt;"},"properties":{"noteIndex":0},"schema":"https://github.com/citation-style-language/schema/raw/master/csl-citation.json"}</w:instrText>
      </w:r>
      <w:r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36</w:t>
      </w:r>
      <w:r w:rsidRPr="00F650D8">
        <w:rPr>
          <w:rFonts w:ascii="Times New Roman" w:hAnsi="Times New Roman" w:cs="Times New Roman"/>
        </w:rPr>
        <w:fldChar w:fldCharType="end"/>
      </w:r>
      <w:r w:rsidRPr="00F650D8">
        <w:rPr>
          <w:rFonts w:ascii="Times New Roman" w:hAnsi="Times New Roman" w:cs="Times New Roman"/>
        </w:rPr>
        <w:t xml:space="preserve"> including a single, uncontrolled human study in individuals with </w:t>
      </w:r>
      <w:r w:rsidR="007D6367" w:rsidRPr="00F650D8">
        <w:rPr>
          <w:rFonts w:ascii="Times New Roman" w:hAnsi="Times New Roman" w:cs="Times New Roman"/>
        </w:rPr>
        <w:t>T2D</w:t>
      </w:r>
      <w:r w:rsidRPr="00F650D8">
        <w:rPr>
          <w:rFonts w:ascii="Times New Roman" w:hAnsi="Times New Roman" w:cs="Times New Roman"/>
        </w:rPr>
        <w:t xml:space="preserve"> undergoing ipragliflozin therapy</w:t>
      </w:r>
      <w:r w:rsidR="005F111E" w:rsidRPr="00F650D8">
        <w:rPr>
          <w:rFonts w:ascii="Times New Roman" w:hAnsi="Times New Roman" w:cs="Times New Roman"/>
        </w:rPr>
        <w:t>.</w:t>
      </w:r>
      <w:r w:rsidRPr="00F650D8">
        <w:rPr>
          <w:rFonts w:ascii="Times New Roman" w:hAnsi="Times New Roman" w:cs="Times New Roman"/>
        </w:rPr>
        <w:fldChar w:fldCharType="begin" w:fldLock="1"/>
      </w:r>
      <w:r w:rsidR="008F2260" w:rsidRPr="00F650D8">
        <w:rPr>
          <w:rFonts w:ascii="Times New Roman" w:hAnsi="Times New Roman" w:cs="Times New Roman"/>
        </w:rPr>
        <w:instrText>ADDIN CSL_CITATION {"citationItems":[{"id":"ITEM-1","itemData":{"DOI":"10.1111/jdi.13015","ISSN":"20401124","PMID":"30688412","abstract":"Aims/Introduction: Sodium–glucose cotransporter 2 (SGLT-2) inhibitors improve blood glucose control, as well as reducing bodyweight by promoting urinary glucose excretion. The weight loss is less than expected from urinary glucose loss, however, likely because of an increase in food intake. To investigate whether SGLT-2 inhibitors might increase appetite by affecting related hormones, we examined the effects of the SGLT-2 inhibitor, ipragliflozin, including those on appetite-regulating hormones, in individuals with suboptimally controlled type 2 diabetes. Materials and Methods: The present prospective, multicenter, open-label study was carried out with 96 patients with a body mass index of ≥22 kg/m2 who were treated with ipragliflozin (50 mg/day) for 16 weeks. Parameters including glycated hemoglobin level, bodyweight, circulating leptin and active ghrelin concentrations, and appetite as assessed with a visual analog scale were measured before and during treatment. Results: Both glycated hemoglobin level (from 7.9 ± 0.8 to 7.1 ± 0.7%) and bodyweight (from 75.2 ± 12.6 to 72.6 ± 12.4 kg) were significantly decreased after treatment for 16 weeks. The fasting serum leptin level was significantly decreased after 2 weeks (from 19.5 ± 13.1 to 18.1 ± 12.4 ng/mL) and remained decreased up to 16 weeks, even after adjustment for bodyweight, whereas the plasma active ghrelin level showed no significant change. The visual analog scale score for hunger was significantly increased at 2 and 8 weeks. Conclusions: The present results suggest that ipragliflozin improved glycemic control and reduced bodyweight, but also reduced serum leptin levels and might thereby have increased appetite.","author":[{"dropping-particle":"","family":"Miura","given":"Hiroshi","non-dropping-particle":"","parse-names":false,"suffix":""},{"dropping-particle":"","family":"Sakaguchi","given":"Kazuhiko","non-dropping-particle":"","parse-names":false,"suffix":""},{"dropping-particle":"","family":"Okada","given":"Yuko","non-dropping-particle":"","parse-names":false,"suffix":""},{"dropping-particle":"","family":"Yamada","given":"Tomoko","non-dropping-particle":"","parse-names":false,"suffix":""},{"dropping-particle":"","family":"Otowa-Suematsu","given":"Natsu","non-dropping-particle":"","parse-names":false,"suffix":""},{"dropping-particle":"","family":"So","given":"Anna","non-dropping-particle":"","parse-names":false,"suffix":""},{"dropping-particle":"","family":"Komada","given":"Hisako","non-dropping-particle":"","parse-names":false,"suffix":""},{"dropping-particle":"","family":"Hirota","given":"Yushi","non-dropping-particle":"","parse-names":false,"suffix":""},{"dropping-particle":"","family":"Ohara","given":"Takeshi","non-dropping-particle":"","parse-names":false,"suffix":""},{"dropping-particle":"","family":"Kuroki","given":"Yasuo","non-dropping-particle":"","parse-names":false,"suffix":""},{"dropping-particle":"","family":"Hara","given":"Kenta","non-dropping-particle":"","parse-names":false,"suffix":""},{"dropping-particle":"","family":"Matsuda","given":"Tomokazu","non-dropping-particle":"","parse-names":false,"suffix":""},{"dropping-particle":"","family":"Kishi","given":"Minoru","non-dropping-particle":"","parse-names":false,"suffix":""},{"dropping-particle":"","family":"Takeda","given":"Akihiko","non-dropping-particle":"","parse-names":false,"suffix":""},{"dropping-particle":"","family":"Yokota","given":"Kazuki","non-dropping-particle":"","parse-names":false,"suffix":""},{"dropping-particle":"","family":"Tamori","given":"Yoshikazu","non-dropping-particle":"","parse-names":false,"suffix":""},{"dropping-particle":"","family":"Ogawa","given":"Wataru","non-dropping-particle":"","parse-names":false,"suffix":""}],"container-title":"Journal of Diabetes Investigation","id":"ITEM-1","issue":"5","issued":{"date-parts":[["2019"]]},"page":"1254-1261","title":"Effects of ipragliflozin on glycemic control, appetite and its related hormones: A prospective, multicenter, open-label study (SOAR-KOBE Study)","type":"article-journal","volume":"10"},"uris":["http://www.mendeley.com/documents/?uuid=56ce3627-9c04-4bb4-b119-d204ce6d5199"]}],"mendeley":{"formattedCitation":"&lt;sup&gt;22&lt;/sup&gt;","plainTextFormattedCitation":"22","previouslyFormattedCitation":"&lt;sup&gt;22&lt;/sup&gt;"},"properties":{"noteIndex":0},"schema":"https://github.com/citation-style-language/schema/raw/master/csl-citation.json"}</w:instrText>
      </w:r>
      <w:r w:rsidRPr="00F650D8">
        <w:rPr>
          <w:rFonts w:ascii="Times New Roman" w:hAnsi="Times New Roman" w:cs="Times New Roman"/>
        </w:rPr>
        <w:fldChar w:fldCharType="separate"/>
      </w:r>
      <w:r w:rsidR="00F516F7" w:rsidRPr="00F650D8">
        <w:rPr>
          <w:rFonts w:ascii="Times New Roman" w:hAnsi="Times New Roman" w:cs="Times New Roman"/>
          <w:noProof/>
          <w:vertAlign w:val="superscript"/>
        </w:rPr>
        <w:t>22</w:t>
      </w:r>
      <w:r w:rsidRPr="00F650D8">
        <w:rPr>
          <w:rFonts w:ascii="Times New Roman" w:hAnsi="Times New Roman" w:cs="Times New Roman"/>
        </w:rPr>
        <w:fldChar w:fldCharType="end"/>
      </w:r>
      <w:r w:rsidRPr="00F650D8">
        <w:rPr>
          <w:rFonts w:ascii="Times New Roman" w:hAnsi="Times New Roman" w:cs="Times New Roman"/>
        </w:rPr>
        <w:t xml:space="preserve"> These discrepant findings may be explained by the modest magnitude of weight loss elicited in our study (particularly in the placebo-plus-diet and empagliflozin-only groups; ~3</w:t>
      </w:r>
      <w:r w:rsidR="0051245E" w:rsidRPr="00F650D8">
        <w:rPr>
          <w:rFonts w:ascii="Times New Roman" w:hAnsi="Times New Roman" w:cs="Times New Roman"/>
        </w:rPr>
        <w:t xml:space="preserve"> to </w:t>
      </w:r>
      <w:r w:rsidRPr="00F650D8">
        <w:rPr>
          <w:rFonts w:ascii="Times New Roman" w:hAnsi="Times New Roman" w:cs="Times New Roman"/>
        </w:rPr>
        <w:t>3</w:t>
      </w:r>
      <w:r w:rsidRPr="00F650D8">
        <w:rPr>
          <w:rFonts w:ascii="Times New Roman" w:hAnsi="Times New Roman" w:cs="Times New Roman"/>
        </w:rPr>
        <w:sym w:font="Symbol" w:char="F0D7"/>
      </w:r>
      <w:r w:rsidRPr="00F650D8">
        <w:rPr>
          <w:rFonts w:ascii="Times New Roman" w:hAnsi="Times New Roman" w:cs="Times New Roman"/>
        </w:rPr>
        <w:t xml:space="preserve">5% from baseline), or it may be that, despite exhibiting best practice, our assessment of appetite within a laboratory environment lacked sufficient sensitivity to detect subtle changes in subjective perceptions. </w:t>
      </w:r>
      <w:r w:rsidR="0051245E" w:rsidRPr="00F650D8">
        <w:rPr>
          <w:rFonts w:ascii="Times New Roman" w:hAnsi="Times New Roman" w:cs="Times New Roman"/>
        </w:rPr>
        <w:t>It is also</w:t>
      </w:r>
      <w:r w:rsidR="00702703" w:rsidRPr="00F650D8">
        <w:rPr>
          <w:rFonts w:ascii="Times New Roman" w:hAnsi="Times New Roman" w:cs="Times New Roman"/>
        </w:rPr>
        <w:t xml:space="preserve"> noteworthy that we observed no increase</w:t>
      </w:r>
      <w:r w:rsidR="00185C90" w:rsidRPr="00F650D8">
        <w:rPr>
          <w:rFonts w:ascii="Times New Roman" w:hAnsi="Times New Roman" w:cs="Times New Roman"/>
        </w:rPr>
        <w:t xml:space="preserve"> </w:t>
      </w:r>
      <w:r w:rsidR="00702703" w:rsidRPr="00F650D8">
        <w:rPr>
          <w:rFonts w:ascii="Times New Roman" w:hAnsi="Times New Roman" w:cs="Times New Roman"/>
        </w:rPr>
        <w:t xml:space="preserve">in </w:t>
      </w:r>
      <w:r w:rsidR="0017376E" w:rsidRPr="00F650D8">
        <w:rPr>
          <w:rFonts w:ascii="Times New Roman" w:hAnsi="Times New Roman" w:cs="Times New Roman"/>
        </w:rPr>
        <w:t xml:space="preserve">self-reported </w:t>
      </w:r>
      <w:r w:rsidR="00F36FAB" w:rsidRPr="00F650D8">
        <w:rPr>
          <w:rFonts w:ascii="Times New Roman" w:hAnsi="Times New Roman" w:cs="Times New Roman"/>
        </w:rPr>
        <w:t>EI</w:t>
      </w:r>
      <w:r w:rsidR="00702703" w:rsidRPr="00F650D8">
        <w:rPr>
          <w:rFonts w:ascii="Times New Roman" w:hAnsi="Times New Roman" w:cs="Times New Roman"/>
        </w:rPr>
        <w:t xml:space="preserve"> in any experimental group compared to placebo</w:t>
      </w:r>
      <w:r w:rsidR="00185C90" w:rsidRPr="00F650D8">
        <w:rPr>
          <w:rFonts w:ascii="Times New Roman" w:hAnsi="Times New Roman" w:cs="Times New Roman"/>
        </w:rPr>
        <w:t xml:space="preserve">. These findings contrast </w:t>
      </w:r>
      <w:r w:rsidR="00702703" w:rsidRPr="00F650D8">
        <w:rPr>
          <w:rFonts w:ascii="Times New Roman" w:hAnsi="Times New Roman" w:cs="Times New Roman"/>
        </w:rPr>
        <w:t xml:space="preserve">evidence from pre-clinical studies in rodents and </w:t>
      </w:r>
      <w:r w:rsidR="00185C90" w:rsidRPr="00F650D8">
        <w:rPr>
          <w:rFonts w:ascii="Times New Roman" w:hAnsi="Times New Roman" w:cs="Times New Roman"/>
        </w:rPr>
        <w:t xml:space="preserve">previous </w:t>
      </w:r>
      <w:r w:rsidR="00702703" w:rsidRPr="00F650D8">
        <w:rPr>
          <w:rFonts w:ascii="Times New Roman" w:hAnsi="Times New Roman" w:cs="Times New Roman"/>
        </w:rPr>
        <w:t xml:space="preserve">modelling </w:t>
      </w:r>
      <w:r w:rsidR="00185C90" w:rsidRPr="00F650D8">
        <w:rPr>
          <w:rFonts w:ascii="Times New Roman" w:hAnsi="Times New Roman" w:cs="Times New Roman"/>
        </w:rPr>
        <w:t>analyses</w:t>
      </w:r>
      <w:r w:rsidR="0017376E" w:rsidRPr="00F650D8">
        <w:rPr>
          <w:rFonts w:ascii="Times New Roman" w:hAnsi="Times New Roman" w:cs="Times New Roman"/>
        </w:rPr>
        <w:t xml:space="preserve"> in humans</w:t>
      </w:r>
      <w:r w:rsidR="005F111E" w:rsidRPr="00F650D8">
        <w:rPr>
          <w:rFonts w:ascii="Times New Roman" w:hAnsi="Times New Roman" w:cs="Times New Roman"/>
        </w:rPr>
        <w:t>,</w:t>
      </w:r>
      <w:r w:rsidR="00741FE8" w:rsidRPr="00F650D8">
        <w:rPr>
          <w:rFonts w:ascii="Times New Roman" w:hAnsi="Times New Roman" w:cs="Times New Roman"/>
        </w:rPr>
        <w:fldChar w:fldCharType="begin" w:fldLock="1"/>
      </w:r>
      <w:r w:rsidR="00AF2D11" w:rsidRPr="00F650D8">
        <w:rPr>
          <w:rFonts w:ascii="Times New Roman" w:hAnsi="Times New Roman" w:cs="Times New Roman"/>
        </w:rPr>
        <w:instrText>ADDIN CSL_CITATION {"citationItems":[{"id":"ITEM-1","itemData":{"author":[{"dropping-particle":"","family":"Matsuba","given":"Ikuro","non-dropping-particle":"","parse-names":false,"suffix":""},{"dropping-particle":"","family":"Kanamori","given":"Akira","non-dropping-particle":"","parse-names":false,"suffix":""},{"dropping-particle":"","family":"Takihata","given":"Mashahiro","non-dropping-particle":"","parse-names":false,"suffix":""},{"dropping-particle":"","family":"Takai","given":"Masahiko","non-dropping-particle":"","parse-names":false,"suffix":""},{"dropping-particle":"","family":"Maeda","given":"Hajime","non-dropping-particle":"","parse-names":false,"suffix":""},{"dropping-particle":"","family":"Kubota","given":"Akira","non-dropping-particle":"","parse-names":false,"suffix":""},{"dropping-particle":"","family":"Lemitsu","given":"Kotaro","non-dropping-particle":"","parse-names":false,"suffix":""},{"dropping-particle":"","family":"Umezawa","given":"Shinichi","non-dropping-particle":"","parse-names":false,"suffix":""},{"dropping-particle":"","family":"Obana","given":"Mitsuo","non-dropping-particle":"","parse-names":false,"suffix":""},{"dropping-particle":"","family":"Kaneshiro","given":"Mizuki","non-dropping-particle":"","parse-names":false,"suffix":""},{"dropping-particle":"","family":"Kawata","given":"Takehiro","non-dropping-particle":"","parse-names":false,"suffix":""},{"dropping-particle":"","family":"Takuma","given":"Tetsuo","non-dropping-particle":"","parse-names":false,"suffix":""},{"dropping-particle":"","family":"Takeda","given":"Hiroshi","non-dropping-particle":"","parse-names":false,"suffix":""},{"dropping-particle":"","family":"Machimura","given":"Hideo","non-dropping-particle":"","parse-names":false,"suffix":""},{"dropping-particle":"","family":"Mokubo","given":"Atsuko","non-dropping-particle":"","parse-names":false,"suffix":""},{"dropping-particle":"","family":"Motomiya","given":"Tetsuya","non-dropping-particle":"","parse-names":false,"suffix":""},{"dropping-particle":"","family":"Asakura","given":"Taro","non-dropping-particle":"","parse-names":false,"suffix":""},{"dropping-particle":"","family":"Kikuchi","given":"Taisuke","non-dropping-particle":"","parse-names":false,"suffix":""},{"dropping-particle":"","family":"Matsuzawa","given":"Yoko","non-dropping-particle":"","parse-names":false,"suffix":""},{"dropping-particle":"","family":"Ito","given":"Shogo","non-dropping-particle":"","parse-names":false,"suffix":""},{"dropping-particle":"","family":"Miyakawa","given":"Masaaki","non-dropping-particle":"","parse-names":false,"suffix":""},{"dropping-particle":"","family":"Terauchi","given":"Yasuo","non-dropping-particle":"","parse-names":false,"suffix":""},{"dropping-particle":"","family":"Tanaka","given":"Yasushi","non-dropping-particle":"","parse-names":false,"suffix":""}],"container-title":"Diabetes technology &amp; therapeutics","id":"ITEM-1","issue":"3","issued":{"date-parts":[["2020"]]},"page":"228-234.","title":"Canagliflozin Increases Calorie Intake in Type 2 Diabetes Without Changing the Energy Ratio of the Three Macronutrients: CANA-K Study","type":"article-journal","volume":"22"},"uris":["http://www.mendeley.com/documents/?uuid=895488f8-9f27-489c-8fe7-9e04e87bf677"]},{"id":"ITEM-2","itemData":{"DOI":"10.2337/dc15-0355","ISSN":"19355548","PMID":"26180105","abstract":"OBJECTIVE Sodium-glucose cotransporter 2 (SGLT2) inhibitors cause substantially less weight loss than expected from the energy excreted via glycosuria. Our aim was to analyze this phenomenon quantitatively. RESEARCH DESIGN AND METHODS Eighty-six patients with type 2 diabetes (HbA1c 7.8 ± 0.8% [62 ± 9 mmol/mol], estimated glomerular filtration rate [EGFR] 89 ± 19 mL · min2-1 · 1.73 m-2) received empagliflozin (25 mg/day) for 90 weeks with frequent (n = 11) assessments of body weight, EGFR, and fasting plasma glucose (FPG). Time-dependent glucose filtration was calculated as the product of EGFR and FPG; time-dependent glycosuria was estimated from previous direct measurements. The relation of calorie-to-weight changes was estimated using a mathematical model of human energy metabolism that simulates the time course of weight change for a given change in calorie balance and calculates the corresponding energy intake changes. RESULTS At week 90, weight loss averaged 23.2 ± 4.2 kg (corresponding to a median calorie deficit of 51 kcal/day [interquartile range (IQR) 112]). However, the observed calorie loss through glycosuria (206 kcal/day [IQR 90]) was predicted to result in a weight loss of -11.3 ± 3.1 kg, assuming no compensatory changes in energy intake. Thus, patients lost only 29 ± 41% of the weight loss predicted by their glycosuria; the model indicated that this difference was accounted for by a 13% (IQR 12) increase in calorie intake (269 kcal/day [IQR 258]) coupled with a 2% (IQR 5) increase in daily energy expenditure (due to diet-induced thermogenesis). This increased calorie intake was inversely related to baseline BMI (partial r = 20.34, P &lt; 0.01) and positively to baseline EGFR (partial r = 0.29, P &lt; 0.01). CONCLUSIONS Chronic glycosuria elicits an adaptive increase in energy intake. Combining SGLT2 inhibition with caloric restriction is expected to be associated with major weight loss.","author":[{"dropping-particle":"","family":"Ferrannini","given":"Giulia","non-dropping-particle":"","parse-names":false,"suffix":""},{"dropping-particle":"","family":"Hach","given":"Thomas","non-dropping-particle":"","parse-names":false,"suffix":""},{"dropping-particle":"","family":"Crowe","given":"Susanne","non-dropping-particle":"","parse-names":false,"suffix":""},{"dropping-particle":"","family":"Sanghvi","given":"Arjun","non-dropping-particle":"","parse-names":false,"suffix":""},{"dropping-particle":"","family":"Hall","given":"Kevin D.","non-dropping-particle":"","parse-names":false,"suffix":""},{"dropping-particle":"","family":"Ferrannini","given":"Ele","non-dropping-particle":"","parse-names":false,"suffix":""}],"container-title":"Diabetes Care","id":"ITEM-2","issue":"9","issued":{"date-parts":[["2015"]]},"page":"1730-1735","title":"Energy balance after sodium- glucose cotransporter 2 inhibition","type":"article-journal","volume":"38"},"uris":["http://www.mendeley.com/documents/?uuid=37ae20cb-8dfe-432f-99d1-54855074615e"]},{"id":"ITEM-3","itemData":{"DOI":"10.1038/oby.2012.59","ISSN":"19307381","PMID":"22402735","abstract":"Dapagliflozin is a potent and selective sodium glucose cotransporter-2 (SGLT2) inhibitor which promotes urinary glucose excretion and induces weight loss. Since metabolic compensation can offset a negative energy balance, we explored the potential for a compensatory physiological response to the weight loss induced by dapagliflozin. Dapagliflozin was administered (0.5-5 mpk; p.o.) to diet-induced obese (DIO) rats with or without ad libitum access to food for 38 days. Along with inducing urinary glucose excretion, chronic administration of dapagliflozin dose-dependently increased food and water intake relative to vehicle-treated controls. Despite this, it reduced body weight by 4% (relative to controls) at the highest dose. The degree of weight loss was increased by an additional 9% if hyperphagia was prevented by restricting food intake to that of vehicle controls. Neither oxygen consumption (vO2) or the respiratory exchange ratio (RER) were altered by dapagliflozin treatment alone. Animals treated with dapagliflozin and pair-fed to vehicle controls (5 mpk PF-V) showed a reduction in RER and an elevation in nonfasting Β-hydroxybutyrate (BHBA) relative to ad libitum-fed 5 mpk counterparts. Fasting BHBA was elevated in the 1 mpk, 5 mpk, and 5 mpk PF-V groups. Serum glucose was reduced in the fasted, but not the unfasted state. Insulin was reduced in the non-fasted state. These data suggest that in rodents, the persistent urinary glucose excretion induced by dapagliflozin was accompanied by compensatory hyperphagia, which attenuated the weight loss induced by SGLT2 inhibition. Therefore, it is possible that dapagliflozin-induced weight loss could be enhanced with dietary intervention. © 2011 The Obesity Society.","author":[{"dropping-particle":"","family":"Devenny","given":"James J.","non-dropping-particle":"","parse-names":false,"suffix":""},{"dropping-particle":"","family":"Godonis","given":"Helen E.","non-dropping-particle":"","parse-names":false,"suffix":""},{"dropping-particle":"","family":"Harvey","given":"Susan J.","non-dropping-particle":"","parse-names":false,"suffix":""},{"dropping-particle":"","family":"Rooney","given":"Suzanne","non-dropping-particle":"","parse-names":false,"suffix":""},{"dropping-particle":"","family":"Cullen","given":"Mary J.","non-dropping-particle":"","parse-names":false,"suffix":""},{"dropping-particle":"","family":"Pelleymounter","given":"Mary Ann","non-dropping-particle":"","parse-names":false,"suffix":""}],"container-title":"Obesity","id":"ITEM-3","issue":"8","issued":{"date-parts":[["2012"]]},"page":"1645-1652","title":"Weight loss induced by chronic dapagliflozin treatment is attenuated by compensatory hyperphagia in diet-induced obese (DIO) rats","type":"article-journal","volume":"20"},"uris":["http://www.mendeley.com/documents/?uuid=95583340-2f5d-459b-87a5-b4389d93659d"]}],"mendeley":{"formattedCitation":"&lt;sup&gt;6,8,9&lt;/sup&gt;","plainTextFormattedCitation":"6,8,9","previouslyFormattedCitation":"&lt;sup&gt;6,8,9&lt;/sup&gt;"},"properties":{"noteIndex":0},"schema":"https://github.com/citation-style-language/schema/raw/master/csl-citation.json"}</w:instrText>
      </w:r>
      <w:r w:rsidR="00741FE8" w:rsidRPr="00F650D8">
        <w:rPr>
          <w:rFonts w:ascii="Times New Roman" w:hAnsi="Times New Roman" w:cs="Times New Roman"/>
        </w:rPr>
        <w:fldChar w:fldCharType="separate"/>
      </w:r>
      <w:r w:rsidR="00A60C08" w:rsidRPr="00F650D8">
        <w:rPr>
          <w:rFonts w:ascii="Times New Roman" w:hAnsi="Times New Roman" w:cs="Times New Roman"/>
          <w:noProof/>
          <w:vertAlign w:val="superscript"/>
        </w:rPr>
        <w:t>6,8,9</w:t>
      </w:r>
      <w:r w:rsidR="00741FE8" w:rsidRPr="00F650D8">
        <w:rPr>
          <w:rFonts w:ascii="Times New Roman" w:hAnsi="Times New Roman" w:cs="Times New Roman"/>
        </w:rPr>
        <w:fldChar w:fldCharType="end"/>
      </w:r>
      <w:r w:rsidR="00185C90" w:rsidRPr="00F650D8">
        <w:rPr>
          <w:rFonts w:ascii="Times New Roman" w:hAnsi="Times New Roman" w:cs="Times New Roman"/>
        </w:rPr>
        <w:t xml:space="preserve"> but are in accordance with preliminary analyses from a randomi</w:t>
      </w:r>
      <w:r w:rsidR="001F16AF" w:rsidRPr="00F650D8">
        <w:rPr>
          <w:rFonts w:ascii="Times New Roman" w:hAnsi="Times New Roman" w:cs="Times New Roman"/>
        </w:rPr>
        <w:t>s</w:t>
      </w:r>
      <w:r w:rsidR="00185C90" w:rsidRPr="00F650D8">
        <w:rPr>
          <w:rFonts w:ascii="Times New Roman" w:hAnsi="Times New Roman" w:cs="Times New Roman"/>
        </w:rPr>
        <w:t xml:space="preserve">ed placebo-controlled crossover trial in people with </w:t>
      </w:r>
      <w:r w:rsidR="007D6367" w:rsidRPr="00F650D8">
        <w:rPr>
          <w:rFonts w:ascii="Times New Roman" w:hAnsi="Times New Roman" w:cs="Times New Roman"/>
        </w:rPr>
        <w:t>T2D</w:t>
      </w:r>
      <w:r w:rsidR="00185C90" w:rsidRPr="00F650D8">
        <w:rPr>
          <w:rFonts w:ascii="Times New Roman" w:hAnsi="Times New Roman" w:cs="Times New Roman"/>
        </w:rPr>
        <w:t>, which report</w:t>
      </w:r>
      <w:r w:rsidR="00F83C23" w:rsidRPr="00F650D8">
        <w:rPr>
          <w:rFonts w:ascii="Times New Roman" w:hAnsi="Times New Roman" w:cs="Times New Roman"/>
        </w:rPr>
        <w:t>s</w:t>
      </w:r>
      <w:r w:rsidR="00185C90" w:rsidRPr="00F650D8">
        <w:rPr>
          <w:rFonts w:ascii="Times New Roman" w:hAnsi="Times New Roman" w:cs="Times New Roman"/>
        </w:rPr>
        <w:t xml:space="preserve"> no change in laboratory-assessed food intake following 12 weeks of dapagliflozin therapy</w:t>
      </w:r>
      <w:r w:rsidR="005F111E" w:rsidRPr="00F650D8">
        <w:rPr>
          <w:rFonts w:ascii="Times New Roman" w:hAnsi="Times New Roman" w:cs="Times New Roman"/>
        </w:rPr>
        <w:t>.</w:t>
      </w:r>
      <w:r w:rsidR="006B411D"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{"citationItems":[{"id":"ITEM-1","itemData":{"DOI":"10.1136/bmjopen-2016-013539","ISSN":"20446055","PMID":"28132008","abstract":"Introduction: Sodium glucose cotransporter 2 (SGLT2) inhibitors are effective blood-glucose-lowering medications with beneficial effects on body weight in patients with type 2 diabetes mellitus (T2DM). However, observed weight loss is less than that predicted from quantified glycosuria, suggesting a compensatory increase in energy intake or a decrease in energy expenditure. Studies using dual-energy X-ray absorptiometry (DEXA) have suggested most body weight change is due to loss of adipose tissue, but organ-specific changes in fat content (eg, liver, skeletal muscle) have not been determined. In this randomised, double-blind, placebo-controlled crossover study, we aim to study the compensatory changes in energy intake, eating behaviour and energy expenditure accompanying use of the SGLT2 inhibitor, dapagliflozin. Additionally, we aim to quantify changes in fat distribution using MRI, in liver fat using proton magnetic resonance spectroscopy (1H-MRS) and in central nervous system (CNS) responses to food images using blood oxygen level dependent (BOLD) functional MRI (fMRI). Methods and analysis: This outpatient study will evaluate the effect of dapagliflozin (10 mg), compared with placebo, on food intake and energy expenditure at 7 days and 12 weeks. 52 patients with T2DM will be randomised to dapagliflozin or placebo for short-term and long-term trial interventions in a within participants, crossover design. The primary outcome is the difference in energy intake during a test meal between dapagliflozin and placebo. Intake data are collected automatically using a customised programme operating a universal eating monitor (UEM). Secondary outcomes include (1) measures of appetite regulation including rate of eating, satiety quotient, appetite ratings (between and within meals), changes in CNS responses to food images measured using BOLD-fMRI, (2) measures of energy expenditure and (3) changes in body composition including changes in liver fat and abdominal visceral adipose tissue (VAT) and subcutaneous adipose tissue (SAT). Ethical approval: This study has been approved by the North West Liverpool Central Research Ethics Committee (14/NW/0340) and is conducted in accordance with the Declaration of Helsinki and the Good Clinical Practice (GCP).","author":[{"dropping-particle":"","family":"Rajeev","given":"Surya Panicker","non-dropping-particle":"","parse-names":false,"suffix":""},{"dropping-particle":"","family":"Sprung","given":"Victoria S.","non-dropping-particle":"","parse-names":false,"suffix":""},{"dropping-particle":"","family":"Roberts","given":"Carl","non-dropping-particle":"","parse-names":false,"suffix":""},{"dropping-particle":"","family":"Harrold","given":"Jo A.","non-dropping-particle":"","parse-names":false,"suffix":""},{"dropping-particle":"","family":"Halford","given":"Jason C.G.","non-dropping-particle":"","parse-names":false,"suffix":""},{"dropping-particle":"","family":"Stancak","given":"Andrej","non-dropping-particle":"","parse-names":false,"suffix":""},{"dropping-particle":"","family":"Boyland","given":"Emma J.","non-dropping-particle":"","parse-names":false,"suffix":""},{"dropping-particle":"","family":"Kemp","given":"Graham J.","non-dropping-particle":"","parse-names":false,"suffix":""},{"dropping-particle":"","family":"Cuthbertson","given":"Daniel J.","non-dropping-particle":"","parse-names":false,"suffix":""},{"dropping-particle":"","family":"Wilding","given":"John P.H.","non-dropping-particle":"","parse-names":false,"suffix":""}],"container-title":"BMJ Open","id":"ITEM-1","issue":"1","issued":{"date-parts":[["2017"]]},"page":"1-9","title":"Compensatory changes in energy balance during dapagliflozin treatment in type 2 diabetes mellitus: A randomised double-blind, placebo-controlled, cross-over trial (ENERGIZE) - Study protocol","type":"article-journal","volume":"7"},"uris":["http://www.mendeley.com/documents/?uuid=df16620d-722b-4b6e-9f1d-53232bd283e5"]},{"id":"ITEM-2","itemData":{"author":[{"dropping-particle":"","family":"Rajeev","given":"Surya Panicker","non-dropping-particle":"","parse-names":false,"suffix":""},{"dropping-particle":"","family":"Roberts","given":"Carl A","non-dropping-particle":"","parse-names":false,"suffix":""},{"dropping-particle":"","family":"Cuthbertson","given":"Daniel James","non-dropping-particle":"","parse-names":false,"suffix":""},{"dropping-particle":"","family":"Sprung","given":"Victoria S.","non-dropping-particle":"","parse-names":false,"suffix":""},{"dropping-particle":"","family":"Brown","given":"Emily","non-dropping-particle":"","parse-names":false,"suffix":""},{"dropping-particle":"","family":"Halford","given":"Jason","non-dropping-particle":"","parse-names":false,"suffix":""},{"dropping-particle":"","family":"Harrold","given":"Joanne A","non-dropping-particle":"","parse-names":false,"suffix":""},{"dropping-particle":"","family":"Kemp","given":"Graham J","non-dropping-particle":"","parse-names":false,"suffix":""},{"dropping-particle":"","family":"Stancak","given":"Andrej","non-dropping-particle":"","parse-names":false,"suffix":""},{"dropping-particle":"","family":"Wilding","given":"John P","non-dropping-particle":"","parse-names":false,"suffix":""}],"container-title":"Diabetes","id":"ITEM-2","issue":"S1","issued":{"date-parts":[["2018"]]},"page":"1163-P","title":"Changes in Energy Balance during Dapagliflozin Therapy in Type 2 Diabetes—The Energize Study","type":"article-journal","volume":"67"},"uris":["http://www.mendeley.com/documents/?uuid=72c1257c-7087-4532-98f2-4dbd7d2da256"]}],"mendeley":{"formattedCitation":"&lt;sup&gt;38,39&lt;/sup&gt;","plainTextFormattedCitation":"38,39","previouslyFormattedCitation":"&lt;sup&gt;38,39&lt;/sup&gt;"},"properties":{"noteIndex":0},"schema":"https://github.com/citation-style-language/schema/raw/master/csl-citation.json"}</w:instrText>
      </w:r>
      <w:r w:rsidR="006B411D"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38,39</w:t>
      </w:r>
      <w:r w:rsidR="006B411D" w:rsidRPr="00F650D8">
        <w:rPr>
          <w:rFonts w:ascii="Times New Roman" w:hAnsi="Times New Roman" w:cs="Times New Roman"/>
        </w:rPr>
        <w:fldChar w:fldCharType="end"/>
      </w:r>
      <w:r w:rsidR="00185C90" w:rsidRPr="00F650D8">
        <w:rPr>
          <w:rFonts w:ascii="Times New Roman" w:hAnsi="Times New Roman" w:cs="Times New Roman"/>
        </w:rPr>
        <w:t xml:space="preserve"> </w:t>
      </w:r>
    </w:p>
    <w:p w14:paraId="538AC6CE" w14:textId="25227414" w:rsidR="00702703" w:rsidRPr="00F650D8" w:rsidRDefault="00702703" w:rsidP="00991FA4">
      <w:pPr>
        <w:spacing w:line="480" w:lineRule="auto"/>
        <w:jc w:val="both"/>
        <w:rPr>
          <w:rFonts w:ascii="Times New Roman" w:hAnsi="Times New Roman" w:cs="Times New Roman"/>
        </w:rPr>
      </w:pPr>
    </w:p>
    <w:p w14:paraId="7C4F83D5" w14:textId="72BE8660" w:rsidR="007161EE" w:rsidRPr="00F650D8" w:rsidRDefault="004B35A4" w:rsidP="00991FA4">
      <w:pPr>
        <w:spacing w:line="480" w:lineRule="auto"/>
        <w:jc w:val="both"/>
        <w:rPr>
          <w:rFonts w:ascii="Times New Roman" w:hAnsi="Times New Roman" w:cs="Times New Roman"/>
        </w:rPr>
      </w:pPr>
      <w:r w:rsidRPr="00F650D8">
        <w:rPr>
          <w:rFonts w:ascii="Times New Roman" w:hAnsi="Times New Roman" w:cs="Times New Roman"/>
        </w:rPr>
        <w:t>This study was the first to assess the impact of S</w:t>
      </w:r>
      <w:r w:rsidR="009F57B5" w:rsidRPr="00F650D8">
        <w:rPr>
          <w:rFonts w:ascii="Times New Roman" w:hAnsi="Times New Roman" w:cs="Times New Roman"/>
        </w:rPr>
        <w:t>GL</w:t>
      </w:r>
      <w:r w:rsidR="0035163E" w:rsidRPr="00F650D8">
        <w:rPr>
          <w:rFonts w:ascii="Times New Roman" w:hAnsi="Times New Roman" w:cs="Times New Roman"/>
        </w:rPr>
        <w:t xml:space="preserve">T2i </w:t>
      </w:r>
      <w:r w:rsidR="009F57B5" w:rsidRPr="00F650D8">
        <w:rPr>
          <w:rFonts w:ascii="Times New Roman" w:hAnsi="Times New Roman" w:cs="Times New Roman"/>
        </w:rPr>
        <w:t xml:space="preserve">therapy on </w:t>
      </w:r>
      <w:r w:rsidR="00FF5668" w:rsidRPr="00F650D8">
        <w:rPr>
          <w:rFonts w:ascii="Times New Roman" w:hAnsi="Times New Roman" w:cs="Times New Roman"/>
        </w:rPr>
        <w:t xml:space="preserve">habitual </w:t>
      </w:r>
      <w:r w:rsidR="009F57B5" w:rsidRPr="00F650D8">
        <w:rPr>
          <w:rFonts w:ascii="Times New Roman" w:hAnsi="Times New Roman" w:cs="Times New Roman"/>
        </w:rPr>
        <w:t>physical activity</w:t>
      </w:r>
      <w:r w:rsidR="00FF5668" w:rsidRPr="00F650D8">
        <w:rPr>
          <w:rFonts w:ascii="Times New Roman" w:hAnsi="Times New Roman" w:cs="Times New Roman"/>
        </w:rPr>
        <w:t>,</w:t>
      </w:r>
      <w:r w:rsidR="009F57B5" w:rsidRPr="00F650D8">
        <w:rPr>
          <w:rFonts w:ascii="Times New Roman" w:hAnsi="Times New Roman" w:cs="Times New Roman"/>
        </w:rPr>
        <w:t xml:space="preserve"> </w:t>
      </w:r>
      <w:r w:rsidR="0092721C" w:rsidRPr="00F650D8">
        <w:rPr>
          <w:rFonts w:ascii="Times New Roman" w:hAnsi="Times New Roman" w:cs="Times New Roman"/>
        </w:rPr>
        <w:t xml:space="preserve">which </w:t>
      </w:r>
      <w:r w:rsidR="00FF5668" w:rsidRPr="00F650D8">
        <w:rPr>
          <w:rFonts w:ascii="Times New Roman" w:hAnsi="Times New Roman" w:cs="Times New Roman"/>
        </w:rPr>
        <w:t xml:space="preserve">is the most variable component of total daily </w:t>
      </w:r>
      <w:r w:rsidR="00F36FAB" w:rsidRPr="00F650D8">
        <w:rPr>
          <w:rFonts w:ascii="Times New Roman" w:hAnsi="Times New Roman" w:cs="Times New Roman"/>
        </w:rPr>
        <w:t>EE</w:t>
      </w:r>
      <w:r w:rsidR="003E3F9E" w:rsidRPr="00F650D8">
        <w:rPr>
          <w:rFonts w:ascii="Times New Roman" w:hAnsi="Times New Roman" w:cs="Times New Roman"/>
        </w:rPr>
        <w:t xml:space="preserve">. </w:t>
      </w:r>
      <w:r w:rsidR="00AE21A1" w:rsidRPr="00F650D8">
        <w:rPr>
          <w:rFonts w:ascii="Times New Roman" w:hAnsi="Times New Roman" w:cs="Times New Roman"/>
          <w:highlight w:val="yellow"/>
        </w:rPr>
        <w:t xml:space="preserve">Whilst our results do not suggest a conclusive effect (no statistically significant differences </w:t>
      </w:r>
      <w:r w:rsidR="007161EE" w:rsidRPr="00F650D8">
        <w:rPr>
          <w:rFonts w:ascii="Times New Roman" w:hAnsi="Times New Roman" w:cs="Times New Roman"/>
          <w:highlight w:val="yellow"/>
        </w:rPr>
        <w:t>were apparent</w:t>
      </w:r>
      <w:r w:rsidR="009336B2" w:rsidRPr="00F650D8">
        <w:rPr>
          <w:rFonts w:ascii="Times New Roman" w:hAnsi="Times New Roman" w:cs="Times New Roman"/>
          <w:highlight w:val="yellow"/>
        </w:rPr>
        <w:t xml:space="preserve"> after adjustment for multiple comparisons</w:t>
      </w:r>
      <w:r w:rsidR="00AE21A1" w:rsidRPr="00F650D8">
        <w:rPr>
          <w:rFonts w:ascii="Times New Roman" w:hAnsi="Times New Roman" w:cs="Times New Roman"/>
          <w:highlight w:val="yellow"/>
        </w:rPr>
        <w:t xml:space="preserve">), the nominally lower number of steps per day across follow-up in the empagliflozin-only group (~800 steps) </w:t>
      </w:r>
      <w:r w:rsidR="00417107" w:rsidRPr="00F650D8">
        <w:rPr>
          <w:rFonts w:ascii="Times New Roman" w:hAnsi="Times New Roman" w:cs="Times New Roman"/>
          <w:highlight w:val="yellow"/>
        </w:rPr>
        <w:t>is noteworthy</w:t>
      </w:r>
      <w:r w:rsidR="00FE448C" w:rsidRPr="00F650D8">
        <w:rPr>
          <w:rFonts w:ascii="Times New Roman" w:hAnsi="Times New Roman" w:cs="Times New Roman"/>
          <w:highlight w:val="yellow"/>
        </w:rPr>
        <w:t xml:space="preserve"> and supportive</w:t>
      </w:r>
      <w:r w:rsidR="007161EE" w:rsidRPr="00F650D8">
        <w:rPr>
          <w:rFonts w:ascii="Times New Roman" w:hAnsi="Times New Roman" w:cs="Times New Roman"/>
          <w:highlight w:val="yellow"/>
        </w:rPr>
        <w:t xml:space="preserve"> data </w:t>
      </w:r>
      <w:r w:rsidR="00FE448C" w:rsidRPr="00F650D8">
        <w:rPr>
          <w:rFonts w:ascii="Times New Roman" w:hAnsi="Times New Roman" w:cs="Times New Roman"/>
          <w:highlight w:val="yellow"/>
        </w:rPr>
        <w:t>in rodents exist.</w:t>
      </w:r>
      <w:r w:rsidR="007161EE" w:rsidRPr="00F650D8">
        <w:rPr>
          <w:rFonts w:ascii="Times New Roman" w:hAnsi="Times New Roman" w:cs="Times New Roman"/>
          <w:highlight w:val="yellow"/>
        </w:rPr>
        <w:t xml:space="preserve"> </w:t>
      </w:r>
      <w:r w:rsidR="00FE448C" w:rsidRPr="00F650D8">
        <w:rPr>
          <w:rFonts w:ascii="Times New Roman" w:hAnsi="Times New Roman" w:cs="Times New Roman"/>
          <w:highlight w:val="yellow"/>
        </w:rPr>
        <w:t>I</w:t>
      </w:r>
      <w:r w:rsidR="007161EE" w:rsidRPr="00F650D8">
        <w:rPr>
          <w:rFonts w:ascii="Times New Roman" w:hAnsi="Times New Roman" w:cs="Times New Roman"/>
          <w:highlight w:val="yellow"/>
        </w:rPr>
        <w:t xml:space="preserve">n </w:t>
      </w:r>
      <w:r w:rsidR="00FE448C" w:rsidRPr="00F650D8">
        <w:rPr>
          <w:rFonts w:ascii="Times New Roman" w:hAnsi="Times New Roman" w:cs="Times New Roman"/>
          <w:highlight w:val="yellow"/>
        </w:rPr>
        <w:t xml:space="preserve">a study of </w:t>
      </w:r>
      <w:r w:rsidR="00417107" w:rsidRPr="00F650D8">
        <w:rPr>
          <w:rFonts w:ascii="Times New Roman" w:hAnsi="Times New Roman" w:cs="Times New Roman"/>
          <w:highlight w:val="yellow"/>
        </w:rPr>
        <w:t>mice undergoing canagliflozin therapy alongside a high-fat diet</w:t>
      </w:r>
      <w:r w:rsidR="00FE448C" w:rsidRPr="00F650D8">
        <w:rPr>
          <w:rFonts w:ascii="Times New Roman" w:hAnsi="Times New Roman" w:cs="Times New Roman"/>
          <w:highlight w:val="yellow"/>
        </w:rPr>
        <w:t>, daily wheel running was reduced</w:t>
      </w:r>
      <w:r w:rsidR="00417107" w:rsidRPr="00F650D8">
        <w:rPr>
          <w:rFonts w:ascii="Times New Roman" w:hAnsi="Times New Roman" w:cs="Times New Roman"/>
          <w:highlight w:val="yellow"/>
        </w:rPr>
        <w:t xml:space="preserve"> compared to those fed high-fat diet alone</w:t>
      </w:r>
      <w:r w:rsidR="005F111E" w:rsidRPr="00F650D8">
        <w:rPr>
          <w:rFonts w:ascii="Times New Roman" w:hAnsi="Times New Roman" w:cs="Times New Roman"/>
          <w:highlight w:val="yellow"/>
        </w:rPr>
        <w:t>.</w:t>
      </w:r>
      <w:r w:rsidR="002B5A04" w:rsidRPr="00F650D8">
        <w:rPr>
          <w:rFonts w:ascii="Times New Roman" w:hAnsi="Times New Roman" w:cs="Times New Roman"/>
          <w:highlight w:val="yellow"/>
        </w:rPr>
        <w:fldChar w:fldCharType="begin" w:fldLock="1"/>
      </w:r>
      <w:r w:rsidR="005D02F2" w:rsidRPr="00F650D8">
        <w:rPr>
          <w:rFonts w:ascii="Times New Roman" w:hAnsi="Times New Roman" w:cs="Times New Roman"/>
          <w:highlight w:val="yellow"/>
        </w:rPr>
        <w:instrText>ADDIN CSL_CITATION {"citationItems":[{"id":"ITEM-1","itemData":{"DOI":"10.1152/ajpendo.00401.2019","ISSN":"15221555","PMID":"32017594","abstract":"Sodium-glucose cotransporter 2 inhibitors (SGLT2is) have been reported to improve obesity, diabetes, and nonalcoholic fatty liver disease (NAFLD) in addition to exercise training, whereas the combined effects remain to be elucidated fully. We investigated the effect of the combination of the SGLT2i canagliflozin (CAN) and exercise training in high-fat diet-induced obese mice. High-fat diet-fed mice were housed in normal cages (sedentary; Sed) or wheel cages (WCR) with or without CAN (0.03% of diet) for 4 wk. The effects on obesity, glucose metabolism, and hepatic steatosis were evaluated in four groups (Control/Sed, Control/WCR, CAN/Sed, and CAN/WCR). Numerically additive improvements were found in body weight, body fat mass, blood glucose, glucose intolerance, insulin resistance, and the fatty liver of the CAN/WCR group, whereas CAN increased food intake and reduced running distance. Exercise training alone, CAN alone, or both did not change the weight of skeletal muscle, but microarray analysis showed that each resulted in a characteristic change of gene expression in gastrocnemius muscle. In particular, in the CAN/WCR group, there was acceleration of the angiogenesis pathway and suppression of the adipogenesis pathway compared with the CAN/Sed group. In conclusion, the combination of an SGLT2i and exercise training improves obesity, insulin resistance, and NAFLD in an additive manner. Changes of gene expression in skeletal muscle may contribute, at least in part, to the improvement of obesity and insulin sensitivity.","author":[{"dropping-particle":"","family":"Tanaka","given":"Kenichi","non-dropping-particle":"","parse-names":false,"suffix":""},{"dropping-particle":"","family":"Takahashi","given":"Hirokazu","non-dropping-particle":"","parse-names":false,"suffix":""},{"dropping-particle":"","family":"Katagiri","given":"Sayaka","non-dropping-particle":"","parse-names":false,"suffix":""},{"dropping-particle":"","family":"Sasaki","given":"Kazuyo","non-dropping-particle":"","parse-names":false,"suffix":""},{"dropping-particle":"","family":"Ohsugi","given":"Yujin","non-dropping-particle":"","parse-names":false,"suffix":""},{"dropping-particle":"","family":"Watanabe","given":"Kazuki","non-dropping-particle":"","parse-names":false,"suffix":""},{"dropping-particle":"","family":"Rasadul","given":"Islam M.D.","non-dropping-particle":"","parse-names":false,"suffix":""},{"dropping-particle":"","family":"Mine","given":"Keiichiro","non-dropping-particle":"","parse-names":false,"suffix":""},{"dropping-particle":"","family":"Nagafuchi","given":"Seiho","non-dropping-particle":"","parse-names":false,"suffix":""},{"dropping-particle":"","family":"Iwata","given":"Takanori","non-dropping-particle":"","parse-names":false,"suffix":""},{"dropping-particle":"","family":"Eguchi","given":"Yuichiro","non-dropping-particle":"","parse-names":false,"suffix":""},{"dropping-particle":"","family":"Anzai","given":"Keizo","non-dropping-particle":"","parse-names":false,"suffix":""}],"container-title":"American Journal of Physiology - Endocrinology and Metabolism","id":"ITEM-1","issue":"4","issued":{"date-parts":[["2020"]]},"page":"E492-E503","title":"Combined effect of canagliflozin and exercise training on high-fat diet-fed mice","type":"article-journal","volume":"318"},"uris":["http://www.mendeley.com/documents/?uuid=c08612d7-5f5e-468a-bd38-425822e26318"]}],"mendeley":{"formattedCitation":"&lt;sup&gt;40&lt;/sup&gt;","plainTextFormattedCitation":"40","previouslyFormattedCitation":"&lt;sup&gt;40&lt;/sup&gt;"},"properties":{"noteIndex":0},"schema":"https://github.com/citation-style-language/schema/raw/master/csl-citation.json"}</w:instrText>
      </w:r>
      <w:r w:rsidR="002B5A04" w:rsidRPr="00F650D8">
        <w:rPr>
          <w:rFonts w:ascii="Times New Roman" w:hAnsi="Times New Roman" w:cs="Times New Roman"/>
          <w:highlight w:val="yellow"/>
        </w:rPr>
        <w:fldChar w:fldCharType="separate"/>
      </w:r>
      <w:r w:rsidR="005D02F2" w:rsidRPr="00F650D8">
        <w:rPr>
          <w:rFonts w:ascii="Times New Roman" w:hAnsi="Times New Roman" w:cs="Times New Roman"/>
          <w:noProof/>
          <w:highlight w:val="yellow"/>
          <w:vertAlign w:val="superscript"/>
        </w:rPr>
        <w:t>40</w:t>
      </w:r>
      <w:r w:rsidR="002B5A04" w:rsidRPr="00F650D8">
        <w:rPr>
          <w:rFonts w:ascii="Times New Roman" w:hAnsi="Times New Roman" w:cs="Times New Roman"/>
          <w:highlight w:val="yellow"/>
        </w:rPr>
        <w:fldChar w:fldCharType="end"/>
      </w:r>
      <w:r w:rsidR="007161EE" w:rsidRPr="00F650D8">
        <w:rPr>
          <w:rFonts w:ascii="Times New Roman" w:hAnsi="Times New Roman" w:cs="Times New Roman"/>
        </w:rPr>
        <w:t xml:space="preserve"> </w:t>
      </w:r>
      <w:r w:rsidR="00417107" w:rsidRPr="00F650D8">
        <w:rPr>
          <w:rFonts w:ascii="Times New Roman" w:hAnsi="Times New Roman" w:cs="Times New Roman"/>
        </w:rPr>
        <w:t xml:space="preserve">Potential changes in habitual physical </w:t>
      </w:r>
      <w:r w:rsidR="0035163E" w:rsidRPr="00F650D8">
        <w:rPr>
          <w:rFonts w:ascii="Times New Roman" w:hAnsi="Times New Roman" w:cs="Times New Roman"/>
        </w:rPr>
        <w:t xml:space="preserve">activity after initiating SGLT2i </w:t>
      </w:r>
      <w:r w:rsidR="00417107" w:rsidRPr="00F650D8">
        <w:rPr>
          <w:rFonts w:ascii="Times New Roman" w:hAnsi="Times New Roman" w:cs="Times New Roman"/>
        </w:rPr>
        <w:t xml:space="preserve">therapy thus </w:t>
      </w:r>
      <w:r w:rsidR="00E878D1" w:rsidRPr="00F650D8">
        <w:rPr>
          <w:rFonts w:ascii="Times New Roman" w:hAnsi="Times New Roman" w:cs="Times New Roman"/>
        </w:rPr>
        <w:t>requires further investigation, particularly given the low habitual activity in our study population (~5000 steps</w:t>
      </w:r>
      <w:r w:rsidR="00B76407" w:rsidRPr="00F650D8">
        <w:rPr>
          <w:rFonts w:ascii="Times New Roman" w:hAnsi="Times New Roman" w:cs="Times New Roman"/>
        </w:rPr>
        <w:t>/</w:t>
      </w:r>
      <w:r w:rsidR="00E878D1" w:rsidRPr="00F650D8">
        <w:rPr>
          <w:rFonts w:ascii="Times New Roman" w:hAnsi="Times New Roman" w:cs="Times New Roman"/>
        </w:rPr>
        <w:t xml:space="preserve">day), </w:t>
      </w:r>
      <w:r w:rsidR="002B5A04" w:rsidRPr="00F650D8">
        <w:rPr>
          <w:rFonts w:ascii="Times New Roman" w:hAnsi="Times New Roman" w:cs="Times New Roman"/>
        </w:rPr>
        <w:t>and that a</w:t>
      </w:r>
      <w:r w:rsidR="00417107" w:rsidRPr="00F650D8">
        <w:rPr>
          <w:rFonts w:ascii="Times New Roman" w:hAnsi="Times New Roman" w:cs="Times New Roman"/>
        </w:rPr>
        <w:t xml:space="preserve">s little as </w:t>
      </w:r>
      <w:r w:rsidR="002B5A04" w:rsidRPr="00F650D8">
        <w:rPr>
          <w:rFonts w:ascii="Times New Roman" w:hAnsi="Times New Roman" w:cs="Times New Roman"/>
        </w:rPr>
        <w:t xml:space="preserve">500 </w:t>
      </w:r>
      <w:r w:rsidR="00417107" w:rsidRPr="00F650D8">
        <w:rPr>
          <w:rFonts w:ascii="Times New Roman" w:hAnsi="Times New Roman" w:cs="Times New Roman"/>
        </w:rPr>
        <w:t>steps</w:t>
      </w:r>
      <w:r w:rsidR="00B76407" w:rsidRPr="00F650D8">
        <w:rPr>
          <w:rFonts w:ascii="Times New Roman" w:hAnsi="Times New Roman" w:cs="Times New Roman"/>
        </w:rPr>
        <w:t>/</w:t>
      </w:r>
      <w:r w:rsidR="002B5A04" w:rsidRPr="00F650D8">
        <w:rPr>
          <w:rFonts w:ascii="Times New Roman" w:hAnsi="Times New Roman" w:cs="Times New Roman"/>
        </w:rPr>
        <w:t>day</w:t>
      </w:r>
      <w:r w:rsidR="00417107" w:rsidRPr="00F650D8">
        <w:rPr>
          <w:rFonts w:ascii="Times New Roman" w:hAnsi="Times New Roman" w:cs="Times New Roman"/>
        </w:rPr>
        <w:t xml:space="preserve"> change</w:t>
      </w:r>
      <w:r w:rsidR="002B5A04" w:rsidRPr="00F650D8">
        <w:rPr>
          <w:rFonts w:ascii="Times New Roman" w:hAnsi="Times New Roman" w:cs="Times New Roman"/>
        </w:rPr>
        <w:t xml:space="preserve"> </w:t>
      </w:r>
      <w:r w:rsidR="00417107" w:rsidRPr="00F650D8">
        <w:rPr>
          <w:rFonts w:ascii="Times New Roman" w:hAnsi="Times New Roman" w:cs="Times New Roman"/>
        </w:rPr>
        <w:t>in activity has been postulated as</w:t>
      </w:r>
      <w:r w:rsidR="002B5A04" w:rsidRPr="00F650D8">
        <w:rPr>
          <w:rFonts w:ascii="Times New Roman" w:hAnsi="Times New Roman" w:cs="Times New Roman"/>
        </w:rPr>
        <w:t xml:space="preserve"> clinically meaningful</w:t>
      </w:r>
      <w:r w:rsidR="005F111E" w:rsidRPr="00F650D8">
        <w:rPr>
          <w:rFonts w:ascii="Times New Roman" w:hAnsi="Times New Roman" w:cs="Times New Roman"/>
        </w:rPr>
        <w:t>.</w:t>
      </w:r>
      <w:r w:rsidR="002B5A04" w:rsidRPr="00F650D8">
        <w:rPr>
          <w:rFonts w:ascii="Times New Roman" w:hAnsi="Times New Roman" w:cs="Times New Roman"/>
        </w:rPr>
        <w:fldChar w:fldCharType="begin" w:fldLock="1"/>
      </w:r>
      <w:r w:rsidR="005D02F2" w:rsidRPr="00F650D8">
        <w:rPr>
          <w:rFonts w:ascii="Times New Roman" w:hAnsi="Times New Roman" w:cs="Times New Roman"/>
        </w:rPr>
        <w:instrText>ADDIN CSL_CITATION {"citationItems":[{"id":"ITEM-1","itemData":{"DOI":"10.1136/bjsports-2020-102293","ISBN":"2020102293","ISSN":"0306-3674","abstract":"Physical activity is increasingly assessed using wrist-worn accelerometry.1 The primary unit of measurement is acceleration which lacks an obvious concrete meaning in the clinical and public health settings. If the scientific community agreed on a minimum clinically important difference (MCID) that would greatly help users interpret accelerometry data in a more meaningful way. Here we present converging evidence to inform estimation of the MCID in physical activity for inactive adults, expressed as average acceleration measured from wrist-worn accelerometers.\n\nContemporary accelerometers measure acceleration at high frequency in three axes. Typically, the Euclidean norm is calculated and 1 g subtracted to correct for gravity (Euclidean Norm Minus One (ENMO)). Average acceleration across the day is expressed in milli-gravitational units (m g ) and reflects overall daily activity, as does steps/day. Multiple days of measurement are usually summarised as daily average acceleration. Reflecting the value of capturing all physical activity across the whole day—rather than moderate-to-vigorous activity alone—average daily acceleration is an appropriate summary variable of physical activity status in most cases. Average daily acceleration is the recommended variable for physical activity analysis in UK Biobank, where &gt;100 000 people wore a wrist-worn accelerometer for 7 days.1\n\nWe used three approaches to provide converging evidence for a preliminary estimate of the MCID in m g for inactive people (figure 1).\n\n\n\nFigure 1 \nConverging evidence for a preliminary estimation of the MCID in m g for inactive people. (1) An increase or difference of 500 steps per day, is associated with a 2% to 9% decreased risk of cardiovascular morbidity and all-cause mortality.3–5 (1a) A change in 500 steps per …","author":[{"dropping-particle":"","family":"Rowlands","given":"Alex","non-dropping-particle":"","parse-names":false,"suffix":""},{"dropping-particle":"","family":"Davies","given":"Melanie","non-dropping-particle":"","parse-names":false,"suffix":""},{"dropping-particle":"","family":"Dempsey","given":"Paddy","non-dropping-particle":"","parse-names":false,"suffix":""},{"dropping-particle":"","family":"Edwardson","given":"Charlotte","non-dropping-particle":"","parse-names":false,"suffix":""},{"dropping-particle":"","family":"Razieh","given":"Cameron","non-dropping-particle":"","parse-names":false,"suffix":""},{"dropping-particle":"","family":"Yates","given":"Thomas","non-dropping-particle":"","parse-names":false,"suffix":""}],"container-title":"British Journal of Sports Medicine","id":"ITEM-1","issue":"0","issued":{"date-parts":[["2020"]]},"page":"bjsports-2020-102293","title":" Wrist-worn accelerometers: recommending ~1.0 m g as the minimum clinically important difference (MCID) in daily average acceleration for inactive adults ","type":"article-journal","volume":"0"},"uris":["http://www.mendeley.com/documents/?uuid=8ee1ceb7-1b10-4068-a858-1f6f815685d1"]}],"mendeley":{"formattedCitation":"&lt;sup&gt;41&lt;/sup&gt;","plainTextFormattedCitation":"41","previouslyFormattedCitation":"&lt;sup&gt;41&lt;/sup&gt;"},"properties":{"noteIndex":0},"schema":"https://github.com/citation-style-language/schema/raw/master/csl-citation.json"}</w:instrText>
      </w:r>
      <w:r w:rsidR="002B5A04" w:rsidRPr="00F650D8">
        <w:rPr>
          <w:rFonts w:ascii="Times New Roman" w:hAnsi="Times New Roman" w:cs="Times New Roman"/>
        </w:rPr>
        <w:fldChar w:fldCharType="separate"/>
      </w:r>
      <w:r w:rsidR="005D02F2" w:rsidRPr="00F650D8">
        <w:rPr>
          <w:rFonts w:ascii="Times New Roman" w:hAnsi="Times New Roman" w:cs="Times New Roman"/>
          <w:noProof/>
          <w:vertAlign w:val="superscript"/>
        </w:rPr>
        <w:t>41</w:t>
      </w:r>
      <w:r w:rsidR="002B5A04" w:rsidRPr="00F650D8">
        <w:rPr>
          <w:rFonts w:ascii="Times New Roman" w:hAnsi="Times New Roman" w:cs="Times New Roman"/>
        </w:rPr>
        <w:fldChar w:fldCharType="end"/>
      </w:r>
      <w:r w:rsidR="002B5A04" w:rsidRPr="00F650D8">
        <w:rPr>
          <w:rFonts w:ascii="Times New Roman" w:hAnsi="Times New Roman" w:cs="Times New Roman"/>
        </w:rPr>
        <w:t xml:space="preserve"> </w:t>
      </w:r>
    </w:p>
    <w:p w14:paraId="3F38EA36" w14:textId="5346D7C4" w:rsidR="00090913" w:rsidRPr="00F650D8" w:rsidRDefault="00090913" w:rsidP="00991FA4">
      <w:pPr>
        <w:spacing w:line="480" w:lineRule="auto"/>
        <w:jc w:val="both"/>
        <w:rPr>
          <w:rFonts w:ascii="Times New Roman" w:hAnsi="Times New Roman" w:cs="Times New Roman"/>
        </w:rPr>
      </w:pPr>
    </w:p>
    <w:p w14:paraId="79F1875F" w14:textId="3BB1A226" w:rsidR="009333FF" w:rsidRPr="00F650D8" w:rsidRDefault="005B7DA4" w:rsidP="00991FA4">
      <w:pPr>
        <w:spacing w:line="480" w:lineRule="auto"/>
        <w:jc w:val="both"/>
        <w:rPr>
          <w:rFonts w:ascii="Times New Roman" w:hAnsi="Times New Roman" w:cs="Times New Roman"/>
        </w:rPr>
      </w:pPr>
      <w:r w:rsidRPr="00F650D8">
        <w:rPr>
          <w:rFonts w:ascii="Times New Roman" w:hAnsi="Times New Roman" w:cs="Times New Roman"/>
        </w:rPr>
        <w:t>Key</w:t>
      </w:r>
      <w:r w:rsidR="00153385" w:rsidRPr="00F650D8">
        <w:rPr>
          <w:rFonts w:ascii="Times New Roman" w:hAnsi="Times New Roman" w:cs="Times New Roman"/>
        </w:rPr>
        <w:t xml:space="preserve"> strengths of </w:t>
      </w:r>
      <w:r w:rsidR="00877E22" w:rsidRPr="00F650D8">
        <w:rPr>
          <w:rFonts w:ascii="Times New Roman" w:hAnsi="Times New Roman" w:cs="Times New Roman"/>
        </w:rPr>
        <w:t>this</w:t>
      </w:r>
      <w:r w:rsidR="005C0006" w:rsidRPr="00F650D8">
        <w:rPr>
          <w:rFonts w:ascii="Times New Roman" w:hAnsi="Times New Roman" w:cs="Times New Roman"/>
        </w:rPr>
        <w:t xml:space="preserve"> trial </w:t>
      </w:r>
      <w:r w:rsidR="00153385" w:rsidRPr="00F650D8">
        <w:rPr>
          <w:rFonts w:ascii="Times New Roman" w:hAnsi="Times New Roman" w:cs="Times New Roman"/>
        </w:rPr>
        <w:t>include</w:t>
      </w:r>
      <w:r w:rsidR="003D6016" w:rsidRPr="00F650D8">
        <w:rPr>
          <w:rFonts w:ascii="Times New Roman" w:hAnsi="Times New Roman" w:cs="Times New Roman"/>
        </w:rPr>
        <w:t xml:space="preserve"> the </w:t>
      </w:r>
      <w:r w:rsidR="00DE4D91" w:rsidRPr="00F650D8">
        <w:rPr>
          <w:rFonts w:ascii="Times New Roman" w:hAnsi="Times New Roman" w:cs="Times New Roman"/>
        </w:rPr>
        <w:t>precision in matching</w:t>
      </w:r>
      <w:r w:rsidR="00303831" w:rsidRPr="00F650D8">
        <w:rPr>
          <w:rFonts w:ascii="Times New Roman" w:hAnsi="Times New Roman" w:cs="Times New Roman"/>
        </w:rPr>
        <w:t xml:space="preserve"> within-group weight change in the </w:t>
      </w:r>
      <w:r w:rsidR="006F2D71" w:rsidRPr="00F650D8">
        <w:rPr>
          <w:rFonts w:ascii="Times New Roman" w:hAnsi="Times New Roman" w:cs="Times New Roman"/>
        </w:rPr>
        <w:t>placebo-plus-diet and empagliflozin</w:t>
      </w:r>
      <w:r w:rsidR="000F2EBD" w:rsidRPr="00F650D8">
        <w:rPr>
          <w:rFonts w:ascii="Times New Roman" w:hAnsi="Times New Roman" w:cs="Times New Roman"/>
        </w:rPr>
        <w:t>-</w:t>
      </w:r>
      <w:r w:rsidR="006F2D71" w:rsidRPr="00F650D8">
        <w:rPr>
          <w:rFonts w:ascii="Times New Roman" w:hAnsi="Times New Roman" w:cs="Times New Roman"/>
        </w:rPr>
        <w:t>only groups (-3</w:t>
      </w:r>
      <w:r w:rsidR="00563D5A" w:rsidRPr="00F650D8">
        <w:rPr>
          <w:rFonts w:ascii="Times New Roman" w:hAnsi="Times New Roman" w:cs="Times New Roman"/>
        </w:rPr>
        <w:t>.</w:t>
      </w:r>
      <w:r w:rsidR="006F2D71" w:rsidRPr="00F650D8">
        <w:rPr>
          <w:rFonts w:ascii="Times New Roman" w:hAnsi="Times New Roman" w:cs="Times New Roman"/>
        </w:rPr>
        <w:t>6 and -3</w:t>
      </w:r>
      <w:r w:rsidR="00563D5A" w:rsidRPr="00F650D8">
        <w:rPr>
          <w:rFonts w:ascii="Times New Roman" w:hAnsi="Times New Roman" w:cs="Times New Roman"/>
        </w:rPr>
        <w:t>.</w:t>
      </w:r>
      <w:r w:rsidR="006F2D71" w:rsidRPr="00F650D8">
        <w:rPr>
          <w:rFonts w:ascii="Times New Roman" w:hAnsi="Times New Roman" w:cs="Times New Roman"/>
        </w:rPr>
        <w:t>2%</w:t>
      </w:r>
      <w:r w:rsidR="000F2EBD" w:rsidRPr="00F650D8">
        <w:rPr>
          <w:rFonts w:ascii="Times New Roman" w:hAnsi="Times New Roman" w:cs="Times New Roman"/>
        </w:rPr>
        <w:t>, respectively</w:t>
      </w:r>
      <w:r w:rsidR="00DE4D91" w:rsidRPr="00F650D8">
        <w:rPr>
          <w:rFonts w:ascii="Times New Roman" w:hAnsi="Times New Roman" w:cs="Times New Roman"/>
        </w:rPr>
        <w:t>)</w:t>
      </w:r>
      <w:r w:rsidR="000F2EBD" w:rsidRPr="00F650D8">
        <w:rPr>
          <w:rFonts w:ascii="Times New Roman" w:hAnsi="Times New Roman" w:cs="Times New Roman"/>
        </w:rPr>
        <w:t>,</w:t>
      </w:r>
      <w:r w:rsidR="00DE4D91" w:rsidRPr="00F650D8">
        <w:rPr>
          <w:rFonts w:ascii="Times New Roman" w:hAnsi="Times New Roman" w:cs="Times New Roman"/>
        </w:rPr>
        <w:t xml:space="preserve"> </w:t>
      </w:r>
      <w:r w:rsidR="005C0006" w:rsidRPr="00F650D8">
        <w:rPr>
          <w:rFonts w:ascii="Times New Roman" w:hAnsi="Times New Roman" w:cs="Times New Roman"/>
        </w:rPr>
        <w:t>as well as</w:t>
      </w:r>
      <w:r w:rsidR="00DE4D91" w:rsidRPr="00F650D8">
        <w:rPr>
          <w:rFonts w:ascii="Times New Roman" w:hAnsi="Times New Roman" w:cs="Times New Roman"/>
        </w:rPr>
        <w:t xml:space="preserve"> </w:t>
      </w:r>
      <w:r w:rsidR="00F862D3" w:rsidRPr="00F650D8">
        <w:rPr>
          <w:rFonts w:ascii="Times New Roman" w:hAnsi="Times New Roman" w:cs="Times New Roman"/>
        </w:rPr>
        <w:t>the detailed assessment of appetite regulatory responses to a MMTT</w:t>
      </w:r>
      <w:r w:rsidR="0019350F" w:rsidRPr="00F650D8">
        <w:rPr>
          <w:rFonts w:ascii="Times New Roman" w:hAnsi="Times New Roman" w:cs="Times New Roman"/>
        </w:rPr>
        <w:t xml:space="preserve"> and components of </w:t>
      </w:r>
      <w:r w:rsidR="00F36FAB" w:rsidRPr="00F650D8">
        <w:rPr>
          <w:rFonts w:ascii="Times New Roman" w:hAnsi="Times New Roman" w:cs="Times New Roman"/>
        </w:rPr>
        <w:t>EE</w:t>
      </w:r>
      <w:r w:rsidR="000A4FD8" w:rsidRPr="00F650D8">
        <w:rPr>
          <w:rFonts w:ascii="Times New Roman" w:hAnsi="Times New Roman" w:cs="Times New Roman"/>
        </w:rPr>
        <w:t xml:space="preserve"> in a multi-ethnic population</w:t>
      </w:r>
      <w:r w:rsidR="00827DC4" w:rsidRPr="00F650D8">
        <w:rPr>
          <w:rFonts w:ascii="Times New Roman" w:hAnsi="Times New Roman" w:cs="Times New Roman"/>
        </w:rPr>
        <w:t xml:space="preserve"> (~28% non-white)</w:t>
      </w:r>
      <w:r w:rsidR="00F862D3" w:rsidRPr="00F650D8">
        <w:rPr>
          <w:rFonts w:ascii="Times New Roman" w:hAnsi="Times New Roman" w:cs="Times New Roman"/>
        </w:rPr>
        <w:t>.</w:t>
      </w:r>
      <w:r w:rsidR="00F97287" w:rsidRPr="00F650D8">
        <w:rPr>
          <w:rFonts w:ascii="Times New Roman" w:hAnsi="Times New Roman" w:cs="Times New Roman"/>
        </w:rPr>
        <w:t xml:space="preserve"> </w:t>
      </w:r>
      <w:r w:rsidR="00370003" w:rsidRPr="00F650D8">
        <w:rPr>
          <w:rFonts w:ascii="Times New Roman" w:hAnsi="Times New Roman" w:cs="Times New Roman"/>
        </w:rPr>
        <w:t xml:space="preserve">Lack of assessment of hedonic mediators of appetite control are a noteworthy limitation that should be </w:t>
      </w:r>
      <w:r w:rsidR="004F51DB" w:rsidRPr="00F650D8">
        <w:rPr>
          <w:rFonts w:ascii="Times New Roman" w:hAnsi="Times New Roman" w:cs="Times New Roman"/>
        </w:rPr>
        <w:t>investigated in future trials.</w:t>
      </w:r>
      <w:r w:rsidR="00575BCD" w:rsidRPr="00F650D8">
        <w:rPr>
          <w:rFonts w:ascii="Times New Roman" w:hAnsi="Times New Roman" w:cs="Times New Roman"/>
        </w:rPr>
        <w:t xml:space="preserve"> </w:t>
      </w:r>
      <w:r w:rsidR="00CE0091" w:rsidRPr="00F650D8">
        <w:rPr>
          <w:rFonts w:ascii="Times New Roman" w:hAnsi="Times New Roman" w:cs="Times New Roman"/>
        </w:rPr>
        <w:t xml:space="preserve">Larger trials </w:t>
      </w:r>
      <w:r w:rsidR="004F51DB" w:rsidRPr="00F650D8">
        <w:rPr>
          <w:rFonts w:ascii="Times New Roman" w:hAnsi="Times New Roman" w:cs="Times New Roman"/>
        </w:rPr>
        <w:t xml:space="preserve">are also needed to </w:t>
      </w:r>
      <w:r w:rsidR="00CE0091" w:rsidRPr="00F650D8">
        <w:rPr>
          <w:rFonts w:ascii="Times New Roman" w:hAnsi="Times New Roman" w:cs="Times New Roman"/>
        </w:rPr>
        <w:t>examin</w:t>
      </w:r>
      <w:r w:rsidR="004F51DB" w:rsidRPr="00F650D8">
        <w:rPr>
          <w:rFonts w:ascii="Times New Roman" w:hAnsi="Times New Roman" w:cs="Times New Roman"/>
        </w:rPr>
        <w:t>e</w:t>
      </w:r>
      <w:r w:rsidR="00CE0091" w:rsidRPr="00F650D8">
        <w:rPr>
          <w:rFonts w:ascii="Times New Roman" w:hAnsi="Times New Roman" w:cs="Times New Roman"/>
        </w:rPr>
        <w:t xml:space="preserve"> whether the findings from our tightly controlled experimental design translate into changes in eating behaviour in real-world setting</w:t>
      </w:r>
      <w:r w:rsidR="004F51DB" w:rsidRPr="00F650D8">
        <w:rPr>
          <w:rFonts w:ascii="Times New Roman" w:hAnsi="Times New Roman" w:cs="Times New Roman"/>
        </w:rPr>
        <w:t xml:space="preserve">s. </w:t>
      </w:r>
      <w:r w:rsidR="00575BCD" w:rsidRPr="00F650D8">
        <w:rPr>
          <w:rFonts w:ascii="Times New Roman" w:hAnsi="Times New Roman" w:cs="Times New Roman"/>
        </w:rPr>
        <w:t>T</w:t>
      </w:r>
      <w:r w:rsidR="00370003" w:rsidRPr="00F650D8">
        <w:rPr>
          <w:rFonts w:ascii="Times New Roman" w:hAnsi="Times New Roman" w:cs="Times New Roman"/>
        </w:rPr>
        <w:t xml:space="preserve">he possibility that we may have been underpowered to detect small but potentially significant differences in some secondary outcomes should also be acknowledged. </w:t>
      </w:r>
    </w:p>
    <w:p w14:paraId="730877D3" w14:textId="77777777" w:rsidR="00274393" w:rsidRPr="00F650D8" w:rsidRDefault="00274393" w:rsidP="00CC5CA7">
      <w:pPr>
        <w:spacing w:line="480" w:lineRule="auto"/>
        <w:jc w:val="both"/>
        <w:rPr>
          <w:rFonts w:ascii="Times New Roman" w:hAnsi="Times New Roman" w:cs="Times New Roman"/>
        </w:rPr>
      </w:pPr>
    </w:p>
    <w:p w14:paraId="3479295A" w14:textId="1E18717F" w:rsidR="00991FA4" w:rsidRPr="00F650D8" w:rsidRDefault="00446F2C" w:rsidP="00C328E3">
      <w:pPr>
        <w:spacing w:line="480" w:lineRule="auto"/>
        <w:jc w:val="both"/>
        <w:rPr>
          <w:rFonts w:ascii="Times New Roman" w:hAnsi="Times New Roman" w:cs="Times New Roman"/>
        </w:rPr>
      </w:pPr>
      <w:r w:rsidRPr="00F650D8">
        <w:rPr>
          <w:rFonts w:ascii="Times New Roman" w:hAnsi="Times New Roman" w:cs="Times New Roman"/>
        </w:rPr>
        <w:t xml:space="preserve">In conclusion, </w:t>
      </w:r>
      <w:r w:rsidR="001C77DC" w:rsidRPr="00F650D8">
        <w:rPr>
          <w:rFonts w:ascii="Times New Roman" w:hAnsi="Times New Roman" w:cs="Times New Roman"/>
        </w:rPr>
        <w:t xml:space="preserve">this </w:t>
      </w:r>
      <w:r w:rsidR="007F719B" w:rsidRPr="00F650D8">
        <w:rPr>
          <w:rFonts w:ascii="Times New Roman" w:hAnsi="Times New Roman" w:cs="Times New Roman"/>
        </w:rPr>
        <w:t>trial</w:t>
      </w:r>
      <w:r w:rsidR="001C77DC" w:rsidRPr="00F650D8">
        <w:rPr>
          <w:rFonts w:ascii="Times New Roman" w:hAnsi="Times New Roman" w:cs="Times New Roman"/>
        </w:rPr>
        <w:t xml:space="preserve"> </w:t>
      </w:r>
      <w:r w:rsidR="008E0E1D" w:rsidRPr="00F650D8">
        <w:rPr>
          <w:rFonts w:ascii="Times New Roman" w:hAnsi="Times New Roman" w:cs="Times New Roman"/>
        </w:rPr>
        <w:t>demonstrates</w:t>
      </w:r>
      <w:r w:rsidR="00CB5728" w:rsidRPr="00F650D8">
        <w:rPr>
          <w:rFonts w:ascii="Times New Roman" w:hAnsi="Times New Roman" w:cs="Times New Roman"/>
        </w:rPr>
        <w:t xml:space="preserve"> that</w:t>
      </w:r>
      <w:r w:rsidR="00D6278B" w:rsidRPr="00F650D8">
        <w:rPr>
          <w:rFonts w:ascii="Times New Roman" w:hAnsi="Times New Roman" w:cs="Times New Roman"/>
        </w:rPr>
        <w:t xml:space="preserve"> </w:t>
      </w:r>
      <w:r w:rsidR="009D1F75" w:rsidRPr="00F650D8">
        <w:rPr>
          <w:rFonts w:ascii="Times New Roman" w:hAnsi="Times New Roman" w:cs="Times New Roman"/>
        </w:rPr>
        <w:t xml:space="preserve">24 weeks of </w:t>
      </w:r>
      <w:r w:rsidR="00D6278B" w:rsidRPr="00F650D8">
        <w:rPr>
          <w:rFonts w:ascii="Times New Roman" w:hAnsi="Times New Roman" w:cs="Times New Roman"/>
        </w:rPr>
        <w:t>empagliflozin therapy</w:t>
      </w:r>
      <w:r w:rsidR="001650E0" w:rsidRPr="00F650D8">
        <w:rPr>
          <w:rFonts w:ascii="Times New Roman" w:hAnsi="Times New Roman" w:cs="Times New Roman"/>
        </w:rPr>
        <w:t>,</w:t>
      </w:r>
      <w:r w:rsidR="00C23F46" w:rsidRPr="00F650D8">
        <w:rPr>
          <w:rFonts w:ascii="Times New Roman" w:hAnsi="Times New Roman" w:cs="Times New Roman"/>
        </w:rPr>
        <w:t xml:space="preserve"> matched diet-induced weight loss</w:t>
      </w:r>
      <w:r w:rsidR="001650E0" w:rsidRPr="00F650D8">
        <w:rPr>
          <w:rFonts w:ascii="Times New Roman" w:hAnsi="Times New Roman" w:cs="Times New Roman"/>
        </w:rPr>
        <w:t>, or the combination of both,</w:t>
      </w:r>
      <w:r w:rsidR="00C23F46" w:rsidRPr="00F650D8">
        <w:rPr>
          <w:rFonts w:ascii="Times New Roman" w:hAnsi="Times New Roman" w:cs="Times New Roman"/>
        </w:rPr>
        <w:t xml:space="preserve"> </w:t>
      </w:r>
      <w:r w:rsidR="00C23F46" w:rsidRPr="00F650D8">
        <w:rPr>
          <w:rFonts w:ascii="Times New Roman" w:hAnsi="Times New Roman" w:cs="Times New Roman"/>
          <w:highlight w:val="yellow"/>
        </w:rPr>
        <w:t xml:space="preserve">do not provoke </w:t>
      </w:r>
      <w:r w:rsidR="002222EC" w:rsidRPr="00F650D8">
        <w:rPr>
          <w:rFonts w:ascii="Times New Roman" w:hAnsi="Times New Roman" w:cs="Times New Roman"/>
          <w:highlight w:val="yellow"/>
        </w:rPr>
        <w:t xml:space="preserve">consistent changes in appetite regulatory gut peptides (PYY, GLP-1 and acylated ghrelin) or subjective appetite perceptions </w:t>
      </w:r>
      <w:r w:rsidR="00FE7F8E" w:rsidRPr="00F650D8">
        <w:rPr>
          <w:rFonts w:ascii="Times New Roman" w:hAnsi="Times New Roman" w:cs="Times New Roman"/>
          <w:highlight w:val="yellow"/>
        </w:rPr>
        <w:t>in individuals wit</w:t>
      </w:r>
      <w:r w:rsidR="003B5FF2" w:rsidRPr="00F650D8">
        <w:rPr>
          <w:rFonts w:ascii="Times New Roman" w:hAnsi="Times New Roman" w:cs="Times New Roman"/>
          <w:highlight w:val="yellow"/>
        </w:rPr>
        <w:t xml:space="preserve">h </w:t>
      </w:r>
      <w:r w:rsidR="007D6367" w:rsidRPr="00F650D8">
        <w:rPr>
          <w:rFonts w:ascii="Times New Roman" w:hAnsi="Times New Roman" w:cs="Times New Roman"/>
          <w:highlight w:val="yellow"/>
        </w:rPr>
        <w:t>T2D</w:t>
      </w:r>
      <w:r w:rsidR="003A0AD2" w:rsidRPr="00F650D8">
        <w:rPr>
          <w:rFonts w:ascii="Times New Roman" w:hAnsi="Times New Roman" w:cs="Times New Roman"/>
          <w:highlight w:val="yellow"/>
        </w:rPr>
        <w:t xml:space="preserve"> and overweight or obesity</w:t>
      </w:r>
      <w:r w:rsidR="003B5FF2" w:rsidRPr="00F650D8">
        <w:rPr>
          <w:rFonts w:ascii="Times New Roman" w:hAnsi="Times New Roman" w:cs="Times New Roman"/>
          <w:highlight w:val="yellow"/>
        </w:rPr>
        <w:t>.</w:t>
      </w:r>
      <w:r w:rsidR="003B5FF2" w:rsidRPr="00F650D8">
        <w:rPr>
          <w:rFonts w:ascii="Times New Roman" w:hAnsi="Times New Roman" w:cs="Times New Roman"/>
        </w:rPr>
        <w:t xml:space="preserve"> </w:t>
      </w:r>
      <w:r w:rsidR="00D44583" w:rsidRPr="00F650D8">
        <w:rPr>
          <w:rFonts w:ascii="Times New Roman" w:hAnsi="Times New Roman" w:cs="Times New Roman"/>
        </w:rPr>
        <w:t>Therefore,</w:t>
      </w:r>
      <w:r w:rsidR="004E6E1B" w:rsidRPr="00F650D8">
        <w:rPr>
          <w:rFonts w:ascii="Times New Roman" w:hAnsi="Times New Roman" w:cs="Times New Roman"/>
        </w:rPr>
        <w:t xml:space="preserve"> changes in </w:t>
      </w:r>
      <w:r w:rsidR="000C09BD" w:rsidRPr="00F650D8">
        <w:rPr>
          <w:rFonts w:ascii="Times New Roman" w:hAnsi="Times New Roman" w:cs="Times New Roman"/>
        </w:rPr>
        <w:t xml:space="preserve">these outcomes, at least over 24 weeks, do not underpin </w:t>
      </w:r>
      <w:r w:rsidR="004E10FE" w:rsidRPr="00F650D8">
        <w:rPr>
          <w:rFonts w:ascii="Times New Roman" w:hAnsi="Times New Roman" w:cs="Times New Roman"/>
          <w:highlight w:val="yellow"/>
        </w:rPr>
        <w:t xml:space="preserve">potential </w:t>
      </w:r>
      <w:r w:rsidR="002222EC" w:rsidRPr="00F650D8">
        <w:rPr>
          <w:rFonts w:ascii="Times New Roman" w:hAnsi="Times New Roman" w:cs="Times New Roman"/>
          <w:highlight w:val="yellow"/>
        </w:rPr>
        <w:t xml:space="preserve">compensatory </w:t>
      </w:r>
      <w:r w:rsidR="004E10FE" w:rsidRPr="00F650D8">
        <w:rPr>
          <w:rFonts w:ascii="Times New Roman" w:hAnsi="Times New Roman" w:cs="Times New Roman"/>
          <w:highlight w:val="yellow"/>
        </w:rPr>
        <w:t>increases in energy intake</w:t>
      </w:r>
      <w:r w:rsidR="000C09BD" w:rsidRPr="00F650D8">
        <w:rPr>
          <w:rFonts w:ascii="Times New Roman" w:hAnsi="Times New Roman" w:cs="Times New Roman"/>
        </w:rPr>
        <w:t xml:space="preserve"> </w:t>
      </w:r>
      <w:r w:rsidR="00C84C0E" w:rsidRPr="00F650D8">
        <w:rPr>
          <w:rFonts w:ascii="Times New Roman" w:hAnsi="Times New Roman" w:cs="Times New Roman"/>
        </w:rPr>
        <w:t>that</w:t>
      </w:r>
      <w:r w:rsidR="000C09BD" w:rsidRPr="00F650D8">
        <w:rPr>
          <w:rFonts w:ascii="Times New Roman" w:hAnsi="Times New Roman" w:cs="Times New Roman"/>
        </w:rPr>
        <w:t xml:space="preserve"> have been suggested to attenuate the weight loss elicited</w:t>
      </w:r>
      <w:r w:rsidR="0035163E" w:rsidRPr="00F650D8">
        <w:rPr>
          <w:rFonts w:ascii="Times New Roman" w:hAnsi="Times New Roman" w:cs="Times New Roman"/>
        </w:rPr>
        <w:t xml:space="preserve"> with SGLT2i </w:t>
      </w:r>
      <w:r w:rsidR="000C09BD" w:rsidRPr="00F650D8">
        <w:rPr>
          <w:rFonts w:ascii="Times New Roman" w:hAnsi="Times New Roman" w:cs="Times New Roman"/>
        </w:rPr>
        <w:t xml:space="preserve">therapy. </w:t>
      </w:r>
      <w:r w:rsidR="006C2035" w:rsidRPr="00F650D8">
        <w:rPr>
          <w:rFonts w:ascii="Times New Roman" w:hAnsi="Times New Roman" w:cs="Times New Roman"/>
        </w:rPr>
        <w:t xml:space="preserve">Future studies </w:t>
      </w:r>
      <w:r w:rsidR="00D94C7F" w:rsidRPr="00F650D8">
        <w:rPr>
          <w:rFonts w:ascii="Times New Roman" w:hAnsi="Times New Roman" w:cs="Times New Roman"/>
        </w:rPr>
        <w:t>should</w:t>
      </w:r>
      <w:r w:rsidR="00306012" w:rsidRPr="00F650D8">
        <w:rPr>
          <w:rFonts w:ascii="Times New Roman" w:hAnsi="Times New Roman" w:cs="Times New Roman"/>
        </w:rPr>
        <w:t xml:space="preserve"> scrutini</w:t>
      </w:r>
      <w:r w:rsidR="007217D8" w:rsidRPr="00F650D8">
        <w:rPr>
          <w:rFonts w:ascii="Times New Roman" w:hAnsi="Times New Roman" w:cs="Times New Roman"/>
        </w:rPr>
        <w:t>s</w:t>
      </w:r>
      <w:r w:rsidR="006C2035" w:rsidRPr="00F650D8">
        <w:rPr>
          <w:rFonts w:ascii="Times New Roman" w:hAnsi="Times New Roman" w:cs="Times New Roman"/>
        </w:rPr>
        <w:t>e the</w:t>
      </w:r>
      <w:r w:rsidR="0035163E" w:rsidRPr="00F650D8">
        <w:rPr>
          <w:rFonts w:ascii="Times New Roman" w:hAnsi="Times New Roman" w:cs="Times New Roman"/>
        </w:rPr>
        <w:t xml:space="preserve"> impact of SGLT2i </w:t>
      </w:r>
      <w:r w:rsidR="006C2035" w:rsidRPr="00F650D8">
        <w:rPr>
          <w:rFonts w:ascii="Times New Roman" w:hAnsi="Times New Roman" w:cs="Times New Roman"/>
        </w:rPr>
        <w:t xml:space="preserve">therapies on eating behaviour and </w:t>
      </w:r>
      <w:r w:rsidR="009D1F75" w:rsidRPr="00F650D8">
        <w:rPr>
          <w:rFonts w:ascii="Times New Roman" w:hAnsi="Times New Roman" w:cs="Times New Roman"/>
        </w:rPr>
        <w:t xml:space="preserve">its determinants, including </w:t>
      </w:r>
      <w:r w:rsidR="00CC5CA7" w:rsidRPr="00F650D8">
        <w:rPr>
          <w:rFonts w:ascii="Times New Roman" w:hAnsi="Times New Roman" w:cs="Times New Roman"/>
        </w:rPr>
        <w:t>hedonic mediators of appetite control</w:t>
      </w:r>
      <w:r w:rsidR="0055147A" w:rsidRPr="00F650D8">
        <w:rPr>
          <w:rFonts w:ascii="Times New Roman" w:hAnsi="Times New Roman" w:cs="Times New Roman"/>
        </w:rPr>
        <w:t>, physical activity and exercise habits</w:t>
      </w:r>
      <w:r w:rsidR="0098431A" w:rsidRPr="00F650D8">
        <w:rPr>
          <w:rFonts w:ascii="Times New Roman" w:hAnsi="Times New Roman" w:cs="Times New Roman"/>
        </w:rPr>
        <w:t xml:space="preserve">, as well as </w:t>
      </w:r>
      <w:r w:rsidR="007267FA" w:rsidRPr="00F650D8">
        <w:rPr>
          <w:rFonts w:ascii="Times New Roman" w:hAnsi="Times New Roman" w:cs="Times New Roman"/>
        </w:rPr>
        <w:t xml:space="preserve">examine </w:t>
      </w:r>
      <w:r w:rsidR="0098431A" w:rsidRPr="00F650D8">
        <w:rPr>
          <w:rFonts w:ascii="Times New Roman" w:hAnsi="Times New Roman" w:cs="Times New Roman"/>
        </w:rPr>
        <w:t>the combination of diet</w:t>
      </w:r>
      <w:r w:rsidR="007267FA" w:rsidRPr="00F650D8">
        <w:rPr>
          <w:rFonts w:ascii="Times New Roman" w:hAnsi="Times New Roman" w:cs="Times New Roman"/>
        </w:rPr>
        <w:t xml:space="preserve">ary interventions </w:t>
      </w:r>
      <w:r w:rsidR="0035163E" w:rsidRPr="00F650D8">
        <w:rPr>
          <w:rFonts w:ascii="Times New Roman" w:hAnsi="Times New Roman" w:cs="Times New Roman"/>
        </w:rPr>
        <w:t xml:space="preserve">and SGLT2i </w:t>
      </w:r>
      <w:r w:rsidR="0098431A" w:rsidRPr="00F650D8">
        <w:rPr>
          <w:rFonts w:ascii="Times New Roman" w:hAnsi="Times New Roman" w:cs="Times New Roman"/>
        </w:rPr>
        <w:t>in real-world clinical practice.</w:t>
      </w:r>
    </w:p>
    <w:p w14:paraId="4A527A2F" w14:textId="3E71F2B7" w:rsidR="00991FA4" w:rsidRPr="00991FA4" w:rsidRDefault="00991FA4" w:rsidP="00991FA4">
      <w:pPr>
        <w:rPr>
          <w:rFonts w:ascii="Times New Roman" w:hAnsi="Times New Roman" w:cs="Times New Roman"/>
        </w:rPr>
        <w:sectPr w:rsidR="00991FA4" w:rsidRPr="00991FA4" w:rsidSect="00FD3C30">
          <w:pgSz w:w="11900" w:h="16840"/>
          <w:pgMar w:top="1440" w:right="1440" w:bottom="1440" w:left="1440" w:header="708" w:footer="708" w:gutter="0"/>
          <w:lnNumType w:countBy="1" w:restart="continuous"/>
          <w:cols w:space="708"/>
          <w:docGrid w:linePitch="360"/>
        </w:sectPr>
      </w:pPr>
    </w:p>
    <w:p w14:paraId="0D988E00" w14:textId="45A6945B" w:rsidR="00D57A59" w:rsidRDefault="00D57A59" w:rsidP="00013C9D">
      <w:pPr>
        <w:spacing w:line="480" w:lineRule="auto"/>
        <w:jc w:val="both"/>
        <w:rPr>
          <w:rFonts w:ascii="Times New Roman" w:hAnsi="Times New Roman" w:cs="Times New Roman"/>
          <w:b/>
          <w:bCs/>
        </w:rPr>
      </w:pPr>
      <w:r>
        <w:rPr>
          <w:rFonts w:ascii="Times New Roman" w:hAnsi="Times New Roman" w:cs="Times New Roman"/>
          <w:b/>
          <w:bCs/>
        </w:rPr>
        <w:t>Acknowledgements</w:t>
      </w:r>
    </w:p>
    <w:p w14:paraId="7103620D" w14:textId="72297982" w:rsidR="00F7562C" w:rsidRPr="00305824" w:rsidRDefault="00305824" w:rsidP="00013C9D">
      <w:pPr>
        <w:spacing w:line="480" w:lineRule="auto"/>
        <w:jc w:val="both"/>
        <w:rPr>
          <w:rFonts w:ascii="Times New Roman" w:hAnsi="Times New Roman" w:cs="Times New Roman"/>
        </w:rPr>
      </w:pPr>
      <w:r>
        <w:rPr>
          <w:rFonts w:ascii="Times New Roman" w:hAnsi="Times New Roman" w:cs="Times New Roman"/>
        </w:rPr>
        <w:t xml:space="preserve">We would like to thank the participants for volunteering their time to participate in this study. </w:t>
      </w:r>
      <w:r w:rsidR="00EF35D9">
        <w:rPr>
          <w:rFonts w:ascii="Times New Roman" w:hAnsi="Times New Roman" w:cs="Times New Roman"/>
        </w:rPr>
        <w:t>We also thank all staff who supported aspects of trial set-up, management and delivery, particularly Natasha Wileman (Senior Trials Manager, Leicester Diabetes Centre, University Hospitals of Leicester NHS Trust).</w:t>
      </w:r>
    </w:p>
    <w:p w14:paraId="56663A23" w14:textId="77777777" w:rsidR="00CA5436" w:rsidRDefault="00CA5436" w:rsidP="00013C9D">
      <w:pPr>
        <w:spacing w:line="480" w:lineRule="auto"/>
        <w:jc w:val="both"/>
        <w:rPr>
          <w:rFonts w:ascii="Times New Roman" w:hAnsi="Times New Roman" w:cs="Times New Roman"/>
          <w:b/>
          <w:bCs/>
        </w:rPr>
      </w:pPr>
    </w:p>
    <w:p w14:paraId="3A8C5A9A" w14:textId="50292B12" w:rsidR="00C27B1C" w:rsidRDefault="00F7562C" w:rsidP="00013C9D">
      <w:pPr>
        <w:spacing w:line="480" w:lineRule="auto"/>
        <w:jc w:val="both"/>
        <w:rPr>
          <w:rFonts w:ascii="Times New Roman" w:hAnsi="Times New Roman" w:cs="Times New Roman"/>
          <w:b/>
          <w:bCs/>
        </w:rPr>
      </w:pPr>
      <w:r w:rsidRPr="00F7562C">
        <w:rPr>
          <w:rFonts w:ascii="Times New Roman" w:hAnsi="Times New Roman" w:cs="Times New Roman"/>
          <w:b/>
          <w:bCs/>
        </w:rPr>
        <w:t>Funding</w:t>
      </w:r>
    </w:p>
    <w:p w14:paraId="41F24185" w14:textId="77777777" w:rsidR="00F7562C" w:rsidRPr="00FD66FA" w:rsidRDefault="00F7562C" w:rsidP="00F7562C">
      <w:pPr>
        <w:spacing w:line="480" w:lineRule="auto"/>
        <w:jc w:val="both"/>
        <w:rPr>
          <w:rFonts w:asciiTheme="majorBidi" w:hAnsiTheme="majorBidi" w:cstheme="majorBidi"/>
          <w:color w:val="000000"/>
          <w:lang w:eastAsia="en-GB"/>
        </w:rPr>
      </w:pPr>
      <w:r>
        <w:rPr>
          <w:rFonts w:ascii="Times New Roman" w:hAnsi="Times New Roman" w:cs="Times New Roman"/>
        </w:rPr>
        <w:t xml:space="preserve">This research was funded by an investigator-initiated grant from Boehringer-Ingelheim. </w:t>
      </w:r>
      <w:r w:rsidRPr="0021128E">
        <w:rPr>
          <w:rFonts w:ascii="Times New Roman" w:hAnsi="Times New Roman" w:cs="Times New Roman"/>
          <w:color w:val="000000" w:themeColor="text1"/>
        </w:rPr>
        <w:t>The funder had no role</w:t>
      </w:r>
      <w:r>
        <w:rPr>
          <w:rFonts w:ascii="Times New Roman" w:hAnsi="Times New Roman" w:cs="Times New Roman"/>
          <w:color w:val="000000" w:themeColor="text1"/>
        </w:rPr>
        <w:t xml:space="preserve"> in</w:t>
      </w:r>
      <w:r w:rsidRPr="0021128E">
        <w:rPr>
          <w:rFonts w:ascii="Times New Roman" w:hAnsi="Times New Roman" w:cs="Times New Roman"/>
          <w:color w:val="000000" w:themeColor="text1"/>
        </w:rPr>
        <w:t xml:space="preserve"> collection, analysis</w:t>
      </w:r>
      <w:r>
        <w:rPr>
          <w:rFonts w:ascii="Times New Roman" w:hAnsi="Times New Roman" w:cs="Times New Roman"/>
          <w:color w:val="000000" w:themeColor="text1"/>
        </w:rPr>
        <w:t xml:space="preserve"> or</w:t>
      </w:r>
      <w:r w:rsidRPr="0021128E">
        <w:rPr>
          <w:rFonts w:ascii="Times New Roman" w:hAnsi="Times New Roman" w:cs="Times New Roman"/>
          <w:color w:val="000000" w:themeColor="text1"/>
        </w:rPr>
        <w:t xml:space="preserve"> interpreta</w:t>
      </w:r>
      <w:r>
        <w:rPr>
          <w:rFonts w:ascii="Times New Roman" w:hAnsi="Times New Roman" w:cs="Times New Roman"/>
          <w:color w:val="000000" w:themeColor="text1"/>
        </w:rPr>
        <w:t>tion</w:t>
      </w:r>
      <w:r w:rsidRPr="008E5932">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of </w:t>
      </w:r>
      <w:r w:rsidRPr="0021128E">
        <w:rPr>
          <w:rFonts w:ascii="Times New Roman" w:hAnsi="Times New Roman" w:cs="Times New Roman"/>
          <w:color w:val="000000" w:themeColor="text1"/>
        </w:rPr>
        <w:t>data</w:t>
      </w:r>
      <w:r>
        <w:rPr>
          <w:rFonts w:ascii="Times New Roman" w:hAnsi="Times New Roman" w:cs="Times New Roman"/>
          <w:color w:val="000000" w:themeColor="text1"/>
        </w:rPr>
        <w:t xml:space="preserve">, nor writing of the manuscript. They commented on initial trial design and reviewed the manuscript, but final decisions were made by the investigator team. </w:t>
      </w:r>
      <w:r>
        <w:rPr>
          <w:rFonts w:ascii="Times New Roman" w:hAnsi="Times New Roman" w:cs="Times New Roman"/>
        </w:rPr>
        <w:t xml:space="preserve">This study was supported by </w:t>
      </w:r>
      <w:r w:rsidRPr="00442DE6">
        <w:rPr>
          <w:rFonts w:asciiTheme="majorBidi" w:hAnsiTheme="majorBidi" w:cstheme="majorBidi"/>
          <w:color w:val="000000"/>
          <w:lang w:eastAsia="en-GB"/>
        </w:rPr>
        <w:t>the National Institute for</w:t>
      </w:r>
      <w:r>
        <w:rPr>
          <w:rFonts w:asciiTheme="majorBidi" w:hAnsiTheme="majorBidi" w:cstheme="majorBidi"/>
          <w:lang w:eastAsia="en-GB"/>
        </w:rPr>
        <w:t xml:space="preserve"> </w:t>
      </w:r>
      <w:r w:rsidRPr="00442DE6">
        <w:rPr>
          <w:rFonts w:asciiTheme="majorBidi" w:hAnsiTheme="majorBidi" w:cstheme="majorBidi"/>
          <w:color w:val="000000"/>
          <w:lang w:eastAsia="en-GB"/>
        </w:rPr>
        <w:t>Health Research (NIHR) Leicester Bio</w:t>
      </w:r>
      <w:r>
        <w:rPr>
          <w:rFonts w:asciiTheme="majorBidi" w:hAnsiTheme="majorBidi" w:cstheme="majorBidi"/>
          <w:color w:val="000000"/>
          <w:lang w:eastAsia="en-GB"/>
        </w:rPr>
        <w:t>medical Research Centre and the NIHR Applied Research Collaboration East Midlands.</w:t>
      </w:r>
      <w:r w:rsidRPr="00442DE6">
        <w:rPr>
          <w:rFonts w:asciiTheme="majorBidi" w:hAnsiTheme="majorBidi" w:cstheme="majorBidi"/>
          <w:color w:val="000000"/>
          <w:lang w:eastAsia="en-GB"/>
        </w:rPr>
        <w:t xml:space="preserve"> The views</w:t>
      </w:r>
      <w:r>
        <w:rPr>
          <w:rFonts w:asciiTheme="majorBidi" w:hAnsiTheme="majorBidi" w:cstheme="majorBidi"/>
          <w:lang w:eastAsia="en-GB"/>
        </w:rPr>
        <w:t xml:space="preserve"> </w:t>
      </w:r>
      <w:r w:rsidRPr="00442DE6">
        <w:rPr>
          <w:rFonts w:asciiTheme="majorBidi" w:hAnsiTheme="majorBidi" w:cstheme="majorBidi"/>
          <w:color w:val="000000"/>
          <w:lang w:eastAsia="en-GB"/>
        </w:rPr>
        <w:t>expressed are those of the authors and not necessarily those of the NHS, the NIHR or</w:t>
      </w:r>
      <w:r>
        <w:rPr>
          <w:rFonts w:asciiTheme="majorBidi" w:hAnsiTheme="majorBidi" w:cstheme="majorBidi"/>
          <w:lang w:eastAsia="en-GB"/>
        </w:rPr>
        <w:t xml:space="preserve"> </w:t>
      </w:r>
      <w:r w:rsidRPr="00442DE6">
        <w:rPr>
          <w:rFonts w:asciiTheme="majorBidi" w:hAnsiTheme="majorBidi" w:cstheme="majorBidi"/>
          <w:color w:val="000000"/>
          <w:lang w:eastAsia="en-GB"/>
        </w:rPr>
        <w:t>the Department of Health</w:t>
      </w:r>
      <w:r>
        <w:rPr>
          <w:rFonts w:asciiTheme="majorBidi" w:hAnsiTheme="majorBidi" w:cstheme="majorBidi"/>
          <w:color w:val="000000"/>
          <w:lang w:eastAsia="en-GB"/>
        </w:rPr>
        <w:t xml:space="preserve"> and Social Care</w:t>
      </w:r>
      <w:r w:rsidRPr="00442DE6">
        <w:rPr>
          <w:rFonts w:asciiTheme="majorBidi" w:hAnsiTheme="majorBidi" w:cstheme="majorBidi"/>
          <w:color w:val="000000"/>
          <w:lang w:eastAsia="en-GB"/>
        </w:rPr>
        <w:t>.</w:t>
      </w:r>
      <w:r w:rsidRPr="00FD66FA">
        <w:rPr>
          <w:rFonts w:ascii="Times New Roman" w:hAnsi="Times New Roman" w:cs="Times New Roman"/>
          <w:i/>
          <w:iCs/>
        </w:rPr>
        <w:t xml:space="preserve"> </w:t>
      </w:r>
    </w:p>
    <w:p w14:paraId="29D4C944" w14:textId="77777777" w:rsidR="00F7562C" w:rsidRPr="00F7562C" w:rsidRDefault="00F7562C" w:rsidP="00013C9D">
      <w:pPr>
        <w:spacing w:line="480" w:lineRule="auto"/>
        <w:jc w:val="both"/>
        <w:rPr>
          <w:rFonts w:ascii="Times New Roman" w:hAnsi="Times New Roman" w:cs="Times New Roman"/>
          <w:b/>
          <w:bCs/>
        </w:rPr>
      </w:pPr>
    </w:p>
    <w:p w14:paraId="73563F9F" w14:textId="46D25F5E" w:rsidR="00C524DA" w:rsidRDefault="00027280" w:rsidP="00C524DA">
      <w:pPr>
        <w:spacing w:line="480" w:lineRule="auto"/>
        <w:jc w:val="both"/>
        <w:rPr>
          <w:rFonts w:ascii="Times New Roman" w:hAnsi="Times New Roman" w:cs="Times New Roman"/>
          <w:b/>
          <w:bCs/>
        </w:rPr>
      </w:pPr>
      <w:r>
        <w:rPr>
          <w:rFonts w:ascii="Times New Roman" w:hAnsi="Times New Roman" w:cs="Times New Roman"/>
          <w:b/>
          <w:bCs/>
        </w:rPr>
        <w:t>Data availability</w:t>
      </w:r>
    </w:p>
    <w:p w14:paraId="72E71CEF" w14:textId="272870D1" w:rsidR="00C524DA" w:rsidRPr="00C524DA" w:rsidRDefault="00C524DA" w:rsidP="00C524DA">
      <w:pPr>
        <w:spacing w:line="480" w:lineRule="auto"/>
        <w:jc w:val="both"/>
        <w:rPr>
          <w:rFonts w:ascii="Times New Roman" w:hAnsi="Times New Roman" w:cs="Times New Roman"/>
        </w:rPr>
      </w:pPr>
      <w:r w:rsidRPr="00C524DA">
        <w:rPr>
          <w:rFonts w:ascii="Times New Roman" w:hAnsi="Times New Roman" w:cs="Times New Roman"/>
        </w:rPr>
        <w:t>The datasets generated during the current study are available from the corresponding author on reasonable request.</w:t>
      </w:r>
    </w:p>
    <w:p w14:paraId="45616BA9" w14:textId="77777777" w:rsidR="00C524DA" w:rsidRPr="00121ACC" w:rsidRDefault="00C524DA" w:rsidP="00013C9D">
      <w:pPr>
        <w:spacing w:line="480" w:lineRule="auto"/>
        <w:jc w:val="both"/>
        <w:rPr>
          <w:rFonts w:ascii="Times New Roman" w:hAnsi="Times New Roman" w:cs="Times New Roman"/>
        </w:rPr>
      </w:pPr>
    </w:p>
    <w:p w14:paraId="2C99215F" w14:textId="4817E74C" w:rsidR="00EE1808" w:rsidRPr="00F7562C" w:rsidRDefault="00F7562C" w:rsidP="00EE1808">
      <w:pPr>
        <w:spacing w:line="480" w:lineRule="auto"/>
        <w:jc w:val="both"/>
        <w:rPr>
          <w:rFonts w:ascii="Times New Roman" w:hAnsi="Times New Roman" w:cs="Times New Roman"/>
          <w:b/>
          <w:iCs/>
        </w:rPr>
      </w:pPr>
      <w:r w:rsidRPr="00F7562C">
        <w:rPr>
          <w:rFonts w:ascii="Times New Roman" w:hAnsi="Times New Roman" w:cs="Times New Roman"/>
          <w:b/>
          <w:iCs/>
        </w:rPr>
        <w:t>Authors’ relationships and activities</w:t>
      </w:r>
    </w:p>
    <w:p w14:paraId="4D423DCD" w14:textId="77777777" w:rsidR="002E21A5" w:rsidRDefault="0095312A" w:rsidP="008578FB">
      <w:pPr>
        <w:spacing w:line="480" w:lineRule="auto"/>
        <w:jc w:val="both"/>
        <w:rPr>
          <w:rFonts w:ascii="Times New Roman" w:hAnsi="Times New Roman" w:cs="Times New Roman"/>
          <w:color w:val="1C1D1E"/>
          <w:shd w:val="clear" w:color="auto" w:fill="FFFFFF"/>
        </w:rPr>
      </w:pPr>
      <w:r>
        <w:rPr>
          <w:rFonts w:ascii="Times New Roman" w:hAnsi="Times New Roman" w:cs="Times New Roman"/>
          <w:color w:val="1C1D1E"/>
          <w:shd w:val="clear" w:color="auto" w:fill="FFFFFF"/>
        </w:rPr>
        <w:t xml:space="preserve">JAS and TY report funding in the form of an investigator-initiated trial from AstraZeneca. </w:t>
      </w:r>
    </w:p>
    <w:p w14:paraId="356E30FA" w14:textId="79C360E5" w:rsidR="005F410D" w:rsidRPr="008F60F6" w:rsidRDefault="00F52193" w:rsidP="00F52193">
      <w:pPr>
        <w:spacing w:line="480" w:lineRule="auto"/>
        <w:jc w:val="both"/>
        <w:rPr>
          <w:rFonts w:ascii="Times New Roman" w:hAnsi="Times New Roman" w:cs="Times New Roman"/>
        </w:rPr>
      </w:pPr>
      <w:r w:rsidRPr="008F60F6">
        <w:rPr>
          <w:rFonts w:ascii="Times New Roman" w:hAnsi="Times New Roman" w:cs="Times New Roman"/>
        </w:rPr>
        <w:t>DRW has received honoraria as a speaker for AstraZeneca, Sanofi-Aventis and Lilly, and has received research funding support from Novo Nordisk.</w:t>
      </w:r>
    </w:p>
    <w:p w14:paraId="19168A21" w14:textId="050F4246" w:rsidR="005F410D" w:rsidRDefault="005F410D" w:rsidP="005F410D">
      <w:pPr>
        <w:spacing w:line="480" w:lineRule="auto"/>
        <w:jc w:val="both"/>
        <w:rPr>
          <w:rFonts w:ascii="Times New Roman" w:hAnsi="Times New Roman" w:cs="Times New Roman"/>
        </w:rPr>
      </w:pPr>
      <w:r w:rsidRPr="004B533A">
        <w:rPr>
          <w:rFonts w:ascii="Times New Roman" w:hAnsi="Times New Roman" w:cs="Times New Roman"/>
          <w:color w:val="1C1D1E"/>
          <w:shd w:val="clear" w:color="auto" w:fill="FFFFFF"/>
        </w:rPr>
        <w:t>JPHW</w:t>
      </w:r>
      <w:r w:rsidRPr="004B533A">
        <w:rPr>
          <w:rFonts w:ascii="Times New Roman" w:hAnsi="Times New Roman" w:cs="Times New Roman"/>
        </w:rPr>
        <w:t xml:space="preserve"> reports receiving consultancy fees (paid to </w:t>
      </w:r>
      <w:r>
        <w:rPr>
          <w:rFonts w:ascii="Times New Roman" w:hAnsi="Times New Roman" w:cs="Times New Roman"/>
        </w:rPr>
        <w:t>U</w:t>
      </w:r>
      <w:r w:rsidRPr="004B533A">
        <w:rPr>
          <w:rFonts w:ascii="Times New Roman" w:hAnsi="Times New Roman" w:cs="Times New Roman"/>
        </w:rPr>
        <w:t>niversity</w:t>
      </w:r>
      <w:r>
        <w:rPr>
          <w:rFonts w:ascii="Times New Roman" w:hAnsi="Times New Roman" w:cs="Times New Roman"/>
        </w:rPr>
        <w:t xml:space="preserve"> of Liverpool</w:t>
      </w:r>
      <w:r w:rsidRPr="004B533A">
        <w:rPr>
          <w:rFonts w:ascii="Times New Roman" w:hAnsi="Times New Roman" w:cs="Times New Roman"/>
        </w:rPr>
        <w:t xml:space="preserve">) </w:t>
      </w:r>
      <w:r>
        <w:rPr>
          <w:rFonts w:ascii="Times New Roman" w:hAnsi="Times New Roman" w:cs="Times New Roman"/>
        </w:rPr>
        <w:t xml:space="preserve">in relation to obesity and type 2 diabetes in the last 12 months from </w:t>
      </w:r>
      <w:r w:rsidRPr="004B533A">
        <w:rPr>
          <w:rFonts w:ascii="Times New Roman" w:hAnsi="Times New Roman" w:cs="Times New Roman"/>
        </w:rPr>
        <w:t>AstraZeneca, Boehringer Ingelheim, Janssen</w:t>
      </w:r>
      <w:r>
        <w:rPr>
          <w:rFonts w:ascii="Times New Roman" w:hAnsi="Times New Roman" w:cs="Times New Roman"/>
        </w:rPr>
        <w:t xml:space="preserve"> Pharmaceuticals</w:t>
      </w:r>
      <w:r w:rsidRPr="004B533A">
        <w:rPr>
          <w:rFonts w:ascii="Times New Roman" w:hAnsi="Times New Roman" w:cs="Times New Roman"/>
        </w:rPr>
        <w:t>, Lilly, Mundipharma, Napp, Novo Nordisk, Rhythm Pharmaceuticals</w:t>
      </w:r>
      <w:r>
        <w:rPr>
          <w:rFonts w:ascii="Times New Roman" w:hAnsi="Times New Roman" w:cs="Times New Roman"/>
        </w:rPr>
        <w:t xml:space="preserve">, </w:t>
      </w:r>
      <w:r w:rsidRPr="004B533A">
        <w:rPr>
          <w:rFonts w:ascii="Times New Roman" w:hAnsi="Times New Roman" w:cs="Times New Roman"/>
        </w:rPr>
        <w:t>Sanofi</w:t>
      </w:r>
      <w:r>
        <w:rPr>
          <w:rFonts w:ascii="Times New Roman" w:hAnsi="Times New Roman" w:cs="Times New Roman"/>
        </w:rPr>
        <w:t xml:space="preserve"> and Saniona</w:t>
      </w:r>
      <w:r w:rsidRPr="004B533A">
        <w:rPr>
          <w:rFonts w:ascii="Times New Roman" w:hAnsi="Times New Roman" w:cs="Times New Roman"/>
        </w:rPr>
        <w:t>; personal fees</w:t>
      </w:r>
      <w:r>
        <w:rPr>
          <w:rFonts w:ascii="Times New Roman" w:hAnsi="Times New Roman" w:cs="Times New Roman"/>
        </w:rPr>
        <w:t xml:space="preserve"> honoraria/lecture fees</w:t>
      </w:r>
      <w:r w:rsidRPr="004B533A">
        <w:rPr>
          <w:rFonts w:ascii="Times New Roman" w:hAnsi="Times New Roman" w:cs="Times New Roman"/>
        </w:rPr>
        <w:t xml:space="preserve"> from AstraZeneca, </w:t>
      </w:r>
      <w:r>
        <w:rPr>
          <w:rFonts w:ascii="Times New Roman" w:hAnsi="Times New Roman" w:cs="Times New Roman"/>
        </w:rPr>
        <w:t xml:space="preserve">Boehringer Ingelheim, Lilly, Napp, Mundipharma, Sanofi </w:t>
      </w:r>
      <w:r w:rsidRPr="004B533A">
        <w:rPr>
          <w:rFonts w:ascii="Times New Roman" w:hAnsi="Times New Roman" w:cs="Times New Roman"/>
        </w:rPr>
        <w:t xml:space="preserve">and Takeda; </w:t>
      </w:r>
      <w:r>
        <w:rPr>
          <w:rFonts w:ascii="Times New Roman" w:hAnsi="Times New Roman" w:cs="Times New Roman"/>
        </w:rPr>
        <w:t>and research grant funding (via University of Liverpool) from AstraZeneca and Novo Nordisk</w:t>
      </w:r>
      <w:r w:rsidRPr="004B533A">
        <w:rPr>
          <w:rFonts w:ascii="Times New Roman" w:hAnsi="Times New Roman" w:cs="Times New Roman"/>
        </w:rPr>
        <w:t>.</w:t>
      </w:r>
      <w:r>
        <w:rPr>
          <w:rFonts w:ascii="Times New Roman" w:hAnsi="Times New Roman" w:cs="Times New Roman"/>
        </w:rPr>
        <w:t xml:space="preserve"> </w:t>
      </w:r>
    </w:p>
    <w:p w14:paraId="18997B5C" w14:textId="77777777" w:rsidR="002E21A5" w:rsidRDefault="002E21A5" w:rsidP="008578FB">
      <w:pPr>
        <w:spacing w:line="480" w:lineRule="auto"/>
        <w:jc w:val="both"/>
        <w:rPr>
          <w:rFonts w:ascii="Times New Roman" w:hAnsi="Times New Roman" w:cs="Times New Roman"/>
          <w:color w:val="1C1D1E"/>
          <w:shd w:val="clear" w:color="auto" w:fill="FFFFFF"/>
        </w:rPr>
      </w:pPr>
      <w:r w:rsidRPr="002E21A5">
        <w:rPr>
          <w:rFonts w:ascii="Times New Roman" w:hAnsi="Times New Roman" w:cs="Times New Roman"/>
          <w:color w:val="1C1D1E"/>
          <w:shd w:val="clear" w:color="auto" w:fill="FFFFFF"/>
        </w:rPr>
        <w:t>KK has acted as consultant, advisory board member and speaker for Abbott, Amgen, Astrazeneca, Bayer, NAPP, Lilly, Merck Sharp and Dohme, Novartis, Novo Nordisk, Roche, Berlin-Chemie AG/Menarini Group, Sanofi-Aventis, Servier, Boehringer Ingelheim, EACME grants from Boehringer Ingelheim, AstraZeneca, Novartis, Novo Nordisk, Sanofi-Aventis, Lilly, Merck Sharp &amp; Dohme.</w:t>
      </w:r>
    </w:p>
    <w:p w14:paraId="3FF1C8FC" w14:textId="7C7BAD1C" w:rsidR="000B1DA1" w:rsidRDefault="002E21A5" w:rsidP="008578FB">
      <w:pPr>
        <w:spacing w:line="480" w:lineRule="auto"/>
        <w:jc w:val="both"/>
        <w:rPr>
          <w:rFonts w:ascii="Times New Roman" w:hAnsi="Times New Roman" w:cs="Times New Roman"/>
          <w:color w:val="1C1D1E"/>
          <w:shd w:val="clear" w:color="auto" w:fill="FFFFFF"/>
        </w:rPr>
      </w:pPr>
      <w:r w:rsidRPr="002E21A5">
        <w:rPr>
          <w:rFonts w:ascii="Times New Roman" w:hAnsi="Times New Roman" w:cs="Times New Roman"/>
          <w:color w:val="1C1D1E"/>
          <w:shd w:val="clear" w:color="auto" w:fill="FFFFFF"/>
        </w:rPr>
        <w:t>MJD has acted as consultant, advisory board member and speaker for Novo Nordisk, Sanofi, Lilly and Boehringer Ingelheim, an advisory board member and speaker for AstraZeneca, an advisory board member for Janssen, Lexicon, Servier and Gilead Sciences Ltd and as a speaker for Napp Pharmaceuticals, Mitsubishi Tanabe Pharma Corporation and Takeda Pharmaceuticals International Inc. She has received grants in support of investigator and investigator initiated trials from Novo Nordisk, Sanofi-Aventis, Lilly, Boehringer Ingelheim, AstraZeneca and Janssen.</w:t>
      </w:r>
    </w:p>
    <w:p w14:paraId="2FACF3FF" w14:textId="5A1CDA43" w:rsidR="00822E4E" w:rsidRDefault="00157706" w:rsidP="008578FB">
      <w:pPr>
        <w:spacing w:line="480" w:lineRule="auto"/>
        <w:jc w:val="both"/>
        <w:rPr>
          <w:rFonts w:ascii="Times New Roman" w:hAnsi="Times New Roman" w:cs="Times New Roman"/>
          <w:color w:val="1C1D1E"/>
          <w:shd w:val="clear" w:color="auto" w:fill="FFFFFF"/>
        </w:rPr>
      </w:pPr>
      <w:r>
        <w:rPr>
          <w:rFonts w:ascii="Times New Roman" w:hAnsi="Times New Roman" w:cs="Times New Roman"/>
          <w:color w:val="1C1D1E"/>
          <w:shd w:val="clear" w:color="auto" w:fill="FFFFFF"/>
        </w:rPr>
        <w:t xml:space="preserve">JAK, </w:t>
      </w:r>
      <w:r w:rsidR="00A90391" w:rsidRPr="00A16D7A">
        <w:rPr>
          <w:rFonts w:ascii="Times New Roman" w:hAnsi="Times New Roman" w:cs="Times New Roman"/>
          <w:color w:val="1C1D1E"/>
          <w:shd w:val="clear" w:color="auto" w:fill="FFFFFF"/>
        </w:rPr>
        <w:t xml:space="preserve">ELR, </w:t>
      </w:r>
      <w:r w:rsidR="00A90391" w:rsidRPr="00A16D7A">
        <w:rPr>
          <w:rFonts w:ascii="Times New Roman" w:hAnsi="Times New Roman" w:cs="Times New Roman"/>
          <w:shd w:val="clear" w:color="auto" w:fill="FFFFFF"/>
        </w:rPr>
        <w:t xml:space="preserve">DHB, </w:t>
      </w:r>
      <w:r w:rsidR="007D6367">
        <w:rPr>
          <w:rFonts w:ascii="Times New Roman" w:hAnsi="Times New Roman" w:cs="Times New Roman"/>
          <w:shd w:val="clear" w:color="auto" w:fill="FFFFFF"/>
        </w:rPr>
        <w:t xml:space="preserve">SC, </w:t>
      </w:r>
      <w:r w:rsidR="005F410D" w:rsidRPr="00A16D7A">
        <w:rPr>
          <w:rFonts w:ascii="Times New Roman" w:hAnsi="Times New Roman" w:cs="Times New Roman"/>
        </w:rPr>
        <w:t xml:space="preserve">CLE, </w:t>
      </w:r>
      <w:r w:rsidR="00A90391" w:rsidRPr="00A16D7A">
        <w:rPr>
          <w:rFonts w:ascii="Times New Roman" w:hAnsi="Times New Roman" w:cs="Times New Roman"/>
          <w:shd w:val="clear" w:color="auto" w:fill="FFFFFF"/>
        </w:rPr>
        <w:t>LJG</w:t>
      </w:r>
      <w:r w:rsidR="00A90391" w:rsidRPr="00A16D7A">
        <w:rPr>
          <w:rFonts w:ascii="Times New Roman" w:hAnsi="Times New Roman" w:cs="Times New Roman"/>
          <w:color w:val="000000" w:themeColor="text1"/>
          <w:shd w:val="clear" w:color="auto" w:fill="FFFFFF"/>
        </w:rPr>
        <w:t xml:space="preserve">, </w:t>
      </w:r>
      <w:r w:rsidR="00765016" w:rsidRPr="00A16D7A">
        <w:rPr>
          <w:rFonts w:ascii="Times New Roman" w:hAnsi="Times New Roman" w:cs="Times New Roman"/>
          <w:color w:val="000000" w:themeColor="text1"/>
        </w:rPr>
        <w:t xml:space="preserve">BP, </w:t>
      </w:r>
      <w:r w:rsidR="00D80A11" w:rsidRPr="00A16D7A">
        <w:rPr>
          <w:rFonts w:ascii="Times New Roman" w:hAnsi="Times New Roman" w:cs="Times New Roman"/>
          <w:color w:val="000000" w:themeColor="text1"/>
          <w:shd w:val="clear" w:color="auto" w:fill="FFFFFF"/>
        </w:rPr>
        <w:t>GW</w:t>
      </w:r>
      <w:r w:rsidR="00D80A11" w:rsidRPr="00A16D7A">
        <w:rPr>
          <w:rFonts w:ascii="Times New Roman" w:hAnsi="Times New Roman" w:cs="Times New Roman"/>
          <w:color w:val="1C1D1E"/>
          <w:shd w:val="clear" w:color="auto" w:fill="FFFFFF"/>
        </w:rPr>
        <w:t xml:space="preserve">, </w:t>
      </w:r>
      <w:r w:rsidR="00822E4E" w:rsidRPr="00A16D7A">
        <w:rPr>
          <w:rFonts w:ascii="Times New Roman" w:hAnsi="Times New Roman" w:cs="Times New Roman"/>
          <w:color w:val="1C1D1E"/>
          <w:shd w:val="clear" w:color="auto" w:fill="FFFFFF"/>
        </w:rPr>
        <w:t>HLW</w:t>
      </w:r>
      <w:r w:rsidR="00D651D1">
        <w:rPr>
          <w:rFonts w:ascii="Times New Roman" w:hAnsi="Times New Roman" w:cs="Times New Roman"/>
          <w:color w:val="1C1D1E"/>
          <w:shd w:val="clear" w:color="auto" w:fill="FFFFFF"/>
        </w:rPr>
        <w:t xml:space="preserve">, SAW </w:t>
      </w:r>
      <w:r w:rsidR="00822E4E">
        <w:rPr>
          <w:rFonts w:ascii="Times New Roman" w:hAnsi="Times New Roman" w:cs="Times New Roman"/>
          <w:color w:val="1C1D1E"/>
          <w:shd w:val="clear" w:color="auto" w:fill="FFFFFF"/>
        </w:rPr>
        <w:t>&amp; DJS have no conflicts of interest to declare.</w:t>
      </w:r>
    </w:p>
    <w:p w14:paraId="41103366" w14:textId="750FED17" w:rsidR="00822E4E" w:rsidRDefault="00822E4E" w:rsidP="00822E4E">
      <w:pPr>
        <w:spacing w:line="480" w:lineRule="auto"/>
        <w:jc w:val="both"/>
        <w:rPr>
          <w:rFonts w:ascii="Times New Roman" w:hAnsi="Times New Roman" w:cs="Times New Roman"/>
          <w:highlight w:val="yellow"/>
        </w:rPr>
      </w:pPr>
    </w:p>
    <w:p w14:paraId="5D70D67E" w14:textId="77777777" w:rsidR="00915172" w:rsidRPr="00915172" w:rsidRDefault="00915172" w:rsidP="00915172">
      <w:pPr>
        <w:spacing w:line="480" w:lineRule="auto"/>
        <w:jc w:val="both"/>
        <w:rPr>
          <w:rFonts w:ascii="Times New Roman" w:hAnsi="Times New Roman" w:cs="Times New Roman"/>
          <w:b/>
          <w:iCs/>
        </w:rPr>
      </w:pPr>
      <w:r w:rsidRPr="00915172">
        <w:rPr>
          <w:rFonts w:ascii="Times New Roman" w:hAnsi="Times New Roman" w:cs="Times New Roman"/>
          <w:b/>
          <w:iCs/>
        </w:rPr>
        <w:t>Contribution statement</w:t>
      </w:r>
    </w:p>
    <w:p w14:paraId="40B83CE0" w14:textId="0F9A53A4" w:rsidR="005D38E9" w:rsidRPr="00FD3C30" w:rsidRDefault="00915172" w:rsidP="00DE58B4">
      <w:pPr>
        <w:spacing w:line="480" w:lineRule="auto"/>
        <w:jc w:val="both"/>
        <w:rPr>
          <w:rFonts w:ascii="Times New Roman" w:hAnsi="Times New Roman" w:cs="Times New Roman"/>
        </w:rPr>
      </w:pPr>
      <w:r>
        <w:rPr>
          <w:rFonts w:ascii="Times New Roman" w:hAnsi="Times New Roman" w:cs="Times New Roman"/>
        </w:rPr>
        <w:t>MJD and SC generated the research idea. MJD, JK,</w:t>
      </w:r>
      <w:r w:rsidRPr="00A71437">
        <w:rPr>
          <w:rFonts w:ascii="Times New Roman" w:hAnsi="Times New Roman" w:cs="Times New Roman"/>
        </w:rPr>
        <w:t xml:space="preserve"> </w:t>
      </w:r>
      <w:r>
        <w:rPr>
          <w:rFonts w:ascii="Times New Roman" w:hAnsi="Times New Roman" w:cs="Times New Roman"/>
        </w:rPr>
        <w:t>TY,</w:t>
      </w:r>
      <w:r w:rsidRPr="00A71437">
        <w:rPr>
          <w:rFonts w:ascii="Times New Roman" w:hAnsi="Times New Roman" w:cs="Times New Roman"/>
        </w:rPr>
        <w:t xml:space="preserve"> </w:t>
      </w:r>
      <w:r>
        <w:rPr>
          <w:rFonts w:ascii="Times New Roman" w:hAnsi="Times New Roman" w:cs="Times New Roman"/>
        </w:rPr>
        <w:t>ELR,</w:t>
      </w:r>
      <w:r w:rsidRPr="00A71437">
        <w:rPr>
          <w:rFonts w:ascii="Times New Roman" w:hAnsi="Times New Roman" w:cs="Times New Roman"/>
        </w:rPr>
        <w:t xml:space="preserve"> </w:t>
      </w:r>
      <w:r>
        <w:rPr>
          <w:rFonts w:ascii="Times New Roman" w:hAnsi="Times New Roman" w:cs="Times New Roman"/>
        </w:rPr>
        <w:t>DB, SC,</w:t>
      </w:r>
      <w:r w:rsidRPr="00D11880">
        <w:rPr>
          <w:rFonts w:ascii="Times New Roman" w:hAnsi="Times New Roman" w:cs="Times New Roman"/>
        </w:rPr>
        <w:t xml:space="preserve"> </w:t>
      </w:r>
      <w:r>
        <w:rPr>
          <w:rFonts w:ascii="Times New Roman" w:hAnsi="Times New Roman" w:cs="Times New Roman"/>
        </w:rPr>
        <w:t xml:space="preserve">CLE, LJG, DRW, KK, &amp; DJS designed the study and/or the statistical analysis plan. JAS, JAK, TY, ELR, SC, DRW oversaw data collection and/or intervention delivery. JAS, JAK, BP, HLW, SAW &amp; DJS were responsible for biochemical analyses. CLE processed the accelerometer data. JAS, TY, DB, LJG &amp; GW were responsible for data analyses. JAS, JAK, TY and MJD interpreted findings and drafted the manuscript. </w:t>
      </w:r>
      <w:r w:rsidRPr="00121ACC">
        <w:rPr>
          <w:rFonts w:ascii="Times New Roman" w:hAnsi="Times New Roman" w:cs="Times New Roman"/>
        </w:rPr>
        <w:t xml:space="preserve">All authors </w:t>
      </w:r>
      <w:r>
        <w:rPr>
          <w:rFonts w:ascii="Times New Roman" w:hAnsi="Times New Roman" w:cs="Times New Roman"/>
        </w:rPr>
        <w:t xml:space="preserve">commented on the draft, providing clinical and/or academic input, </w:t>
      </w:r>
      <w:r w:rsidRPr="00121ACC">
        <w:rPr>
          <w:rFonts w:ascii="Times New Roman" w:hAnsi="Times New Roman" w:cs="Times New Roman"/>
        </w:rPr>
        <w:t xml:space="preserve">approved the final version </w:t>
      </w:r>
      <w:r>
        <w:rPr>
          <w:rFonts w:ascii="Times New Roman" w:hAnsi="Times New Roman" w:cs="Times New Roman"/>
        </w:rPr>
        <w:t xml:space="preserve">and agree to be accountable for the work. </w:t>
      </w:r>
      <w:r w:rsidRPr="009414D7">
        <w:rPr>
          <w:rFonts w:ascii="Times New Roman" w:hAnsi="Times New Roman" w:cs="Times New Roman"/>
        </w:rPr>
        <w:t>JAS is the guarantor of the work and as such had full access to all the data and takes responsibility for the integrity of the data and the accuracy of the data analysis.</w:t>
      </w:r>
    </w:p>
    <w:p w14:paraId="6430BCC5" w14:textId="60320C12" w:rsidR="005767F7" w:rsidRPr="005767F7" w:rsidRDefault="005767F7" w:rsidP="005767F7">
      <w:pPr>
        <w:rPr>
          <w:rFonts w:ascii="Times New Roman" w:hAnsi="Times New Roman" w:cs="Times New Roman"/>
        </w:rPr>
        <w:sectPr w:rsidR="005767F7" w:rsidRPr="005767F7" w:rsidSect="00C328E3">
          <w:pgSz w:w="11900" w:h="16840"/>
          <w:pgMar w:top="1440" w:right="1440" w:bottom="1440" w:left="1440" w:header="708" w:footer="708" w:gutter="0"/>
          <w:cols w:space="708"/>
          <w:docGrid w:linePitch="360"/>
        </w:sectPr>
      </w:pPr>
    </w:p>
    <w:p w14:paraId="20B7E571" w14:textId="743B5BAA" w:rsidR="00667435" w:rsidRDefault="00EE1808" w:rsidP="00013C9D">
      <w:pPr>
        <w:spacing w:line="480" w:lineRule="auto"/>
        <w:jc w:val="both"/>
        <w:rPr>
          <w:rFonts w:ascii="Times New Roman" w:hAnsi="Times New Roman" w:cs="Times New Roman"/>
          <w:b/>
          <w:bCs/>
        </w:rPr>
      </w:pPr>
      <w:r>
        <w:rPr>
          <w:rFonts w:ascii="Times New Roman" w:hAnsi="Times New Roman" w:cs="Times New Roman"/>
          <w:b/>
          <w:bCs/>
        </w:rPr>
        <w:t>References</w:t>
      </w:r>
    </w:p>
    <w:p w14:paraId="64915660" w14:textId="7F72612C" w:rsidR="005D02F2" w:rsidRPr="005D02F2" w:rsidRDefault="003C6C69" w:rsidP="005D02F2">
      <w:pPr>
        <w:widowControl w:val="0"/>
        <w:autoSpaceDE w:val="0"/>
        <w:autoSpaceDN w:val="0"/>
        <w:adjustRightInd w:val="0"/>
        <w:spacing w:after="120"/>
        <w:ind w:left="640" w:hanging="640"/>
        <w:rPr>
          <w:rFonts w:ascii="Times New Roman" w:hAnsi="Times New Roman" w:cs="Times New Roman"/>
          <w:noProof/>
        </w:rPr>
      </w:pPr>
      <w:r>
        <w:rPr>
          <w:rFonts w:ascii="Times New Roman" w:hAnsi="Times New Roman" w:cs="Times New Roman"/>
          <w:b/>
          <w:bCs/>
        </w:rPr>
        <w:fldChar w:fldCharType="begin" w:fldLock="1"/>
      </w:r>
      <w:r>
        <w:rPr>
          <w:rFonts w:ascii="Times New Roman" w:hAnsi="Times New Roman" w:cs="Times New Roman"/>
          <w:b/>
          <w:bCs/>
        </w:rPr>
        <w:instrText xml:space="preserve">ADDIN Mendeley Bibliography CSL_BIBLIOGRAPHY </w:instrText>
      </w:r>
      <w:r>
        <w:rPr>
          <w:rFonts w:ascii="Times New Roman" w:hAnsi="Times New Roman" w:cs="Times New Roman"/>
          <w:b/>
          <w:bCs/>
        </w:rPr>
        <w:fldChar w:fldCharType="separate"/>
      </w:r>
      <w:r w:rsidR="005D02F2" w:rsidRPr="005D02F2">
        <w:rPr>
          <w:rFonts w:ascii="Times New Roman" w:hAnsi="Times New Roman" w:cs="Times New Roman"/>
          <w:noProof/>
        </w:rPr>
        <w:t xml:space="preserve">1. </w:t>
      </w:r>
      <w:r w:rsidR="005D02F2" w:rsidRPr="005D02F2">
        <w:rPr>
          <w:rFonts w:ascii="Times New Roman" w:hAnsi="Times New Roman" w:cs="Times New Roman"/>
          <w:noProof/>
        </w:rPr>
        <w:tab/>
        <w:t xml:space="preserve">Scheen A. Sodium–glucose cotransporter type 2 inhibitors for the treatment of type 2 diabetes mellitus. </w:t>
      </w:r>
      <w:r w:rsidR="005D02F2" w:rsidRPr="005D02F2">
        <w:rPr>
          <w:rFonts w:ascii="Times New Roman" w:hAnsi="Times New Roman" w:cs="Times New Roman"/>
          <w:i/>
          <w:iCs/>
          <w:noProof/>
        </w:rPr>
        <w:t>Nat Rev Endocrinol</w:t>
      </w:r>
      <w:r w:rsidR="005D02F2" w:rsidRPr="005D02F2">
        <w:rPr>
          <w:rFonts w:ascii="Times New Roman" w:hAnsi="Times New Roman" w:cs="Times New Roman"/>
          <w:noProof/>
        </w:rPr>
        <w:t>. 2020;16:556-557.</w:t>
      </w:r>
    </w:p>
    <w:p w14:paraId="36AB8F18"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 </w:t>
      </w:r>
      <w:r w:rsidRPr="005D02F2">
        <w:rPr>
          <w:rFonts w:ascii="Times New Roman" w:hAnsi="Times New Roman" w:cs="Times New Roman"/>
          <w:noProof/>
        </w:rPr>
        <w:tab/>
        <w:t xml:space="preserve">Brown E, Wilding JPH, Barber TM, Alam U, Cuthbertson DJ. Weight loss variability with SGLT2 inhibitors and GLP-1 receptor agonists in type 2 diabetes mellitus and obesity: Mechanistic possibilities. </w:t>
      </w:r>
      <w:r w:rsidRPr="005D02F2">
        <w:rPr>
          <w:rFonts w:ascii="Times New Roman" w:hAnsi="Times New Roman" w:cs="Times New Roman"/>
          <w:i/>
          <w:iCs/>
          <w:noProof/>
        </w:rPr>
        <w:t>Obes Rev</w:t>
      </w:r>
      <w:r w:rsidRPr="005D02F2">
        <w:rPr>
          <w:rFonts w:ascii="Times New Roman" w:hAnsi="Times New Roman" w:cs="Times New Roman"/>
          <w:noProof/>
        </w:rPr>
        <w:t>. 2019;20(6):816-828. doi:10.1111/obr.12841</w:t>
      </w:r>
    </w:p>
    <w:p w14:paraId="6E9D6CF9"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 </w:t>
      </w:r>
      <w:r w:rsidRPr="005D02F2">
        <w:rPr>
          <w:rFonts w:ascii="Times New Roman" w:hAnsi="Times New Roman" w:cs="Times New Roman"/>
          <w:noProof/>
        </w:rPr>
        <w:tab/>
        <w:t xml:space="preserve">Op den Kamp YJM, de Ligt M, Dautzenberg B, et al. Effects of the SGLT2 Inhibitor Dapagliflozin on Energy Metabolism in Patients With Type 2 Diabetes: A Randomized, Double-Blind Crossover Trial. </w:t>
      </w:r>
      <w:r w:rsidRPr="005D02F2">
        <w:rPr>
          <w:rFonts w:ascii="Times New Roman" w:hAnsi="Times New Roman" w:cs="Times New Roman"/>
          <w:i/>
          <w:iCs/>
          <w:noProof/>
        </w:rPr>
        <w:t>Diabetes Care</w:t>
      </w:r>
      <w:r w:rsidRPr="005D02F2">
        <w:rPr>
          <w:rFonts w:ascii="Times New Roman" w:hAnsi="Times New Roman" w:cs="Times New Roman"/>
          <w:noProof/>
        </w:rPr>
        <w:t>. 2021;44(6):1334-1343. doi:10.2337/dc20-2887</w:t>
      </w:r>
    </w:p>
    <w:p w14:paraId="286A83D2"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4. </w:t>
      </w:r>
      <w:r w:rsidRPr="005D02F2">
        <w:rPr>
          <w:rFonts w:ascii="Times New Roman" w:hAnsi="Times New Roman" w:cs="Times New Roman"/>
          <w:noProof/>
        </w:rPr>
        <w:tab/>
        <w:t xml:space="preserve">Busetto L, Bettini S, Makaronidis J, Roberts CA, Halford JCG, Batterham RL. Mechanisms of weight regain. </w:t>
      </w:r>
      <w:r w:rsidRPr="005D02F2">
        <w:rPr>
          <w:rFonts w:ascii="Times New Roman" w:hAnsi="Times New Roman" w:cs="Times New Roman"/>
          <w:i/>
          <w:iCs/>
          <w:noProof/>
        </w:rPr>
        <w:t>Eur J Intern Med</w:t>
      </w:r>
      <w:r w:rsidRPr="005D02F2">
        <w:rPr>
          <w:rFonts w:ascii="Times New Roman" w:hAnsi="Times New Roman" w:cs="Times New Roman"/>
          <w:noProof/>
        </w:rPr>
        <w:t>. 2021;(October 2020). doi:10.1016/j.ejim.2021.01.002</w:t>
      </w:r>
    </w:p>
    <w:p w14:paraId="194FD068"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5. </w:t>
      </w:r>
      <w:r w:rsidRPr="005D02F2">
        <w:rPr>
          <w:rFonts w:ascii="Times New Roman" w:hAnsi="Times New Roman" w:cs="Times New Roman"/>
          <w:noProof/>
        </w:rPr>
        <w:tab/>
        <w:t xml:space="preserve">Rajeev SP, Cuthbertson DJ, Wilding JPH. Energy balance and metabolic changes with sodium-glucose co-transporter 2 inhibition. </w:t>
      </w:r>
      <w:r w:rsidRPr="005D02F2">
        <w:rPr>
          <w:rFonts w:ascii="Times New Roman" w:hAnsi="Times New Roman" w:cs="Times New Roman"/>
          <w:i/>
          <w:iCs/>
          <w:noProof/>
        </w:rPr>
        <w:t>Diabetes Obes Metab</w:t>
      </w:r>
      <w:r w:rsidRPr="005D02F2">
        <w:rPr>
          <w:rFonts w:ascii="Times New Roman" w:hAnsi="Times New Roman" w:cs="Times New Roman"/>
          <w:noProof/>
        </w:rPr>
        <w:t>. 2015:1-10.</w:t>
      </w:r>
    </w:p>
    <w:p w14:paraId="25FAD357"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6. </w:t>
      </w:r>
      <w:r w:rsidRPr="005D02F2">
        <w:rPr>
          <w:rFonts w:ascii="Times New Roman" w:hAnsi="Times New Roman" w:cs="Times New Roman"/>
          <w:noProof/>
        </w:rPr>
        <w:tab/>
        <w:t xml:space="preserve">Ferrannini G, Hach T, Crowe S, Sanghvi A, Hall KD, Ferrannini E. Energy balance after sodium- glucose cotransporter 2 inhibition. </w:t>
      </w:r>
      <w:r w:rsidRPr="005D02F2">
        <w:rPr>
          <w:rFonts w:ascii="Times New Roman" w:hAnsi="Times New Roman" w:cs="Times New Roman"/>
          <w:i/>
          <w:iCs/>
          <w:noProof/>
        </w:rPr>
        <w:t>Diabetes Care</w:t>
      </w:r>
      <w:r w:rsidRPr="005D02F2">
        <w:rPr>
          <w:rFonts w:ascii="Times New Roman" w:hAnsi="Times New Roman" w:cs="Times New Roman"/>
          <w:noProof/>
        </w:rPr>
        <w:t>. 2015;38(9):1730-1735. doi:10.2337/dc15-0355</w:t>
      </w:r>
    </w:p>
    <w:p w14:paraId="228A74DE"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7. </w:t>
      </w:r>
      <w:r w:rsidRPr="005D02F2">
        <w:rPr>
          <w:rFonts w:ascii="Times New Roman" w:hAnsi="Times New Roman" w:cs="Times New Roman"/>
          <w:noProof/>
        </w:rPr>
        <w:tab/>
        <w:t xml:space="preserve">Polidori D, Sanghvi A, Seeley RJ, Hall KD. How Strongly Does Appetite Counter Weight Loss? Quantification of the Feedback Control of Human Energy Intake. </w:t>
      </w:r>
      <w:r w:rsidRPr="005D02F2">
        <w:rPr>
          <w:rFonts w:ascii="Times New Roman" w:hAnsi="Times New Roman" w:cs="Times New Roman"/>
          <w:i/>
          <w:iCs/>
          <w:noProof/>
        </w:rPr>
        <w:t>Obesity</w:t>
      </w:r>
      <w:r w:rsidRPr="005D02F2">
        <w:rPr>
          <w:rFonts w:ascii="Times New Roman" w:hAnsi="Times New Roman" w:cs="Times New Roman"/>
          <w:noProof/>
        </w:rPr>
        <w:t>. 2016;24(11):2289-2295. doi:10.1002/oby.21653</w:t>
      </w:r>
    </w:p>
    <w:p w14:paraId="34B22E55"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8. </w:t>
      </w:r>
      <w:r w:rsidRPr="005D02F2">
        <w:rPr>
          <w:rFonts w:ascii="Times New Roman" w:hAnsi="Times New Roman" w:cs="Times New Roman"/>
          <w:noProof/>
        </w:rPr>
        <w:tab/>
        <w:t xml:space="preserve">Matsuba I, Kanamori A, Takihata M, et al. Canagliflozin Increases Calorie Intake in Type 2 Diabetes Without Changing the Energy Ratio of the Three Macronutrients: CANA-K Study. </w:t>
      </w:r>
      <w:r w:rsidRPr="005D02F2">
        <w:rPr>
          <w:rFonts w:ascii="Times New Roman" w:hAnsi="Times New Roman" w:cs="Times New Roman"/>
          <w:i/>
          <w:iCs/>
          <w:noProof/>
        </w:rPr>
        <w:t>Diabetes Technol Ther</w:t>
      </w:r>
      <w:r w:rsidRPr="005D02F2">
        <w:rPr>
          <w:rFonts w:ascii="Times New Roman" w:hAnsi="Times New Roman" w:cs="Times New Roman"/>
          <w:noProof/>
        </w:rPr>
        <w:t>. 2020;22(3):228-234.</w:t>
      </w:r>
    </w:p>
    <w:p w14:paraId="32A849DF"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9. </w:t>
      </w:r>
      <w:r w:rsidRPr="005D02F2">
        <w:rPr>
          <w:rFonts w:ascii="Times New Roman" w:hAnsi="Times New Roman" w:cs="Times New Roman"/>
          <w:noProof/>
        </w:rPr>
        <w:tab/>
        <w:t xml:space="preserve">Devenny JJ, Godonis HE, Harvey SJ, Rooney S, Cullen MJ, Pelleymounter MA. Weight loss induced by chronic dapagliflozin treatment is attenuated by compensatory hyperphagia in diet-induced obese (DIO) rats. </w:t>
      </w:r>
      <w:r w:rsidRPr="005D02F2">
        <w:rPr>
          <w:rFonts w:ascii="Times New Roman" w:hAnsi="Times New Roman" w:cs="Times New Roman"/>
          <w:i/>
          <w:iCs/>
          <w:noProof/>
        </w:rPr>
        <w:t>Obesity</w:t>
      </w:r>
      <w:r w:rsidRPr="005D02F2">
        <w:rPr>
          <w:rFonts w:ascii="Times New Roman" w:hAnsi="Times New Roman" w:cs="Times New Roman"/>
          <w:noProof/>
        </w:rPr>
        <w:t>. 2012;20(8):1645-1652. doi:10.1038/oby.2012.59</w:t>
      </w:r>
    </w:p>
    <w:p w14:paraId="7D26C56D"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10. </w:t>
      </w:r>
      <w:r w:rsidRPr="005D02F2">
        <w:rPr>
          <w:rFonts w:ascii="Times New Roman" w:hAnsi="Times New Roman" w:cs="Times New Roman"/>
          <w:noProof/>
        </w:rPr>
        <w:tab/>
        <w:t xml:space="preserve">Blundell JE, Gibbons C, Beaulieu K, et al. The drive to eat in homo sapiens: Energy expenditure drives energy intake. </w:t>
      </w:r>
      <w:r w:rsidRPr="005D02F2">
        <w:rPr>
          <w:rFonts w:ascii="Times New Roman" w:hAnsi="Times New Roman" w:cs="Times New Roman"/>
          <w:i/>
          <w:iCs/>
          <w:noProof/>
        </w:rPr>
        <w:t>Physiol Behav</w:t>
      </w:r>
      <w:r w:rsidRPr="005D02F2">
        <w:rPr>
          <w:rFonts w:ascii="Times New Roman" w:hAnsi="Times New Roman" w:cs="Times New Roman"/>
          <w:noProof/>
        </w:rPr>
        <w:t>. 2020;219(February):112846. doi:10.1016/j.physbeh.2020.112846</w:t>
      </w:r>
    </w:p>
    <w:p w14:paraId="5370E97F"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11. </w:t>
      </w:r>
      <w:r w:rsidRPr="005D02F2">
        <w:rPr>
          <w:rFonts w:ascii="Times New Roman" w:hAnsi="Times New Roman" w:cs="Times New Roman"/>
          <w:noProof/>
        </w:rPr>
        <w:tab/>
        <w:t xml:space="preserve">Verdich C, Flint A, Gutzwiller JP, et al. A meta-analysis of the effect of glucagon-like peptide-1 (7-36) amide on Ad Libitum energy intake in humans. </w:t>
      </w:r>
      <w:r w:rsidRPr="005D02F2">
        <w:rPr>
          <w:rFonts w:ascii="Times New Roman" w:hAnsi="Times New Roman" w:cs="Times New Roman"/>
          <w:i/>
          <w:iCs/>
          <w:noProof/>
        </w:rPr>
        <w:t>J Clin Endocrinol Metab</w:t>
      </w:r>
      <w:r w:rsidRPr="005D02F2">
        <w:rPr>
          <w:rFonts w:ascii="Times New Roman" w:hAnsi="Times New Roman" w:cs="Times New Roman"/>
          <w:noProof/>
        </w:rPr>
        <w:t>. 2001;86(9):4382-4389. doi:10.1210/jc.86.9.4382</w:t>
      </w:r>
    </w:p>
    <w:p w14:paraId="2DBA9391"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12. </w:t>
      </w:r>
      <w:r w:rsidRPr="005D02F2">
        <w:rPr>
          <w:rFonts w:ascii="Times New Roman" w:hAnsi="Times New Roman" w:cs="Times New Roman"/>
          <w:noProof/>
        </w:rPr>
        <w:tab/>
        <w:t xml:space="preserve">Batterham R, Bloom S. The gut hormone PYY regulates appetite. </w:t>
      </w:r>
      <w:r w:rsidRPr="005D02F2">
        <w:rPr>
          <w:rFonts w:ascii="Times New Roman" w:hAnsi="Times New Roman" w:cs="Times New Roman"/>
          <w:i/>
          <w:iCs/>
          <w:noProof/>
        </w:rPr>
        <w:t>Ann N Y Acad Sci</w:t>
      </w:r>
      <w:r w:rsidRPr="005D02F2">
        <w:rPr>
          <w:rFonts w:ascii="Times New Roman" w:hAnsi="Times New Roman" w:cs="Times New Roman"/>
          <w:noProof/>
        </w:rPr>
        <w:t>. 2003;994:162-168.</w:t>
      </w:r>
    </w:p>
    <w:p w14:paraId="69BBE0C3"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13. </w:t>
      </w:r>
      <w:r w:rsidRPr="005D02F2">
        <w:rPr>
          <w:rFonts w:ascii="Times New Roman" w:hAnsi="Times New Roman" w:cs="Times New Roman"/>
          <w:noProof/>
        </w:rPr>
        <w:tab/>
        <w:t xml:space="preserve">Drazen DL, Vahl TP, D’Alessio DA, Seeley RJ, Woods SC. Effects of a fixed meal pattern on ghrelin secretion: Evidence for a learned response independent of nutrient status. </w:t>
      </w:r>
      <w:r w:rsidRPr="005D02F2">
        <w:rPr>
          <w:rFonts w:ascii="Times New Roman" w:hAnsi="Times New Roman" w:cs="Times New Roman"/>
          <w:i/>
          <w:iCs/>
          <w:noProof/>
        </w:rPr>
        <w:t>Endocrinology</w:t>
      </w:r>
      <w:r w:rsidRPr="005D02F2">
        <w:rPr>
          <w:rFonts w:ascii="Times New Roman" w:hAnsi="Times New Roman" w:cs="Times New Roman"/>
          <w:noProof/>
        </w:rPr>
        <w:t>. 2006;147(1):23-30. doi:10.1210/en.2005-0973</w:t>
      </w:r>
    </w:p>
    <w:p w14:paraId="67AA96CB"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14. </w:t>
      </w:r>
      <w:r w:rsidRPr="005D02F2">
        <w:rPr>
          <w:rFonts w:ascii="Times New Roman" w:hAnsi="Times New Roman" w:cs="Times New Roman"/>
          <w:noProof/>
        </w:rPr>
        <w:tab/>
        <w:t xml:space="preserve">Wren A, Cohen M, Brynes A, et al. Ghrelin enhances appetite and increases food intake in humans. </w:t>
      </w:r>
      <w:r w:rsidRPr="005D02F2">
        <w:rPr>
          <w:rFonts w:ascii="Times New Roman" w:hAnsi="Times New Roman" w:cs="Times New Roman"/>
          <w:i/>
          <w:iCs/>
          <w:noProof/>
        </w:rPr>
        <w:t>J Clin Endocrinol Metab</w:t>
      </w:r>
      <w:r w:rsidRPr="005D02F2">
        <w:rPr>
          <w:rFonts w:ascii="Times New Roman" w:hAnsi="Times New Roman" w:cs="Times New Roman"/>
          <w:noProof/>
        </w:rPr>
        <w:t>. 2001;86(12):5992-5995.</w:t>
      </w:r>
    </w:p>
    <w:p w14:paraId="1667D08D"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15. </w:t>
      </w:r>
      <w:r w:rsidRPr="005D02F2">
        <w:rPr>
          <w:rFonts w:ascii="Times New Roman" w:hAnsi="Times New Roman" w:cs="Times New Roman"/>
          <w:noProof/>
        </w:rPr>
        <w:tab/>
        <w:t xml:space="preserve">Friedman JM. The function of leptin in nutrition, weight, and physiology. </w:t>
      </w:r>
      <w:r w:rsidRPr="005D02F2">
        <w:rPr>
          <w:rFonts w:ascii="Times New Roman" w:hAnsi="Times New Roman" w:cs="Times New Roman"/>
          <w:i/>
          <w:iCs/>
          <w:noProof/>
        </w:rPr>
        <w:t>Nutr Rev</w:t>
      </w:r>
      <w:r w:rsidRPr="005D02F2">
        <w:rPr>
          <w:rFonts w:ascii="Times New Roman" w:hAnsi="Times New Roman" w:cs="Times New Roman"/>
          <w:noProof/>
        </w:rPr>
        <w:t>. 2002;60(10):1-14.</w:t>
      </w:r>
    </w:p>
    <w:p w14:paraId="27B86CCB"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16. </w:t>
      </w:r>
      <w:r w:rsidRPr="005D02F2">
        <w:rPr>
          <w:rFonts w:ascii="Times New Roman" w:hAnsi="Times New Roman" w:cs="Times New Roman"/>
          <w:noProof/>
        </w:rPr>
        <w:tab/>
        <w:t xml:space="preserve">Woods S, Lotter E, McKay L, Porte D. Chronic intracerebraoventricular infusion of insulin reduces food intake and body weight in baboons. </w:t>
      </w:r>
      <w:r w:rsidRPr="005D02F2">
        <w:rPr>
          <w:rFonts w:ascii="Times New Roman" w:hAnsi="Times New Roman" w:cs="Times New Roman"/>
          <w:i/>
          <w:iCs/>
          <w:noProof/>
        </w:rPr>
        <w:t>Nature</w:t>
      </w:r>
      <w:r w:rsidRPr="005D02F2">
        <w:rPr>
          <w:rFonts w:ascii="Times New Roman" w:hAnsi="Times New Roman" w:cs="Times New Roman"/>
          <w:noProof/>
        </w:rPr>
        <w:t>. 1979;282:503-505.</w:t>
      </w:r>
    </w:p>
    <w:p w14:paraId="69326ABB"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17. </w:t>
      </w:r>
      <w:r w:rsidRPr="005D02F2">
        <w:rPr>
          <w:rFonts w:ascii="Times New Roman" w:hAnsi="Times New Roman" w:cs="Times New Roman"/>
          <w:noProof/>
        </w:rPr>
        <w:tab/>
        <w:t xml:space="preserve">Ferrannini E, Muscelli E, Frascerra S, et al. Metabolic response to sodium-glucose cotransporter 2 inhibition in type 2 diabetic patients. </w:t>
      </w:r>
      <w:r w:rsidRPr="005D02F2">
        <w:rPr>
          <w:rFonts w:ascii="Times New Roman" w:hAnsi="Times New Roman" w:cs="Times New Roman"/>
          <w:i/>
          <w:iCs/>
          <w:noProof/>
        </w:rPr>
        <w:t>J Clin Invest</w:t>
      </w:r>
      <w:r w:rsidRPr="005D02F2">
        <w:rPr>
          <w:rFonts w:ascii="Times New Roman" w:hAnsi="Times New Roman" w:cs="Times New Roman"/>
          <w:noProof/>
        </w:rPr>
        <w:t>. 2014;124(2):499-508. doi:10.1172/JCI72227</w:t>
      </w:r>
    </w:p>
    <w:p w14:paraId="4E35709C"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18. </w:t>
      </w:r>
      <w:r w:rsidRPr="005D02F2">
        <w:rPr>
          <w:rFonts w:ascii="Times New Roman" w:hAnsi="Times New Roman" w:cs="Times New Roman"/>
          <w:noProof/>
        </w:rPr>
        <w:tab/>
        <w:t xml:space="preserve">Wu P, Wen W, Li J, et al. Systematic review and meta-analysis of randomized controlled trials on the effect of SGLT2 Inhibitor on Blood Leptin and Adiponectin Level in Patients with Type 2 Diabetes. </w:t>
      </w:r>
      <w:r w:rsidRPr="005D02F2">
        <w:rPr>
          <w:rFonts w:ascii="Times New Roman" w:hAnsi="Times New Roman" w:cs="Times New Roman"/>
          <w:i/>
          <w:iCs/>
          <w:noProof/>
        </w:rPr>
        <w:t>Horm Metab Res</w:t>
      </w:r>
      <w:r w:rsidRPr="005D02F2">
        <w:rPr>
          <w:rFonts w:ascii="Times New Roman" w:hAnsi="Times New Roman" w:cs="Times New Roman"/>
          <w:noProof/>
        </w:rPr>
        <w:t>. 2019;51(8):487-494. doi:10.1055/a-0958-2441</w:t>
      </w:r>
    </w:p>
    <w:p w14:paraId="732DE0FE"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19. </w:t>
      </w:r>
      <w:r w:rsidRPr="005D02F2">
        <w:rPr>
          <w:rFonts w:ascii="Times New Roman" w:hAnsi="Times New Roman" w:cs="Times New Roman"/>
          <w:noProof/>
        </w:rPr>
        <w:tab/>
        <w:t xml:space="preserve">Martins C, Dutton GR, Hunter GR, Gower BA. Revisiting the Compensatory Theory as an explanatory model for relapse in obesity management. </w:t>
      </w:r>
      <w:r w:rsidRPr="005D02F2">
        <w:rPr>
          <w:rFonts w:ascii="Times New Roman" w:hAnsi="Times New Roman" w:cs="Times New Roman"/>
          <w:i/>
          <w:iCs/>
          <w:noProof/>
        </w:rPr>
        <w:t>Am J Clin Nutr</w:t>
      </w:r>
      <w:r w:rsidRPr="005D02F2">
        <w:rPr>
          <w:rFonts w:ascii="Times New Roman" w:hAnsi="Times New Roman" w:cs="Times New Roman"/>
          <w:noProof/>
        </w:rPr>
        <w:t>. 2020;112(5):1170-1179. doi:10.1093/ajcn/nqaa243</w:t>
      </w:r>
    </w:p>
    <w:p w14:paraId="421D65B0"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20. </w:t>
      </w:r>
      <w:r w:rsidRPr="005D02F2">
        <w:rPr>
          <w:rFonts w:ascii="Times New Roman" w:hAnsi="Times New Roman" w:cs="Times New Roman"/>
          <w:noProof/>
        </w:rPr>
        <w:tab/>
        <w:t xml:space="preserve">Bertran E, Berlie HD, Nixon A, Jaber L. Does Dapagliflozin Affect Energy Intake and Appetite? A Randomized, Controlled Exploratory Study in Healthy Subjects. </w:t>
      </w:r>
      <w:r w:rsidRPr="005D02F2">
        <w:rPr>
          <w:rFonts w:ascii="Times New Roman" w:hAnsi="Times New Roman" w:cs="Times New Roman"/>
          <w:i/>
          <w:iCs/>
          <w:noProof/>
        </w:rPr>
        <w:t>Clin Pharmacol Drug Dev</w:t>
      </w:r>
      <w:r w:rsidRPr="005D02F2">
        <w:rPr>
          <w:rFonts w:ascii="Times New Roman" w:hAnsi="Times New Roman" w:cs="Times New Roman"/>
          <w:noProof/>
        </w:rPr>
        <w:t>. 2019;8(1):119-125. doi:10.1002/cpdd.461</w:t>
      </w:r>
    </w:p>
    <w:p w14:paraId="7CD2DCB0"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21. </w:t>
      </w:r>
      <w:r w:rsidRPr="005D02F2">
        <w:rPr>
          <w:rFonts w:ascii="Times New Roman" w:hAnsi="Times New Roman" w:cs="Times New Roman"/>
          <w:noProof/>
        </w:rPr>
        <w:tab/>
        <w:t xml:space="preserve">Ueno H, Nakazato H, Ebihara E, et al. Effects of Ipragliflozin on Postprandial Glucose Metabolism and Gut Peptides in Type 2 Diabetes: A Pilot Study. </w:t>
      </w:r>
      <w:r w:rsidRPr="005D02F2">
        <w:rPr>
          <w:rFonts w:ascii="Times New Roman" w:hAnsi="Times New Roman" w:cs="Times New Roman"/>
          <w:i/>
          <w:iCs/>
          <w:noProof/>
        </w:rPr>
        <w:t>Diabetes Ther</w:t>
      </w:r>
      <w:r w:rsidRPr="005D02F2">
        <w:rPr>
          <w:rFonts w:ascii="Times New Roman" w:hAnsi="Times New Roman" w:cs="Times New Roman"/>
          <w:noProof/>
        </w:rPr>
        <w:t>. 2018;9(1):403-411. doi:10.1007/s13300-018-0366-8</w:t>
      </w:r>
    </w:p>
    <w:p w14:paraId="40693E47"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22. </w:t>
      </w:r>
      <w:r w:rsidRPr="005D02F2">
        <w:rPr>
          <w:rFonts w:ascii="Times New Roman" w:hAnsi="Times New Roman" w:cs="Times New Roman"/>
          <w:noProof/>
        </w:rPr>
        <w:tab/>
        <w:t xml:space="preserve">Miura H, Sakaguchi K, Okada Y, et al. Effects of ipragliflozin on glycemic control, appetite and its related hormones: A prospective, multicenter, open-label study (SOAR-KOBE Study). </w:t>
      </w:r>
      <w:r w:rsidRPr="005D02F2">
        <w:rPr>
          <w:rFonts w:ascii="Times New Roman" w:hAnsi="Times New Roman" w:cs="Times New Roman"/>
          <w:i/>
          <w:iCs/>
          <w:noProof/>
        </w:rPr>
        <w:t>J Diabetes Investig</w:t>
      </w:r>
      <w:r w:rsidRPr="005D02F2">
        <w:rPr>
          <w:rFonts w:ascii="Times New Roman" w:hAnsi="Times New Roman" w:cs="Times New Roman"/>
          <w:noProof/>
        </w:rPr>
        <w:t>. 2019;10(5):1254-1261. doi:10.1111/jdi.13015</w:t>
      </w:r>
    </w:p>
    <w:p w14:paraId="20870AD4"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23. </w:t>
      </w:r>
      <w:r w:rsidRPr="005D02F2">
        <w:rPr>
          <w:rFonts w:ascii="Times New Roman" w:hAnsi="Times New Roman" w:cs="Times New Roman"/>
          <w:noProof/>
        </w:rPr>
        <w:tab/>
        <w:t xml:space="preserve">Dye L, Blundell J. Menstrual cycle and appetite control: implications for weight regulation. </w:t>
      </w:r>
      <w:r w:rsidRPr="005D02F2">
        <w:rPr>
          <w:rFonts w:ascii="Times New Roman" w:hAnsi="Times New Roman" w:cs="Times New Roman"/>
          <w:i/>
          <w:iCs/>
          <w:noProof/>
        </w:rPr>
        <w:t>Hum Reprod</w:t>
      </w:r>
      <w:r w:rsidRPr="005D02F2">
        <w:rPr>
          <w:rFonts w:ascii="Times New Roman" w:hAnsi="Times New Roman" w:cs="Times New Roman"/>
          <w:noProof/>
        </w:rPr>
        <w:t>. 1997;12(6):1142-1151.</w:t>
      </w:r>
    </w:p>
    <w:p w14:paraId="77B7231B"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24. </w:t>
      </w:r>
      <w:r w:rsidRPr="005D02F2">
        <w:rPr>
          <w:rFonts w:ascii="Times New Roman" w:hAnsi="Times New Roman" w:cs="Times New Roman"/>
          <w:noProof/>
        </w:rPr>
        <w:tab/>
        <w:t xml:space="preserve">Heise T, Seewaldt-Becker E, Macha S, et al. Safety, tolerability, pharmacokinetics and pharmacodynamics following 4 weeks’ treatment with empagliflozin once daily in patients with type 2 diabetes. </w:t>
      </w:r>
      <w:r w:rsidRPr="005D02F2">
        <w:rPr>
          <w:rFonts w:ascii="Times New Roman" w:hAnsi="Times New Roman" w:cs="Times New Roman"/>
          <w:i/>
          <w:iCs/>
          <w:noProof/>
        </w:rPr>
        <w:t>Diabetes, Obes Metab</w:t>
      </w:r>
      <w:r w:rsidRPr="005D02F2">
        <w:rPr>
          <w:rFonts w:ascii="Times New Roman" w:hAnsi="Times New Roman" w:cs="Times New Roman"/>
          <w:noProof/>
        </w:rPr>
        <w:t>. 2013;15(7):613-621.</w:t>
      </w:r>
    </w:p>
    <w:p w14:paraId="47CAB693"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25. </w:t>
      </w:r>
      <w:r w:rsidRPr="005D02F2">
        <w:rPr>
          <w:rFonts w:ascii="Times New Roman" w:hAnsi="Times New Roman" w:cs="Times New Roman"/>
          <w:noProof/>
        </w:rPr>
        <w:tab/>
        <w:t xml:space="preserve">Chandarana K, Drew ME, Emmanuel J, et al. Subject standardization, acclimatization, and sample processing affect gut hormone levels and appetite in humans. </w:t>
      </w:r>
      <w:r w:rsidRPr="005D02F2">
        <w:rPr>
          <w:rFonts w:ascii="Times New Roman" w:hAnsi="Times New Roman" w:cs="Times New Roman"/>
          <w:i/>
          <w:iCs/>
          <w:noProof/>
        </w:rPr>
        <w:t>Gastroenterology</w:t>
      </w:r>
      <w:r w:rsidRPr="005D02F2">
        <w:rPr>
          <w:rFonts w:ascii="Times New Roman" w:hAnsi="Times New Roman" w:cs="Times New Roman"/>
          <w:noProof/>
        </w:rPr>
        <w:t>. 2009;136(7):2115-2126. doi:10.1053/j.gastro.2009.02.047</w:t>
      </w:r>
    </w:p>
    <w:p w14:paraId="46CAF14E"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26. </w:t>
      </w:r>
      <w:r w:rsidRPr="005D02F2">
        <w:rPr>
          <w:rFonts w:ascii="Times New Roman" w:hAnsi="Times New Roman" w:cs="Times New Roman"/>
          <w:noProof/>
        </w:rPr>
        <w:tab/>
        <w:t xml:space="preserve">Flint A, Raben A, Blundell JE, Astrup A. Reproducibility, power and validity of visual analogue scales in assessment of appetite sensations in single test meal studies. </w:t>
      </w:r>
      <w:r w:rsidRPr="005D02F2">
        <w:rPr>
          <w:rFonts w:ascii="Times New Roman" w:hAnsi="Times New Roman" w:cs="Times New Roman"/>
          <w:i/>
          <w:iCs/>
          <w:noProof/>
        </w:rPr>
        <w:t>Int J Obes Relat Metab Disord</w:t>
      </w:r>
      <w:r w:rsidRPr="005D02F2">
        <w:rPr>
          <w:rFonts w:ascii="Times New Roman" w:hAnsi="Times New Roman" w:cs="Times New Roman"/>
          <w:noProof/>
        </w:rPr>
        <w:t>. 2000;24(1):38-48. doi:DOI: 10.1038/sj.ijo.0801083</w:t>
      </w:r>
    </w:p>
    <w:p w14:paraId="7298173F"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27. </w:t>
      </w:r>
      <w:r w:rsidRPr="005D02F2">
        <w:rPr>
          <w:rFonts w:ascii="Times New Roman" w:hAnsi="Times New Roman" w:cs="Times New Roman"/>
          <w:noProof/>
        </w:rPr>
        <w:tab/>
        <w:t xml:space="preserve">Stunkard AJ; Messick S. The three-factor eating questionnaire to measure dietary restraint, disinhibition and hunger. </w:t>
      </w:r>
      <w:r w:rsidRPr="005D02F2">
        <w:rPr>
          <w:rFonts w:ascii="Times New Roman" w:hAnsi="Times New Roman" w:cs="Times New Roman"/>
          <w:i/>
          <w:iCs/>
          <w:noProof/>
        </w:rPr>
        <w:t>J Psychom Res</w:t>
      </w:r>
      <w:r w:rsidRPr="005D02F2">
        <w:rPr>
          <w:rFonts w:ascii="Times New Roman" w:hAnsi="Times New Roman" w:cs="Times New Roman"/>
          <w:noProof/>
        </w:rPr>
        <w:t>. 1985;29(1):71-83.</w:t>
      </w:r>
    </w:p>
    <w:p w14:paraId="4FC0CAE4"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28. </w:t>
      </w:r>
      <w:r w:rsidRPr="005D02F2">
        <w:rPr>
          <w:rFonts w:ascii="Times New Roman" w:hAnsi="Times New Roman" w:cs="Times New Roman"/>
          <w:noProof/>
        </w:rPr>
        <w:tab/>
        <w:t xml:space="preserve">Sargeant JA, Jelleyman C, Coull NA, et al. Improvements in Glycemic Control After Acute Moderate-Intensity Continuous or High-Intensity Interval Exercise Are Greater in South Asians Than White Europeans With Nondiabetic Hyperglycemia: A Randomized Crossover Study. </w:t>
      </w:r>
      <w:r w:rsidRPr="005D02F2">
        <w:rPr>
          <w:rFonts w:ascii="Times New Roman" w:hAnsi="Times New Roman" w:cs="Times New Roman"/>
          <w:i/>
          <w:iCs/>
          <w:noProof/>
        </w:rPr>
        <w:t>Diabetes Care</w:t>
      </w:r>
      <w:r w:rsidRPr="005D02F2">
        <w:rPr>
          <w:rFonts w:ascii="Times New Roman" w:hAnsi="Times New Roman" w:cs="Times New Roman"/>
          <w:noProof/>
        </w:rPr>
        <w:t>. 2021;44(1):201-209. doi:10.2337/dc20-1393</w:t>
      </w:r>
    </w:p>
    <w:p w14:paraId="3234622C"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29. </w:t>
      </w:r>
      <w:r w:rsidRPr="005D02F2">
        <w:rPr>
          <w:rFonts w:ascii="Times New Roman" w:hAnsi="Times New Roman" w:cs="Times New Roman"/>
          <w:noProof/>
        </w:rPr>
        <w:tab/>
        <w:t xml:space="preserve">Yates T, Edwardson CL, Celis-Morales C, et al. Metabolic effects of breaking prolonged sitting with standing or light walking in older south asians and white europeans: A randomized acute study. </w:t>
      </w:r>
      <w:r w:rsidRPr="005D02F2">
        <w:rPr>
          <w:rFonts w:ascii="Times New Roman" w:hAnsi="Times New Roman" w:cs="Times New Roman"/>
          <w:i/>
          <w:iCs/>
          <w:noProof/>
        </w:rPr>
        <w:t>Journals Gerontol - Ser A Biol Sci Med Sci</w:t>
      </w:r>
      <w:r w:rsidRPr="005D02F2">
        <w:rPr>
          <w:rFonts w:ascii="Times New Roman" w:hAnsi="Times New Roman" w:cs="Times New Roman"/>
          <w:noProof/>
        </w:rPr>
        <w:t>. 2020;75(1):139-146. doi:10.1093/gerona/gly252</w:t>
      </w:r>
    </w:p>
    <w:p w14:paraId="1EA7078E"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30. </w:t>
      </w:r>
      <w:r w:rsidRPr="005D02F2">
        <w:rPr>
          <w:rFonts w:ascii="Times New Roman" w:hAnsi="Times New Roman" w:cs="Times New Roman"/>
          <w:noProof/>
        </w:rPr>
        <w:tab/>
        <w:t xml:space="preserve">Broom DR, Batterham RL, King J a, Stensel DJ. Influence of resistance and aerobic exercise on hunger, circulating levels of acylated ghrelin, and peptide YY in healthy males. </w:t>
      </w:r>
      <w:r w:rsidRPr="005D02F2">
        <w:rPr>
          <w:rFonts w:ascii="Times New Roman" w:hAnsi="Times New Roman" w:cs="Times New Roman"/>
          <w:i/>
          <w:iCs/>
          <w:noProof/>
        </w:rPr>
        <w:t>Am J Physiol Regul Integr Comp Physiol</w:t>
      </w:r>
      <w:r w:rsidRPr="005D02F2">
        <w:rPr>
          <w:rFonts w:ascii="Times New Roman" w:hAnsi="Times New Roman" w:cs="Times New Roman"/>
          <w:noProof/>
        </w:rPr>
        <w:t>. 2009;296(1):R29-35. doi:10.1152/ajpregu.90706.2008</w:t>
      </w:r>
    </w:p>
    <w:p w14:paraId="08D996B3"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31. </w:t>
      </w:r>
      <w:r w:rsidRPr="005D02F2">
        <w:rPr>
          <w:rFonts w:ascii="Times New Roman" w:hAnsi="Times New Roman" w:cs="Times New Roman"/>
          <w:noProof/>
        </w:rPr>
        <w:tab/>
        <w:t xml:space="preserve">Ballantyne GH. Peptide YY(1-36) and peptide YY(3-36): Part I. Distribution, release and actions. </w:t>
      </w:r>
      <w:r w:rsidRPr="005D02F2">
        <w:rPr>
          <w:rFonts w:ascii="Times New Roman" w:hAnsi="Times New Roman" w:cs="Times New Roman"/>
          <w:i/>
          <w:iCs/>
          <w:noProof/>
        </w:rPr>
        <w:t>Obes Surg</w:t>
      </w:r>
      <w:r w:rsidRPr="005D02F2">
        <w:rPr>
          <w:rFonts w:ascii="Times New Roman" w:hAnsi="Times New Roman" w:cs="Times New Roman"/>
          <w:noProof/>
        </w:rPr>
        <w:t>. 2006;16(5):651-658. doi:10.1381/096089206776944959</w:t>
      </w:r>
    </w:p>
    <w:p w14:paraId="1E7708C7"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32. </w:t>
      </w:r>
      <w:r w:rsidRPr="005D02F2">
        <w:rPr>
          <w:rFonts w:ascii="Times New Roman" w:hAnsi="Times New Roman" w:cs="Times New Roman"/>
          <w:noProof/>
        </w:rPr>
        <w:tab/>
        <w:t xml:space="preserve">Nauck MA, Meier JJ. Incretin hormones: Their role in health and disease. </w:t>
      </w:r>
      <w:r w:rsidRPr="005D02F2">
        <w:rPr>
          <w:rFonts w:ascii="Times New Roman" w:hAnsi="Times New Roman" w:cs="Times New Roman"/>
          <w:i/>
          <w:iCs/>
          <w:noProof/>
        </w:rPr>
        <w:t>Diabetes, Obes Metab</w:t>
      </w:r>
      <w:r w:rsidRPr="005D02F2">
        <w:rPr>
          <w:rFonts w:ascii="Times New Roman" w:hAnsi="Times New Roman" w:cs="Times New Roman"/>
          <w:noProof/>
        </w:rPr>
        <w:t>. 2018;20(October 2017):5-21. doi:10.1111/dom.13129</w:t>
      </w:r>
    </w:p>
    <w:p w14:paraId="5798732A"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33. </w:t>
      </w:r>
      <w:r w:rsidRPr="005D02F2">
        <w:rPr>
          <w:rFonts w:ascii="Times New Roman" w:hAnsi="Times New Roman" w:cs="Times New Roman"/>
          <w:noProof/>
        </w:rPr>
        <w:tab/>
        <w:t xml:space="preserve">Mihalache L, Gherasim A, Niță O, et al. Effects of ghrelin in energy balance and body weight homeostasis. </w:t>
      </w:r>
      <w:r w:rsidRPr="005D02F2">
        <w:rPr>
          <w:rFonts w:ascii="Times New Roman" w:hAnsi="Times New Roman" w:cs="Times New Roman"/>
          <w:i/>
          <w:iCs/>
          <w:noProof/>
        </w:rPr>
        <w:t>Hormones</w:t>
      </w:r>
      <w:r w:rsidRPr="005D02F2">
        <w:rPr>
          <w:rFonts w:ascii="Times New Roman" w:hAnsi="Times New Roman" w:cs="Times New Roman"/>
          <w:noProof/>
        </w:rPr>
        <w:t>. 2016;15(2):186-196. doi:10.14310/horm.2002.1672</w:t>
      </w:r>
    </w:p>
    <w:p w14:paraId="0E86E6EE"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34. </w:t>
      </w:r>
      <w:r w:rsidRPr="005D02F2">
        <w:rPr>
          <w:rFonts w:ascii="Times New Roman" w:hAnsi="Times New Roman" w:cs="Times New Roman"/>
          <w:noProof/>
        </w:rPr>
        <w:tab/>
        <w:t xml:space="preserve">Sumithran P, Prendergast LA, Delbridge E, et al. Long-term persistence of hormonal adaptations to weight loss. </w:t>
      </w:r>
      <w:r w:rsidRPr="005D02F2">
        <w:rPr>
          <w:rFonts w:ascii="Times New Roman" w:hAnsi="Times New Roman" w:cs="Times New Roman"/>
          <w:i/>
          <w:iCs/>
          <w:noProof/>
        </w:rPr>
        <w:t>N Engl J Med</w:t>
      </w:r>
      <w:r w:rsidRPr="005D02F2">
        <w:rPr>
          <w:rFonts w:ascii="Times New Roman" w:hAnsi="Times New Roman" w:cs="Times New Roman"/>
          <w:noProof/>
        </w:rPr>
        <w:t>. 2011;365(17):1597-1604. doi:10.1056/NEJMoa1105816</w:t>
      </w:r>
    </w:p>
    <w:p w14:paraId="6855F5AD"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35. </w:t>
      </w:r>
      <w:r w:rsidRPr="005D02F2">
        <w:rPr>
          <w:rFonts w:ascii="Times New Roman" w:hAnsi="Times New Roman" w:cs="Times New Roman"/>
          <w:noProof/>
        </w:rPr>
        <w:tab/>
        <w:t xml:space="preserve">le Roux CW, Batterham RL, Aylwin SJB, et al. Attenuated peptide YY release in obese subjects is associated with reduced satiety. </w:t>
      </w:r>
      <w:r w:rsidRPr="005D02F2">
        <w:rPr>
          <w:rFonts w:ascii="Times New Roman" w:hAnsi="Times New Roman" w:cs="Times New Roman"/>
          <w:i/>
          <w:iCs/>
          <w:noProof/>
        </w:rPr>
        <w:t>Endocrinology</w:t>
      </w:r>
      <w:r w:rsidRPr="005D02F2">
        <w:rPr>
          <w:rFonts w:ascii="Times New Roman" w:hAnsi="Times New Roman" w:cs="Times New Roman"/>
          <w:noProof/>
        </w:rPr>
        <w:t>. 2006;147(1):3-8. doi:10.1210/en.2005-0972</w:t>
      </w:r>
    </w:p>
    <w:p w14:paraId="44BED70C"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36. </w:t>
      </w:r>
      <w:r w:rsidRPr="005D02F2">
        <w:rPr>
          <w:rFonts w:ascii="Times New Roman" w:hAnsi="Times New Roman" w:cs="Times New Roman"/>
          <w:noProof/>
        </w:rPr>
        <w:tab/>
        <w:t xml:space="preserve">MacLean PS, Bergouignan A, Cornier MA, Jackman MR. Biology’s response to dieting: The impetus for weight regain. </w:t>
      </w:r>
      <w:r w:rsidRPr="005D02F2">
        <w:rPr>
          <w:rFonts w:ascii="Times New Roman" w:hAnsi="Times New Roman" w:cs="Times New Roman"/>
          <w:i/>
          <w:iCs/>
          <w:noProof/>
        </w:rPr>
        <w:t>Am J Physiol - Regul Integr Comp Physiol</w:t>
      </w:r>
      <w:r w:rsidRPr="005D02F2">
        <w:rPr>
          <w:rFonts w:ascii="Times New Roman" w:hAnsi="Times New Roman" w:cs="Times New Roman"/>
          <w:noProof/>
        </w:rPr>
        <w:t>. 2011;301(3). doi:10.1152/ajpregu.00755.2010</w:t>
      </w:r>
    </w:p>
    <w:p w14:paraId="684CC218"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37. </w:t>
      </w:r>
      <w:r w:rsidRPr="005D02F2">
        <w:rPr>
          <w:rFonts w:ascii="Times New Roman" w:hAnsi="Times New Roman" w:cs="Times New Roman"/>
          <w:noProof/>
        </w:rPr>
        <w:tab/>
        <w:t xml:space="preserve">Niswender KD, Schwartz MW. Insulin and leptin revisited: Adiposity signals with overlapping physiological and intracellular signaling capabilities. </w:t>
      </w:r>
      <w:r w:rsidRPr="005D02F2">
        <w:rPr>
          <w:rFonts w:ascii="Times New Roman" w:hAnsi="Times New Roman" w:cs="Times New Roman"/>
          <w:i/>
          <w:iCs/>
          <w:noProof/>
        </w:rPr>
        <w:t>Front Neuroendocrinol</w:t>
      </w:r>
      <w:r w:rsidRPr="005D02F2">
        <w:rPr>
          <w:rFonts w:ascii="Times New Roman" w:hAnsi="Times New Roman" w:cs="Times New Roman"/>
          <w:noProof/>
        </w:rPr>
        <w:t>. 2003;24(1):1-10. doi:10.1016/S0091-3022(02)00105-X</w:t>
      </w:r>
    </w:p>
    <w:p w14:paraId="63BF11A5"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38. </w:t>
      </w:r>
      <w:r w:rsidRPr="005D02F2">
        <w:rPr>
          <w:rFonts w:ascii="Times New Roman" w:hAnsi="Times New Roman" w:cs="Times New Roman"/>
          <w:noProof/>
        </w:rPr>
        <w:tab/>
        <w:t xml:space="preserve">Rajeev SP, Sprung VS, Roberts C, et al. Compensatory changes in energy balance during dapagliflozin treatment in type 2 diabetes mellitus: A randomised double-blind, placebo-controlled, cross-over trial (ENERGIZE) - Study protocol. </w:t>
      </w:r>
      <w:r w:rsidRPr="005D02F2">
        <w:rPr>
          <w:rFonts w:ascii="Times New Roman" w:hAnsi="Times New Roman" w:cs="Times New Roman"/>
          <w:i/>
          <w:iCs/>
          <w:noProof/>
        </w:rPr>
        <w:t>BMJ Open</w:t>
      </w:r>
      <w:r w:rsidRPr="005D02F2">
        <w:rPr>
          <w:rFonts w:ascii="Times New Roman" w:hAnsi="Times New Roman" w:cs="Times New Roman"/>
          <w:noProof/>
        </w:rPr>
        <w:t>. 2017;7(1):1-9. doi:10.1136/bmjopen-2016-013539</w:t>
      </w:r>
    </w:p>
    <w:p w14:paraId="3414DB9B"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39. </w:t>
      </w:r>
      <w:r w:rsidRPr="005D02F2">
        <w:rPr>
          <w:rFonts w:ascii="Times New Roman" w:hAnsi="Times New Roman" w:cs="Times New Roman"/>
          <w:noProof/>
        </w:rPr>
        <w:tab/>
        <w:t xml:space="preserve">Rajeev SP, Roberts CA, Cuthbertson DJ, et al. Changes in Energy Balance during Dapagliflozin Therapy in Type 2 Diabetes—The Energize Study. </w:t>
      </w:r>
      <w:r w:rsidRPr="005D02F2">
        <w:rPr>
          <w:rFonts w:ascii="Times New Roman" w:hAnsi="Times New Roman" w:cs="Times New Roman"/>
          <w:i/>
          <w:iCs/>
          <w:noProof/>
        </w:rPr>
        <w:t>Diabetes</w:t>
      </w:r>
      <w:r w:rsidRPr="005D02F2">
        <w:rPr>
          <w:rFonts w:ascii="Times New Roman" w:hAnsi="Times New Roman" w:cs="Times New Roman"/>
          <w:noProof/>
        </w:rPr>
        <w:t>. 2018;67(S1):1163-P.</w:t>
      </w:r>
    </w:p>
    <w:p w14:paraId="1F399C08"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40. </w:t>
      </w:r>
      <w:r w:rsidRPr="005D02F2">
        <w:rPr>
          <w:rFonts w:ascii="Times New Roman" w:hAnsi="Times New Roman" w:cs="Times New Roman"/>
          <w:noProof/>
        </w:rPr>
        <w:tab/>
        <w:t xml:space="preserve">Tanaka K, Takahashi H, Katagiri S, et al. Combined effect of canagliflozin and exercise training on high-fat diet-fed mice. </w:t>
      </w:r>
      <w:r w:rsidRPr="005D02F2">
        <w:rPr>
          <w:rFonts w:ascii="Times New Roman" w:hAnsi="Times New Roman" w:cs="Times New Roman"/>
          <w:i/>
          <w:iCs/>
          <w:noProof/>
        </w:rPr>
        <w:t>Am J Physiol - Endocrinol Metab</w:t>
      </w:r>
      <w:r w:rsidRPr="005D02F2">
        <w:rPr>
          <w:rFonts w:ascii="Times New Roman" w:hAnsi="Times New Roman" w:cs="Times New Roman"/>
          <w:noProof/>
        </w:rPr>
        <w:t>. 2020;318(4):E492-E503. doi:10.1152/ajpendo.00401.2019</w:t>
      </w:r>
    </w:p>
    <w:p w14:paraId="0023A6C4" w14:textId="77777777" w:rsidR="005D02F2" w:rsidRPr="005D02F2" w:rsidRDefault="005D02F2" w:rsidP="005D02F2">
      <w:pPr>
        <w:widowControl w:val="0"/>
        <w:autoSpaceDE w:val="0"/>
        <w:autoSpaceDN w:val="0"/>
        <w:adjustRightInd w:val="0"/>
        <w:spacing w:after="120"/>
        <w:ind w:left="640" w:hanging="640"/>
        <w:rPr>
          <w:rFonts w:ascii="Times New Roman" w:hAnsi="Times New Roman" w:cs="Times New Roman"/>
          <w:noProof/>
        </w:rPr>
      </w:pPr>
      <w:r w:rsidRPr="005D02F2">
        <w:rPr>
          <w:rFonts w:ascii="Times New Roman" w:hAnsi="Times New Roman" w:cs="Times New Roman"/>
          <w:noProof/>
        </w:rPr>
        <w:t xml:space="preserve">41. </w:t>
      </w:r>
      <w:r w:rsidRPr="005D02F2">
        <w:rPr>
          <w:rFonts w:ascii="Times New Roman" w:hAnsi="Times New Roman" w:cs="Times New Roman"/>
          <w:noProof/>
        </w:rPr>
        <w:tab/>
        <w:t xml:space="preserve">Rowlands A, Davies M, Dempsey P, Edwardson C, Razieh C, Yates T.  Wrist-worn accelerometers: recommending ~1.0 m g as the minimum clinically important difference (MCID) in daily average acceleration for inactive adults . </w:t>
      </w:r>
      <w:r w:rsidRPr="005D02F2">
        <w:rPr>
          <w:rFonts w:ascii="Times New Roman" w:hAnsi="Times New Roman" w:cs="Times New Roman"/>
          <w:i/>
          <w:iCs/>
          <w:noProof/>
        </w:rPr>
        <w:t>Br J Sports Med</w:t>
      </w:r>
      <w:r w:rsidRPr="005D02F2">
        <w:rPr>
          <w:rFonts w:ascii="Times New Roman" w:hAnsi="Times New Roman" w:cs="Times New Roman"/>
          <w:noProof/>
        </w:rPr>
        <w:t>. 2020;0(0):bjsports-2020-102293. doi:10.1136/bjsports-2020-102293</w:t>
      </w:r>
    </w:p>
    <w:p w14:paraId="2D437A00" w14:textId="49BFE98B" w:rsidR="005E4F39" w:rsidRDefault="003C6C69" w:rsidP="00C328E3">
      <w:pPr>
        <w:widowControl w:val="0"/>
        <w:autoSpaceDE w:val="0"/>
        <w:autoSpaceDN w:val="0"/>
        <w:adjustRightInd w:val="0"/>
        <w:spacing w:after="120"/>
        <w:jc w:val="both"/>
        <w:rPr>
          <w:rFonts w:ascii="Times New Roman" w:hAnsi="Times New Roman" w:cs="Times New Roman"/>
        </w:rPr>
      </w:pPr>
      <w:r>
        <w:rPr>
          <w:rFonts w:ascii="Times New Roman" w:hAnsi="Times New Roman" w:cs="Times New Roman"/>
          <w:b/>
          <w:bCs/>
        </w:rPr>
        <w:fldChar w:fldCharType="end"/>
      </w:r>
    </w:p>
    <w:p w14:paraId="61983609" w14:textId="77777777" w:rsidR="00C328E3" w:rsidRDefault="00C328E3" w:rsidP="00354A17">
      <w:pPr>
        <w:rPr>
          <w:rFonts w:ascii="Times New Roman" w:hAnsi="Times New Roman" w:cs="Times New Roman"/>
          <w:b/>
          <w:bCs/>
        </w:rPr>
        <w:sectPr w:rsidR="00C328E3" w:rsidSect="008F4021">
          <w:pgSz w:w="11900" w:h="16840"/>
          <w:pgMar w:top="1440" w:right="1440" w:bottom="1440" w:left="1440" w:header="708" w:footer="708" w:gutter="0"/>
          <w:cols w:space="708"/>
          <w:docGrid w:linePitch="360"/>
        </w:sectPr>
      </w:pPr>
    </w:p>
    <w:p w14:paraId="1014C916" w14:textId="626F4433" w:rsidR="005E4F39" w:rsidRDefault="005E4F39" w:rsidP="00354A17">
      <w:pPr>
        <w:rPr>
          <w:rFonts w:ascii="Times New Roman" w:hAnsi="Times New Roman" w:cs="Times New Roman"/>
          <w:b/>
          <w:bCs/>
        </w:rPr>
      </w:pPr>
      <w:r w:rsidRPr="005E4F39">
        <w:rPr>
          <w:rFonts w:ascii="Times New Roman" w:hAnsi="Times New Roman" w:cs="Times New Roman"/>
          <w:b/>
          <w:bCs/>
        </w:rPr>
        <w:t>Figure legends</w:t>
      </w:r>
    </w:p>
    <w:p w14:paraId="3ED2C907" w14:textId="7CFDF12F" w:rsidR="005E4F39" w:rsidRDefault="005E4F39" w:rsidP="005E4F39">
      <w:pPr>
        <w:rPr>
          <w:rFonts w:ascii="Times New Roman" w:hAnsi="Times New Roman" w:cs="Times New Roman"/>
          <w:b/>
          <w:bCs/>
        </w:rPr>
      </w:pPr>
    </w:p>
    <w:p w14:paraId="351A8266" w14:textId="3AD6E447" w:rsidR="00213C92" w:rsidRDefault="00213C92" w:rsidP="005E4F39">
      <w:pPr>
        <w:rPr>
          <w:rFonts w:ascii="Times New Roman" w:hAnsi="Times New Roman" w:cs="Times New Roman"/>
          <w:b/>
          <w:bCs/>
        </w:rPr>
      </w:pPr>
      <w:r>
        <w:rPr>
          <w:rFonts w:ascii="Times New Roman" w:hAnsi="Times New Roman" w:cs="Times New Roman"/>
          <w:b/>
          <w:bCs/>
        </w:rPr>
        <w:t xml:space="preserve">Figure 1 – </w:t>
      </w:r>
      <w:r w:rsidR="00313304">
        <w:rPr>
          <w:rFonts w:ascii="Times New Roman" w:hAnsi="Times New Roman" w:cs="Times New Roman"/>
          <w:b/>
          <w:bCs/>
        </w:rPr>
        <w:t xml:space="preserve">Study </w:t>
      </w:r>
      <w:r w:rsidR="00583B6C">
        <w:rPr>
          <w:rFonts w:ascii="Times New Roman" w:hAnsi="Times New Roman" w:cs="Times New Roman"/>
          <w:b/>
          <w:bCs/>
        </w:rPr>
        <w:t>consort diagram</w:t>
      </w:r>
    </w:p>
    <w:p w14:paraId="64EF45C7" w14:textId="77777777" w:rsidR="005E4F39" w:rsidRDefault="005E4F39" w:rsidP="005E4F39">
      <w:pPr>
        <w:rPr>
          <w:rFonts w:ascii="Times New Roman" w:hAnsi="Times New Roman" w:cs="Times New Roman"/>
          <w:b/>
          <w:bCs/>
        </w:rPr>
      </w:pPr>
    </w:p>
    <w:p w14:paraId="0495833A" w14:textId="69C1B012" w:rsidR="006845C7" w:rsidRPr="00142E62" w:rsidRDefault="006845C7" w:rsidP="006845C7">
      <w:pPr>
        <w:spacing w:line="480" w:lineRule="auto"/>
        <w:jc w:val="both"/>
        <w:rPr>
          <w:rFonts w:ascii="Times New Roman" w:hAnsi="Times New Roman" w:cs="Times New Roman"/>
          <w:bCs/>
        </w:rPr>
      </w:pPr>
      <w:r>
        <w:rPr>
          <w:rFonts w:ascii="Times New Roman" w:hAnsi="Times New Roman" w:cs="Times New Roman"/>
          <w:b/>
          <w:bCs/>
        </w:rPr>
        <w:t xml:space="preserve">Figure </w:t>
      </w:r>
      <w:r w:rsidR="00533E4A">
        <w:rPr>
          <w:rFonts w:ascii="Times New Roman" w:hAnsi="Times New Roman" w:cs="Times New Roman"/>
          <w:b/>
          <w:bCs/>
        </w:rPr>
        <w:t>2</w:t>
      </w:r>
      <w:r>
        <w:rPr>
          <w:rFonts w:ascii="Times New Roman" w:hAnsi="Times New Roman" w:cs="Times New Roman"/>
          <w:b/>
          <w:bCs/>
        </w:rPr>
        <w:t xml:space="preserve"> – Difference between experimental groups and placebo-only at each timepoint (open symbols) and across follow-up (filled symbols) in appetite-regulatory gut peptides: (A) postprandial total PYY, (B) postprandial acylated ghrelin, (C) postprandial total GLP-1, and (D) fasting leptin. </w:t>
      </w:r>
      <w:r>
        <w:rPr>
          <w:rFonts w:ascii="Times New Roman" w:hAnsi="Times New Roman" w:cs="Times New Roman"/>
          <w:bCs/>
        </w:rPr>
        <w:t xml:space="preserve">Data are presented as adjusted mean difference (experimental group minus placebo-only) with 95% CI. </w:t>
      </w:r>
      <w:r w:rsidRPr="00D06FFC">
        <w:rPr>
          <w:rFonts w:ascii="Times New Roman" w:hAnsi="Times New Roman" w:cs="Times New Roman"/>
          <w:bCs/>
        </w:rPr>
        <w:t>Postprandial responses were assessed as time-averaged area under the concentration-time curve during the standardi</w:t>
      </w:r>
      <w:r>
        <w:rPr>
          <w:rFonts w:ascii="Times New Roman" w:hAnsi="Times New Roman" w:cs="Times New Roman"/>
          <w:bCs/>
        </w:rPr>
        <w:t>s</w:t>
      </w:r>
      <w:r w:rsidRPr="00D06FFC">
        <w:rPr>
          <w:rFonts w:ascii="Times New Roman" w:hAnsi="Times New Roman" w:cs="Times New Roman"/>
          <w:bCs/>
        </w:rPr>
        <w:t>ed 3-hour mixed meal tolerance test</w:t>
      </w:r>
      <w:r>
        <w:rPr>
          <w:rFonts w:ascii="Times New Roman" w:hAnsi="Times New Roman" w:cs="Times New Roman"/>
          <w:bCs/>
        </w:rPr>
        <w:t>.</w:t>
      </w:r>
      <w:r w:rsidRPr="00D06FFC">
        <w:rPr>
          <w:rFonts w:ascii="Times New Roman" w:hAnsi="Times New Roman" w:cs="Times New Roman"/>
          <w:bCs/>
        </w:rPr>
        <w:t xml:space="preserve"> </w:t>
      </w:r>
      <w:r>
        <w:rPr>
          <w:rFonts w:ascii="Times New Roman" w:hAnsi="Times New Roman" w:cs="Times New Roman"/>
          <w:bCs/>
        </w:rPr>
        <w:t xml:space="preserve">All analyses were </w:t>
      </w:r>
      <w:r>
        <w:rPr>
          <w:rFonts w:ascii="Times New Roman" w:hAnsi="Times New Roman" w:cs="Times New Roman"/>
        </w:rPr>
        <w:t>adjusted for age, BMI (both categorised as per randomi</w:t>
      </w:r>
      <w:r w:rsidR="00533E4A">
        <w:rPr>
          <w:rFonts w:ascii="Times New Roman" w:hAnsi="Times New Roman" w:cs="Times New Roman"/>
        </w:rPr>
        <w:t>s</w:t>
      </w:r>
      <w:r>
        <w:rPr>
          <w:rFonts w:ascii="Times New Roman" w:hAnsi="Times New Roman" w:cs="Times New Roman"/>
        </w:rPr>
        <w:t>ation) and baseline value of the outcome.</w:t>
      </w:r>
      <w:r w:rsidRPr="00142E62">
        <w:rPr>
          <w:rFonts w:ascii="Times New Roman" w:hAnsi="Times New Roman" w:cs="Times New Roman"/>
          <w:bCs/>
        </w:rPr>
        <w:t xml:space="preserve"> *</w:t>
      </w:r>
      <w:r>
        <w:rPr>
          <w:rFonts w:ascii="Times New Roman" w:hAnsi="Times New Roman" w:cs="Times New Roman"/>
          <w:bCs/>
        </w:rPr>
        <w:t xml:space="preserve"> </w:t>
      </w:r>
      <w:r w:rsidRPr="00142E62">
        <w:rPr>
          <w:rFonts w:ascii="Times New Roman" w:hAnsi="Times New Roman" w:cs="Times New Roman"/>
          <w:bCs/>
        </w:rPr>
        <w:t xml:space="preserve">Denotes </w:t>
      </w:r>
      <w:r>
        <w:rPr>
          <w:rFonts w:ascii="Times New Roman" w:hAnsi="Times New Roman" w:cs="Times New Roman"/>
          <w:bCs/>
        </w:rPr>
        <w:t>comparison with placebo-only group was statistically significant after application of Holm’s sequential Bonferroni procedure to account for multiple comparisons. GEE analyses across follow-up can be inferred as the summary intervention effect. Abbreviations: GEE, generalised estimating equations; GLP-1, glucagon-like peptide-1; PYY, peptide YY.</w:t>
      </w:r>
    </w:p>
    <w:p w14:paraId="76D7F82C" w14:textId="77777777" w:rsidR="006845C7" w:rsidRDefault="006845C7" w:rsidP="006845C7">
      <w:pPr>
        <w:spacing w:line="480" w:lineRule="auto"/>
        <w:jc w:val="both"/>
        <w:rPr>
          <w:rFonts w:ascii="Times New Roman" w:hAnsi="Times New Roman" w:cs="Times New Roman"/>
          <w:bCs/>
        </w:rPr>
      </w:pPr>
    </w:p>
    <w:p w14:paraId="5658A15A" w14:textId="78E62DD0" w:rsidR="006845C7" w:rsidRDefault="006845C7" w:rsidP="006845C7">
      <w:pPr>
        <w:spacing w:line="480" w:lineRule="auto"/>
        <w:jc w:val="both"/>
        <w:rPr>
          <w:rFonts w:ascii="Times New Roman" w:hAnsi="Times New Roman" w:cs="Times New Roman"/>
          <w:bCs/>
        </w:rPr>
      </w:pPr>
      <w:r>
        <w:rPr>
          <w:rFonts w:ascii="Times New Roman" w:hAnsi="Times New Roman" w:cs="Times New Roman"/>
          <w:b/>
          <w:bCs/>
        </w:rPr>
        <w:t xml:space="preserve">Figure </w:t>
      </w:r>
      <w:r w:rsidR="00533E4A">
        <w:rPr>
          <w:rFonts w:ascii="Times New Roman" w:hAnsi="Times New Roman" w:cs="Times New Roman"/>
          <w:b/>
          <w:bCs/>
        </w:rPr>
        <w:t>3</w:t>
      </w:r>
      <w:r>
        <w:rPr>
          <w:rFonts w:ascii="Times New Roman" w:hAnsi="Times New Roman" w:cs="Times New Roman"/>
          <w:b/>
          <w:bCs/>
        </w:rPr>
        <w:t xml:space="preserve"> – Difference between experimental groups and placebo-only at each timepoint (open symbols) and across follow-up (filled symbols) in (A) total body weight, (B) resting energy expenditure, (C) daily steps, and (D) HbA1c. </w:t>
      </w:r>
      <w:r>
        <w:rPr>
          <w:rFonts w:ascii="Times New Roman" w:hAnsi="Times New Roman" w:cs="Times New Roman"/>
          <w:bCs/>
        </w:rPr>
        <w:t xml:space="preserve">Data are presented as adjusted mean difference (experimental group minus placebo-only) with 95% CI. All analyses were </w:t>
      </w:r>
      <w:r>
        <w:rPr>
          <w:rFonts w:ascii="Times New Roman" w:hAnsi="Times New Roman" w:cs="Times New Roman"/>
        </w:rPr>
        <w:t>adjusted for age, BMI (both categorised as per randomi</w:t>
      </w:r>
      <w:r w:rsidR="00CE118F">
        <w:rPr>
          <w:rFonts w:ascii="Times New Roman" w:hAnsi="Times New Roman" w:cs="Times New Roman"/>
        </w:rPr>
        <w:t>s</w:t>
      </w:r>
      <w:r>
        <w:rPr>
          <w:rFonts w:ascii="Times New Roman" w:hAnsi="Times New Roman" w:cs="Times New Roman"/>
        </w:rPr>
        <w:t>ation) and baseline value of the outcome, with analyses of daily steps additionally adjusted for accelerometer wear time.</w:t>
      </w:r>
      <w:r w:rsidRPr="00142E62">
        <w:rPr>
          <w:rFonts w:ascii="Times New Roman" w:hAnsi="Times New Roman" w:cs="Times New Roman"/>
          <w:bCs/>
        </w:rPr>
        <w:t xml:space="preserve"> *</w:t>
      </w:r>
      <w:r>
        <w:rPr>
          <w:rFonts w:ascii="Times New Roman" w:hAnsi="Times New Roman" w:cs="Times New Roman"/>
          <w:bCs/>
        </w:rPr>
        <w:t xml:space="preserve"> </w:t>
      </w:r>
      <w:r w:rsidRPr="00142E62">
        <w:rPr>
          <w:rFonts w:ascii="Times New Roman" w:hAnsi="Times New Roman" w:cs="Times New Roman"/>
          <w:bCs/>
        </w:rPr>
        <w:t xml:space="preserve">Denotes </w:t>
      </w:r>
      <w:r>
        <w:rPr>
          <w:rFonts w:ascii="Times New Roman" w:hAnsi="Times New Roman" w:cs="Times New Roman"/>
          <w:bCs/>
        </w:rPr>
        <w:t xml:space="preserve">comparison with placebo-only group was statistically significant after application of Holm’s sequential Bonferroni procedure to account for multiple comparisons. GEE analyses across follow-up can be inferred as the summary intervention effect. </w:t>
      </w:r>
      <w:r>
        <w:rPr>
          <w:rFonts w:ascii="Times New Roman" w:hAnsi="Times New Roman" w:cs="Times New Roman"/>
          <w:bCs/>
          <w:vertAlign w:val="superscript"/>
        </w:rPr>
        <w:t>#</w:t>
      </w:r>
      <w:r>
        <w:rPr>
          <w:rFonts w:ascii="Times New Roman" w:hAnsi="Times New Roman" w:cs="Times New Roman"/>
          <w:bCs/>
          <w:szCs w:val="20"/>
        </w:rPr>
        <w:t>statistical analyses of HbA1c were performed on data in mmol/mol only. Converted values of within-group change and between-group differences in % can be found in Supplementa</w:t>
      </w:r>
      <w:r w:rsidR="00FD31AC">
        <w:rPr>
          <w:rFonts w:ascii="Times New Roman" w:hAnsi="Times New Roman" w:cs="Times New Roman"/>
          <w:bCs/>
          <w:szCs w:val="20"/>
        </w:rPr>
        <w:t>ry</w:t>
      </w:r>
      <w:r>
        <w:rPr>
          <w:rFonts w:ascii="Times New Roman" w:hAnsi="Times New Roman" w:cs="Times New Roman"/>
          <w:bCs/>
          <w:szCs w:val="20"/>
        </w:rPr>
        <w:t xml:space="preserve"> Table 4. </w:t>
      </w:r>
      <w:r>
        <w:rPr>
          <w:rFonts w:ascii="Times New Roman" w:hAnsi="Times New Roman" w:cs="Times New Roman"/>
          <w:bCs/>
        </w:rPr>
        <w:t>Abbreviations: GEE, generalised estimating equations; GLP-1, glucagon-like peptide-1; PYY, peptide YY.</w:t>
      </w:r>
    </w:p>
    <w:p w14:paraId="30B789B7" w14:textId="77777777" w:rsidR="005E4F39" w:rsidRDefault="005E4F39" w:rsidP="005E4F39">
      <w:pPr>
        <w:rPr>
          <w:rFonts w:ascii="Times New Roman" w:hAnsi="Times New Roman" w:cs="Times New Roman"/>
          <w:b/>
          <w:bCs/>
        </w:rPr>
      </w:pPr>
    </w:p>
    <w:p w14:paraId="7F39ECC0" w14:textId="4A54C287" w:rsidR="005E4F39" w:rsidRPr="005E4F39" w:rsidRDefault="005E4F39" w:rsidP="005E4F39">
      <w:pPr>
        <w:rPr>
          <w:rFonts w:ascii="Times New Roman" w:hAnsi="Times New Roman" w:cs="Times New Roman"/>
        </w:rPr>
        <w:sectPr w:rsidR="005E4F39" w:rsidRPr="005E4F39" w:rsidSect="008F4021">
          <w:pgSz w:w="11900" w:h="16840"/>
          <w:pgMar w:top="1440" w:right="1440" w:bottom="1440" w:left="1440" w:header="708" w:footer="708" w:gutter="0"/>
          <w:cols w:space="708"/>
          <w:docGrid w:linePitch="360"/>
        </w:sectPr>
      </w:pPr>
    </w:p>
    <w:p w14:paraId="1A7E3B1A" w14:textId="77777777" w:rsidR="004D6A70" w:rsidRDefault="00E25DF3" w:rsidP="00013C9D">
      <w:pPr>
        <w:spacing w:line="480" w:lineRule="auto"/>
        <w:jc w:val="both"/>
        <w:rPr>
          <w:rFonts w:ascii="Times New Roman" w:hAnsi="Times New Roman" w:cs="Times New Roman"/>
          <w:b/>
          <w:bCs/>
        </w:rPr>
      </w:pPr>
      <w:r>
        <w:rPr>
          <w:rFonts w:ascii="Times New Roman" w:hAnsi="Times New Roman" w:cs="Times New Roman"/>
          <w:b/>
          <w:bCs/>
        </w:rPr>
        <w:t>Tables</w:t>
      </w:r>
    </w:p>
    <w:p w14:paraId="6D1EDBA0" w14:textId="10069BAA" w:rsidR="004D6A70" w:rsidRDefault="004D6A70" w:rsidP="00013C9D">
      <w:pPr>
        <w:spacing w:line="480" w:lineRule="auto"/>
        <w:jc w:val="both"/>
        <w:rPr>
          <w:rFonts w:ascii="Times New Roman" w:hAnsi="Times New Roman" w:cs="Times New Roman"/>
          <w:b/>
          <w:bCs/>
        </w:rPr>
      </w:pPr>
      <w:r>
        <w:rPr>
          <w:rFonts w:ascii="Times New Roman" w:hAnsi="Times New Roman" w:cs="Times New Roman"/>
          <w:b/>
          <w:bCs/>
        </w:rPr>
        <w:t>Table 1 – Participant characteristics at baseline in each group</w:t>
      </w:r>
    </w:p>
    <w:tbl>
      <w:tblPr>
        <w:tblStyle w:val="TableGrid"/>
        <w:tblpPr w:leftFromText="181" w:rightFromText="181" w:vertAnchor="text" w:tblpX="-572" w:tblpY="1"/>
        <w:tblOverlap w:val="never"/>
        <w:tblW w:w="15026" w:type="dxa"/>
        <w:tblLayout w:type="fixed"/>
        <w:tblLook w:val="04A0" w:firstRow="1" w:lastRow="0" w:firstColumn="1" w:lastColumn="0" w:noHBand="0" w:noVBand="1"/>
      </w:tblPr>
      <w:tblGrid>
        <w:gridCol w:w="3828"/>
        <w:gridCol w:w="1984"/>
        <w:gridCol w:w="2303"/>
        <w:gridCol w:w="2304"/>
        <w:gridCol w:w="2303"/>
        <w:gridCol w:w="2304"/>
      </w:tblGrid>
      <w:tr w:rsidR="00EF7EBB" w:rsidRPr="001079F4" w14:paraId="4A422790" w14:textId="77777777" w:rsidTr="00EF7EBB">
        <w:trPr>
          <w:trHeight w:val="300"/>
        </w:trPr>
        <w:tc>
          <w:tcPr>
            <w:tcW w:w="3828" w:type="dxa"/>
            <w:noWrap/>
            <w:hideMark/>
          </w:tcPr>
          <w:p w14:paraId="6F759BDA" w14:textId="77777777" w:rsidR="00EF7EBB" w:rsidRPr="001079F4" w:rsidRDefault="00EF7EBB" w:rsidP="00EF7EBB">
            <w:pPr>
              <w:spacing w:line="23" w:lineRule="atLeast"/>
              <w:ind w:left="175"/>
              <w:jc w:val="center"/>
              <w:rPr>
                <w:rFonts w:ascii="Times New Roman" w:eastAsia="Times New Roman" w:hAnsi="Times New Roman" w:cs="Times New Roman"/>
                <w:b/>
                <w:bCs/>
                <w:sz w:val="22"/>
                <w:szCs w:val="22"/>
                <w:lang w:eastAsia="en-GB"/>
              </w:rPr>
            </w:pPr>
          </w:p>
        </w:tc>
        <w:tc>
          <w:tcPr>
            <w:tcW w:w="1984" w:type="dxa"/>
          </w:tcPr>
          <w:p w14:paraId="0DE8FE99" w14:textId="77777777" w:rsidR="00EF7EBB" w:rsidRPr="001079F4" w:rsidRDefault="00EF7EBB" w:rsidP="00EF7EBB">
            <w:pPr>
              <w:spacing w:line="23" w:lineRule="atLeast"/>
              <w:jc w:val="center"/>
              <w:rPr>
                <w:rFonts w:ascii="Times New Roman" w:eastAsia="Times New Roman" w:hAnsi="Times New Roman" w:cs="Times New Roman"/>
                <w:b/>
                <w:bCs/>
                <w:sz w:val="22"/>
                <w:szCs w:val="22"/>
                <w:lang w:eastAsia="en-GB"/>
              </w:rPr>
            </w:pPr>
          </w:p>
        </w:tc>
        <w:tc>
          <w:tcPr>
            <w:tcW w:w="2303" w:type="dxa"/>
            <w:noWrap/>
            <w:hideMark/>
          </w:tcPr>
          <w:p w14:paraId="3E7BE58F" w14:textId="77777777" w:rsidR="00EF7EBB" w:rsidRPr="001079F4" w:rsidRDefault="00EF7EBB" w:rsidP="00EF7EBB">
            <w:pPr>
              <w:spacing w:line="23" w:lineRule="atLeast"/>
              <w:jc w:val="center"/>
              <w:rPr>
                <w:rFonts w:ascii="Times New Roman" w:eastAsia="Times New Roman" w:hAnsi="Times New Roman" w:cs="Times New Roman"/>
                <w:b/>
                <w:bCs/>
                <w:sz w:val="22"/>
                <w:szCs w:val="22"/>
                <w:lang w:eastAsia="en-GB"/>
              </w:rPr>
            </w:pPr>
            <w:r w:rsidRPr="001079F4">
              <w:rPr>
                <w:rFonts w:ascii="Times New Roman" w:eastAsia="Times New Roman" w:hAnsi="Times New Roman" w:cs="Times New Roman"/>
                <w:b/>
                <w:bCs/>
                <w:sz w:val="22"/>
                <w:szCs w:val="22"/>
                <w:lang w:eastAsia="en-GB"/>
              </w:rPr>
              <w:t xml:space="preserve">Placebo </w:t>
            </w:r>
            <w:r>
              <w:rPr>
                <w:rFonts w:ascii="Times New Roman" w:eastAsia="Times New Roman" w:hAnsi="Times New Roman" w:cs="Times New Roman"/>
                <w:b/>
                <w:bCs/>
                <w:sz w:val="22"/>
                <w:szCs w:val="22"/>
                <w:lang w:eastAsia="en-GB"/>
              </w:rPr>
              <w:t>only</w:t>
            </w:r>
            <w:r w:rsidRPr="001079F4">
              <w:rPr>
                <w:rFonts w:ascii="Times New Roman" w:eastAsia="Times New Roman" w:hAnsi="Times New Roman" w:cs="Times New Roman"/>
                <w:b/>
                <w:bCs/>
                <w:sz w:val="22"/>
                <w:szCs w:val="22"/>
                <w:lang w:eastAsia="en-GB"/>
              </w:rPr>
              <w:br/>
              <w:t>(n=17)</w:t>
            </w:r>
          </w:p>
        </w:tc>
        <w:tc>
          <w:tcPr>
            <w:tcW w:w="2304" w:type="dxa"/>
            <w:noWrap/>
            <w:hideMark/>
          </w:tcPr>
          <w:p w14:paraId="32227EB5" w14:textId="77777777" w:rsidR="00EF7EBB" w:rsidRPr="001079F4" w:rsidRDefault="00EF7EBB" w:rsidP="00EF7EBB">
            <w:pPr>
              <w:spacing w:line="23" w:lineRule="atLeast"/>
              <w:jc w:val="center"/>
              <w:rPr>
                <w:rFonts w:ascii="Times New Roman" w:eastAsia="Times New Roman" w:hAnsi="Times New Roman" w:cs="Times New Roman"/>
                <w:b/>
                <w:bCs/>
                <w:sz w:val="22"/>
                <w:szCs w:val="22"/>
                <w:lang w:eastAsia="en-GB"/>
              </w:rPr>
            </w:pPr>
            <w:r>
              <w:rPr>
                <w:rFonts w:ascii="Times New Roman" w:eastAsia="Times New Roman" w:hAnsi="Times New Roman" w:cs="Times New Roman"/>
                <w:b/>
                <w:bCs/>
                <w:sz w:val="22"/>
                <w:szCs w:val="22"/>
                <w:lang w:eastAsia="en-GB"/>
              </w:rPr>
              <w:t xml:space="preserve">Placebo + </w:t>
            </w:r>
            <w:r w:rsidRPr="001079F4">
              <w:rPr>
                <w:rFonts w:ascii="Times New Roman" w:eastAsia="Times New Roman" w:hAnsi="Times New Roman" w:cs="Times New Roman"/>
                <w:b/>
                <w:bCs/>
                <w:sz w:val="22"/>
                <w:szCs w:val="22"/>
                <w:lang w:eastAsia="en-GB"/>
              </w:rPr>
              <w:t xml:space="preserve">Diet </w:t>
            </w:r>
            <w:r w:rsidRPr="001079F4">
              <w:rPr>
                <w:rFonts w:ascii="Times New Roman" w:eastAsia="Times New Roman" w:hAnsi="Times New Roman" w:cs="Times New Roman"/>
                <w:b/>
                <w:bCs/>
                <w:sz w:val="22"/>
                <w:szCs w:val="22"/>
                <w:lang w:eastAsia="en-GB"/>
              </w:rPr>
              <w:br/>
              <w:t>(n=17)</w:t>
            </w:r>
          </w:p>
        </w:tc>
        <w:tc>
          <w:tcPr>
            <w:tcW w:w="2303" w:type="dxa"/>
            <w:noWrap/>
            <w:hideMark/>
          </w:tcPr>
          <w:p w14:paraId="7063C4D6" w14:textId="77777777" w:rsidR="00EF7EBB" w:rsidRPr="001079F4" w:rsidRDefault="00EF7EBB" w:rsidP="00EF7EBB">
            <w:pPr>
              <w:spacing w:line="23" w:lineRule="atLeast"/>
              <w:jc w:val="center"/>
              <w:rPr>
                <w:rFonts w:ascii="Times New Roman" w:eastAsia="Times New Roman" w:hAnsi="Times New Roman" w:cs="Times New Roman"/>
                <w:b/>
                <w:bCs/>
                <w:sz w:val="22"/>
                <w:szCs w:val="22"/>
                <w:lang w:eastAsia="en-GB"/>
              </w:rPr>
            </w:pPr>
            <w:r w:rsidRPr="001079F4">
              <w:rPr>
                <w:rFonts w:ascii="Times New Roman" w:eastAsia="Times New Roman" w:hAnsi="Times New Roman" w:cs="Times New Roman"/>
                <w:b/>
                <w:bCs/>
                <w:sz w:val="22"/>
                <w:szCs w:val="22"/>
                <w:lang w:eastAsia="en-GB"/>
              </w:rPr>
              <w:t xml:space="preserve">Empagliflozin </w:t>
            </w:r>
            <w:r>
              <w:rPr>
                <w:rFonts w:ascii="Times New Roman" w:eastAsia="Times New Roman" w:hAnsi="Times New Roman" w:cs="Times New Roman"/>
                <w:b/>
                <w:bCs/>
                <w:sz w:val="22"/>
                <w:szCs w:val="22"/>
                <w:lang w:eastAsia="en-GB"/>
              </w:rPr>
              <w:t>only</w:t>
            </w:r>
            <w:r w:rsidRPr="001079F4">
              <w:rPr>
                <w:rFonts w:ascii="Times New Roman" w:eastAsia="Times New Roman" w:hAnsi="Times New Roman" w:cs="Times New Roman"/>
                <w:b/>
                <w:bCs/>
                <w:sz w:val="22"/>
                <w:szCs w:val="22"/>
                <w:lang w:eastAsia="en-GB"/>
              </w:rPr>
              <w:br/>
              <w:t>(n=17)</w:t>
            </w:r>
          </w:p>
        </w:tc>
        <w:tc>
          <w:tcPr>
            <w:tcW w:w="2304" w:type="dxa"/>
            <w:noWrap/>
            <w:hideMark/>
          </w:tcPr>
          <w:p w14:paraId="3E8332D7" w14:textId="77777777" w:rsidR="00EF7EBB" w:rsidRPr="001079F4" w:rsidRDefault="00EF7EBB" w:rsidP="00EF7EBB">
            <w:pPr>
              <w:spacing w:line="23" w:lineRule="atLeast"/>
              <w:jc w:val="center"/>
              <w:rPr>
                <w:rFonts w:ascii="Times New Roman" w:eastAsia="Times New Roman" w:hAnsi="Times New Roman" w:cs="Times New Roman"/>
                <w:b/>
                <w:bCs/>
                <w:sz w:val="22"/>
                <w:szCs w:val="22"/>
                <w:lang w:eastAsia="en-GB"/>
              </w:rPr>
            </w:pPr>
            <w:r w:rsidRPr="001079F4">
              <w:rPr>
                <w:rFonts w:ascii="Times New Roman" w:eastAsia="Times New Roman" w:hAnsi="Times New Roman" w:cs="Times New Roman"/>
                <w:b/>
                <w:bCs/>
                <w:sz w:val="22"/>
                <w:szCs w:val="22"/>
                <w:lang w:eastAsia="en-GB"/>
              </w:rPr>
              <w:t xml:space="preserve">Empagliflozin </w:t>
            </w:r>
            <w:r>
              <w:rPr>
                <w:rFonts w:ascii="Times New Roman" w:eastAsia="Times New Roman" w:hAnsi="Times New Roman" w:cs="Times New Roman"/>
                <w:b/>
                <w:bCs/>
                <w:sz w:val="22"/>
                <w:szCs w:val="22"/>
                <w:lang w:eastAsia="en-GB"/>
              </w:rPr>
              <w:t>+</w:t>
            </w:r>
            <w:r w:rsidRPr="001079F4">
              <w:rPr>
                <w:rFonts w:ascii="Times New Roman" w:eastAsia="Times New Roman" w:hAnsi="Times New Roman" w:cs="Times New Roman"/>
                <w:b/>
                <w:bCs/>
                <w:sz w:val="22"/>
                <w:szCs w:val="22"/>
                <w:lang w:eastAsia="en-GB"/>
              </w:rPr>
              <w:t xml:space="preserve"> Diet (n=17)</w:t>
            </w:r>
          </w:p>
        </w:tc>
      </w:tr>
      <w:tr w:rsidR="00EF7EBB" w:rsidRPr="001079F4" w14:paraId="5C37222A" w14:textId="77777777" w:rsidTr="00EF7EBB">
        <w:trPr>
          <w:trHeight w:val="300"/>
        </w:trPr>
        <w:tc>
          <w:tcPr>
            <w:tcW w:w="3828" w:type="dxa"/>
            <w:noWrap/>
          </w:tcPr>
          <w:p w14:paraId="66F4A7C3"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Sex</w:t>
            </w:r>
          </w:p>
        </w:tc>
        <w:tc>
          <w:tcPr>
            <w:tcW w:w="1984" w:type="dxa"/>
          </w:tcPr>
          <w:p w14:paraId="52D4C59F"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Male</w:t>
            </w:r>
          </w:p>
        </w:tc>
        <w:tc>
          <w:tcPr>
            <w:tcW w:w="2303" w:type="dxa"/>
            <w:noWrap/>
          </w:tcPr>
          <w:p w14:paraId="47AE402D" w14:textId="53C81BAD" w:rsidR="00EF7EBB" w:rsidRPr="001079F4" w:rsidRDefault="00EF7EBB" w:rsidP="00F04B2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 (76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02E0C8E8" w14:textId="650BD752"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 (76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0488157F" w14:textId="2D59C2D3"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8 (47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w:t>
            </w:r>
          </w:p>
        </w:tc>
        <w:tc>
          <w:tcPr>
            <w:tcW w:w="2304" w:type="dxa"/>
            <w:noWrap/>
          </w:tcPr>
          <w:p w14:paraId="73AD58DE" w14:textId="2D8EEE34"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 (58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r>
      <w:tr w:rsidR="00EF7EBB" w:rsidRPr="001079F4" w14:paraId="7EFDFB24" w14:textId="77777777" w:rsidTr="00EF7EBB">
        <w:trPr>
          <w:trHeight w:val="300"/>
        </w:trPr>
        <w:tc>
          <w:tcPr>
            <w:tcW w:w="3828" w:type="dxa"/>
            <w:noWrap/>
          </w:tcPr>
          <w:p w14:paraId="4A269AF8"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p>
        </w:tc>
        <w:tc>
          <w:tcPr>
            <w:tcW w:w="1984" w:type="dxa"/>
          </w:tcPr>
          <w:p w14:paraId="461403A5"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Female</w:t>
            </w:r>
          </w:p>
        </w:tc>
        <w:tc>
          <w:tcPr>
            <w:tcW w:w="2303" w:type="dxa"/>
            <w:noWrap/>
          </w:tcPr>
          <w:p w14:paraId="08DCABD5" w14:textId="5BFB4B9E"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14B8CA85" w14:textId="187373ED"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103E1661" w14:textId="63D24BBB"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 (52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tcPr>
          <w:p w14:paraId="38ED3459" w14:textId="22906CF9"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 (41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r>
      <w:tr w:rsidR="00EF7EBB" w:rsidRPr="001079F4" w14:paraId="672EA411" w14:textId="77777777" w:rsidTr="00EF7EBB">
        <w:trPr>
          <w:trHeight w:val="300"/>
        </w:trPr>
        <w:tc>
          <w:tcPr>
            <w:tcW w:w="3828" w:type="dxa"/>
            <w:noWrap/>
          </w:tcPr>
          <w:p w14:paraId="709898D9"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Ethnicity</w:t>
            </w:r>
          </w:p>
        </w:tc>
        <w:tc>
          <w:tcPr>
            <w:tcW w:w="1984" w:type="dxa"/>
          </w:tcPr>
          <w:p w14:paraId="292CB7F1"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White European</w:t>
            </w:r>
          </w:p>
        </w:tc>
        <w:tc>
          <w:tcPr>
            <w:tcW w:w="2303" w:type="dxa"/>
            <w:noWrap/>
          </w:tcPr>
          <w:p w14:paraId="33995CD0" w14:textId="410558F4"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 (70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tcPr>
          <w:p w14:paraId="1D8A5D40" w14:textId="767D96EF"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 (76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602810E0" w14:textId="63990330"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 (70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tcPr>
          <w:p w14:paraId="7C1C5D27" w14:textId="57A5B28D"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 (70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r>
      <w:tr w:rsidR="00EF7EBB" w:rsidRPr="001079F4" w14:paraId="2458CC96" w14:textId="77777777" w:rsidTr="00EF7EBB">
        <w:trPr>
          <w:trHeight w:val="300"/>
        </w:trPr>
        <w:tc>
          <w:tcPr>
            <w:tcW w:w="3828" w:type="dxa"/>
            <w:noWrap/>
          </w:tcPr>
          <w:p w14:paraId="0359069B"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p>
        </w:tc>
        <w:tc>
          <w:tcPr>
            <w:tcW w:w="1984" w:type="dxa"/>
          </w:tcPr>
          <w:p w14:paraId="095F2767"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South Asian</w:t>
            </w:r>
          </w:p>
        </w:tc>
        <w:tc>
          <w:tcPr>
            <w:tcW w:w="2303" w:type="dxa"/>
            <w:noWrap/>
          </w:tcPr>
          <w:p w14:paraId="22774BA6" w14:textId="776DFCDF"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 (17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w:t>
            </w:r>
          </w:p>
        </w:tc>
        <w:tc>
          <w:tcPr>
            <w:tcW w:w="2304" w:type="dxa"/>
            <w:noWrap/>
          </w:tcPr>
          <w:p w14:paraId="559DDFBE" w14:textId="5CCA58D3"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 (17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w:t>
            </w:r>
          </w:p>
        </w:tc>
        <w:tc>
          <w:tcPr>
            <w:tcW w:w="2303" w:type="dxa"/>
            <w:noWrap/>
          </w:tcPr>
          <w:p w14:paraId="249D5DF5" w14:textId="7C5867A3"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 (17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w:t>
            </w:r>
          </w:p>
        </w:tc>
        <w:tc>
          <w:tcPr>
            <w:tcW w:w="2304" w:type="dxa"/>
            <w:noWrap/>
          </w:tcPr>
          <w:p w14:paraId="442A42FD" w14:textId="43B939A8"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r>
      <w:tr w:rsidR="00EF7EBB" w:rsidRPr="001079F4" w14:paraId="2155FF4F" w14:textId="77777777" w:rsidTr="00EF7EBB">
        <w:trPr>
          <w:trHeight w:val="300"/>
        </w:trPr>
        <w:tc>
          <w:tcPr>
            <w:tcW w:w="3828" w:type="dxa"/>
            <w:noWrap/>
          </w:tcPr>
          <w:p w14:paraId="7DAD66D0"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p>
        </w:tc>
        <w:tc>
          <w:tcPr>
            <w:tcW w:w="1984" w:type="dxa"/>
          </w:tcPr>
          <w:p w14:paraId="004E2EFB"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Other</w:t>
            </w:r>
          </w:p>
        </w:tc>
        <w:tc>
          <w:tcPr>
            <w:tcW w:w="2303" w:type="dxa"/>
            <w:noWrap/>
          </w:tcPr>
          <w:p w14:paraId="526CF892" w14:textId="0ECCD28B"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4" w:type="dxa"/>
            <w:noWrap/>
          </w:tcPr>
          <w:p w14:paraId="3988EB62" w14:textId="72708435"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3" w:type="dxa"/>
            <w:noWrap/>
          </w:tcPr>
          <w:p w14:paraId="54BAD781" w14:textId="7268CC8F"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4" w:type="dxa"/>
            <w:noWrap/>
          </w:tcPr>
          <w:p w14:paraId="1EEA65F4" w14:textId="79906EB4"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r>
      <w:tr w:rsidR="00EF7EBB" w:rsidRPr="001079F4" w14:paraId="60991FB9" w14:textId="77777777" w:rsidTr="00EF7EBB">
        <w:trPr>
          <w:trHeight w:val="300"/>
        </w:trPr>
        <w:tc>
          <w:tcPr>
            <w:tcW w:w="3828" w:type="dxa"/>
            <w:noWrap/>
            <w:hideMark/>
          </w:tcPr>
          <w:p w14:paraId="7B303FFB"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Age (years)</w:t>
            </w:r>
          </w:p>
        </w:tc>
        <w:tc>
          <w:tcPr>
            <w:tcW w:w="1984" w:type="dxa"/>
          </w:tcPr>
          <w:p w14:paraId="05136890"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549F10D6"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63 (56 – 69)</w:t>
            </w:r>
          </w:p>
        </w:tc>
        <w:tc>
          <w:tcPr>
            <w:tcW w:w="2304" w:type="dxa"/>
            <w:noWrap/>
            <w:hideMark/>
          </w:tcPr>
          <w:p w14:paraId="7555C83E"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63 (60 – 69)</w:t>
            </w:r>
          </w:p>
        </w:tc>
        <w:tc>
          <w:tcPr>
            <w:tcW w:w="2303" w:type="dxa"/>
            <w:noWrap/>
            <w:hideMark/>
          </w:tcPr>
          <w:p w14:paraId="76EFDEF1"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61 (57 – 68)</w:t>
            </w:r>
          </w:p>
        </w:tc>
        <w:tc>
          <w:tcPr>
            <w:tcW w:w="2304" w:type="dxa"/>
            <w:noWrap/>
            <w:hideMark/>
          </w:tcPr>
          <w:p w14:paraId="6B48BD75"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65 (55 – 69)</w:t>
            </w:r>
          </w:p>
        </w:tc>
      </w:tr>
      <w:tr w:rsidR="00EF7EBB" w:rsidRPr="001079F4" w14:paraId="0DFF4D7A" w14:textId="77777777" w:rsidTr="00EF7EBB">
        <w:trPr>
          <w:trHeight w:val="300"/>
        </w:trPr>
        <w:tc>
          <w:tcPr>
            <w:tcW w:w="3828" w:type="dxa"/>
            <w:noWrap/>
            <w:hideMark/>
          </w:tcPr>
          <w:p w14:paraId="6D62DD89"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Duration of diabetes (years)</w:t>
            </w:r>
          </w:p>
        </w:tc>
        <w:tc>
          <w:tcPr>
            <w:tcW w:w="1984" w:type="dxa"/>
          </w:tcPr>
          <w:p w14:paraId="04D9CF1A"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32EAD583" w14:textId="2D6B8B45"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4" w:type="dxa"/>
            <w:noWrap/>
            <w:hideMark/>
          </w:tcPr>
          <w:p w14:paraId="760DDDD9" w14:textId="0EAAD590"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hideMark/>
          </w:tcPr>
          <w:p w14:paraId="0D04D72E" w14:textId="3CB40C59"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4" w:type="dxa"/>
            <w:noWrap/>
            <w:hideMark/>
          </w:tcPr>
          <w:p w14:paraId="0DBFB13E" w14:textId="799A3DD6"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 12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r>
      <w:tr w:rsidR="00EF7EBB" w:rsidRPr="001079F4" w14:paraId="7857EF11" w14:textId="77777777" w:rsidTr="00EF7EBB">
        <w:trPr>
          <w:trHeight w:val="315"/>
        </w:trPr>
        <w:tc>
          <w:tcPr>
            <w:tcW w:w="3828" w:type="dxa"/>
            <w:noWrap/>
          </w:tcPr>
          <w:p w14:paraId="164BEC68"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Diabetes management</w:t>
            </w:r>
          </w:p>
        </w:tc>
        <w:tc>
          <w:tcPr>
            <w:tcW w:w="1984" w:type="dxa"/>
          </w:tcPr>
          <w:p w14:paraId="79B91643"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Lifestyle advice only</w:t>
            </w:r>
          </w:p>
        </w:tc>
        <w:tc>
          <w:tcPr>
            <w:tcW w:w="2303" w:type="dxa"/>
            <w:noWrap/>
          </w:tcPr>
          <w:p w14:paraId="4C98094A" w14:textId="04C0C41E"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tcPr>
          <w:p w14:paraId="7FA94CF2" w14:textId="44B1EF9C"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1CF9E3CA" w14:textId="752176DD"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4" w:type="dxa"/>
            <w:noWrap/>
          </w:tcPr>
          <w:p w14:paraId="39A48A3C" w14:textId="078D269C"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r>
      <w:tr w:rsidR="00EF7EBB" w:rsidRPr="001079F4" w14:paraId="2ABB636B" w14:textId="77777777" w:rsidTr="00EF7EBB">
        <w:trPr>
          <w:trHeight w:val="315"/>
        </w:trPr>
        <w:tc>
          <w:tcPr>
            <w:tcW w:w="3828" w:type="dxa"/>
            <w:noWrap/>
          </w:tcPr>
          <w:p w14:paraId="607B661F" w14:textId="77777777" w:rsidR="00EF7EBB" w:rsidRPr="001079F4" w:rsidRDefault="00EF7EBB" w:rsidP="00EF7EBB">
            <w:pPr>
              <w:spacing w:line="23" w:lineRule="atLeast"/>
              <w:ind w:left="175"/>
              <w:rPr>
                <w:rFonts w:ascii="Times New Roman" w:eastAsia="Times New Roman" w:hAnsi="Times New Roman" w:cs="Times New Roman"/>
                <w:sz w:val="22"/>
                <w:szCs w:val="22"/>
                <w:lang w:eastAsia="en-GB"/>
              </w:rPr>
            </w:pPr>
          </w:p>
        </w:tc>
        <w:tc>
          <w:tcPr>
            <w:tcW w:w="1984" w:type="dxa"/>
          </w:tcPr>
          <w:p w14:paraId="79099258" w14:textId="77777777"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Lifestyle advice plus metformin monotherapy</w:t>
            </w:r>
          </w:p>
        </w:tc>
        <w:tc>
          <w:tcPr>
            <w:tcW w:w="2303" w:type="dxa"/>
            <w:noWrap/>
          </w:tcPr>
          <w:p w14:paraId="7F402710" w14:textId="50FDA6D8"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16 (94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w:t>
            </w:r>
          </w:p>
        </w:tc>
        <w:tc>
          <w:tcPr>
            <w:tcW w:w="2304" w:type="dxa"/>
            <w:noWrap/>
          </w:tcPr>
          <w:p w14:paraId="5B277CA2" w14:textId="66A229D3"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 (76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14E53B61" w14:textId="7BF2F6CF"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15 (88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tcPr>
          <w:p w14:paraId="3923BAA0" w14:textId="3CAC8A03" w:rsidR="00EF7EBB" w:rsidRPr="001079F4" w:rsidRDefault="00EF7EBB" w:rsidP="00EF7EBB">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 (70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r>
      <w:tr w:rsidR="00D01028" w:rsidRPr="001079F4" w14:paraId="4C1EF3DA" w14:textId="77777777" w:rsidTr="00EF7EBB">
        <w:trPr>
          <w:trHeight w:val="300"/>
        </w:trPr>
        <w:tc>
          <w:tcPr>
            <w:tcW w:w="3828" w:type="dxa"/>
            <w:noWrap/>
          </w:tcPr>
          <w:p w14:paraId="71E1CACC" w14:textId="7D4CEF4C" w:rsidR="00D01028" w:rsidRPr="001079F4" w:rsidRDefault="00D01028" w:rsidP="00306012">
            <w:pPr>
              <w:spacing w:line="23" w:lineRule="atLeast"/>
              <w:rPr>
                <w:rFonts w:ascii="Times New Roman" w:eastAsia="Times New Roman" w:hAnsi="Times New Roman" w:cs="Times New Roman"/>
                <w:i/>
                <w:iCs/>
                <w:sz w:val="22"/>
                <w:szCs w:val="22"/>
                <w:lang w:eastAsia="en-GB"/>
              </w:rPr>
            </w:pPr>
            <w:r w:rsidRPr="001079F4">
              <w:rPr>
                <w:rFonts w:ascii="Times New Roman" w:eastAsia="Times New Roman" w:hAnsi="Times New Roman" w:cs="Times New Roman"/>
                <w:i/>
                <w:iCs/>
                <w:sz w:val="22"/>
                <w:szCs w:val="22"/>
                <w:lang w:eastAsia="en-GB"/>
              </w:rPr>
              <w:t>Glyc</w:t>
            </w:r>
            <w:r w:rsidR="002B7883">
              <w:rPr>
                <w:rFonts w:ascii="Times New Roman" w:eastAsia="Times New Roman" w:hAnsi="Times New Roman" w:cs="Times New Roman"/>
                <w:i/>
                <w:iCs/>
                <w:sz w:val="22"/>
                <w:szCs w:val="22"/>
                <w:lang w:eastAsia="en-GB"/>
              </w:rPr>
              <w:t>a</w:t>
            </w:r>
            <w:r w:rsidRPr="001079F4">
              <w:rPr>
                <w:rFonts w:ascii="Times New Roman" w:eastAsia="Times New Roman" w:hAnsi="Times New Roman" w:cs="Times New Roman"/>
                <w:i/>
                <w:iCs/>
                <w:sz w:val="22"/>
                <w:szCs w:val="22"/>
                <w:lang w:eastAsia="en-GB"/>
              </w:rPr>
              <w:t>emic control</w:t>
            </w:r>
          </w:p>
        </w:tc>
        <w:tc>
          <w:tcPr>
            <w:tcW w:w="1984" w:type="dxa"/>
          </w:tcPr>
          <w:p w14:paraId="7E2DE685" w14:textId="70CE2C0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41F18A9B" w14:textId="41ABA46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6A5F33BF" w14:textId="61CAF1D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151259D" w14:textId="0BA55C1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011CE236" w14:textId="13324C4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7B9FD8CC" w14:textId="77777777" w:rsidTr="00D01028">
        <w:trPr>
          <w:trHeight w:val="315"/>
        </w:trPr>
        <w:tc>
          <w:tcPr>
            <w:tcW w:w="3828" w:type="dxa"/>
            <w:noWrap/>
            <w:hideMark/>
          </w:tcPr>
          <w:p w14:paraId="5A7DE1EA"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 xml:space="preserve">HbA1c </w:t>
            </w:r>
          </w:p>
        </w:tc>
        <w:tc>
          <w:tcPr>
            <w:tcW w:w="1984" w:type="dxa"/>
          </w:tcPr>
          <w:p w14:paraId="2A50ACA5" w14:textId="484191B3"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w:t>
            </w:r>
          </w:p>
        </w:tc>
        <w:tc>
          <w:tcPr>
            <w:tcW w:w="2303" w:type="dxa"/>
            <w:noWrap/>
          </w:tcPr>
          <w:p w14:paraId="73FBF939" w14:textId="5AB5A69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4" w:type="dxa"/>
            <w:noWrap/>
          </w:tcPr>
          <w:p w14:paraId="24950442" w14:textId="16B0D1B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3" w:type="dxa"/>
            <w:noWrap/>
          </w:tcPr>
          <w:p w14:paraId="03D117E5" w14:textId="1EB534B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w:t>
            </w:r>
          </w:p>
        </w:tc>
        <w:tc>
          <w:tcPr>
            <w:tcW w:w="2304" w:type="dxa"/>
            <w:noWrap/>
          </w:tcPr>
          <w:p w14:paraId="078E5D59" w14:textId="349D926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r>
      <w:tr w:rsidR="00D01028" w:rsidRPr="001079F4" w14:paraId="644CE90C" w14:textId="77777777" w:rsidTr="00D01028">
        <w:trPr>
          <w:trHeight w:val="300"/>
        </w:trPr>
        <w:tc>
          <w:tcPr>
            <w:tcW w:w="3828" w:type="dxa"/>
            <w:noWrap/>
            <w:hideMark/>
          </w:tcPr>
          <w:p w14:paraId="3E4D1687" w14:textId="77777777" w:rsidR="00D01028" w:rsidRPr="001079F4" w:rsidRDefault="00D01028" w:rsidP="00D01028">
            <w:pPr>
              <w:tabs>
                <w:tab w:val="center" w:pos="1607"/>
              </w:tabs>
              <w:spacing w:line="23" w:lineRule="atLeast"/>
              <w:ind w:left="175"/>
              <w:rPr>
                <w:rFonts w:ascii="Times New Roman" w:eastAsia="Times New Roman" w:hAnsi="Times New Roman" w:cs="Times New Roman"/>
                <w:sz w:val="22"/>
                <w:szCs w:val="22"/>
                <w:lang w:eastAsia="en-GB"/>
              </w:rPr>
            </w:pPr>
          </w:p>
        </w:tc>
        <w:tc>
          <w:tcPr>
            <w:tcW w:w="1984" w:type="dxa"/>
          </w:tcPr>
          <w:p w14:paraId="2E65FBCE" w14:textId="303C41B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mmol/mol</w:t>
            </w:r>
          </w:p>
        </w:tc>
        <w:tc>
          <w:tcPr>
            <w:tcW w:w="2303" w:type="dxa"/>
            <w:noWrap/>
          </w:tcPr>
          <w:p w14:paraId="1979E19C" w14:textId="12B21AC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53 (49 – 57)</w:t>
            </w:r>
          </w:p>
        </w:tc>
        <w:tc>
          <w:tcPr>
            <w:tcW w:w="2304" w:type="dxa"/>
            <w:noWrap/>
          </w:tcPr>
          <w:p w14:paraId="73D0D3FE" w14:textId="55B9B2C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52 (48 – 57)</w:t>
            </w:r>
          </w:p>
        </w:tc>
        <w:tc>
          <w:tcPr>
            <w:tcW w:w="2303" w:type="dxa"/>
            <w:noWrap/>
          </w:tcPr>
          <w:p w14:paraId="2D61AB90" w14:textId="500BA95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51 (48 – 54)</w:t>
            </w:r>
          </w:p>
        </w:tc>
        <w:tc>
          <w:tcPr>
            <w:tcW w:w="2304" w:type="dxa"/>
            <w:noWrap/>
          </w:tcPr>
          <w:p w14:paraId="16FF898F" w14:textId="6A6C923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51 (48 – 53)</w:t>
            </w:r>
          </w:p>
        </w:tc>
      </w:tr>
      <w:tr w:rsidR="00D01028" w:rsidRPr="001079F4" w14:paraId="414BABDC" w14:textId="77777777" w:rsidTr="00EF7EBB">
        <w:trPr>
          <w:trHeight w:val="300"/>
        </w:trPr>
        <w:tc>
          <w:tcPr>
            <w:tcW w:w="3828" w:type="dxa"/>
            <w:noWrap/>
          </w:tcPr>
          <w:p w14:paraId="759550BD"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Fasting plasma glucose (mmol/L)</w:t>
            </w:r>
          </w:p>
        </w:tc>
        <w:tc>
          <w:tcPr>
            <w:tcW w:w="1984" w:type="dxa"/>
          </w:tcPr>
          <w:p w14:paraId="7C476BA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AF8DAD3" w14:textId="14453F5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c>
          <w:tcPr>
            <w:tcW w:w="2304" w:type="dxa"/>
            <w:noWrap/>
          </w:tcPr>
          <w:p w14:paraId="17EFBAAE" w14:textId="693E162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tcPr>
          <w:p w14:paraId="62D95982" w14:textId="0DD7BE94"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w:t>
            </w:r>
          </w:p>
        </w:tc>
        <w:tc>
          <w:tcPr>
            <w:tcW w:w="2304" w:type="dxa"/>
            <w:noWrap/>
          </w:tcPr>
          <w:p w14:paraId="474BC830" w14:textId="107F70A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 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r>
      <w:tr w:rsidR="00D01028" w:rsidRPr="001079F4" w14:paraId="10353C0D" w14:textId="77777777" w:rsidTr="00EF7EBB">
        <w:trPr>
          <w:trHeight w:val="300"/>
        </w:trPr>
        <w:tc>
          <w:tcPr>
            <w:tcW w:w="3828" w:type="dxa"/>
            <w:noWrap/>
          </w:tcPr>
          <w:p w14:paraId="0F0CE945"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Fasting plasma insulin (mU/L)</w:t>
            </w:r>
          </w:p>
        </w:tc>
        <w:tc>
          <w:tcPr>
            <w:tcW w:w="1984" w:type="dxa"/>
          </w:tcPr>
          <w:p w14:paraId="7D5DC77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11B92FEB" w14:textId="45C1F36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(10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 21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086FF336" w14:textId="0EBDC194"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(10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c>
          <w:tcPr>
            <w:tcW w:w="2303" w:type="dxa"/>
            <w:noWrap/>
          </w:tcPr>
          <w:p w14:paraId="49D211DE" w14:textId="24E6565C"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 23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4" w:type="dxa"/>
            <w:noWrap/>
          </w:tcPr>
          <w:p w14:paraId="1B0454C8" w14:textId="0F981D9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 (8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16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r>
      <w:tr w:rsidR="00D01028" w:rsidRPr="001079F4" w14:paraId="39E404F8" w14:textId="77777777" w:rsidTr="00EF7EBB">
        <w:trPr>
          <w:trHeight w:val="300"/>
        </w:trPr>
        <w:tc>
          <w:tcPr>
            <w:tcW w:w="3828" w:type="dxa"/>
            <w:noWrap/>
          </w:tcPr>
          <w:p w14:paraId="654D6575" w14:textId="77777777" w:rsidR="00D01028" w:rsidRPr="001079F4" w:rsidRDefault="00D01028" w:rsidP="00D01028">
            <w:pPr>
              <w:spacing w:line="23" w:lineRule="atLeast"/>
              <w:ind w:left="175"/>
              <w:rPr>
                <w:rFonts w:ascii="Times New Roman" w:eastAsia="Times New Roman" w:hAnsi="Times New Roman" w:cs="Times New Roman"/>
                <w:iCs/>
                <w:sz w:val="22"/>
                <w:szCs w:val="22"/>
                <w:lang w:eastAsia="en-GB"/>
              </w:rPr>
            </w:pPr>
            <w:r w:rsidRPr="001079F4">
              <w:rPr>
                <w:rFonts w:ascii="Times New Roman" w:eastAsia="Times New Roman" w:hAnsi="Times New Roman" w:cs="Times New Roman"/>
                <w:iCs/>
                <w:sz w:val="22"/>
                <w:szCs w:val="22"/>
                <w:lang w:eastAsia="en-GB"/>
              </w:rPr>
              <w:t>Fasting plasma glucagon (pg/mL)</w:t>
            </w:r>
          </w:p>
        </w:tc>
        <w:tc>
          <w:tcPr>
            <w:tcW w:w="1984" w:type="dxa"/>
          </w:tcPr>
          <w:p w14:paraId="653A362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053D8C8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62 (49 – 103)</w:t>
            </w:r>
          </w:p>
        </w:tc>
        <w:tc>
          <w:tcPr>
            <w:tcW w:w="2304" w:type="dxa"/>
            <w:noWrap/>
          </w:tcPr>
          <w:p w14:paraId="25440C2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54 (39 – 84)</w:t>
            </w:r>
          </w:p>
        </w:tc>
        <w:tc>
          <w:tcPr>
            <w:tcW w:w="2303" w:type="dxa"/>
            <w:noWrap/>
          </w:tcPr>
          <w:p w14:paraId="3E920A9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58 (33 – 92)</w:t>
            </w:r>
          </w:p>
        </w:tc>
        <w:tc>
          <w:tcPr>
            <w:tcW w:w="2304" w:type="dxa"/>
            <w:noWrap/>
          </w:tcPr>
          <w:p w14:paraId="03ADB42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44 (35 – 76)</w:t>
            </w:r>
          </w:p>
        </w:tc>
      </w:tr>
      <w:tr w:rsidR="00D01028" w:rsidRPr="001079F4" w14:paraId="3204FD27" w14:textId="77777777" w:rsidTr="00EF7EBB">
        <w:trPr>
          <w:trHeight w:val="300"/>
        </w:trPr>
        <w:tc>
          <w:tcPr>
            <w:tcW w:w="3828" w:type="dxa"/>
            <w:noWrap/>
          </w:tcPr>
          <w:p w14:paraId="7B9F73A9" w14:textId="77777777" w:rsidR="00D01028" w:rsidRPr="001079F4" w:rsidRDefault="00D01028" w:rsidP="00D01028">
            <w:pPr>
              <w:spacing w:line="23" w:lineRule="atLeast"/>
              <w:ind w:left="175"/>
              <w:rPr>
                <w:rFonts w:ascii="Times New Roman" w:eastAsia="Times New Roman" w:hAnsi="Times New Roman" w:cs="Times New Roman"/>
                <w:iCs/>
                <w:sz w:val="22"/>
                <w:szCs w:val="22"/>
                <w:lang w:eastAsia="en-GB"/>
              </w:rPr>
            </w:pPr>
            <w:r>
              <w:rPr>
                <w:rFonts w:ascii="Times New Roman" w:eastAsia="Times New Roman" w:hAnsi="Times New Roman" w:cs="Times New Roman"/>
                <w:iCs/>
                <w:sz w:val="22"/>
                <w:szCs w:val="22"/>
                <w:lang w:eastAsia="en-GB"/>
              </w:rPr>
              <w:t>Fasting plasma C-peptide (pg/mL)</w:t>
            </w:r>
          </w:p>
        </w:tc>
        <w:tc>
          <w:tcPr>
            <w:tcW w:w="1984" w:type="dxa"/>
          </w:tcPr>
          <w:p w14:paraId="2F2504D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3A3896D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1750 (1636 – 2248)</w:t>
            </w:r>
          </w:p>
        </w:tc>
        <w:tc>
          <w:tcPr>
            <w:tcW w:w="2304" w:type="dxa"/>
            <w:noWrap/>
          </w:tcPr>
          <w:p w14:paraId="27FF4F9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1689 (1262 – 2471)</w:t>
            </w:r>
          </w:p>
        </w:tc>
        <w:tc>
          <w:tcPr>
            <w:tcW w:w="2303" w:type="dxa"/>
            <w:noWrap/>
          </w:tcPr>
          <w:p w14:paraId="089CD7A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1668 (1279 – 2437)</w:t>
            </w:r>
          </w:p>
        </w:tc>
        <w:tc>
          <w:tcPr>
            <w:tcW w:w="2304" w:type="dxa"/>
            <w:noWrap/>
          </w:tcPr>
          <w:p w14:paraId="040AEBC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1442 (840 – 1676)</w:t>
            </w:r>
          </w:p>
        </w:tc>
      </w:tr>
      <w:tr w:rsidR="00D01028" w:rsidRPr="001079F4" w14:paraId="4D150339" w14:textId="77777777" w:rsidTr="00EF7EBB">
        <w:trPr>
          <w:trHeight w:val="300"/>
        </w:trPr>
        <w:tc>
          <w:tcPr>
            <w:tcW w:w="3828" w:type="dxa"/>
            <w:noWrap/>
          </w:tcPr>
          <w:p w14:paraId="0470874E" w14:textId="77777777" w:rsidR="00D01028" w:rsidRPr="001079F4" w:rsidRDefault="00D01028" w:rsidP="00D01028">
            <w:pPr>
              <w:spacing w:line="23" w:lineRule="atLeast"/>
              <w:rPr>
                <w:rFonts w:ascii="Times New Roman" w:eastAsia="Times New Roman" w:hAnsi="Times New Roman" w:cs="Times New Roman"/>
                <w:i/>
                <w:iCs/>
                <w:sz w:val="22"/>
                <w:szCs w:val="22"/>
                <w:lang w:eastAsia="en-GB"/>
              </w:rPr>
            </w:pPr>
            <w:r w:rsidRPr="001079F4">
              <w:rPr>
                <w:rFonts w:ascii="Times New Roman" w:eastAsia="Times New Roman" w:hAnsi="Times New Roman" w:cs="Times New Roman"/>
                <w:i/>
                <w:iCs/>
                <w:sz w:val="22"/>
                <w:szCs w:val="22"/>
                <w:lang w:eastAsia="en-GB"/>
              </w:rPr>
              <w:t>Anthropometry</w:t>
            </w:r>
            <w:r>
              <w:rPr>
                <w:rFonts w:ascii="Times New Roman" w:eastAsia="Times New Roman" w:hAnsi="Times New Roman" w:cs="Times New Roman"/>
                <w:i/>
                <w:iCs/>
                <w:sz w:val="22"/>
                <w:szCs w:val="22"/>
                <w:lang w:eastAsia="en-GB"/>
              </w:rPr>
              <w:t xml:space="preserve"> and body composition</w:t>
            </w:r>
          </w:p>
        </w:tc>
        <w:tc>
          <w:tcPr>
            <w:tcW w:w="1984" w:type="dxa"/>
          </w:tcPr>
          <w:p w14:paraId="6C036F6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AD5F23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5CB96D7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0A9270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044B053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7633F7CE" w14:textId="77777777" w:rsidTr="00EF7EBB">
        <w:trPr>
          <w:trHeight w:val="300"/>
        </w:trPr>
        <w:tc>
          <w:tcPr>
            <w:tcW w:w="3828" w:type="dxa"/>
            <w:noWrap/>
            <w:hideMark/>
          </w:tcPr>
          <w:p w14:paraId="3A298A88"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Body weight (kg)</w:t>
            </w:r>
          </w:p>
        </w:tc>
        <w:tc>
          <w:tcPr>
            <w:tcW w:w="1984" w:type="dxa"/>
          </w:tcPr>
          <w:p w14:paraId="66B461A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3113A3EE" w14:textId="35B334A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(86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 107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4" w:type="dxa"/>
            <w:noWrap/>
            <w:hideMark/>
          </w:tcPr>
          <w:p w14:paraId="5984ADE3" w14:textId="466FEA9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(77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 110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3" w:type="dxa"/>
            <w:noWrap/>
            <w:hideMark/>
          </w:tcPr>
          <w:p w14:paraId="520FC1CB" w14:textId="026D012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89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(75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 – 96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hideMark/>
          </w:tcPr>
          <w:p w14:paraId="418A6AE7" w14:textId="571F165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(77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 102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r>
      <w:tr w:rsidR="00D01028" w:rsidRPr="001079F4" w14:paraId="704798B9" w14:textId="77777777" w:rsidTr="00EF7EBB">
        <w:trPr>
          <w:trHeight w:val="300"/>
        </w:trPr>
        <w:tc>
          <w:tcPr>
            <w:tcW w:w="3828" w:type="dxa"/>
            <w:noWrap/>
            <w:hideMark/>
          </w:tcPr>
          <w:p w14:paraId="42B69C83"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BMI (kg/m</w:t>
            </w:r>
            <w:r w:rsidRPr="001079F4">
              <w:rPr>
                <w:rFonts w:ascii="Times New Roman" w:eastAsia="Times New Roman" w:hAnsi="Times New Roman" w:cs="Times New Roman"/>
                <w:sz w:val="22"/>
                <w:szCs w:val="22"/>
                <w:vertAlign w:val="superscript"/>
                <w:lang w:eastAsia="en-GB"/>
              </w:rPr>
              <w:t>2</w:t>
            </w:r>
            <w:r w:rsidRPr="001079F4">
              <w:rPr>
                <w:rFonts w:ascii="Times New Roman" w:eastAsia="Times New Roman" w:hAnsi="Times New Roman" w:cs="Times New Roman"/>
                <w:sz w:val="22"/>
                <w:szCs w:val="22"/>
                <w:lang w:eastAsia="en-GB"/>
              </w:rPr>
              <w:t>)</w:t>
            </w:r>
          </w:p>
        </w:tc>
        <w:tc>
          <w:tcPr>
            <w:tcW w:w="1984" w:type="dxa"/>
          </w:tcPr>
          <w:p w14:paraId="729F1F0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5D76871E" w14:textId="59870C1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(30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36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hideMark/>
          </w:tcPr>
          <w:p w14:paraId="272A64A3" w14:textId="3A9F25B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(28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36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3" w:type="dxa"/>
            <w:noWrap/>
            <w:hideMark/>
          </w:tcPr>
          <w:p w14:paraId="206399C8" w14:textId="6B53AC16"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34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hideMark/>
          </w:tcPr>
          <w:p w14:paraId="280F5BF5" w14:textId="1523274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(28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 34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r>
      <w:tr w:rsidR="00D01028" w:rsidRPr="001079F4" w14:paraId="2251A9BE" w14:textId="77777777" w:rsidTr="00EF7EBB">
        <w:trPr>
          <w:trHeight w:val="300"/>
        </w:trPr>
        <w:tc>
          <w:tcPr>
            <w:tcW w:w="3828" w:type="dxa"/>
            <w:noWrap/>
          </w:tcPr>
          <w:p w14:paraId="05BADF6E"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Body fat percentage (%)</w:t>
            </w:r>
          </w:p>
        </w:tc>
        <w:tc>
          <w:tcPr>
            <w:tcW w:w="1984" w:type="dxa"/>
          </w:tcPr>
          <w:p w14:paraId="6D1A39E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22D376E" w14:textId="3976985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(30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36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3BB43407" w14:textId="5EDE9354"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38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3" w:type="dxa"/>
            <w:noWrap/>
          </w:tcPr>
          <w:p w14:paraId="0B3CCBCF" w14:textId="263EAE11"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42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366380D1" w14:textId="10BF2724"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(27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42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r>
      <w:tr w:rsidR="00D01028" w:rsidRPr="001079F4" w14:paraId="3D49D3D7" w14:textId="77777777" w:rsidTr="00EF7EBB">
        <w:trPr>
          <w:trHeight w:val="300"/>
        </w:trPr>
        <w:tc>
          <w:tcPr>
            <w:tcW w:w="3828" w:type="dxa"/>
            <w:noWrap/>
          </w:tcPr>
          <w:p w14:paraId="31E9B35E"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Total fat mass (kg)</w:t>
            </w:r>
          </w:p>
        </w:tc>
        <w:tc>
          <w:tcPr>
            <w:tcW w:w="1984" w:type="dxa"/>
          </w:tcPr>
          <w:p w14:paraId="6D92F2B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397640F4" w14:textId="491C6E5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44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tcPr>
          <w:p w14:paraId="08A6AED4" w14:textId="02226303"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(25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42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3" w:type="dxa"/>
            <w:noWrap/>
          </w:tcPr>
          <w:p w14:paraId="7D8DBADA" w14:textId="4C1A486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(28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 38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tcPr>
          <w:p w14:paraId="4146341B" w14:textId="34AF4E0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(28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39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r>
      <w:tr w:rsidR="00D01028" w:rsidRPr="001079F4" w14:paraId="6F918F61" w14:textId="77777777" w:rsidTr="00EF7EBB">
        <w:trPr>
          <w:trHeight w:val="300"/>
        </w:trPr>
        <w:tc>
          <w:tcPr>
            <w:tcW w:w="3828" w:type="dxa"/>
            <w:noWrap/>
          </w:tcPr>
          <w:p w14:paraId="5450A563"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Total lean body mass (kg)</w:t>
            </w:r>
          </w:p>
        </w:tc>
        <w:tc>
          <w:tcPr>
            <w:tcW w:w="1984" w:type="dxa"/>
          </w:tcPr>
          <w:p w14:paraId="34E5AF5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A84776B" w14:textId="2DB0E51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(51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 62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c>
          <w:tcPr>
            <w:tcW w:w="2304" w:type="dxa"/>
            <w:noWrap/>
          </w:tcPr>
          <w:p w14:paraId="76E62367" w14:textId="219651C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(46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66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c>
          <w:tcPr>
            <w:tcW w:w="2303" w:type="dxa"/>
            <w:noWrap/>
          </w:tcPr>
          <w:p w14:paraId="75E916F5" w14:textId="43C215A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(39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61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tcPr>
          <w:p w14:paraId="0A22AE9E" w14:textId="3D0359C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(44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 58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r>
      <w:tr w:rsidR="00D01028" w:rsidRPr="001079F4" w14:paraId="7D1DA748" w14:textId="77777777" w:rsidTr="00EF7EBB">
        <w:trPr>
          <w:trHeight w:val="300"/>
        </w:trPr>
        <w:tc>
          <w:tcPr>
            <w:tcW w:w="3828" w:type="dxa"/>
            <w:noWrap/>
          </w:tcPr>
          <w:p w14:paraId="3E366DFB"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Total bone mass (kg)</w:t>
            </w:r>
          </w:p>
        </w:tc>
        <w:tc>
          <w:tcPr>
            <w:tcW w:w="1984" w:type="dxa"/>
          </w:tcPr>
          <w:p w14:paraId="492605D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2BA9970" w14:textId="56587CF6"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24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55 –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48)</w:t>
            </w:r>
          </w:p>
        </w:tc>
        <w:tc>
          <w:tcPr>
            <w:tcW w:w="2304" w:type="dxa"/>
            <w:noWrap/>
          </w:tcPr>
          <w:p w14:paraId="5B9D4E74" w14:textId="7DEB858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15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50 –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50)</w:t>
            </w:r>
          </w:p>
        </w:tc>
        <w:tc>
          <w:tcPr>
            <w:tcW w:w="2303" w:type="dxa"/>
            <w:noWrap/>
          </w:tcPr>
          <w:p w14:paraId="3CD7A024" w14:textId="69BDB3D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41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16 –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29)</w:t>
            </w:r>
          </w:p>
        </w:tc>
        <w:tc>
          <w:tcPr>
            <w:tcW w:w="2304" w:type="dxa"/>
            <w:noWrap/>
          </w:tcPr>
          <w:p w14:paraId="3727636A" w14:textId="57F26FE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79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40 –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24)</w:t>
            </w:r>
          </w:p>
        </w:tc>
      </w:tr>
      <w:tr w:rsidR="00D01028" w:rsidRPr="001079F4" w14:paraId="4F66943C" w14:textId="77777777" w:rsidTr="00EF7EBB">
        <w:trPr>
          <w:trHeight w:val="300"/>
        </w:trPr>
        <w:tc>
          <w:tcPr>
            <w:tcW w:w="3828" w:type="dxa"/>
            <w:noWrap/>
          </w:tcPr>
          <w:p w14:paraId="75A763D3"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Total bone mineral density (g/cm</w:t>
            </w:r>
            <w:r w:rsidRPr="001079F4">
              <w:rPr>
                <w:rFonts w:ascii="Times New Roman" w:eastAsia="Times New Roman" w:hAnsi="Times New Roman" w:cs="Times New Roman"/>
                <w:sz w:val="22"/>
                <w:szCs w:val="22"/>
                <w:vertAlign w:val="superscript"/>
                <w:lang w:eastAsia="en-GB"/>
              </w:rPr>
              <w:t>2</w:t>
            </w:r>
            <w:r w:rsidRPr="001079F4">
              <w:rPr>
                <w:rFonts w:ascii="Times New Roman" w:eastAsia="Times New Roman" w:hAnsi="Times New Roman" w:cs="Times New Roman"/>
                <w:sz w:val="22"/>
                <w:szCs w:val="22"/>
                <w:lang w:eastAsia="en-GB"/>
              </w:rPr>
              <w:t>)</w:t>
            </w:r>
          </w:p>
        </w:tc>
        <w:tc>
          <w:tcPr>
            <w:tcW w:w="1984" w:type="dxa"/>
          </w:tcPr>
          <w:p w14:paraId="31AD7A6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73EB3A3" w14:textId="7BE626E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27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21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37)</w:t>
            </w:r>
          </w:p>
        </w:tc>
        <w:tc>
          <w:tcPr>
            <w:tcW w:w="2304" w:type="dxa"/>
            <w:noWrap/>
          </w:tcPr>
          <w:p w14:paraId="6B7E60B5" w14:textId="21398BF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24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11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36)</w:t>
            </w:r>
          </w:p>
        </w:tc>
        <w:tc>
          <w:tcPr>
            <w:tcW w:w="2303" w:type="dxa"/>
            <w:noWrap/>
          </w:tcPr>
          <w:p w14:paraId="6A51008E" w14:textId="78C7717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22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09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31)</w:t>
            </w:r>
          </w:p>
        </w:tc>
        <w:tc>
          <w:tcPr>
            <w:tcW w:w="2304" w:type="dxa"/>
            <w:noWrap/>
          </w:tcPr>
          <w:p w14:paraId="408F2AB7" w14:textId="0FB7E13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19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13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31)</w:t>
            </w:r>
          </w:p>
        </w:tc>
      </w:tr>
      <w:tr w:rsidR="00D01028" w:rsidRPr="001079F4" w14:paraId="6B2710E7" w14:textId="77777777" w:rsidTr="00EF7EBB">
        <w:trPr>
          <w:trHeight w:val="300"/>
        </w:trPr>
        <w:tc>
          <w:tcPr>
            <w:tcW w:w="3828" w:type="dxa"/>
            <w:noWrap/>
            <w:hideMark/>
          </w:tcPr>
          <w:p w14:paraId="2D518EE6"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Waist circumference (cm)</w:t>
            </w:r>
          </w:p>
        </w:tc>
        <w:tc>
          <w:tcPr>
            <w:tcW w:w="1984" w:type="dxa"/>
          </w:tcPr>
          <w:p w14:paraId="2CE3E3E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3DA9C571" w14:textId="72B7F38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113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(10</w:t>
            </w: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r w:rsidRPr="001079F4">
              <w:rPr>
                <w:rFonts w:ascii="Times New Roman" w:eastAsia="Times New Roman" w:hAnsi="Times New Roman" w:cs="Times New Roman"/>
                <w:sz w:val="22"/>
                <w:szCs w:val="22"/>
                <w:lang w:eastAsia="en-GB"/>
              </w:rPr>
              <w:t xml:space="preserve"> – 11</w:t>
            </w:r>
            <w:r>
              <w:rPr>
                <w:rFonts w:ascii="Times New Roman" w:eastAsia="Times New Roman" w:hAnsi="Times New Roman" w:cs="Times New Roman"/>
                <w:sz w:val="22"/>
                <w:szCs w:val="22"/>
                <w:lang w:eastAsia="en-GB"/>
              </w:rPr>
              <w:t>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hideMark/>
          </w:tcPr>
          <w:p w14:paraId="35085B50" w14:textId="2894D4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11</w:t>
            </w:r>
            <w:r>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r w:rsidRPr="001079F4">
              <w:rPr>
                <w:rFonts w:ascii="Times New Roman" w:eastAsia="Times New Roman" w:hAnsi="Times New Roman" w:cs="Times New Roman"/>
                <w:sz w:val="22"/>
                <w:szCs w:val="22"/>
                <w:lang w:eastAsia="en-GB"/>
              </w:rPr>
              <w:t xml:space="preserve"> (</w:t>
            </w:r>
            <w:r>
              <w:rPr>
                <w:rFonts w:ascii="Times New Roman" w:eastAsia="Times New Roman" w:hAnsi="Times New Roman" w:cs="Times New Roman"/>
                <w:sz w:val="22"/>
                <w:szCs w:val="22"/>
                <w:lang w:eastAsia="en-GB"/>
              </w:rPr>
              <w:t>97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1079F4">
              <w:rPr>
                <w:rFonts w:ascii="Times New Roman" w:eastAsia="Times New Roman" w:hAnsi="Times New Roman" w:cs="Times New Roman"/>
                <w:sz w:val="22"/>
                <w:szCs w:val="22"/>
                <w:lang w:eastAsia="en-GB"/>
              </w:rPr>
              <w:t xml:space="preserve"> – 1</w:t>
            </w:r>
            <w:r>
              <w:rPr>
                <w:rFonts w:ascii="Times New Roman" w:eastAsia="Times New Roman" w:hAnsi="Times New Roman" w:cs="Times New Roman"/>
                <w:sz w:val="22"/>
                <w:szCs w:val="22"/>
                <w:lang w:eastAsia="en-GB"/>
              </w:rPr>
              <w:t>20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1079F4">
              <w:rPr>
                <w:rFonts w:ascii="Times New Roman" w:eastAsia="Times New Roman" w:hAnsi="Times New Roman" w:cs="Times New Roman"/>
                <w:sz w:val="22"/>
                <w:szCs w:val="22"/>
                <w:lang w:eastAsia="en-GB"/>
              </w:rPr>
              <w:t>)</w:t>
            </w:r>
          </w:p>
        </w:tc>
        <w:tc>
          <w:tcPr>
            <w:tcW w:w="2303" w:type="dxa"/>
            <w:noWrap/>
            <w:hideMark/>
          </w:tcPr>
          <w:p w14:paraId="1CA3EF0C" w14:textId="244F14B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Pr>
                <w:rFonts w:ascii="Times New Roman" w:eastAsia="Times New Roman" w:hAnsi="Times New Roman" w:cs="Times New Roman"/>
                <w:sz w:val="22"/>
                <w:szCs w:val="22"/>
                <w:lang w:eastAsia="en-GB"/>
              </w:rPr>
              <w:t>10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(101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r w:rsidRPr="001079F4">
              <w:rPr>
                <w:rFonts w:ascii="Times New Roman" w:eastAsia="Times New Roman" w:hAnsi="Times New Roman" w:cs="Times New Roman"/>
                <w:sz w:val="22"/>
                <w:szCs w:val="22"/>
                <w:lang w:eastAsia="en-GB"/>
              </w:rPr>
              <w:t xml:space="preserve"> – 116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r w:rsidRPr="001079F4">
              <w:rPr>
                <w:rFonts w:ascii="Times New Roman" w:eastAsia="Times New Roman" w:hAnsi="Times New Roman" w:cs="Times New Roman"/>
                <w:sz w:val="22"/>
                <w:szCs w:val="22"/>
                <w:lang w:eastAsia="en-GB"/>
              </w:rPr>
              <w:t>)</w:t>
            </w:r>
          </w:p>
        </w:tc>
        <w:tc>
          <w:tcPr>
            <w:tcW w:w="2304" w:type="dxa"/>
            <w:noWrap/>
            <w:hideMark/>
          </w:tcPr>
          <w:p w14:paraId="581650D0" w14:textId="4E9DD08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w:t>
            </w:r>
            <w:r>
              <w:rPr>
                <w:rFonts w:ascii="Times New Roman" w:eastAsia="Times New Roman" w:hAnsi="Times New Roman" w:cs="Times New Roman"/>
                <w:sz w:val="22"/>
                <w:szCs w:val="22"/>
                <w:lang w:eastAsia="en-GB"/>
              </w:rPr>
              <w:t>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1079F4">
              <w:rPr>
                <w:rFonts w:ascii="Times New Roman" w:eastAsia="Times New Roman" w:hAnsi="Times New Roman" w:cs="Times New Roman"/>
                <w:sz w:val="22"/>
                <w:szCs w:val="22"/>
                <w:lang w:eastAsia="en-GB"/>
              </w:rPr>
              <w:t xml:space="preserve"> (9</w:t>
            </w:r>
            <w:r>
              <w:rPr>
                <w:rFonts w:ascii="Times New Roman" w:eastAsia="Times New Roman" w:hAnsi="Times New Roman" w:cs="Times New Roman"/>
                <w:sz w:val="22"/>
                <w:szCs w:val="22"/>
                <w:lang w:eastAsia="en-GB"/>
              </w:rPr>
              <w:t>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1079F4">
              <w:rPr>
                <w:rFonts w:ascii="Times New Roman" w:eastAsia="Times New Roman" w:hAnsi="Times New Roman" w:cs="Times New Roman"/>
                <w:sz w:val="22"/>
                <w:szCs w:val="22"/>
                <w:lang w:eastAsia="en-GB"/>
              </w:rPr>
              <w:t xml:space="preserve"> – 11</w:t>
            </w:r>
            <w:r>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r w:rsidRPr="001079F4">
              <w:rPr>
                <w:rFonts w:ascii="Times New Roman" w:eastAsia="Times New Roman" w:hAnsi="Times New Roman" w:cs="Times New Roman"/>
                <w:sz w:val="22"/>
                <w:szCs w:val="22"/>
                <w:lang w:eastAsia="en-GB"/>
              </w:rPr>
              <w:t>)</w:t>
            </w:r>
          </w:p>
        </w:tc>
      </w:tr>
      <w:tr w:rsidR="00D01028" w:rsidRPr="001079F4" w14:paraId="65F856AF" w14:textId="77777777" w:rsidTr="00EF7EBB">
        <w:trPr>
          <w:trHeight w:val="300"/>
        </w:trPr>
        <w:tc>
          <w:tcPr>
            <w:tcW w:w="3828" w:type="dxa"/>
            <w:noWrap/>
            <w:hideMark/>
          </w:tcPr>
          <w:p w14:paraId="54C069D9"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Hip circumference (cm)</w:t>
            </w:r>
          </w:p>
        </w:tc>
        <w:tc>
          <w:tcPr>
            <w:tcW w:w="1984" w:type="dxa"/>
          </w:tcPr>
          <w:p w14:paraId="74A9947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28B11230" w14:textId="6947CE31"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11</w:t>
            </w: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(10</w:t>
            </w: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118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1079F4">
              <w:rPr>
                <w:rFonts w:ascii="Times New Roman" w:eastAsia="Times New Roman" w:hAnsi="Times New Roman" w:cs="Times New Roman"/>
                <w:sz w:val="22"/>
                <w:szCs w:val="22"/>
                <w:lang w:eastAsia="en-GB"/>
              </w:rPr>
              <w:t>)</w:t>
            </w:r>
          </w:p>
        </w:tc>
        <w:tc>
          <w:tcPr>
            <w:tcW w:w="2304" w:type="dxa"/>
            <w:noWrap/>
            <w:hideMark/>
          </w:tcPr>
          <w:p w14:paraId="2C139295" w14:textId="7B91F6F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Pr>
                <w:rFonts w:ascii="Times New Roman" w:eastAsia="Times New Roman" w:hAnsi="Times New Roman" w:cs="Times New Roman"/>
                <w:sz w:val="22"/>
                <w:szCs w:val="22"/>
                <w:lang w:eastAsia="en-GB"/>
              </w:rPr>
              <w:t>09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r w:rsidRPr="001079F4">
              <w:rPr>
                <w:rFonts w:ascii="Times New Roman" w:eastAsia="Times New Roman" w:hAnsi="Times New Roman" w:cs="Times New Roman"/>
                <w:sz w:val="22"/>
                <w:szCs w:val="22"/>
                <w:lang w:eastAsia="en-GB"/>
              </w:rPr>
              <w:t xml:space="preserve"> (10</w:t>
            </w: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r w:rsidRPr="001079F4">
              <w:rPr>
                <w:rFonts w:ascii="Times New Roman" w:eastAsia="Times New Roman" w:hAnsi="Times New Roman" w:cs="Times New Roman"/>
                <w:sz w:val="22"/>
                <w:szCs w:val="22"/>
                <w:lang w:eastAsia="en-GB"/>
              </w:rPr>
              <w:t xml:space="preserve"> – 11</w:t>
            </w:r>
            <w:r>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r w:rsidRPr="001079F4">
              <w:rPr>
                <w:rFonts w:ascii="Times New Roman" w:eastAsia="Times New Roman" w:hAnsi="Times New Roman" w:cs="Times New Roman"/>
                <w:sz w:val="22"/>
                <w:szCs w:val="22"/>
                <w:lang w:eastAsia="en-GB"/>
              </w:rPr>
              <w:t>)</w:t>
            </w:r>
          </w:p>
        </w:tc>
        <w:tc>
          <w:tcPr>
            <w:tcW w:w="2303" w:type="dxa"/>
            <w:noWrap/>
            <w:hideMark/>
          </w:tcPr>
          <w:p w14:paraId="05EB1B20" w14:textId="53164D9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111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1079F4">
              <w:rPr>
                <w:rFonts w:ascii="Times New Roman" w:eastAsia="Times New Roman" w:hAnsi="Times New Roman" w:cs="Times New Roman"/>
                <w:sz w:val="22"/>
                <w:szCs w:val="22"/>
                <w:lang w:eastAsia="en-GB"/>
              </w:rPr>
              <w:t xml:space="preserve"> (10</w:t>
            </w: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1079F4">
              <w:rPr>
                <w:rFonts w:ascii="Times New Roman" w:eastAsia="Times New Roman" w:hAnsi="Times New Roman" w:cs="Times New Roman"/>
                <w:sz w:val="22"/>
                <w:szCs w:val="22"/>
                <w:lang w:eastAsia="en-GB"/>
              </w:rPr>
              <w:t xml:space="preserve"> – 11</w:t>
            </w:r>
            <w:r>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1079F4">
              <w:rPr>
                <w:rFonts w:ascii="Times New Roman" w:eastAsia="Times New Roman" w:hAnsi="Times New Roman" w:cs="Times New Roman"/>
                <w:sz w:val="22"/>
                <w:szCs w:val="22"/>
                <w:lang w:eastAsia="en-GB"/>
              </w:rPr>
              <w:t>)</w:t>
            </w:r>
          </w:p>
        </w:tc>
        <w:tc>
          <w:tcPr>
            <w:tcW w:w="2304" w:type="dxa"/>
            <w:noWrap/>
            <w:hideMark/>
          </w:tcPr>
          <w:p w14:paraId="277C488F" w14:textId="45608681"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w:t>
            </w:r>
            <w:r>
              <w:rPr>
                <w:rFonts w:ascii="Times New Roman" w:eastAsia="Times New Roman" w:hAnsi="Times New Roman" w:cs="Times New Roman"/>
                <w:sz w:val="22"/>
                <w:szCs w:val="22"/>
                <w:lang w:eastAsia="en-GB"/>
              </w:rPr>
              <w:t>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r w:rsidRPr="001079F4">
              <w:rPr>
                <w:rFonts w:ascii="Times New Roman" w:eastAsia="Times New Roman" w:hAnsi="Times New Roman" w:cs="Times New Roman"/>
                <w:sz w:val="22"/>
                <w:szCs w:val="22"/>
                <w:lang w:eastAsia="en-GB"/>
              </w:rPr>
              <w:t xml:space="preserve"> (102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r w:rsidRPr="001079F4">
              <w:rPr>
                <w:rFonts w:ascii="Times New Roman" w:eastAsia="Times New Roman" w:hAnsi="Times New Roman" w:cs="Times New Roman"/>
                <w:sz w:val="22"/>
                <w:szCs w:val="22"/>
                <w:lang w:eastAsia="en-GB"/>
              </w:rPr>
              <w:t xml:space="preserve"> – 1</w:t>
            </w:r>
            <w:r>
              <w:rPr>
                <w:rFonts w:ascii="Times New Roman" w:eastAsia="Times New Roman" w:hAnsi="Times New Roman" w:cs="Times New Roman"/>
                <w:sz w:val="22"/>
                <w:szCs w:val="22"/>
                <w:lang w:eastAsia="en-GB"/>
              </w:rPr>
              <w:t>19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1079F4">
              <w:rPr>
                <w:rFonts w:ascii="Times New Roman" w:eastAsia="Times New Roman" w:hAnsi="Times New Roman" w:cs="Times New Roman"/>
                <w:sz w:val="22"/>
                <w:szCs w:val="22"/>
                <w:lang w:eastAsia="en-GB"/>
              </w:rPr>
              <w:t>)</w:t>
            </w:r>
          </w:p>
        </w:tc>
      </w:tr>
      <w:tr w:rsidR="00D01028" w:rsidRPr="001079F4" w14:paraId="5BD753BA" w14:textId="77777777" w:rsidTr="00EF7EBB">
        <w:trPr>
          <w:trHeight w:val="300"/>
        </w:trPr>
        <w:tc>
          <w:tcPr>
            <w:tcW w:w="3828" w:type="dxa"/>
            <w:noWrap/>
          </w:tcPr>
          <w:p w14:paraId="03227562" w14:textId="77777777" w:rsidR="00D01028" w:rsidRPr="001079F4" w:rsidRDefault="00D01028" w:rsidP="00D01028">
            <w:pPr>
              <w:spacing w:line="23" w:lineRule="atLeast"/>
              <w:rPr>
                <w:rFonts w:ascii="Times New Roman" w:eastAsia="Times New Roman" w:hAnsi="Times New Roman" w:cs="Times New Roman"/>
                <w:i/>
                <w:iCs/>
                <w:sz w:val="22"/>
                <w:szCs w:val="22"/>
                <w:lang w:eastAsia="en-GB"/>
              </w:rPr>
            </w:pPr>
            <w:r>
              <w:rPr>
                <w:rFonts w:ascii="Times New Roman" w:eastAsia="Times New Roman" w:hAnsi="Times New Roman" w:cs="Times New Roman"/>
                <w:i/>
                <w:iCs/>
                <w:sz w:val="22"/>
                <w:szCs w:val="22"/>
                <w:lang w:eastAsia="en-GB"/>
              </w:rPr>
              <w:t>Energy balance and habitual physical activity</w:t>
            </w:r>
          </w:p>
        </w:tc>
        <w:tc>
          <w:tcPr>
            <w:tcW w:w="1984" w:type="dxa"/>
          </w:tcPr>
          <w:p w14:paraId="5BFDE31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35FE469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76E81B0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4160B5A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36259BD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649BAE7E" w14:textId="77777777" w:rsidTr="00EF7EBB">
        <w:trPr>
          <w:trHeight w:val="300"/>
        </w:trPr>
        <w:tc>
          <w:tcPr>
            <w:tcW w:w="3828" w:type="dxa"/>
            <w:noWrap/>
          </w:tcPr>
          <w:p w14:paraId="6EB3E640"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Daily energy intake (kcal/day)</w:t>
            </w:r>
          </w:p>
        </w:tc>
        <w:tc>
          <w:tcPr>
            <w:tcW w:w="1984" w:type="dxa"/>
          </w:tcPr>
          <w:p w14:paraId="069523B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28887C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1769 (1573 – 2170)</w:t>
            </w:r>
          </w:p>
        </w:tc>
        <w:tc>
          <w:tcPr>
            <w:tcW w:w="2304" w:type="dxa"/>
            <w:noWrap/>
          </w:tcPr>
          <w:p w14:paraId="6ACE157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1674 (1249 – 1897)</w:t>
            </w:r>
          </w:p>
        </w:tc>
        <w:tc>
          <w:tcPr>
            <w:tcW w:w="2303" w:type="dxa"/>
            <w:noWrap/>
          </w:tcPr>
          <w:p w14:paraId="7F1A623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1698 (1335 – 2139)</w:t>
            </w:r>
          </w:p>
        </w:tc>
        <w:tc>
          <w:tcPr>
            <w:tcW w:w="2304" w:type="dxa"/>
            <w:noWrap/>
          </w:tcPr>
          <w:p w14:paraId="323634F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1513 (1177 – 1742)</w:t>
            </w:r>
          </w:p>
        </w:tc>
      </w:tr>
      <w:tr w:rsidR="00D01028" w:rsidRPr="001079F4" w14:paraId="2D949BA4" w14:textId="77777777" w:rsidTr="00EF7EBB">
        <w:trPr>
          <w:trHeight w:val="300"/>
        </w:trPr>
        <w:tc>
          <w:tcPr>
            <w:tcW w:w="3828" w:type="dxa"/>
            <w:noWrap/>
          </w:tcPr>
          <w:p w14:paraId="4381F6C8"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Resting energy expenditure (kcal/day)</w:t>
            </w:r>
          </w:p>
        </w:tc>
        <w:tc>
          <w:tcPr>
            <w:tcW w:w="1984" w:type="dxa"/>
          </w:tcPr>
          <w:p w14:paraId="6BE53CC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459B49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1566 (1213 – 1854)</w:t>
            </w:r>
          </w:p>
        </w:tc>
        <w:tc>
          <w:tcPr>
            <w:tcW w:w="2304" w:type="dxa"/>
            <w:noWrap/>
          </w:tcPr>
          <w:p w14:paraId="107239C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1486 (1282 – 1930)</w:t>
            </w:r>
          </w:p>
        </w:tc>
        <w:tc>
          <w:tcPr>
            <w:tcW w:w="2303" w:type="dxa"/>
            <w:noWrap/>
          </w:tcPr>
          <w:p w14:paraId="0920871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1466 (1152 – 1568)</w:t>
            </w:r>
          </w:p>
        </w:tc>
        <w:tc>
          <w:tcPr>
            <w:tcW w:w="2304" w:type="dxa"/>
            <w:noWrap/>
          </w:tcPr>
          <w:p w14:paraId="3FEACBA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1431 (1302 – 1623)</w:t>
            </w:r>
          </w:p>
        </w:tc>
      </w:tr>
      <w:tr w:rsidR="00D01028" w:rsidRPr="001079F4" w14:paraId="5D515F50" w14:textId="77777777" w:rsidTr="00EF7EBB">
        <w:trPr>
          <w:trHeight w:val="300"/>
        </w:trPr>
        <w:tc>
          <w:tcPr>
            <w:tcW w:w="3828" w:type="dxa"/>
            <w:noWrap/>
          </w:tcPr>
          <w:p w14:paraId="3923BCB8"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Steps (number</w:t>
            </w:r>
            <w:r>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day)</w:t>
            </w:r>
          </w:p>
        </w:tc>
        <w:tc>
          <w:tcPr>
            <w:tcW w:w="1984" w:type="dxa"/>
          </w:tcPr>
          <w:p w14:paraId="2B0BA60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78ED237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5126 (3640 – 7198)</w:t>
            </w:r>
          </w:p>
        </w:tc>
        <w:tc>
          <w:tcPr>
            <w:tcW w:w="2304" w:type="dxa"/>
            <w:noWrap/>
          </w:tcPr>
          <w:p w14:paraId="3C75C28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4747 (3611 – 7261)</w:t>
            </w:r>
          </w:p>
        </w:tc>
        <w:tc>
          <w:tcPr>
            <w:tcW w:w="2303" w:type="dxa"/>
            <w:noWrap/>
          </w:tcPr>
          <w:p w14:paraId="0CB38C8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5077 (4494 – 7912)</w:t>
            </w:r>
          </w:p>
        </w:tc>
        <w:tc>
          <w:tcPr>
            <w:tcW w:w="2304" w:type="dxa"/>
            <w:noWrap/>
          </w:tcPr>
          <w:p w14:paraId="5F2303B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5170 (3769 – 8533)</w:t>
            </w:r>
          </w:p>
        </w:tc>
      </w:tr>
      <w:tr w:rsidR="00D01028" w:rsidRPr="001079F4" w14:paraId="3DEA41D0" w14:textId="77777777" w:rsidTr="00EF7EBB">
        <w:trPr>
          <w:trHeight w:val="300"/>
        </w:trPr>
        <w:tc>
          <w:tcPr>
            <w:tcW w:w="3828" w:type="dxa"/>
            <w:noWrap/>
          </w:tcPr>
          <w:p w14:paraId="15C25AE1"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Sedentary time (min/day)</w:t>
            </w:r>
          </w:p>
        </w:tc>
        <w:tc>
          <w:tcPr>
            <w:tcW w:w="1984" w:type="dxa"/>
          </w:tcPr>
          <w:p w14:paraId="5C2522E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17B90ED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611 (524 – 650)</w:t>
            </w:r>
          </w:p>
        </w:tc>
        <w:tc>
          <w:tcPr>
            <w:tcW w:w="2304" w:type="dxa"/>
            <w:noWrap/>
          </w:tcPr>
          <w:p w14:paraId="317A87C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581 (556 – 658)</w:t>
            </w:r>
          </w:p>
        </w:tc>
        <w:tc>
          <w:tcPr>
            <w:tcW w:w="2303" w:type="dxa"/>
            <w:noWrap/>
          </w:tcPr>
          <w:p w14:paraId="44B6951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567 (500 – 689)</w:t>
            </w:r>
          </w:p>
        </w:tc>
        <w:tc>
          <w:tcPr>
            <w:tcW w:w="2304" w:type="dxa"/>
            <w:noWrap/>
          </w:tcPr>
          <w:p w14:paraId="2B8239A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585 (519 – 641)</w:t>
            </w:r>
          </w:p>
        </w:tc>
      </w:tr>
      <w:tr w:rsidR="00D01028" w:rsidRPr="001079F4" w14:paraId="61EC0BF6" w14:textId="77777777" w:rsidTr="00EF7EBB">
        <w:trPr>
          <w:trHeight w:val="300"/>
        </w:trPr>
        <w:tc>
          <w:tcPr>
            <w:tcW w:w="3828" w:type="dxa"/>
            <w:noWrap/>
          </w:tcPr>
          <w:p w14:paraId="5EEB9E5B"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 xml:space="preserve">Light-intensity physical activity (min/day) </w:t>
            </w:r>
          </w:p>
        </w:tc>
        <w:tc>
          <w:tcPr>
            <w:tcW w:w="1984" w:type="dxa"/>
          </w:tcPr>
          <w:p w14:paraId="1026E21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3EBBC4A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268 (210 – 333)</w:t>
            </w:r>
          </w:p>
        </w:tc>
        <w:tc>
          <w:tcPr>
            <w:tcW w:w="2304" w:type="dxa"/>
            <w:noWrap/>
          </w:tcPr>
          <w:p w14:paraId="4473F4A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237 (186 – 290)</w:t>
            </w:r>
          </w:p>
        </w:tc>
        <w:tc>
          <w:tcPr>
            <w:tcW w:w="2303" w:type="dxa"/>
            <w:noWrap/>
          </w:tcPr>
          <w:p w14:paraId="2F7DE7D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308 (240 – 339)</w:t>
            </w:r>
          </w:p>
        </w:tc>
        <w:tc>
          <w:tcPr>
            <w:tcW w:w="2304" w:type="dxa"/>
            <w:noWrap/>
          </w:tcPr>
          <w:p w14:paraId="0C34D56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281 (231 – 317)</w:t>
            </w:r>
          </w:p>
        </w:tc>
      </w:tr>
      <w:tr w:rsidR="00D01028" w:rsidRPr="001079F4" w14:paraId="26A8568C" w14:textId="77777777" w:rsidTr="00EF7EBB">
        <w:trPr>
          <w:trHeight w:val="300"/>
        </w:trPr>
        <w:tc>
          <w:tcPr>
            <w:tcW w:w="3828" w:type="dxa"/>
            <w:noWrap/>
          </w:tcPr>
          <w:p w14:paraId="3793CF02"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Moderate-to-vigorous-intensity physical activity (min/day)</w:t>
            </w:r>
          </w:p>
        </w:tc>
        <w:tc>
          <w:tcPr>
            <w:tcW w:w="1984" w:type="dxa"/>
          </w:tcPr>
          <w:p w14:paraId="3C79561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15E9A74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17 (10 – 37)</w:t>
            </w:r>
          </w:p>
        </w:tc>
        <w:tc>
          <w:tcPr>
            <w:tcW w:w="2304" w:type="dxa"/>
            <w:noWrap/>
          </w:tcPr>
          <w:p w14:paraId="3FC3E5C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16 (8 – 37)</w:t>
            </w:r>
          </w:p>
        </w:tc>
        <w:tc>
          <w:tcPr>
            <w:tcW w:w="2303" w:type="dxa"/>
            <w:noWrap/>
          </w:tcPr>
          <w:p w14:paraId="5951DA1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15 (11 – 25)</w:t>
            </w:r>
          </w:p>
        </w:tc>
        <w:tc>
          <w:tcPr>
            <w:tcW w:w="2304" w:type="dxa"/>
            <w:noWrap/>
          </w:tcPr>
          <w:p w14:paraId="3429121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19 (5 – 46)</w:t>
            </w:r>
          </w:p>
        </w:tc>
      </w:tr>
      <w:tr w:rsidR="00D01028" w:rsidRPr="001079F4" w14:paraId="2FB246C9" w14:textId="77777777" w:rsidTr="00EF7EBB">
        <w:trPr>
          <w:trHeight w:val="300"/>
        </w:trPr>
        <w:tc>
          <w:tcPr>
            <w:tcW w:w="3828" w:type="dxa"/>
            <w:noWrap/>
          </w:tcPr>
          <w:p w14:paraId="230D104E" w14:textId="77777777" w:rsidR="00D01028" w:rsidRPr="001079F4" w:rsidRDefault="00D01028" w:rsidP="00D01028">
            <w:pPr>
              <w:spacing w:line="23" w:lineRule="atLeast"/>
              <w:rPr>
                <w:rFonts w:ascii="Times New Roman" w:eastAsia="Times New Roman" w:hAnsi="Times New Roman" w:cs="Times New Roman"/>
                <w:i/>
                <w:iCs/>
                <w:sz w:val="22"/>
                <w:szCs w:val="22"/>
                <w:lang w:eastAsia="en-GB"/>
              </w:rPr>
            </w:pPr>
            <w:r w:rsidRPr="001079F4">
              <w:rPr>
                <w:rFonts w:ascii="Times New Roman" w:eastAsia="Times New Roman" w:hAnsi="Times New Roman" w:cs="Times New Roman"/>
                <w:i/>
                <w:iCs/>
                <w:sz w:val="22"/>
                <w:szCs w:val="22"/>
                <w:lang w:eastAsia="en-GB"/>
              </w:rPr>
              <w:t xml:space="preserve">Renal and </w:t>
            </w:r>
            <w:r>
              <w:rPr>
                <w:rFonts w:ascii="Times New Roman" w:eastAsia="Times New Roman" w:hAnsi="Times New Roman" w:cs="Times New Roman"/>
                <w:i/>
                <w:iCs/>
                <w:sz w:val="22"/>
                <w:szCs w:val="22"/>
                <w:lang w:eastAsia="en-GB"/>
              </w:rPr>
              <w:t>hepatic</w:t>
            </w:r>
            <w:r w:rsidRPr="001079F4">
              <w:rPr>
                <w:rFonts w:ascii="Times New Roman" w:eastAsia="Times New Roman" w:hAnsi="Times New Roman" w:cs="Times New Roman"/>
                <w:i/>
                <w:iCs/>
                <w:sz w:val="22"/>
                <w:szCs w:val="22"/>
                <w:lang w:eastAsia="en-GB"/>
              </w:rPr>
              <w:t xml:space="preserve"> function</w:t>
            </w:r>
          </w:p>
        </w:tc>
        <w:tc>
          <w:tcPr>
            <w:tcW w:w="1984" w:type="dxa"/>
          </w:tcPr>
          <w:p w14:paraId="473732D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BA625E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20096A9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44BAC0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06135BB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35047020" w14:textId="77777777" w:rsidTr="00EF7EBB">
        <w:trPr>
          <w:trHeight w:val="300"/>
        </w:trPr>
        <w:tc>
          <w:tcPr>
            <w:tcW w:w="3828" w:type="dxa"/>
            <w:noWrap/>
            <w:hideMark/>
          </w:tcPr>
          <w:p w14:paraId="6552558C" w14:textId="701391B3"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eGFR (mL/min per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73m</w:t>
            </w:r>
            <w:r w:rsidRPr="001079F4">
              <w:rPr>
                <w:rFonts w:ascii="Times New Roman" w:eastAsia="Times New Roman" w:hAnsi="Times New Roman" w:cs="Times New Roman"/>
                <w:sz w:val="22"/>
                <w:szCs w:val="22"/>
                <w:vertAlign w:val="superscript"/>
                <w:lang w:eastAsia="en-GB"/>
              </w:rPr>
              <w:t>2</w:t>
            </w:r>
            <w:r w:rsidRPr="001079F4">
              <w:rPr>
                <w:rFonts w:ascii="Times New Roman" w:eastAsia="Times New Roman" w:hAnsi="Times New Roman" w:cs="Times New Roman"/>
                <w:sz w:val="22"/>
                <w:szCs w:val="22"/>
                <w:lang w:eastAsia="en-GB"/>
              </w:rPr>
              <w:t>)</w:t>
            </w:r>
          </w:p>
        </w:tc>
        <w:tc>
          <w:tcPr>
            <w:tcW w:w="1984" w:type="dxa"/>
          </w:tcPr>
          <w:p w14:paraId="22A8D57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42122ED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90 (83 – 90)</w:t>
            </w:r>
          </w:p>
        </w:tc>
        <w:tc>
          <w:tcPr>
            <w:tcW w:w="2304" w:type="dxa"/>
            <w:noWrap/>
            <w:hideMark/>
          </w:tcPr>
          <w:p w14:paraId="4E9CBF0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90 (85 – 90)</w:t>
            </w:r>
          </w:p>
        </w:tc>
        <w:tc>
          <w:tcPr>
            <w:tcW w:w="2303" w:type="dxa"/>
            <w:noWrap/>
            <w:hideMark/>
          </w:tcPr>
          <w:p w14:paraId="6E5A761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90 (88 – 90)</w:t>
            </w:r>
          </w:p>
        </w:tc>
        <w:tc>
          <w:tcPr>
            <w:tcW w:w="2304" w:type="dxa"/>
            <w:noWrap/>
            <w:hideMark/>
          </w:tcPr>
          <w:p w14:paraId="1F705F4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90 (87 – 90)</w:t>
            </w:r>
          </w:p>
        </w:tc>
      </w:tr>
      <w:tr w:rsidR="00D01028" w:rsidRPr="001079F4" w14:paraId="7D935645" w14:textId="77777777" w:rsidTr="00EF7EBB">
        <w:trPr>
          <w:trHeight w:val="300"/>
        </w:trPr>
        <w:tc>
          <w:tcPr>
            <w:tcW w:w="3828" w:type="dxa"/>
            <w:noWrap/>
            <w:hideMark/>
          </w:tcPr>
          <w:p w14:paraId="064E5817"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Albumin (g/L)</w:t>
            </w:r>
          </w:p>
        </w:tc>
        <w:tc>
          <w:tcPr>
            <w:tcW w:w="1984" w:type="dxa"/>
          </w:tcPr>
          <w:p w14:paraId="0696236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48D7FC7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46 (43 – 48)</w:t>
            </w:r>
          </w:p>
        </w:tc>
        <w:tc>
          <w:tcPr>
            <w:tcW w:w="2304" w:type="dxa"/>
            <w:noWrap/>
            <w:hideMark/>
          </w:tcPr>
          <w:p w14:paraId="20FDD60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45 (44 – 48)</w:t>
            </w:r>
          </w:p>
        </w:tc>
        <w:tc>
          <w:tcPr>
            <w:tcW w:w="2303" w:type="dxa"/>
            <w:noWrap/>
            <w:hideMark/>
          </w:tcPr>
          <w:p w14:paraId="450867C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46 (44 – 47)</w:t>
            </w:r>
          </w:p>
        </w:tc>
        <w:tc>
          <w:tcPr>
            <w:tcW w:w="2304" w:type="dxa"/>
            <w:noWrap/>
            <w:hideMark/>
          </w:tcPr>
          <w:p w14:paraId="6E819DE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46 (44 – 47)</w:t>
            </w:r>
          </w:p>
        </w:tc>
      </w:tr>
      <w:tr w:rsidR="00D01028" w:rsidRPr="001079F4" w14:paraId="1C52E920" w14:textId="77777777" w:rsidTr="00EF7EBB">
        <w:trPr>
          <w:trHeight w:val="300"/>
        </w:trPr>
        <w:tc>
          <w:tcPr>
            <w:tcW w:w="3828" w:type="dxa"/>
            <w:noWrap/>
            <w:hideMark/>
          </w:tcPr>
          <w:p w14:paraId="18618D7B"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Alkaline phosphatase (U/L)</w:t>
            </w:r>
          </w:p>
        </w:tc>
        <w:tc>
          <w:tcPr>
            <w:tcW w:w="1984" w:type="dxa"/>
          </w:tcPr>
          <w:p w14:paraId="717D574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70898C4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82 (75 – 94)</w:t>
            </w:r>
          </w:p>
        </w:tc>
        <w:tc>
          <w:tcPr>
            <w:tcW w:w="2304" w:type="dxa"/>
            <w:noWrap/>
            <w:hideMark/>
          </w:tcPr>
          <w:p w14:paraId="67D7E2E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66 (58 – 83)</w:t>
            </w:r>
          </w:p>
        </w:tc>
        <w:tc>
          <w:tcPr>
            <w:tcW w:w="2303" w:type="dxa"/>
            <w:noWrap/>
            <w:hideMark/>
          </w:tcPr>
          <w:p w14:paraId="602880A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76 (65 – 92)</w:t>
            </w:r>
          </w:p>
        </w:tc>
        <w:tc>
          <w:tcPr>
            <w:tcW w:w="2304" w:type="dxa"/>
            <w:noWrap/>
            <w:hideMark/>
          </w:tcPr>
          <w:p w14:paraId="0CDD2EA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85 (74 – 106)</w:t>
            </w:r>
          </w:p>
        </w:tc>
      </w:tr>
      <w:tr w:rsidR="00D01028" w:rsidRPr="001079F4" w14:paraId="0F8C9403" w14:textId="77777777" w:rsidTr="00EF7EBB">
        <w:trPr>
          <w:trHeight w:val="300"/>
        </w:trPr>
        <w:tc>
          <w:tcPr>
            <w:tcW w:w="3828" w:type="dxa"/>
            <w:noWrap/>
            <w:hideMark/>
          </w:tcPr>
          <w:p w14:paraId="33C63629"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Alanine transaminase (U/L)</w:t>
            </w:r>
          </w:p>
        </w:tc>
        <w:tc>
          <w:tcPr>
            <w:tcW w:w="1984" w:type="dxa"/>
          </w:tcPr>
          <w:p w14:paraId="56188BF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06BDC6F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26 (20 – 36)</w:t>
            </w:r>
          </w:p>
        </w:tc>
        <w:tc>
          <w:tcPr>
            <w:tcW w:w="2304" w:type="dxa"/>
            <w:noWrap/>
            <w:hideMark/>
          </w:tcPr>
          <w:p w14:paraId="3985C0F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35 (19 – 47)</w:t>
            </w:r>
          </w:p>
        </w:tc>
        <w:tc>
          <w:tcPr>
            <w:tcW w:w="2303" w:type="dxa"/>
            <w:noWrap/>
            <w:hideMark/>
          </w:tcPr>
          <w:p w14:paraId="5B48FDD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32 (20 – 54)</w:t>
            </w:r>
          </w:p>
        </w:tc>
        <w:tc>
          <w:tcPr>
            <w:tcW w:w="2304" w:type="dxa"/>
            <w:noWrap/>
            <w:hideMark/>
          </w:tcPr>
          <w:p w14:paraId="1A3F758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27 (20 – 36)</w:t>
            </w:r>
          </w:p>
        </w:tc>
      </w:tr>
      <w:tr w:rsidR="00D01028" w:rsidRPr="001079F4" w14:paraId="513153DE" w14:textId="77777777" w:rsidTr="00EF7EBB">
        <w:trPr>
          <w:trHeight w:val="300"/>
        </w:trPr>
        <w:tc>
          <w:tcPr>
            <w:tcW w:w="3828" w:type="dxa"/>
            <w:noWrap/>
            <w:hideMark/>
          </w:tcPr>
          <w:p w14:paraId="1F16F402"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 xml:space="preserve">Bilirubin </w:t>
            </w:r>
            <w:r>
              <w:rPr>
                <w:rFonts w:ascii="Times New Roman" w:eastAsia="Times New Roman" w:hAnsi="Times New Roman" w:cs="Times New Roman"/>
                <w:sz w:val="22"/>
                <w:szCs w:val="22"/>
                <w:lang w:eastAsia="en-GB"/>
              </w:rPr>
              <w:t>(µmol/L)</w:t>
            </w:r>
          </w:p>
        </w:tc>
        <w:tc>
          <w:tcPr>
            <w:tcW w:w="1984" w:type="dxa"/>
          </w:tcPr>
          <w:p w14:paraId="4E9BBE0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47D6E3F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 (8 – 10)</w:t>
            </w:r>
          </w:p>
        </w:tc>
        <w:tc>
          <w:tcPr>
            <w:tcW w:w="2304" w:type="dxa"/>
            <w:noWrap/>
            <w:hideMark/>
          </w:tcPr>
          <w:p w14:paraId="19F391F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 (7 – 13)</w:t>
            </w:r>
          </w:p>
        </w:tc>
        <w:tc>
          <w:tcPr>
            <w:tcW w:w="2303" w:type="dxa"/>
            <w:noWrap/>
            <w:hideMark/>
          </w:tcPr>
          <w:p w14:paraId="3034269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 (8 – 10)</w:t>
            </w:r>
          </w:p>
        </w:tc>
        <w:tc>
          <w:tcPr>
            <w:tcW w:w="2304" w:type="dxa"/>
            <w:noWrap/>
            <w:hideMark/>
          </w:tcPr>
          <w:p w14:paraId="5BB8877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 (6 – 10)</w:t>
            </w:r>
          </w:p>
        </w:tc>
      </w:tr>
      <w:tr w:rsidR="00D01028" w:rsidRPr="001079F4" w14:paraId="5D8B7B23" w14:textId="77777777" w:rsidTr="00EF7EBB">
        <w:trPr>
          <w:trHeight w:val="300"/>
        </w:trPr>
        <w:tc>
          <w:tcPr>
            <w:tcW w:w="3828" w:type="dxa"/>
            <w:noWrap/>
          </w:tcPr>
          <w:p w14:paraId="6C6B469C" w14:textId="77777777" w:rsidR="00D01028" w:rsidRPr="001079F4" w:rsidRDefault="00D01028" w:rsidP="00D01028">
            <w:pPr>
              <w:spacing w:line="23" w:lineRule="atLeast"/>
              <w:rPr>
                <w:rFonts w:ascii="Times New Roman" w:eastAsia="Times New Roman" w:hAnsi="Times New Roman" w:cs="Times New Roman"/>
                <w:i/>
                <w:iCs/>
                <w:sz w:val="22"/>
                <w:szCs w:val="22"/>
                <w:lang w:eastAsia="en-GB"/>
              </w:rPr>
            </w:pPr>
            <w:r>
              <w:rPr>
                <w:rFonts w:ascii="Times New Roman" w:eastAsia="Times New Roman" w:hAnsi="Times New Roman" w:cs="Times New Roman"/>
                <w:i/>
                <w:iCs/>
                <w:sz w:val="22"/>
                <w:szCs w:val="22"/>
                <w:lang w:eastAsia="en-GB"/>
              </w:rPr>
              <w:t>B</w:t>
            </w:r>
            <w:r w:rsidRPr="001079F4">
              <w:rPr>
                <w:rFonts w:ascii="Times New Roman" w:eastAsia="Times New Roman" w:hAnsi="Times New Roman" w:cs="Times New Roman"/>
                <w:i/>
                <w:iCs/>
                <w:sz w:val="22"/>
                <w:szCs w:val="22"/>
                <w:lang w:eastAsia="en-GB"/>
              </w:rPr>
              <w:t>lood pressure</w:t>
            </w:r>
            <w:r>
              <w:rPr>
                <w:rFonts w:ascii="Times New Roman" w:eastAsia="Times New Roman" w:hAnsi="Times New Roman" w:cs="Times New Roman"/>
                <w:i/>
                <w:iCs/>
                <w:sz w:val="22"/>
                <w:szCs w:val="22"/>
                <w:lang w:eastAsia="en-GB"/>
              </w:rPr>
              <w:t>, lipids</w:t>
            </w:r>
            <w:r w:rsidRPr="001079F4">
              <w:rPr>
                <w:rFonts w:ascii="Times New Roman" w:eastAsia="Times New Roman" w:hAnsi="Times New Roman" w:cs="Times New Roman"/>
                <w:i/>
                <w:iCs/>
                <w:sz w:val="22"/>
                <w:szCs w:val="22"/>
                <w:lang w:eastAsia="en-GB"/>
              </w:rPr>
              <w:t xml:space="preserve"> and other cardiometabolic risk factors</w:t>
            </w:r>
          </w:p>
        </w:tc>
        <w:tc>
          <w:tcPr>
            <w:tcW w:w="1984" w:type="dxa"/>
          </w:tcPr>
          <w:p w14:paraId="6A80BC2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7BE997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1611D1F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44B05D2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3CF3518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52F3C7DD" w14:textId="77777777" w:rsidTr="00EF7EBB">
        <w:trPr>
          <w:trHeight w:val="300"/>
        </w:trPr>
        <w:tc>
          <w:tcPr>
            <w:tcW w:w="3828" w:type="dxa"/>
            <w:noWrap/>
            <w:hideMark/>
          </w:tcPr>
          <w:p w14:paraId="4AFFD86A"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Systolic blood pressure (mmHg)</w:t>
            </w:r>
          </w:p>
        </w:tc>
        <w:tc>
          <w:tcPr>
            <w:tcW w:w="1984" w:type="dxa"/>
          </w:tcPr>
          <w:p w14:paraId="541E272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23D122C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123 (112 – 134)</w:t>
            </w:r>
          </w:p>
        </w:tc>
        <w:tc>
          <w:tcPr>
            <w:tcW w:w="2304" w:type="dxa"/>
            <w:noWrap/>
            <w:hideMark/>
          </w:tcPr>
          <w:p w14:paraId="292F8EF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130 (115 – 137)</w:t>
            </w:r>
          </w:p>
        </w:tc>
        <w:tc>
          <w:tcPr>
            <w:tcW w:w="2303" w:type="dxa"/>
            <w:noWrap/>
            <w:hideMark/>
          </w:tcPr>
          <w:p w14:paraId="208DA5A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124 (116 – 132)</w:t>
            </w:r>
          </w:p>
        </w:tc>
        <w:tc>
          <w:tcPr>
            <w:tcW w:w="2304" w:type="dxa"/>
            <w:noWrap/>
            <w:hideMark/>
          </w:tcPr>
          <w:p w14:paraId="7518C96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116 (111 – 135)</w:t>
            </w:r>
          </w:p>
        </w:tc>
      </w:tr>
      <w:tr w:rsidR="00D01028" w:rsidRPr="001079F4" w14:paraId="53D87410" w14:textId="77777777" w:rsidTr="00EF7EBB">
        <w:trPr>
          <w:trHeight w:val="300"/>
        </w:trPr>
        <w:tc>
          <w:tcPr>
            <w:tcW w:w="3828" w:type="dxa"/>
            <w:noWrap/>
            <w:hideMark/>
          </w:tcPr>
          <w:p w14:paraId="6D4759E6"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Diastolic blood pressure (mmHg)</w:t>
            </w:r>
          </w:p>
        </w:tc>
        <w:tc>
          <w:tcPr>
            <w:tcW w:w="1984" w:type="dxa"/>
          </w:tcPr>
          <w:p w14:paraId="6550CCF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67D49FE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75 (67 – 78)</w:t>
            </w:r>
          </w:p>
        </w:tc>
        <w:tc>
          <w:tcPr>
            <w:tcW w:w="2304" w:type="dxa"/>
            <w:noWrap/>
            <w:hideMark/>
          </w:tcPr>
          <w:p w14:paraId="6307889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73 (69 – 85)</w:t>
            </w:r>
          </w:p>
        </w:tc>
        <w:tc>
          <w:tcPr>
            <w:tcW w:w="2303" w:type="dxa"/>
            <w:noWrap/>
            <w:hideMark/>
          </w:tcPr>
          <w:p w14:paraId="33108FC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73 (69 – 80)</w:t>
            </w:r>
          </w:p>
        </w:tc>
        <w:tc>
          <w:tcPr>
            <w:tcW w:w="2304" w:type="dxa"/>
            <w:noWrap/>
            <w:hideMark/>
          </w:tcPr>
          <w:p w14:paraId="1D68AD9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74 (67 – 78)</w:t>
            </w:r>
          </w:p>
        </w:tc>
      </w:tr>
      <w:tr w:rsidR="00D01028" w:rsidRPr="001079F4" w14:paraId="01F6C7CB" w14:textId="77777777" w:rsidTr="00EF7EBB">
        <w:trPr>
          <w:trHeight w:val="300"/>
        </w:trPr>
        <w:tc>
          <w:tcPr>
            <w:tcW w:w="3828" w:type="dxa"/>
            <w:noWrap/>
            <w:hideMark/>
          </w:tcPr>
          <w:p w14:paraId="31E96D78"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Resting heart rate (beats/min)</w:t>
            </w:r>
          </w:p>
        </w:tc>
        <w:tc>
          <w:tcPr>
            <w:tcW w:w="1984" w:type="dxa"/>
          </w:tcPr>
          <w:p w14:paraId="63195E6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5F4745A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74 (58 – 81)</w:t>
            </w:r>
          </w:p>
        </w:tc>
        <w:tc>
          <w:tcPr>
            <w:tcW w:w="2304" w:type="dxa"/>
            <w:noWrap/>
            <w:hideMark/>
          </w:tcPr>
          <w:p w14:paraId="4C48B06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73 (69 – 79)</w:t>
            </w:r>
          </w:p>
        </w:tc>
        <w:tc>
          <w:tcPr>
            <w:tcW w:w="2303" w:type="dxa"/>
            <w:noWrap/>
            <w:hideMark/>
          </w:tcPr>
          <w:p w14:paraId="1BA5106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71 (64 – 83)</w:t>
            </w:r>
          </w:p>
        </w:tc>
        <w:tc>
          <w:tcPr>
            <w:tcW w:w="2304" w:type="dxa"/>
            <w:noWrap/>
            <w:hideMark/>
          </w:tcPr>
          <w:p w14:paraId="2672175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74 (67 – 85)</w:t>
            </w:r>
          </w:p>
        </w:tc>
      </w:tr>
      <w:tr w:rsidR="00D01028" w:rsidRPr="001079F4" w14:paraId="682BA066" w14:textId="77777777" w:rsidTr="00EF7EBB">
        <w:trPr>
          <w:trHeight w:val="300"/>
        </w:trPr>
        <w:tc>
          <w:tcPr>
            <w:tcW w:w="3828" w:type="dxa"/>
            <w:noWrap/>
            <w:hideMark/>
          </w:tcPr>
          <w:p w14:paraId="735B6007"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Total cholesterol (mmol/L)</w:t>
            </w:r>
          </w:p>
        </w:tc>
        <w:tc>
          <w:tcPr>
            <w:tcW w:w="1984" w:type="dxa"/>
          </w:tcPr>
          <w:p w14:paraId="137FEFF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2E25DE94" w14:textId="7C37FDA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 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c>
          <w:tcPr>
            <w:tcW w:w="2304" w:type="dxa"/>
            <w:noWrap/>
            <w:hideMark/>
          </w:tcPr>
          <w:p w14:paraId="7DD8934D" w14:textId="56B28B8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3" w:type="dxa"/>
            <w:noWrap/>
            <w:hideMark/>
          </w:tcPr>
          <w:p w14:paraId="7897F25F" w14:textId="76B500CC"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hideMark/>
          </w:tcPr>
          <w:p w14:paraId="783A1B06" w14:textId="3CC5231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r>
      <w:tr w:rsidR="00D01028" w:rsidRPr="001079F4" w14:paraId="113D6CA7" w14:textId="77777777" w:rsidTr="00EF7EBB">
        <w:trPr>
          <w:trHeight w:val="300"/>
        </w:trPr>
        <w:tc>
          <w:tcPr>
            <w:tcW w:w="3828" w:type="dxa"/>
            <w:noWrap/>
            <w:hideMark/>
          </w:tcPr>
          <w:p w14:paraId="6CB5668F" w14:textId="6CDF23A0"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HDL</w:t>
            </w:r>
            <w:r w:rsidRPr="001079F4">
              <w:rPr>
                <w:rFonts w:ascii="Times New Roman" w:eastAsia="Times New Roman" w:hAnsi="Times New Roman" w:cs="Times New Roman"/>
                <w:sz w:val="22"/>
                <w:szCs w:val="22"/>
                <w:lang w:eastAsia="en-GB"/>
              </w:rPr>
              <w:t xml:space="preserve"> (mmol/L)</w:t>
            </w:r>
          </w:p>
        </w:tc>
        <w:tc>
          <w:tcPr>
            <w:tcW w:w="1984" w:type="dxa"/>
          </w:tcPr>
          <w:p w14:paraId="062C5F4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6F5107C7" w14:textId="6C0F55D9"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 (0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hideMark/>
          </w:tcPr>
          <w:p w14:paraId="12A45256" w14:textId="014A713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3" w:type="dxa"/>
            <w:noWrap/>
            <w:hideMark/>
          </w:tcPr>
          <w:p w14:paraId="44F7563A" w14:textId="47BD4B2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w:t>
            </w:r>
          </w:p>
        </w:tc>
        <w:tc>
          <w:tcPr>
            <w:tcW w:w="2304" w:type="dxa"/>
            <w:noWrap/>
            <w:hideMark/>
          </w:tcPr>
          <w:p w14:paraId="5FB3D69F" w14:textId="16D477D3"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w:t>
            </w:r>
          </w:p>
        </w:tc>
      </w:tr>
      <w:tr w:rsidR="00D01028" w:rsidRPr="001079F4" w14:paraId="50ADB333" w14:textId="77777777" w:rsidTr="00EF7EBB">
        <w:trPr>
          <w:trHeight w:val="300"/>
        </w:trPr>
        <w:tc>
          <w:tcPr>
            <w:tcW w:w="3828" w:type="dxa"/>
            <w:noWrap/>
            <w:hideMark/>
          </w:tcPr>
          <w:p w14:paraId="7C7E02CE" w14:textId="0095FEA5"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LDL</w:t>
            </w:r>
            <w:r w:rsidRPr="001079F4">
              <w:rPr>
                <w:rFonts w:ascii="Times New Roman" w:eastAsia="Times New Roman" w:hAnsi="Times New Roman" w:cs="Times New Roman"/>
                <w:sz w:val="22"/>
                <w:szCs w:val="22"/>
                <w:lang w:eastAsia="en-GB"/>
              </w:rPr>
              <w:t xml:space="preserve"> (mmol/L)</w:t>
            </w:r>
          </w:p>
        </w:tc>
        <w:tc>
          <w:tcPr>
            <w:tcW w:w="1984" w:type="dxa"/>
          </w:tcPr>
          <w:p w14:paraId="093E854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3E8B0886" w14:textId="34378C2C"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4" w:type="dxa"/>
            <w:noWrap/>
            <w:hideMark/>
          </w:tcPr>
          <w:p w14:paraId="76D2C475" w14:textId="53F3AFA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6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3" w:type="dxa"/>
            <w:noWrap/>
            <w:hideMark/>
          </w:tcPr>
          <w:p w14:paraId="0EC7BD29" w14:textId="6BC1AC6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4" w:type="dxa"/>
            <w:noWrap/>
            <w:hideMark/>
          </w:tcPr>
          <w:p w14:paraId="1FB07CBA" w14:textId="20F8F93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 – 3</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r>
      <w:tr w:rsidR="00D01028" w:rsidRPr="001079F4" w14:paraId="5DBBA1B4" w14:textId="77777777" w:rsidTr="00EF7EBB">
        <w:trPr>
          <w:trHeight w:val="300"/>
        </w:trPr>
        <w:tc>
          <w:tcPr>
            <w:tcW w:w="3828" w:type="dxa"/>
            <w:noWrap/>
            <w:hideMark/>
          </w:tcPr>
          <w:p w14:paraId="32C09E3E"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Triglycerides (mmol/L)</w:t>
            </w:r>
          </w:p>
        </w:tc>
        <w:tc>
          <w:tcPr>
            <w:tcW w:w="1984" w:type="dxa"/>
          </w:tcPr>
          <w:p w14:paraId="22838DE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hideMark/>
          </w:tcPr>
          <w:p w14:paraId="2BE6FD61" w14:textId="5CD186D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76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34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54)</w:t>
            </w:r>
          </w:p>
        </w:tc>
        <w:tc>
          <w:tcPr>
            <w:tcW w:w="2304" w:type="dxa"/>
            <w:noWrap/>
            <w:hideMark/>
          </w:tcPr>
          <w:p w14:paraId="579349C1" w14:textId="5FE94D2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77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16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21)</w:t>
            </w:r>
          </w:p>
        </w:tc>
        <w:tc>
          <w:tcPr>
            <w:tcW w:w="2303" w:type="dxa"/>
            <w:noWrap/>
            <w:hideMark/>
          </w:tcPr>
          <w:p w14:paraId="488150F2" w14:textId="18FAF38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70 (0</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95 – 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39)</w:t>
            </w:r>
          </w:p>
        </w:tc>
        <w:tc>
          <w:tcPr>
            <w:tcW w:w="2304" w:type="dxa"/>
            <w:noWrap/>
            <w:hideMark/>
          </w:tcPr>
          <w:p w14:paraId="240B39F8" w14:textId="452F2BA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43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26 – 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79)</w:t>
            </w:r>
          </w:p>
        </w:tc>
      </w:tr>
      <w:tr w:rsidR="00D01028" w:rsidRPr="001079F4" w14:paraId="4670E219" w14:textId="77777777" w:rsidTr="00EF7EBB">
        <w:trPr>
          <w:trHeight w:val="315"/>
        </w:trPr>
        <w:tc>
          <w:tcPr>
            <w:tcW w:w="3828" w:type="dxa"/>
            <w:noWrap/>
          </w:tcPr>
          <w:p w14:paraId="02376297"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Non-esterified fatty acids (mmol/L)</w:t>
            </w:r>
          </w:p>
        </w:tc>
        <w:tc>
          <w:tcPr>
            <w:tcW w:w="1984" w:type="dxa"/>
          </w:tcPr>
          <w:p w14:paraId="21CDF96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75E67169" w14:textId="0797511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42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36 –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62)</w:t>
            </w:r>
          </w:p>
        </w:tc>
        <w:tc>
          <w:tcPr>
            <w:tcW w:w="2304" w:type="dxa"/>
            <w:noWrap/>
          </w:tcPr>
          <w:p w14:paraId="2499BD6F" w14:textId="5572A16F"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41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34 –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73)</w:t>
            </w:r>
          </w:p>
        </w:tc>
        <w:tc>
          <w:tcPr>
            <w:tcW w:w="2303" w:type="dxa"/>
            <w:noWrap/>
          </w:tcPr>
          <w:p w14:paraId="39052191" w14:textId="557624C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47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35 –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58)</w:t>
            </w:r>
          </w:p>
        </w:tc>
        <w:tc>
          <w:tcPr>
            <w:tcW w:w="2304" w:type="dxa"/>
            <w:noWrap/>
          </w:tcPr>
          <w:p w14:paraId="14E59424" w14:textId="552CCF76"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48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43 –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78)</w:t>
            </w:r>
          </w:p>
        </w:tc>
      </w:tr>
      <w:tr w:rsidR="00D01028" w:rsidRPr="001079F4" w14:paraId="336AEABC" w14:textId="77777777" w:rsidTr="00EF7EBB">
        <w:trPr>
          <w:trHeight w:val="315"/>
        </w:trPr>
        <w:tc>
          <w:tcPr>
            <w:tcW w:w="3828" w:type="dxa"/>
            <w:noWrap/>
          </w:tcPr>
          <w:p w14:paraId="739EBBAF"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Smoking status</w:t>
            </w:r>
          </w:p>
        </w:tc>
        <w:tc>
          <w:tcPr>
            <w:tcW w:w="1984" w:type="dxa"/>
          </w:tcPr>
          <w:p w14:paraId="2B932A4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Never smoked</w:t>
            </w:r>
          </w:p>
        </w:tc>
        <w:tc>
          <w:tcPr>
            <w:tcW w:w="2303" w:type="dxa"/>
            <w:noWrap/>
          </w:tcPr>
          <w:p w14:paraId="47C9A974" w14:textId="671CD62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c>
          <w:tcPr>
            <w:tcW w:w="2304" w:type="dxa"/>
            <w:noWrap/>
          </w:tcPr>
          <w:p w14:paraId="1E76A1CE" w14:textId="091AC07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8 (47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1)</w:t>
            </w:r>
          </w:p>
        </w:tc>
        <w:tc>
          <w:tcPr>
            <w:tcW w:w="2303" w:type="dxa"/>
            <w:noWrap/>
          </w:tcPr>
          <w:p w14:paraId="482A2D6F" w14:textId="043B1DFB"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7 (41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2)</w:t>
            </w:r>
          </w:p>
        </w:tc>
        <w:tc>
          <w:tcPr>
            <w:tcW w:w="2304" w:type="dxa"/>
            <w:noWrap/>
          </w:tcPr>
          <w:p w14:paraId="151DCDC0" w14:textId="0EFD501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10 (58</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r>
      <w:tr w:rsidR="00D01028" w:rsidRPr="001079F4" w14:paraId="159CCFBF" w14:textId="77777777" w:rsidTr="00EF7EBB">
        <w:trPr>
          <w:trHeight w:val="315"/>
        </w:trPr>
        <w:tc>
          <w:tcPr>
            <w:tcW w:w="3828" w:type="dxa"/>
            <w:noWrap/>
          </w:tcPr>
          <w:p w14:paraId="27BBF9AD"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p>
        </w:tc>
        <w:tc>
          <w:tcPr>
            <w:tcW w:w="1984" w:type="dxa"/>
          </w:tcPr>
          <w:p w14:paraId="7166315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Ex-smoker</w:t>
            </w:r>
          </w:p>
        </w:tc>
        <w:tc>
          <w:tcPr>
            <w:tcW w:w="2303" w:type="dxa"/>
            <w:noWrap/>
          </w:tcPr>
          <w:p w14:paraId="787FF274" w14:textId="6F5C836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 (52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tcPr>
          <w:p w14:paraId="5F854526" w14:textId="066F028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 (52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3" w:type="dxa"/>
            <w:noWrap/>
          </w:tcPr>
          <w:p w14:paraId="16BAAA22" w14:textId="6A7DDF2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9 (52</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tcPr>
          <w:p w14:paraId="121DA056" w14:textId="182CD8F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 (29</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4)</w:t>
            </w:r>
          </w:p>
        </w:tc>
      </w:tr>
      <w:tr w:rsidR="00D01028" w:rsidRPr="001079F4" w14:paraId="3EA18ED1" w14:textId="77777777" w:rsidTr="00EF7EBB">
        <w:trPr>
          <w:trHeight w:val="315"/>
        </w:trPr>
        <w:tc>
          <w:tcPr>
            <w:tcW w:w="3828" w:type="dxa"/>
            <w:noWrap/>
          </w:tcPr>
          <w:p w14:paraId="3BDA9752"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p>
        </w:tc>
        <w:tc>
          <w:tcPr>
            <w:tcW w:w="1984" w:type="dxa"/>
          </w:tcPr>
          <w:p w14:paraId="4BEC02D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Current smoker</w:t>
            </w:r>
          </w:p>
        </w:tc>
        <w:tc>
          <w:tcPr>
            <w:tcW w:w="2303" w:type="dxa"/>
            <w:noWrap/>
          </w:tcPr>
          <w:p w14:paraId="383530EB" w14:textId="218D95C8"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3 (17</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7)</w:t>
            </w:r>
          </w:p>
        </w:tc>
        <w:tc>
          <w:tcPr>
            <w:tcW w:w="2304" w:type="dxa"/>
            <w:noWrap/>
          </w:tcPr>
          <w:p w14:paraId="6BA2802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0 (0)</w:t>
            </w:r>
          </w:p>
        </w:tc>
        <w:tc>
          <w:tcPr>
            <w:tcW w:w="2303" w:type="dxa"/>
            <w:noWrap/>
          </w:tcPr>
          <w:p w14:paraId="541B8819" w14:textId="5D55F43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1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9)</w:t>
            </w:r>
          </w:p>
        </w:tc>
        <w:tc>
          <w:tcPr>
            <w:tcW w:w="2304" w:type="dxa"/>
            <w:noWrap/>
          </w:tcPr>
          <w:p w14:paraId="3F4113CE" w14:textId="51F636AA"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2 (11</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8)</w:t>
            </w:r>
          </w:p>
        </w:tc>
      </w:tr>
      <w:tr w:rsidR="00D01028" w:rsidRPr="001079F4" w14:paraId="7383BDD7" w14:textId="77777777" w:rsidTr="00EF7EBB">
        <w:trPr>
          <w:trHeight w:val="300"/>
        </w:trPr>
        <w:tc>
          <w:tcPr>
            <w:tcW w:w="3828" w:type="dxa"/>
            <w:noWrap/>
          </w:tcPr>
          <w:p w14:paraId="56F0BE9E"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C-reactive protein (mg/L)</w:t>
            </w:r>
          </w:p>
        </w:tc>
        <w:tc>
          <w:tcPr>
            <w:tcW w:w="1984" w:type="dxa"/>
          </w:tcPr>
          <w:p w14:paraId="6CCD934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599045C" w14:textId="2D6EDDD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6</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5)</w:t>
            </w:r>
          </w:p>
        </w:tc>
        <w:tc>
          <w:tcPr>
            <w:tcW w:w="2304" w:type="dxa"/>
            <w:noWrap/>
          </w:tcPr>
          <w:p w14:paraId="7A48FBFC" w14:textId="66ED5073"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3" w:type="dxa"/>
            <w:noWrap/>
          </w:tcPr>
          <w:p w14:paraId="5CF7E616" w14:textId="5D5EB7A0"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c>
          <w:tcPr>
            <w:tcW w:w="2304" w:type="dxa"/>
            <w:noWrap/>
          </w:tcPr>
          <w:p w14:paraId="2D42B76E" w14:textId="1E604A3E"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1079F4">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 – 5</w:t>
            </w:r>
            <w:r w:rsidR="00563D5A">
              <w:rPr>
                <w:rFonts w:ascii="Times New Roman" w:eastAsia="Times New Roman" w:hAnsi="Times New Roman" w:cs="Times New Roman"/>
                <w:sz w:val="22"/>
                <w:szCs w:val="22"/>
                <w:lang w:eastAsia="en-GB"/>
              </w:rPr>
              <w:t>.</w:t>
            </w:r>
            <w:r w:rsidRPr="001079F4">
              <w:rPr>
                <w:rFonts w:ascii="Times New Roman" w:eastAsia="Times New Roman" w:hAnsi="Times New Roman" w:cs="Times New Roman"/>
                <w:sz w:val="22"/>
                <w:szCs w:val="22"/>
                <w:lang w:eastAsia="en-GB"/>
              </w:rPr>
              <w:t>0)</w:t>
            </w:r>
          </w:p>
        </w:tc>
      </w:tr>
      <w:tr w:rsidR="00D01028" w:rsidRPr="001079F4" w14:paraId="5697EE95" w14:textId="77777777" w:rsidTr="00EF7EBB">
        <w:trPr>
          <w:trHeight w:val="300"/>
        </w:trPr>
        <w:tc>
          <w:tcPr>
            <w:tcW w:w="3828" w:type="dxa"/>
            <w:noWrap/>
          </w:tcPr>
          <w:p w14:paraId="2016DADE" w14:textId="77777777" w:rsidR="00D01028" w:rsidRPr="001079F4" w:rsidRDefault="00D01028" w:rsidP="00D01028">
            <w:pPr>
              <w:spacing w:line="23" w:lineRule="atLeast"/>
              <w:rPr>
                <w:rFonts w:ascii="Times New Roman" w:eastAsia="Times New Roman" w:hAnsi="Times New Roman" w:cs="Times New Roman"/>
                <w:sz w:val="22"/>
                <w:szCs w:val="22"/>
                <w:lang w:eastAsia="en-GB"/>
              </w:rPr>
            </w:pPr>
            <w:r w:rsidRPr="006300E0">
              <w:rPr>
                <w:rFonts w:ascii="Times New Roman" w:eastAsia="Times New Roman" w:hAnsi="Times New Roman" w:cs="Times New Roman"/>
                <w:i/>
                <w:sz w:val="22"/>
                <w:szCs w:val="22"/>
                <w:lang w:eastAsia="en-GB"/>
              </w:rPr>
              <w:t>Appetite-</w:t>
            </w:r>
            <w:r>
              <w:rPr>
                <w:rFonts w:ascii="Times New Roman" w:eastAsia="Times New Roman" w:hAnsi="Times New Roman" w:cs="Times New Roman"/>
                <w:i/>
                <w:sz w:val="22"/>
                <w:szCs w:val="22"/>
                <w:lang w:eastAsia="en-GB"/>
              </w:rPr>
              <w:t>regulatory peptides</w:t>
            </w:r>
          </w:p>
        </w:tc>
        <w:tc>
          <w:tcPr>
            <w:tcW w:w="1984" w:type="dxa"/>
          </w:tcPr>
          <w:p w14:paraId="27D7309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056F142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1165D299"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0A4CFFA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46F8EC8E"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258BFA04" w14:textId="77777777" w:rsidTr="00EF7EBB">
        <w:trPr>
          <w:trHeight w:val="300"/>
        </w:trPr>
        <w:tc>
          <w:tcPr>
            <w:tcW w:w="3828" w:type="dxa"/>
            <w:noWrap/>
          </w:tcPr>
          <w:p w14:paraId="1DA8B2A8"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 xml:space="preserve">Fasting </w:t>
            </w:r>
            <w:r>
              <w:rPr>
                <w:rFonts w:ascii="Times New Roman" w:eastAsia="Times New Roman" w:hAnsi="Times New Roman" w:cs="Times New Roman"/>
                <w:sz w:val="22"/>
                <w:szCs w:val="22"/>
                <w:lang w:eastAsia="en-GB"/>
              </w:rPr>
              <w:t xml:space="preserve">total </w:t>
            </w:r>
            <w:r w:rsidRPr="006300E0">
              <w:rPr>
                <w:rFonts w:ascii="Times New Roman" w:eastAsia="Times New Roman" w:hAnsi="Times New Roman" w:cs="Times New Roman"/>
                <w:sz w:val="22"/>
                <w:szCs w:val="22"/>
                <w:lang w:eastAsia="en-GB"/>
              </w:rPr>
              <w:t>PYY (pg/mL)</w:t>
            </w:r>
          </w:p>
        </w:tc>
        <w:tc>
          <w:tcPr>
            <w:tcW w:w="1984" w:type="dxa"/>
          </w:tcPr>
          <w:p w14:paraId="6BDA996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3C3C752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87 (60 – 110)</w:t>
            </w:r>
          </w:p>
        </w:tc>
        <w:tc>
          <w:tcPr>
            <w:tcW w:w="2304" w:type="dxa"/>
            <w:noWrap/>
          </w:tcPr>
          <w:p w14:paraId="7667974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83 (65 – 108)</w:t>
            </w:r>
          </w:p>
        </w:tc>
        <w:tc>
          <w:tcPr>
            <w:tcW w:w="2303" w:type="dxa"/>
            <w:noWrap/>
          </w:tcPr>
          <w:p w14:paraId="7F22B85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74 (59 – 109)</w:t>
            </w:r>
          </w:p>
        </w:tc>
        <w:tc>
          <w:tcPr>
            <w:tcW w:w="2304" w:type="dxa"/>
            <w:noWrap/>
          </w:tcPr>
          <w:p w14:paraId="7207852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72 (53 – 93)</w:t>
            </w:r>
          </w:p>
        </w:tc>
      </w:tr>
      <w:tr w:rsidR="00D01028" w:rsidRPr="001079F4" w14:paraId="4215BBF4" w14:textId="77777777" w:rsidTr="00EF7EBB">
        <w:trPr>
          <w:trHeight w:val="300"/>
        </w:trPr>
        <w:tc>
          <w:tcPr>
            <w:tcW w:w="3828" w:type="dxa"/>
            <w:noWrap/>
          </w:tcPr>
          <w:p w14:paraId="060344FF"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Postprandial total </w:t>
            </w:r>
            <w:r w:rsidRPr="006300E0">
              <w:rPr>
                <w:rFonts w:ascii="Times New Roman" w:eastAsia="Times New Roman" w:hAnsi="Times New Roman" w:cs="Times New Roman"/>
                <w:sz w:val="22"/>
                <w:szCs w:val="22"/>
                <w:lang w:eastAsia="en-GB"/>
              </w:rPr>
              <w:t>PYY (pg/mL)</w:t>
            </w:r>
            <w:r w:rsidRPr="006300E0">
              <w:rPr>
                <w:rFonts w:ascii="Times New Roman" w:eastAsia="Times New Roman" w:hAnsi="Times New Roman" w:cs="Times New Roman"/>
                <w:sz w:val="22"/>
                <w:szCs w:val="22"/>
                <w:vertAlign w:val="superscript"/>
                <w:lang w:eastAsia="en-GB"/>
              </w:rPr>
              <w:t>*</w:t>
            </w:r>
          </w:p>
        </w:tc>
        <w:tc>
          <w:tcPr>
            <w:tcW w:w="1984" w:type="dxa"/>
          </w:tcPr>
          <w:p w14:paraId="467AA06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969AC3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125 (93 – 182)</w:t>
            </w:r>
          </w:p>
        </w:tc>
        <w:tc>
          <w:tcPr>
            <w:tcW w:w="2304" w:type="dxa"/>
            <w:noWrap/>
          </w:tcPr>
          <w:p w14:paraId="15FFED4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140 (120 – 185)</w:t>
            </w:r>
          </w:p>
        </w:tc>
        <w:tc>
          <w:tcPr>
            <w:tcW w:w="2303" w:type="dxa"/>
            <w:noWrap/>
          </w:tcPr>
          <w:p w14:paraId="163DB07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128 (105 – 198)</w:t>
            </w:r>
          </w:p>
        </w:tc>
        <w:tc>
          <w:tcPr>
            <w:tcW w:w="2304" w:type="dxa"/>
            <w:noWrap/>
          </w:tcPr>
          <w:p w14:paraId="57A723D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133 (91 – 159)</w:t>
            </w:r>
          </w:p>
        </w:tc>
      </w:tr>
      <w:tr w:rsidR="00D01028" w:rsidRPr="001079F4" w14:paraId="6AFE5D50" w14:textId="77777777" w:rsidTr="00EF7EBB">
        <w:trPr>
          <w:trHeight w:val="300"/>
        </w:trPr>
        <w:tc>
          <w:tcPr>
            <w:tcW w:w="3828" w:type="dxa"/>
            <w:noWrap/>
          </w:tcPr>
          <w:p w14:paraId="56D84DDD"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Fasting acylated ghrelin (pg/mL)</w:t>
            </w:r>
          </w:p>
        </w:tc>
        <w:tc>
          <w:tcPr>
            <w:tcW w:w="1984" w:type="dxa"/>
          </w:tcPr>
          <w:p w14:paraId="4330096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4E5806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43 (26 – 85)</w:t>
            </w:r>
          </w:p>
        </w:tc>
        <w:tc>
          <w:tcPr>
            <w:tcW w:w="2304" w:type="dxa"/>
            <w:noWrap/>
          </w:tcPr>
          <w:p w14:paraId="137B839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34 (28 – 53)</w:t>
            </w:r>
          </w:p>
        </w:tc>
        <w:tc>
          <w:tcPr>
            <w:tcW w:w="2303" w:type="dxa"/>
            <w:noWrap/>
          </w:tcPr>
          <w:p w14:paraId="047372E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78 (34 – 92)</w:t>
            </w:r>
          </w:p>
        </w:tc>
        <w:tc>
          <w:tcPr>
            <w:tcW w:w="2304" w:type="dxa"/>
            <w:noWrap/>
          </w:tcPr>
          <w:p w14:paraId="5C0C9D6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64 (35 – 92)</w:t>
            </w:r>
          </w:p>
        </w:tc>
      </w:tr>
      <w:tr w:rsidR="00D01028" w:rsidRPr="001079F4" w14:paraId="677F6819" w14:textId="77777777" w:rsidTr="00EF7EBB">
        <w:trPr>
          <w:trHeight w:val="300"/>
        </w:trPr>
        <w:tc>
          <w:tcPr>
            <w:tcW w:w="3828" w:type="dxa"/>
            <w:noWrap/>
          </w:tcPr>
          <w:p w14:paraId="3B4EC66A"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a</w:t>
            </w:r>
            <w:r w:rsidRPr="006300E0">
              <w:rPr>
                <w:rFonts w:ascii="Times New Roman" w:eastAsia="Times New Roman" w:hAnsi="Times New Roman" w:cs="Times New Roman"/>
                <w:sz w:val="22"/>
                <w:szCs w:val="22"/>
                <w:lang w:eastAsia="en-GB"/>
              </w:rPr>
              <w:t>cylated ghrelin (pg/mL)</w:t>
            </w:r>
            <w:r w:rsidRPr="006300E0">
              <w:rPr>
                <w:rFonts w:ascii="Times New Roman" w:eastAsia="Times New Roman" w:hAnsi="Times New Roman" w:cs="Times New Roman"/>
                <w:sz w:val="22"/>
                <w:szCs w:val="22"/>
                <w:vertAlign w:val="superscript"/>
                <w:lang w:eastAsia="en-GB"/>
              </w:rPr>
              <w:t>*</w:t>
            </w:r>
          </w:p>
        </w:tc>
        <w:tc>
          <w:tcPr>
            <w:tcW w:w="1984" w:type="dxa"/>
          </w:tcPr>
          <w:p w14:paraId="581EB03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C5A1FE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20 (13 – 55)</w:t>
            </w:r>
          </w:p>
        </w:tc>
        <w:tc>
          <w:tcPr>
            <w:tcW w:w="2304" w:type="dxa"/>
            <w:noWrap/>
          </w:tcPr>
          <w:p w14:paraId="1887453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18 (11 – 32)</w:t>
            </w:r>
          </w:p>
        </w:tc>
        <w:tc>
          <w:tcPr>
            <w:tcW w:w="2303" w:type="dxa"/>
            <w:noWrap/>
          </w:tcPr>
          <w:p w14:paraId="1877872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34 (17 – 51)</w:t>
            </w:r>
          </w:p>
        </w:tc>
        <w:tc>
          <w:tcPr>
            <w:tcW w:w="2304" w:type="dxa"/>
            <w:noWrap/>
          </w:tcPr>
          <w:p w14:paraId="3C88CF2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27 (17 – 75)</w:t>
            </w:r>
          </w:p>
        </w:tc>
      </w:tr>
      <w:tr w:rsidR="00D01028" w:rsidRPr="001079F4" w14:paraId="5B068DC1" w14:textId="77777777" w:rsidTr="00EF7EBB">
        <w:trPr>
          <w:trHeight w:val="300"/>
        </w:trPr>
        <w:tc>
          <w:tcPr>
            <w:tcW w:w="3828" w:type="dxa"/>
            <w:noWrap/>
          </w:tcPr>
          <w:p w14:paraId="1DC986FD"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Fasting total GLP-1 (pmol/L)</w:t>
            </w:r>
          </w:p>
        </w:tc>
        <w:tc>
          <w:tcPr>
            <w:tcW w:w="1984" w:type="dxa"/>
          </w:tcPr>
          <w:p w14:paraId="574C4DB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54E02A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32 (22 – 42)</w:t>
            </w:r>
          </w:p>
        </w:tc>
        <w:tc>
          <w:tcPr>
            <w:tcW w:w="2304" w:type="dxa"/>
            <w:noWrap/>
          </w:tcPr>
          <w:p w14:paraId="3CC7A73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33 (25 – 36)</w:t>
            </w:r>
          </w:p>
        </w:tc>
        <w:tc>
          <w:tcPr>
            <w:tcW w:w="2303" w:type="dxa"/>
            <w:noWrap/>
          </w:tcPr>
          <w:p w14:paraId="5266C2D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30 (22 – 48)</w:t>
            </w:r>
          </w:p>
        </w:tc>
        <w:tc>
          <w:tcPr>
            <w:tcW w:w="2304" w:type="dxa"/>
            <w:noWrap/>
          </w:tcPr>
          <w:p w14:paraId="4B4CC3F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30 (25 – 36)</w:t>
            </w:r>
          </w:p>
        </w:tc>
      </w:tr>
      <w:tr w:rsidR="00D01028" w:rsidRPr="001079F4" w14:paraId="2C7E2537" w14:textId="77777777" w:rsidTr="00EF7EBB">
        <w:trPr>
          <w:trHeight w:val="300"/>
        </w:trPr>
        <w:tc>
          <w:tcPr>
            <w:tcW w:w="3828" w:type="dxa"/>
            <w:noWrap/>
          </w:tcPr>
          <w:p w14:paraId="257919B4"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t</w:t>
            </w:r>
            <w:r w:rsidRPr="006300E0">
              <w:rPr>
                <w:rFonts w:ascii="Times New Roman" w:eastAsia="Times New Roman" w:hAnsi="Times New Roman" w:cs="Times New Roman"/>
                <w:sz w:val="22"/>
                <w:szCs w:val="22"/>
                <w:lang w:eastAsia="en-GB"/>
              </w:rPr>
              <w:t>otal GLP-1 (pmol/L)</w:t>
            </w:r>
            <w:r w:rsidRPr="006300E0">
              <w:rPr>
                <w:rFonts w:ascii="Times New Roman" w:eastAsia="Times New Roman" w:hAnsi="Times New Roman" w:cs="Times New Roman"/>
                <w:sz w:val="22"/>
                <w:szCs w:val="22"/>
                <w:vertAlign w:val="superscript"/>
                <w:lang w:eastAsia="en-GB"/>
              </w:rPr>
              <w:t>*</w:t>
            </w:r>
          </w:p>
        </w:tc>
        <w:tc>
          <w:tcPr>
            <w:tcW w:w="1984" w:type="dxa"/>
          </w:tcPr>
          <w:p w14:paraId="31DBDA2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A4C896B"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47 (40 – 51)</w:t>
            </w:r>
          </w:p>
        </w:tc>
        <w:tc>
          <w:tcPr>
            <w:tcW w:w="2304" w:type="dxa"/>
            <w:noWrap/>
          </w:tcPr>
          <w:p w14:paraId="4540AEC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42 (38 – 53)</w:t>
            </w:r>
          </w:p>
        </w:tc>
        <w:tc>
          <w:tcPr>
            <w:tcW w:w="2303" w:type="dxa"/>
            <w:noWrap/>
          </w:tcPr>
          <w:p w14:paraId="5D7CF6A2"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46 (34 – 61)</w:t>
            </w:r>
          </w:p>
        </w:tc>
        <w:tc>
          <w:tcPr>
            <w:tcW w:w="2304" w:type="dxa"/>
            <w:noWrap/>
          </w:tcPr>
          <w:p w14:paraId="1E0E7A7F"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44 (32 – 51)</w:t>
            </w:r>
          </w:p>
        </w:tc>
      </w:tr>
      <w:tr w:rsidR="00D01028" w:rsidRPr="001079F4" w14:paraId="36448510" w14:textId="77777777" w:rsidTr="00EF7EBB">
        <w:trPr>
          <w:trHeight w:val="300"/>
        </w:trPr>
        <w:tc>
          <w:tcPr>
            <w:tcW w:w="3828" w:type="dxa"/>
            <w:noWrap/>
          </w:tcPr>
          <w:p w14:paraId="7E6688F7"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Fasting leptin (n</w:t>
            </w:r>
            <w:r w:rsidRPr="006300E0">
              <w:rPr>
                <w:rFonts w:ascii="Times New Roman" w:eastAsia="Times New Roman" w:hAnsi="Times New Roman" w:cs="Times New Roman"/>
                <w:sz w:val="22"/>
                <w:szCs w:val="22"/>
                <w:lang w:eastAsia="en-GB"/>
              </w:rPr>
              <w:t>g/mL)</w:t>
            </w:r>
          </w:p>
        </w:tc>
        <w:tc>
          <w:tcPr>
            <w:tcW w:w="1984" w:type="dxa"/>
          </w:tcPr>
          <w:p w14:paraId="3EA171B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5293D78A" w14:textId="3F7A15C2"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r w:rsidRPr="006300E0">
              <w:rPr>
                <w:rFonts w:ascii="Times New Roman" w:eastAsia="Times New Roman" w:hAnsi="Times New Roman" w:cs="Times New Roman"/>
                <w:sz w:val="22"/>
                <w:szCs w:val="22"/>
                <w:lang w:eastAsia="en-GB"/>
              </w:rPr>
              <w:t xml:space="preserve">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r w:rsidRPr="006300E0">
              <w:rPr>
                <w:rFonts w:ascii="Times New Roman" w:eastAsia="Times New Roman" w:hAnsi="Times New Roman" w:cs="Times New Roman"/>
                <w:sz w:val="22"/>
                <w:szCs w:val="22"/>
                <w:lang w:eastAsia="en-GB"/>
              </w:rPr>
              <w:t xml:space="preserve"> – 32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r w:rsidRPr="006300E0">
              <w:rPr>
                <w:rFonts w:ascii="Times New Roman" w:eastAsia="Times New Roman" w:hAnsi="Times New Roman" w:cs="Times New Roman"/>
                <w:sz w:val="22"/>
                <w:szCs w:val="22"/>
                <w:lang w:eastAsia="en-GB"/>
              </w:rPr>
              <w:t>)</w:t>
            </w:r>
          </w:p>
        </w:tc>
        <w:tc>
          <w:tcPr>
            <w:tcW w:w="2304" w:type="dxa"/>
            <w:noWrap/>
          </w:tcPr>
          <w:p w14:paraId="0CC0981C" w14:textId="35AC78F6"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r w:rsidRPr="006300E0">
              <w:rPr>
                <w:rFonts w:ascii="Times New Roman" w:eastAsia="Times New Roman" w:hAnsi="Times New Roman" w:cs="Times New Roman"/>
                <w:sz w:val="22"/>
                <w:szCs w:val="22"/>
                <w:lang w:eastAsia="en-GB"/>
              </w:rPr>
              <w:t xml:space="preserve"> (9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r w:rsidRPr="006300E0">
              <w:rPr>
                <w:rFonts w:ascii="Times New Roman" w:eastAsia="Times New Roman" w:hAnsi="Times New Roman" w:cs="Times New Roman"/>
                <w:sz w:val="22"/>
                <w:szCs w:val="22"/>
                <w:lang w:eastAsia="en-GB"/>
              </w:rPr>
              <w:t xml:space="preserve"> – 16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p>
        </w:tc>
        <w:tc>
          <w:tcPr>
            <w:tcW w:w="2303" w:type="dxa"/>
            <w:noWrap/>
          </w:tcPr>
          <w:p w14:paraId="53982EE1" w14:textId="7AA158A5"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w:t>
            </w: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6300E0">
              <w:rPr>
                <w:rFonts w:ascii="Times New Roman" w:eastAsia="Times New Roman" w:hAnsi="Times New Roman" w:cs="Times New Roman"/>
                <w:sz w:val="22"/>
                <w:szCs w:val="22"/>
                <w:lang w:eastAsia="en-GB"/>
              </w:rPr>
              <w:t xml:space="preserve"> (11</w:t>
            </w:r>
            <w:r w:rsidR="00563D5A">
              <w:rPr>
                <w:rFonts w:ascii="Times New Roman" w:eastAsia="Times New Roman" w:hAnsi="Times New Roman" w:cs="Times New Roman"/>
                <w:sz w:val="22"/>
                <w:szCs w:val="22"/>
                <w:lang w:eastAsia="en-GB"/>
              </w:rPr>
              <w:t>.</w:t>
            </w:r>
            <w:r w:rsidRPr="006300E0">
              <w:rPr>
                <w:rFonts w:ascii="Times New Roman" w:eastAsia="Times New Roman" w:hAnsi="Times New Roman" w:cs="Times New Roman"/>
                <w:sz w:val="22"/>
                <w:szCs w:val="22"/>
                <w:lang w:eastAsia="en-GB"/>
              </w:rPr>
              <w:t>1 – 30</w:t>
            </w:r>
            <w:r w:rsidR="00563D5A">
              <w:rPr>
                <w:rFonts w:ascii="Times New Roman" w:eastAsia="Times New Roman" w:hAnsi="Times New Roman" w:cs="Times New Roman"/>
                <w:sz w:val="22"/>
                <w:szCs w:val="22"/>
                <w:lang w:eastAsia="en-GB"/>
              </w:rPr>
              <w:t>.</w:t>
            </w:r>
            <w:r w:rsidRPr="006300E0">
              <w:rPr>
                <w:rFonts w:ascii="Times New Roman" w:eastAsia="Times New Roman" w:hAnsi="Times New Roman" w:cs="Times New Roman"/>
                <w:sz w:val="22"/>
                <w:szCs w:val="22"/>
                <w:lang w:eastAsia="en-GB"/>
              </w:rPr>
              <w:t>3)</w:t>
            </w:r>
          </w:p>
        </w:tc>
        <w:tc>
          <w:tcPr>
            <w:tcW w:w="2304" w:type="dxa"/>
            <w:noWrap/>
          </w:tcPr>
          <w:p w14:paraId="104B5D3C" w14:textId="6540B06D"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10</w:t>
            </w:r>
            <w:r w:rsidR="00563D5A">
              <w:rPr>
                <w:rFonts w:ascii="Times New Roman" w:eastAsia="Times New Roman" w:hAnsi="Times New Roman" w:cs="Times New Roman"/>
                <w:sz w:val="22"/>
                <w:szCs w:val="22"/>
                <w:lang w:eastAsia="en-GB"/>
              </w:rPr>
              <w:t>.</w:t>
            </w:r>
            <w:r w:rsidRPr="006300E0">
              <w:rPr>
                <w:rFonts w:ascii="Times New Roman" w:eastAsia="Times New Roman" w:hAnsi="Times New Roman" w:cs="Times New Roman"/>
                <w:sz w:val="22"/>
                <w:szCs w:val="22"/>
                <w:lang w:eastAsia="en-GB"/>
              </w:rPr>
              <w:t>7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r w:rsidRPr="006300E0">
              <w:rPr>
                <w:rFonts w:ascii="Times New Roman" w:eastAsia="Times New Roman" w:hAnsi="Times New Roman" w:cs="Times New Roman"/>
                <w:sz w:val="22"/>
                <w:szCs w:val="22"/>
                <w:lang w:eastAsia="en-GB"/>
              </w:rPr>
              <w:t xml:space="preserve"> – 36</w:t>
            </w:r>
            <w:r w:rsidR="00563D5A">
              <w:rPr>
                <w:rFonts w:ascii="Times New Roman" w:eastAsia="Times New Roman" w:hAnsi="Times New Roman" w:cs="Times New Roman"/>
                <w:sz w:val="22"/>
                <w:szCs w:val="22"/>
                <w:lang w:eastAsia="en-GB"/>
              </w:rPr>
              <w:t>.</w:t>
            </w:r>
            <w:r w:rsidRPr="006300E0">
              <w:rPr>
                <w:rFonts w:ascii="Times New Roman" w:eastAsia="Times New Roman" w:hAnsi="Times New Roman" w:cs="Times New Roman"/>
                <w:sz w:val="22"/>
                <w:szCs w:val="22"/>
                <w:lang w:eastAsia="en-GB"/>
              </w:rPr>
              <w:t>7)</w:t>
            </w:r>
          </w:p>
        </w:tc>
      </w:tr>
      <w:tr w:rsidR="00D01028" w:rsidRPr="001079F4" w14:paraId="07BBEB99" w14:textId="77777777" w:rsidTr="00EF7EBB">
        <w:trPr>
          <w:trHeight w:val="300"/>
        </w:trPr>
        <w:tc>
          <w:tcPr>
            <w:tcW w:w="3828" w:type="dxa"/>
            <w:noWrap/>
          </w:tcPr>
          <w:p w14:paraId="7DB18E7A" w14:textId="77777777" w:rsidR="00D01028" w:rsidRPr="001079F4" w:rsidRDefault="00D01028" w:rsidP="00D01028">
            <w:pPr>
              <w:spacing w:line="23" w:lineRule="atLeast"/>
              <w:rPr>
                <w:rFonts w:ascii="Times New Roman" w:eastAsia="Times New Roman" w:hAnsi="Times New Roman" w:cs="Times New Roman"/>
                <w:sz w:val="22"/>
                <w:szCs w:val="22"/>
                <w:lang w:eastAsia="en-GB"/>
              </w:rPr>
            </w:pPr>
            <w:r w:rsidRPr="006300E0">
              <w:rPr>
                <w:rFonts w:ascii="Times New Roman" w:eastAsia="Times New Roman" w:hAnsi="Times New Roman" w:cs="Times New Roman"/>
                <w:i/>
                <w:sz w:val="22"/>
                <w:szCs w:val="22"/>
                <w:lang w:eastAsia="en-GB"/>
              </w:rPr>
              <w:t>Three-factor eating questionnaire dimensions</w:t>
            </w:r>
          </w:p>
        </w:tc>
        <w:tc>
          <w:tcPr>
            <w:tcW w:w="1984" w:type="dxa"/>
          </w:tcPr>
          <w:p w14:paraId="1FB3CC1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4FA96C3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31AA50D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DEC9C3A"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4" w:type="dxa"/>
            <w:noWrap/>
          </w:tcPr>
          <w:p w14:paraId="29323F87"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r>
      <w:tr w:rsidR="00D01028" w:rsidRPr="001079F4" w14:paraId="0AD5394D" w14:textId="77777777" w:rsidTr="00EF7EBB">
        <w:trPr>
          <w:trHeight w:val="300"/>
        </w:trPr>
        <w:tc>
          <w:tcPr>
            <w:tcW w:w="3828" w:type="dxa"/>
            <w:noWrap/>
          </w:tcPr>
          <w:p w14:paraId="4F49FFFB"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Cognitive restraint (AU)</w:t>
            </w:r>
          </w:p>
        </w:tc>
        <w:tc>
          <w:tcPr>
            <w:tcW w:w="1984" w:type="dxa"/>
          </w:tcPr>
          <w:p w14:paraId="64EE314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0E441C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25 (22 – 29)</w:t>
            </w:r>
          </w:p>
        </w:tc>
        <w:tc>
          <w:tcPr>
            <w:tcW w:w="2304" w:type="dxa"/>
            <w:noWrap/>
          </w:tcPr>
          <w:p w14:paraId="6FBBA3B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26 (22 – 29)</w:t>
            </w:r>
          </w:p>
        </w:tc>
        <w:tc>
          <w:tcPr>
            <w:tcW w:w="2303" w:type="dxa"/>
            <w:noWrap/>
          </w:tcPr>
          <w:p w14:paraId="0C838C9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28 (21 – 32)</w:t>
            </w:r>
          </w:p>
        </w:tc>
        <w:tc>
          <w:tcPr>
            <w:tcW w:w="2304" w:type="dxa"/>
            <w:noWrap/>
          </w:tcPr>
          <w:p w14:paraId="2DB4C423"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29 (23 – 33)</w:t>
            </w:r>
          </w:p>
        </w:tc>
      </w:tr>
      <w:tr w:rsidR="00D01028" w:rsidRPr="001079F4" w14:paraId="2061F612" w14:textId="77777777" w:rsidTr="00EF7EBB">
        <w:trPr>
          <w:trHeight w:val="300"/>
        </w:trPr>
        <w:tc>
          <w:tcPr>
            <w:tcW w:w="3828" w:type="dxa"/>
            <w:noWrap/>
          </w:tcPr>
          <w:p w14:paraId="3103F67F"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Disinhibition (AU)</w:t>
            </w:r>
          </w:p>
        </w:tc>
        <w:tc>
          <w:tcPr>
            <w:tcW w:w="1984" w:type="dxa"/>
          </w:tcPr>
          <w:p w14:paraId="00143078"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2194264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9 (8 – 14)</w:t>
            </w:r>
          </w:p>
        </w:tc>
        <w:tc>
          <w:tcPr>
            <w:tcW w:w="2304" w:type="dxa"/>
            <w:noWrap/>
          </w:tcPr>
          <w:p w14:paraId="4B8CBACC"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14 (8 – 17)</w:t>
            </w:r>
          </w:p>
        </w:tc>
        <w:tc>
          <w:tcPr>
            <w:tcW w:w="2303" w:type="dxa"/>
            <w:noWrap/>
          </w:tcPr>
          <w:p w14:paraId="70E6FF25"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15 (7 – 18)</w:t>
            </w:r>
          </w:p>
        </w:tc>
        <w:tc>
          <w:tcPr>
            <w:tcW w:w="2304" w:type="dxa"/>
            <w:noWrap/>
          </w:tcPr>
          <w:p w14:paraId="68D722E1"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10 (9 – 14)</w:t>
            </w:r>
          </w:p>
        </w:tc>
      </w:tr>
      <w:tr w:rsidR="00D01028" w:rsidRPr="001079F4" w14:paraId="443DBDC8" w14:textId="77777777" w:rsidTr="00EF7EBB">
        <w:trPr>
          <w:trHeight w:val="300"/>
        </w:trPr>
        <w:tc>
          <w:tcPr>
            <w:tcW w:w="3828" w:type="dxa"/>
            <w:noWrap/>
          </w:tcPr>
          <w:p w14:paraId="6929CC54" w14:textId="77777777" w:rsidR="00D01028" w:rsidRPr="001079F4" w:rsidRDefault="00D01028" w:rsidP="00D01028">
            <w:pPr>
              <w:spacing w:line="23" w:lineRule="atLeast"/>
              <w:ind w:left="175"/>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Hunger (AU)</w:t>
            </w:r>
          </w:p>
        </w:tc>
        <w:tc>
          <w:tcPr>
            <w:tcW w:w="1984" w:type="dxa"/>
          </w:tcPr>
          <w:p w14:paraId="0390B0C6"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p>
        </w:tc>
        <w:tc>
          <w:tcPr>
            <w:tcW w:w="2303" w:type="dxa"/>
            <w:noWrap/>
          </w:tcPr>
          <w:p w14:paraId="60DA51E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10 (8 – 11)</w:t>
            </w:r>
          </w:p>
        </w:tc>
        <w:tc>
          <w:tcPr>
            <w:tcW w:w="2304" w:type="dxa"/>
            <w:noWrap/>
          </w:tcPr>
          <w:p w14:paraId="3283F630"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11 (10 – 14)</w:t>
            </w:r>
          </w:p>
        </w:tc>
        <w:tc>
          <w:tcPr>
            <w:tcW w:w="2303" w:type="dxa"/>
            <w:noWrap/>
          </w:tcPr>
          <w:p w14:paraId="0B8853ED"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11 (10 – 16)</w:t>
            </w:r>
          </w:p>
        </w:tc>
        <w:tc>
          <w:tcPr>
            <w:tcW w:w="2304" w:type="dxa"/>
            <w:noWrap/>
          </w:tcPr>
          <w:p w14:paraId="08085F54" w14:textId="77777777" w:rsidR="00D01028" w:rsidRPr="001079F4" w:rsidRDefault="00D01028" w:rsidP="00D01028">
            <w:pPr>
              <w:spacing w:line="23" w:lineRule="atLeast"/>
              <w:jc w:val="center"/>
              <w:rPr>
                <w:rFonts w:ascii="Times New Roman" w:eastAsia="Times New Roman" w:hAnsi="Times New Roman" w:cs="Times New Roman"/>
                <w:sz w:val="22"/>
                <w:szCs w:val="22"/>
                <w:lang w:eastAsia="en-GB"/>
              </w:rPr>
            </w:pPr>
            <w:r w:rsidRPr="006300E0">
              <w:rPr>
                <w:rFonts w:ascii="Times New Roman" w:eastAsia="Times New Roman" w:hAnsi="Times New Roman" w:cs="Times New Roman"/>
                <w:sz w:val="22"/>
                <w:szCs w:val="22"/>
                <w:lang w:eastAsia="en-GB"/>
              </w:rPr>
              <w:t>10 (8 – 13)</w:t>
            </w:r>
          </w:p>
        </w:tc>
      </w:tr>
    </w:tbl>
    <w:p w14:paraId="74DFECDA" w14:textId="77777777" w:rsidR="00F04B2B" w:rsidRDefault="00F04B2B" w:rsidP="00C95A4D">
      <w:pPr>
        <w:spacing w:line="480" w:lineRule="auto"/>
        <w:jc w:val="both"/>
        <w:rPr>
          <w:rFonts w:ascii="Times New Roman" w:hAnsi="Times New Roman" w:cs="Times New Roman"/>
        </w:rPr>
      </w:pPr>
    </w:p>
    <w:p w14:paraId="2AA5ADBE" w14:textId="285E8E48" w:rsidR="00F04B2B" w:rsidRDefault="00C95A4D" w:rsidP="00C95A4D">
      <w:pPr>
        <w:spacing w:line="480" w:lineRule="auto"/>
        <w:jc w:val="both"/>
        <w:rPr>
          <w:rFonts w:ascii="Times New Roman" w:hAnsi="Times New Roman" w:cs="Times New Roman"/>
          <w:bCs/>
        </w:rPr>
        <w:sectPr w:rsidR="00F04B2B" w:rsidSect="00EF7EBB">
          <w:pgSz w:w="16840" w:h="11900" w:orient="landscape"/>
          <w:pgMar w:top="1440" w:right="1440" w:bottom="1440" w:left="1440" w:header="708" w:footer="708" w:gutter="0"/>
          <w:cols w:space="708"/>
          <w:docGrid w:linePitch="360"/>
        </w:sectPr>
      </w:pPr>
      <w:r>
        <w:rPr>
          <w:rFonts w:ascii="Times New Roman" w:hAnsi="Times New Roman" w:cs="Times New Roman"/>
        </w:rPr>
        <w:t>Continuous and categorical data presented as median (interquartile range) and frequency (%), respectively</w:t>
      </w:r>
      <w:r w:rsidR="00F04B2B">
        <w:rPr>
          <w:rFonts w:ascii="Times New Roman" w:hAnsi="Times New Roman" w:cs="Times New Roman"/>
        </w:rPr>
        <w:t>.</w:t>
      </w:r>
      <w:r>
        <w:rPr>
          <w:rFonts w:ascii="Times New Roman" w:hAnsi="Times New Roman" w:cs="Times New Roman"/>
        </w:rPr>
        <w:t xml:space="preserve"> </w:t>
      </w:r>
      <w:r w:rsidRPr="00B4413A">
        <w:rPr>
          <w:rFonts w:ascii="Times New Roman" w:hAnsi="Times New Roman" w:cs="Times New Roman"/>
          <w:bCs/>
          <w:vertAlign w:val="superscript"/>
        </w:rPr>
        <w:t>*</w:t>
      </w:r>
      <w:r w:rsidRPr="00B4413A">
        <w:rPr>
          <w:rFonts w:ascii="Times New Roman" w:hAnsi="Times New Roman" w:cs="Times New Roman"/>
          <w:bCs/>
        </w:rPr>
        <w:t xml:space="preserve">calculated as time-averaged area under the </w:t>
      </w:r>
      <w:r>
        <w:rPr>
          <w:rFonts w:ascii="Times New Roman" w:hAnsi="Times New Roman" w:cs="Times New Roman"/>
          <w:bCs/>
        </w:rPr>
        <w:t xml:space="preserve">concentration-time </w:t>
      </w:r>
      <w:r w:rsidR="00306012">
        <w:rPr>
          <w:rFonts w:ascii="Times New Roman" w:hAnsi="Times New Roman" w:cs="Times New Roman"/>
          <w:bCs/>
        </w:rPr>
        <w:t>curve during the standardi</w:t>
      </w:r>
      <w:r w:rsidR="002B7883">
        <w:rPr>
          <w:rFonts w:ascii="Times New Roman" w:hAnsi="Times New Roman" w:cs="Times New Roman"/>
          <w:bCs/>
        </w:rPr>
        <w:t>s</w:t>
      </w:r>
      <w:r w:rsidRPr="00B4413A">
        <w:rPr>
          <w:rFonts w:ascii="Times New Roman" w:hAnsi="Times New Roman" w:cs="Times New Roman"/>
          <w:bCs/>
        </w:rPr>
        <w:t>ed 3-hour mixed meal tolerance test</w:t>
      </w:r>
      <w:r w:rsidR="00F04B2B">
        <w:rPr>
          <w:rFonts w:ascii="Times New Roman" w:hAnsi="Times New Roman" w:cs="Times New Roman"/>
          <w:bCs/>
        </w:rPr>
        <w:t>.</w:t>
      </w:r>
      <w:r>
        <w:rPr>
          <w:rFonts w:ascii="Times New Roman" w:hAnsi="Times New Roman" w:cs="Times New Roman"/>
          <w:bCs/>
        </w:rPr>
        <w:t xml:space="preserve"> </w:t>
      </w:r>
      <w:r>
        <w:rPr>
          <w:rFonts w:ascii="Times New Roman" w:hAnsi="Times New Roman" w:cs="Times New Roman"/>
        </w:rPr>
        <w:t xml:space="preserve">Abbreviations: </w:t>
      </w:r>
      <w:r w:rsidRPr="00B4413A">
        <w:rPr>
          <w:rFonts w:ascii="Times New Roman" w:hAnsi="Times New Roman" w:cs="Times New Roman"/>
          <w:bCs/>
        </w:rPr>
        <w:t xml:space="preserve">AU, arbitrary units; </w:t>
      </w:r>
      <w:r>
        <w:rPr>
          <w:rFonts w:ascii="Times New Roman" w:hAnsi="Times New Roman" w:cs="Times New Roman"/>
        </w:rPr>
        <w:t xml:space="preserve">eGFR, estimated glomerular filtration rate; </w:t>
      </w:r>
      <w:r w:rsidRPr="00B4413A">
        <w:rPr>
          <w:rFonts w:ascii="Times New Roman" w:hAnsi="Times New Roman" w:cs="Times New Roman"/>
          <w:bCs/>
        </w:rPr>
        <w:t xml:space="preserve">GLP-1, glucagon-like peptide-1; </w:t>
      </w:r>
      <w:r>
        <w:rPr>
          <w:rFonts w:ascii="Times New Roman" w:hAnsi="Times New Roman" w:cs="Times New Roman"/>
        </w:rPr>
        <w:t xml:space="preserve">HbA1c, glycated </w:t>
      </w:r>
      <w:r w:rsidR="006845C7">
        <w:rPr>
          <w:rFonts w:ascii="Times New Roman" w:hAnsi="Times New Roman" w:cs="Times New Roman"/>
        </w:rPr>
        <w:t>haemoglobin</w:t>
      </w:r>
      <w:r>
        <w:rPr>
          <w:rFonts w:ascii="Times New Roman" w:hAnsi="Times New Roman" w:cs="Times New Roman"/>
        </w:rPr>
        <w:t xml:space="preserve">; </w:t>
      </w:r>
      <w:r w:rsidRPr="00B4413A">
        <w:rPr>
          <w:rFonts w:ascii="Times New Roman" w:hAnsi="Times New Roman" w:cs="Times New Roman"/>
          <w:bCs/>
        </w:rPr>
        <w:t>PYY, peptide YY</w:t>
      </w:r>
      <w:r w:rsidR="00F04B2B">
        <w:rPr>
          <w:rFonts w:ascii="Times New Roman" w:hAnsi="Times New Roman" w:cs="Times New Roman"/>
          <w:bCs/>
        </w:rPr>
        <w:t>.</w:t>
      </w:r>
    </w:p>
    <w:p w14:paraId="6D8D7DB7" w14:textId="0F11C968" w:rsidR="00C95A4D" w:rsidRDefault="00C95A4D" w:rsidP="00C95A4D">
      <w:pPr>
        <w:spacing w:line="480" w:lineRule="auto"/>
        <w:jc w:val="both"/>
        <w:rPr>
          <w:rFonts w:ascii="Times New Roman" w:hAnsi="Times New Roman" w:cs="Times New Roman"/>
          <w:b/>
          <w:bCs/>
        </w:rPr>
      </w:pPr>
      <w:r w:rsidRPr="00081FC8">
        <w:rPr>
          <w:rFonts w:ascii="Times New Roman" w:hAnsi="Times New Roman" w:cs="Times New Roman"/>
          <w:b/>
          <w:bCs/>
        </w:rPr>
        <w:t xml:space="preserve">Table </w:t>
      </w:r>
      <w:r>
        <w:rPr>
          <w:rFonts w:ascii="Times New Roman" w:hAnsi="Times New Roman" w:cs="Times New Roman"/>
          <w:b/>
          <w:bCs/>
        </w:rPr>
        <w:t>2</w:t>
      </w:r>
      <w:r w:rsidRPr="00081FC8">
        <w:rPr>
          <w:rFonts w:ascii="Times New Roman" w:hAnsi="Times New Roman" w:cs="Times New Roman"/>
          <w:b/>
          <w:bCs/>
        </w:rPr>
        <w:t xml:space="preserve"> – </w:t>
      </w:r>
      <w:r>
        <w:rPr>
          <w:rFonts w:ascii="Times New Roman" w:hAnsi="Times New Roman" w:cs="Times New Roman"/>
          <w:b/>
          <w:bCs/>
        </w:rPr>
        <w:t>Primary and key secondary outcomes: differences between experimental groups (placebo-plus-diet, empagliflozin-only, and empagliflozin-plus-diet) and placebo-only at 24 weeks</w:t>
      </w:r>
    </w:p>
    <w:tbl>
      <w:tblPr>
        <w:tblStyle w:val="TableGrid"/>
        <w:tblpPr w:leftFromText="181" w:rightFromText="181" w:vertAnchor="text" w:tblpX="-730" w:tblpY="1"/>
        <w:tblOverlap w:val="never"/>
        <w:tblW w:w="15446" w:type="dxa"/>
        <w:tblLayout w:type="fixed"/>
        <w:tblLook w:val="04A0" w:firstRow="1" w:lastRow="0" w:firstColumn="1" w:lastColumn="0" w:noHBand="0" w:noVBand="1"/>
      </w:tblPr>
      <w:tblGrid>
        <w:gridCol w:w="4258"/>
        <w:gridCol w:w="567"/>
        <w:gridCol w:w="2268"/>
        <w:gridCol w:w="851"/>
        <w:gridCol w:w="567"/>
        <w:gridCol w:w="2268"/>
        <w:gridCol w:w="850"/>
        <w:gridCol w:w="567"/>
        <w:gridCol w:w="2268"/>
        <w:gridCol w:w="982"/>
      </w:tblGrid>
      <w:tr w:rsidR="00F04B2B" w:rsidRPr="009D0DB0" w14:paraId="03B3909D" w14:textId="77777777" w:rsidTr="001E6CCC">
        <w:trPr>
          <w:trHeight w:val="20"/>
        </w:trPr>
        <w:tc>
          <w:tcPr>
            <w:tcW w:w="4258" w:type="dxa"/>
            <w:noWrap/>
          </w:tcPr>
          <w:p w14:paraId="33A71284" w14:textId="77777777" w:rsidR="00F04B2B" w:rsidRPr="009D0DB0" w:rsidRDefault="00F04B2B" w:rsidP="00DB58AA">
            <w:pPr>
              <w:spacing w:line="23" w:lineRule="atLeast"/>
              <w:ind w:left="175"/>
              <w:jc w:val="center"/>
              <w:rPr>
                <w:rFonts w:ascii="Times New Roman" w:eastAsia="Times New Roman" w:hAnsi="Times New Roman" w:cs="Times New Roman"/>
                <w:b/>
                <w:bCs/>
                <w:sz w:val="22"/>
                <w:szCs w:val="22"/>
                <w:lang w:eastAsia="en-GB"/>
              </w:rPr>
            </w:pPr>
          </w:p>
        </w:tc>
        <w:tc>
          <w:tcPr>
            <w:tcW w:w="3686" w:type="dxa"/>
            <w:gridSpan w:val="3"/>
          </w:tcPr>
          <w:p w14:paraId="2B7E3276" w14:textId="77777777" w:rsidR="00F04B2B" w:rsidRPr="009D0DB0" w:rsidRDefault="00F04B2B" w:rsidP="00DB58AA">
            <w:pPr>
              <w:spacing w:line="23" w:lineRule="atLeast"/>
              <w:jc w:val="center"/>
              <w:rPr>
                <w:rFonts w:ascii="Times New Roman" w:eastAsia="Times New Roman" w:hAnsi="Times New Roman" w:cs="Times New Roman"/>
                <w:b/>
                <w:bCs/>
                <w:sz w:val="22"/>
                <w:szCs w:val="22"/>
                <w:lang w:eastAsia="en-GB"/>
              </w:rPr>
            </w:pPr>
            <w:r>
              <w:rPr>
                <w:rFonts w:ascii="Times New Roman" w:eastAsia="Times New Roman" w:hAnsi="Times New Roman" w:cs="Times New Roman"/>
                <w:b/>
                <w:bCs/>
                <w:sz w:val="22"/>
                <w:szCs w:val="22"/>
                <w:lang w:eastAsia="en-GB"/>
              </w:rPr>
              <w:t>Placebo-plus-diet</w:t>
            </w:r>
          </w:p>
        </w:tc>
        <w:tc>
          <w:tcPr>
            <w:tcW w:w="3685" w:type="dxa"/>
            <w:gridSpan w:val="3"/>
            <w:noWrap/>
          </w:tcPr>
          <w:p w14:paraId="2362B0E9" w14:textId="77777777" w:rsidR="00F04B2B" w:rsidRPr="009D0DB0" w:rsidRDefault="00F04B2B" w:rsidP="00DB58AA">
            <w:pPr>
              <w:spacing w:line="23" w:lineRule="atLeast"/>
              <w:jc w:val="center"/>
              <w:rPr>
                <w:rFonts w:ascii="Times New Roman" w:eastAsia="Times New Roman" w:hAnsi="Times New Roman" w:cs="Times New Roman"/>
                <w:bCs/>
                <w:sz w:val="22"/>
                <w:szCs w:val="22"/>
                <w:lang w:eastAsia="en-GB"/>
              </w:rPr>
            </w:pPr>
            <w:r>
              <w:rPr>
                <w:rFonts w:ascii="Times New Roman" w:eastAsia="Times New Roman" w:hAnsi="Times New Roman" w:cs="Times New Roman"/>
                <w:b/>
                <w:bCs/>
                <w:sz w:val="22"/>
                <w:szCs w:val="22"/>
                <w:lang w:eastAsia="en-GB"/>
              </w:rPr>
              <w:t>Empagliflozin-only</w:t>
            </w:r>
          </w:p>
        </w:tc>
        <w:tc>
          <w:tcPr>
            <w:tcW w:w="3817" w:type="dxa"/>
            <w:gridSpan w:val="3"/>
          </w:tcPr>
          <w:p w14:paraId="1C299E88" w14:textId="77777777" w:rsidR="00F04B2B" w:rsidRPr="009D0DB0" w:rsidRDefault="00F04B2B" w:rsidP="00DB58AA">
            <w:pPr>
              <w:spacing w:line="23" w:lineRule="atLeast"/>
              <w:jc w:val="center"/>
              <w:rPr>
                <w:rFonts w:ascii="Times New Roman" w:eastAsia="Times New Roman" w:hAnsi="Times New Roman" w:cs="Times New Roman"/>
                <w:b/>
                <w:bCs/>
                <w:sz w:val="22"/>
                <w:szCs w:val="22"/>
                <w:lang w:eastAsia="en-GB"/>
              </w:rPr>
            </w:pPr>
            <w:r w:rsidRPr="009D0DB0">
              <w:rPr>
                <w:rFonts w:ascii="Times New Roman" w:eastAsia="Times New Roman" w:hAnsi="Times New Roman" w:cs="Times New Roman"/>
                <w:b/>
                <w:bCs/>
                <w:sz w:val="22"/>
                <w:szCs w:val="22"/>
                <w:lang w:eastAsia="en-GB"/>
              </w:rPr>
              <w:t>E</w:t>
            </w:r>
            <w:r>
              <w:rPr>
                <w:rFonts w:ascii="Times New Roman" w:eastAsia="Times New Roman" w:hAnsi="Times New Roman" w:cs="Times New Roman"/>
                <w:b/>
                <w:bCs/>
                <w:sz w:val="22"/>
                <w:szCs w:val="22"/>
                <w:lang w:eastAsia="en-GB"/>
              </w:rPr>
              <w:t>mpagliflozin-plus-diet</w:t>
            </w:r>
          </w:p>
        </w:tc>
      </w:tr>
      <w:tr w:rsidR="00F04B2B" w:rsidRPr="009D0DB0" w14:paraId="52FEDA19" w14:textId="77777777" w:rsidTr="001E6CCC">
        <w:trPr>
          <w:trHeight w:val="20"/>
        </w:trPr>
        <w:tc>
          <w:tcPr>
            <w:tcW w:w="4258" w:type="dxa"/>
            <w:noWrap/>
          </w:tcPr>
          <w:p w14:paraId="1ABF9C46"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p>
        </w:tc>
        <w:tc>
          <w:tcPr>
            <w:tcW w:w="567" w:type="dxa"/>
          </w:tcPr>
          <w:p w14:paraId="43DAD69D"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N</w:t>
            </w:r>
          </w:p>
        </w:tc>
        <w:tc>
          <w:tcPr>
            <w:tcW w:w="2268" w:type="dxa"/>
            <w:noWrap/>
          </w:tcPr>
          <w:p w14:paraId="3D680CD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β</w:t>
            </w:r>
            <w:r w:rsidRPr="009D0DB0">
              <w:rPr>
                <w:rFonts w:ascii="Times New Roman" w:eastAsia="Times New Roman" w:hAnsi="Times New Roman" w:cs="Times New Roman"/>
                <w:sz w:val="22"/>
                <w:szCs w:val="22"/>
                <w:lang w:eastAsia="en-GB"/>
              </w:rPr>
              <w:t>-coefficient [95% CI]</w:t>
            </w:r>
          </w:p>
        </w:tc>
        <w:tc>
          <w:tcPr>
            <w:tcW w:w="851" w:type="dxa"/>
            <w:noWrap/>
          </w:tcPr>
          <w:p w14:paraId="5BC0883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p</w:t>
            </w:r>
            <w:r w:rsidRPr="009D0DB0">
              <w:rPr>
                <w:rFonts w:ascii="Times New Roman" w:eastAsia="Times New Roman" w:hAnsi="Times New Roman" w:cs="Times New Roman"/>
                <w:sz w:val="22"/>
                <w:szCs w:val="22"/>
                <w:lang w:eastAsia="en-GB"/>
              </w:rPr>
              <w:t>-value</w:t>
            </w:r>
          </w:p>
        </w:tc>
        <w:tc>
          <w:tcPr>
            <w:tcW w:w="567" w:type="dxa"/>
            <w:noWrap/>
          </w:tcPr>
          <w:p w14:paraId="04367B1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N</w:t>
            </w:r>
          </w:p>
        </w:tc>
        <w:tc>
          <w:tcPr>
            <w:tcW w:w="2268" w:type="dxa"/>
          </w:tcPr>
          <w:p w14:paraId="391D551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β</w:t>
            </w:r>
            <w:r w:rsidRPr="009D0DB0">
              <w:rPr>
                <w:rFonts w:ascii="Times New Roman" w:eastAsia="Times New Roman" w:hAnsi="Times New Roman" w:cs="Times New Roman"/>
                <w:sz w:val="22"/>
                <w:szCs w:val="22"/>
                <w:lang w:eastAsia="en-GB"/>
              </w:rPr>
              <w:t>-coefficient [95% CI]</w:t>
            </w:r>
          </w:p>
        </w:tc>
        <w:tc>
          <w:tcPr>
            <w:tcW w:w="850" w:type="dxa"/>
          </w:tcPr>
          <w:p w14:paraId="3556E3A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p</w:t>
            </w:r>
            <w:r w:rsidRPr="009D0DB0">
              <w:rPr>
                <w:rFonts w:ascii="Times New Roman" w:eastAsia="Times New Roman" w:hAnsi="Times New Roman" w:cs="Times New Roman"/>
                <w:sz w:val="22"/>
                <w:szCs w:val="22"/>
                <w:lang w:eastAsia="en-GB"/>
              </w:rPr>
              <w:t>-value</w:t>
            </w:r>
          </w:p>
        </w:tc>
        <w:tc>
          <w:tcPr>
            <w:tcW w:w="567" w:type="dxa"/>
          </w:tcPr>
          <w:p w14:paraId="61680DED"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N</w:t>
            </w:r>
          </w:p>
        </w:tc>
        <w:tc>
          <w:tcPr>
            <w:tcW w:w="2268" w:type="dxa"/>
          </w:tcPr>
          <w:p w14:paraId="6FEB26E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β</w:t>
            </w:r>
            <w:r w:rsidRPr="009D0DB0">
              <w:rPr>
                <w:rFonts w:ascii="Times New Roman" w:eastAsia="Times New Roman" w:hAnsi="Times New Roman" w:cs="Times New Roman"/>
                <w:sz w:val="22"/>
                <w:szCs w:val="22"/>
                <w:lang w:eastAsia="en-GB"/>
              </w:rPr>
              <w:t>-coefficient [95% CI]</w:t>
            </w:r>
          </w:p>
        </w:tc>
        <w:tc>
          <w:tcPr>
            <w:tcW w:w="982" w:type="dxa"/>
            <w:noWrap/>
          </w:tcPr>
          <w:p w14:paraId="2B400B5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i/>
                <w:sz w:val="22"/>
                <w:szCs w:val="22"/>
                <w:lang w:eastAsia="en-GB"/>
              </w:rPr>
              <w:t>p</w:t>
            </w:r>
            <w:r w:rsidRPr="009D0DB0">
              <w:rPr>
                <w:rFonts w:ascii="Times New Roman" w:eastAsia="Times New Roman" w:hAnsi="Times New Roman" w:cs="Times New Roman"/>
                <w:sz w:val="22"/>
                <w:szCs w:val="22"/>
                <w:lang w:eastAsia="en-GB"/>
              </w:rPr>
              <w:t>-value</w:t>
            </w:r>
          </w:p>
        </w:tc>
      </w:tr>
      <w:tr w:rsidR="00F04B2B" w:rsidRPr="009D0DB0" w14:paraId="0FE73C82" w14:textId="77777777" w:rsidTr="001E6CCC">
        <w:trPr>
          <w:trHeight w:val="20"/>
        </w:trPr>
        <w:tc>
          <w:tcPr>
            <w:tcW w:w="4258" w:type="dxa"/>
            <w:noWrap/>
          </w:tcPr>
          <w:p w14:paraId="1601C95A" w14:textId="77777777" w:rsidR="00F04B2B" w:rsidRPr="009D0DB0" w:rsidRDefault="00F04B2B" w:rsidP="00DB58AA">
            <w:pPr>
              <w:spacing w:line="23" w:lineRule="atLeast"/>
              <w:rPr>
                <w:rFonts w:ascii="Times New Roman" w:eastAsia="Times New Roman" w:hAnsi="Times New Roman" w:cs="Times New Roman"/>
                <w:i/>
                <w:sz w:val="22"/>
                <w:szCs w:val="22"/>
                <w:lang w:eastAsia="en-GB"/>
              </w:rPr>
            </w:pPr>
            <w:r w:rsidRPr="009D0DB0">
              <w:rPr>
                <w:rFonts w:ascii="Times New Roman" w:eastAsia="Times New Roman" w:hAnsi="Times New Roman" w:cs="Times New Roman"/>
                <w:i/>
                <w:sz w:val="22"/>
                <w:szCs w:val="22"/>
                <w:lang w:eastAsia="en-GB"/>
              </w:rPr>
              <w:t>Primary outcome</w:t>
            </w:r>
          </w:p>
        </w:tc>
        <w:tc>
          <w:tcPr>
            <w:tcW w:w="567" w:type="dxa"/>
          </w:tcPr>
          <w:p w14:paraId="5D96341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665A6C77"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c>
          <w:tcPr>
            <w:tcW w:w="851" w:type="dxa"/>
            <w:noWrap/>
          </w:tcPr>
          <w:p w14:paraId="35FFFDF4"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c>
          <w:tcPr>
            <w:tcW w:w="567" w:type="dxa"/>
            <w:noWrap/>
          </w:tcPr>
          <w:p w14:paraId="38BE429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760EA473"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c>
          <w:tcPr>
            <w:tcW w:w="850" w:type="dxa"/>
          </w:tcPr>
          <w:p w14:paraId="2AC7D60D"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c>
          <w:tcPr>
            <w:tcW w:w="567" w:type="dxa"/>
          </w:tcPr>
          <w:p w14:paraId="4F6B776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68CFA917"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c>
          <w:tcPr>
            <w:tcW w:w="982" w:type="dxa"/>
            <w:noWrap/>
          </w:tcPr>
          <w:p w14:paraId="0196C3EE" w14:textId="77777777" w:rsidR="00F04B2B" w:rsidRPr="009D0DB0" w:rsidRDefault="00F04B2B" w:rsidP="00DB58AA">
            <w:pPr>
              <w:spacing w:line="23" w:lineRule="atLeast"/>
              <w:jc w:val="center"/>
              <w:rPr>
                <w:rFonts w:ascii="Times New Roman" w:eastAsia="Times New Roman" w:hAnsi="Times New Roman" w:cs="Times New Roman"/>
                <w:i/>
                <w:sz w:val="22"/>
                <w:szCs w:val="22"/>
                <w:lang w:eastAsia="en-GB"/>
              </w:rPr>
            </w:pPr>
          </w:p>
        </w:tc>
      </w:tr>
      <w:tr w:rsidR="00F04B2B" w:rsidRPr="009D0DB0" w14:paraId="5A0A5D0A" w14:textId="77777777" w:rsidTr="001E6CCC">
        <w:trPr>
          <w:trHeight w:val="20"/>
        </w:trPr>
        <w:tc>
          <w:tcPr>
            <w:tcW w:w="4258" w:type="dxa"/>
            <w:noWrap/>
          </w:tcPr>
          <w:p w14:paraId="3508FFCD"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Postprandial total </w:t>
            </w:r>
            <w:r w:rsidRPr="009D0DB0">
              <w:rPr>
                <w:rFonts w:ascii="Times New Roman" w:eastAsia="Times New Roman" w:hAnsi="Times New Roman" w:cs="Times New Roman"/>
                <w:sz w:val="22"/>
                <w:szCs w:val="22"/>
                <w:lang w:eastAsia="en-GB"/>
              </w:rPr>
              <w:t>PYY (pg/mL)</w:t>
            </w:r>
            <w:r>
              <w:rPr>
                <w:rFonts w:ascii="Times New Roman" w:eastAsia="Times New Roman" w:hAnsi="Times New Roman" w:cs="Times New Roman"/>
                <w:sz w:val="22"/>
                <w:szCs w:val="22"/>
                <w:vertAlign w:val="superscript"/>
                <w:lang w:eastAsia="en-GB"/>
              </w:rPr>
              <w:t>*</w:t>
            </w:r>
            <w:r w:rsidRPr="009D0DB0">
              <w:rPr>
                <w:rFonts w:ascii="Times New Roman" w:eastAsia="Times New Roman" w:hAnsi="Times New Roman" w:cs="Times New Roman"/>
                <w:sz w:val="22"/>
                <w:szCs w:val="22"/>
                <w:lang w:eastAsia="en-GB"/>
              </w:rPr>
              <w:t xml:space="preserve"> – complete case</w:t>
            </w:r>
          </w:p>
        </w:tc>
        <w:tc>
          <w:tcPr>
            <w:tcW w:w="567" w:type="dxa"/>
          </w:tcPr>
          <w:p w14:paraId="354A1FC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77B1A4EA" w14:textId="2158E28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r w:rsidRPr="009D0DB0">
              <w:rPr>
                <w:rFonts w:ascii="Times New Roman" w:eastAsia="Times New Roman" w:hAnsi="Times New Roman" w:cs="Times New Roman"/>
                <w:sz w:val="22"/>
                <w:szCs w:val="22"/>
                <w:lang w:eastAsia="en-GB"/>
              </w:rPr>
              <w:t xml:space="preserve"> [-28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r w:rsidRPr="009D0DB0">
              <w:rPr>
                <w:rFonts w:ascii="Times New Roman" w:eastAsia="Times New Roman" w:hAnsi="Times New Roman" w:cs="Times New Roman"/>
                <w:sz w:val="22"/>
                <w:szCs w:val="22"/>
                <w:lang w:eastAsia="en-GB"/>
              </w:rPr>
              <w:t xml:space="preserve"> to 11</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4]</w:t>
            </w:r>
          </w:p>
        </w:tc>
        <w:tc>
          <w:tcPr>
            <w:tcW w:w="851" w:type="dxa"/>
            <w:noWrap/>
          </w:tcPr>
          <w:p w14:paraId="75108D1E" w14:textId="388F57E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400</w:t>
            </w:r>
          </w:p>
        </w:tc>
        <w:tc>
          <w:tcPr>
            <w:tcW w:w="567" w:type="dxa"/>
            <w:noWrap/>
          </w:tcPr>
          <w:p w14:paraId="1702B3E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5DBC966F" w14:textId="027A779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r w:rsidRPr="009D0DB0">
              <w:rPr>
                <w:rFonts w:ascii="Times New Roman" w:eastAsia="Times New Roman" w:hAnsi="Times New Roman" w:cs="Times New Roman"/>
                <w:sz w:val="22"/>
                <w:szCs w:val="22"/>
                <w:lang w:eastAsia="en-GB"/>
              </w:rPr>
              <w:t xml:space="preserve"> [-6</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1 to 3</w:t>
            </w: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9D0DB0">
              <w:rPr>
                <w:rFonts w:ascii="Times New Roman" w:eastAsia="Times New Roman" w:hAnsi="Times New Roman" w:cs="Times New Roman"/>
                <w:sz w:val="22"/>
                <w:szCs w:val="22"/>
                <w:lang w:eastAsia="en-GB"/>
              </w:rPr>
              <w:t>]</w:t>
            </w:r>
          </w:p>
        </w:tc>
        <w:tc>
          <w:tcPr>
            <w:tcW w:w="850" w:type="dxa"/>
          </w:tcPr>
          <w:p w14:paraId="26E40149" w14:textId="7847A98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179</w:t>
            </w:r>
          </w:p>
        </w:tc>
        <w:tc>
          <w:tcPr>
            <w:tcW w:w="567" w:type="dxa"/>
          </w:tcPr>
          <w:p w14:paraId="141202A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11FC4577" w14:textId="49987E50"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9D0DB0">
              <w:rPr>
                <w:rFonts w:ascii="Times New Roman" w:eastAsia="Times New Roman" w:hAnsi="Times New Roman" w:cs="Times New Roman"/>
                <w:sz w:val="22"/>
                <w:szCs w:val="22"/>
                <w:lang w:eastAsia="en-GB"/>
              </w:rPr>
              <w:t xml:space="preserve"> [-18</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 xml:space="preserve">0 to </w:t>
            </w:r>
            <w:r>
              <w:rPr>
                <w:rFonts w:ascii="Times New Roman" w:eastAsia="Times New Roman" w:hAnsi="Times New Roman" w:cs="Times New Roman"/>
                <w:sz w:val="22"/>
                <w:szCs w:val="22"/>
                <w:lang w:eastAsia="en-GB"/>
              </w:rPr>
              <w:t>19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r w:rsidRPr="009D0DB0">
              <w:rPr>
                <w:rFonts w:ascii="Times New Roman" w:eastAsia="Times New Roman" w:hAnsi="Times New Roman" w:cs="Times New Roman"/>
                <w:sz w:val="22"/>
                <w:szCs w:val="22"/>
                <w:lang w:eastAsia="en-GB"/>
              </w:rPr>
              <w:t>]</w:t>
            </w:r>
          </w:p>
        </w:tc>
        <w:tc>
          <w:tcPr>
            <w:tcW w:w="982" w:type="dxa"/>
            <w:noWrap/>
          </w:tcPr>
          <w:p w14:paraId="1601B1B0" w14:textId="04130C13"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920</w:t>
            </w:r>
          </w:p>
        </w:tc>
      </w:tr>
      <w:tr w:rsidR="00F04B2B" w:rsidRPr="009D0DB0" w14:paraId="716A492C" w14:textId="77777777" w:rsidTr="001E6CCC">
        <w:trPr>
          <w:trHeight w:val="20"/>
        </w:trPr>
        <w:tc>
          <w:tcPr>
            <w:tcW w:w="4258" w:type="dxa"/>
            <w:noWrap/>
          </w:tcPr>
          <w:p w14:paraId="5AA039FF"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Postprandial total </w:t>
            </w:r>
            <w:r w:rsidRPr="009D0DB0">
              <w:rPr>
                <w:rFonts w:ascii="Times New Roman" w:eastAsia="Times New Roman" w:hAnsi="Times New Roman" w:cs="Times New Roman"/>
                <w:sz w:val="22"/>
                <w:szCs w:val="22"/>
                <w:lang w:eastAsia="en-GB"/>
              </w:rPr>
              <w:t>PYY (pg/mL)</w:t>
            </w:r>
            <w:r>
              <w:rPr>
                <w:rFonts w:ascii="Times New Roman" w:eastAsia="Times New Roman" w:hAnsi="Times New Roman" w:cs="Times New Roman"/>
                <w:sz w:val="22"/>
                <w:szCs w:val="22"/>
                <w:vertAlign w:val="superscript"/>
                <w:lang w:eastAsia="en-GB"/>
              </w:rPr>
              <w:t>*</w:t>
            </w:r>
            <w:r w:rsidRPr="009D0DB0">
              <w:rPr>
                <w:rFonts w:ascii="Times New Roman" w:eastAsia="Times New Roman" w:hAnsi="Times New Roman" w:cs="Times New Roman"/>
                <w:sz w:val="22"/>
                <w:szCs w:val="22"/>
                <w:lang w:eastAsia="en-GB"/>
              </w:rPr>
              <w:t xml:space="preserve"> – ITT</w:t>
            </w:r>
          </w:p>
        </w:tc>
        <w:tc>
          <w:tcPr>
            <w:tcW w:w="567" w:type="dxa"/>
          </w:tcPr>
          <w:p w14:paraId="4FDDE50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noWrap/>
          </w:tcPr>
          <w:p w14:paraId="0EA7D48D" w14:textId="1F7133C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[-27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r w:rsidRPr="009D0DB0">
              <w:rPr>
                <w:rFonts w:ascii="Times New Roman" w:eastAsia="Times New Roman" w:hAnsi="Times New Roman" w:cs="Times New Roman"/>
                <w:sz w:val="22"/>
                <w:szCs w:val="22"/>
                <w:lang w:eastAsia="en-GB"/>
              </w:rPr>
              <w:t xml:space="preserve"> to 12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9D0DB0">
              <w:rPr>
                <w:rFonts w:ascii="Times New Roman" w:eastAsia="Times New Roman" w:hAnsi="Times New Roman" w:cs="Times New Roman"/>
                <w:sz w:val="22"/>
                <w:szCs w:val="22"/>
                <w:lang w:eastAsia="en-GB"/>
              </w:rPr>
              <w:t>]</w:t>
            </w:r>
          </w:p>
        </w:tc>
        <w:tc>
          <w:tcPr>
            <w:tcW w:w="851" w:type="dxa"/>
            <w:noWrap/>
          </w:tcPr>
          <w:p w14:paraId="5791CFA2" w14:textId="1D85DDD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468</w:t>
            </w:r>
          </w:p>
        </w:tc>
        <w:tc>
          <w:tcPr>
            <w:tcW w:w="567" w:type="dxa"/>
            <w:noWrap/>
          </w:tcPr>
          <w:p w14:paraId="0FD74C5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5198CBA5" w14:textId="3FB7FDC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12</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5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r w:rsidRPr="009D0DB0">
              <w:rPr>
                <w:rFonts w:ascii="Times New Roman" w:eastAsia="Times New Roman" w:hAnsi="Times New Roman" w:cs="Times New Roman"/>
                <w:sz w:val="22"/>
                <w:szCs w:val="22"/>
                <w:lang w:eastAsia="en-GB"/>
              </w:rPr>
              <w:t xml:space="preserve"> to 32</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3]</w:t>
            </w:r>
          </w:p>
        </w:tc>
        <w:tc>
          <w:tcPr>
            <w:tcW w:w="850" w:type="dxa"/>
          </w:tcPr>
          <w:p w14:paraId="6DC9668F" w14:textId="1BF8491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213</w:t>
            </w:r>
          </w:p>
        </w:tc>
        <w:tc>
          <w:tcPr>
            <w:tcW w:w="567" w:type="dxa"/>
          </w:tcPr>
          <w:p w14:paraId="6270722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0ED96731" w14:textId="3D13439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r w:rsidRPr="009D0DB0">
              <w:rPr>
                <w:rFonts w:ascii="Times New Roman" w:eastAsia="Times New Roman" w:hAnsi="Times New Roman" w:cs="Times New Roman"/>
                <w:sz w:val="22"/>
                <w:szCs w:val="22"/>
                <w:lang w:eastAsia="en-GB"/>
              </w:rPr>
              <w:t xml:space="preserve"> [-18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r w:rsidRPr="009D0DB0">
              <w:rPr>
                <w:rFonts w:ascii="Times New Roman" w:eastAsia="Times New Roman" w:hAnsi="Times New Roman" w:cs="Times New Roman"/>
                <w:sz w:val="22"/>
                <w:szCs w:val="22"/>
                <w:lang w:eastAsia="en-GB"/>
              </w:rPr>
              <w:t xml:space="preserve"> to 20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0]</w:t>
            </w:r>
          </w:p>
        </w:tc>
        <w:tc>
          <w:tcPr>
            <w:tcW w:w="982" w:type="dxa"/>
            <w:noWrap/>
          </w:tcPr>
          <w:p w14:paraId="45588EC7" w14:textId="7EC47F8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921</w:t>
            </w:r>
          </w:p>
        </w:tc>
      </w:tr>
      <w:tr w:rsidR="00F04B2B" w:rsidRPr="009D0DB0" w14:paraId="439C2417" w14:textId="77777777" w:rsidTr="001E6CCC">
        <w:trPr>
          <w:trHeight w:val="20"/>
        </w:trPr>
        <w:tc>
          <w:tcPr>
            <w:tcW w:w="4258" w:type="dxa"/>
            <w:noWrap/>
          </w:tcPr>
          <w:p w14:paraId="158617DF"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Postprandial total </w:t>
            </w:r>
            <w:r w:rsidRPr="009D0DB0">
              <w:rPr>
                <w:rFonts w:ascii="Times New Roman" w:eastAsia="Times New Roman" w:hAnsi="Times New Roman" w:cs="Times New Roman"/>
                <w:sz w:val="22"/>
                <w:szCs w:val="22"/>
                <w:lang w:eastAsia="en-GB"/>
              </w:rPr>
              <w:t>PYY (pg/mL)</w:t>
            </w:r>
            <w:r>
              <w:rPr>
                <w:rFonts w:ascii="Times New Roman" w:eastAsia="Times New Roman" w:hAnsi="Times New Roman" w:cs="Times New Roman"/>
                <w:sz w:val="22"/>
                <w:szCs w:val="22"/>
                <w:vertAlign w:val="superscript"/>
                <w:lang w:eastAsia="en-GB"/>
              </w:rPr>
              <w:t>*</w:t>
            </w:r>
            <w:r w:rsidRPr="009D0DB0">
              <w:rPr>
                <w:rFonts w:ascii="Times New Roman" w:eastAsia="Times New Roman" w:hAnsi="Times New Roman" w:cs="Times New Roman"/>
                <w:sz w:val="22"/>
                <w:szCs w:val="22"/>
                <w:lang w:eastAsia="en-GB"/>
              </w:rPr>
              <w:t xml:space="preserve"> – per protocol</w:t>
            </w:r>
          </w:p>
        </w:tc>
        <w:tc>
          <w:tcPr>
            <w:tcW w:w="567" w:type="dxa"/>
          </w:tcPr>
          <w:p w14:paraId="544E754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8</w:t>
            </w:r>
          </w:p>
        </w:tc>
        <w:tc>
          <w:tcPr>
            <w:tcW w:w="2268" w:type="dxa"/>
            <w:noWrap/>
          </w:tcPr>
          <w:p w14:paraId="60F68953" w14:textId="04EBEA2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r w:rsidRPr="009D0DB0">
              <w:rPr>
                <w:rFonts w:ascii="Times New Roman" w:eastAsia="Times New Roman" w:hAnsi="Times New Roman" w:cs="Times New Roman"/>
                <w:sz w:val="22"/>
                <w:szCs w:val="22"/>
                <w:lang w:eastAsia="en-GB"/>
              </w:rPr>
              <w:t xml:space="preserve"> [-17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r w:rsidRPr="009D0DB0">
              <w:rPr>
                <w:rFonts w:ascii="Times New Roman" w:eastAsia="Times New Roman" w:hAnsi="Times New Roman" w:cs="Times New Roman"/>
                <w:sz w:val="22"/>
                <w:szCs w:val="22"/>
                <w:lang w:eastAsia="en-GB"/>
              </w:rPr>
              <w:t xml:space="preserve"> to 35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r w:rsidRPr="009D0DB0">
              <w:rPr>
                <w:rFonts w:ascii="Times New Roman" w:eastAsia="Times New Roman" w:hAnsi="Times New Roman" w:cs="Times New Roman"/>
                <w:sz w:val="22"/>
                <w:szCs w:val="22"/>
                <w:lang w:eastAsia="en-GB"/>
              </w:rPr>
              <w:t>]</w:t>
            </w:r>
          </w:p>
        </w:tc>
        <w:tc>
          <w:tcPr>
            <w:tcW w:w="851" w:type="dxa"/>
            <w:noWrap/>
          </w:tcPr>
          <w:p w14:paraId="6CFF0F24" w14:textId="353A9EB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489</w:t>
            </w:r>
          </w:p>
        </w:tc>
        <w:tc>
          <w:tcPr>
            <w:tcW w:w="567" w:type="dxa"/>
            <w:noWrap/>
          </w:tcPr>
          <w:p w14:paraId="0FF4B7B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12</w:t>
            </w:r>
          </w:p>
        </w:tc>
        <w:tc>
          <w:tcPr>
            <w:tcW w:w="2268" w:type="dxa"/>
          </w:tcPr>
          <w:p w14:paraId="3A37AC16" w14:textId="571FF8B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29</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r w:rsidRPr="009D0DB0">
              <w:rPr>
                <w:rFonts w:ascii="Times New Roman" w:eastAsia="Times New Roman" w:hAnsi="Times New Roman" w:cs="Times New Roman"/>
                <w:sz w:val="22"/>
                <w:szCs w:val="22"/>
                <w:lang w:eastAsia="en-GB"/>
              </w:rPr>
              <w:t xml:space="preserve">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r w:rsidRPr="009D0DB0">
              <w:rPr>
                <w:rFonts w:ascii="Times New Roman" w:eastAsia="Times New Roman" w:hAnsi="Times New Roman" w:cs="Times New Roman"/>
                <w:sz w:val="22"/>
                <w:szCs w:val="22"/>
                <w:lang w:eastAsia="en-GB"/>
              </w:rPr>
              <w:t xml:space="preserve"> to 52</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1]</w:t>
            </w:r>
          </w:p>
        </w:tc>
        <w:tc>
          <w:tcPr>
            <w:tcW w:w="850" w:type="dxa"/>
          </w:tcPr>
          <w:p w14:paraId="04D196F8" w14:textId="094B5779" w:rsidR="00F04B2B" w:rsidRPr="009D0DB0" w:rsidRDefault="00F04B2B" w:rsidP="00DB58AA">
            <w:pPr>
              <w:spacing w:line="23" w:lineRule="atLeast"/>
              <w:jc w:val="center"/>
              <w:rPr>
                <w:rFonts w:ascii="Times New Roman" w:eastAsia="Times New Roman" w:hAnsi="Times New Roman" w:cs="Times New Roman"/>
                <w:b/>
                <w:sz w:val="22"/>
                <w:szCs w:val="22"/>
                <w:lang w:eastAsia="en-GB"/>
              </w:rPr>
            </w:pPr>
            <w:r w:rsidRPr="009D0DB0">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sidRPr="009D0DB0">
              <w:rPr>
                <w:rFonts w:ascii="Times New Roman" w:eastAsia="Times New Roman" w:hAnsi="Times New Roman" w:cs="Times New Roman"/>
                <w:b/>
                <w:sz w:val="22"/>
                <w:szCs w:val="22"/>
                <w:lang w:eastAsia="en-GB"/>
              </w:rPr>
              <w:t>012</w:t>
            </w:r>
          </w:p>
        </w:tc>
        <w:tc>
          <w:tcPr>
            <w:tcW w:w="567" w:type="dxa"/>
          </w:tcPr>
          <w:p w14:paraId="77996CCD"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tcPr>
          <w:p w14:paraId="53EFE3F7" w14:textId="65F5A30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r w:rsidRPr="009D0DB0">
              <w:rPr>
                <w:rFonts w:ascii="Times New Roman" w:eastAsia="Times New Roman" w:hAnsi="Times New Roman" w:cs="Times New Roman"/>
                <w:sz w:val="22"/>
                <w:szCs w:val="22"/>
                <w:lang w:eastAsia="en-GB"/>
              </w:rPr>
              <w:t xml:space="preserve"> [-15</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1 to 30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4]</w:t>
            </w:r>
          </w:p>
        </w:tc>
        <w:tc>
          <w:tcPr>
            <w:tcW w:w="982" w:type="dxa"/>
            <w:noWrap/>
          </w:tcPr>
          <w:p w14:paraId="35095F5C" w14:textId="796ABE6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510</w:t>
            </w:r>
          </w:p>
        </w:tc>
      </w:tr>
      <w:tr w:rsidR="00F04B2B" w:rsidRPr="009D0DB0" w14:paraId="67B32D15" w14:textId="77777777" w:rsidTr="001E6CCC">
        <w:trPr>
          <w:trHeight w:val="20"/>
        </w:trPr>
        <w:tc>
          <w:tcPr>
            <w:tcW w:w="4258" w:type="dxa"/>
            <w:noWrap/>
          </w:tcPr>
          <w:p w14:paraId="58214DC3" w14:textId="77777777" w:rsidR="00F04B2B" w:rsidRPr="009D0DB0" w:rsidRDefault="00F04B2B" w:rsidP="00DB58AA">
            <w:pPr>
              <w:spacing w:line="23" w:lineRule="atLeast"/>
              <w:rPr>
                <w:rFonts w:ascii="Times New Roman" w:eastAsia="Times New Roman" w:hAnsi="Times New Roman" w:cs="Times New Roman"/>
                <w:i/>
                <w:sz w:val="22"/>
                <w:szCs w:val="22"/>
                <w:lang w:eastAsia="en-GB"/>
              </w:rPr>
            </w:pPr>
            <w:r w:rsidRPr="009D0DB0">
              <w:rPr>
                <w:rFonts w:ascii="Times New Roman" w:eastAsia="Times New Roman" w:hAnsi="Times New Roman" w:cs="Times New Roman"/>
                <w:i/>
                <w:sz w:val="22"/>
                <w:szCs w:val="22"/>
                <w:lang w:eastAsia="en-GB"/>
              </w:rPr>
              <w:t>Secondary outcomes</w:t>
            </w:r>
          </w:p>
        </w:tc>
        <w:tc>
          <w:tcPr>
            <w:tcW w:w="567" w:type="dxa"/>
          </w:tcPr>
          <w:p w14:paraId="10B10FA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73B23D0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1" w:type="dxa"/>
            <w:noWrap/>
          </w:tcPr>
          <w:p w14:paraId="17DC1AB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noWrap/>
          </w:tcPr>
          <w:p w14:paraId="71F900E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78A4300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0" w:type="dxa"/>
          </w:tcPr>
          <w:p w14:paraId="4DD43B1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tcPr>
          <w:p w14:paraId="61EAB4A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042103F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982" w:type="dxa"/>
            <w:noWrap/>
          </w:tcPr>
          <w:p w14:paraId="01A3104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r>
      <w:tr w:rsidR="00F04B2B" w:rsidRPr="009D0DB0" w14:paraId="156B25C8" w14:textId="77777777" w:rsidTr="001E6CCC">
        <w:trPr>
          <w:trHeight w:val="20"/>
        </w:trPr>
        <w:tc>
          <w:tcPr>
            <w:tcW w:w="4258" w:type="dxa"/>
            <w:noWrap/>
          </w:tcPr>
          <w:p w14:paraId="5FD5638F" w14:textId="77777777" w:rsidR="00F04B2B" w:rsidRPr="009D0DB0" w:rsidRDefault="00F04B2B" w:rsidP="00DB58AA">
            <w:pPr>
              <w:spacing w:line="23" w:lineRule="atLeast"/>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Appetite-</w:t>
            </w:r>
            <w:r>
              <w:rPr>
                <w:rFonts w:ascii="Times New Roman" w:eastAsia="Times New Roman" w:hAnsi="Times New Roman" w:cs="Times New Roman"/>
                <w:sz w:val="22"/>
                <w:szCs w:val="22"/>
                <w:lang w:eastAsia="en-GB"/>
              </w:rPr>
              <w:t>regulatory peptides</w:t>
            </w:r>
            <w:r w:rsidRPr="009D0DB0">
              <w:rPr>
                <w:rFonts w:ascii="Times New Roman" w:eastAsia="Times New Roman" w:hAnsi="Times New Roman" w:cs="Times New Roman"/>
                <w:sz w:val="22"/>
                <w:szCs w:val="22"/>
                <w:lang w:eastAsia="en-GB"/>
              </w:rPr>
              <w:t xml:space="preserve">, </w:t>
            </w:r>
            <w:r>
              <w:rPr>
                <w:rFonts w:ascii="Times New Roman" w:eastAsia="Times New Roman" w:hAnsi="Times New Roman" w:cs="Times New Roman"/>
                <w:sz w:val="22"/>
                <w:szCs w:val="22"/>
                <w:lang w:eastAsia="en-GB"/>
              </w:rPr>
              <w:t xml:space="preserve">subjective </w:t>
            </w:r>
            <w:r w:rsidRPr="009D0DB0">
              <w:rPr>
                <w:rFonts w:ascii="Times New Roman" w:eastAsia="Times New Roman" w:hAnsi="Times New Roman" w:cs="Times New Roman"/>
                <w:sz w:val="22"/>
                <w:szCs w:val="22"/>
                <w:lang w:eastAsia="en-GB"/>
              </w:rPr>
              <w:t>appetite perceptions and three factor eating questionnaire dimensions</w:t>
            </w:r>
          </w:p>
        </w:tc>
        <w:tc>
          <w:tcPr>
            <w:tcW w:w="567" w:type="dxa"/>
          </w:tcPr>
          <w:p w14:paraId="18593D9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329C9F2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1" w:type="dxa"/>
            <w:noWrap/>
          </w:tcPr>
          <w:p w14:paraId="3D915D3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noWrap/>
          </w:tcPr>
          <w:p w14:paraId="0CB2424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2DA661B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0" w:type="dxa"/>
          </w:tcPr>
          <w:p w14:paraId="62FF3F8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tcPr>
          <w:p w14:paraId="7534477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71A7DB3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982" w:type="dxa"/>
            <w:noWrap/>
          </w:tcPr>
          <w:p w14:paraId="4F9154B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r>
      <w:tr w:rsidR="00F04B2B" w:rsidRPr="009D0DB0" w14:paraId="17CF7A7C" w14:textId="77777777" w:rsidTr="001E6CCC">
        <w:trPr>
          <w:trHeight w:val="20"/>
        </w:trPr>
        <w:tc>
          <w:tcPr>
            <w:tcW w:w="4258" w:type="dxa"/>
            <w:noWrap/>
          </w:tcPr>
          <w:p w14:paraId="4A951976"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a</w:t>
            </w:r>
            <w:r w:rsidRPr="009D0DB0">
              <w:rPr>
                <w:rFonts w:ascii="Times New Roman" w:eastAsia="Times New Roman" w:hAnsi="Times New Roman" w:cs="Times New Roman"/>
                <w:sz w:val="22"/>
                <w:szCs w:val="22"/>
                <w:lang w:eastAsia="en-GB"/>
              </w:rPr>
              <w:t>cylated ghrelin (pg/mL)</w:t>
            </w:r>
            <w:r>
              <w:rPr>
                <w:rFonts w:ascii="Times New Roman" w:eastAsia="Times New Roman" w:hAnsi="Times New Roman" w:cs="Times New Roman"/>
                <w:sz w:val="22"/>
                <w:szCs w:val="22"/>
                <w:vertAlign w:val="superscript"/>
                <w:lang w:eastAsia="en-GB"/>
              </w:rPr>
              <w:t>*</w:t>
            </w:r>
          </w:p>
        </w:tc>
        <w:tc>
          <w:tcPr>
            <w:tcW w:w="567" w:type="dxa"/>
          </w:tcPr>
          <w:p w14:paraId="54FE995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464E41ED" w14:textId="04D416D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r w:rsidRPr="009D0DB0">
              <w:rPr>
                <w:rFonts w:ascii="Times New Roman" w:eastAsia="Times New Roman" w:hAnsi="Times New Roman" w:cs="Times New Roman"/>
                <w:sz w:val="22"/>
                <w:szCs w:val="22"/>
                <w:lang w:eastAsia="en-GB"/>
              </w:rPr>
              <w:t xml:space="preserve"> [-17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24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r w:rsidRPr="009D0DB0">
              <w:rPr>
                <w:rFonts w:ascii="Times New Roman" w:eastAsia="Times New Roman" w:hAnsi="Times New Roman" w:cs="Times New Roman"/>
                <w:sz w:val="22"/>
                <w:szCs w:val="22"/>
                <w:lang w:eastAsia="en-GB"/>
              </w:rPr>
              <w:t>]</w:t>
            </w:r>
          </w:p>
        </w:tc>
        <w:tc>
          <w:tcPr>
            <w:tcW w:w="851" w:type="dxa"/>
            <w:noWrap/>
          </w:tcPr>
          <w:p w14:paraId="43440354" w14:textId="1BF25AC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9D0DB0">
              <w:rPr>
                <w:rFonts w:ascii="Times New Roman" w:eastAsia="Times New Roman" w:hAnsi="Times New Roman" w:cs="Times New Roman"/>
                <w:sz w:val="22"/>
                <w:szCs w:val="22"/>
                <w:lang w:eastAsia="en-GB"/>
              </w:rPr>
              <w:t>765</w:t>
            </w:r>
          </w:p>
        </w:tc>
        <w:tc>
          <w:tcPr>
            <w:tcW w:w="567" w:type="dxa"/>
            <w:noWrap/>
          </w:tcPr>
          <w:p w14:paraId="23408C6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7E561710" w14:textId="65CA2E8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r w:rsidRPr="009D0DB0">
              <w:rPr>
                <w:rFonts w:ascii="Times New Roman" w:eastAsia="Times New Roman" w:hAnsi="Times New Roman" w:cs="Times New Roman"/>
                <w:sz w:val="22"/>
                <w:szCs w:val="22"/>
                <w:lang w:eastAsia="en-GB"/>
              </w:rPr>
              <w:t xml:space="preserve"> [-34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r w:rsidRPr="009D0DB0">
              <w:rPr>
                <w:rFonts w:ascii="Times New Roman" w:eastAsia="Times New Roman" w:hAnsi="Times New Roman" w:cs="Times New Roman"/>
                <w:sz w:val="22"/>
                <w:szCs w:val="22"/>
                <w:lang w:eastAsia="en-GB"/>
              </w:rPr>
              <w:t xml:space="preserve"> to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r w:rsidRPr="009D0DB0">
              <w:rPr>
                <w:rFonts w:ascii="Times New Roman" w:eastAsia="Times New Roman" w:hAnsi="Times New Roman" w:cs="Times New Roman"/>
                <w:sz w:val="22"/>
                <w:szCs w:val="22"/>
                <w:lang w:eastAsia="en-GB"/>
              </w:rPr>
              <w:t>]</w:t>
            </w:r>
          </w:p>
        </w:tc>
        <w:tc>
          <w:tcPr>
            <w:tcW w:w="850" w:type="dxa"/>
          </w:tcPr>
          <w:p w14:paraId="47BFB8FF" w14:textId="64DE63B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187</w:t>
            </w:r>
          </w:p>
        </w:tc>
        <w:tc>
          <w:tcPr>
            <w:tcW w:w="567" w:type="dxa"/>
          </w:tcPr>
          <w:p w14:paraId="2128F5F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3B70CAB7" w14:textId="66DC089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[-33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to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p>
        </w:tc>
        <w:tc>
          <w:tcPr>
            <w:tcW w:w="982" w:type="dxa"/>
            <w:noWrap/>
          </w:tcPr>
          <w:p w14:paraId="711D9AFB" w14:textId="4A20EE4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185</w:t>
            </w:r>
          </w:p>
        </w:tc>
      </w:tr>
      <w:tr w:rsidR="00F04B2B" w:rsidRPr="009D0DB0" w14:paraId="19950324" w14:textId="77777777" w:rsidTr="001E6CCC">
        <w:trPr>
          <w:trHeight w:val="20"/>
        </w:trPr>
        <w:tc>
          <w:tcPr>
            <w:tcW w:w="4258" w:type="dxa"/>
            <w:noWrap/>
          </w:tcPr>
          <w:p w14:paraId="0D9A9EB9"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t</w:t>
            </w:r>
            <w:r w:rsidRPr="009D0DB0">
              <w:rPr>
                <w:rFonts w:ascii="Times New Roman" w:eastAsia="Times New Roman" w:hAnsi="Times New Roman" w:cs="Times New Roman"/>
                <w:sz w:val="22"/>
                <w:szCs w:val="22"/>
                <w:lang w:eastAsia="en-GB"/>
              </w:rPr>
              <w:t>otal GLP-1 (pmol/L)</w:t>
            </w:r>
            <w:r>
              <w:rPr>
                <w:rFonts w:ascii="Times New Roman" w:eastAsia="Times New Roman" w:hAnsi="Times New Roman" w:cs="Times New Roman"/>
                <w:sz w:val="22"/>
                <w:szCs w:val="22"/>
                <w:vertAlign w:val="superscript"/>
                <w:lang w:eastAsia="en-GB"/>
              </w:rPr>
              <w:t>*</w:t>
            </w:r>
          </w:p>
        </w:tc>
        <w:tc>
          <w:tcPr>
            <w:tcW w:w="567" w:type="dxa"/>
          </w:tcPr>
          <w:p w14:paraId="7FC7D11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2FADF7F7" w14:textId="3137A53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to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p>
        </w:tc>
        <w:tc>
          <w:tcPr>
            <w:tcW w:w="851" w:type="dxa"/>
            <w:noWrap/>
          </w:tcPr>
          <w:p w14:paraId="400E7BA6" w14:textId="64CD33F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657</w:t>
            </w:r>
          </w:p>
        </w:tc>
        <w:tc>
          <w:tcPr>
            <w:tcW w:w="567" w:type="dxa"/>
            <w:noWrap/>
          </w:tcPr>
          <w:p w14:paraId="06AA5CA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50B077B6" w14:textId="47210DD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to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0" w:type="dxa"/>
          </w:tcPr>
          <w:p w14:paraId="1CED5830" w14:textId="35BB220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250</w:t>
            </w:r>
          </w:p>
        </w:tc>
        <w:tc>
          <w:tcPr>
            <w:tcW w:w="567" w:type="dxa"/>
          </w:tcPr>
          <w:p w14:paraId="585CDF7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7DF58A47" w14:textId="1555163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 to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p>
        </w:tc>
        <w:tc>
          <w:tcPr>
            <w:tcW w:w="982" w:type="dxa"/>
            <w:noWrap/>
          </w:tcPr>
          <w:p w14:paraId="4FC6D2E2" w14:textId="2F1B311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896</w:t>
            </w:r>
          </w:p>
        </w:tc>
      </w:tr>
      <w:tr w:rsidR="00F04B2B" w:rsidRPr="009D0DB0" w14:paraId="164581B7" w14:textId="77777777" w:rsidTr="001E6CCC">
        <w:trPr>
          <w:trHeight w:val="20"/>
        </w:trPr>
        <w:tc>
          <w:tcPr>
            <w:tcW w:w="4258" w:type="dxa"/>
            <w:noWrap/>
          </w:tcPr>
          <w:p w14:paraId="04A64A28"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Fasting leptin (n</w:t>
            </w:r>
            <w:r w:rsidRPr="009D0DB0">
              <w:rPr>
                <w:rFonts w:ascii="Times New Roman" w:eastAsia="Times New Roman" w:hAnsi="Times New Roman" w:cs="Times New Roman"/>
                <w:sz w:val="22"/>
                <w:szCs w:val="22"/>
                <w:lang w:eastAsia="en-GB"/>
              </w:rPr>
              <w:t>g/mL)</w:t>
            </w:r>
          </w:p>
        </w:tc>
        <w:tc>
          <w:tcPr>
            <w:tcW w:w="567" w:type="dxa"/>
          </w:tcPr>
          <w:p w14:paraId="7A779E5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A02908D" w14:textId="3C03870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to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p>
        </w:tc>
        <w:tc>
          <w:tcPr>
            <w:tcW w:w="851" w:type="dxa"/>
            <w:noWrap/>
          </w:tcPr>
          <w:p w14:paraId="2F70515B" w14:textId="5FEFFB4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588</w:t>
            </w:r>
          </w:p>
        </w:tc>
        <w:tc>
          <w:tcPr>
            <w:tcW w:w="567" w:type="dxa"/>
            <w:noWrap/>
          </w:tcPr>
          <w:p w14:paraId="02EDEBA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7C750B40" w14:textId="72A4D83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to 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850" w:type="dxa"/>
          </w:tcPr>
          <w:p w14:paraId="313D83F3" w14:textId="0C32110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774</w:t>
            </w:r>
          </w:p>
        </w:tc>
        <w:tc>
          <w:tcPr>
            <w:tcW w:w="567" w:type="dxa"/>
          </w:tcPr>
          <w:p w14:paraId="1FFBC8D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19547F21" w14:textId="2460F5A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p>
        </w:tc>
        <w:tc>
          <w:tcPr>
            <w:tcW w:w="982" w:type="dxa"/>
            <w:noWrap/>
          </w:tcPr>
          <w:p w14:paraId="599DD01B" w14:textId="18B0DFC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022</w:t>
            </w:r>
          </w:p>
        </w:tc>
      </w:tr>
      <w:tr w:rsidR="00F04B2B" w:rsidRPr="009D0DB0" w14:paraId="2BB9D759" w14:textId="77777777" w:rsidTr="001E6CCC">
        <w:trPr>
          <w:trHeight w:val="20"/>
        </w:trPr>
        <w:tc>
          <w:tcPr>
            <w:tcW w:w="4258" w:type="dxa"/>
            <w:noWrap/>
          </w:tcPr>
          <w:p w14:paraId="038DFE29"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 xml:space="preserve">VAS </w:t>
            </w:r>
            <w:r>
              <w:rPr>
                <w:rFonts w:ascii="Times New Roman" w:eastAsia="Times New Roman" w:hAnsi="Times New Roman" w:cs="Times New Roman"/>
                <w:sz w:val="22"/>
                <w:szCs w:val="22"/>
                <w:lang w:eastAsia="en-GB"/>
              </w:rPr>
              <w:t>– Postprandial h</w:t>
            </w:r>
            <w:r w:rsidRPr="009D0DB0">
              <w:rPr>
                <w:rFonts w:ascii="Times New Roman" w:eastAsia="Times New Roman" w:hAnsi="Times New Roman" w:cs="Times New Roman"/>
                <w:sz w:val="22"/>
                <w:szCs w:val="22"/>
                <w:lang w:eastAsia="en-GB"/>
              </w:rPr>
              <w:t>unger (mm)</w:t>
            </w:r>
            <w:r>
              <w:rPr>
                <w:rFonts w:ascii="Times New Roman" w:eastAsia="Times New Roman" w:hAnsi="Times New Roman" w:cs="Times New Roman"/>
                <w:sz w:val="22"/>
                <w:szCs w:val="22"/>
                <w:vertAlign w:val="superscript"/>
                <w:lang w:eastAsia="en-GB"/>
              </w:rPr>
              <w:t>*</w:t>
            </w:r>
          </w:p>
        </w:tc>
        <w:tc>
          <w:tcPr>
            <w:tcW w:w="567" w:type="dxa"/>
          </w:tcPr>
          <w:p w14:paraId="795C129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C42A87C" w14:textId="7CBA91E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to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p>
        </w:tc>
        <w:tc>
          <w:tcPr>
            <w:tcW w:w="851" w:type="dxa"/>
            <w:noWrap/>
          </w:tcPr>
          <w:p w14:paraId="044697B5" w14:textId="414D0C5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634</w:t>
            </w:r>
          </w:p>
        </w:tc>
        <w:tc>
          <w:tcPr>
            <w:tcW w:w="567" w:type="dxa"/>
            <w:noWrap/>
          </w:tcPr>
          <w:p w14:paraId="2336BB7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tcPr>
          <w:p w14:paraId="05C3A838" w14:textId="597633D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to 18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0" w:type="dxa"/>
          </w:tcPr>
          <w:p w14:paraId="3E191ED9" w14:textId="57F64F3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171</w:t>
            </w:r>
          </w:p>
        </w:tc>
        <w:tc>
          <w:tcPr>
            <w:tcW w:w="567" w:type="dxa"/>
          </w:tcPr>
          <w:p w14:paraId="64C12EA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6227322D" w14:textId="3E6B47F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to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p>
        </w:tc>
        <w:tc>
          <w:tcPr>
            <w:tcW w:w="982" w:type="dxa"/>
            <w:noWrap/>
          </w:tcPr>
          <w:p w14:paraId="14BCD812" w14:textId="737C76B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488</w:t>
            </w:r>
          </w:p>
        </w:tc>
      </w:tr>
      <w:tr w:rsidR="00F04B2B" w:rsidRPr="009D0DB0" w14:paraId="6B4233FB" w14:textId="77777777" w:rsidTr="001E6CCC">
        <w:trPr>
          <w:trHeight w:val="20"/>
        </w:trPr>
        <w:tc>
          <w:tcPr>
            <w:tcW w:w="4258" w:type="dxa"/>
            <w:noWrap/>
          </w:tcPr>
          <w:p w14:paraId="13873CA3"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sidRPr="009D0DB0">
              <w:rPr>
                <w:rFonts w:ascii="Times New Roman" w:eastAsia="Times New Roman" w:hAnsi="Times New Roman" w:cs="Times New Roman"/>
                <w:iCs/>
                <w:sz w:val="22"/>
                <w:szCs w:val="22"/>
                <w:lang w:eastAsia="en-GB"/>
              </w:rPr>
              <w:t xml:space="preserve">VAS – </w:t>
            </w:r>
            <w:r>
              <w:rPr>
                <w:rFonts w:ascii="Times New Roman" w:eastAsia="Times New Roman" w:hAnsi="Times New Roman" w:cs="Times New Roman"/>
                <w:sz w:val="22"/>
                <w:szCs w:val="22"/>
                <w:lang w:eastAsia="en-GB"/>
              </w:rPr>
              <w:t>Postprandial f</w:t>
            </w:r>
            <w:r w:rsidRPr="009D0DB0">
              <w:rPr>
                <w:rFonts w:ascii="Times New Roman" w:eastAsia="Times New Roman" w:hAnsi="Times New Roman" w:cs="Times New Roman"/>
                <w:iCs/>
                <w:sz w:val="22"/>
                <w:szCs w:val="22"/>
                <w:lang w:eastAsia="en-GB"/>
              </w:rPr>
              <w:t>ullness (mm)</w:t>
            </w:r>
            <w:r>
              <w:rPr>
                <w:rFonts w:ascii="Times New Roman" w:eastAsia="Times New Roman" w:hAnsi="Times New Roman" w:cs="Times New Roman"/>
                <w:sz w:val="22"/>
                <w:szCs w:val="22"/>
                <w:vertAlign w:val="superscript"/>
                <w:lang w:eastAsia="en-GB"/>
              </w:rPr>
              <w:t>*</w:t>
            </w:r>
            <w:r w:rsidRPr="009D0DB0">
              <w:rPr>
                <w:rFonts w:ascii="Times New Roman" w:eastAsia="Times New Roman" w:hAnsi="Times New Roman" w:cs="Times New Roman"/>
                <w:iCs/>
                <w:sz w:val="22"/>
                <w:szCs w:val="22"/>
                <w:lang w:eastAsia="en-GB"/>
              </w:rPr>
              <w:t xml:space="preserve"> </w:t>
            </w:r>
          </w:p>
        </w:tc>
        <w:tc>
          <w:tcPr>
            <w:tcW w:w="567" w:type="dxa"/>
          </w:tcPr>
          <w:p w14:paraId="462E01B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6E05CFA1" w14:textId="1F42060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to 16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1" w:type="dxa"/>
            <w:noWrap/>
          </w:tcPr>
          <w:p w14:paraId="6FFB4C1F" w14:textId="62E470F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534</w:t>
            </w:r>
          </w:p>
        </w:tc>
        <w:tc>
          <w:tcPr>
            <w:tcW w:w="567" w:type="dxa"/>
            <w:noWrap/>
          </w:tcPr>
          <w:p w14:paraId="16A42C3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333FE8B5" w14:textId="5B581D43"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to 10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p>
        </w:tc>
        <w:tc>
          <w:tcPr>
            <w:tcW w:w="850" w:type="dxa"/>
          </w:tcPr>
          <w:p w14:paraId="35CF353B" w14:textId="4175482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850</w:t>
            </w:r>
          </w:p>
        </w:tc>
        <w:tc>
          <w:tcPr>
            <w:tcW w:w="567" w:type="dxa"/>
          </w:tcPr>
          <w:p w14:paraId="6939EB3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6E020541" w14:textId="638B27F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[-15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to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p>
        </w:tc>
        <w:tc>
          <w:tcPr>
            <w:tcW w:w="982" w:type="dxa"/>
            <w:noWrap/>
          </w:tcPr>
          <w:p w14:paraId="5E90921C" w14:textId="474718A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556</w:t>
            </w:r>
          </w:p>
        </w:tc>
      </w:tr>
      <w:tr w:rsidR="00F04B2B" w:rsidRPr="009D0DB0" w14:paraId="235F72CD" w14:textId="77777777" w:rsidTr="001E6CCC">
        <w:trPr>
          <w:trHeight w:val="20"/>
        </w:trPr>
        <w:tc>
          <w:tcPr>
            <w:tcW w:w="4258" w:type="dxa"/>
            <w:noWrap/>
          </w:tcPr>
          <w:p w14:paraId="65D10F08" w14:textId="77777777" w:rsidR="00F04B2B" w:rsidRPr="009D0DB0" w:rsidRDefault="00F04B2B" w:rsidP="00DB58AA">
            <w:pPr>
              <w:tabs>
                <w:tab w:val="center" w:pos="1607"/>
              </w:tabs>
              <w:spacing w:line="23" w:lineRule="atLeast"/>
              <w:ind w:left="175"/>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 xml:space="preserve">VAS – </w:t>
            </w:r>
            <w:r>
              <w:rPr>
                <w:rFonts w:ascii="Times New Roman" w:eastAsia="Times New Roman" w:hAnsi="Times New Roman" w:cs="Times New Roman"/>
                <w:sz w:val="22"/>
                <w:szCs w:val="22"/>
                <w:lang w:eastAsia="en-GB"/>
              </w:rPr>
              <w:t>Postprandial s</w:t>
            </w:r>
            <w:r w:rsidRPr="009D0DB0">
              <w:rPr>
                <w:rFonts w:ascii="Times New Roman" w:eastAsia="Times New Roman" w:hAnsi="Times New Roman" w:cs="Times New Roman"/>
                <w:sz w:val="22"/>
                <w:szCs w:val="22"/>
                <w:lang w:eastAsia="en-GB"/>
              </w:rPr>
              <w:t>atisfaction (mm)</w:t>
            </w:r>
            <w:r>
              <w:rPr>
                <w:rFonts w:ascii="Times New Roman" w:eastAsia="Times New Roman" w:hAnsi="Times New Roman" w:cs="Times New Roman"/>
                <w:sz w:val="22"/>
                <w:szCs w:val="22"/>
                <w:vertAlign w:val="superscript"/>
                <w:lang w:eastAsia="en-GB"/>
              </w:rPr>
              <w:t>*</w:t>
            </w:r>
          </w:p>
        </w:tc>
        <w:tc>
          <w:tcPr>
            <w:tcW w:w="567" w:type="dxa"/>
          </w:tcPr>
          <w:p w14:paraId="203A80A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7F661281" w14:textId="241D1F33"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to 17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851" w:type="dxa"/>
            <w:noWrap/>
          </w:tcPr>
          <w:p w14:paraId="09E0D388" w14:textId="763DB91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401</w:t>
            </w:r>
          </w:p>
        </w:tc>
        <w:tc>
          <w:tcPr>
            <w:tcW w:w="567" w:type="dxa"/>
            <w:noWrap/>
          </w:tcPr>
          <w:p w14:paraId="111FB4D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08696AEF" w14:textId="0605D2FA"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[-11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 to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w:t>
            </w:r>
          </w:p>
        </w:tc>
        <w:tc>
          <w:tcPr>
            <w:tcW w:w="850" w:type="dxa"/>
          </w:tcPr>
          <w:p w14:paraId="4F380999" w14:textId="2088B78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833</w:t>
            </w:r>
          </w:p>
        </w:tc>
        <w:tc>
          <w:tcPr>
            <w:tcW w:w="567" w:type="dxa"/>
          </w:tcPr>
          <w:p w14:paraId="33D503F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0E058B86" w14:textId="68E6858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[-17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to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p>
        </w:tc>
        <w:tc>
          <w:tcPr>
            <w:tcW w:w="982" w:type="dxa"/>
            <w:noWrap/>
          </w:tcPr>
          <w:p w14:paraId="05C64C08" w14:textId="236F2DE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344</w:t>
            </w:r>
          </w:p>
        </w:tc>
      </w:tr>
      <w:tr w:rsidR="00F04B2B" w:rsidRPr="009D0DB0" w14:paraId="018E96E5" w14:textId="77777777" w:rsidTr="001E6CCC">
        <w:trPr>
          <w:trHeight w:val="20"/>
        </w:trPr>
        <w:tc>
          <w:tcPr>
            <w:tcW w:w="4258" w:type="dxa"/>
            <w:noWrap/>
          </w:tcPr>
          <w:p w14:paraId="1FC3D62D"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 xml:space="preserve">VAS – </w:t>
            </w:r>
            <w:r>
              <w:rPr>
                <w:rFonts w:ascii="Times New Roman" w:eastAsia="Times New Roman" w:hAnsi="Times New Roman" w:cs="Times New Roman"/>
                <w:sz w:val="22"/>
                <w:szCs w:val="22"/>
                <w:lang w:eastAsia="en-GB"/>
              </w:rPr>
              <w:t>Postprandial p</w:t>
            </w:r>
            <w:r w:rsidRPr="009D0DB0">
              <w:rPr>
                <w:rFonts w:ascii="Times New Roman" w:eastAsia="Times New Roman" w:hAnsi="Times New Roman" w:cs="Times New Roman"/>
                <w:sz w:val="22"/>
                <w:szCs w:val="22"/>
                <w:lang w:eastAsia="en-GB"/>
              </w:rPr>
              <w:t>rospective food consumption (mm)</w:t>
            </w:r>
            <w:r>
              <w:rPr>
                <w:rFonts w:ascii="Times New Roman" w:eastAsia="Times New Roman" w:hAnsi="Times New Roman" w:cs="Times New Roman"/>
                <w:sz w:val="22"/>
                <w:szCs w:val="22"/>
                <w:vertAlign w:val="superscript"/>
                <w:lang w:eastAsia="en-GB"/>
              </w:rPr>
              <w:t>*</w:t>
            </w:r>
          </w:p>
        </w:tc>
        <w:tc>
          <w:tcPr>
            <w:tcW w:w="567" w:type="dxa"/>
          </w:tcPr>
          <w:p w14:paraId="36FC3C9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05AC2D58" w14:textId="1651CBB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[-11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to 10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p>
        </w:tc>
        <w:tc>
          <w:tcPr>
            <w:tcW w:w="851" w:type="dxa"/>
            <w:noWrap/>
          </w:tcPr>
          <w:p w14:paraId="395431F5" w14:textId="2A172F0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922</w:t>
            </w:r>
          </w:p>
        </w:tc>
        <w:tc>
          <w:tcPr>
            <w:tcW w:w="567" w:type="dxa"/>
            <w:noWrap/>
          </w:tcPr>
          <w:p w14:paraId="6E0D453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0E2443B1" w14:textId="63548B1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to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0" w:type="dxa"/>
          </w:tcPr>
          <w:p w14:paraId="20459D84" w14:textId="1DC31F2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564</w:t>
            </w:r>
          </w:p>
        </w:tc>
        <w:tc>
          <w:tcPr>
            <w:tcW w:w="567" w:type="dxa"/>
          </w:tcPr>
          <w:p w14:paraId="29B89DF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2A917589" w14:textId="0FA207E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to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w:t>
            </w:r>
          </w:p>
        </w:tc>
        <w:tc>
          <w:tcPr>
            <w:tcW w:w="982" w:type="dxa"/>
            <w:noWrap/>
          </w:tcPr>
          <w:p w14:paraId="2956C9F5" w14:textId="23D3D0E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539</w:t>
            </w:r>
          </w:p>
        </w:tc>
      </w:tr>
      <w:tr w:rsidR="00F04B2B" w:rsidRPr="009D0DB0" w14:paraId="48AB4D14" w14:textId="77777777" w:rsidTr="001E6CCC">
        <w:trPr>
          <w:trHeight w:val="20"/>
        </w:trPr>
        <w:tc>
          <w:tcPr>
            <w:tcW w:w="4258" w:type="dxa"/>
            <w:noWrap/>
          </w:tcPr>
          <w:p w14:paraId="563F8F54" w14:textId="77777777" w:rsidR="00F04B2B" w:rsidRPr="009D0DB0" w:rsidRDefault="00F04B2B" w:rsidP="00DB58AA">
            <w:pPr>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TFEQ – </w:t>
            </w:r>
            <w:r w:rsidRPr="009D0DB0">
              <w:rPr>
                <w:rFonts w:ascii="Times New Roman" w:eastAsia="Times New Roman" w:hAnsi="Times New Roman" w:cs="Times New Roman"/>
                <w:sz w:val="22"/>
                <w:szCs w:val="22"/>
                <w:lang w:eastAsia="en-GB"/>
              </w:rPr>
              <w:t>Cognitive restraint (AU)</w:t>
            </w:r>
          </w:p>
        </w:tc>
        <w:tc>
          <w:tcPr>
            <w:tcW w:w="567" w:type="dxa"/>
          </w:tcPr>
          <w:p w14:paraId="5F6A75F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123B5720" w14:textId="23BA335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to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851" w:type="dxa"/>
            <w:noWrap/>
          </w:tcPr>
          <w:p w14:paraId="098A1F6D" w14:textId="5E245CA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056</w:t>
            </w:r>
          </w:p>
        </w:tc>
        <w:tc>
          <w:tcPr>
            <w:tcW w:w="567" w:type="dxa"/>
            <w:noWrap/>
          </w:tcPr>
          <w:p w14:paraId="12E43FF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59759B86" w14:textId="7F48AF30"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to 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0" w:type="dxa"/>
          </w:tcPr>
          <w:p w14:paraId="0FDC4C82" w14:textId="1B47B66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349</w:t>
            </w:r>
          </w:p>
        </w:tc>
        <w:tc>
          <w:tcPr>
            <w:tcW w:w="567" w:type="dxa"/>
          </w:tcPr>
          <w:p w14:paraId="116FCF2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0969C570" w14:textId="4FD9F46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p>
        </w:tc>
        <w:tc>
          <w:tcPr>
            <w:tcW w:w="982" w:type="dxa"/>
            <w:noWrap/>
          </w:tcPr>
          <w:p w14:paraId="39C7FFC0" w14:textId="49E5E349" w:rsidR="00F04B2B" w:rsidRPr="00085CCC"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002</w:t>
            </w:r>
          </w:p>
        </w:tc>
      </w:tr>
      <w:tr w:rsidR="00F04B2B" w:rsidRPr="009D0DB0" w14:paraId="5A899664" w14:textId="77777777" w:rsidTr="001E6CCC">
        <w:trPr>
          <w:trHeight w:val="20"/>
        </w:trPr>
        <w:tc>
          <w:tcPr>
            <w:tcW w:w="4258" w:type="dxa"/>
            <w:noWrap/>
          </w:tcPr>
          <w:p w14:paraId="6EB8DA6B"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Pr>
                <w:rFonts w:ascii="Times New Roman" w:eastAsia="Times New Roman" w:hAnsi="Times New Roman" w:cs="Times New Roman"/>
                <w:iCs/>
                <w:sz w:val="22"/>
                <w:szCs w:val="22"/>
                <w:lang w:eastAsia="en-GB"/>
              </w:rPr>
              <w:t xml:space="preserve">TFEQ – </w:t>
            </w:r>
            <w:r w:rsidRPr="009D0DB0">
              <w:rPr>
                <w:rFonts w:ascii="Times New Roman" w:eastAsia="Times New Roman" w:hAnsi="Times New Roman" w:cs="Times New Roman"/>
                <w:iCs/>
                <w:sz w:val="22"/>
                <w:szCs w:val="22"/>
                <w:lang w:eastAsia="en-GB"/>
              </w:rPr>
              <w:t>Disinhibition (AU)</w:t>
            </w:r>
          </w:p>
        </w:tc>
        <w:tc>
          <w:tcPr>
            <w:tcW w:w="567" w:type="dxa"/>
          </w:tcPr>
          <w:p w14:paraId="44A0392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1BC5D03" w14:textId="654A590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 to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p>
        </w:tc>
        <w:tc>
          <w:tcPr>
            <w:tcW w:w="851" w:type="dxa"/>
            <w:noWrap/>
          </w:tcPr>
          <w:p w14:paraId="42491481" w14:textId="4B61F55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931</w:t>
            </w:r>
          </w:p>
        </w:tc>
        <w:tc>
          <w:tcPr>
            <w:tcW w:w="567" w:type="dxa"/>
            <w:noWrap/>
          </w:tcPr>
          <w:p w14:paraId="08A47F9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29BF9ED2" w14:textId="0C539583"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w:t>
            </w:r>
          </w:p>
        </w:tc>
        <w:tc>
          <w:tcPr>
            <w:tcW w:w="850" w:type="dxa"/>
          </w:tcPr>
          <w:p w14:paraId="373CA566" w14:textId="4FE4FDA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679</w:t>
            </w:r>
          </w:p>
        </w:tc>
        <w:tc>
          <w:tcPr>
            <w:tcW w:w="567" w:type="dxa"/>
          </w:tcPr>
          <w:p w14:paraId="2CA1FBF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5D4D131E" w14:textId="47C4A6F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p>
        </w:tc>
        <w:tc>
          <w:tcPr>
            <w:tcW w:w="982" w:type="dxa"/>
            <w:noWrap/>
          </w:tcPr>
          <w:p w14:paraId="70E3498D" w14:textId="31DD4E3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475</w:t>
            </w:r>
          </w:p>
        </w:tc>
      </w:tr>
      <w:tr w:rsidR="00F04B2B" w:rsidRPr="009D0DB0" w14:paraId="5E1BE729" w14:textId="77777777" w:rsidTr="001E6CCC">
        <w:trPr>
          <w:trHeight w:val="20"/>
        </w:trPr>
        <w:tc>
          <w:tcPr>
            <w:tcW w:w="4258" w:type="dxa"/>
            <w:noWrap/>
          </w:tcPr>
          <w:p w14:paraId="6B5B5105" w14:textId="77777777" w:rsidR="00F04B2B" w:rsidRPr="009D0DB0" w:rsidRDefault="00F04B2B" w:rsidP="00DB58AA">
            <w:pPr>
              <w:tabs>
                <w:tab w:val="center" w:pos="1607"/>
              </w:tabs>
              <w:spacing w:line="23" w:lineRule="atLeast"/>
              <w:ind w:left="175"/>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 xml:space="preserve">TFEQ – </w:t>
            </w:r>
            <w:r w:rsidRPr="009D0DB0">
              <w:rPr>
                <w:rFonts w:ascii="Times New Roman" w:eastAsia="Times New Roman" w:hAnsi="Times New Roman" w:cs="Times New Roman"/>
                <w:sz w:val="22"/>
                <w:szCs w:val="22"/>
                <w:lang w:eastAsia="en-GB"/>
              </w:rPr>
              <w:t>Hunger (AU)</w:t>
            </w:r>
          </w:p>
        </w:tc>
        <w:tc>
          <w:tcPr>
            <w:tcW w:w="567" w:type="dxa"/>
          </w:tcPr>
          <w:p w14:paraId="29400CB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1935023B" w14:textId="7CBD1C7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to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w:t>
            </w:r>
          </w:p>
        </w:tc>
        <w:tc>
          <w:tcPr>
            <w:tcW w:w="851" w:type="dxa"/>
            <w:noWrap/>
          </w:tcPr>
          <w:p w14:paraId="21A34FED" w14:textId="1C21748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825</w:t>
            </w:r>
          </w:p>
        </w:tc>
        <w:tc>
          <w:tcPr>
            <w:tcW w:w="567" w:type="dxa"/>
            <w:noWrap/>
          </w:tcPr>
          <w:p w14:paraId="113DFD4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122B7ABF" w14:textId="7C28406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p>
        </w:tc>
        <w:tc>
          <w:tcPr>
            <w:tcW w:w="850" w:type="dxa"/>
          </w:tcPr>
          <w:p w14:paraId="2910A9F6" w14:textId="33AD139A"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367</w:t>
            </w:r>
          </w:p>
        </w:tc>
        <w:tc>
          <w:tcPr>
            <w:tcW w:w="567" w:type="dxa"/>
          </w:tcPr>
          <w:p w14:paraId="7F54FB29"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7A3447F5" w14:textId="60FE007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w:t>
            </w:r>
          </w:p>
        </w:tc>
        <w:tc>
          <w:tcPr>
            <w:tcW w:w="982" w:type="dxa"/>
            <w:noWrap/>
          </w:tcPr>
          <w:p w14:paraId="42B969C8" w14:textId="5EB2047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364</w:t>
            </w:r>
          </w:p>
        </w:tc>
      </w:tr>
      <w:tr w:rsidR="00F04B2B" w:rsidRPr="009D0DB0" w14:paraId="21693C57" w14:textId="77777777" w:rsidTr="001E6CCC">
        <w:trPr>
          <w:trHeight w:val="20"/>
        </w:trPr>
        <w:tc>
          <w:tcPr>
            <w:tcW w:w="4258" w:type="dxa"/>
            <w:noWrap/>
          </w:tcPr>
          <w:p w14:paraId="6F7FF100" w14:textId="77777777" w:rsidR="00F04B2B" w:rsidRPr="009D0DB0" w:rsidRDefault="00F04B2B" w:rsidP="00DB58AA">
            <w:pPr>
              <w:spacing w:line="23" w:lineRule="atLeast"/>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Anthropometry</w:t>
            </w:r>
            <w:r>
              <w:rPr>
                <w:rFonts w:ascii="Times New Roman" w:eastAsia="Times New Roman" w:hAnsi="Times New Roman" w:cs="Times New Roman"/>
                <w:sz w:val="22"/>
                <w:szCs w:val="22"/>
                <w:lang w:eastAsia="en-GB"/>
              </w:rPr>
              <w:t xml:space="preserve"> and body composition</w:t>
            </w:r>
          </w:p>
        </w:tc>
        <w:tc>
          <w:tcPr>
            <w:tcW w:w="567" w:type="dxa"/>
          </w:tcPr>
          <w:p w14:paraId="1A4D766D"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28C4FCF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1" w:type="dxa"/>
            <w:noWrap/>
          </w:tcPr>
          <w:p w14:paraId="2828EFD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noWrap/>
          </w:tcPr>
          <w:p w14:paraId="4584C9D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1241122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0" w:type="dxa"/>
          </w:tcPr>
          <w:p w14:paraId="656341F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tcPr>
          <w:p w14:paraId="2BE6264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3757363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982" w:type="dxa"/>
            <w:noWrap/>
          </w:tcPr>
          <w:p w14:paraId="27C73C8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r>
      <w:tr w:rsidR="00F04B2B" w:rsidRPr="00084C83" w14:paraId="5DEC6D4B" w14:textId="77777777" w:rsidTr="001E6CCC">
        <w:trPr>
          <w:trHeight w:val="20"/>
        </w:trPr>
        <w:tc>
          <w:tcPr>
            <w:tcW w:w="4258" w:type="dxa"/>
            <w:noWrap/>
          </w:tcPr>
          <w:p w14:paraId="5D3CABC6"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Body weight (kg)</w:t>
            </w:r>
          </w:p>
        </w:tc>
        <w:tc>
          <w:tcPr>
            <w:tcW w:w="567" w:type="dxa"/>
          </w:tcPr>
          <w:p w14:paraId="7B96A06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C9532BD" w14:textId="1985444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52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79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76]</w:t>
            </w:r>
          </w:p>
        </w:tc>
        <w:tc>
          <w:tcPr>
            <w:tcW w:w="851" w:type="dxa"/>
            <w:noWrap/>
          </w:tcPr>
          <w:p w14:paraId="62C85EE4" w14:textId="37267F8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191</w:t>
            </w:r>
          </w:p>
        </w:tc>
        <w:tc>
          <w:tcPr>
            <w:tcW w:w="567" w:type="dxa"/>
            <w:noWrap/>
          </w:tcPr>
          <w:p w14:paraId="3BED2FB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154B4B22" w14:textId="3F9662B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23 [-4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45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01]</w:t>
            </w:r>
          </w:p>
        </w:tc>
        <w:tc>
          <w:tcPr>
            <w:tcW w:w="850" w:type="dxa"/>
          </w:tcPr>
          <w:p w14:paraId="048E02D0" w14:textId="230D7C1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049</w:t>
            </w:r>
          </w:p>
        </w:tc>
        <w:tc>
          <w:tcPr>
            <w:tcW w:w="567" w:type="dxa"/>
          </w:tcPr>
          <w:p w14:paraId="570EA68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68174F06" w14:textId="64932A34"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62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79 to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44]</w:t>
            </w:r>
          </w:p>
        </w:tc>
        <w:tc>
          <w:tcPr>
            <w:tcW w:w="982" w:type="dxa"/>
            <w:noWrap/>
          </w:tcPr>
          <w:p w14:paraId="613F8C0B" w14:textId="770CB467" w:rsidR="00F04B2B" w:rsidRPr="00084C83"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&lt;0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r>
      <w:tr w:rsidR="00F04B2B" w:rsidRPr="00084C83" w14:paraId="7DEA6A3B" w14:textId="77777777" w:rsidTr="001E6CCC">
        <w:trPr>
          <w:trHeight w:val="20"/>
        </w:trPr>
        <w:tc>
          <w:tcPr>
            <w:tcW w:w="4258" w:type="dxa"/>
            <w:noWrap/>
          </w:tcPr>
          <w:p w14:paraId="5229B448"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sidRPr="009D0DB0">
              <w:rPr>
                <w:rFonts w:ascii="Times New Roman" w:eastAsia="Times New Roman" w:hAnsi="Times New Roman" w:cs="Times New Roman"/>
                <w:iCs/>
                <w:sz w:val="22"/>
                <w:szCs w:val="22"/>
                <w:lang w:eastAsia="en-GB"/>
              </w:rPr>
              <w:t>Total fat mass (kg)</w:t>
            </w:r>
          </w:p>
        </w:tc>
        <w:tc>
          <w:tcPr>
            <w:tcW w:w="567" w:type="dxa"/>
          </w:tcPr>
          <w:p w14:paraId="24F6066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0D613607" w14:textId="1620C0C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94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72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16]</w:t>
            </w:r>
          </w:p>
        </w:tc>
        <w:tc>
          <w:tcPr>
            <w:tcW w:w="851" w:type="dxa"/>
            <w:noWrap/>
          </w:tcPr>
          <w:p w14:paraId="65626762" w14:textId="34DAAE4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033</w:t>
            </w:r>
          </w:p>
        </w:tc>
        <w:tc>
          <w:tcPr>
            <w:tcW w:w="567" w:type="dxa"/>
            <w:noWrap/>
          </w:tcPr>
          <w:p w14:paraId="0B25075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2696C422" w14:textId="7FB0E61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98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71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74]</w:t>
            </w:r>
          </w:p>
        </w:tc>
        <w:tc>
          <w:tcPr>
            <w:tcW w:w="850" w:type="dxa"/>
          </w:tcPr>
          <w:p w14:paraId="00EF230C" w14:textId="6E1252E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264</w:t>
            </w:r>
          </w:p>
        </w:tc>
        <w:tc>
          <w:tcPr>
            <w:tcW w:w="567" w:type="dxa"/>
          </w:tcPr>
          <w:p w14:paraId="71203CE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7CCD56F0" w14:textId="722CDC50"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06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76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36]</w:t>
            </w:r>
          </w:p>
        </w:tc>
        <w:tc>
          <w:tcPr>
            <w:tcW w:w="982" w:type="dxa"/>
            <w:noWrap/>
          </w:tcPr>
          <w:p w14:paraId="6C8D25A7" w14:textId="0E555EF0" w:rsidR="00F04B2B" w:rsidRPr="00084C83"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&lt;0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r>
      <w:tr w:rsidR="00F04B2B" w:rsidRPr="00084C83" w14:paraId="6A5D9964" w14:textId="77777777" w:rsidTr="001E6CCC">
        <w:trPr>
          <w:trHeight w:val="20"/>
        </w:trPr>
        <w:tc>
          <w:tcPr>
            <w:tcW w:w="4258" w:type="dxa"/>
            <w:noWrap/>
          </w:tcPr>
          <w:p w14:paraId="24FA4F4C"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Total lean body mass (kg)</w:t>
            </w:r>
          </w:p>
        </w:tc>
        <w:tc>
          <w:tcPr>
            <w:tcW w:w="567" w:type="dxa"/>
          </w:tcPr>
          <w:p w14:paraId="31C0E5C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03D0FD0" w14:textId="5A5BD97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34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50 to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18]</w:t>
            </w:r>
          </w:p>
        </w:tc>
        <w:tc>
          <w:tcPr>
            <w:tcW w:w="851" w:type="dxa"/>
            <w:noWrap/>
          </w:tcPr>
          <w:p w14:paraId="519481B1" w14:textId="4ED7813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428</w:t>
            </w:r>
          </w:p>
        </w:tc>
        <w:tc>
          <w:tcPr>
            <w:tcW w:w="567" w:type="dxa"/>
            <w:noWrap/>
          </w:tcPr>
          <w:p w14:paraId="4940490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423F6B30" w14:textId="74094DE3"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41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23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60]</w:t>
            </w:r>
          </w:p>
        </w:tc>
        <w:tc>
          <w:tcPr>
            <w:tcW w:w="850" w:type="dxa"/>
          </w:tcPr>
          <w:p w14:paraId="15FFE6C2" w14:textId="5EF41DBB" w:rsidR="00F04B2B" w:rsidRPr="00084C83"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c>
          <w:tcPr>
            <w:tcW w:w="567" w:type="dxa"/>
          </w:tcPr>
          <w:p w14:paraId="15445D8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7AC578C1" w14:textId="7E3E8D6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60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40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80]</w:t>
            </w:r>
          </w:p>
        </w:tc>
        <w:tc>
          <w:tcPr>
            <w:tcW w:w="982" w:type="dxa"/>
            <w:noWrap/>
          </w:tcPr>
          <w:p w14:paraId="04B68D76" w14:textId="4C1DA8E2" w:rsidR="00F04B2B" w:rsidRPr="00084C83"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&lt;0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r>
      <w:tr w:rsidR="00F04B2B" w:rsidRPr="00084C83" w14:paraId="2321ECF8" w14:textId="77777777" w:rsidTr="001E6CCC">
        <w:trPr>
          <w:trHeight w:val="20"/>
        </w:trPr>
        <w:tc>
          <w:tcPr>
            <w:tcW w:w="4258" w:type="dxa"/>
            <w:noWrap/>
          </w:tcPr>
          <w:p w14:paraId="23D29401" w14:textId="77777777" w:rsidR="00F04B2B" w:rsidRPr="009D0DB0" w:rsidRDefault="00F04B2B" w:rsidP="00DB58AA">
            <w:pPr>
              <w:spacing w:line="23" w:lineRule="atLeast"/>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Energy balance and habitual physical activity</w:t>
            </w:r>
          </w:p>
        </w:tc>
        <w:tc>
          <w:tcPr>
            <w:tcW w:w="567" w:type="dxa"/>
          </w:tcPr>
          <w:p w14:paraId="6084BBC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5F25DF0C"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p>
        </w:tc>
        <w:tc>
          <w:tcPr>
            <w:tcW w:w="851" w:type="dxa"/>
            <w:noWrap/>
          </w:tcPr>
          <w:p w14:paraId="4AEAA9F3"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noWrap/>
          </w:tcPr>
          <w:p w14:paraId="278699E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71CB2FD2"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p>
        </w:tc>
        <w:tc>
          <w:tcPr>
            <w:tcW w:w="850" w:type="dxa"/>
          </w:tcPr>
          <w:p w14:paraId="1AF683A0" w14:textId="77777777" w:rsidR="00F04B2B" w:rsidRDefault="00F04B2B" w:rsidP="00DB58AA">
            <w:pPr>
              <w:spacing w:line="23" w:lineRule="atLeast"/>
              <w:jc w:val="center"/>
              <w:rPr>
                <w:rFonts w:ascii="Times New Roman" w:eastAsia="Times New Roman" w:hAnsi="Times New Roman" w:cs="Times New Roman"/>
                <w:b/>
                <w:sz w:val="22"/>
                <w:szCs w:val="22"/>
                <w:lang w:eastAsia="en-GB"/>
              </w:rPr>
            </w:pPr>
          </w:p>
        </w:tc>
        <w:tc>
          <w:tcPr>
            <w:tcW w:w="567" w:type="dxa"/>
          </w:tcPr>
          <w:p w14:paraId="7E24602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548A6A06"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p>
        </w:tc>
        <w:tc>
          <w:tcPr>
            <w:tcW w:w="982" w:type="dxa"/>
            <w:noWrap/>
          </w:tcPr>
          <w:p w14:paraId="5D1253B3" w14:textId="77777777" w:rsidR="00F04B2B" w:rsidRDefault="00F04B2B" w:rsidP="00DB58AA">
            <w:pPr>
              <w:spacing w:line="23" w:lineRule="atLeast"/>
              <w:jc w:val="center"/>
              <w:rPr>
                <w:rFonts w:ascii="Times New Roman" w:eastAsia="Times New Roman" w:hAnsi="Times New Roman" w:cs="Times New Roman"/>
                <w:b/>
                <w:sz w:val="22"/>
                <w:szCs w:val="22"/>
                <w:lang w:eastAsia="en-GB"/>
              </w:rPr>
            </w:pPr>
          </w:p>
        </w:tc>
      </w:tr>
      <w:tr w:rsidR="00F04B2B" w:rsidRPr="00A011D4" w14:paraId="432A1598" w14:textId="77777777" w:rsidTr="001E6CCC">
        <w:trPr>
          <w:trHeight w:val="20"/>
        </w:trPr>
        <w:tc>
          <w:tcPr>
            <w:tcW w:w="4258" w:type="dxa"/>
            <w:noWrap/>
          </w:tcPr>
          <w:p w14:paraId="678CB1FE"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Pr>
                <w:rFonts w:ascii="Times New Roman" w:eastAsia="Times New Roman" w:hAnsi="Times New Roman" w:cs="Times New Roman"/>
                <w:iCs/>
                <w:sz w:val="22"/>
                <w:szCs w:val="22"/>
                <w:lang w:eastAsia="en-GB"/>
              </w:rPr>
              <w:t>Daily energy intake (kcal/day)</w:t>
            </w:r>
          </w:p>
        </w:tc>
        <w:tc>
          <w:tcPr>
            <w:tcW w:w="567" w:type="dxa"/>
          </w:tcPr>
          <w:p w14:paraId="1B955D8E"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15</w:t>
            </w:r>
          </w:p>
        </w:tc>
        <w:tc>
          <w:tcPr>
            <w:tcW w:w="2268" w:type="dxa"/>
            <w:noWrap/>
          </w:tcPr>
          <w:p w14:paraId="4C32C2DD"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226 [-82 to 535]</w:t>
            </w:r>
          </w:p>
        </w:tc>
        <w:tc>
          <w:tcPr>
            <w:tcW w:w="851" w:type="dxa"/>
            <w:noWrap/>
          </w:tcPr>
          <w:p w14:paraId="526A6D8E" w14:textId="69A47DBB" w:rsidR="00F04B2B"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151</w:t>
            </w:r>
          </w:p>
        </w:tc>
        <w:tc>
          <w:tcPr>
            <w:tcW w:w="567" w:type="dxa"/>
            <w:noWrap/>
          </w:tcPr>
          <w:p w14:paraId="57F9AF2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14</w:t>
            </w:r>
          </w:p>
        </w:tc>
        <w:tc>
          <w:tcPr>
            <w:tcW w:w="2268" w:type="dxa"/>
          </w:tcPr>
          <w:p w14:paraId="20C28CAC"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252 [-56 to 560]</w:t>
            </w:r>
          </w:p>
        </w:tc>
        <w:tc>
          <w:tcPr>
            <w:tcW w:w="850" w:type="dxa"/>
          </w:tcPr>
          <w:p w14:paraId="629B59DB" w14:textId="32B46143" w:rsidR="00F04B2B"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109</w:t>
            </w:r>
          </w:p>
        </w:tc>
        <w:tc>
          <w:tcPr>
            <w:tcW w:w="567" w:type="dxa"/>
          </w:tcPr>
          <w:p w14:paraId="7CD3095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13</w:t>
            </w:r>
          </w:p>
        </w:tc>
        <w:tc>
          <w:tcPr>
            <w:tcW w:w="2268" w:type="dxa"/>
          </w:tcPr>
          <w:p w14:paraId="47192B56" w14:textId="77777777" w:rsidR="00F04B2B"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210 [-112 to 532]</w:t>
            </w:r>
          </w:p>
        </w:tc>
        <w:tc>
          <w:tcPr>
            <w:tcW w:w="982" w:type="dxa"/>
            <w:noWrap/>
          </w:tcPr>
          <w:p w14:paraId="2BA06406" w14:textId="31576072" w:rsidR="00F04B2B" w:rsidRPr="00A011D4" w:rsidRDefault="00F04B2B" w:rsidP="00DB58AA">
            <w:pPr>
              <w:spacing w:line="23" w:lineRule="atLeast"/>
              <w:jc w:val="center"/>
              <w:rPr>
                <w:rFonts w:ascii="Times New Roman" w:eastAsia="Times New Roman" w:hAnsi="Times New Roman" w:cs="Times New Roman"/>
                <w:sz w:val="22"/>
                <w:szCs w:val="22"/>
                <w:lang w:eastAsia="en-GB"/>
              </w:rPr>
            </w:pPr>
            <w:r w:rsidRPr="00A011D4">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sidRPr="00A011D4">
              <w:rPr>
                <w:rFonts w:ascii="Times New Roman" w:eastAsia="Times New Roman" w:hAnsi="Times New Roman" w:cs="Times New Roman"/>
                <w:sz w:val="22"/>
                <w:szCs w:val="22"/>
                <w:lang w:eastAsia="en-GB"/>
              </w:rPr>
              <w:t>202</w:t>
            </w:r>
          </w:p>
        </w:tc>
      </w:tr>
      <w:tr w:rsidR="00F04B2B" w:rsidRPr="009D0DB0" w14:paraId="3A72B2BD" w14:textId="77777777" w:rsidTr="001E6CCC">
        <w:trPr>
          <w:trHeight w:val="20"/>
        </w:trPr>
        <w:tc>
          <w:tcPr>
            <w:tcW w:w="4258" w:type="dxa"/>
            <w:noWrap/>
          </w:tcPr>
          <w:p w14:paraId="408B32C6"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sidRPr="009D0DB0">
              <w:rPr>
                <w:rFonts w:ascii="Times New Roman" w:eastAsia="Times New Roman" w:hAnsi="Times New Roman" w:cs="Times New Roman"/>
                <w:iCs/>
                <w:sz w:val="22"/>
                <w:szCs w:val="22"/>
                <w:lang w:eastAsia="en-GB"/>
              </w:rPr>
              <w:t>Resting energy expenditure (kcal/day)</w:t>
            </w:r>
          </w:p>
        </w:tc>
        <w:tc>
          <w:tcPr>
            <w:tcW w:w="567" w:type="dxa"/>
          </w:tcPr>
          <w:p w14:paraId="3727A58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07051BF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-80 [-261 to 101]</w:t>
            </w:r>
          </w:p>
        </w:tc>
        <w:tc>
          <w:tcPr>
            <w:tcW w:w="851" w:type="dxa"/>
            <w:noWrap/>
          </w:tcPr>
          <w:p w14:paraId="6A0E5487" w14:textId="44FC2D0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387</w:t>
            </w:r>
          </w:p>
        </w:tc>
        <w:tc>
          <w:tcPr>
            <w:tcW w:w="567" w:type="dxa"/>
            <w:noWrap/>
          </w:tcPr>
          <w:p w14:paraId="42CDA6A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667FCFF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-129 [-297 to 40]</w:t>
            </w:r>
          </w:p>
        </w:tc>
        <w:tc>
          <w:tcPr>
            <w:tcW w:w="850" w:type="dxa"/>
          </w:tcPr>
          <w:p w14:paraId="505A8C33" w14:textId="5D781D6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134</w:t>
            </w:r>
          </w:p>
        </w:tc>
        <w:tc>
          <w:tcPr>
            <w:tcW w:w="567" w:type="dxa"/>
          </w:tcPr>
          <w:p w14:paraId="3CC16D5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638BD919"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-212 [-378 to -45]</w:t>
            </w:r>
          </w:p>
        </w:tc>
        <w:tc>
          <w:tcPr>
            <w:tcW w:w="982" w:type="dxa"/>
            <w:noWrap/>
          </w:tcPr>
          <w:p w14:paraId="07148D05" w14:textId="7E2449F3" w:rsidR="00F04B2B" w:rsidRPr="002178E4" w:rsidRDefault="00F04B2B" w:rsidP="00DB58AA">
            <w:pPr>
              <w:spacing w:line="23" w:lineRule="atLeast"/>
              <w:jc w:val="center"/>
              <w:rPr>
                <w:rFonts w:ascii="Times New Roman" w:eastAsia="Times New Roman" w:hAnsi="Times New Roman" w:cs="Times New Roman"/>
                <w:b/>
                <w:bCs/>
                <w:sz w:val="22"/>
                <w:szCs w:val="22"/>
                <w:lang w:eastAsia="en-GB"/>
              </w:rPr>
            </w:pPr>
            <w:r w:rsidRPr="002178E4">
              <w:rPr>
                <w:rFonts w:ascii="Times New Roman" w:eastAsia="Times New Roman" w:hAnsi="Times New Roman" w:cs="Times New Roman"/>
                <w:b/>
                <w:bCs/>
                <w:sz w:val="22"/>
                <w:szCs w:val="22"/>
                <w:lang w:eastAsia="en-GB"/>
              </w:rPr>
              <w:t>0</w:t>
            </w:r>
            <w:r w:rsidR="00563D5A">
              <w:rPr>
                <w:rFonts w:ascii="Times New Roman" w:eastAsia="Times New Roman" w:hAnsi="Times New Roman" w:cs="Times New Roman"/>
                <w:b/>
                <w:bCs/>
                <w:sz w:val="22"/>
                <w:szCs w:val="22"/>
                <w:lang w:eastAsia="en-GB"/>
              </w:rPr>
              <w:t>.</w:t>
            </w:r>
            <w:r w:rsidRPr="002178E4">
              <w:rPr>
                <w:rFonts w:ascii="Times New Roman" w:eastAsia="Times New Roman" w:hAnsi="Times New Roman" w:cs="Times New Roman"/>
                <w:b/>
                <w:bCs/>
                <w:sz w:val="22"/>
                <w:szCs w:val="22"/>
                <w:lang w:eastAsia="en-GB"/>
              </w:rPr>
              <w:t>013</w:t>
            </w:r>
          </w:p>
        </w:tc>
      </w:tr>
      <w:tr w:rsidR="00F04B2B" w:rsidRPr="009D0DB0" w14:paraId="3FD9B607" w14:textId="77777777" w:rsidTr="001E6CCC">
        <w:trPr>
          <w:trHeight w:val="20"/>
        </w:trPr>
        <w:tc>
          <w:tcPr>
            <w:tcW w:w="4258" w:type="dxa"/>
            <w:noWrap/>
          </w:tcPr>
          <w:p w14:paraId="5D3FBFCB"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Steps (number/</w:t>
            </w:r>
            <w:r w:rsidRPr="009D0DB0">
              <w:rPr>
                <w:rFonts w:ascii="Times New Roman" w:eastAsia="Times New Roman" w:hAnsi="Times New Roman" w:cs="Times New Roman"/>
                <w:sz w:val="22"/>
                <w:szCs w:val="22"/>
                <w:lang w:eastAsia="en-GB"/>
              </w:rPr>
              <w:t>day)</w:t>
            </w:r>
          </w:p>
        </w:tc>
        <w:tc>
          <w:tcPr>
            <w:tcW w:w="567" w:type="dxa"/>
          </w:tcPr>
          <w:p w14:paraId="71ADC55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3279228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604 [-698 to 1906]</w:t>
            </w:r>
          </w:p>
        </w:tc>
        <w:tc>
          <w:tcPr>
            <w:tcW w:w="851" w:type="dxa"/>
            <w:noWrap/>
          </w:tcPr>
          <w:p w14:paraId="6C2D7ECF" w14:textId="1D39B31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363</w:t>
            </w:r>
          </w:p>
        </w:tc>
        <w:tc>
          <w:tcPr>
            <w:tcW w:w="567" w:type="dxa"/>
            <w:noWrap/>
          </w:tcPr>
          <w:p w14:paraId="2866C42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097F2CC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-800 [-2047 to 447]</w:t>
            </w:r>
          </w:p>
        </w:tc>
        <w:tc>
          <w:tcPr>
            <w:tcW w:w="850" w:type="dxa"/>
          </w:tcPr>
          <w:p w14:paraId="6EE5EC17" w14:textId="1C25C56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209</w:t>
            </w:r>
          </w:p>
        </w:tc>
        <w:tc>
          <w:tcPr>
            <w:tcW w:w="567" w:type="dxa"/>
          </w:tcPr>
          <w:p w14:paraId="059F1CB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tcPr>
          <w:p w14:paraId="441DD47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574 [-695 to 1843]</w:t>
            </w:r>
          </w:p>
        </w:tc>
        <w:tc>
          <w:tcPr>
            <w:tcW w:w="982" w:type="dxa"/>
            <w:noWrap/>
          </w:tcPr>
          <w:p w14:paraId="476D1C0B" w14:textId="0F377556"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375</w:t>
            </w:r>
          </w:p>
        </w:tc>
      </w:tr>
      <w:tr w:rsidR="00F04B2B" w:rsidRPr="009D0DB0" w14:paraId="65628613" w14:textId="77777777" w:rsidTr="001E6CCC">
        <w:trPr>
          <w:trHeight w:val="20"/>
        </w:trPr>
        <w:tc>
          <w:tcPr>
            <w:tcW w:w="4258" w:type="dxa"/>
            <w:noWrap/>
          </w:tcPr>
          <w:p w14:paraId="1E28F0D4"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Sedentary time (min/day)</w:t>
            </w:r>
          </w:p>
        </w:tc>
        <w:tc>
          <w:tcPr>
            <w:tcW w:w="567" w:type="dxa"/>
          </w:tcPr>
          <w:p w14:paraId="23ABB70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0D99625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-23 [-65 to 19]</w:t>
            </w:r>
          </w:p>
        </w:tc>
        <w:tc>
          <w:tcPr>
            <w:tcW w:w="851" w:type="dxa"/>
            <w:noWrap/>
          </w:tcPr>
          <w:p w14:paraId="505F1C97" w14:textId="701F2E7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283</w:t>
            </w:r>
          </w:p>
        </w:tc>
        <w:tc>
          <w:tcPr>
            <w:tcW w:w="567" w:type="dxa"/>
            <w:noWrap/>
          </w:tcPr>
          <w:p w14:paraId="6BD8BD6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74E6C52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 [-40 to 41]</w:t>
            </w:r>
          </w:p>
        </w:tc>
        <w:tc>
          <w:tcPr>
            <w:tcW w:w="850" w:type="dxa"/>
          </w:tcPr>
          <w:p w14:paraId="54262D94" w14:textId="44C7CD0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974</w:t>
            </w:r>
          </w:p>
        </w:tc>
        <w:tc>
          <w:tcPr>
            <w:tcW w:w="567" w:type="dxa"/>
          </w:tcPr>
          <w:p w14:paraId="57AF5A76"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tcPr>
          <w:p w14:paraId="7D2E369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-18 [-59 to 23]</w:t>
            </w:r>
          </w:p>
        </w:tc>
        <w:tc>
          <w:tcPr>
            <w:tcW w:w="982" w:type="dxa"/>
            <w:noWrap/>
          </w:tcPr>
          <w:p w14:paraId="70F0EA89" w14:textId="7F49D3C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395</w:t>
            </w:r>
          </w:p>
        </w:tc>
      </w:tr>
      <w:tr w:rsidR="00F04B2B" w:rsidRPr="009D0DB0" w14:paraId="3DAA83D9" w14:textId="77777777" w:rsidTr="001E6CCC">
        <w:trPr>
          <w:trHeight w:val="20"/>
        </w:trPr>
        <w:tc>
          <w:tcPr>
            <w:tcW w:w="4258" w:type="dxa"/>
            <w:noWrap/>
          </w:tcPr>
          <w:p w14:paraId="0FBE6DEF"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Light-intensity physical activity (min/day)</w:t>
            </w:r>
          </w:p>
        </w:tc>
        <w:tc>
          <w:tcPr>
            <w:tcW w:w="567" w:type="dxa"/>
          </w:tcPr>
          <w:p w14:paraId="178C13F0"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73E594C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20 [-15 to 56]</w:t>
            </w:r>
          </w:p>
        </w:tc>
        <w:tc>
          <w:tcPr>
            <w:tcW w:w="851" w:type="dxa"/>
            <w:noWrap/>
          </w:tcPr>
          <w:p w14:paraId="498AB2FF" w14:textId="14273900"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261</w:t>
            </w:r>
          </w:p>
        </w:tc>
        <w:tc>
          <w:tcPr>
            <w:tcW w:w="567" w:type="dxa"/>
            <w:noWrap/>
          </w:tcPr>
          <w:p w14:paraId="6901CCC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05190C7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 [-36 to 32]</w:t>
            </w:r>
          </w:p>
        </w:tc>
        <w:tc>
          <w:tcPr>
            <w:tcW w:w="850" w:type="dxa"/>
          </w:tcPr>
          <w:p w14:paraId="2CFEF5FC" w14:textId="1FE7053A"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909</w:t>
            </w:r>
          </w:p>
        </w:tc>
        <w:tc>
          <w:tcPr>
            <w:tcW w:w="567" w:type="dxa"/>
          </w:tcPr>
          <w:p w14:paraId="4C2FA17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tcPr>
          <w:p w14:paraId="5A51E85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10 [-24 to 45]</w:t>
            </w:r>
          </w:p>
        </w:tc>
        <w:tc>
          <w:tcPr>
            <w:tcW w:w="982" w:type="dxa"/>
            <w:noWrap/>
          </w:tcPr>
          <w:p w14:paraId="134AF520" w14:textId="78B2C0E9"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558</w:t>
            </w:r>
          </w:p>
        </w:tc>
      </w:tr>
      <w:tr w:rsidR="00F04B2B" w:rsidRPr="009D0DB0" w14:paraId="009ADE58" w14:textId="77777777" w:rsidTr="001E6CCC">
        <w:trPr>
          <w:trHeight w:val="20"/>
        </w:trPr>
        <w:tc>
          <w:tcPr>
            <w:tcW w:w="4258" w:type="dxa"/>
            <w:noWrap/>
          </w:tcPr>
          <w:p w14:paraId="5190F0A6"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Moderate-to-vigorous-intensity physical activity (min/day)</w:t>
            </w:r>
          </w:p>
        </w:tc>
        <w:tc>
          <w:tcPr>
            <w:tcW w:w="567" w:type="dxa"/>
          </w:tcPr>
          <w:p w14:paraId="406D01D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30EBB63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 [-9 to 15]</w:t>
            </w:r>
          </w:p>
        </w:tc>
        <w:tc>
          <w:tcPr>
            <w:tcW w:w="851" w:type="dxa"/>
            <w:noWrap/>
          </w:tcPr>
          <w:p w14:paraId="5DBB6A5F" w14:textId="14029D3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586</w:t>
            </w:r>
          </w:p>
        </w:tc>
        <w:tc>
          <w:tcPr>
            <w:tcW w:w="567" w:type="dxa"/>
            <w:noWrap/>
          </w:tcPr>
          <w:p w14:paraId="79ECB66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091E328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 [-13 to 11]</w:t>
            </w:r>
          </w:p>
        </w:tc>
        <w:tc>
          <w:tcPr>
            <w:tcW w:w="850" w:type="dxa"/>
          </w:tcPr>
          <w:p w14:paraId="66847BC4" w14:textId="772E1C4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863</w:t>
            </w:r>
          </w:p>
        </w:tc>
        <w:tc>
          <w:tcPr>
            <w:tcW w:w="567" w:type="dxa"/>
          </w:tcPr>
          <w:p w14:paraId="038D068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tcPr>
          <w:p w14:paraId="5440AB0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7 [-5 to 19]</w:t>
            </w:r>
          </w:p>
        </w:tc>
        <w:tc>
          <w:tcPr>
            <w:tcW w:w="982" w:type="dxa"/>
            <w:noWrap/>
          </w:tcPr>
          <w:p w14:paraId="4FEE3603" w14:textId="12AE3AE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249</w:t>
            </w:r>
          </w:p>
        </w:tc>
      </w:tr>
      <w:tr w:rsidR="00F04B2B" w:rsidRPr="009D0DB0" w14:paraId="35C884A3" w14:textId="77777777" w:rsidTr="001E6CCC">
        <w:trPr>
          <w:trHeight w:val="20"/>
        </w:trPr>
        <w:tc>
          <w:tcPr>
            <w:tcW w:w="4258" w:type="dxa"/>
            <w:noWrap/>
          </w:tcPr>
          <w:p w14:paraId="505093DC" w14:textId="0B85286E" w:rsidR="00F04B2B" w:rsidRPr="009D0DB0" w:rsidRDefault="00F04B2B" w:rsidP="00306012">
            <w:pPr>
              <w:tabs>
                <w:tab w:val="center" w:pos="1607"/>
              </w:tabs>
              <w:spacing w:line="23" w:lineRule="atLeast"/>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Glyc</w:t>
            </w:r>
            <w:r w:rsidR="002B7883">
              <w:rPr>
                <w:rFonts w:ascii="Times New Roman" w:eastAsia="Times New Roman" w:hAnsi="Times New Roman" w:cs="Times New Roman"/>
                <w:sz w:val="22"/>
                <w:szCs w:val="22"/>
                <w:lang w:eastAsia="en-GB"/>
              </w:rPr>
              <w:t>a</w:t>
            </w:r>
            <w:r w:rsidRPr="009D0DB0">
              <w:rPr>
                <w:rFonts w:ascii="Times New Roman" w:eastAsia="Times New Roman" w:hAnsi="Times New Roman" w:cs="Times New Roman"/>
                <w:sz w:val="22"/>
                <w:szCs w:val="22"/>
                <w:lang w:eastAsia="en-GB"/>
              </w:rPr>
              <w:t>emic control</w:t>
            </w:r>
          </w:p>
        </w:tc>
        <w:tc>
          <w:tcPr>
            <w:tcW w:w="567" w:type="dxa"/>
          </w:tcPr>
          <w:p w14:paraId="3E453A1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noWrap/>
          </w:tcPr>
          <w:p w14:paraId="00D32BA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1" w:type="dxa"/>
            <w:noWrap/>
          </w:tcPr>
          <w:p w14:paraId="403E533A"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noWrap/>
          </w:tcPr>
          <w:p w14:paraId="320B9C5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02793A0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850" w:type="dxa"/>
          </w:tcPr>
          <w:p w14:paraId="7FB3ED8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567" w:type="dxa"/>
          </w:tcPr>
          <w:p w14:paraId="34ABCC0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2268" w:type="dxa"/>
          </w:tcPr>
          <w:p w14:paraId="3DBF08AD"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c>
          <w:tcPr>
            <w:tcW w:w="982" w:type="dxa"/>
            <w:noWrap/>
          </w:tcPr>
          <w:p w14:paraId="64BCB06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p>
        </w:tc>
      </w:tr>
      <w:tr w:rsidR="00F04B2B" w:rsidRPr="009D0DB0" w14:paraId="28ABED10" w14:textId="77777777" w:rsidTr="001E6CCC">
        <w:trPr>
          <w:trHeight w:val="20"/>
        </w:trPr>
        <w:tc>
          <w:tcPr>
            <w:tcW w:w="4258" w:type="dxa"/>
            <w:noWrap/>
          </w:tcPr>
          <w:p w14:paraId="6895288B" w14:textId="6D31B78E" w:rsidR="00F04B2B" w:rsidRPr="00A63076" w:rsidRDefault="00F04B2B" w:rsidP="00CE658A">
            <w:pPr>
              <w:spacing w:line="23" w:lineRule="atLeast"/>
              <w:ind w:left="175"/>
              <w:rPr>
                <w:rFonts w:ascii="Times New Roman" w:eastAsia="Times New Roman" w:hAnsi="Times New Roman" w:cs="Times New Roman"/>
                <w:iCs/>
                <w:sz w:val="22"/>
                <w:szCs w:val="22"/>
                <w:vertAlign w:val="superscript"/>
                <w:lang w:eastAsia="en-GB"/>
              </w:rPr>
            </w:pPr>
            <w:r w:rsidRPr="009D0DB0">
              <w:rPr>
                <w:rFonts w:ascii="Times New Roman" w:eastAsia="Times New Roman" w:hAnsi="Times New Roman" w:cs="Times New Roman"/>
                <w:iCs/>
                <w:sz w:val="22"/>
                <w:szCs w:val="22"/>
                <w:lang w:eastAsia="en-GB"/>
              </w:rPr>
              <w:t>HbA1c (</w:t>
            </w:r>
            <w:r>
              <w:rPr>
                <w:rFonts w:ascii="Times New Roman" w:eastAsia="Times New Roman" w:hAnsi="Times New Roman" w:cs="Times New Roman"/>
                <w:iCs/>
                <w:sz w:val="22"/>
                <w:szCs w:val="22"/>
                <w:lang w:eastAsia="en-GB"/>
              </w:rPr>
              <w:t>mmol/mol</w:t>
            </w:r>
            <w:r w:rsidRPr="009D0DB0">
              <w:rPr>
                <w:rFonts w:ascii="Times New Roman" w:eastAsia="Times New Roman" w:hAnsi="Times New Roman" w:cs="Times New Roman"/>
                <w:iCs/>
                <w:sz w:val="22"/>
                <w:szCs w:val="22"/>
                <w:lang w:eastAsia="en-GB"/>
              </w:rPr>
              <w:t>)</w:t>
            </w:r>
            <w:r w:rsidR="00CE658A">
              <w:rPr>
                <w:rFonts w:ascii="Times New Roman" w:eastAsia="Times New Roman" w:hAnsi="Times New Roman" w:cs="Times New Roman"/>
                <w:iCs/>
                <w:sz w:val="22"/>
                <w:szCs w:val="22"/>
                <w:vertAlign w:val="superscript"/>
                <w:lang w:eastAsia="en-GB"/>
              </w:rPr>
              <w:t>†</w:t>
            </w:r>
          </w:p>
        </w:tc>
        <w:tc>
          <w:tcPr>
            <w:tcW w:w="567" w:type="dxa"/>
          </w:tcPr>
          <w:p w14:paraId="3D4159B4"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0F1B15E0" w14:textId="596C85E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w:t>
            </w:r>
          </w:p>
        </w:tc>
        <w:tc>
          <w:tcPr>
            <w:tcW w:w="851" w:type="dxa"/>
            <w:noWrap/>
          </w:tcPr>
          <w:p w14:paraId="1D22F0CB" w14:textId="3CAD740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512</w:t>
            </w:r>
          </w:p>
        </w:tc>
        <w:tc>
          <w:tcPr>
            <w:tcW w:w="567" w:type="dxa"/>
            <w:noWrap/>
          </w:tcPr>
          <w:p w14:paraId="607C5AF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1DBB5B14" w14:textId="01A40C9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w:t>
            </w:r>
          </w:p>
        </w:tc>
        <w:tc>
          <w:tcPr>
            <w:tcW w:w="850" w:type="dxa"/>
          </w:tcPr>
          <w:p w14:paraId="37A1C676" w14:textId="10585B52"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032</w:t>
            </w:r>
          </w:p>
        </w:tc>
        <w:tc>
          <w:tcPr>
            <w:tcW w:w="567" w:type="dxa"/>
          </w:tcPr>
          <w:p w14:paraId="54477F8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55F5002A" w14:textId="1E80E08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982" w:type="dxa"/>
            <w:noWrap/>
          </w:tcPr>
          <w:p w14:paraId="33143116" w14:textId="43BED8D1" w:rsidR="00F04B2B" w:rsidRPr="00CB0064"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016</w:t>
            </w:r>
          </w:p>
        </w:tc>
      </w:tr>
      <w:tr w:rsidR="00F04B2B" w:rsidRPr="009D0DB0" w14:paraId="2BA59594" w14:textId="77777777" w:rsidTr="001E6CCC">
        <w:trPr>
          <w:trHeight w:val="20"/>
        </w:trPr>
        <w:tc>
          <w:tcPr>
            <w:tcW w:w="4258" w:type="dxa"/>
            <w:noWrap/>
          </w:tcPr>
          <w:p w14:paraId="66B25102" w14:textId="77777777" w:rsidR="00F04B2B" w:rsidRPr="009D0DB0" w:rsidRDefault="00F04B2B" w:rsidP="00DB58AA">
            <w:pPr>
              <w:spacing w:line="23" w:lineRule="atLeast"/>
              <w:ind w:left="164"/>
              <w:rPr>
                <w:rFonts w:ascii="Times New Roman" w:eastAsia="Times New Roman" w:hAnsi="Times New Roman" w:cs="Times New Roman"/>
                <w:iCs/>
                <w:sz w:val="22"/>
                <w:szCs w:val="22"/>
                <w:lang w:eastAsia="en-GB"/>
              </w:rPr>
            </w:pPr>
            <w:r w:rsidRPr="009D0DB0">
              <w:rPr>
                <w:rFonts w:ascii="Times New Roman" w:eastAsia="Times New Roman" w:hAnsi="Times New Roman" w:cs="Times New Roman"/>
                <w:iCs/>
                <w:sz w:val="22"/>
                <w:szCs w:val="22"/>
                <w:lang w:eastAsia="en-GB"/>
              </w:rPr>
              <w:t>Fasting plasma glucose (mmol/L)</w:t>
            </w:r>
          </w:p>
        </w:tc>
        <w:tc>
          <w:tcPr>
            <w:tcW w:w="567" w:type="dxa"/>
          </w:tcPr>
          <w:p w14:paraId="61DA9D88"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13</w:t>
            </w:r>
          </w:p>
        </w:tc>
        <w:tc>
          <w:tcPr>
            <w:tcW w:w="2268" w:type="dxa"/>
            <w:noWrap/>
          </w:tcPr>
          <w:p w14:paraId="1ADA4226" w14:textId="1833244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05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63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53]</w:t>
            </w:r>
          </w:p>
        </w:tc>
        <w:tc>
          <w:tcPr>
            <w:tcW w:w="851" w:type="dxa"/>
            <w:noWrap/>
          </w:tcPr>
          <w:p w14:paraId="42287A2E" w14:textId="66A13F0A"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872</w:t>
            </w:r>
          </w:p>
        </w:tc>
        <w:tc>
          <w:tcPr>
            <w:tcW w:w="567" w:type="dxa"/>
            <w:noWrap/>
          </w:tcPr>
          <w:p w14:paraId="25E4106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16</w:t>
            </w:r>
          </w:p>
        </w:tc>
        <w:tc>
          <w:tcPr>
            <w:tcW w:w="2268" w:type="dxa"/>
          </w:tcPr>
          <w:p w14:paraId="39560327" w14:textId="7520063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88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44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31]</w:t>
            </w:r>
          </w:p>
        </w:tc>
        <w:tc>
          <w:tcPr>
            <w:tcW w:w="850" w:type="dxa"/>
          </w:tcPr>
          <w:p w14:paraId="33C3D0CD" w14:textId="2F91C1CD" w:rsidR="00F04B2B" w:rsidRPr="004C0DF4"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002</w:t>
            </w:r>
          </w:p>
        </w:tc>
        <w:tc>
          <w:tcPr>
            <w:tcW w:w="567" w:type="dxa"/>
          </w:tcPr>
          <w:p w14:paraId="7A2E15F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550CDE12" w14:textId="2F8D8AB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23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78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69]</w:t>
            </w:r>
          </w:p>
        </w:tc>
        <w:tc>
          <w:tcPr>
            <w:tcW w:w="982" w:type="dxa"/>
            <w:noWrap/>
          </w:tcPr>
          <w:p w14:paraId="69B04DCD" w14:textId="51B4220C" w:rsidR="00F04B2B" w:rsidRPr="004C0DF4"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b/>
                <w:sz w:val="22"/>
                <w:szCs w:val="22"/>
                <w:lang w:eastAsia="en-GB"/>
              </w:rPr>
              <w:t>&lt;0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r>
      <w:tr w:rsidR="00F04B2B" w:rsidRPr="009D0DB0" w14:paraId="7E3B8DB0" w14:textId="77777777" w:rsidTr="001E6CCC">
        <w:trPr>
          <w:trHeight w:val="20"/>
        </w:trPr>
        <w:tc>
          <w:tcPr>
            <w:tcW w:w="4258" w:type="dxa"/>
            <w:noWrap/>
          </w:tcPr>
          <w:p w14:paraId="0A681C05"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p</w:t>
            </w:r>
            <w:r w:rsidRPr="009D0DB0">
              <w:rPr>
                <w:rFonts w:ascii="Times New Roman" w:eastAsia="Times New Roman" w:hAnsi="Times New Roman" w:cs="Times New Roman"/>
                <w:sz w:val="22"/>
                <w:szCs w:val="22"/>
                <w:lang w:eastAsia="en-GB"/>
              </w:rPr>
              <w:t>lasma glucose (mmol/L)</w:t>
            </w:r>
            <w:r>
              <w:rPr>
                <w:rFonts w:ascii="Times New Roman" w:eastAsia="Times New Roman" w:hAnsi="Times New Roman" w:cs="Times New Roman"/>
                <w:sz w:val="22"/>
                <w:szCs w:val="22"/>
                <w:vertAlign w:val="superscript"/>
                <w:lang w:eastAsia="en-GB"/>
              </w:rPr>
              <w:t>*</w:t>
            </w:r>
          </w:p>
        </w:tc>
        <w:tc>
          <w:tcPr>
            <w:tcW w:w="567" w:type="dxa"/>
          </w:tcPr>
          <w:p w14:paraId="5707A9B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5C065FF1" w14:textId="2B1F671A"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06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12 to 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24]</w:t>
            </w:r>
          </w:p>
        </w:tc>
        <w:tc>
          <w:tcPr>
            <w:tcW w:w="851" w:type="dxa"/>
            <w:noWrap/>
          </w:tcPr>
          <w:p w14:paraId="7B9B7C8F" w14:textId="50203C5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919</w:t>
            </w:r>
          </w:p>
        </w:tc>
        <w:tc>
          <w:tcPr>
            <w:tcW w:w="567" w:type="dxa"/>
            <w:noWrap/>
          </w:tcPr>
          <w:p w14:paraId="17067C41"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6ED9784B" w14:textId="7C6D27E8"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24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40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08]</w:t>
            </w:r>
          </w:p>
        </w:tc>
        <w:tc>
          <w:tcPr>
            <w:tcW w:w="850" w:type="dxa"/>
          </w:tcPr>
          <w:p w14:paraId="27E8B54E" w14:textId="72E23BD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036</w:t>
            </w:r>
          </w:p>
        </w:tc>
        <w:tc>
          <w:tcPr>
            <w:tcW w:w="567" w:type="dxa"/>
          </w:tcPr>
          <w:p w14:paraId="25804615"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450D57D0" w14:textId="1BF475E5"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66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78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53]</w:t>
            </w:r>
          </w:p>
        </w:tc>
        <w:tc>
          <w:tcPr>
            <w:tcW w:w="982" w:type="dxa"/>
            <w:noWrap/>
          </w:tcPr>
          <w:p w14:paraId="2BEEABA4" w14:textId="2E7CDEC9" w:rsidR="00F04B2B" w:rsidRPr="00167583"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004</w:t>
            </w:r>
          </w:p>
        </w:tc>
      </w:tr>
      <w:tr w:rsidR="00F04B2B" w:rsidRPr="009D0DB0" w14:paraId="03B3D2B0" w14:textId="77777777" w:rsidTr="001E6CCC">
        <w:trPr>
          <w:trHeight w:val="20"/>
        </w:trPr>
        <w:tc>
          <w:tcPr>
            <w:tcW w:w="4258" w:type="dxa"/>
            <w:noWrap/>
          </w:tcPr>
          <w:p w14:paraId="4DB79458"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Fasting plasma insulin (mU/L)</w:t>
            </w:r>
          </w:p>
        </w:tc>
        <w:tc>
          <w:tcPr>
            <w:tcW w:w="567" w:type="dxa"/>
          </w:tcPr>
          <w:p w14:paraId="16C2D41B"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4B4FC502" w14:textId="6B17DA0C"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2 [-5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1" w:type="dxa"/>
            <w:noWrap/>
          </w:tcPr>
          <w:p w14:paraId="4E45B637" w14:textId="7762E40E"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613</w:t>
            </w:r>
          </w:p>
        </w:tc>
        <w:tc>
          <w:tcPr>
            <w:tcW w:w="567" w:type="dxa"/>
            <w:noWrap/>
          </w:tcPr>
          <w:p w14:paraId="636C49A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4C5348B0" w14:textId="044EB77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p>
        </w:tc>
        <w:tc>
          <w:tcPr>
            <w:tcW w:w="850" w:type="dxa"/>
          </w:tcPr>
          <w:p w14:paraId="321875C9" w14:textId="31C0A8F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048</w:t>
            </w:r>
          </w:p>
        </w:tc>
        <w:tc>
          <w:tcPr>
            <w:tcW w:w="567" w:type="dxa"/>
          </w:tcPr>
          <w:p w14:paraId="6F6B5E6F"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0512ADEE" w14:textId="3936DD21"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6 to 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w:t>
            </w:r>
          </w:p>
        </w:tc>
        <w:tc>
          <w:tcPr>
            <w:tcW w:w="982" w:type="dxa"/>
            <w:noWrap/>
          </w:tcPr>
          <w:p w14:paraId="38A742A0" w14:textId="626F984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048</w:t>
            </w:r>
          </w:p>
        </w:tc>
      </w:tr>
      <w:tr w:rsidR="00F04B2B" w:rsidRPr="009D0DB0" w14:paraId="11088653" w14:textId="77777777" w:rsidTr="001E6CCC">
        <w:trPr>
          <w:trHeight w:val="20"/>
        </w:trPr>
        <w:tc>
          <w:tcPr>
            <w:tcW w:w="4258" w:type="dxa"/>
            <w:noWrap/>
          </w:tcPr>
          <w:p w14:paraId="24A66642" w14:textId="77777777" w:rsidR="00F04B2B" w:rsidRPr="009D0DB0"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p</w:t>
            </w:r>
            <w:r w:rsidRPr="009D0DB0">
              <w:rPr>
                <w:rFonts w:ascii="Times New Roman" w:eastAsia="Times New Roman" w:hAnsi="Times New Roman" w:cs="Times New Roman"/>
                <w:sz w:val="22"/>
                <w:szCs w:val="22"/>
                <w:lang w:eastAsia="en-GB"/>
              </w:rPr>
              <w:t>lasma insulin (mU/L)</w:t>
            </w:r>
            <w:r>
              <w:rPr>
                <w:rFonts w:ascii="Times New Roman" w:eastAsia="Times New Roman" w:hAnsi="Times New Roman" w:cs="Times New Roman"/>
                <w:sz w:val="22"/>
                <w:szCs w:val="22"/>
                <w:vertAlign w:val="superscript"/>
                <w:lang w:eastAsia="en-GB"/>
              </w:rPr>
              <w:t>*</w:t>
            </w:r>
          </w:p>
        </w:tc>
        <w:tc>
          <w:tcPr>
            <w:tcW w:w="567" w:type="dxa"/>
          </w:tcPr>
          <w:p w14:paraId="1EADADEC"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14</w:t>
            </w:r>
          </w:p>
        </w:tc>
        <w:tc>
          <w:tcPr>
            <w:tcW w:w="2268" w:type="dxa"/>
            <w:noWrap/>
          </w:tcPr>
          <w:p w14:paraId="07F5F634" w14:textId="678BEF9B"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-26</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8 [-45</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7 to -7</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851" w:type="dxa"/>
            <w:noWrap/>
          </w:tcPr>
          <w:p w14:paraId="01F2D69A" w14:textId="4400BA3B" w:rsidR="00F04B2B" w:rsidRPr="00E31C37"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006</w:t>
            </w:r>
          </w:p>
        </w:tc>
        <w:tc>
          <w:tcPr>
            <w:tcW w:w="567" w:type="dxa"/>
            <w:noWrap/>
          </w:tcPr>
          <w:p w14:paraId="5C1F7DC7"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15</w:t>
            </w:r>
          </w:p>
        </w:tc>
        <w:tc>
          <w:tcPr>
            <w:tcW w:w="2268" w:type="dxa"/>
          </w:tcPr>
          <w:p w14:paraId="3F291F1A" w14:textId="32E8E8AD"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-32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 [-51</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4 to -13</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3]</w:t>
            </w:r>
          </w:p>
        </w:tc>
        <w:tc>
          <w:tcPr>
            <w:tcW w:w="850" w:type="dxa"/>
          </w:tcPr>
          <w:p w14:paraId="279AF0D4" w14:textId="3CE151F5" w:rsidR="00F04B2B" w:rsidRPr="00E31C37"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001</w:t>
            </w:r>
          </w:p>
        </w:tc>
        <w:tc>
          <w:tcPr>
            <w:tcW w:w="567" w:type="dxa"/>
          </w:tcPr>
          <w:p w14:paraId="7E15BA52"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sidRPr="009D0DB0">
              <w:rPr>
                <w:rFonts w:ascii="Times New Roman" w:eastAsia="Times New Roman" w:hAnsi="Times New Roman" w:cs="Times New Roman"/>
                <w:sz w:val="22"/>
                <w:szCs w:val="22"/>
                <w:lang w:eastAsia="en-GB"/>
              </w:rPr>
              <w:t>17</w:t>
            </w:r>
          </w:p>
        </w:tc>
        <w:tc>
          <w:tcPr>
            <w:tcW w:w="2268" w:type="dxa"/>
          </w:tcPr>
          <w:p w14:paraId="2299DCAB" w14:textId="4EC2A7FF"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-20</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[-38</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 to -2</w:t>
            </w:r>
            <w:r w:rsidR="00563D5A">
              <w:rPr>
                <w:rFonts w:ascii="Times New Roman" w:eastAsia="Times New Roman" w:hAnsi="Times New Roman" w:cs="Times New Roman"/>
                <w:sz w:val="22"/>
                <w:szCs w:val="22"/>
                <w:lang w:eastAsia="en-GB"/>
              </w:rPr>
              <w:t>.</w:t>
            </w:r>
            <w:r>
              <w:rPr>
                <w:rFonts w:ascii="Times New Roman" w:eastAsia="Times New Roman" w:hAnsi="Times New Roman" w:cs="Times New Roman"/>
                <w:sz w:val="22"/>
                <w:szCs w:val="22"/>
                <w:lang w:eastAsia="en-GB"/>
              </w:rPr>
              <w:t>9]</w:t>
            </w:r>
          </w:p>
        </w:tc>
        <w:tc>
          <w:tcPr>
            <w:tcW w:w="982" w:type="dxa"/>
            <w:noWrap/>
          </w:tcPr>
          <w:p w14:paraId="03B34FC9" w14:textId="34A51A95" w:rsidR="00F04B2B" w:rsidRPr="00E31C37" w:rsidRDefault="00F04B2B" w:rsidP="00DB58AA">
            <w:pPr>
              <w:spacing w:line="23" w:lineRule="atLeast"/>
              <w:jc w:val="center"/>
              <w:rPr>
                <w:rFonts w:ascii="Times New Roman" w:eastAsia="Times New Roman" w:hAnsi="Times New Roman" w:cs="Times New Roman"/>
                <w:b/>
                <w:sz w:val="22"/>
                <w:szCs w:val="22"/>
                <w:lang w:eastAsia="en-GB"/>
              </w:rPr>
            </w:pPr>
            <w:r>
              <w:rPr>
                <w:rFonts w:ascii="Times New Roman" w:eastAsia="Times New Roman" w:hAnsi="Times New Roman" w:cs="Times New Roman"/>
                <w:b/>
                <w:sz w:val="22"/>
                <w:szCs w:val="22"/>
                <w:lang w:eastAsia="en-GB"/>
              </w:rPr>
              <w:t>0</w:t>
            </w:r>
            <w:r w:rsidR="00563D5A">
              <w:rPr>
                <w:rFonts w:ascii="Times New Roman" w:eastAsia="Times New Roman" w:hAnsi="Times New Roman" w:cs="Times New Roman"/>
                <w:b/>
                <w:sz w:val="22"/>
                <w:szCs w:val="22"/>
                <w:lang w:eastAsia="en-GB"/>
              </w:rPr>
              <w:t>.</w:t>
            </w:r>
            <w:r>
              <w:rPr>
                <w:rFonts w:ascii="Times New Roman" w:eastAsia="Times New Roman" w:hAnsi="Times New Roman" w:cs="Times New Roman"/>
                <w:b/>
                <w:sz w:val="22"/>
                <w:szCs w:val="22"/>
                <w:lang w:eastAsia="en-GB"/>
              </w:rPr>
              <w:t>023</w:t>
            </w:r>
          </w:p>
        </w:tc>
      </w:tr>
      <w:tr w:rsidR="00F04B2B" w:rsidRPr="009D0DB0" w14:paraId="7C85093D" w14:textId="77777777" w:rsidTr="001E6CCC">
        <w:trPr>
          <w:trHeight w:val="20"/>
        </w:trPr>
        <w:tc>
          <w:tcPr>
            <w:tcW w:w="4258" w:type="dxa"/>
            <w:noWrap/>
          </w:tcPr>
          <w:p w14:paraId="0F15C964" w14:textId="77777777" w:rsidR="00F04B2B" w:rsidRDefault="00F04B2B" w:rsidP="00DB58AA">
            <w:pPr>
              <w:spacing w:line="23" w:lineRule="atLeast"/>
              <w:ind w:left="164"/>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Postprandial glucagon (pg/mL)</w:t>
            </w:r>
            <w:r w:rsidRPr="00072616">
              <w:rPr>
                <w:rFonts w:ascii="Times New Roman" w:eastAsia="Times New Roman" w:hAnsi="Times New Roman" w:cs="Times New Roman"/>
                <w:sz w:val="22"/>
                <w:szCs w:val="22"/>
                <w:vertAlign w:val="superscript"/>
                <w:lang w:eastAsia="en-GB"/>
              </w:rPr>
              <w:t>*</w:t>
            </w:r>
          </w:p>
        </w:tc>
        <w:tc>
          <w:tcPr>
            <w:tcW w:w="567" w:type="dxa"/>
          </w:tcPr>
          <w:p w14:paraId="51DBAD63" w14:textId="77777777" w:rsidR="00F04B2B" w:rsidRPr="009D0DB0"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14</w:t>
            </w:r>
          </w:p>
        </w:tc>
        <w:tc>
          <w:tcPr>
            <w:tcW w:w="2268" w:type="dxa"/>
            <w:noWrap/>
          </w:tcPr>
          <w:p w14:paraId="7397814F" w14:textId="123B169E" w:rsidR="00F04B2B" w:rsidRPr="00093EAA" w:rsidRDefault="00F04B2B" w:rsidP="00DB58AA">
            <w:pPr>
              <w:spacing w:line="23" w:lineRule="atLeast"/>
              <w:jc w:val="center"/>
              <w:rPr>
                <w:rFonts w:ascii="Times New Roman" w:eastAsia="Times New Roman" w:hAnsi="Times New Roman" w:cs="Times New Roman"/>
                <w:sz w:val="22"/>
                <w:szCs w:val="22"/>
                <w:lang w:eastAsia="en-GB"/>
              </w:rPr>
            </w:pPr>
            <w:r w:rsidRPr="00093EAA">
              <w:rPr>
                <w:rFonts w:ascii="Times New Roman" w:eastAsia="Times New Roman" w:hAnsi="Times New Roman" w:cs="Times New Roman"/>
                <w:sz w:val="22"/>
                <w:szCs w:val="22"/>
                <w:lang w:eastAsia="en-GB"/>
              </w:rPr>
              <w:t>-5</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5 [-20</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1 to 9</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1]</w:t>
            </w:r>
          </w:p>
        </w:tc>
        <w:tc>
          <w:tcPr>
            <w:tcW w:w="851" w:type="dxa"/>
            <w:noWrap/>
          </w:tcPr>
          <w:p w14:paraId="1648A571" w14:textId="36C34EFF" w:rsidR="00F04B2B" w:rsidRPr="00093EAA" w:rsidRDefault="00F04B2B" w:rsidP="00DB58AA">
            <w:pPr>
              <w:spacing w:line="23" w:lineRule="atLeast"/>
              <w:jc w:val="center"/>
              <w:rPr>
                <w:rFonts w:ascii="Times New Roman" w:eastAsia="Times New Roman" w:hAnsi="Times New Roman" w:cs="Times New Roman"/>
                <w:bCs/>
                <w:sz w:val="22"/>
                <w:szCs w:val="22"/>
                <w:lang w:eastAsia="en-GB"/>
              </w:rPr>
            </w:pPr>
            <w:r w:rsidRPr="00093EAA">
              <w:rPr>
                <w:rFonts w:ascii="Times New Roman" w:eastAsia="Times New Roman" w:hAnsi="Times New Roman" w:cs="Times New Roman"/>
                <w:bCs/>
                <w:sz w:val="22"/>
                <w:szCs w:val="22"/>
                <w:lang w:eastAsia="en-GB"/>
              </w:rPr>
              <w:t>0</w:t>
            </w:r>
            <w:r w:rsidR="00563D5A">
              <w:rPr>
                <w:rFonts w:ascii="Times New Roman" w:eastAsia="Times New Roman" w:hAnsi="Times New Roman" w:cs="Times New Roman"/>
                <w:bCs/>
                <w:sz w:val="22"/>
                <w:szCs w:val="22"/>
                <w:lang w:eastAsia="en-GB"/>
              </w:rPr>
              <w:t>.</w:t>
            </w:r>
            <w:r w:rsidRPr="00093EAA">
              <w:rPr>
                <w:rFonts w:ascii="Times New Roman" w:eastAsia="Times New Roman" w:hAnsi="Times New Roman" w:cs="Times New Roman"/>
                <w:bCs/>
                <w:sz w:val="22"/>
                <w:szCs w:val="22"/>
                <w:lang w:eastAsia="en-GB"/>
              </w:rPr>
              <w:t>461</w:t>
            </w:r>
          </w:p>
        </w:tc>
        <w:tc>
          <w:tcPr>
            <w:tcW w:w="567" w:type="dxa"/>
            <w:noWrap/>
          </w:tcPr>
          <w:p w14:paraId="7BFFAFB2" w14:textId="77777777" w:rsidR="00F04B2B" w:rsidRPr="00093EAA"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15</w:t>
            </w:r>
          </w:p>
        </w:tc>
        <w:tc>
          <w:tcPr>
            <w:tcW w:w="2268" w:type="dxa"/>
          </w:tcPr>
          <w:p w14:paraId="1B044317" w14:textId="0D9AED7D" w:rsidR="00F04B2B" w:rsidRPr="00093EAA" w:rsidRDefault="00F04B2B" w:rsidP="00DB58AA">
            <w:pPr>
              <w:spacing w:line="23" w:lineRule="atLeast"/>
              <w:jc w:val="center"/>
              <w:rPr>
                <w:rFonts w:ascii="Times New Roman" w:eastAsia="Times New Roman" w:hAnsi="Times New Roman" w:cs="Times New Roman"/>
                <w:sz w:val="22"/>
                <w:szCs w:val="22"/>
                <w:lang w:eastAsia="en-GB"/>
              </w:rPr>
            </w:pPr>
            <w:r w:rsidRPr="00093EAA">
              <w:rPr>
                <w:rFonts w:ascii="Times New Roman" w:eastAsia="Times New Roman" w:hAnsi="Times New Roman" w:cs="Times New Roman"/>
                <w:sz w:val="22"/>
                <w:szCs w:val="22"/>
                <w:lang w:eastAsia="en-GB"/>
              </w:rPr>
              <w:t>-4</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6 [-18</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9 to 9</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7]</w:t>
            </w:r>
          </w:p>
        </w:tc>
        <w:tc>
          <w:tcPr>
            <w:tcW w:w="850" w:type="dxa"/>
          </w:tcPr>
          <w:p w14:paraId="0D8E93EA" w14:textId="035F9792" w:rsidR="00F04B2B" w:rsidRPr="00093EAA" w:rsidRDefault="00F04B2B" w:rsidP="00DB58AA">
            <w:pPr>
              <w:spacing w:line="23" w:lineRule="atLeast"/>
              <w:jc w:val="center"/>
              <w:rPr>
                <w:rFonts w:ascii="Times New Roman" w:eastAsia="Times New Roman" w:hAnsi="Times New Roman" w:cs="Times New Roman"/>
                <w:bCs/>
                <w:sz w:val="22"/>
                <w:szCs w:val="22"/>
                <w:lang w:eastAsia="en-GB"/>
              </w:rPr>
            </w:pPr>
            <w:r w:rsidRPr="00093EAA">
              <w:rPr>
                <w:rFonts w:ascii="Times New Roman" w:eastAsia="Times New Roman" w:hAnsi="Times New Roman" w:cs="Times New Roman"/>
                <w:bCs/>
                <w:sz w:val="22"/>
                <w:szCs w:val="22"/>
                <w:lang w:eastAsia="en-GB"/>
              </w:rPr>
              <w:t>0</w:t>
            </w:r>
            <w:r w:rsidR="00563D5A">
              <w:rPr>
                <w:rFonts w:ascii="Times New Roman" w:eastAsia="Times New Roman" w:hAnsi="Times New Roman" w:cs="Times New Roman"/>
                <w:bCs/>
                <w:sz w:val="22"/>
                <w:szCs w:val="22"/>
                <w:lang w:eastAsia="en-GB"/>
              </w:rPr>
              <w:t>.</w:t>
            </w:r>
            <w:r w:rsidRPr="00093EAA">
              <w:rPr>
                <w:rFonts w:ascii="Times New Roman" w:eastAsia="Times New Roman" w:hAnsi="Times New Roman" w:cs="Times New Roman"/>
                <w:bCs/>
                <w:sz w:val="22"/>
                <w:szCs w:val="22"/>
                <w:lang w:eastAsia="en-GB"/>
              </w:rPr>
              <w:t>530</w:t>
            </w:r>
          </w:p>
        </w:tc>
        <w:tc>
          <w:tcPr>
            <w:tcW w:w="567" w:type="dxa"/>
          </w:tcPr>
          <w:p w14:paraId="31CD2138" w14:textId="77777777" w:rsidR="00F04B2B" w:rsidRPr="00093EAA" w:rsidRDefault="00F04B2B" w:rsidP="00DB58AA">
            <w:pPr>
              <w:spacing w:line="23" w:lineRule="atLeast"/>
              <w:jc w:val="center"/>
              <w:rPr>
                <w:rFonts w:ascii="Times New Roman" w:eastAsia="Times New Roman" w:hAnsi="Times New Roman" w:cs="Times New Roman"/>
                <w:sz w:val="22"/>
                <w:szCs w:val="22"/>
                <w:lang w:eastAsia="en-GB"/>
              </w:rPr>
            </w:pPr>
            <w:r>
              <w:rPr>
                <w:rFonts w:ascii="Times New Roman" w:eastAsia="Times New Roman" w:hAnsi="Times New Roman" w:cs="Times New Roman"/>
                <w:sz w:val="22"/>
                <w:szCs w:val="22"/>
                <w:lang w:eastAsia="en-GB"/>
              </w:rPr>
              <w:t>17</w:t>
            </w:r>
          </w:p>
        </w:tc>
        <w:tc>
          <w:tcPr>
            <w:tcW w:w="2268" w:type="dxa"/>
          </w:tcPr>
          <w:p w14:paraId="25803770" w14:textId="5F71C63A" w:rsidR="00F04B2B" w:rsidRPr="00093EAA" w:rsidRDefault="00F04B2B" w:rsidP="00DB58AA">
            <w:pPr>
              <w:spacing w:line="23" w:lineRule="atLeast"/>
              <w:jc w:val="center"/>
              <w:rPr>
                <w:rFonts w:ascii="Times New Roman" w:eastAsia="Times New Roman" w:hAnsi="Times New Roman" w:cs="Times New Roman"/>
                <w:sz w:val="22"/>
                <w:szCs w:val="22"/>
                <w:lang w:eastAsia="en-GB"/>
              </w:rPr>
            </w:pPr>
            <w:r w:rsidRPr="00093EAA">
              <w:rPr>
                <w:rFonts w:ascii="Times New Roman" w:eastAsia="Times New Roman" w:hAnsi="Times New Roman" w:cs="Times New Roman"/>
                <w:sz w:val="22"/>
                <w:szCs w:val="22"/>
                <w:lang w:eastAsia="en-GB"/>
              </w:rPr>
              <w:t>-6</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5 [-20</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4 to 7</w:t>
            </w:r>
            <w:r w:rsidR="00563D5A">
              <w:rPr>
                <w:rFonts w:ascii="Times New Roman" w:eastAsia="Times New Roman" w:hAnsi="Times New Roman" w:cs="Times New Roman"/>
                <w:sz w:val="22"/>
                <w:szCs w:val="22"/>
                <w:lang w:eastAsia="en-GB"/>
              </w:rPr>
              <w:t>.</w:t>
            </w:r>
            <w:r w:rsidRPr="00093EAA">
              <w:rPr>
                <w:rFonts w:ascii="Times New Roman" w:eastAsia="Times New Roman" w:hAnsi="Times New Roman" w:cs="Times New Roman"/>
                <w:sz w:val="22"/>
                <w:szCs w:val="22"/>
                <w:lang w:eastAsia="en-GB"/>
              </w:rPr>
              <w:t>5]</w:t>
            </w:r>
          </w:p>
        </w:tc>
        <w:tc>
          <w:tcPr>
            <w:tcW w:w="982" w:type="dxa"/>
            <w:noWrap/>
          </w:tcPr>
          <w:p w14:paraId="42DB9236" w14:textId="4EFB6910" w:rsidR="00F04B2B" w:rsidRPr="00093EAA" w:rsidRDefault="00F04B2B" w:rsidP="00DB58AA">
            <w:pPr>
              <w:spacing w:line="23" w:lineRule="atLeast"/>
              <w:jc w:val="center"/>
              <w:rPr>
                <w:rFonts w:ascii="Times New Roman" w:eastAsia="Times New Roman" w:hAnsi="Times New Roman" w:cs="Times New Roman"/>
                <w:bCs/>
                <w:sz w:val="22"/>
                <w:szCs w:val="22"/>
                <w:lang w:eastAsia="en-GB"/>
              </w:rPr>
            </w:pPr>
            <w:r w:rsidRPr="00093EAA">
              <w:rPr>
                <w:rFonts w:ascii="Times New Roman" w:eastAsia="Times New Roman" w:hAnsi="Times New Roman" w:cs="Times New Roman"/>
                <w:bCs/>
                <w:sz w:val="22"/>
                <w:szCs w:val="22"/>
                <w:lang w:eastAsia="en-GB"/>
              </w:rPr>
              <w:t>0</w:t>
            </w:r>
            <w:r w:rsidR="00563D5A">
              <w:rPr>
                <w:rFonts w:ascii="Times New Roman" w:eastAsia="Times New Roman" w:hAnsi="Times New Roman" w:cs="Times New Roman"/>
                <w:bCs/>
                <w:sz w:val="22"/>
                <w:szCs w:val="22"/>
                <w:lang w:eastAsia="en-GB"/>
              </w:rPr>
              <w:t>.</w:t>
            </w:r>
            <w:r w:rsidRPr="00093EAA">
              <w:rPr>
                <w:rFonts w:ascii="Times New Roman" w:eastAsia="Times New Roman" w:hAnsi="Times New Roman" w:cs="Times New Roman"/>
                <w:bCs/>
                <w:sz w:val="22"/>
                <w:szCs w:val="22"/>
                <w:lang w:eastAsia="en-GB"/>
              </w:rPr>
              <w:t>363</w:t>
            </w:r>
          </w:p>
        </w:tc>
      </w:tr>
    </w:tbl>
    <w:p w14:paraId="386848A3" w14:textId="77777777" w:rsidR="00F04B2B" w:rsidRPr="00081FC8" w:rsidRDefault="00F04B2B" w:rsidP="00C95A4D">
      <w:pPr>
        <w:spacing w:line="480" w:lineRule="auto"/>
        <w:jc w:val="both"/>
        <w:rPr>
          <w:rFonts w:ascii="Times New Roman" w:hAnsi="Times New Roman" w:cs="Times New Roman"/>
        </w:rPr>
      </w:pPr>
    </w:p>
    <w:p w14:paraId="1B89E30C" w14:textId="77777777" w:rsidR="005162FE" w:rsidRDefault="00C95A4D" w:rsidP="00996BC4">
      <w:pPr>
        <w:spacing w:line="480" w:lineRule="auto"/>
        <w:jc w:val="both"/>
        <w:rPr>
          <w:rFonts w:ascii="Times New Roman" w:hAnsi="Times New Roman" w:cs="Times New Roman"/>
        </w:rPr>
      </w:pPr>
      <w:r>
        <w:rPr>
          <w:rFonts w:ascii="Times New Roman" w:hAnsi="Times New Roman" w:cs="Times New Roman"/>
        </w:rPr>
        <w:t>Analyses conducted using a complete-case approach unless otherwise specified, with generali</w:t>
      </w:r>
      <w:r w:rsidR="002B7883">
        <w:rPr>
          <w:rFonts w:ascii="Times New Roman" w:hAnsi="Times New Roman" w:cs="Times New Roman"/>
        </w:rPr>
        <w:t>s</w:t>
      </w:r>
      <w:r>
        <w:rPr>
          <w:rFonts w:ascii="Times New Roman" w:hAnsi="Times New Roman" w:cs="Times New Roman"/>
        </w:rPr>
        <w:t>ed linear models adjusted for age, BMI (both categori</w:t>
      </w:r>
      <w:r w:rsidR="002B7883">
        <w:rPr>
          <w:rFonts w:ascii="Times New Roman" w:hAnsi="Times New Roman" w:cs="Times New Roman"/>
        </w:rPr>
        <w:t>s</w:t>
      </w:r>
      <w:r>
        <w:rPr>
          <w:rFonts w:ascii="Times New Roman" w:hAnsi="Times New Roman" w:cs="Times New Roman"/>
        </w:rPr>
        <w:t>ed as per randomi</w:t>
      </w:r>
      <w:r w:rsidR="00306012">
        <w:rPr>
          <w:rFonts w:ascii="Times New Roman" w:hAnsi="Times New Roman" w:cs="Times New Roman"/>
        </w:rPr>
        <w:t>z</w:t>
      </w:r>
      <w:r>
        <w:rPr>
          <w:rFonts w:ascii="Times New Roman" w:hAnsi="Times New Roman" w:cs="Times New Roman"/>
        </w:rPr>
        <w:t xml:space="preserve">ation) and baseline value of the outcome; </w:t>
      </w:r>
      <w:r>
        <w:rPr>
          <w:rFonts w:ascii="Times New Roman" w:hAnsi="Times New Roman" w:cs="Times New Roman"/>
          <w:i/>
          <w:iCs/>
        </w:rPr>
        <w:t>p</w:t>
      </w:r>
      <w:r>
        <w:rPr>
          <w:rFonts w:ascii="Times New Roman" w:hAnsi="Times New Roman" w:cs="Times New Roman"/>
        </w:rPr>
        <w:t xml:space="preserve">-values in bold are statistically significant (assessment of statistical significance used the Holm sequential Bonferroni procedure to account for multiple comparisons); </w:t>
      </w:r>
      <w:r w:rsidRPr="00B4413A">
        <w:rPr>
          <w:rFonts w:ascii="Times New Roman" w:hAnsi="Times New Roman" w:cs="Times New Roman"/>
          <w:bCs/>
          <w:vertAlign w:val="superscript"/>
        </w:rPr>
        <w:t>*</w:t>
      </w:r>
      <w:r w:rsidRPr="00B4413A">
        <w:rPr>
          <w:rFonts w:ascii="Times New Roman" w:hAnsi="Times New Roman" w:cs="Times New Roman"/>
          <w:bCs/>
        </w:rPr>
        <w:t xml:space="preserve">calculated as time-averaged area under the </w:t>
      </w:r>
      <w:r>
        <w:rPr>
          <w:rFonts w:ascii="Times New Roman" w:hAnsi="Times New Roman" w:cs="Times New Roman"/>
          <w:bCs/>
        </w:rPr>
        <w:t xml:space="preserve">concentration-time </w:t>
      </w:r>
      <w:r w:rsidR="00306012">
        <w:rPr>
          <w:rFonts w:ascii="Times New Roman" w:hAnsi="Times New Roman" w:cs="Times New Roman"/>
          <w:bCs/>
        </w:rPr>
        <w:t>curve during the standardi</w:t>
      </w:r>
      <w:r w:rsidR="002B7883">
        <w:rPr>
          <w:rFonts w:ascii="Times New Roman" w:hAnsi="Times New Roman" w:cs="Times New Roman"/>
          <w:bCs/>
        </w:rPr>
        <w:t>s</w:t>
      </w:r>
      <w:r w:rsidRPr="00B4413A">
        <w:rPr>
          <w:rFonts w:ascii="Times New Roman" w:hAnsi="Times New Roman" w:cs="Times New Roman"/>
          <w:bCs/>
        </w:rPr>
        <w:t>ed 3-hour mixed meal tolerance test</w:t>
      </w:r>
      <w:r w:rsidR="00A63076">
        <w:rPr>
          <w:rFonts w:ascii="Times New Roman" w:hAnsi="Times New Roman" w:cs="Times New Roman"/>
          <w:bCs/>
        </w:rPr>
        <w:t xml:space="preserve">. </w:t>
      </w:r>
      <w:r w:rsidR="00CE658A">
        <w:rPr>
          <w:rFonts w:ascii="Times New Roman" w:hAnsi="Times New Roman" w:cs="Times New Roman"/>
          <w:bCs/>
          <w:vertAlign w:val="superscript"/>
        </w:rPr>
        <w:t>†</w:t>
      </w:r>
      <w:r w:rsidR="00A63076">
        <w:rPr>
          <w:rFonts w:ascii="Times New Roman" w:hAnsi="Times New Roman" w:cs="Times New Roman"/>
          <w:bCs/>
          <w:szCs w:val="20"/>
        </w:rPr>
        <w:t>statistical analyses of HbA1c were performed on data in mmol/mol only. Converted values of within-group change and between-group differences in % can be found in Supplementa</w:t>
      </w:r>
      <w:r w:rsidR="00FD31AC">
        <w:rPr>
          <w:rFonts w:ascii="Times New Roman" w:hAnsi="Times New Roman" w:cs="Times New Roman"/>
          <w:bCs/>
          <w:szCs w:val="20"/>
        </w:rPr>
        <w:t>ry</w:t>
      </w:r>
      <w:r w:rsidR="00A63076">
        <w:rPr>
          <w:rFonts w:ascii="Times New Roman" w:hAnsi="Times New Roman" w:cs="Times New Roman"/>
          <w:bCs/>
          <w:szCs w:val="20"/>
        </w:rPr>
        <w:t xml:space="preserve"> Table 4. </w:t>
      </w:r>
      <w:r>
        <w:rPr>
          <w:rFonts w:ascii="Times New Roman" w:hAnsi="Times New Roman" w:cs="Times New Roman"/>
          <w:bCs/>
        </w:rPr>
        <w:t xml:space="preserve"> </w:t>
      </w:r>
      <w:r>
        <w:rPr>
          <w:rFonts w:ascii="Times New Roman" w:hAnsi="Times New Roman" w:cs="Times New Roman"/>
        </w:rPr>
        <w:t>Abbreviations: AU, arbitrary units; GLP-1, glucagon-like peptide-1; HbA1c, glycated h</w:t>
      </w:r>
      <w:r w:rsidR="006845C7">
        <w:rPr>
          <w:rFonts w:ascii="Times New Roman" w:hAnsi="Times New Roman" w:cs="Times New Roman"/>
        </w:rPr>
        <w:t>a</w:t>
      </w:r>
      <w:r>
        <w:rPr>
          <w:rFonts w:ascii="Times New Roman" w:hAnsi="Times New Roman" w:cs="Times New Roman"/>
        </w:rPr>
        <w:t>emoglobin; ITT, intention-to-treat; PPY, peptide YY; TFEQ, three-factor eating questionnaire; VAS, visual analogue sc</w:t>
      </w:r>
      <w:r w:rsidR="006845C7">
        <w:rPr>
          <w:rFonts w:ascii="Times New Roman" w:hAnsi="Times New Roman" w:cs="Times New Roman"/>
        </w:rPr>
        <w:t>al</w:t>
      </w:r>
      <w:r w:rsidR="00EC12D7">
        <w:rPr>
          <w:rFonts w:ascii="Times New Roman" w:hAnsi="Times New Roman" w:cs="Times New Roman"/>
        </w:rPr>
        <w:t>e</w:t>
      </w:r>
      <w:r w:rsidR="00996BC4">
        <w:rPr>
          <w:rFonts w:ascii="Times New Roman" w:hAnsi="Times New Roman" w:cs="Times New Roman"/>
        </w:rPr>
        <w:t>.</w:t>
      </w:r>
    </w:p>
    <w:p w14:paraId="13D80D9E" w14:textId="77777777" w:rsidR="005162FE" w:rsidRDefault="005162FE" w:rsidP="00996BC4">
      <w:pPr>
        <w:spacing w:line="480" w:lineRule="auto"/>
        <w:jc w:val="both"/>
        <w:rPr>
          <w:rFonts w:ascii="Times New Roman" w:hAnsi="Times New Roman" w:cs="Times New Roman"/>
        </w:rPr>
        <w:sectPr w:rsidR="005162FE" w:rsidSect="00996BC4">
          <w:pgSz w:w="16840" w:h="11900" w:orient="landscape"/>
          <w:pgMar w:top="1440" w:right="1440" w:bottom="1440" w:left="1440" w:header="708" w:footer="708" w:gutter="0"/>
          <w:cols w:space="708"/>
          <w:docGrid w:linePitch="360"/>
        </w:sectPr>
      </w:pPr>
    </w:p>
    <w:p w14:paraId="4875F448" w14:textId="7A7F3390" w:rsidR="005162FE" w:rsidRDefault="005162FE" w:rsidP="005162FE">
      <w:pPr>
        <w:rPr>
          <w:rFonts w:ascii="Times New Roman" w:hAnsi="Times New Roman" w:cs="Times New Roman"/>
          <w:b/>
          <w:bCs/>
        </w:rPr>
      </w:pPr>
      <w:r>
        <w:rPr>
          <w:rFonts w:ascii="Times New Roman" w:hAnsi="Times New Roman" w:cs="Times New Roman"/>
          <w:b/>
          <w:bCs/>
        </w:rPr>
        <w:t>Figure 1 – Study consort diagram</w:t>
      </w:r>
    </w:p>
    <w:p w14:paraId="702959D3" w14:textId="7CEA1644" w:rsidR="005162FE" w:rsidRDefault="00082BF8" w:rsidP="005162FE">
      <w:pPr>
        <w:spacing w:line="480" w:lineRule="auto"/>
        <w:jc w:val="both"/>
        <w:rPr>
          <w:rFonts w:ascii="Times New Roman" w:hAnsi="Times New Roman" w:cs="Times New Roman"/>
        </w:rPr>
      </w:pPr>
      <w:r>
        <w:rPr>
          <w:rFonts w:ascii="Times New Roman" w:hAnsi="Times New Roman" w:cs="Times New Roman"/>
          <w:noProof/>
          <w:lang w:eastAsia="en-GB"/>
        </w:rPr>
        <w:drawing>
          <wp:anchor distT="0" distB="0" distL="114300" distR="114300" simplePos="0" relativeHeight="251658752" behindDoc="0" locked="0" layoutInCell="1" allowOverlap="1" wp14:anchorId="1A5C12F4" wp14:editId="7475371E">
            <wp:simplePos x="0" y="0"/>
            <wp:positionH relativeFrom="margin">
              <wp:posOffset>294005</wp:posOffset>
            </wp:positionH>
            <wp:positionV relativeFrom="paragraph">
              <wp:posOffset>27940</wp:posOffset>
            </wp:positionV>
            <wp:extent cx="9116060" cy="5766435"/>
            <wp:effectExtent l="0" t="0" r="8890" b="571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0">
                      <a:extLst>
                        <a:ext uri="{28A0092B-C50C-407E-A947-70E740481C1C}">
                          <a14:useLocalDpi xmlns:a14="http://schemas.microsoft.com/office/drawing/2010/main" val="0"/>
                        </a:ext>
                      </a:extLst>
                    </a:blip>
                    <a:srcRect l="6320" t="8647" r="4048" b="15742"/>
                    <a:stretch/>
                  </pic:blipFill>
                  <pic:spPr bwMode="auto">
                    <a:xfrm>
                      <a:off x="0" y="0"/>
                      <a:ext cx="9116060" cy="5766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D67F487" w14:textId="77777777" w:rsidR="005162FE" w:rsidRDefault="005162FE" w:rsidP="005162FE">
      <w:pPr>
        <w:spacing w:line="480" w:lineRule="auto"/>
        <w:rPr>
          <w:rFonts w:ascii="Times New Roman" w:hAnsi="Times New Roman" w:cs="Times New Roman"/>
        </w:rPr>
        <w:sectPr w:rsidR="005162FE">
          <w:pgSz w:w="16840" w:h="11900" w:orient="landscape"/>
          <w:pgMar w:top="720" w:right="720" w:bottom="720" w:left="720" w:header="708" w:footer="708" w:gutter="0"/>
          <w:cols w:space="720"/>
        </w:sectPr>
      </w:pPr>
    </w:p>
    <w:p w14:paraId="181CC912" w14:textId="121C64C8" w:rsidR="005162FE" w:rsidRDefault="005162FE" w:rsidP="005162FE">
      <w:pPr>
        <w:jc w:val="both"/>
        <w:rPr>
          <w:rFonts w:ascii="Times New Roman" w:hAnsi="Times New Roman" w:cs="Times New Roman"/>
          <w:b/>
          <w:bCs/>
        </w:rPr>
      </w:pPr>
      <w:r>
        <w:rPr>
          <w:noProof/>
          <w:lang w:eastAsia="en-GB"/>
        </w:rPr>
        <w:drawing>
          <wp:anchor distT="0" distB="0" distL="114300" distR="114300" simplePos="0" relativeHeight="251656704" behindDoc="0" locked="0" layoutInCell="1" allowOverlap="1" wp14:anchorId="4301EAAB" wp14:editId="16C4AC8D">
            <wp:simplePos x="0" y="0"/>
            <wp:positionH relativeFrom="margin">
              <wp:align>center</wp:align>
            </wp:positionH>
            <wp:positionV relativeFrom="paragraph">
              <wp:posOffset>415925</wp:posOffset>
            </wp:positionV>
            <wp:extent cx="8905240" cy="5880100"/>
            <wp:effectExtent l="0" t="0" r="0" b="6350"/>
            <wp:wrapSquare wrapText="bothSides"/>
            <wp:docPr id="2" name="Picture 2" descr="A picture containing text, antenn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picture containing text, antenna&#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t="3770" b="2661"/>
                    <a:stretch>
                      <a:fillRect/>
                    </a:stretch>
                  </pic:blipFill>
                  <pic:spPr bwMode="auto">
                    <a:xfrm>
                      <a:off x="0" y="0"/>
                      <a:ext cx="8905240" cy="58801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rPr>
        <w:t>Figure 2 – Difference between experimental groups and placebo-only at each timepoint (open symbols) and across follow-up (filled symbols) in appetite-regulatory gut peptides: (A) postprandial total PYY, (B) postprandial acylated ghrelin, (C) postprandial total GLP-1, and (D) fasting leptin.</w:t>
      </w:r>
    </w:p>
    <w:p w14:paraId="235A6BEB" w14:textId="77777777" w:rsidR="005162FE" w:rsidRDefault="005162FE" w:rsidP="005162FE">
      <w:pPr>
        <w:rPr>
          <w:rFonts w:ascii="Times New Roman" w:hAnsi="Times New Roman" w:cs="Times New Roman"/>
        </w:rPr>
        <w:sectPr w:rsidR="005162FE">
          <w:pgSz w:w="16840" w:h="11900" w:orient="landscape"/>
          <w:pgMar w:top="720" w:right="720" w:bottom="720" w:left="720" w:header="708" w:footer="708" w:gutter="0"/>
          <w:cols w:space="720"/>
        </w:sectPr>
      </w:pPr>
    </w:p>
    <w:p w14:paraId="5EEAC892" w14:textId="77777777" w:rsidR="005162FE" w:rsidRDefault="005162FE" w:rsidP="005162FE">
      <w:pPr>
        <w:jc w:val="both"/>
        <w:rPr>
          <w:rFonts w:ascii="Times New Roman" w:hAnsi="Times New Roman" w:cs="Times New Roman"/>
          <w:b/>
          <w:bCs/>
        </w:rPr>
      </w:pPr>
      <w:r>
        <w:rPr>
          <w:rFonts w:ascii="Times New Roman" w:hAnsi="Times New Roman" w:cs="Times New Roman"/>
          <w:b/>
          <w:bCs/>
        </w:rPr>
        <w:t>Figure 3 – Difference between experimental groups and placebo-only at each timepoint (open symbols) and across follow-up (filled symbols) in (A) total body weight, (B) resting energy expenditure, (C) daily steps, and (D) HbA1c.</w:t>
      </w:r>
    </w:p>
    <w:p w14:paraId="701D7DB3" w14:textId="52230B8D" w:rsidR="005162FE" w:rsidRDefault="005162FE" w:rsidP="005162FE">
      <w:pPr>
        <w:jc w:val="both"/>
        <w:rPr>
          <w:rFonts w:ascii="Times New Roman" w:hAnsi="Times New Roman" w:cs="Times New Roman"/>
        </w:rPr>
      </w:pPr>
      <w:r>
        <w:rPr>
          <w:noProof/>
          <w:lang w:eastAsia="en-GB"/>
        </w:rPr>
        <w:drawing>
          <wp:anchor distT="0" distB="0" distL="114300" distR="114300" simplePos="0" relativeHeight="251657728" behindDoc="1" locked="0" layoutInCell="1" allowOverlap="1" wp14:anchorId="3B946F13" wp14:editId="24A7BDA4">
            <wp:simplePos x="0" y="0"/>
            <wp:positionH relativeFrom="margin">
              <wp:align>center</wp:align>
            </wp:positionH>
            <wp:positionV relativeFrom="paragraph">
              <wp:posOffset>49530</wp:posOffset>
            </wp:positionV>
            <wp:extent cx="8699500" cy="5896610"/>
            <wp:effectExtent l="0" t="0" r="6350" b="8890"/>
            <wp:wrapTight wrapText="bothSides">
              <wp:wrapPolygon edited="0">
                <wp:start x="0" y="0"/>
                <wp:lineTo x="0" y="21563"/>
                <wp:lineTo x="21568" y="21563"/>
                <wp:lineTo x="21568" y="0"/>
                <wp:lineTo x="0" y="0"/>
              </wp:wrapPolygon>
            </wp:wrapTight>
            <wp:docPr id="1" name="Picture 1" descr="A picture containing text, device, receip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picture containing text, device, receip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l="2530" t="3641" r="1997" b="3256"/>
                    <a:stretch>
                      <a:fillRect/>
                    </a:stretch>
                  </pic:blipFill>
                  <pic:spPr bwMode="auto">
                    <a:xfrm>
                      <a:off x="0" y="0"/>
                      <a:ext cx="8699500" cy="5896610"/>
                    </a:xfrm>
                    <a:prstGeom prst="rect">
                      <a:avLst/>
                    </a:prstGeom>
                    <a:noFill/>
                  </pic:spPr>
                </pic:pic>
              </a:graphicData>
            </a:graphic>
            <wp14:sizeRelH relativeFrom="page">
              <wp14:pctWidth>0</wp14:pctWidth>
            </wp14:sizeRelH>
            <wp14:sizeRelV relativeFrom="page">
              <wp14:pctHeight>0</wp14:pctHeight>
            </wp14:sizeRelV>
          </wp:anchor>
        </w:drawing>
      </w:r>
    </w:p>
    <w:p w14:paraId="21FD2685" w14:textId="15F9644F" w:rsidR="00B94961" w:rsidRPr="00B94961" w:rsidRDefault="00B94961" w:rsidP="00996BC4">
      <w:pPr>
        <w:spacing w:line="480" w:lineRule="auto"/>
        <w:jc w:val="both"/>
        <w:rPr>
          <w:rFonts w:ascii="Times New Roman" w:hAnsi="Times New Roman" w:cs="Times New Roman"/>
        </w:rPr>
      </w:pPr>
    </w:p>
    <w:sectPr w:rsidR="00B94961" w:rsidRPr="00B94961" w:rsidSect="005162FE">
      <w:pgSz w:w="16840" w:h="11900" w:orient="landscape"/>
      <w:pgMar w:top="720" w:right="720" w:bottom="720" w:left="72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EF3B64" w16cex:dateUtc="2022-03-28T12: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B8F5947" w16cid:durableId="25EF3B6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7B3892" w14:textId="77777777" w:rsidR="005162FE" w:rsidRDefault="005162FE" w:rsidP="00BC42D0">
      <w:r>
        <w:separator/>
      </w:r>
    </w:p>
  </w:endnote>
  <w:endnote w:type="continuationSeparator" w:id="0">
    <w:p w14:paraId="4858B008" w14:textId="77777777" w:rsidR="005162FE" w:rsidRDefault="005162FE" w:rsidP="00BC42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839576829"/>
      <w:docPartObj>
        <w:docPartGallery w:val="Page Numbers (Bottom of Page)"/>
        <w:docPartUnique/>
      </w:docPartObj>
    </w:sdtPr>
    <w:sdtEndPr>
      <w:rPr>
        <w:rStyle w:val="PageNumber"/>
      </w:rPr>
    </w:sdtEndPr>
    <w:sdtContent>
      <w:p w14:paraId="46BF3F46" w14:textId="2AD63BD5" w:rsidR="005162FE" w:rsidRDefault="005162FE" w:rsidP="008260B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3DE6B18" w14:textId="77777777" w:rsidR="005162FE" w:rsidRDefault="005162FE" w:rsidP="00BC42D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4DCB27" w14:textId="19FB5674" w:rsidR="005162FE" w:rsidRPr="00BC42D0" w:rsidRDefault="005162FE" w:rsidP="00BC42D0">
    <w:pPr>
      <w:pStyle w:val="Footer"/>
      <w:jc w:val="right"/>
      <w:rPr>
        <w:rFonts w:ascii="Times New Roman" w:hAnsi="Times New Roman" w:cs="Times New Roman"/>
        <w:color w:val="000000" w:themeColor="text1"/>
      </w:rPr>
    </w:pPr>
    <w:r w:rsidRPr="00BC42D0">
      <w:rPr>
        <w:rFonts w:ascii="Times New Roman" w:hAnsi="Times New Roman" w:cs="Times New Roman"/>
        <w:color w:val="000000" w:themeColor="text1"/>
      </w:rPr>
      <w:t xml:space="preserve">Page </w:t>
    </w:r>
    <w:r w:rsidRPr="00BC42D0">
      <w:rPr>
        <w:rFonts w:ascii="Times New Roman" w:hAnsi="Times New Roman" w:cs="Times New Roman"/>
        <w:color w:val="000000" w:themeColor="text1"/>
      </w:rPr>
      <w:fldChar w:fldCharType="begin"/>
    </w:r>
    <w:r w:rsidRPr="00BC42D0">
      <w:rPr>
        <w:rFonts w:ascii="Times New Roman" w:hAnsi="Times New Roman" w:cs="Times New Roman"/>
        <w:color w:val="000000" w:themeColor="text1"/>
      </w:rPr>
      <w:instrText xml:space="preserve"> PAGE  \* Arabic  \* MERGEFORMAT </w:instrText>
    </w:r>
    <w:r w:rsidRPr="00BC42D0">
      <w:rPr>
        <w:rFonts w:ascii="Times New Roman" w:hAnsi="Times New Roman" w:cs="Times New Roman"/>
        <w:color w:val="000000" w:themeColor="text1"/>
      </w:rPr>
      <w:fldChar w:fldCharType="separate"/>
    </w:r>
    <w:r w:rsidR="00C47B37">
      <w:rPr>
        <w:rFonts w:ascii="Times New Roman" w:hAnsi="Times New Roman" w:cs="Times New Roman"/>
        <w:noProof/>
        <w:color w:val="000000" w:themeColor="text1"/>
      </w:rPr>
      <w:t>2</w:t>
    </w:r>
    <w:r w:rsidRPr="00BC42D0">
      <w:rPr>
        <w:rFonts w:ascii="Times New Roman" w:hAnsi="Times New Roman" w:cs="Times New Roman"/>
        <w:color w:val="000000" w:themeColor="text1"/>
      </w:rPr>
      <w:fldChar w:fldCharType="end"/>
    </w:r>
    <w:r w:rsidRPr="00BC42D0">
      <w:rPr>
        <w:rFonts w:ascii="Times New Roman" w:hAnsi="Times New Roman" w:cs="Times New Roman"/>
        <w:color w:val="000000" w:themeColor="text1"/>
      </w:rPr>
      <w:t xml:space="preserve"> of </w:t>
    </w:r>
    <w:r w:rsidRPr="00BC42D0">
      <w:rPr>
        <w:rFonts w:ascii="Times New Roman" w:hAnsi="Times New Roman" w:cs="Times New Roman"/>
        <w:color w:val="000000" w:themeColor="text1"/>
      </w:rPr>
      <w:fldChar w:fldCharType="begin"/>
    </w:r>
    <w:r w:rsidRPr="00BC42D0">
      <w:rPr>
        <w:rFonts w:ascii="Times New Roman" w:hAnsi="Times New Roman" w:cs="Times New Roman"/>
        <w:color w:val="000000" w:themeColor="text1"/>
      </w:rPr>
      <w:instrText xml:space="preserve"> NUMPAGES  \* Arabic  \* MERGEFORMAT </w:instrText>
    </w:r>
    <w:r w:rsidRPr="00BC42D0">
      <w:rPr>
        <w:rFonts w:ascii="Times New Roman" w:hAnsi="Times New Roman" w:cs="Times New Roman"/>
        <w:color w:val="000000" w:themeColor="text1"/>
      </w:rPr>
      <w:fldChar w:fldCharType="separate"/>
    </w:r>
    <w:r w:rsidR="00C47B37">
      <w:rPr>
        <w:rFonts w:ascii="Times New Roman" w:hAnsi="Times New Roman" w:cs="Times New Roman"/>
        <w:noProof/>
        <w:color w:val="000000" w:themeColor="text1"/>
      </w:rPr>
      <w:t>36</w:t>
    </w:r>
    <w:r w:rsidRPr="00BC42D0">
      <w:rPr>
        <w:rFonts w:ascii="Times New Roman" w:hAnsi="Times New Roman" w:cs="Times New Roman"/>
        <w:color w:val="000000" w:themeColor="text1"/>
      </w:rPr>
      <w:fldChar w:fldCharType="end"/>
    </w:r>
  </w:p>
  <w:p w14:paraId="760B3072" w14:textId="77777777" w:rsidR="005162FE" w:rsidRPr="00BC42D0" w:rsidRDefault="005162FE" w:rsidP="00BC42D0">
    <w:pPr>
      <w:pStyle w:val="Footer"/>
      <w:ind w:right="360"/>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74E5A4" w14:textId="77777777" w:rsidR="005162FE" w:rsidRDefault="005162FE" w:rsidP="00BC42D0">
      <w:r>
        <w:separator/>
      </w:r>
    </w:p>
  </w:footnote>
  <w:footnote w:type="continuationSeparator" w:id="0">
    <w:p w14:paraId="1704CB5A" w14:textId="77777777" w:rsidR="005162FE" w:rsidRDefault="005162FE" w:rsidP="00BC42D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F1883"/>
    <w:multiLevelType w:val="multilevel"/>
    <w:tmpl w:val="2BD25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385CCF"/>
    <w:multiLevelType w:val="multilevel"/>
    <w:tmpl w:val="9B2A0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8D0671D"/>
    <w:multiLevelType w:val="multilevel"/>
    <w:tmpl w:val="05665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74B014A"/>
    <w:multiLevelType w:val="multilevel"/>
    <w:tmpl w:val="3BAA6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1650FCE"/>
    <w:multiLevelType w:val="multilevel"/>
    <w:tmpl w:val="F60CD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1B45354"/>
    <w:multiLevelType w:val="hybridMultilevel"/>
    <w:tmpl w:val="1AF6A9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A92A71"/>
    <w:multiLevelType w:val="hybridMultilevel"/>
    <w:tmpl w:val="B5003E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A2B208B"/>
    <w:multiLevelType w:val="multilevel"/>
    <w:tmpl w:val="75E8BE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B510205"/>
    <w:multiLevelType w:val="hybridMultilevel"/>
    <w:tmpl w:val="6498A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2DB3B7E"/>
    <w:multiLevelType w:val="hybridMultilevel"/>
    <w:tmpl w:val="1AE8BA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3A21198"/>
    <w:multiLevelType w:val="hybridMultilevel"/>
    <w:tmpl w:val="584A7A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6E213A1"/>
    <w:multiLevelType w:val="hybridMultilevel"/>
    <w:tmpl w:val="96A844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BAB167A"/>
    <w:multiLevelType w:val="hybridMultilevel"/>
    <w:tmpl w:val="A8C87DB6"/>
    <w:lvl w:ilvl="0" w:tplc="A43E9056">
      <w:start w:val="2"/>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F647F26"/>
    <w:multiLevelType w:val="hybridMultilevel"/>
    <w:tmpl w:val="4B8E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2"/>
  </w:num>
  <w:num w:numId="5">
    <w:abstractNumId w:val="5"/>
  </w:num>
  <w:num w:numId="6">
    <w:abstractNumId w:val="8"/>
  </w:num>
  <w:num w:numId="7">
    <w:abstractNumId w:val="11"/>
  </w:num>
  <w:num w:numId="8">
    <w:abstractNumId w:val="4"/>
  </w:num>
  <w:num w:numId="9">
    <w:abstractNumId w:val="1"/>
  </w:num>
  <w:num w:numId="10">
    <w:abstractNumId w:val="9"/>
  </w:num>
  <w:num w:numId="11">
    <w:abstractNumId w:val="13"/>
  </w:num>
  <w:num w:numId="12">
    <w:abstractNumId w:val="10"/>
  </w:num>
  <w:num w:numId="13">
    <w:abstractNumId w:val="6"/>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7BD5"/>
    <w:rsid w:val="00000A78"/>
    <w:rsid w:val="00000CFF"/>
    <w:rsid w:val="00000F84"/>
    <w:rsid w:val="00002894"/>
    <w:rsid w:val="000037DD"/>
    <w:rsid w:val="00006035"/>
    <w:rsid w:val="00007D02"/>
    <w:rsid w:val="00010357"/>
    <w:rsid w:val="00010CBC"/>
    <w:rsid w:val="000118C9"/>
    <w:rsid w:val="00013B8A"/>
    <w:rsid w:val="00013C9D"/>
    <w:rsid w:val="0001467D"/>
    <w:rsid w:val="00014D08"/>
    <w:rsid w:val="00016CD4"/>
    <w:rsid w:val="00017873"/>
    <w:rsid w:val="0002082B"/>
    <w:rsid w:val="00022566"/>
    <w:rsid w:val="00024866"/>
    <w:rsid w:val="00027280"/>
    <w:rsid w:val="00030071"/>
    <w:rsid w:val="00031BF0"/>
    <w:rsid w:val="000324CF"/>
    <w:rsid w:val="000326AC"/>
    <w:rsid w:val="000329B2"/>
    <w:rsid w:val="00032AE9"/>
    <w:rsid w:val="00035128"/>
    <w:rsid w:val="00035A05"/>
    <w:rsid w:val="00035D66"/>
    <w:rsid w:val="00036655"/>
    <w:rsid w:val="000372FA"/>
    <w:rsid w:val="000378C6"/>
    <w:rsid w:val="00037E4E"/>
    <w:rsid w:val="00037F8E"/>
    <w:rsid w:val="0004004F"/>
    <w:rsid w:val="00040E70"/>
    <w:rsid w:val="00041C43"/>
    <w:rsid w:val="000426DF"/>
    <w:rsid w:val="00042B95"/>
    <w:rsid w:val="00043EEE"/>
    <w:rsid w:val="00043F29"/>
    <w:rsid w:val="000445B1"/>
    <w:rsid w:val="000459BE"/>
    <w:rsid w:val="00045B34"/>
    <w:rsid w:val="0004693A"/>
    <w:rsid w:val="000501FB"/>
    <w:rsid w:val="00050C96"/>
    <w:rsid w:val="00050F49"/>
    <w:rsid w:val="00051FFC"/>
    <w:rsid w:val="00052960"/>
    <w:rsid w:val="00052C50"/>
    <w:rsid w:val="00052DFB"/>
    <w:rsid w:val="00053C4C"/>
    <w:rsid w:val="0005497D"/>
    <w:rsid w:val="0005553A"/>
    <w:rsid w:val="0005574B"/>
    <w:rsid w:val="000565CA"/>
    <w:rsid w:val="00057852"/>
    <w:rsid w:val="00060152"/>
    <w:rsid w:val="00061542"/>
    <w:rsid w:val="000629A2"/>
    <w:rsid w:val="00062ED1"/>
    <w:rsid w:val="000650FF"/>
    <w:rsid w:val="00072362"/>
    <w:rsid w:val="00072A49"/>
    <w:rsid w:val="00072B58"/>
    <w:rsid w:val="0007534F"/>
    <w:rsid w:val="00075EF9"/>
    <w:rsid w:val="0007636E"/>
    <w:rsid w:val="0007690D"/>
    <w:rsid w:val="000772D0"/>
    <w:rsid w:val="000778C3"/>
    <w:rsid w:val="00077DF6"/>
    <w:rsid w:val="0008002C"/>
    <w:rsid w:val="00081783"/>
    <w:rsid w:val="00081D44"/>
    <w:rsid w:val="00082932"/>
    <w:rsid w:val="00082BF8"/>
    <w:rsid w:val="00084A77"/>
    <w:rsid w:val="00084D61"/>
    <w:rsid w:val="000862F5"/>
    <w:rsid w:val="00090913"/>
    <w:rsid w:val="00090AFE"/>
    <w:rsid w:val="00090EAF"/>
    <w:rsid w:val="000915EC"/>
    <w:rsid w:val="00091CAF"/>
    <w:rsid w:val="00091CB1"/>
    <w:rsid w:val="00092EE4"/>
    <w:rsid w:val="00092F02"/>
    <w:rsid w:val="00093D3B"/>
    <w:rsid w:val="0009456F"/>
    <w:rsid w:val="0009460E"/>
    <w:rsid w:val="00094753"/>
    <w:rsid w:val="00095375"/>
    <w:rsid w:val="00096440"/>
    <w:rsid w:val="0009715E"/>
    <w:rsid w:val="00097B42"/>
    <w:rsid w:val="00097C28"/>
    <w:rsid w:val="000A0163"/>
    <w:rsid w:val="000A03BA"/>
    <w:rsid w:val="000A1A49"/>
    <w:rsid w:val="000A4588"/>
    <w:rsid w:val="000A4C33"/>
    <w:rsid w:val="000A4C36"/>
    <w:rsid w:val="000A4FD8"/>
    <w:rsid w:val="000A74B1"/>
    <w:rsid w:val="000A78B6"/>
    <w:rsid w:val="000B1737"/>
    <w:rsid w:val="000B17B0"/>
    <w:rsid w:val="000B1CB2"/>
    <w:rsid w:val="000B1DA1"/>
    <w:rsid w:val="000B279A"/>
    <w:rsid w:val="000B63A2"/>
    <w:rsid w:val="000B70C6"/>
    <w:rsid w:val="000C09BD"/>
    <w:rsid w:val="000C181B"/>
    <w:rsid w:val="000C2EB2"/>
    <w:rsid w:val="000C3450"/>
    <w:rsid w:val="000C4013"/>
    <w:rsid w:val="000C4135"/>
    <w:rsid w:val="000C4A43"/>
    <w:rsid w:val="000C4F2F"/>
    <w:rsid w:val="000C60EE"/>
    <w:rsid w:val="000C664B"/>
    <w:rsid w:val="000C668D"/>
    <w:rsid w:val="000C6A07"/>
    <w:rsid w:val="000C7F20"/>
    <w:rsid w:val="000D494E"/>
    <w:rsid w:val="000D6FBC"/>
    <w:rsid w:val="000D72BB"/>
    <w:rsid w:val="000D7848"/>
    <w:rsid w:val="000E0D8E"/>
    <w:rsid w:val="000E1D77"/>
    <w:rsid w:val="000E2B07"/>
    <w:rsid w:val="000E308A"/>
    <w:rsid w:val="000E3266"/>
    <w:rsid w:val="000E3D2B"/>
    <w:rsid w:val="000E47EE"/>
    <w:rsid w:val="000E5813"/>
    <w:rsid w:val="000E5C25"/>
    <w:rsid w:val="000E65B4"/>
    <w:rsid w:val="000F0FD4"/>
    <w:rsid w:val="000F1674"/>
    <w:rsid w:val="000F1C8D"/>
    <w:rsid w:val="000F1D8F"/>
    <w:rsid w:val="000F2EBD"/>
    <w:rsid w:val="000F3A4C"/>
    <w:rsid w:val="000F58EB"/>
    <w:rsid w:val="00100C91"/>
    <w:rsid w:val="001012DD"/>
    <w:rsid w:val="001014B3"/>
    <w:rsid w:val="0010475C"/>
    <w:rsid w:val="00104FDB"/>
    <w:rsid w:val="0010651B"/>
    <w:rsid w:val="001072F7"/>
    <w:rsid w:val="00111726"/>
    <w:rsid w:val="0011484D"/>
    <w:rsid w:val="00114DB0"/>
    <w:rsid w:val="001172BB"/>
    <w:rsid w:val="00121ACC"/>
    <w:rsid w:val="001229F6"/>
    <w:rsid w:val="00122C62"/>
    <w:rsid w:val="00122FA0"/>
    <w:rsid w:val="00123DEB"/>
    <w:rsid w:val="001302AE"/>
    <w:rsid w:val="00130568"/>
    <w:rsid w:val="00132570"/>
    <w:rsid w:val="00133F36"/>
    <w:rsid w:val="00134757"/>
    <w:rsid w:val="00134AE7"/>
    <w:rsid w:val="001369D1"/>
    <w:rsid w:val="00140C70"/>
    <w:rsid w:val="00141ECF"/>
    <w:rsid w:val="00142E62"/>
    <w:rsid w:val="00144539"/>
    <w:rsid w:val="00145390"/>
    <w:rsid w:val="00145501"/>
    <w:rsid w:val="00146B80"/>
    <w:rsid w:val="00146FBF"/>
    <w:rsid w:val="0014739E"/>
    <w:rsid w:val="00147AEE"/>
    <w:rsid w:val="0015163C"/>
    <w:rsid w:val="00151BF4"/>
    <w:rsid w:val="00151EB6"/>
    <w:rsid w:val="00152D7F"/>
    <w:rsid w:val="00152FA4"/>
    <w:rsid w:val="00153385"/>
    <w:rsid w:val="0015449D"/>
    <w:rsid w:val="00155060"/>
    <w:rsid w:val="001572F1"/>
    <w:rsid w:val="00157706"/>
    <w:rsid w:val="00160581"/>
    <w:rsid w:val="001627EB"/>
    <w:rsid w:val="001628C2"/>
    <w:rsid w:val="00163513"/>
    <w:rsid w:val="00163F8C"/>
    <w:rsid w:val="00164566"/>
    <w:rsid w:val="001650E0"/>
    <w:rsid w:val="001653E1"/>
    <w:rsid w:val="00165799"/>
    <w:rsid w:val="00165B74"/>
    <w:rsid w:val="00165D8D"/>
    <w:rsid w:val="0016657B"/>
    <w:rsid w:val="00167379"/>
    <w:rsid w:val="00167400"/>
    <w:rsid w:val="00170DDD"/>
    <w:rsid w:val="00171C05"/>
    <w:rsid w:val="0017376E"/>
    <w:rsid w:val="00174147"/>
    <w:rsid w:val="001745CE"/>
    <w:rsid w:val="00174A9A"/>
    <w:rsid w:val="001806D6"/>
    <w:rsid w:val="001819D7"/>
    <w:rsid w:val="00181E88"/>
    <w:rsid w:val="001828CE"/>
    <w:rsid w:val="00182AF1"/>
    <w:rsid w:val="00182BB5"/>
    <w:rsid w:val="00183B9A"/>
    <w:rsid w:val="001858FF"/>
    <w:rsid w:val="00185C90"/>
    <w:rsid w:val="00186C93"/>
    <w:rsid w:val="001870D9"/>
    <w:rsid w:val="001875C9"/>
    <w:rsid w:val="00187FD9"/>
    <w:rsid w:val="00192443"/>
    <w:rsid w:val="001928CF"/>
    <w:rsid w:val="0019350F"/>
    <w:rsid w:val="001935DC"/>
    <w:rsid w:val="00193E1D"/>
    <w:rsid w:val="00195767"/>
    <w:rsid w:val="001A0A9F"/>
    <w:rsid w:val="001A542D"/>
    <w:rsid w:val="001A6067"/>
    <w:rsid w:val="001A6884"/>
    <w:rsid w:val="001A6CB2"/>
    <w:rsid w:val="001A707A"/>
    <w:rsid w:val="001A72B4"/>
    <w:rsid w:val="001B0BB3"/>
    <w:rsid w:val="001B19E2"/>
    <w:rsid w:val="001B1C52"/>
    <w:rsid w:val="001B264C"/>
    <w:rsid w:val="001B3B6B"/>
    <w:rsid w:val="001B3F3B"/>
    <w:rsid w:val="001B431E"/>
    <w:rsid w:val="001B4965"/>
    <w:rsid w:val="001B55E7"/>
    <w:rsid w:val="001B6C1F"/>
    <w:rsid w:val="001B7777"/>
    <w:rsid w:val="001C1D69"/>
    <w:rsid w:val="001C3D8B"/>
    <w:rsid w:val="001C51DA"/>
    <w:rsid w:val="001C63C5"/>
    <w:rsid w:val="001C77DC"/>
    <w:rsid w:val="001C7DB6"/>
    <w:rsid w:val="001D0963"/>
    <w:rsid w:val="001D0F81"/>
    <w:rsid w:val="001D1622"/>
    <w:rsid w:val="001D2D1E"/>
    <w:rsid w:val="001D2D65"/>
    <w:rsid w:val="001D34B1"/>
    <w:rsid w:val="001D38D3"/>
    <w:rsid w:val="001D5522"/>
    <w:rsid w:val="001D6532"/>
    <w:rsid w:val="001D7BF7"/>
    <w:rsid w:val="001D7C61"/>
    <w:rsid w:val="001E03F3"/>
    <w:rsid w:val="001E0EB0"/>
    <w:rsid w:val="001E1F19"/>
    <w:rsid w:val="001E2265"/>
    <w:rsid w:val="001E26AE"/>
    <w:rsid w:val="001E30B4"/>
    <w:rsid w:val="001E4079"/>
    <w:rsid w:val="001E4A67"/>
    <w:rsid w:val="001E6C7D"/>
    <w:rsid w:val="001E6CCC"/>
    <w:rsid w:val="001F0BF2"/>
    <w:rsid w:val="001F16AF"/>
    <w:rsid w:val="001F1970"/>
    <w:rsid w:val="001F32D9"/>
    <w:rsid w:val="001F363A"/>
    <w:rsid w:val="001F4346"/>
    <w:rsid w:val="001F587F"/>
    <w:rsid w:val="001F5A2A"/>
    <w:rsid w:val="001F6556"/>
    <w:rsid w:val="002015EE"/>
    <w:rsid w:val="00201D50"/>
    <w:rsid w:val="002025A3"/>
    <w:rsid w:val="00202E7D"/>
    <w:rsid w:val="00202F2C"/>
    <w:rsid w:val="00205BD1"/>
    <w:rsid w:val="0020732B"/>
    <w:rsid w:val="00210357"/>
    <w:rsid w:val="0021066E"/>
    <w:rsid w:val="0021128E"/>
    <w:rsid w:val="00211309"/>
    <w:rsid w:val="00211A8D"/>
    <w:rsid w:val="00212317"/>
    <w:rsid w:val="00212E4C"/>
    <w:rsid w:val="00213C92"/>
    <w:rsid w:val="00213EF5"/>
    <w:rsid w:val="0021441F"/>
    <w:rsid w:val="00214736"/>
    <w:rsid w:val="002150E7"/>
    <w:rsid w:val="002154E8"/>
    <w:rsid w:val="002168DF"/>
    <w:rsid w:val="00216EFA"/>
    <w:rsid w:val="0021769C"/>
    <w:rsid w:val="00221D3C"/>
    <w:rsid w:val="00222207"/>
    <w:rsid w:val="002222EC"/>
    <w:rsid w:val="00225254"/>
    <w:rsid w:val="0022686A"/>
    <w:rsid w:val="00226A95"/>
    <w:rsid w:val="0022724C"/>
    <w:rsid w:val="0023170B"/>
    <w:rsid w:val="00231B94"/>
    <w:rsid w:val="00232721"/>
    <w:rsid w:val="002342DF"/>
    <w:rsid w:val="00236595"/>
    <w:rsid w:val="00236618"/>
    <w:rsid w:val="002407CD"/>
    <w:rsid w:val="002431D8"/>
    <w:rsid w:val="00244195"/>
    <w:rsid w:val="00245359"/>
    <w:rsid w:val="002467D1"/>
    <w:rsid w:val="00246F59"/>
    <w:rsid w:val="002475C3"/>
    <w:rsid w:val="00250927"/>
    <w:rsid w:val="002573A8"/>
    <w:rsid w:val="00257D2B"/>
    <w:rsid w:val="00260FC0"/>
    <w:rsid w:val="0026118F"/>
    <w:rsid w:val="00261687"/>
    <w:rsid w:val="00261886"/>
    <w:rsid w:val="002627C2"/>
    <w:rsid w:val="00263759"/>
    <w:rsid w:val="00263B84"/>
    <w:rsid w:val="00265036"/>
    <w:rsid w:val="00265830"/>
    <w:rsid w:val="002659B9"/>
    <w:rsid w:val="00265DB9"/>
    <w:rsid w:val="002704D8"/>
    <w:rsid w:val="00270C7C"/>
    <w:rsid w:val="00271151"/>
    <w:rsid w:val="0027130E"/>
    <w:rsid w:val="002725BC"/>
    <w:rsid w:val="00272F4C"/>
    <w:rsid w:val="00273FE2"/>
    <w:rsid w:val="00274393"/>
    <w:rsid w:val="00275AB5"/>
    <w:rsid w:val="00275DFB"/>
    <w:rsid w:val="00275EFF"/>
    <w:rsid w:val="00280470"/>
    <w:rsid w:val="00280A2E"/>
    <w:rsid w:val="0028266C"/>
    <w:rsid w:val="00283431"/>
    <w:rsid w:val="002847A9"/>
    <w:rsid w:val="00285305"/>
    <w:rsid w:val="00285A79"/>
    <w:rsid w:val="00286297"/>
    <w:rsid w:val="00287D64"/>
    <w:rsid w:val="0029170A"/>
    <w:rsid w:val="00292C44"/>
    <w:rsid w:val="002946BC"/>
    <w:rsid w:val="002952C2"/>
    <w:rsid w:val="00296D1C"/>
    <w:rsid w:val="00296D7E"/>
    <w:rsid w:val="002970B1"/>
    <w:rsid w:val="002A1B58"/>
    <w:rsid w:val="002A23EB"/>
    <w:rsid w:val="002A2A41"/>
    <w:rsid w:val="002A3673"/>
    <w:rsid w:val="002A3B87"/>
    <w:rsid w:val="002A4600"/>
    <w:rsid w:val="002A4D15"/>
    <w:rsid w:val="002A58FF"/>
    <w:rsid w:val="002A5BBB"/>
    <w:rsid w:val="002A71F4"/>
    <w:rsid w:val="002A7D88"/>
    <w:rsid w:val="002B04B5"/>
    <w:rsid w:val="002B3FE9"/>
    <w:rsid w:val="002B47EF"/>
    <w:rsid w:val="002B5A04"/>
    <w:rsid w:val="002B6D8D"/>
    <w:rsid w:val="002B7883"/>
    <w:rsid w:val="002C2EF1"/>
    <w:rsid w:val="002C4304"/>
    <w:rsid w:val="002C48C0"/>
    <w:rsid w:val="002C5E01"/>
    <w:rsid w:val="002C64DC"/>
    <w:rsid w:val="002C68DE"/>
    <w:rsid w:val="002D0F6E"/>
    <w:rsid w:val="002D3530"/>
    <w:rsid w:val="002D37C7"/>
    <w:rsid w:val="002D38B6"/>
    <w:rsid w:val="002D3A33"/>
    <w:rsid w:val="002D423F"/>
    <w:rsid w:val="002D44FE"/>
    <w:rsid w:val="002D5569"/>
    <w:rsid w:val="002D57FC"/>
    <w:rsid w:val="002D6C15"/>
    <w:rsid w:val="002D753F"/>
    <w:rsid w:val="002D7B46"/>
    <w:rsid w:val="002E1305"/>
    <w:rsid w:val="002E21A5"/>
    <w:rsid w:val="002E2B7E"/>
    <w:rsid w:val="002E3A59"/>
    <w:rsid w:val="002E5C40"/>
    <w:rsid w:val="002E5FA8"/>
    <w:rsid w:val="002E72EE"/>
    <w:rsid w:val="002E7B48"/>
    <w:rsid w:val="002F0D89"/>
    <w:rsid w:val="002F1FF7"/>
    <w:rsid w:val="002F20B0"/>
    <w:rsid w:val="002F4F63"/>
    <w:rsid w:val="002F588F"/>
    <w:rsid w:val="002F5A1F"/>
    <w:rsid w:val="002F6A2A"/>
    <w:rsid w:val="00300340"/>
    <w:rsid w:val="00301118"/>
    <w:rsid w:val="003013DA"/>
    <w:rsid w:val="003023EB"/>
    <w:rsid w:val="00302DA1"/>
    <w:rsid w:val="00303831"/>
    <w:rsid w:val="0030399C"/>
    <w:rsid w:val="00305824"/>
    <w:rsid w:val="00305B33"/>
    <w:rsid w:val="00306012"/>
    <w:rsid w:val="003063E2"/>
    <w:rsid w:val="00311A87"/>
    <w:rsid w:val="00311EA0"/>
    <w:rsid w:val="00313304"/>
    <w:rsid w:val="00313A02"/>
    <w:rsid w:val="00313B16"/>
    <w:rsid w:val="00315358"/>
    <w:rsid w:val="00315DF8"/>
    <w:rsid w:val="00317B35"/>
    <w:rsid w:val="00317F34"/>
    <w:rsid w:val="00320BAA"/>
    <w:rsid w:val="00320CDF"/>
    <w:rsid w:val="00321301"/>
    <w:rsid w:val="003222B9"/>
    <w:rsid w:val="003224D8"/>
    <w:rsid w:val="003235F9"/>
    <w:rsid w:val="00323BFE"/>
    <w:rsid w:val="00323CF2"/>
    <w:rsid w:val="00324857"/>
    <w:rsid w:val="00325077"/>
    <w:rsid w:val="00325367"/>
    <w:rsid w:val="003254CE"/>
    <w:rsid w:val="00325BB0"/>
    <w:rsid w:val="0032637D"/>
    <w:rsid w:val="00326E72"/>
    <w:rsid w:val="0033068E"/>
    <w:rsid w:val="00331DB9"/>
    <w:rsid w:val="00333E0A"/>
    <w:rsid w:val="00333E2D"/>
    <w:rsid w:val="00335A28"/>
    <w:rsid w:val="00335D32"/>
    <w:rsid w:val="003409D3"/>
    <w:rsid w:val="00344BF2"/>
    <w:rsid w:val="00345DD7"/>
    <w:rsid w:val="00347354"/>
    <w:rsid w:val="00347502"/>
    <w:rsid w:val="00347AF3"/>
    <w:rsid w:val="00347FFB"/>
    <w:rsid w:val="003501BD"/>
    <w:rsid w:val="00350B30"/>
    <w:rsid w:val="0035163E"/>
    <w:rsid w:val="00351FD6"/>
    <w:rsid w:val="00352081"/>
    <w:rsid w:val="00352CDA"/>
    <w:rsid w:val="00354A17"/>
    <w:rsid w:val="00354B5E"/>
    <w:rsid w:val="003606A8"/>
    <w:rsid w:val="00360DD4"/>
    <w:rsid w:val="003616A9"/>
    <w:rsid w:val="003643CA"/>
    <w:rsid w:val="00365C2D"/>
    <w:rsid w:val="003660F5"/>
    <w:rsid w:val="00366214"/>
    <w:rsid w:val="00366944"/>
    <w:rsid w:val="00370003"/>
    <w:rsid w:val="0037358C"/>
    <w:rsid w:val="00373F46"/>
    <w:rsid w:val="00374CF2"/>
    <w:rsid w:val="00374DBF"/>
    <w:rsid w:val="00375CDB"/>
    <w:rsid w:val="00375FD3"/>
    <w:rsid w:val="00377CDF"/>
    <w:rsid w:val="00380385"/>
    <w:rsid w:val="00380EED"/>
    <w:rsid w:val="00381D57"/>
    <w:rsid w:val="003826BB"/>
    <w:rsid w:val="00382942"/>
    <w:rsid w:val="00383246"/>
    <w:rsid w:val="00383FB9"/>
    <w:rsid w:val="003841B3"/>
    <w:rsid w:val="00384979"/>
    <w:rsid w:val="003854E3"/>
    <w:rsid w:val="00385639"/>
    <w:rsid w:val="0038771F"/>
    <w:rsid w:val="00387BE4"/>
    <w:rsid w:val="003922F8"/>
    <w:rsid w:val="00392713"/>
    <w:rsid w:val="00393460"/>
    <w:rsid w:val="00394C78"/>
    <w:rsid w:val="00395DB7"/>
    <w:rsid w:val="003A05D4"/>
    <w:rsid w:val="003A0613"/>
    <w:rsid w:val="003A0AD2"/>
    <w:rsid w:val="003A14BE"/>
    <w:rsid w:val="003A2100"/>
    <w:rsid w:val="003A268C"/>
    <w:rsid w:val="003A3233"/>
    <w:rsid w:val="003A5A58"/>
    <w:rsid w:val="003A6CE0"/>
    <w:rsid w:val="003A720F"/>
    <w:rsid w:val="003A74BD"/>
    <w:rsid w:val="003A7619"/>
    <w:rsid w:val="003A7C38"/>
    <w:rsid w:val="003A7CFD"/>
    <w:rsid w:val="003A7D90"/>
    <w:rsid w:val="003B0CCE"/>
    <w:rsid w:val="003B1BBB"/>
    <w:rsid w:val="003B1F81"/>
    <w:rsid w:val="003B217D"/>
    <w:rsid w:val="003B2872"/>
    <w:rsid w:val="003B38B6"/>
    <w:rsid w:val="003B3AFD"/>
    <w:rsid w:val="003B5591"/>
    <w:rsid w:val="003B58C1"/>
    <w:rsid w:val="003B5FF2"/>
    <w:rsid w:val="003B6082"/>
    <w:rsid w:val="003B685C"/>
    <w:rsid w:val="003B69A5"/>
    <w:rsid w:val="003B6FAB"/>
    <w:rsid w:val="003B7938"/>
    <w:rsid w:val="003C240F"/>
    <w:rsid w:val="003C2A72"/>
    <w:rsid w:val="003C2F6E"/>
    <w:rsid w:val="003C46E0"/>
    <w:rsid w:val="003C4A73"/>
    <w:rsid w:val="003C664D"/>
    <w:rsid w:val="003C6C69"/>
    <w:rsid w:val="003D04A8"/>
    <w:rsid w:val="003D2F60"/>
    <w:rsid w:val="003D340E"/>
    <w:rsid w:val="003D36FD"/>
    <w:rsid w:val="003D6016"/>
    <w:rsid w:val="003D743D"/>
    <w:rsid w:val="003E0256"/>
    <w:rsid w:val="003E02D6"/>
    <w:rsid w:val="003E210D"/>
    <w:rsid w:val="003E2678"/>
    <w:rsid w:val="003E3229"/>
    <w:rsid w:val="003E3C2F"/>
    <w:rsid w:val="003E3F9E"/>
    <w:rsid w:val="003E44C6"/>
    <w:rsid w:val="003E464E"/>
    <w:rsid w:val="003E5D38"/>
    <w:rsid w:val="003E6294"/>
    <w:rsid w:val="003F0589"/>
    <w:rsid w:val="003F11F4"/>
    <w:rsid w:val="003F2950"/>
    <w:rsid w:val="003F2DF8"/>
    <w:rsid w:val="003F41EA"/>
    <w:rsid w:val="003F4296"/>
    <w:rsid w:val="003F462A"/>
    <w:rsid w:val="003F4A63"/>
    <w:rsid w:val="003F4BE4"/>
    <w:rsid w:val="003F5175"/>
    <w:rsid w:val="003F7184"/>
    <w:rsid w:val="003F7333"/>
    <w:rsid w:val="003F7ED5"/>
    <w:rsid w:val="00401B00"/>
    <w:rsid w:val="00402669"/>
    <w:rsid w:val="00402978"/>
    <w:rsid w:val="00405B8C"/>
    <w:rsid w:val="00405ECE"/>
    <w:rsid w:val="004061F8"/>
    <w:rsid w:val="00406263"/>
    <w:rsid w:val="004065DD"/>
    <w:rsid w:val="00406982"/>
    <w:rsid w:val="00406DEE"/>
    <w:rsid w:val="00407121"/>
    <w:rsid w:val="00411D59"/>
    <w:rsid w:val="0041300C"/>
    <w:rsid w:val="00415DA2"/>
    <w:rsid w:val="00417107"/>
    <w:rsid w:val="00417D9C"/>
    <w:rsid w:val="00420EC2"/>
    <w:rsid w:val="0042460E"/>
    <w:rsid w:val="00424AB4"/>
    <w:rsid w:val="00426737"/>
    <w:rsid w:val="004273D3"/>
    <w:rsid w:val="00427FBC"/>
    <w:rsid w:val="0043008D"/>
    <w:rsid w:val="00430483"/>
    <w:rsid w:val="00434171"/>
    <w:rsid w:val="00436B19"/>
    <w:rsid w:val="0044272B"/>
    <w:rsid w:val="00445362"/>
    <w:rsid w:val="00445797"/>
    <w:rsid w:val="004457E7"/>
    <w:rsid w:val="00445B87"/>
    <w:rsid w:val="00446F2C"/>
    <w:rsid w:val="00453D32"/>
    <w:rsid w:val="0045482E"/>
    <w:rsid w:val="00454CA9"/>
    <w:rsid w:val="00456A03"/>
    <w:rsid w:val="00456DD2"/>
    <w:rsid w:val="00456F83"/>
    <w:rsid w:val="00457776"/>
    <w:rsid w:val="00457D52"/>
    <w:rsid w:val="00460C03"/>
    <w:rsid w:val="004617B1"/>
    <w:rsid w:val="00461A93"/>
    <w:rsid w:val="00461AAE"/>
    <w:rsid w:val="00461AB4"/>
    <w:rsid w:val="00461D57"/>
    <w:rsid w:val="00461E58"/>
    <w:rsid w:val="00462C03"/>
    <w:rsid w:val="00463D3D"/>
    <w:rsid w:val="004650CF"/>
    <w:rsid w:val="00465DE8"/>
    <w:rsid w:val="0046763B"/>
    <w:rsid w:val="004677B0"/>
    <w:rsid w:val="00471F8B"/>
    <w:rsid w:val="00472578"/>
    <w:rsid w:val="00472C84"/>
    <w:rsid w:val="0047345C"/>
    <w:rsid w:val="00475158"/>
    <w:rsid w:val="004777BA"/>
    <w:rsid w:val="00480876"/>
    <w:rsid w:val="00480CD7"/>
    <w:rsid w:val="00481F58"/>
    <w:rsid w:val="00482E04"/>
    <w:rsid w:val="004831BD"/>
    <w:rsid w:val="004853DC"/>
    <w:rsid w:val="00485C3D"/>
    <w:rsid w:val="00486C07"/>
    <w:rsid w:val="004872AA"/>
    <w:rsid w:val="00490E06"/>
    <w:rsid w:val="00491EC9"/>
    <w:rsid w:val="00492202"/>
    <w:rsid w:val="0049261B"/>
    <w:rsid w:val="00495929"/>
    <w:rsid w:val="00495D4E"/>
    <w:rsid w:val="00497DDB"/>
    <w:rsid w:val="004A179E"/>
    <w:rsid w:val="004A220E"/>
    <w:rsid w:val="004A260C"/>
    <w:rsid w:val="004A3465"/>
    <w:rsid w:val="004A35B3"/>
    <w:rsid w:val="004A37D5"/>
    <w:rsid w:val="004A5003"/>
    <w:rsid w:val="004A5957"/>
    <w:rsid w:val="004A5D0E"/>
    <w:rsid w:val="004A5F51"/>
    <w:rsid w:val="004A66A9"/>
    <w:rsid w:val="004A7146"/>
    <w:rsid w:val="004B15CB"/>
    <w:rsid w:val="004B1C5B"/>
    <w:rsid w:val="004B1D65"/>
    <w:rsid w:val="004B3368"/>
    <w:rsid w:val="004B342A"/>
    <w:rsid w:val="004B35A4"/>
    <w:rsid w:val="004B38AF"/>
    <w:rsid w:val="004B533A"/>
    <w:rsid w:val="004B7893"/>
    <w:rsid w:val="004C066E"/>
    <w:rsid w:val="004C083F"/>
    <w:rsid w:val="004C0911"/>
    <w:rsid w:val="004C16BB"/>
    <w:rsid w:val="004C444A"/>
    <w:rsid w:val="004C601E"/>
    <w:rsid w:val="004D12F2"/>
    <w:rsid w:val="004D1740"/>
    <w:rsid w:val="004D26AD"/>
    <w:rsid w:val="004D35FC"/>
    <w:rsid w:val="004D3DB5"/>
    <w:rsid w:val="004D41E6"/>
    <w:rsid w:val="004D6A70"/>
    <w:rsid w:val="004E098A"/>
    <w:rsid w:val="004E10FE"/>
    <w:rsid w:val="004E1E10"/>
    <w:rsid w:val="004E3D69"/>
    <w:rsid w:val="004E3EC6"/>
    <w:rsid w:val="004E4303"/>
    <w:rsid w:val="004E472B"/>
    <w:rsid w:val="004E5DC9"/>
    <w:rsid w:val="004E6E1B"/>
    <w:rsid w:val="004E78B9"/>
    <w:rsid w:val="004F058E"/>
    <w:rsid w:val="004F064A"/>
    <w:rsid w:val="004F1328"/>
    <w:rsid w:val="004F34AA"/>
    <w:rsid w:val="004F370A"/>
    <w:rsid w:val="004F45B8"/>
    <w:rsid w:val="004F45E6"/>
    <w:rsid w:val="004F51DB"/>
    <w:rsid w:val="004F572E"/>
    <w:rsid w:val="004F755C"/>
    <w:rsid w:val="005002D2"/>
    <w:rsid w:val="00500ADA"/>
    <w:rsid w:val="00500D8F"/>
    <w:rsid w:val="00501C57"/>
    <w:rsid w:val="00503D67"/>
    <w:rsid w:val="005042BB"/>
    <w:rsid w:val="00504F85"/>
    <w:rsid w:val="005055F9"/>
    <w:rsid w:val="00506A07"/>
    <w:rsid w:val="00506F29"/>
    <w:rsid w:val="00507C28"/>
    <w:rsid w:val="00507E42"/>
    <w:rsid w:val="0051010F"/>
    <w:rsid w:val="00510357"/>
    <w:rsid w:val="0051245E"/>
    <w:rsid w:val="0051284C"/>
    <w:rsid w:val="005128A3"/>
    <w:rsid w:val="0051343D"/>
    <w:rsid w:val="0051450F"/>
    <w:rsid w:val="005154FB"/>
    <w:rsid w:val="005162FE"/>
    <w:rsid w:val="00517108"/>
    <w:rsid w:val="00520B33"/>
    <w:rsid w:val="00520BDC"/>
    <w:rsid w:val="005213E9"/>
    <w:rsid w:val="00521969"/>
    <w:rsid w:val="005228BE"/>
    <w:rsid w:val="0052670C"/>
    <w:rsid w:val="0052729D"/>
    <w:rsid w:val="00527B1F"/>
    <w:rsid w:val="005306B7"/>
    <w:rsid w:val="00530833"/>
    <w:rsid w:val="00533E4A"/>
    <w:rsid w:val="005341EC"/>
    <w:rsid w:val="00534296"/>
    <w:rsid w:val="00534D6C"/>
    <w:rsid w:val="00536B68"/>
    <w:rsid w:val="00537306"/>
    <w:rsid w:val="00540F1C"/>
    <w:rsid w:val="0054132D"/>
    <w:rsid w:val="00542B0E"/>
    <w:rsid w:val="005439CB"/>
    <w:rsid w:val="005470C4"/>
    <w:rsid w:val="005477F3"/>
    <w:rsid w:val="00550CD5"/>
    <w:rsid w:val="00550E42"/>
    <w:rsid w:val="0055147A"/>
    <w:rsid w:val="00552246"/>
    <w:rsid w:val="00552D1D"/>
    <w:rsid w:val="005531BA"/>
    <w:rsid w:val="00554481"/>
    <w:rsid w:val="00556B86"/>
    <w:rsid w:val="00557036"/>
    <w:rsid w:val="0056010C"/>
    <w:rsid w:val="00560E19"/>
    <w:rsid w:val="0056128D"/>
    <w:rsid w:val="00562642"/>
    <w:rsid w:val="00563D5A"/>
    <w:rsid w:val="00564E1F"/>
    <w:rsid w:val="00565E58"/>
    <w:rsid w:val="0056633D"/>
    <w:rsid w:val="00572088"/>
    <w:rsid w:val="005729B1"/>
    <w:rsid w:val="00572B01"/>
    <w:rsid w:val="00573842"/>
    <w:rsid w:val="00574003"/>
    <w:rsid w:val="00574623"/>
    <w:rsid w:val="00575BCD"/>
    <w:rsid w:val="00575E86"/>
    <w:rsid w:val="005766E0"/>
    <w:rsid w:val="005767F7"/>
    <w:rsid w:val="005776FC"/>
    <w:rsid w:val="0058043C"/>
    <w:rsid w:val="0058073A"/>
    <w:rsid w:val="00583B6C"/>
    <w:rsid w:val="005840E9"/>
    <w:rsid w:val="00584225"/>
    <w:rsid w:val="00584B0A"/>
    <w:rsid w:val="005856F1"/>
    <w:rsid w:val="0058576E"/>
    <w:rsid w:val="005863CA"/>
    <w:rsid w:val="005868EA"/>
    <w:rsid w:val="005876CF"/>
    <w:rsid w:val="00587CBC"/>
    <w:rsid w:val="00590397"/>
    <w:rsid w:val="0059094C"/>
    <w:rsid w:val="005914B7"/>
    <w:rsid w:val="00592218"/>
    <w:rsid w:val="00593C92"/>
    <w:rsid w:val="005949B6"/>
    <w:rsid w:val="00596568"/>
    <w:rsid w:val="0059750C"/>
    <w:rsid w:val="005A035B"/>
    <w:rsid w:val="005A04FA"/>
    <w:rsid w:val="005A0A00"/>
    <w:rsid w:val="005A14E7"/>
    <w:rsid w:val="005A2B10"/>
    <w:rsid w:val="005A353F"/>
    <w:rsid w:val="005A3FA4"/>
    <w:rsid w:val="005A43B4"/>
    <w:rsid w:val="005A4E41"/>
    <w:rsid w:val="005A519D"/>
    <w:rsid w:val="005B0540"/>
    <w:rsid w:val="005B07A6"/>
    <w:rsid w:val="005B0A5D"/>
    <w:rsid w:val="005B0B05"/>
    <w:rsid w:val="005B1229"/>
    <w:rsid w:val="005B20A3"/>
    <w:rsid w:val="005B26C4"/>
    <w:rsid w:val="005B2FF5"/>
    <w:rsid w:val="005B338E"/>
    <w:rsid w:val="005B3BE6"/>
    <w:rsid w:val="005B52BD"/>
    <w:rsid w:val="005B6736"/>
    <w:rsid w:val="005B6BF6"/>
    <w:rsid w:val="005B6F8B"/>
    <w:rsid w:val="005B7DA4"/>
    <w:rsid w:val="005C0006"/>
    <w:rsid w:val="005C1E1A"/>
    <w:rsid w:val="005C2E26"/>
    <w:rsid w:val="005C2F65"/>
    <w:rsid w:val="005C4481"/>
    <w:rsid w:val="005C4F5A"/>
    <w:rsid w:val="005C607B"/>
    <w:rsid w:val="005D02F2"/>
    <w:rsid w:val="005D08B4"/>
    <w:rsid w:val="005D15BC"/>
    <w:rsid w:val="005D38E9"/>
    <w:rsid w:val="005D3D17"/>
    <w:rsid w:val="005D6C92"/>
    <w:rsid w:val="005D7366"/>
    <w:rsid w:val="005D7BBF"/>
    <w:rsid w:val="005E151B"/>
    <w:rsid w:val="005E1D2D"/>
    <w:rsid w:val="005E29F0"/>
    <w:rsid w:val="005E32D9"/>
    <w:rsid w:val="005E4E68"/>
    <w:rsid w:val="005E4F35"/>
    <w:rsid w:val="005E4F39"/>
    <w:rsid w:val="005E51C0"/>
    <w:rsid w:val="005E5853"/>
    <w:rsid w:val="005E7DCD"/>
    <w:rsid w:val="005F0C85"/>
    <w:rsid w:val="005F111E"/>
    <w:rsid w:val="005F25C7"/>
    <w:rsid w:val="005F3497"/>
    <w:rsid w:val="005F3AF3"/>
    <w:rsid w:val="005F4066"/>
    <w:rsid w:val="005F410D"/>
    <w:rsid w:val="005F456C"/>
    <w:rsid w:val="005F4839"/>
    <w:rsid w:val="005F4BCC"/>
    <w:rsid w:val="005F5F5D"/>
    <w:rsid w:val="005F69D2"/>
    <w:rsid w:val="005F7C90"/>
    <w:rsid w:val="00600E72"/>
    <w:rsid w:val="00601151"/>
    <w:rsid w:val="0060215E"/>
    <w:rsid w:val="006025D1"/>
    <w:rsid w:val="00603AFC"/>
    <w:rsid w:val="00603C16"/>
    <w:rsid w:val="00603ED9"/>
    <w:rsid w:val="00604550"/>
    <w:rsid w:val="00604C37"/>
    <w:rsid w:val="006058AA"/>
    <w:rsid w:val="0060706C"/>
    <w:rsid w:val="006132DB"/>
    <w:rsid w:val="006142F6"/>
    <w:rsid w:val="006158BD"/>
    <w:rsid w:val="00617253"/>
    <w:rsid w:val="00617391"/>
    <w:rsid w:val="006201E3"/>
    <w:rsid w:val="0062024C"/>
    <w:rsid w:val="006203DD"/>
    <w:rsid w:val="0062098C"/>
    <w:rsid w:val="00621AB6"/>
    <w:rsid w:val="00621C7D"/>
    <w:rsid w:val="0062296C"/>
    <w:rsid w:val="00623AB6"/>
    <w:rsid w:val="006245AE"/>
    <w:rsid w:val="006247C3"/>
    <w:rsid w:val="0062524D"/>
    <w:rsid w:val="00626488"/>
    <w:rsid w:val="00626E50"/>
    <w:rsid w:val="00627114"/>
    <w:rsid w:val="00627CB0"/>
    <w:rsid w:val="00631943"/>
    <w:rsid w:val="006331CD"/>
    <w:rsid w:val="00633B12"/>
    <w:rsid w:val="00634772"/>
    <w:rsid w:val="00634E25"/>
    <w:rsid w:val="006353C1"/>
    <w:rsid w:val="0063650D"/>
    <w:rsid w:val="00636DE5"/>
    <w:rsid w:val="00640F02"/>
    <w:rsid w:val="00641A7C"/>
    <w:rsid w:val="0064489C"/>
    <w:rsid w:val="00645846"/>
    <w:rsid w:val="0064595F"/>
    <w:rsid w:val="00645C9C"/>
    <w:rsid w:val="00646BA7"/>
    <w:rsid w:val="00647255"/>
    <w:rsid w:val="006472C2"/>
    <w:rsid w:val="00650E85"/>
    <w:rsid w:val="00651B84"/>
    <w:rsid w:val="00652784"/>
    <w:rsid w:val="00652F84"/>
    <w:rsid w:val="00653555"/>
    <w:rsid w:val="00655C5C"/>
    <w:rsid w:val="0065654D"/>
    <w:rsid w:val="0065721F"/>
    <w:rsid w:val="0066601F"/>
    <w:rsid w:val="0066606C"/>
    <w:rsid w:val="00667351"/>
    <w:rsid w:val="00667435"/>
    <w:rsid w:val="00667535"/>
    <w:rsid w:val="00667E4B"/>
    <w:rsid w:val="0067021E"/>
    <w:rsid w:val="00671B39"/>
    <w:rsid w:val="0067204E"/>
    <w:rsid w:val="00673708"/>
    <w:rsid w:val="0067491C"/>
    <w:rsid w:val="00676D06"/>
    <w:rsid w:val="006773DE"/>
    <w:rsid w:val="00677D69"/>
    <w:rsid w:val="006804B5"/>
    <w:rsid w:val="00680A0A"/>
    <w:rsid w:val="006810CE"/>
    <w:rsid w:val="00681555"/>
    <w:rsid w:val="00681A62"/>
    <w:rsid w:val="006825AC"/>
    <w:rsid w:val="0068310D"/>
    <w:rsid w:val="006845C7"/>
    <w:rsid w:val="00685D54"/>
    <w:rsid w:val="006867AB"/>
    <w:rsid w:val="006875EE"/>
    <w:rsid w:val="006879BB"/>
    <w:rsid w:val="00690663"/>
    <w:rsid w:val="006929B7"/>
    <w:rsid w:val="006941B2"/>
    <w:rsid w:val="00696C09"/>
    <w:rsid w:val="00697780"/>
    <w:rsid w:val="00697D21"/>
    <w:rsid w:val="00697FF3"/>
    <w:rsid w:val="006A05EC"/>
    <w:rsid w:val="006A1ECE"/>
    <w:rsid w:val="006A2744"/>
    <w:rsid w:val="006A2BF9"/>
    <w:rsid w:val="006A378D"/>
    <w:rsid w:val="006A454F"/>
    <w:rsid w:val="006A4CF7"/>
    <w:rsid w:val="006A5021"/>
    <w:rsid w:val="006A51EF"/>
    <w:rsid w:val="006A65CC"/>
    <w:rsid w:val="006A68DD"/>
    <w:rsid w:val="006A6EDC"/>
    <w:rsid w:val="006B052F"/>
    <w:rsid w:val="006B0D44"/>
    <w:rsid w:val="006B2DF4"/>
    <w:rsid w:val="006B2EE7"/>
    <w:rsid w:val="006B3968"/>
    <w:rsid w:val="006B3B9F"/>
    <w:rsid w:val="006B3DC5"/>
    <w:rsid w:val="006B40D9"/>
    <w:rsid w:val="006B411D"/>
    <w:rsid w:val="006B5FC1"/>
    <w:rsid w:val="006B65D9"/>
    <w:rsid w:val="006C1814"/>
    <w:rsid w:val="006C2035"/>
    <w:rsid w:val="006C33B7"/>
    <w:rsid w:val="006C34F1"/>
    <w:rsid w:val="006C45D1"/>
    <w:rsid w:val="006C51CC"/>
    <w:rsid w:val="006C6734"/>
    <w:rsid w:val="006C684A"/>
    <w:rsid w:val="006C7B8E"/>
    <w:rsid w:val="006D078F"/>
    <w:rsid w:val="006D0DA0"/>
    <w:rsid w:val="006D15D8"/>
    <w:rsid w:val="006D2975"/>
    <w:rsid w:val="006D35B1"/>
    <w:rsid w:val="006D3F75"/>
    <w:rsid w:val="006D472E"/>
    <w:rsid w:val="006D56CC"/>
    <w:rsid w:val="006D6A90"/>
    <w:rsid w:val="006D78AF"/>
    <w:rsid w:val="006E19A1"/>
    <w:rsid w:val="006E1FBE"/>
    <w:rsid w:val="006E2DE0"/>
    <w:rsid w:val="006E3F5E"/>
    <w:rsid w:val="006E6F6E"/>
    <w:rsid w:val="006E713F"/>
    <w:rsid w:val="006E76D2"/>
    <w:rsid w:val="006E76E0"/>
    <w:rsid w:val="006E789E"/>
    <w:rsid w:val="006E7965"/>
    <w:rsid w:val="006F01C5"/>
    <w:rsid w:val="006F07E3"/>
    <w:rsid w:val="006F24F6"/>
    <w:rsid w:val="006F2B07"/>
    <w:rsid w:val="006F2CA9"/>
    <w:rsid w:val="006F2D71"/>
    <w:rsid w:val="006F4D53"/>
    <w:rsid w:val="006F5820"/>
    <w:rsid w:val="006F7865"/>
    <w:rsid w:val="006F7C90"/>
    <w:rsid w:val="006F7F5A"/>
    <w:rsid w:val="00700CD8"/>
    <w:rsid w:val="00701F76"/>
    <w:rsid w:val="00702703"/>
    <w:rsid w:val="00703579"/>
    <w:rsid w:val="00703758"/>
    <w:rsid w:val="00703B8E"/>
    <w:rsid w:val="0070425E"/>
    <w:rsid w:val="00704626"/>
    <w:rsid w:val="007051F6"/>
    <w:rsid w:val="0070545B"/>
    <w:rsid w:val="00706AAA"/>
    <w:rsid w:val="00707650"/>
    <w:rsid w:val="007076D9"/>
    <w:rsid w:val="00707A9F"/>
    <w:rsid w:val="00707DD1"/>
    <w:rsid w:val="0071282B"/>
    <w:rsid w:val="00712CF0"/>
    <w:rsid w:val="00714E56"/>
    <w:rsid w:val="00715C60"/>
    <w:rsid w:val="007161EE"/>
    <w:rsid w:val="00716C86"/>
    <w:rsid w:val="0071700F"/>
    <w:rsid w:val="00717888"/>
    <w:rsid w:val="00720024"/>
    <w:rsid w:val="0072069F"/>
    <w:rsid w:val="007217D8"/>
    <w:rsid w:val="00721F1D"/>
    <w:rsid w:val="00722079"/>
    <w:rsid w:val="007223D7"/>
    <w:rsid w:val="00722642"/>
    <w:rsid w:val="00724324"/>
    <w:rsid w:val="007246B0"/>
    <w:rsid w:val="0072628D"/>
    <w:rsid w:val="007267FA"/>
    <w:rsid w:val="00727409"/>
    <w:rsid w:val="0072791B"/>
    <w:rsid w:val="00730DCE"/>
    <w:rsid w:val="00732199"/>
    <w:rsid w:val="007332C7"/>
    <w:rsid w:val="00735641"/>
    <w:rsid w:val="00735B36"/>
    <w:rsid w:val="00736400"/>
    <w:rsid w:val="00736E5D"/>
    <w:rsid w:val="00737FEA"/>
    <w:rsid w:val="0074196B"/>
    <w:rsid w:val="00741FE8"/>
    <w:rsid w:val="007450C2"/>
    <w:rsid w:val="00745761"/>
    <w:rsid w:val="00746D3E"/>
    <w:rsid w:val="00750CAA"/>
    <w:rsid w:val="0075227D"/>
    <w:rsid w:val="00753690"/>
    <w:rsid w:val="00753B26"/>
    <w:rsid w:val="00753D7F"/>
    <w:rsid w:val="0075590D"/>
    <w:rsid w:val="00755BD2"/>
    <w:rsid w:val="0075628D"/>
    <w:rsid w:val="00757A53"/>
    <w:rsid w:val="00760B2D"/>
    <w:rsid w:val="00763811"/>
    <w:rsid w:val="00764209"/>
    <w:rsid w:val="00764809"/>
    <w:rsid w:val="00764E97"/>
    <w:rsid w:val="00765016"/>
    <w:rsid w:val="00766682"/>
    <w:rsid w:val="007666CF"/>
    <w:rsid w:val="00766EF6"/>
    <w:rsid w:val="00767C44"/>
    <w:rsid w:val="00767D81"/>
    <w:rsid w:val="0077029F"/>
    <w:rsid w:val="0077106E"/>
    <w:rsid w:val="007721B1"/>
    <w:rsid w:val="0077336A"/>
    <w:rsid w:val="0077477F"/>
    <w:rsid w:val="007757D0"/>
    <w:rsid w:val="00775D25"/>
    <w:rsid w:val="0077739D"/>
    <w:rsid w:val="00777FB4"/>
    <w:rsid w:val="00780134"/>
    <w:rsid w:val="00780C3C"/>
    <w:rsid w:val="0078172A"/>
    <w:rsid w:val="00785497"/>
    <w:rsid w:val="007863CA"/>
    <w:rsid w:val="0078670C"/>
    <w:rsid w:val="00792573"/>
    <w:rsid w:val="00794118"/>
    <w:rsid w:val="00794322"/>
    <w:rsid w:val="007945B2"/>
    <w:rsid w:val="007949DF"/>
    <w:rsid w:val="00794EAB"/>
    <w:rsid w:val="00795690"/>
    <w:rsid w:val="007958FB"/>
    <w:rsid w:val="007962B0"/>
    <w:rsid w:val="00796E7C"/>
    <w:rsid w:val="00797014"/>
    <w:rsid w:val="00797A97"/>
    <w:rsid w:val="00797ED0"/>
    <w:rsid w:val="007A055D"/>
    <w:rsid w:val="007A0B3F"/>
    <w:rsid w:val="007A0DA1"/>
    <w:rsid w:val="007A101D"/>
    <w:rsid w:val="007A296A"/>
    <w:rsid w:val="007A35E6"/>
    <w:rsid w:val="007A41ED"/>
    <w:rsid w:val="007A420E"/>
    <w:rsid w:val="007B0173"/>
    <w:rsid w:val="007B1A4F"/>
    <w:rsid w:val="007B3FD2"/>
    <w:rsid w:val="007B4C50"/>
    <w:rsid w:val="007B4F7C"/>
    <w:rsid w:val="007B583D"/>
    <w:rsid w:val="007B7C09"/>
    <w:rsid w:val="007C03FF"/>
    <w:rsid w:val="007C13F2"/>
    <w:rsid w:val="007C186D"/>
    <w:rsid w:val="007C2238"/>
    <w:rsid w:val="007C2F6D"/>
    <w:rsid w:val="007C3342"/>
    <w:rsid w:val="007C3C13"/>
    <w:rsid w:val="007C51A1"/>
    <w:rsid w:val="007C6176"/>
    <w:rsid w:val="007C685F"/>
    <w:rsid w:val="007C7BB5"/>
    <w:rsid w:val="007D182B"/>
    <w:rsid w:val="007D1FAF"/>
    <w:rsid w:val="007D28CB"/>
    <w:rsid w:val="007D2E63"/>
    <w:rsid w:val="007D2EA3"/>
    <w:rsid w:val="007D3117"/>
    <w:rsid w:val="007D39E6"/>
    <w:rsid w:val="007D3A8C"/>
    <w:rsid w:val="007D5AA7"/>
    <w:rsid w:val="007D60D4"/>
    <w:rsid w:val="007D6367"/>
    <w:rsid w:val="007D6951"/>
    <w:rsid w:val="007D73F4"/>
    <w:rsid w:val="007E0359"/>
    <w:rsid w:val="007E0898"/>
    <w:rsid w:val="007E123E"/>
    <w:rsid w:val="007E19C2"/>
    <w:rsid w:val="007E1D8D"/>
    <w:rsid w:val="007E1D8F"/>
    <w:rsid w:val="007E1DAD"/>
    <w:rsid w:val="007E2DD9"/>
    <w:rsid w:val="007E4BC0"/>
    <w:rsid w:val="007E5482"/>
    <w:rsid w:val="007E6CA1"/>
    <w:rsid w:val="007E7936"/>
    <w:rsid w:val="007F0C38"/>
    <w:rsid w:val="007F2B03"/>
    <w:rsid w:val="007F2DF3"/>
    <w:rsid w:val="007F3904"/>
    <w:rsid w:val="007F53C0"/>
    <w:rsid w:val="007F653C"/>
    <w:rsid w:val="007F65AD"/>
    <w:rsid w:val="007F6DCE"/>
    <w:rsid w:val="007F719B"/>
    <w:rsid w:val="007F7AEB"/>
    <w:rsid w:val="0080054D"/>
    <w:rsid w:val="008020BB"/>
    <w:rsid w:val="00807025"/>
    <w:rsid w:val="0080790C"/>
    <w:rsid w:val="008119D1"/>
    <w:rsid w:val="008134EF"/>
    <w:rsid w:val="00813ABC"/>
    <w:rsid w:val="0081566D"/>
    <w:rsid w:val="0081570A"/>
    <w:rsid w:val="00815DCE"/>
    <w:rsid w:val="00816780"/>
    <w:rsid w:val="00816F7F"/>
    <w:rsid w:val="00817F18"/>
    <w:rsid w:val="0082097A"/>
    <w:rsid w:val="00820FF1"/>
    <w:rsid w:val="00821AB0"/>
    <w:rsid w:val="00822048"/>
    <w:rsid w:val="0082282A"/>
    <w:rsid w:val="00822E4E"/>
    <w:rsid w:val="00823D7E"/>
    <w:rsid w:val="008256DC"/>
    <w:rsid w:val="008260BB"/>
    <w:rsid w:val="00826A9E"/>
    <w:rsid w:val="00826FC1"/>
    <w:rsid w:val="00827DC4"/>
    <w:rsid w:val="00830B96"/>
    <w:rsid w:val="00832166"/>
    <w:rsid w:val="0083240F"/>
    <w:rsid w:val="00833880"/>
    <w:rsid w:val="008338B3"/>
    <w:rsid w:val="00833ADC"/>
    <w:rsid w:val="0083436C"/>
    <w:rsid w:val="008358A7"/>
    <w:rsid w:val="008365B6"/>
    <w:rsid w:val="0084019D"/>
    <w:rsid w:val="00840307"/>
    <w:rsid w:val="008439E6"/>
    <w:rsid w:val="00843A5D"/>
    <w:rsid w:val="00843D41"/>
    <w:rsid w:val="00844039"/>
    <w:rsid w:val="00844D47"/>
    <w:rsid w:val="00844EBC"/>
    <w:rsid w:val="008464A8"/>
    <w:rsid w:val="00846628"/>
    <w:rsid w:val="00852317"/>
    <w:rsid w:val="008526A8"/>
    <w:rsid w:val="00853BFD"/>
    <w:rsid w:val="00855687"/>
    <w:rsid w:val="00857295"/>
    <w:rsid w:val="008578FB"/>
    <w:rsid w:val="008601B1"/>
    <w:rsid w:val="008617A3"/>
    <w:rsid w:val="00861E52"/>
    <w:rsid w:val="0086300F"/>
    <w:rsid w:val="0086408A"/>
    <w:rsid w:val="00864720"/>
    <w:rsid w:val="00864DED"/>
    <w:rsid w:val="008655C3"/>
    <w:rsid w:val="00865DC8"/>
    <w:rsid w:val="008665F0"/>
    <w:rsid w:val="00870028"/>
    <w:rsid w:val="008722E4"/>
    <w:rsid w:val="0087271F"/>
    <w:rsid w:val="00872B8E"/>
    <w:rsid w:val="008732AC"/>
    <w:rsid w:val="0087343C"/>
    <w:rsid w:val="00873D8E"/>
    <w:rsid w:val="00873F2C"/>
    <w:rsid w:val="00874339"/>
    <w:rsid w:val="00874D21"/>
    <w:rsid w:val="00874F8B"/>
    <w:rsid w:val="0087507B"/>
    <w:rsid w:val="00876574"/>
    <w:rsid w:val="00877DC9"/>
    <w:rsid w:val="00877E22"/>
    <w:rsid w:val="00880080"/>
    <w:rsid w:val="008803BD"/>
    <w:rsid w:val="00880566"/>
    <w:rsid w:val="00881247"/>
    <w:rsid w:val="008819C1"/>
    <w:rsid w:val="00881B3F"/>
    <w:rsid w:val="008823E6"/>
    <w:rsid w:val="00884352"/>
    <w:rsid w:val="008866C0"/>
    <w:rsid w:val="00886847"/>
    <w:rsid w:val="00886ADB"/>
    <w:rsid w:val="00887F97"/>
    <w:rsid w:val="00890A02"/>
    <w:rsid w:val="00891D7C"/>
    <w:rsid w:val="008923DC"/>
    <w:rsid w:val="00895B08"/>
    <w:rsid w:val="00895FBC"/>
    <w:rsid w:val="008A39A3"/>
    <w:rsid w:val="008A3B06"/>
    <w:rsid w:val="008A43EB"/>
    <w:rsid w:val="008A5D9D"/>
    <w:rsid w:val="008A7955"/>
    <w:rsid w:val="008B03A1"/>
    <w:rsid w:val="008B215D"/>
    <w:rsid w:val="008B2B0C"/>
    <w:rsid w:val="008B2FA6"/>
    <w:rsid w:val="008B409D"/>
    <w:rsid w:val="008B4D72"/>
    <w:rsid w:val="008B61FF"/>
    <w:rsid w:val="008B6EF7"/>
    <w:rsid w:val="008C0231"/>
    <w:rsid w:val="008C09EE"/>
    <w:rsid w:val="008C0EA6"/>
    <w:rsid w:val="008C122C"/>
    <w:rsid w:val="008C257D"/>
    <w:rsid w:val="008C2FAD"/>
    <w:rsid w:val="008C567D"/>
    <w:rsid w:val="008C6152"/>
    <w:rsid w:val="008C76DC"/>
    <w:rsid w:val="008D263C"/>
    <w:rsid w:val="008D2D90"/>
    <w:rsid w:val="008D4CEB"/>
    <w:rsid w:val="008D5850"/>
    <w:rsid w:val="008D66B7"/>
    <w:rsid w:val="008D76C2"/>
    <w:rsid w:val="008D7C41"/>
    <w:rsid w:val="008E0E1D"/>
    <w:rsid w:val="008E12DA"/>
    <w:rsid w:val="008E21D7"/>
    <w:rsid w:val="008E2883"/>
    <w:rsid w:val="008E3B5A"/>
    <w:rsid w:val="008E4E85"/>
    <w:rsid w:val="008E55C8"/>
    <w:rsid w:val="008E5932"/>
    <w:rsid w:val="008E6ABF"/>
    <w:rsid w:val="008E7589"/>
    <w:rsid w:val="008E775D"/>
    <w:rsid w:val="008F2260"/>
    <w:rsid w:val="008F34D3"/>
    <w:rsid w:val="008F3F4F"/>
    <w:rsid w:val="008F4021"/>
    <w:rsid w:val="008F60F6"/>
    <w:rsid w:val="008F691B"/>
    <w:rsid w:val="008F6D0A"/>
    <w:rsid w:val="009021A1"/>
    <w:rsid w:val="009028CB"/>
    <w:rsid w:val="00902A7D"/>
    <w:rsid w:val="0090363D"/>
    <w:rsid w:val="009038B7"/>
    <w:rsid w:val="00903CC7"/>
    <w:rsid w:val="00904467"/>
    <w:rsid w:val="009053E8"/>
    <w:rsid w:val="009071EE"/>
    <w:rsid w:val="00907D39"/>
    <w:rsid w:val="009102E7"/>
    <w:rsid w:val="0091179C"/>
    <w:rsid w:val="00911F78"/>
    <w:rsid w:val="009121E9"/>
    <w:rsid w:val="00913519"/>
    <w:rsid w:val="0091384C"/>
    <w:rsid w:val="00914406"/>
    <w:rsid w:val="00915172"/>
    <w:rsid w:val="00915BE9"/>
    <w:rsid w:val="00917DFE"/>
    <w:rsid w:val="009207BE"/>
    <w:rsid w:val="00921CF0"/>
    <w:rsid w:val="009238DD"/>
    <w:rsid w:val="00923A86"/>
    <w:rsid w:val="009242C8"/>
    <w:rsid w:val="00925945"/>
    <w:rsid w:val="00927012"/>
    <w:rsid w:val="0092721C"/>
    <w:rsid w:val="0093179E"/>
    <w:rsid w:val="0093300E"/>
    <w:rsid w:val="009333FF"/>
    <w:rsid w:val="009336B2"/>
    <w:rsid w:val="00933737"/>
    <w:rsid w:val="0093393E"/>
    <w:rsid w:val="00933F5A"/>
    <w:rsid w:val="00937BD3"/>
    <w:rsid w:val="009414D7"/>
    <w:rsid w:val="00941BD8"/>
    <w:rsid w:val="00942723"/>
    <w:rsid w:val="009434C1"/>
    <w:rsid w:val="009444B3"/>
    <w:rsid w:val="00946F18"/>
    <w:rsid w:val="00947839"/>
    <w:rsid w:val="00947AC4"/>
    <w:rsid w:val="009506D8"/>
    <w:rsid w:val="009510B1"/>
    <w:rsid w:val="009510B7"/>
    <w:rsid w:val="009513A5"/>
    <w:rsid w:val="00952D17"/>
    <w:rsid w:val="0095312A"/>
    <w:rsid w:val="00953432"/>
    <w:rsid w:val="00954D04"/>
    <w:rsid w:val="0095529E"/>
    <w:rsid w:val="00956670"/>
    <w:rsid w:val="00957784"/>
    <w:rsid w:val="00957843"/>
    <w:rsid w:val="00957EF5"/>
    <w:rsid w:val="00961BEB"/>
    <w:rsid w:val="009627C7"/>
    <w:rsid w:val="0096341C"/>
    <w:rsid w:val="0096388D"/>
    <w:rsid w:val="009639E0"/>
    <w:rsid w:val="00963BCF"/>
    <w:rsid w:val="009652C7"/>
    <w:rsid w:val="009654A8"/>
    <w:rsid w:val="0096605A"/>
    <w:rsid w:val="0096619A"/>
    <w:rsid w:val="009662B9"/>
    <w:rsid w:val="009667CA"/>
    <w:rsid w:val="00967019"/>
    <w:rsid w:val="0096772D"/>
    <w:rsid w:val="00967B86"/>
    <w:rsid w:val="00970EE0"/>
    <w:rsid w:val="0097187E"/>
    <w:rsid w:val="0097223D"/>
    <w:rsid w:val="0097440D"/>
    <w:rsid w:val="009744CC"/>
    <w:rsid w:val="00974945"/>
    <w:rsid w:val="0097500A"/>
    <w:rsid w:val="0097565A"/>
    <w:rsid w:val="00976B44"/>
    <w:rsid w:val="009772C7"/>
    <w:rsid w:val="00981599"/>
    <w:rsid w:val="00981712"/>
    <w:rsid w:val="009832E0"/>
    <w:rsid w:val="0098431A"/>
    <w:rsid w:val="00987545"/>
    <w:rsid w:val="0099053C"/>
    <w:rsid w:val="009905F4"/>
    <w:rsid w:val="00991FA4"/>
    <w:rsid w:val="00992840"/>
    <w:rsid w:val="009936F0"/>
    <w:rsid w:val="00994051"/>
    <w:rsid w:val="00994DDE"/>
    <w:rsid w:val="00995A1D"/>
    <w:rsid w:val="0099647D"/>
    <w:rsid w:val="0099657D"/>
    <w:rsid w:val="00996A55"/>
    <w:rsid w:val="00996BB9"/>
    <w:rsid w:val="00996BC4"/>
    <w:rsid w:val="009A46A6"/>
    <w:rsid w:val="009A5670"/>
    <w:rsid w:val="009A5E19"/>
    <w:rsid w:val="009A75A9"/>
    <w:rsid w:val="009B00A2"/>
    <w:rsid w:val="009B0375"/>
    <w:rsid w:val="009B121E"/>
    <w:rsid w:val="009B1F89"/>
    <w:rsid w:val="009B208A"/>
    <w:rsid w:val="009B28D7"/>
    <w:rsid w:val="009B6213"/>
    <w:rsid w:val="009B6782"/>
    <w:rsid w:val="009C0304"/>
    <w:rsid w:val="009C173C"/>
    <w:rsid w:val="009C17D4"/>
    <w:rsid w:val="009C3769"/>
    <w:rsid w:val="009C3FBF"/>
    <w:rsid w:val="009C5C47"/>
    <w:rsid w:val="009C5D02"/>
    <w:rsid w:val="009C7498"/>
    <w:rsid w:val="009C76E6"/>
    <w:rsid w:val="009D1A3B"/>
    <w:rsid w:val="009D1F75"/>
    <w:rsid w:val="009D1FBC"/>
    <w:rsid w:val="009D4738"/>
    <w:rsid w:val="009D4FA6"/>
    <w:rsid w:val="009D5943"/>
    <w:rsid w:val="009D74A2"/>
    <w:rsid w:val="009D7DD3"/>
    <w:rsid w:val="009E0120"/>
    <w:rsid w:val="009E289B"/>
    <w:rsid w:val="009E2B0B"/>
    <w:rsid w:val="009E3A51"/>
    <w:rsid w:val="009E4156"/>
    <w:rsid w:val="009E46A9"/>
    <w:rsid w:val="009E5BFC"/>
    <w:rsid w:val="009E64F1"/>
    <w:rsid w:val="009E6F0F"/>
    <w:rsid w:val="009F0A77"/>
    <w:rsid w:val="009F2334"/>
    <w:rsid w:val="009F24F9"/>
    <w:rsid w:val="009F257B"/>
    <w:rsid w:val="009F3A41"/>
    <w:rsid w:val="009F3DD1"/>
    <w:rsid w:val="009F4248"/>
    <w:rsid w:val="009F57B5"/>
    <w:rsid w:val="009F7ABA"/>
    <w:rsid w:val="00A0160E"/>
    <w:rsid w:val="00A036A4"/>
    <w:rsid w:val="00A05846"/>
    <w:rsid w:val="00A06413"/>
    <w:rsid w:val="00A070B2"/>
    <w:rsid w:val="00A07200"/>
    <w:rsid w:val="00A11BB0"/>
    <w:rsid w:val="00A11C6F"/>
    <w:rsid w:val="00A123A5"/>
    <w:rsid w:val="00A14057"/>
    <w:rsid w:val="00A14161"/>
    <w:rsid w:val="00A15DFF"/>
    <w:rsid w:val="00A163C5"/>
    <w:rsid w:val="00A16AD1"/>
    <w:rsid w:val="00A16D7A"/>
    <w:rsid w:val="00A176E4"/>
    <w:rsid w:val="00A20713"/>
    <w:rsid w:val="00A21E61"/>
    <w:rsid w:val="00A22010"/>
    <w:rsid w:val="00A2411F"/>
    <w:rsid w:val="00A242FC"/>
    <w:rsid w:val="00A260E3"/>
    <w:rsid w:val="00A27814"/>
    <w:rsid w:val="00A3058A"/>
    <w:rsid w:val="00A30915"/>
    <w:rsid w:val="00A331EE"/>
    <w:rsid w:val="00A335A1"/>
    <w:rsid w:val="00A34E40"/>
    <w:rsid w:val="00A362C0"/>
    <w:rsid w:val="00A366EC"/>
    <w:rsid w:val="00A36CF0"/>
    <w:rsid w:val="00A37240"/>
    <w:rsid w:val="00A376FD"/>
    <w:rsid w:val="00A3786D"/>
    <w:rsid w:val="00A40A33"/>
    <w:rsid w:val="00A40B0F"/>
    <w:rsid w:val="00A40F63"/>
    <w:rsid w:val="00A438C8"/>
    <w:rsid w:val="00A43E6F"/>
    <w:rsid w:val="00A44A7F"/>
    <w:rsid w:val="00A44B3E"/>
    <w:rsid w:val="00A464C7"/>
    <w:rsid w:val="00A46AD0"/>
    <w:rsid w:val="00A47D59"/>
    <w:rsid w:val="00A51501"/>
    <w:rsid w:val="00A51BAF"/>
    <w:rsid w:val="00A51CB1"/>
    <w:rsid w:val="00A52550"/>
    <w:rsid w:val="00A528FF"/>
    <w:rsid w:val="00A52B20"/>
    <w:rsid w:val="00A54138"/>
    <w:rsid w:val="00A56335"/>
    <w:rsid w:val="00A571BC"/>
    <w:rsid w:val="00A60C08"/>
    <w:rsid w:val="00A60CD5"/>
    <w:rsid w:val="00A60E78"/>
    <w:rsid w:val="00A613E1"/>
    <w:rsid w:val="00A6221D"/>
    <w:rsid w:val="00A6235C"/>
    <w:rsid w:val="00A62439"/>
    <w:rsid w:val="00A63076"/>
    <w:rsid w:val="00A64327"/>
    <w:rsid w:val="00A6444C"/>
    <w:rsid w:val="00A64F64"/>
    <w:rsid w:val="00A651B5"/>
    <w:rsid w:val="00A655E7"/>
    <w:rsid w:val="00A674FA"/>
    <w:rsid w:val="00A70CAC"/>
    <w:rsid w:val="00A71437"/>
    <w:rsid w:val="00A71BB1"/>
    <w:rsid w:val="00A72238"/>
    <w:rsid w:val="00A7342B"/>
    <w:rsid w:val="00A7484F"/>
    <w:rsid w:val="00A7547C"/>
    <w:rsid w:val="00A75AB2"/>
    <w:rsid w:val="00A7603F"/>
    <w:rsid w:val="00A7611F"/>
    <w:rsid w:val="00A76FDA"/>
    <w:rsid w:val="00A77FF6"/>
    <w:rsid w:val="00A80962"/>
    <w:rsid w:val="00A809E3"/>
    <w:rsid w:val="00A80A5C"/>
    <w:rsid w:val="00A81432"/>
    <w:rsid w:val="00A82C47"/>
    <w:rsid w:val="00A83313"/>
    <w:rsid w:val="00A84A52"/>
    <w:rsid w:val="00A84EF0"/>
    <w:rsid w:val="00A86F24"/>
    <w:rsid w:val="00A87391"/>
    <w:rsid w:val="00A87DB4"/>
    <w:rsid w:val="00A90391"/>
    <w:rsid w:val="00A90682"/>
    <w:rsid w:val="00A906AD"/>
    <w:rsid w:val="00A9147F"/>
    <w:rsid w:val="00A91F8B"/>
    <w:rsid w:val="00A92E11"/>
    <w:rsid w:val="00A92F69"/>
    <w:rsid w:val="00A93896"/>
    <w:rsid w:val="00A94161"/>
    <w:rsid w:val="00A95FF0"/>
    <w:rsid w:val="00A96621"/>
    <w:rsid w:val="00A96CBC"/>
    <w:rsid w:val="00AA062D"/>
    <w:rsid w:val="00AA07F6"/>
    <w:rsid w:val="00AA1C0C"/>
    <w:rsid w:val="00AA2159"/>
    <w:rsid w:val="00AA2AC8"/>
    <w:rsid w:val="00AA2DE8"/>
    <w:rsid w:val="00AA3F02"/>
    <w:rsid w:val="00AA443E"/>
    <w:rsid w:val="00AA7F32"/>
    <w:rsid w:val="00AB0DA9"/>
    <w:rsid w:val="00AB1401"/>
    <w:rsid w:val="00AB4DDE"/>
    <w:rsid w:val="00AB50A8"/>
    <w:rsid w:val="00AB545A"/>
    <w:rsid w:val="00AB5B5B"/>
    <w:rsid w:val="00AB6523"/>
    <w:rsid w:val="00AB682E"/>
    <w:rsid w:val="00AB6D58"/>
    <w:rsid w:val="00AC0764"/>
    <w:rsid w:val="00AC1E89"/>
    <w:rsid w:val="00AC24BF"/>
    <w:rsid w:val="00AC2756"/>
    <w:rsid w:val="00AC298A"/>
    <w:rsid w:val="00AC376F"/>
    <w:rsid w:val="00AC4B26"/>
    <w:rsid w:val="00AC5EF5"/>
    <w:rsid w:val="00AC65F9"/>
    <w:rsid w:val="00AC7849"/>
    <w:rsid w:val="00AD0D5B"/>
    <w:rsid w:val="00AD1E79"/>
    <w:rsid w:val="00AD3019"/>
    <w:rsid w:val="00AD3D5E"/>
    <w:rsid w:val="00AD4277"/>
    <w:rsid w:val="00AD58DA"/>
    <w:rsid w:val="00AD6280"/>
    <w:rsid w:val="00AD6DB6"/>
    <w:rsid w:val="00AD736E"/>
    <w:rsid w:val="00AD77F0"/>
    <w:rsid w:val="00AD79DE"/>
    <w:rsid w:val="00AD7D40"/>
    <w:rsid w:val="00AE021C"/>
    <w:rsid w:val="00AE0B2F"/>
    <w:rsid w:val="00AE0BF4"/>
    <w:rsid w:val="00AE1950"/>
    <w:rsid w:val="00AE21A1"/>
    <w:rsid w:val="00AE4E41"/>
    <w:rsid w:val="00AE60B6"/>
    <w:rsid w:val="00AE69C1"/>
    <w:rsid w:val="00AE6EC9"/>
    <w:rsid w:val="00AE6FDE"/>
    <w:rsid w:val="00AE737A"/>
    <w:rsid w:val="00AF0216"/>
    <w:rsid w:val="00AF0CB8"/>
    <w:rsid w:val="00AF0D62"/>
    <w:rsid w:val="00AF1AAC"/>
    <w:rsid w:val="00AF2D11"/>
    <w:rsid w:val="00AF353E"/>
    <w:rsid w:val="00AF54D3"/>
    <w:rsid w:val="00AF66CD"/>
    <w:rsid w:val="00B01990"/>
    <w:rsid w:val="00B01FA9"/>
    <w:rsid w:val="00B020F9"/>
    <w:rsid w:val="00B04326"/>
    <w:rsid w:val="00B04D51"/>
    <w:rsid w:val="00B04F2F"/>
    <w:rsid w:val="00B05426"/>
    <w:rsid w:val="00B05AED"/>
    <w:rsid w:val="00B05EEF"/>
    <w:rsid w:val="00B0732B"/>
    <w:rsid w:val="00B079D7"/>
    <w:rsid w:val="00B07F29"/>
    <w:rsid w:val="00B12500"/>
    <w:rsid w:val="00B13571"/>
    <w:rsid w:val="00B1383C"/>
    <w:rsid w:val="00B13F1E"/>
    <w:rsid w:val="00B164C9"/>
    <w:rsid w:val="00B20064"/>
    <w:rsid w:val="00B2254F"/>
    <w:rsid w:val="00B23778"/>
    <w:rsid w:val="00B2668D"/>
    <w:rsid w:val="00B3079C"/>
    <w:rsid w:val="00B32914"/>
    <w:rsid w:val="00B35008"/>
    <w:rsid w:val="00B351DC"/>
    <w:rsid w:val="00B359DF"/>
    <w:rsid w:val="00B362C9"/>
    <w:rsid w:val="00B36B61"/>
    <w:rsid w:val="00B370CC"/>
    <w:rsid w:val="00B41470"/>
    <w:rsid w:val="00B4159A"/>
    <w:rsid w:val="00B41F9F"/>
    <w:rsid w:val="00B4298F"/>
    <w:rsid w:val="00B42E39"/>
    <w:rsid w:val="00B458D5"/>
    <w:rsid w:val="00B47583"/>
    <w:rsid w:val="00B5105A"/>
    <w:rsid w:val="00B510B0"/>
    <w:rsid w:val="00B514A7"/>
    <w:rsid w:val="00B53DFE"/>
    <w:rsid w:val="00B53E32"/>
    <w:rsid w:val="00B5479F"/>
    <w:rsid w:val="00B6135F"/>
    <w:rsid w:val="00B6199A"/>
    <w:rsid w:val="00B62002"/>
    <w:rsid w:val="00B6281F"/>
    <w:rsid w:val="00B6393E"/>
    <w:rsid w:val="00B64A3F"/>
    <w:rsid w:val="00B65101"/>
    <w:rsid w:val="00B657C4"/>
    <w:rsid w:val="00B6699E"/>
    <w:rsid w:val="00B7008D"/>
    <w:rsid w:val="00B70D61"/>
    <w:rsid w:val="00B71CC2"/>
    <w:rsid w:val="00B72456"/>
    <w:rsid w:val="00B72D75"/>
    <w:rsid w:val="00B747CB"/>
    <w:rsid w:val="00B74810"/>
    <w:rsid w:val="00B753B4"/>
    <w:rsid w:val="00B76407"/>
    <w:rsid w:val="00B768C0"/>
    <w:rsid w:val="00B771FA"/>
    <w:rsid w:val="00B779DE"/>
    <w:rsid w:val="00B80061"/>
    <w:rsid w:val="00B83491"/>
    <w:rsid w:val="00B83756"/>
    <w:rsid w:val="00B84745"/>
    <w:rsid w:val="00B90217"/>
    <w:rsid w:val="00B9065F"/>
    <w:rsid w:val="00B90DDE"/>
    <w:rsid w:val="00B914BC"/>
    <w:rsid w:val="00B92307"/>
    <w:rsid w:val="00B92E16"/>
    <w:rsid w:val="00B93078"/>
    <w:rsid w:val="00B9475E"/>
    <w:rsid w:val="00B94961"/>
    <w:rsid w:val="00B964E9"/>
    <w:rsid w:val="00B96799"/>
    <w:rsid w:val="00BA09B4"/>
    <w:rsid w:val="00BA23B9"/>
    <w:rsid w:val="00BA29E3"/>
    <w:rsid w:val="00BA2E86"/>
    <w:rsid w:val="00BA35A2"/>
    <w:rsid w:val="00BA3B6C"/>
    <w:rsid w:val="00BA5027"/>
    <w:rsid w:val="00BA5454"/>
    <w:rsid w:val="00BA553E"/>
    <w:rsid w:val="00BA5D0F"/>
    <w:rsid w:val="00BA66A5"/>
    <w:rsid w:val="00BA72BD"/>
    <w:rsid w:val="00BB0D0B"/>
    <w:rsid w:val="00BB170C"/>
    <w:rsid w:val="00BB532F"/>
    <w:rsid w:val="00BB6A56"/>
    <w:rsid w:val="00BB7EE5"/>
    <w:rsid w:val="00BC157E"/>
    <w:rsid w:val="00BC1793"/>
    <w:rsid w:val="00BC181D"/>
    <w:rsid w:val="00BC284C"/>
    <w:rsid w:val="00BC2DDF"/>
    <w:rsid w:val="00BC3171"/>
    <w:rsid w:val="00BC3206"/>
    <w:rsid w:val="00BC3547"/>
    <w:rsid w:val="00BC4194"/>
    <w:rsid w:val="00BC42D0"/>
    <w:rsid w:val="00BC4D8F"/>
    <w:rsid w:val="00BC6113"/>
    <w:rsid w:val="00BD01CF"/>
    <w:rsid w:val="00BD16A6"/>
    <w:rsid w:val="00BD1900"/>
    <w:rsid w:val="00BD2796"/>
    <w:rsid w:val="00BD5205"/>
    <w:rsid w:val="00BD6DE4"/>
    <w:rsid w:val="00BE23D1"/>
    <w:rsid w:val="00BE2DFE"/>
    <w:rsid w:val="00BE40DB"/>
    <w:rsid w:val="00BE4583"/>
    <w:rsid w:val="00BE58BD"/>
    <w:rsid w:val="00BE65E0"/>
    <w:rsid w:val="00BE7287"/>
    <w:rsid w:val="00BF0F15"/>
    <w:rsid w:val="00BF190E"/>
    <w:rsid w:val="00BF229D"/>
    <w:rsid w:val="00BF32CC"/>
    <w:rsid w:val="00BF35F6"/>
    <w:rsid w:val="00BF3D0C"/>
    <w:rsid w:val="00BF433E"/>
    <w:rsid w:val="00BF4A01"/>
    <w:rsid w:val="00BF6ECE"/>
    <w:rsid w:val="00BF7D0B"/>
    <w:rsid w:val="00C00773"/>
    <w:rsid w:val="00C011C6"/>
    <w:rsid w:val="00C01670"/>
    <w:rsid w:val="00C01A50"/>
    <w:rsid w:val="00C03200"/>
    <w:rsid w:val="00C06CEE"/>
    <w:rsid w:val="00C07353"/>
    <w:rsid w:val="00C07BD9"/>
    <w:rsid w:val="00C108CB"/>
    <w:rsid w:val="00C108FB"/>
    <w:rsid w:val="00C10986"/>
    <w:rsid w:val="00C11AC9"/>
    <w:rsid w:val="00C13CA6"/>
    <w:rsid w:val="00C13E00"/>
    <w:rsid w:val="00C1451C"/>
    <w:rsid w:val="00C15AE0"/>
    <w:rsid w:val="00C1652A"/>
    <w:rsid w:val="00C16902"/>
    <w:rsid w:val="00C16B0B"/>
    <w:rsid w:val="00C20047"/>
    <w:rsid w:val="00C203B3"/>
    <w:rsid w:val="00C2074B"/>
    <w:rsid w:val="00C20878"/>
    <w:rsid w:val="00C20F8B"/>
    <w:rsid w:val="00C21489"/>
    <w:rsid w:val="00C21908"/>
    <w:rsid w:val="00C23214"/>
    <w:rsid w:val="00C23406"/>
    <w:rsid w:val="00C23F46"/>
    <w:rsid w:val="00C2446B"/>
    <w:rsid w:val="00C267B5"/>
    <w:rsid w:val="00C26872"/>
    <w:rsid w:val="00C274C6"/>
    <w:rsid w:val="00C27B1C"/>
    <w:rsid w:val="00C31667"/>
    <w:rsid w:val="00C323E8"/>
    <w:rsid w:val="00C328E3"/>
    <w:rsid w:val="00C330D7"/>
    <w:rsid w:val="00C33B15"/>
    <w:rsid w:val="00C35F1B"/>
    <w:rsid w:val="00C41313"/>
    <w:rsid w:val="00C4150C"/>
    <w:rsid w:val="00C41E1D"/>
    <w:rsid w:val="00C43E77"/>
    <w:rsid w:val="00C45B52"/>
    <w:rsid w:val="00C45EBC"/>
    <w:rsid w:val="00C47B37"/>
    <w:rsid w:val="00C507AE"/>
    <w:rsid w:val="00C51E0C"/>
    <w:rsid w:val="00C524DA"/>
    <w:rsid w:val="00C52820"/>
    <w:rsid w:val="00C5288D"/>
    <w:rsid w:val="00C53573"/>
    <w:rsid w:val="00C53DE7"/>
    <w:rsid w:val="00C54C39"/>
    <w:rsid w:val="00C54D4C"/>
    <w:rsid w:val="00C57961"/>
    <w:rsid w:val="00C61599"/>
    <w:rsid w:val="00C621E3"/>
    <w:rsid w:val="00C625F4"/>
    <w:rsid w:val="00C62776"/>
    <w:rsid w:val="00C6322E"/>
    <w:rsid w:val="00C64954"/>
    <w:rsid w:val="00C64F84"/>
    <w:rsid w:val="00C653D6"/>
    <w:rsid w:val="00C662E7"/>
    <w:rsid w:val="00C66358"/>
    <w:rsid w:val="00C669E0"/>
    <w:rsid w:val="00C66B3E"/>
    <w:rsid w:val="00C70789"/>
    <w:rsid w:val="00C70854"/>
    <w:rsid w:val="00C70E1B"/>
    <w:rsid w:val="00C72177"/>
    <w:rsid w:val="00C74F1D"/>
    <w:rsid w:val="00C765C6"/>
    <w:rsid w:val="00C7741D"/>
    <w:rsid w:val="00C77480"/>
    <w:rsid w:val="00C77D84"/>
    <w:rsid w:val="00C8026D"/>
    <w:rsid w:val="00C81290"/>
    <w:rsid w:val="00C8164F"/>
    <w:rsid w:val="00C8249B"/>
    <w:rsid w:val="00C836AE"/>
    <w:rsid w:val="00C83CE1"/>
    <w:rsid w:val="00C84A37"/>
    <w:rsid w:val="00C84C0E"/>
    <w:rsid w:val="00C90C2F"/>
    <w:rsid w:val="00C90E77"/>
    <w:rsid w:val="00C92107"/>
    <w:rsid w:val="00C92D94"/>
    <w:rsid w:val="00C9444F"/>
    <w:rsid w:val="00C95071"/>
    <w:rsid w:val="00C95120"/>
    <w:rsid w:val="00C9567D"/>
    <w:rsid w:val="00C95A4D"/>
    <w:rsid w:val="00C96288"/>
    <w:rsid w:val="00C96EE3"/>
    <w:rsid w:val="00CA085D"/>
    <w:rsid w:val="00CA33C5"/>
    <w:rsid w:val="00CA3467"/>
    <w:rsid w:val="00CA3496"/>
    <w:rsid w:val="00CA3CA8"/>
    <w:rsid w:val="00CA5436"/>
    <w:rsid w:val="00CA5CE4"/>
    <w:rsid w:val="00CA73B5"/>
    <w:rsid w:val="00CA7A7B"/>
    <w:rsid w:val="00CB0231"/>
    <w:rsid w:val="00CB0357"/>
    <w:rsid w:val="00CB0426"/>
    <w:rsid w:val="00CB10AC"/>
    <w:rsid w:val="00CB17E9"/>
    <w:rsid w:val="00CB2110"/>
    <w:rsid w:val="00CB2217"/>
    <w:rsid w:val="00CB2D04"/>
    <w:rsid w:val="00CB2E1F"/>
    <w:rsid w:val="00CB36D9"/>
    <w:rsid w:val="00CB3B61"/>
    <w:rsid w:val="00CB4077"/>
    <w:rsid w:val="00CB4DC4"/>
    <w:rsid w:val="00CB5728"/>
    <w:rsid w:val="00CB5A06"/>
    <w:rsid w:val="00CB5C5C"/>
    <w:rsid w:val="00CB69E0"/>
    <w:rsid w:val="00CB7452"/>
    <w:rsid w:val="00CB76CF"/>
    <w:rsid w:val="00CC131D"/>
    <w:rsid w:val="00CC3648"/>
    <w:rsid w:val="00CC4650"/>
    <w:rsid w:val="00CC48EF"/>
    <w:rsid w:val="00CC4941"/>
    <w:rsid w:val="00CC5CA7"/>
    <w:rsid w:val="00CC6D20"/>
    <w:rsid w:val="00CD1D80"/>
    <w:rsid w:val="00CD2D8F"/>
    <w:rsid w:val="00CD4D63"/>
    <w:rsid w:val="00CD6056"/>
    <w:rsid w:val="00CD7839"/>
    <w:rsid w:val="00CE0091"/>
    <w:rsid w:val="00CE0A6B"/>
    <w:rsid w:val="00CE0BF9"/>
    <w:rsid w:val="00CE118F"/>
    <w:rsid w:val="00CE16BE"/>
    <w:rsid w:val="00CE1852"/>
    <w:rsid w:val="00CE2133"/>
    <w:rsid w:val="00CE2C85"/>
    <w:rsid w:val="00CE3BC3"/>
    <w:rsid w:val="00CE513A"/>
    <w:rsid w:val="00CE51B9"/>
    <w:rsid w:val="00CE658A"/>
    <w:rsid w:val="00CE6C5D"/>
    <w:rsid w:val="00CF0586"/>
    <w:rsid w:val="00CF1D0C"/>
    <w:rsid w:val="00CF3193"/>
    <w:rsid w:val="00CF4526"/>
    <w:rsid w:val="00CF4667"/>
    <w:rsid w:val="00CF4EA4"/>
    <w:rsid w:val="00CF5947"/>
    <w:rsid w:val="00D00043"/>
    <w:rsid w:val="00D008C2"/>
    <w:rsid w:val="00D009EC"/>
    <w:rsid w:val="00D01028"/>
    <w:rsid w:val="00D02212"/>
    <w:rsid w:val="00D0332B"/>
    <w:rsid w:val="00D04418"/>
    <w:rsid w:val="00D049AD"/>
    <w:rsid w:val="00D04FE4"/>
    <w:rsid w:val="00D050C0"/>
    <w:rsid w:val="00D058AD"/>
    <w:rsid w:val="00D06B9A"/>
    <w:rsid w:val="00D06FFC"/>
    <w:rsid w:val="00D1007B"/>
    <w:rsid w:val="00D11880"/>
    <w:rsid w:val="00D1336C"/>
    <w:rsid w:val="00D147B5"/>
    <w:rsid w:val="00D15544"/>
    <w:rsid w:val="00D16CE8"/>
    <w:rsid w:val="00D20CA4"/>
    <w:rsid w:val="00D211E6"/>
    <w:rsid w:val="00D2138A"/>
    <w:rsid w:val="00D21D65"/>
    <w:rsid w:val="00D22548"/>
    <w:rsid w:val="00D23AA5"/>
    <w:rsid w:val="00D24603"/>
    <w:rsid w:val="00D258F8"/>
    <w:rsid w:val="00D30CF8"/>
    <w:rsid w:val="00D31459"/>
    <w:rsid w:val="00D31C24"/>
    <w:rsid w:val="00D31C98"/>
    <w:rsid w:val="00D33D4F"/>
    <w:rsid w:val="00D35879"/>
    <w:rsid w:val="00D36C6D"/>
    <w:rsid w:val="00D36C71"/>
    <w:rsid w:val="00D3753F"/>
    <w:rsid w:val="00D4088F"/>
    <w:rsid w:val="00D419F2"/>
    <w:rsid w:val="00D41CB0"/>
    <w:rsid w:val="00D42259"/>
    <w:rsid w:val="00D42F75"/>
    <w:rsid w:val="00D442FE"/>
    <w:rsid w:val="00D44366"/>
    <w:rsid w:val="00D44583"/>
    <w:rsid w:val="00D4463F"/>
    <w:rsid w:val="00D451FE"/>
    <w:rsid w:val="00D45701"/>
    <w:rsid w:val="00D4582F"/>
    <w:rsid w:val="00D45BC4"/>
    <w:rsid w:val="00D47EC5"/>
    <w:rsid w:val="00D51579"/>
    <w:rsid w:val="00D51B08"/>
    <w:rsid w:val="00D51DB0"/>
    <w:rsid w:val="00D51FB3"/>
    <w:rsid w:val="00D521C7"/>
    <w:rsid w:val="00D5299D"/>
    <w:rsid w:val="00D53DDB"/>
    <w:rsid w:val="00D54406"/>
    <w:rsid w:val="00D563B6"/>
    <w:rsid w:val="00D576A7"/>
    <w:rsid w:val="00D57A59"/>
    <w:rsid w:val="00D604D4"/>
    <w:rsid w:val="00D60F9E"/>
    <w:rsid w:val="00D611A4"/>
    <w:rsid w:val="00D618FF"/>
    <w:rsid w:val="00D6278B"/>
    <w:rsid w:val="00D628DE"/>
    <w:rsid w:val="00D62E92"/>
    <w:rsid w:val="00D62F28"/>
    <w:rsid w:val="00D63635"/>
    <w:rsid w:val="00D651D1"/>
    <w:rsid w:val="00D653E0"/>
    <w:rsid w:val="00D65516"/>
    <w:rsid w:val="00D65B0B"/>
    <w:rsid w:val="00D66051"/>
    <w:rsid w:val="00D67F14"/>
    <w:rsid w:val="00D73EEA"/>
    <w:rsid w:val="00D74E1F"/>
    <w:rsid w:val="00D75155"/>
    <w:rsid w:val="00D757C9"/>
    <w:rsid w:val="00D75DDD"/>
    <w:rsid w:val="00D7613E"/>
    <w:rsid w:val="00D77269"/>
    <w:rsid w:val="00D80A11"/>
    <w:rsid w:val="00D81E7B"/>
    <w:rsid w:val="00D81FBF"/>
    <w:rsid w:val="00D82F37"/>
    <w:rsid w:val="00D84225"/>
    <w:rsid w:val="00D84674"/>
    <w:rsid w:val="00D85ED1"/>
    <w:rsid w:val="00D86958"/>
    <w:rsid w:val="00D86E3E"/>
    <w:rsid w:val="00D871F3"/>
    <w:rsid w:val="00D9043F"/>
    <w:rsid w:val="00D904F1"/>
    <w:rsid w:val="00D907D0"/>
    <w:rsid w:val="00D91784"/>
    <w:rsid w:val="00D9284A"/>
    <w:rsid w:val="00D92F0A"/>
    <w:rsid w:val="00D94C7F"/>
    <w:rsid w:val="00D9504A"/>
    <w:rsid w:val="00DA1EA6"/>
    <w:rsid w:val="00DA24C0"/>
    <w:rsid w:val="00DA2AF6"/>
    <w:rsid w:val="00DA3427"/>
    <w:rsid w:val="00DA385F"/>
    <w:rsid w:val="00DA4B60"/>
    <w:rsid w:val="00DA4C17"/>
    <w:rsid w:val="00DA4EC0"/>
    <w:rsid w:val="00DA58DD"/>
    <w:rsid w:val="00DA6193"/>
    <w:rsid w:val="00DA7265"/>
    <w:rsid w:val="00DB012F"/>
    <w:rsid w:val="00DB02D2"/>
    <w:rsid w:val="00DB2AD1"/>
    <w:rsid w:val="00DB3088"/>
    <w:rsid w:val="00DB35C5"/>
    <w:rsid w:val="00DB45B1"/>
    <w:rsid w:val="00DB4D98"/>
    <w:rsid w:val="00DB58AA"/>
    <w:rsid w:val="00DB63E7"/>
    <w:rsid w:val="00DB651F"/>
    <w:rsid w:val="00DB677D"/>
    <w:rsid w:val="00DB69A4"/>
    <w:rsid w:val="00DB7740"/>
    <w:rsid w:val="00DB7EF4"/>
    <w:rsid w:val="00DC0493"/>
    <w:rsid w:val="00DC0679"/>
    <w:rsid w:val="00DC0FAE"/>
    <w:rsid w:val="00DC1912"/>
    <w:rsid w:val="00DC248A"/>
    <w:rsid w:val="00DC37D1"/>
    <w:rsid w:val="00DC4CC2"/>
    <w:rsid w:val="00DC4E5F"/>
    <w:rsid w:val="00DC5E37"/>
    <w:rsid w:val="00DC7C0C"/>
    <w:rsid w:val="00DD04C8"/>
    <w:rsid w:val="00DD2493"/>
    <w:rsid w:val="00DD2D22"/>
    <w:rsid w:val="00DD2E0E"/>
    <w:rsid w:val="00DD3533"/>
    <w:rsid w:val="00DD5436"/>
    <w:rsid w:val="00DD67EB"/>
    <w:rsid w:val="00DD6905"/>
    <w:rsid w:val="00DE0CC5"/>
    <w:rsid w:val="00DE14B8"/>
    <w:rsid w:val="00DE24A9"/>
    <w:rsid w:val="00DE33CD"/>
    <w:rsid w:val="00DE368A"/>
    <w:rsid w:val="00DE3C1D"/>
    <w:rsid w:val="00DE447E"/>
    <w:rsid w:val="00DE4D91"/>
    <w:rsid w:val="00DE58B4"/>
    <w:rsid w:val="00DE5B2E"/>
    <w:rsid w:val="00DE5CCA"/>
    <w:rsid w:val="00DE70B1"/>
    <w:rsid w:val="00DF0327"/>
    <w:rsid w:val="00DF2E09"/>
    <w:rsid w:val="00DF32E0"/>
    <w:rsid w:val="00DF351A"/>
    <w:rsid w:val="00DF397F"/>
    <w:rsid w:val="00DF39E9"/>
    <w:rsid w:val="00DF4312"/>
    <w:rsid w:val="00DF4979"/>
    <w:rsid w:val="00DF4A75"/>
    <w:rsid w:val="00DF52A6"/>
    <w:rsid w:val="00DF634B"/>
    <w:rsid w:val="00DF6B9B"/>
    <w:rsid w:val="00E00FD1"/>
    <w:rsid w:val="00E01B3B"/>
    <w:rsid w:val="00E01F29"/>
    <w:rsid w:val="00E02B69"/>
    <w:rsid w:val="00E03D53"/>
    <w:rsid w:val="00E041CB"/>
    <w:rsid w:val="00E04D73"/>
    <w:rsid w:val="00E06204"/>
    <w:rsid w:val="00E064E8"/>
    <w:rsid w:val="00E06BB5"/>
    <w:rsid w:val="00E06D60"/>
    <w:rsid w:val="00E0714D"/>
    <w:rsid w:val="00E07DE2"/>
    <w:rsid w:val="00E1058E"/>
    <w:rsid w:val="00E107EB"/>
    <w:rsid w:val="00E10AFA"/>
    <w:rsid w:val="00E1146C"/>
    <w:rsid w:val="00E11C94"/>
    <w:rsid w:val="00E12506"/>
    <w:rsid w:val="00E12608"/>
    <w:rsid w:val="00E1278F"/>
    <w:rsid w:val="00E12C32"/>
    <w:rsid w:val="00E131C6"/>
    <w:rsid w:val="00E14B37"/>
    <w:rsid w:val="00E15695"/>
    <w:rsid w:val="00E15EC8"/>
    <w:rsid w:val="00E15FF9"/>
    <w:rsid w:val="00E1764C"/>
    <w:rsid w:val="00E20539"/>
    <w:rsid w:val="00E20F4E"/>
    <w:rsid w:val="00E232F2"/>
    <w:rsid w:val="00E23A38"/>
    <w:rsid w:val="00E24F61"/>
    <w:rsid w:val="00E25DF3"/>
    <w:rsid w:val="00E26F98"/>
    <w:rsid w:val="00E2794F"/>
    <w:rsid w:val="00E330A5"/>
    <w:rsid w:val="00E35388"/>
    <w:rsid w:val="00E35611"/>
    <w:rsid w:val="00E3567B"/>
    <w:rsid w:val="00E35A52"/>
    <w:rsid w:val="00E37500"/>
    <w:rsid w:val="00E4066F"/>
    <w:rsid w:val="00E42793"/>
    <w:rsid w:val="00E436BC"/>
    <w:rsid w:val="00E441AA"/>
    <w:rsid w:val="00E44F04"/>
    <w:rsid w:val="00E450A0"/>
    <w:rsid w:val="00E4651D"/>
    <w:rsid w:val="00E46738"/>
    <w:rsid w:val="00E4757B"/>
    <w:rsid w:val="00E50D59"/>
    <w:rsid w:val="00E50D78"/>
    <w:rsid w:val="00E5197A"/>
    <w:rsid w:val="00E51ABE"/>
    <w:rsid w:val="00E52822"/>
    <w:rsid w:val="00E5309D"/>
    <w:rsid w:val="00E53D57"/>
    <w:rsid w:val="00E54A9F"/>
    <w:rsid w:val="00E56B03"/>
    <w:rsid w:val="00E5701D"/>
    <w:rsid w:val="00E6243F"/>
    <w:rsid w:val="00E6398E"/>
    <w:rsid w:val="00E659CE"/>
    <w:rsid w:val="00E66D9F"/>
    <w:rsid w:val="00E70181"/>
    <w:rsid w:val="00E71091"/>
    <w:rsid w:val="00E71B97"/>
    <w:rsid w:val="00E72052"/>
    <w:rsid w:val="00E722FC"/>
    <w:rsid w:val="00E76BF3"/>
    <w:rsid w:val="00E81410"/>
    <w:rsid w:val="00E815CC"/>
    <w:rsid w:val="00E83904"/>
    <w:rsid w:val="00E83C7E"/>
    <w:rsid w:val="00E840A5"/>
    <w:rsid w:val="00E84F5C"/>
    <w:rsid w:val="00E85615"/>
    <w:rsid w:val="00E8579B"/>
    <w:rsid w:val="00E878D1"/>
    <w:rsid w:val="00E8792B"/>
    <w:rsid w:val="00E90D20"/>
    <w:rsid w:val="00E91890"/>
    <w:rsid w:val="00E925FD"/>
    <w:rsid w:val="00E92C91"/>
    <w:rsid w:val="00E939C3"/>
    <w:rsid w:val="00E93A41"/>
    <w:rsid w:val="00E93CF0"/>
    <w:rsid w:val="00E93DE9"/>
    <w:rsid w:val="00E95027"/>
    <w:rsid w:val="00E95CB4"/>
    <w:rsid w:val="00E9602D"/>
    <w:rsid w:val="00E96954"/>
    <w:rsid w:val="00E97EC3"/>
    <w:rsid w:val="00EA0869"/>
    <w:rsid w:val="00EA2F89"/>
    <w:rsid w:val="00EA349A"/>
    <w:rsid w:val="00EA3B7F"/>
    <w:rsid w:val="00EA3F81"/>
    <w:rsid w:val="00EA47BB"/>
    <w:rsid w:val="00EA6AB7"/>
    <w:rsid w:val="00EB13F6"/>
    <w:rsid w:val="00EB1D54"/>
    <w:rsid w:val="00EB1D89"/>
    <w:rsid w:val="00EB2296"/>
    <w:rsid w:val="00EB319B"/>
    <w:rsid w:val="00EB3837"/>
    <w:rsid w:val="00EB54F9"/>
    <w:rsid w:val="00EB77FC"/>
    <w:rsid w:val="00EC0EAB"/>
    <w:rsid w:val="00EC12D7"/>
    <w:rsid w:val="00EC13F6"/>
    <w:rsid w:val="00EC268D"/>
    <w:rsid w:val="00EC37ED"/>
    <w:rsid w:val="00EC3B81"/>
    <w:rsid w:val="00EC435A"/>
    <w:rsid w:val="00EC4B11"/>
    <w:rsid w:val="00EC4C74"/>
    <w:rsid w:val="00EC535D"/>
    <w:rsid w:val="00EC6BAC"/>
    <w:rsid w:val="00EC7DA7"/>
    <w:rsid w:val="00ED19E3"/>
    <w:rsid w:val="00ED252B"/>
    <w:rsid w:val="00ED2D3E"/>
    <w:rsid w:val="00ED33B2"/>
    <w:rsid w:val="00ED39E0"/>
    <w:rsid w:val="00ED4C99"/>
    <w:rsid w:val="00ED59C8"/>
    <w:rsid w:val="00ED69CB"/>
    <w:rsid w:val="00EE1808"/>
    <w:rsid w:val="00EE25AE"/>
    <w:rsid w:val="00EE3397"/>
    <w:rsid w:val="00EE3530"/>
    <w:rsid w:val="00EE4E8C"/>
    <w:rsid w:val="00EE60DC"/>
    <w:rsid w:val="00EE7365"/>
    <w:rsid w:val="00EE7419"/>
    <w:rsid w:val="00EE7ED3"/>
    <w:rsid w:val="00EF0EEB"/>
    <w:rsid w:val="00EF1A7A"/>
    <w:rsid w:val="00EF30AE"/>
    <w:rsid w:val="00EF35D9"/>
    <w:rsid w:val="00EF500E"/>
    <w:rsid w:val="00EF6A9E"/>
    <w:rsid w:val="00EF7111"/>
    <w:rsid w:val="00EF7477"/>
    <w:rsid w:val="00EF7CCB"/>
    <w:rsid w:val="00EF7EBB"/>
    <w:rsid w:val="00F0177E"/>
    <w:rsid w:val="00F0181D"/>
    <w:rsid w:val="00F01B57"/>
    <w:rsid w:val="00F02087"/>
    <w:rsid w:val="00F0292C"/>
    <w:rsid w:val="00F041DD"/>
    <w:rsid w:val="00F04952"/>
    <w:rsid w:val="00F04B2B"/>
    <w:rsid w:val="00F056CF"/>
    <w:rsid w:val="00F060B5"/>
    <w:rsid w:val="00F07B55"/>
    <w:rsid w:val="00F1045B"/>
    <w:rsid w:val="00F119C2"/>
    <w:rsid w:val="00F120F0"/>
    <w:rsid w:val="00F13A5B"/>
    <w:rsid w:val="00F15DB2"/>
    <w:rsid w:val="00F16311"/>
    <w:rsid w:val="00F16838"/>
    <w:rsid w:val="00F168AE"/>
    <w:rsid w:val="00F179E1"/>
    <w:rsid w:val="00F213EC"/>
    <w:rsid w:val="00F222EF"/>
    <w:rsid w:val="00F2521D"/>
    <w:rsid w:val="00F256D7"/>
    <w:rsid w:val="00F26929"/>
    <w:rsid w:val="00F26EFC"/>
    <w:rsid w:val="00F27AA8"/>
    <w:rsid w:val="00F27B1E"/>
    <w:rsid w:val="00F27D32"/>
    <w:rsid w:val="00F308A1"/>
    <w:rsid w:val="00F316DC"/>
    <w:rsid w:val="00F31B7D"/>
    <w:rsid w:val="00F32833"/>
    <w:rsid w:val="00F32F43"/>
    <w:rsid w:val="00F33A56"/>
    <w:rsid w:val="00F345E1"/>
    <w:rsid w:val="00F34CE8"/>
    <w:rsid w:val="00F34F9E"/>
    <w:rsid w:val="00F359AB"/>
    <w:rsid w:val="00F366F1"/>
    <w:rsid w:val="00F368D0"/>
    <w:rsid w:val="00F36FAB"/>
    <w:rsid w:val="00F36FFF"/>
    <w:rsid w:val="00F37D27"/>
    <w:rsid w:val="00F37FC3"/>
    <w:rsid w:val="00F40BB5"/>
    <w:rsid w:val="00F43051"/>
    <w:rsid w:val="00F46B02"/>
    <w:rsid w:val="00F47129"/>
    <w:rsid w:val="00F516F7"/>
    <w:rsid w:val="00F52193"/>
    <w:rsid w:val="00F53B77"/>
    <w:rsid w:val="00F546E3"/>
    <w:rsid w:val="00F54775"/>
    <w:rsid w:val="00F54A7F"/>
    <w:rsid w:val="00F54C05"/>
    <w:rsid w:val="00F56193"/>
    <w:rsid w:val="00F6084B"/>
    <w:rsid w:val="00F619CE"/>
    <w:rsid w:val="00F63D60"/>
    <w:rsid w:val="00F641C5"/>
    <w:rsid w:val="00F64216"/>
    <w:rsid w:val="00F650D8"/>
    <w:rsid w:val="00F669AA"/>
    <w:rsid w:val="00F67114"/>
    <w:rsid w:val="00F70486"/>
    <w:rsid w:val="00F704BA"/>
    <w:rsid w:val="00F70AF4"/>
    <w:rsid w:val="00F71606"/>
    <w:rsid w:val="00F72595"/>
    <w:rsid w:val="00F73003"/>
    <w:rsid w:val="00F73286"/>
    <w:rsid w:val="00F737D2"/>
    <w:rsid w:val="00F74301"/>
    <w:rsid w:val="00F74956"/>
    <w:rsid w:val="00F7562C"/>
    <w:rsid w:val="00F75C9A"/>
    <w:rsid w:val="00F77270"/>
    <w:rsid w:val="00F778E0"/>
    <w:rsid w:val="00F804AA"/>
    <w:rsid w:val="00F81B77"/>
    <w:rsid w:val="00F83B92"/>
    <w:rsid w:val="00F83C23"/>
    <w:rsid w:val="00F83CA4"/>
    <w:rsid w:val="00F8427A"/>
    <w:rsid w:val="00F84328"/>
    <w:rsid w:val="00F862D3"/>
    <w:rsid w:val="00F864D7"/>
    <w:rsid w:val="00F8758B"/>
    <w:rsid w:val="00F8784B"/>
    <w:rsid w:val="00F90A1E"/>
    <w:rsid w:val="00F90E2F"/>
    <w:rsid w:val="00F9126F"/>
    <w:rsid w:val="00F913A4"/>
    <w:rsid w:val="00F926CD"/>
    <w:rsid w:val="00F926E5"/>
    <w:rsid w:val="00F92B5D"/>
    <w:rsid w:val="00F931C7"/>
    <w:rsid w:val="00F94BA7"/>
    <w:rsid w:val="00F96609"/>
    <w:rsid w:val="00F97287"/>
    <w:rsid w:val="00F97722"/>
    <w:rsid w:val="00FA0BEB"/>
    <w:rsid w:val="00FA3803"/>
    <w:rsid w:val="00FA43F6"/>
    <w:rsid w:val="00FA4BEB"/>
    <w:rsid w:val="00FA798F"/>
    <w:rsid w:val="00FA7C8F"/>
    <w:rsid w:val="00FB1291"/>
    <w:rsid w:val="00FB1B3D"/>
    <w:rsid w:val="00FB1B7F"/>
    <w:rsid w:val="00FB2530"/>
    <w:rsid w:val="00FB3204"/>
    <w:rsid w:val="00FB32C5"/>
    <w:rsid w:val="00FB4C4F"/>
    <w:rsid w:val="00FB68E9"/>
    <w:rsid w:val="00FB713D"/>
    <w:rsid w:val="00FB7D14"/>
    <w:rsid w:val="00FC1796"/>
    <w:rsid w:val="00FC20FC"/>
    <w:rsid w:val="00FC2D9D"/>
    <w:rsid w:val="00FC2F93"/>
    <w:rsid w:val="00FC3DC1"/>
    <w:rsid w:val="00FC4A46"/>
    <w:rsid w:val="00FC577E"/>
    <w:rsid w:val="00FC5836"/>
    <w:rsid w:val="00FC59DB"/>
    <w:rsid w:val="00FC6F8A"/>
    <w:rsid w:val="00FC7BD5"/>
    <w:rsid w:val="00FD01FA"/>
    <w:rsid w:val="00FD04F5"/>
    <w:rsid w:val="00FD2120"/>
    <w:rsid w:val="00FD2BDF"/>
    <w:rsid w:val="00FD2BF3"/>
    <w:rsid w:val="00FD31AC"/>
    <w:rsid w:val="00FD3C30"/>
    <w:rsid w:val="00FD4BBA"/>
    <w:rsid w:val="00FD5910"/>
    <w:rsid w:val="00FD5C5E"/>
    <w:rsid w:val="00FD6224"/>
    <w:rsid w:val="00FD6365"/>
    <w:rsid w:val="00FD66FA"/>
    <w:rsid w:val="00FD6769"/>
    <w:rsid w:val="00FD6A4E"/>
    <w:rsid w:val="00FD7831"/>
    <w:rsid w:val="00FD7C0B"/>
    <w:rsid w:val="00FE0727"/>
    <w:rsid w:val="00FE19C7"/>
    <w:rsid w:val="00FE2445"/>
    <w:rsid w:val="00FE2FCE"/>
    <w:rsid w:val="00FE3B32"/>
    <w:rsid w:val="00FE448C"/>
    <w:rsid w:val="00FE4E6E"/>
    <w:rsid w:val="00FE5768"/>
    <w:rsid w:val="00FE5E80"/>
    <w:rsid w:val="00FE6D9E"/>
    <w:rsid w:val="00FE7F8E"/>
    <w:rsid w:val="00FF01D9"/>
    <w:rsid w:val="00FF3BC1"/>
    <w:rsid w:val="00FF5668"/>
    <w:rsid w:val="00FF57FD"/>
    <w:rsid w:val="00FF6840"/>
    <w:rsid w:val="00FF770D"/>
    <w:rsid w:val="00FF7BE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646B8B"/>
  <w15:docId w15:val="{637CE6B2-A347-460C-8825-AD0D777923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CE16BE"/>
    <w:rPr>
      <w:sz w:val="16"/>
      <w:szCs w:val="16"/>
    </w:rPr>
  </w:style>
  <w:style w:type="paragraph" w:styleId="CommentText">
    <w:name w:val="annotation text"/>
    <w:basedOn w:val="Normal"/>
    <w:link w:val="CommentTextChar"/>
    <w:uiPriority w:val="99"/>
    <w:unhideWhenUsed/>
    <w:rsid w:val="00CE16BE"/>
    <w:rPr>
      <w:sz w:val="20"/>
      <w:szCs w:val="20"/>
    </w:rPr>
  </w:style>
  <w:style w:type="character" w:customStyle="1" w:styleId="CommentTextChar">
    <w:name w:val="Comment Text Char"/>
    <w:basedOn w:val="DefaultParagraphFont"/>
    <w:link w:val="CommentText"/>
    <w:uiPriority w:val="99"/>
    <w:rsid w:val="00CE16BE"/>
    <w:rPr>
      <w:sz w:val="20"/>
      <w:szCs w:val="20"/>
    </w:rPr>
  </w:style>
  <w:style w:type="paragraph" w:styleId="CommentSubject">
    <w:name w:val="annotation subject"/>
    <w:basedOn w:val="CommentText"/>
    <w:next w:val="CommentText"/>
    <w:link w:val="CommentSubjectChar"/>
    <w:uiPriority w:val="99"/>
    <w:semiHidden/>
    <w:unhideWhenUsed/>
    <w:rsid w:val="00CE16BE"/>
    <w:rPr>
      <w:b/>
      <w:bCs/>
    </w:rPr>
  </w:style>
  <w:style w:type="character" w:customStyle="1" w:styleId="CommentSubjectChar">
    <w:name w:val="Comment Subject Char"/>
    <w:basedOn w:val="CommentTextChar"/>
    <w:link w:val="CommentSubject"/>
    <w:uiPriority w:val="99"/>
    <w:semiHidden/>
    <w:rsid w:val="00CE16BE"/>
    <w:rPr>
      <w:b/>
      <w:bCs/>
      <w:sz w:val="20"/>
      <w:szCs w:val="20"/>
    </w:rPr>
  </w:style>
  <w:style w:type="paragraph" w:styleId="BalloonText">
    <w:name w:val="Balloon Text"/>
    <w:basedOn w:val="Normal"/>
    <w:link w:val="BalloonTextChar"/>
    <w:uiPriority w:val="99"/>
    <w:semiHidden/>
    <w:unhideWhenUsed/>
    <w:rsid w:val="00CE16BE"/>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E16BE"/>
    <w:rPr>
      <w:rFonts w:ascii="Times New Roman" w:hAnsi="Times New Roman" w:cs="Times New Roman"/>
      <w:sz w:val="18"/>
      <w:szCs w:val="18"/>
    </w:rPr>
  </w:style>
  <w:style w:type="character" w:styleId="Hyperlink">
    <w:name w:val="Hyperlink"/>
    <w:basedOn w:val="DefaultParagraphFont"/>
    <w:uiPriority w:val="99"/>
    <w:unhideWhenUsed/>
    <w:rsid w:val="004D12F2"/>
    <w:rPr>
      <w:color w:val="0563C1" w:themeColor="hyperlink"/>
      <w:u w:val="single"/>
    </w:rPr>
  </w:style>
  <w:style w:type="character" w:customStyle="1" w:styleId="UnresolvedMention1">
    <w:name w:val="Unresolved Mention1"/>
    <w:basedOn w:val="DefaultParagraphFont"/>
    <w:uiPriority w:val="99"/>
    <w:semiHidden/>
    <w:unhideWhenUsed/>
    <w:rsid w:val="004D12F2"/>
    <w:rPr>
      <w:color w:val="605E5C"/>
      <w:shd w:val="clear" w:color="auto" w:fill="E1DFDD"/>
    </w:rPr>
  </w:style>
  <w:style w:type="paragraph" w:styleId="NormalWeb">
    <w:name w:val="Normal (Web)"/>
    <w:basedOn w:val="Normal"/>
    <w:uiPriority w:val="99"/>
    <w:unhideWhenUsed/>
    <w:rsid w:val="00667E4B"/>
    <w:pPr>
      <w:spacing w:before="100" w:beforeAutospacing="1" w:after="100" w:afterAutospacing="1"/>
    </w:pPr>
    <w:rPr>
      <w:rFonts w:ascii="Times New Roman" w:eastAsia="Times New Roman" w:hAnsi="Times New Roman" w:cs="Times New Roman"/>
      <w:lang w:eastAsia="en-GB"/>
    </w:rPr>
  </w:style>
  <w:style w:type="paragraph" w:styleId="Footer">
    <w:name w:val="footer"/>
    <w:basedOn w:val="Normal"/>
    <w:link w:val="FooterChar"/>
    <w:uiPriority w:val="99"/>
    <w:unhideWhenUsed/>
    <w:rsid w:val="00BC42D0"/>
    <w:pPr>
      <w:tabs>
        <w:tab w:val="center" w:pos="4680"/>
        <w:tab w:val="right" w:pos="9360"/>
      </w:tabs>
    </w:pPr>
  </w:style>
  <w:style w:type="character" w:customStyle="1" w:styleId="FooterChar">
    <w:name w:val="Footer Char"/>
    <w:basedOn w:val="DefaultParagraphFont"/>
    <w:link w:val="Footer"/>
    <w:uiPriority w:val="99"/>
    <w:rsid w:val="00BC42D0"/>
  </w:style>
  <w:style w:type="character" w:styleId="PageNumber">
    <w:name w:val="page number"/>
    <w:basedOn w:val="DefaultParagraphFont"/>
    <w:uiPriority w:val="99"/>
    <w:semiHidden/>
    <w:unhideWhenUsed/>
    <w:rsid w:val="00BC42D0"/>
  </w:style>
  <w:style w:type="paragraph" w:styleId="Header">
    <w:name w:val="header"/>
    <w:basedOn w:val="Normal"/>
    <w:link w:val="HeaderChar"/>
    <w:uiPriority w:val="99"/>
    <w:unhideWhenUsed/>
    <w:rsid w:val="00BC42D0"/>
    <w:pPr>
      <w:tabs>
        <w:tab w:val="center" w:pos="4680"/>
        <w:tab w:val="right" w:pos="9360"/>
      </w:tabs>
    </w:pPr>
  </w:style>
  <w:style w:type="character" w:customStyle="1" w:styleId="HeaderChar">
    <w:name w:val="Header Char"/>
    <w:basedOn w:val="DefaultParagraphFont"/>
    <w:link w:val="Header"/>
    <w:uiPriority w:val="99"/>
    <w:rsid w:val="00BC42D0"/>
  </w:style>
  <w:style w:type="character" w:styleId="PlaceholderText">
    <w:name w:val="Placeholder Text"/>
    <w:basedOn w:val="DefaultParagraphFont"/>
    <w:uiPriority w:val="99"/>
    <w:semiHidden/>
    <w:rsid w:val="001B7777"/>
    <w:rPr>
      <w:color w:val="808080"/>
    </w:rPr>
  </w:style>
  <w:style w:type="paragraph" w:styleId="ListParagraph">
    <w:name w:val="List Paragraph"/>
    <w:basedOn w:val="Normal"/>
    <w:uiPriority w:val="34"/>
    <w:qFormat/>
    <w:rsid w:val="00142E62"/>
    <w:pPr>
      <w:ind w:left="720"/>
      <w:contextualSpacing/>
    </w:pPr>
  </w:style>
  <w:style w:type="table" w:styleId="TableGrid">
    <w:name w:val="Table Grid"/>
    <w:basedOn w:val="TableNormal"/>
    <w:uiPriority w:val="39"/>
    <w:rsid w:val="006472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DE58B4"/>
  </w:style>
  <w:style w:type="paragraph" w:styleId="Revision">
    <w:name w:val="Revision"/>
    <w:hidden/>
    <w:uiPriority w:val="99"/>
    <w:semiHidden/>
    <w:rsid w:val="00FB2530"/>
  </w:style>
  <w:style w:type="character" w:styleId="FollowedHyperlink">
    <w:name w:val="FollowedHyperlink"/>
    <w:basedOn w:val="DefaultParagraphFont"/>
    <w:uiPriority w:val="99"/>
    <w:semiHidden/>
    <w:unhideWhenUsed/>
    <w:rsid w:val="00707650"/>
    <w:rPr>
      <w:color w:val="954F72" w:themeColor="followedHyperlink"/>
      <w:u w:val="single"/>
    </w:rPr>
  </w:style>
  <w:style w:type="character" w:customStyle="1" w:styleId="UnresolvedMention2">
    <w:name w:val="Unresolved Mention2"/>
    <w:basedOn w:val="DefaultParagraphFont"/>
    <w:uiPriority w:val="99"/>
    <w:semiHidden/>
    <w:unhideWhenUsed/>
    <w:rsid w:val="005B6736"/>
    <w:rPr>
      <w:color w:val="605E5C"/>
      <w:shd w:val="clear" w:color="auto" w:fill="E1DFDD"/>
    </w:rPr>
  </w:style>
  <w:style w:type="paragraph" w:styleId="NoSpacing">
    <w:name w:val="No Spacing"/>
    <w:uiPriority w:val="1"/>
    <w:qFormat/>
    <w:rsid w:val="006F7C90"/>
    <w:rPr>
      <w:rFonts w:ascii="Calibri" w:hAnsi="Calibri"/>
      <w:szCs w:val="22"/>
    </w:rPr>
  </w:style>
  <w:style w:type="character" w:customStyle="1" w:styleId="UnresolvedMention3">
    <w:name w:val="Unresolved Mention3"/>
    <w:basedOn w:val="DefaultParagraphFont"/>
    <w:uiPriority w:val="99"/>
    <w:semiHidden/>
    <w:unhideWhenUsed/>
    <w:rsid w:val="00853BFD"/>
    <w:rPr>
      <w:color w:val="605E5C"/>
      <w:shd w:val="clear" w:color="auto" w:fill="E1DFDD"/>
    </w:rPr>
  </w:style>
  <w:style w:type="character" w:customStyle="1" w:styleId="UnresolvedMention4">
    <w:name w:val="Unresolved Mention4"/>
    <w:basedOn w:val="DefaultParagraphFont"/>
    <w:uiPriority w:val="99"/>
    <w:semiHidden/>
    <w:unhideWhenUsed/>
    <w:rsid w:val="0093300E"/>
    <w:rPr>
      <w:color w:val="605E5C"/>
      <w:shd w:val="clear" w:color="auto" w:fill="E1DFDD"/>
    </w:rPr>
  </w:style>
  <w:style w:type="character" w:customStyle="1" w:styleId="UnresolvedMention5">
    <w:name w:val="Unresolved Mention5"/>
    <w:basedOn w:val="DefaultParagraphFont"/>
    <w:uiPriority w:val="99"/>
    <w:semiHidden/>
    <w:unhideWhenUsed/>
    <w:rsid w:val="009654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28158">
      <w:bodyDiv w:val="1"/>
      <w:marLeft w:val="0"/>
      <w:marRight w:val="0"/>
      <w:marTop w:val="0"/>
      <w:marBottom w:val="0"/>
      <w:divBdr>
        <w:top w:val="none" w:sz="0" w:space="0" w:color="auto"/>
        <w:left w:val="none" w:sz="0" w:space="0" w:color="auto"/>
        <w:bottom w:val="none" w:sz="0" w:space="0" w:color="auto"/>
        <w:right w:val="none" w:sz="0" w:space="0" w:color="auto"/>
      </w:divBdr>
      <w:divsChild>
        <w:div w:id="1840807571">
          <w:marLeft w:val="0"/>
          <w:marRight w:val="0"/>
          <w:marTop w:val="0"/>
          <w:marBottom w:val="0"/>
          <w:divBdr>
            <w:top w:val="none" w:sz="0" w:space="0" w:color="auto"/>
            <w:left w:val="none" w:sz="0" w:space="0" w:color="auto"/>
            <w:bottom w:val="none" w:sz="0" w:space="0" w:color="auto"/>
            <w:right w:val="none" w:sz="0" w:space="0" w:color="auto"/>
          </w:divBdr>
          <w:divsChild>
            <w:div w:id="862866267">
              <w:marLeft w:val="0"/>
              <w:marRight w:val="0"/>
              <w:marTop w:val="0"/>
              <w:marBottom w:val="0"/>
              <w:divBdr>
                <w:top w:val="none" w:sz="0" w:space="0" w:color="auto"/>
                <w:left w:val="none" w:sz="0" w:space="0" w:color="auto"/>
                <w:bottom w:val="none" w:sz="0" w:space="0" w:color="auto"/>
                <w:right w:val="none" w:sz="0" w:space="0" w:color="auto"/>
              </w:divBdr>
              <w:divsChild>
                <w:div w:id="1266579439">
                  <w:marLeft w:val="0"/>
                  <w:marRight w:val="0"/>
                  <w:marTop w:val="0"/>
                  <w:marBottom w:val="0"/>
                  <w:divBdr>
                    <w:top w:val="none" w:sz="0" w:space="0" w:color="auto"/>
                    <w:left w:val="none" w:sz="0" w:space="0" w:color="auto"/>
                    <w:bottom w:val="none" w:sz="0" w:space="0" w:color="auto"/>
                    <w:right w:val="none" w:sz="0" w:space="0" w:color="auto"/>
                  </w:divBdr>
                  <w:divsChild>
                    <w:div w:id="1461876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718583">
      <w:bodyDiv w:val="1"/>
      <w:marLeft w:val="0"/>
      <w:marRight w:val="0"/>
      <w:marTop w:val="0"/>
      <w:marBottom w:val="0"/>
      <w:divBdr>
        <w:top w:val="none" w:sz="0" w:space="0" w:color="auto"/>
        <w:left w:val="none" w:sz="0" w:space="0" w:color="auto"/>
        <w:bottom w:val="none" w:sz="0" w:space="0" w:color="auto"/>
        <w:right w:val="none" w:sz="0" w:space="0" w:color="auto"/>
      </w:divBdr>
      <w:divsChild>
        <w:div w:id="370809858">
          <w:marLeft w:val="0"/>
          <w:marRight w:val="0"/>
          <w:marTop w:val="0"/>
          <w:marBottom w:val="0"/>
          <w:divBdr>
            <w:top w:val="none" w:sz="0" w:space="0" w:color="auto"/>
            <w:left w:val="none" w:sz="0" w:space="0" w:color="auto"/>
            <w:bottom w:val="none" w:sz="0" w:space="0" w:color="auto"/>
            <w:right w:val="none" w:sz="0" w:space="0" w:color="auto"/>
          </w:divBdr>
          <w:divsChild>
            <w:div w:id="1468165592">
              <w:marLeft w:val="0"/>
              <w:marRight w:val="0"/>
              <w:marTop w:val="0"/>
              <w:marBottom w:val="0"/>
              <w:divBdr>
                <w:top w:val="none" w:sz="0" w:space="0" w:color="auto"/>
                <w:left w:val="none" w:sz="0" w:space="0" w:color="auto"/>
                <w:bottom w:val="none" w:sz="0" w:space="0" w:color="auto"/>
                <w:right w:val="none" w:sz="0" w:space="0" w:color="auto"/>
              </w:divBdr>
              <w:divsChild>
                <w:div w:id="96110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952528">
      <w:bodyDiv w:val="1"/>
      <w:marLeft w:val="0"/>
      <w:marRight w:val="0"/>
      <w:marTop w:val="0"/>
      <w:marBottom w:val="0"/>
      <w:divBdr>
        <w:top w:val="none" w:sz="0" w:space="0" w:color="auto"/>
        <w:left w:val="none" w:sz="0" w:space="0" w:color="auto"/>
        <w:bottom w:val="none" w:sz="0" w:space="0" w:color="auto"/>
        <w:right w:val="none" w:sz="0" w:space="0" w:color="auto"/>
      </w:divBdr>
      <w:divsChild>
        <w:div w:id="365571646">
          <w:marLeft w:val="0"/>
          <w:marRight w:val="0"/>
          <w:marTop w:val="0"/>
          <w:marBottom w:val="0"/>
          <w:divBdr>
            <w:top w:val="none" w:sz="0" w:space="0" w:color="auto"/>
            <w:left w:val="none" w:sz="0" w:space="0" w:color="auto"/>
            <w:bottom w:val="none" w:sz="0" w:space="0" w:color="auto"/>
            <w:right w:val="none" w:sz="0" w:space="0" w:color="auto"/>
          </w:divBdr>
          <w:divsChild>
            <w:div w:id="1002466839">
              <w:marLeft w:val="0"/>
              <w:marRight w:val="0"/>
              <w:marTop w:val="0"/>
              <w:marBottom w:val="0"/>
              <w:divBdr>
                <w:top w:val="none" w:sz="0" w:space="0" w:color="auto"/>
                <w:left w:val="none" w:sz="0" w:space="0" w:color="auto"/>
                <w:bottom w:val="none" w:sz="0" w:space="0" w:color="auto"/>
                <w:right w:val="none" w:sz="0" w:space="0" w:color="auto"/>
              </w:divBdr>
              <w:divsChild>
                <w:div w:id="939407522">
                  <w:marLeft w:val="0"/>
                  <w:marRight w:val="0"/>
                  <w:marTop w:val="0"/>
                  <w:marBottom w:val="0"/>
                  <w:divBdr>
                    <w:top w:val="none" w:sz="0" w:space="0" w:color="auto"/>
                    <w:left w:val="none" w:sz="0" w:space="0" w:color="auto"/>
                    <w:bottom w:val="none" w:sz="0" w:space="0" w:color="auto"/>
                    <w:right w:val="none" w:sz="0" w:space="0" w:color="auto"/>
                  </w:divBdr>
                  <w:divsChild>
                    <w:div w:id="104426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242825">
      <w:bodyDiv w:val="1"/>
      <w:marLeft w:val="0"/>
      <w:marRight w:val="0"/>
      <w:marTop w:val="0"/>
      <w:marBottom w:val="0"/>
      <w:divBdr>
        <w:top w:val="none" w:sz="0" w:space="0" w:color="auto"/>
        <w:left w:val="none" w:sz="0" w:space="0" w:color="auto"/>
        <w:bottom w:val="none" w:sz="0" w:space="0" w:color="auto"/>
        <w:right w:val="none" w:sz="0" w:space="0" w:color="auto"/>
      </w:divBdr>
      <w:divsChild>
        <w:div w:id="1863399481">
          <w:marLeft w:val="0"/>
          <w:marRight w:val="0"/>
          <w:marTop w:val="0"/>
          <w:marBottom w:val="0"/>
          <w:divBdr>
            <w:top w:val="none" w:sz="0" w:space="0" w:color="auto"/>
            <w:left w:val="none" w:sz="0" w:space="0" w:color="auto"/>
            <w:bottom w:val="none" w:sz="0" w:space="0" w:color="auto"/>
            <w:right w:val="none" w:sz="0" w:space="0" w:color="auto"/>
          </w:divBdr>
          <w:divsChild>
            <w:div w:id="387193447">
              <w:marLeft w:val="0"/>
              <w:marRight w:val="0"/>
              <w:marTop w:val="0"/>
              <w:marBottom w:val="0"/>
              <w:divBdr>
                <w:top w:val="none" w:sz="0" w:space="0" w:color="auto"/>
                <w:left w:val="none" w:sz="0" w:space="0" w:color="auto"/>
                <w:bottom w:val="none" w:sz="0" w:space="0" w:color="auto"/>
                <w:right w:val="none" w:sz="0" w:space="0" w:color="auto"/>
              </w:divBdr>
              <w:divsChild>
                <w:div w:id="10841336">
                  <w:marLeft w:val="0"/>
                  <w:marRight w:val="0"/>
                  <w:marTop w:val="0"/>
                  <w:marBottom w:val="0"/>
                  <w:divBdr>
                    <w:top w:val="none" w:sz="0" w:space="0" w:color="auto"/>
                    <w:left w:val="none" w:sz="0" w:space="0" w:color="auto"/>
                    <w:bottom w:val="none" w:sz="0" w:space="0" w:color="auto"/>
                    <w:right w:val="none" w:sz="0" w:space="0" w:color="auto"/>
                  </w:divBdr>
                  <w:divsChild>
                    <w:div w:id="12970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179181">
      <w:bodyDiv w:val="1"/>
      <w:marLeft w:val="0"/>
      <w:marRight w:val="0"/>
      <w:marTop w:val="0"/>
      <w:marBottom w:val="0"/>
      <w:divBdr>
        <w:top w:val="none" w:sz="0" w:space="0" w:color="auto"/>
        <w:left w:val="none" w:sz="0" w:space="0" w:color="auto"/>
        <w:bottom w:val="none" w:sz="0" w:space="0" w:color="auto"/>
        <w:right w:val="none" w:sz="0" w:space="0" w:color="auto"/>
      </w:divBdr>
      <w:divsChild>
        <w:div w:id="903566342">
          <w:marLeft w:val="0"/>
          <w:marRight w:val="0"/>
          <w:marTop w:val="0"/>
          <w:marBottom w:val="0"/>
          <w:divBdr>
            <w:top w:val="none" w:sz="0" w:space="0" w:color="auto"/>
            <w:left w:val="none" w:sz="0" w:space="0" w:color="auto"/>
            <w:bottom w:val="none" w:sz="0" w:space="0" w:color="auto"/>
            <w:right w:val="none" w:sz="0" w:space="0" w:color="auto"/>
          </w:divBdr>
          <w:divsChild>
            <w:div w:id="1520780628">
              <w:marLeft w:val="0"/>
              <w:marRight w:val="0"/>
              <w:marTop w:val="0"/>
              <w:marBottom w:val="0"/>
              <w:divBdr>
                <w:top w:val="none" w:sz="0" w:space="0" w:color="auto"/>
                <w:left w:val="none" w:sz="0" w:space="0" w:color="auto"/>
                <w:bottom w:val="none" w:sz="0" w:space="0" w:color="auto"/>
                <w:right w:val="none" w:sz="0" w:space="0" w:color="auto"/>
              </w:divBdr>
              <w:divsChild>
                <w:div w:id="230234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81655">
      <w:bodyDiv w:val="1"/>
      <w:marLeft w:val="0"/>
      <w:marRight w:val="0"/>
      <w:marTop w:val="0"/>
      <w:marBottom w:val="0"/>
      <w:divBdr>
        <w:top w:val="none" w:sz="0" w:space="0" w:color="auto"/>
        <w:left w:val="none" w:sz="0" w:space="0" w:color="auto"/>
        <w:bottom w:val="none" w:sz="0" w:space="0" w:color="auto"/>
        <w:right w:val="none" w:sz="0" w:space="0" w:color="auto"/>
      </w:divBdr>
    </w:div>
    <w:div w:id="439374544">
      <w:bodyDiv w:val="1"/>
      <w:marLeft w:val="0"/>
      <w:marRight w:val="0"/>
      <w:marTop w:val="0"/>
      <w:marBottom w:val="0"/>
      <w:divBdr>
        <w:top w:val="none" w:sz="0" w:space="0" w:color="auto"/>
        <w:left w:val="none" w:sz="0" w:space="0" w:color="auto"/>
        <w:bottom w:val="none" w:sz="0" w:space="0" w:color="auto"/>
        <w:right w:val="none" w:sz="0" w:space="0" w:color="auto"/>
      </w:divBdr>
      <w:divsChild>
        <w:div w:id="1429304986">
          <w:marLeft w:val="0"/>
          <w:marRight w:val="0"/>
          <w:marTop w:val="0"/>
          <w:marBottom w:val="0"/>
          <w:divBdr>
            <w:top w:val="none" w:sz="0" w:space="0" w:color="auto"/>
            <w:left w:val="none" w:sz="0" w:space="0" w:color="auto"/>
            <w:bottom w:val="none" w:sz="0" w:space="0" w:color="auto"/>
            <w:right w:val="none" w:sz="0" w:space="0" w:color="auto"/>
          </w:divBdr>
          <w:divsChild>
            <w:div w:id="392823577">
              <w:marLeft w:val="0"/>
              <w:marRight w:val="0"/>
              <w:marTop w:val="0"/>
              <w:marBottom w:val="0"/>
              <w:divBdr>
                <w:top w:val="none" w:sz="0" w:space="0" w:color="auto"/>
                <w:left w:val="none" w:sz="0" w:space="0" w:color="auto"/>
                <w:bottom w:val="none" w:sz="0" w:space="0" w:color="auto"/>
                <w:right w:val="none" w:sz="0" w:space="0" w:color="auto"/>
              </w:divBdr>
              <w:divsChild>
                <w:div w:id="143939858">
                  <w:marLeft w:val="0"/>
                  <w:marRight w:val="0"/>
                  <w:marTop w:val="0"/>
                  <w:marBottom w:val="0"/>
                  <w:divBdr>
                    <w:top w:val="none" w:sz="0" w:space="0" w:color="auto"/>
                    <w:left w:val="none" w:sz="0" w:space="0" w:color="auto"/>
                    <w:bottom w:val="none" w:sz="0" w:space="0" w:color="auto"/>
                    <w:right w:val="none" w:sz="0" w:space="0" w:color="auto"/>
                  </w:divBdr>
                  <w:divsChild>
                    <w:div w:id="750196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3506625">
      <w:bodyDiv w:val="1"/>
      <w:marLeft w:val="0"/>
      <w:marRight w:val="0"/>
      <w:marTop w:val="0"/>
      <w:marBottom w:val="0"/>
      <w:divBdr>
        <w:top w:val="none" w:sz="0" w:space="0" w:color="auto"/>
        <w:left w:val="none" w:sz="0" w:space="0" w:color="auto"/>
        <w:bottom w:val="none" w:sz="0" w:space="0" w:color="auto"/>
        <w:right w:val="none" w:sz="0" w:space="0" w:color="auto"/>
      </w:divBdr>
      <w:divsChild>
        <w:div w:id="182089087">
          <w:marLeft w:val="0"/>
          <w:marRight w:val="0"/>
          <w:marTop w:val="0"/>
          <w:marBottom w:val="0"/>
          <w:divBdr>
            <w:top w:val="none" w:sz="0" w:space="0" w:color="auto"/>
            <w:left w:val="none" w:sz="0" w:space="0" w:color="auto"/>
            <w:bottom w:val="none" w:sz="0" w:space="0" w:color="auto"/>
            <w:right w:val="none" w:sz="0" w:space="0" w:color="auto"/>
          </w:divBdr>
          <w:divsChild>
            <w:div w:id="1932002581">
              <w:marLeft w:val="0"/>
              <w:marRight w:val="0"/>
              <w:marTop w:val="0"/>
              <w:marBottom w:val="0"/>
              <w:divBdr>
                <w:top w:val="none" w:sz="0" w:space="0" w:color="auto"/>
                <w:left w:val="none" w:sz="0" w:space="0" w:color="auto"/>
                <w:bottom w:val="none" w:sz="0" w:space="0" w:color="auto"/>
                <w:right w:val="none" w:sz="0" w:space="0" w:color="auto"/>
              </w:divBdr>
              <w:divsChild>
                <w:div w:id="1841387933">
                  <w:marLeft w:val="0"/>
                  <w:marRight w:val="0"/>
                  <w:marTop w:val="0"/>
                  <w:marBottom w:val="0"/>
                  <w:divBdr>
                    <w:top w:val="none" w:sz="0" w:space="0" w:color="auto"/>
                    <w:left w:val="none" w:sz="0" w:space="0" w:color="auto"/>
                    <w:bottom w:val="none" w:sz="0" w:space="0" w:color="auto"/>
                    <w:right w:val="none" w:sz="0" w:space="0" w:color="auto"/>
                  </w:divBdr>
                  <w:divsChild>
                    <w:div w:id="1819106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014533">
      <w:bodyDiv w:val="1"/>
      <w:marLeft w:val="0"/>
      <w:marRight w:val="0"/>
      <w:marTop w:val="0"/>
      <w:marBottom w:val="0"/>
      <w:divBdr>
        <w:top w:val="none" w:sz="0" w:space="0" w:color="auto"/>
        <w:left w:val="none" w:sz="0" w:space="0" w:color="auto"/>
        <w:bottom w:val="none" w:sz="0" w:space="0" w:color="auto"/>
        <w:right w:val="none" w:sz="0" w:space="0" w:color="auto"/>
      </w:divBdr>
      <w:divsChild>
        <w:div w:id="461847467">
          <w:marLeft w:val="0"/>
          <w:marRight w:val="0"/>
          <w:marTop w:val="0"/>
          <w:marBottom w:val="0"/>
          <w:divBdr>
            <w:top w:val="none" w:sz="0" w:space="0" w:color="auto"/>
            <w:left w:val="none" w:sz="0" w:space="0" w:color="auto"/>
            <w:bottom w:val="none" w:sz="0" w:space="0" w:color="auto"/>
            <w:right w:val="none" w:sz="0" w:space="0" w:color="auto"/>
          </w:divBdr>
          <w:divsChild>
            <w:div w:id="1307202993">
              <w:marLeft w:val="0"/>
              <w:marRight w:val="0"/>
              <w:marTop w:val="0"/>
              <w:marBottom w:val="0"/>
              <w:divBdr>
                <w:top w:val="none" w:sz="0" w:space="0" w:color="auto"/>
                <w:left w:val="none" w:sz="0" w:space="0" w:color="auto"/>
                <w:bottom w:val="none" w:sz="0" w:space="0" w:color="auto"/>
                <w:right w:val="none" w:sz="0" w:space="0" w:color="auto"/>
              </w:divBdr>
              <w:divsChild>
                <w:div w:id="643435623">
                  <w:marLeft w:val="0"/>
                  <w:marRight w:val="0"/>
                  <w:marTop w:val="0"/>
                  <w:marBottom w:val="0"/>
                  <w:divBdr>
                    <w:top w:val="none" w:sz="0" w:space="0" w:color="auto"/>
                    <w:left w:val="none" w:sz="0" w:space="0" w:color="auto"/>
                    <w:bottom w:val="none" w:sz="0" w:space="0" w:color="auto"/>
                    <w:right w:val="none" w:sz="0" w:space="0" w:color="auto"/>
                  </w:divBdr>
                  <w:divsChild>
                    <w:div w:id="428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7989996">
      <w:bodyDiv w:val="1"/>
      <w:marLeft w:val="0"/>
      <w:marRight w:val="0"/>
      <w:marTop w:val="0"/>
      <w:marBottom w:val="0"/>
      <w:divBdr>
        <w:top w:val="none" w:sz="0" w:space="0" w:color="auto"/>
        <w:left w:val="none" w:sz="0" w:space="0" w:color="auto"/>
        <w:bottom w:val="none" w:sz="0" w:space="0" w:color="auto"/>
        <w:right w:val="none" w:sz="0" w:space="0" w:color="auto"/>
      </w:divBdr>
    </w:div>
    <w:div w:id="895824586">
      <w:bodyDiv w:val="1"/>
      <w:marLeft w:val="0"/>
      <w:marRight w:val="0"/>
      <w:marTop w:val="0"/>
      <w:marBottom w:val="0"/>
      <w:divBdr>
        <w:top w:val="none" w:sz="0" w:space="0" w:color="auto"/>
        <w:left w:val="none" w:sz="0" w:space="0" w:color="auto"/>
        <w:bottom w:val="none" w:sz="0" w:space="0" w:color="auto"/>
        <w:right w:val="none" w:sz="0" w:space="0" w:color="auto"/>
      </w:divBdr>
      <w:divsChild>
        <w:div w:id="87428629">
          <w:marLeft w:val="0"/>
          <w:marRight w:val="0"/>
          <w:marTop w:val="0"/>
          <w:marBottom w:val="0"/>
          <w:divBdr>
            <w:top w:val="none" w:sz="0" w:space="0" w:color="auto"/>
            <w:left w:val="none" w:sz="0" w:space="0" w:color="auto"/>
            <w:bottom w:val="none" w:sz="0" w:space="0" w:color="auto"/>
            <w:right w:val="none" w:sz="0" w:space="0" w:color="auto"/>
          </w:divBdr>
          <w:divsChild>
            <w:div w:id="1272393728">
              <w:marLeft w:val="0"/>
              <w:marRight w:val="0"/>
              <w:marTop w:val="0"/>
              <w:marBottom w:val="0"/>
              <w:divBdr>
                <w:top w:val="none" w:sz="0" w:space="0" w:color="auto"/>
                <w:left w:val="none" w:sz="0" w:space="0" w:color="auto"/>
                <w:bottom w:val="none" w:sz="0" w:space="0" w:color="auto"/>
                <w:right w:val="none" w:sz="0" w:space="0" w:color="auto"/>
              </w:divBdr>
              <w:divsChild>
                <w:div w:id="1729261211">
                  <w:marLeft w:val="0"/>
                  <w:marRight w:val="0"/>
                  <w:marTop w:val="0"/>
                  <w:marBottom w:val="0"/>
                  <w:divBdr>
                    <w:top w:val="none" w:sz="0" w:space="0" w:color="auto"/>
                    <w:left w:val="none" w:sz="0" w:space="0" w:color="auto"/>
                    <w:bottom w:val="none" w:sz="0" w:space="0" w:color="auto"/>
                    <w:right w:val="none" w:sz="0" w:space="0" w:color="auto"/>
                  </w:divBdr>
                  <w:divsChild>
                    <w:div w:id="5309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7562248">
      <w:bodyDiv w:val="1"/>
      <w:marLeft w:val="0"/>
      <w:marRight w:val="0"/>
      <w:marTop w:val="0"/>
      <w:marBottom w:val="0"/>
      <w:divBdr>
        <w:top w:val="none" w:sz="0" w:space="0" w:color="auto"/>
        <w:left w:val="none" w:sz="0" w:space="0" w:color="auto"/>
        <w:bottom w:val="none" w:sz="0" w:space="0" w:color="auto"/>
        <w:right w:val="none" w:sz="0" w:space="0" w:color="auto"/>
      </w:divBdr>
      <w:divsChild>
        <w:div w:id="1830100018">
          <w:marLeft w:val="0"/>
          <w:marRight w:val="0"/>
          <w:marTop w:val="0"/>
          <w:marBottom w:val="0"/>
          <w:divBdr>
            <w:top w:val="none" w:sz="0" w:space="0" w:color="auto"/>
            <w:left w:val="none" w:sz="0" w:space="0" w:color="auto"/>
            <w:bottom w:val="none" w:sz="0" w:space="0" w:color="auto"/>
            <w:right w:val="none" w:sz="0" w:space="0" w:color="auto"/>
          </w:divBdr>
          <w:divsChild>
            <w:div w:id="1531722752">
              <w:marLeft w:val="0"/>
              <w:marRight w:val="0"/>
              <w:marTop w:val="0"/>
              <w:marBottom w:val="0"/>
              <w:divBdr>
                <w:top w:val="none" w:sz="0" w:space="0" w:color="auto"/>
                <w:left w:val="none" w:sz="0" w:space="0" w:color="auto"/>
                <w:bottom w:val="none" w:sz="0" w:space="0" w:color="auto"/>
                <w:right w:val="none" w:sz="0" w:space="0" w:color="auto"/>
              </w:divBdr>
              <w:divsChild>
                <w:div w:id="202940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411900">
      <w:bodyDiv w:val="1"/>
      <w:marLeft w:val="0"/>
      <w:marRight w:val="0"/>
      <w:marTop w:val="0"/>
      <w:marBottom w:val="0"/>
      <w:divBdr>
        <w:top w:val="none" w:sz="0" w:space="0" w:color="auto"/>
        <w:left w:val="none" w:sz="0" w:space="0" w:color="auto"/>
        <w:bottom w:val="none" w:sz="0" w:space="0" w:color="auto"/>
        <w:right w:val="none" w:sz="0" w:space="0" w:color="auto"/>
      </w:divBdr>
      <w:divsChild>
        <w:div w:id="497814377">
          <w:marLeft w:val="0"/>
          <w:marRight w:val="0"/>
          <w:marTop w:val="0"/>
          <w:marBottom w:val="0"/>
          <w:divBdr>
            <w:top w:val="none" w:sz="0" w:space="0" w:color="auto"/>
            <w:left w:val="none" w:sz="0" w:space="0" w:color="auto"/>
            <w:bottom w:val="none" w:sz="0" w:space="0" w:color="auto"/>
            <w:right w:val="none" w:sz="0" w:space="0" w:color="auto"/>
          </w:divBdr>
          <w:divsChild>
            <w:div w:id="1158692545">
              <w:marLeft w:val="0"/>
              <w:marRight w:val="0"/>
              <w:marTop w:val="0"/>
              <w:marBottom w:val="0"/>
              <w:divBdr>
                <w:top w:val="none" w:sz="0" w:space="0" w:color="auto"/>
                <w:left w:val="none" w:sz="0" w:space="0" w:color="auto"/>
                <w:bottom w:val="none" w:sz="0" w:space="0" w:color="auto"/>
                <w:right w:val="none" w:sz="0" w:space="0" w:color="auto"/>
              </w:divBdr>
              <w:divsChild>
                <w:div w:id="128981326">
                  <w:marLeft w:val="0"/>
                  <w:marRight w:val="0"/>
                  <w:marTop w:val="0"/>
                  <w:marBottom w:val="0"/>
                  <w:divBdr>
                    <w:top w:val="none" w:sz="0" w:space="0" w:color="auto"/>
                    <w:left w:val="none" w:sz="0" w:space="0" w:color="auto"/>
                    <w:bottom w:val="none" w:sz="0" w:space="0" w:color="auto"/>
                    <w:right w:val="none" w:sz="0" w:space="0" w:color="auto"/>
                  </w:divBdr>
                  <w:divsChild>
                    <w:div w:id="76294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6836755">
      <w:bodyDiv w:val="1"/>
      <w:marLeft w:val="0"/>
      <w:marRight w:val="0"/>
      <w:marTop w:val="0"/>
      <w:marBottom w:val="0"/>
      <w:divBdr>
        <w:top w:val="none" w:sz="0" w:space="0" w:color="auto"/>
        <w:left w:val="none" w:sz="0" w:space="0" w:color="auto"/>
        <w:bottom w:val="none" w:sz="0" w:space="0" w:color="auto"/>
        <w:right w:val="none" w:sz="0" w:space="0" w:color="auto"/>
      </w:divBdr>
    </w:div>
    <w:div w:id="1238831062">
      <w:bodyDiv w:val="1"/>
      <w:marLeft w:val="0"/>
      <w:marRight w:val="0"/>
      <w:marTop w:val="0"/>
      <w:marBottom w:val="0"/>
      <w:divBdr>
        <w:top w:val="none" w:sz="0" w:space="0" w:color="auto"/>
        <w:left w:val="none" w:sz="0" w:space="0" w:color="auto"/>
        <w:bottom w:val="none" w:sz="0" w:space="0" w:color="auto"/>
        <w:right w:val="none" w:sz="0" w:space="0" w:color="auto"/>
      </w:divBdr>
    </w:div>
    <w:div w:id="1485967178">
      <w:bodyDiv w:val="1"/>
      <w:marLeft w:val="0"/>
      <w:marRight w:val="0"/>
      <w:marTop w:val="0"/>
      <w:marBottom w:val="0"/>
      <w:divBdr>
        <w:top w:val="none" w:sz="0" w:space="0" w:color="auto"/>
        <w:left w:val="none" w:sz="0" w:space="0" w:color="auto"/>
        <w:bottom w:val="none" w:sz="0" w:space="0" w:color="auto"/>
        <w:right w:val="none" w:sz="0" w:space="0" w:color="auto"/>
      </w:divBdr>
    </w:div>
    <w:div w:id="1582720124">
      <w:bodyDiv w:val="1"/>
      <w:marLeft w:val="0"/>
      <w:marRight w:val="0"/>
      <w:marTop w:val="0"/>
      <w:marBottom w:val="0"/>
      <w:divBdr>
        <w:top w:val="none" w:sz="0" w:space="0" w:color="auto"/>
        <w:left w:val="none" w:sz="0" w:space="0" w:color="auto"/>
        <w:bottom w:val="none" w:sz="0" w:space="0" w:color="auto"/>
        <w:right w:val="none" w:sz="0" w:space="0" w:color="auto"/>
      </w:divBdr>
      <w:divsChild>
        <w:div w:id="1429736521">
          <w:marLeft w:val="0"/>
          <w:marRight w:val="0"/>
          <w:marTop w:val="0"/>
          <w:marBottom w:val="0"/>
          <w:divBdr>
            <w:top w:val="none" w:sz="0" w:space="0" w:color="auto"/>
            <w:left w:val="none" w:sz="0" w:space="0" w:color="auto"/>
            <w:bottom w:val="none" w:sz="0" w:space="0" w:color="auto"/>
            <w:right w:val="none" w:sz="0" w:space="0" w:color="auto"/>
          </w:divBdr>
        </w:div>
        <w:div w:id="1351252579">
          <w:marLeft w:val="0"/>
          <w:marRight w:val="0"/>
          <w:marTop w:val="0"/>
          <w:marBottom w:val="0"/>
          <w:divBdr>
            <w:top w:val="none" w:sz="0" w:space="0" w:color="auto"/>
            <w:left w:val="none" w:sz="0" w:space="0" w:color="auto"/>
            <w:bottom w:val="none" w:sz="0" w:space="0" w:color="auto"/>
            <w:right w:val="none" w:sz="0" w:space="0" w:color="auto"/>
          </w:divBdr>
        </w:div>
      </w:divsChild>
    </w:div>
    <w:div w:id="1584610483">
      <w:bodyDiv w:val="1"/>
      <w:marLeft w:val="0"/>
      <w:marRight w:val="0"/>
      <w:marTop w:val="0"/>
      <w:marBottom w:val="0"/>
      <w:divBdr>
        <w:top w:val="none" w:sz="0" w:space="0" w:color="auto"/>
        <w:left w:val="none" w:sz="0" w:space="0" w:color="auto"/>
        <w:bottom w:val="none" w:sz="0" w:space="0" w:color="auto"/>
        <w:right w:val="none" w:sz="0" w:space="0" w:color="auto"/>
      </w:divBdr>
      <w:divsChild>
        <w:div w:id="1622687537">
          <w:marLeft w:val="0"/>
          <w:marRight w:val="0"/>
          <w:marTop w:val="0"/>
          <w:marBottom w:val="0"/>
          <w:divBdr>
            <w:top w:val="none" w:sz="0" w:space="0" w:color="auto"/>
            <w:left w:val="none" w:sz="0" w:space="0" w:color="auto"/>
            <w:bottom w:val="none" w:sz="0" w:space="0" w:color="auto"/>
            <w:right w:val="none" w:sz="0" w:space="0" w:color="auto"/>
          </w:divBdr>
          <w:divsChild>
            <w:div w:id="399865893">
              <w:marLeft w:val="0"/>
              <w:marRight w:val="0"/>
              <w:marTop w:val="0"/>
              <w:marBottom w:val="0"/>
              <w:divBdr>
                <w:top w:val="none" w:sz="0" w:space="0" w:color="auto"/>
                <w:left w:val="none" w:sz="0" w:space="0" w:color="auto"/>
                <w:bottom w:val="none" w:sz="0" w:space="0" w:color="auto"/>
                <w:right w:val="none" w:sz="0" w:space="0" w:color="auto"/>
              </w:divBdr>
              <w:divsChild>
                <w:div w:id="1091199394">
                  <w:marLeft w:val="0"/>
                  <w:marRight w:val="0"/>
                  <w:marTop w:val="0"/>
                  <w:marBottom w:val="0"/>
                  <w:divBdr>
                    <w:top w:val="none" w:sz="0" w:space="0" w:color="auto"/>
                    <w:left w:val="none" w:sz="0" w:space="0" w:color="auto"/>
                    <w:bottom w:val="none" w:sz="0" w:space="0" w:color="auto"/>
                    <w:right w:val="none" w:sz="0" w:space="0" w:color="auto"/>
                  </w:divBdr>
                  <w:divsChild>
                    <w:div w:id="146986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7557325">
      <w:bodyDiv w:val="1"/>
      <w:marLeft w:val="0"/>
      <w:marRight w:val="0"/>
      <w:marTop w:val="0"/>
      <w:marBottom w:val="0"/>
      <w:divBdr>
        <w:top w:val="none" w:sz="0" w:space="0" w:color="auto"/>
        <w:left w:val="none" w:sz="0" w:space="0" w:color="auto"/>
        <w:bottom w:val="none" w:sz="0" w:space="0" w:color="auto"/>
        <w:right w:val="none" w:sz="0" w:space="0" w:color="auto"/>
      </w:divBdr>
      <w:divsChild>
        <w:div w:id="1633243161">
          <w:marLeft w:val="0"/>
          <w:marRight w:val="0"/>
          <w:marTop w:val="0"/>
          <w:marBottom w:val="0"/>
          <w:divBdr>
            <w:top w:val="none" w:sz="0" w:space="0" w:color="auto"/>
            <w:left w:val="none" w:sz="0" w:space="0" w:color="auto"/>
            <w:bottom w:val="none" w:sz="0" w:space="0" w:color="auto"/>
            <w:right w:val="none" w:sz="0" w:space="0" w:color="auto"/>
          </w:divBdr>
          <w:divsChild>
            <w:div w:id="194970533">
              <w:marLeft w:val="0"/>
              <w:marRight w:val="0"/>
              <w:marTop w:val="0"/>
              <w:marBottom w:val="0"/>
              <w:divBdr>
                <w:top w:val="none" w:sz="0" w:space="0" w:color="auto"/>
                <w:left w:val="none" w:sz="0" w:space="0" w:color="auto"/>
                <w:bottom w:val="none" w:sz="0" w:space="0" w:color="auto"/>
                <w:right w:val="none" w:sz="0" w:space="0" w:color="auto"/>
              </w:divBdr>
              <w:divsChild>
                <w:div w:id="83841030">
                  <w:marLeft w:val="0"/>
                  <w:marRight w:val="0"/>
                  <w:marTop w:val="0"/>
                  <w:marBottom w:val="0"/>
                  <w:divBdr>
                    <w:top w:val="none" w:sz="0" w:space="0" w:color="auto"/>
                    <w:left w:val="none" w:sz="0" w:space="0" w:color="auto"/>
                    <w:bottom w:val="none" w:sz="0" w:space="0" w:color="auto"/>
                    <w:right w:val="none" w:sz="0" w:space="0" w:color="auto"/>
                  </w:divBdr>
                  <w:divsChild>
                    <w:div w:id="460850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8597953">
      <w:bodyDiv w:val="1"/>
      <w:marLeft w:val="0"/>
      <w:marRight w:val="0"/>
      <w:marTop w:val="0"/>
      <w:marBottom w:val="0"/>
      <w:divBdr>
        <w:top w:val="none" w:sz="0" w:space="0" w:color="auto"/>
        <w:left w:val="none" w:sz="0" w:space="0" w:color="auto"/>
        <w:bottom w:val="none" w:sz="0" w:space="0" w:color="auto"/>
        <w:right w:val="none" w:sz="0" w:space="0" w:color="auto"/>
      </w:divBdr>
      <w:divsChild>
        <w:div w:id="1233005317">
          <w:marLeft w:val="0"/>
          <w:marRight w:val="0"/>
          <w:marTop w:val="0"/>
          <w:marBottom w:val="0"/>
          <w:divBdr>
            <w:top w:val="none" w:sz="0" w:space="0" w:color="auto"/>
            <w:left w:val="none" w:sz="0" w:space="0" w:color="auto"/>
            <w:bottom w:val="none" w:sz="0" w:space="0" w:color="auto"/>
            <w:right w:val="none" w:sz="0" w:space="0" w:color="auto"/>
          </w:divBdr>
          <w:divsChild>
            <w:div w:id="13847986">
              <w:marLeft w:val="0"/>
              <w:marRight w:val="0"/>
              <w:marTop w:val="0"/>
              <w:marBottom w:val="0"/>
              <w:divBdr>
                <w:top w:val="none" w:sz="0" w:space="0" w:color="auto"/>
                <w:left w:val="none" w:sz="0" w:space="0" w:color="auto"/>
                <w:bottom w:val="none" w:sz="0" w:space="0" w:color="auto"/>
                <w:right w:val="none" w:sz="0" w:space="0" w:color="auto"/>
              </w:divBdr>
              <w:divsChild>
                <w:div w:id="85238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132029">
      <w:bodyDiv w:val="1"/>
      <w:marLeft w:val="0"/>
      <w:marRight w:val="0"/>
      <w:marTop w:val="0"/>
      <w:marBottom w:val="0"/>
      <w:divBdr>
        <w:top w:val="none" w:sz="0" w:space="0" w:color="auto"/>
        <w:left w:val="none" w:sz="0" w:space="0" w:color="auto"/>
        <w:bottom w:val="none" w:sz="0" w:space="0" w:color="auto"/>
        <w:right w:val="none" w:sz="0" w:space="0" w:color="auto"/>
      </w:divBdr>
      <w:divsChild>
        <w:div w:id="873420615">
          <w:marLeft w:val="0"/>
          <w:marRight w:val="0"/>
          <w:marTop w:val="0"/>
          <w:marBottom w:val="0"/>
          <w:divBdr>
            <w:top w:val="none" w:sz="0" w:space="0" w:color="auto"/>
            <w:left w:val="none" w:sz="0" w:space="0" w:color="auto"/>
            <w:bottom w:val="none" w:sz="0" w:space="0" w:color="auto"/>
            <w:right w:val="none" w:sz="0" w:space="0" w:color="auto"/>
          </w:divBdr>
          <w:divsChild>
            <w:div w:id="1888099668">
              <w:marLeft w:val="0"/>
              <w:marRight w:val="0"/>
              <w:marTop w:val="0"/>
              <w:marBottom w:val="0"/>
              <w:divBdr>
                <w:top w:val="none" w:sz="0" w:space="0" w:color="auto"/>
                <w:left w:val="none" w:sz="0" w:space="0" w:color="auto"/>
                <w:bottom w:val="none" w:sz="0" w:space="0" w:color="auto"/>
                <w:right w:val="none" w:sz="0" w:space="0" w:color="auto"/>
              </w:divBdr>
              <w:divsChild>
                <w:div w:id="43837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628230">
      <w:bodyDiv w:val="1"/>
      <w:marLeft w:val="0"/>
      <w:marRight w:val="0"/>
      <w:marTop w:val="0"/>
      <w:marBottom w:val="0"/>
      <w:divBdr>
        <w:top w:val="none" w:sz="0" w:space="0" w:color="auto"/>
        <w:left w:val="none" w:sz="0" w:space="0" w:color="auto"/>
        <w:bottom w:val="none" w:sz="0" w:space="0" w:color="auto"/>
        <w:right w:val="none" w:sz="0" w:space="0" w:color="auto"/>
      </w:divBdr>
      <w:divsChild>
        <w:div w:id="1867911335">
          <w:marLeft w:val="0"/>
          <w:marRight w:val="0"/>
          <w:marTop w:val="0"/>
          <w:marBottom w:val="0"/>
          <w:divBdr>
            <w:top w:val="none" w:sz="0" w:space="0" w:color="auto"/>
            <w:left w:val="none" w:sz="0" w:space="0" w:color="auto"/>
            <w:bottom w:val="none" w:sz="0" w:space="0" w:color="auto"/>
            <w:right w:val="none" w:sz="0" w:space="0" w:color="auto"/>
          </w:divBdr>
          <w:divsChild>
            <w:div w:id="447160352">
              <w:marLeft w:val="0"/>
              <w:marRight w:val="0"/>
              <w:marTop w:val="0"/>
              <w:marBottom w:val="0"/>
              <w:divBdr>
                <w:top w:val="none" w:sz="0" w:space="0" w:color="auto"/>
                <w:left w:val="none" w:sz="0" w:space="0" w:color="auto"/>
                <w:bottom w:val="none" w:sz="0" w:space="0" w:color="auto"/>
                <w:right w:val="none" w:sz="0" w:space="0" w:color="auto"/>
              </w:divBdr>
              <w:divsChild>
                <w:div w:id="406805514">
                  <w:marLeft w:val="0"/>
                  <w:marRight w:val="0"/>
                  <w:marTop w:val="0"/>
                  <w:marBottom w:val="0"/>
                  <w:divBdr>
                    <w:top w:val="none" w:sz="0" w:space="0" w:color="auto"/>
                    <w:left w:val="none" w:sz="0" w:space="0" w:color="auto"/>
                    <w:bottom w:val="none" w:sz="0" w:space="0" w:color="auto"/>
                    <w:right w:val="none" w:sz="0" w:space="0" w:color="auto"/>
                  </w:divBdr>
                  <w:divsChild>
                    <w:div w:id="1473135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9379921">
      <w:bodyDiv w:val="1"/>
      <w:marLeft w:val="0"/>
      <w:marRight w:val="0"/>
      <w:marTop w:val="0"/>
      <w:marBottom w:val="0"/>
      <w:divBdr>
        <w:top w:val="none" w:sz="0" w:space="0" w:color="auto"/>
        <w:left w:val="none" w:sz="0" w:space="0" w:color="auto"/>
        <w:bottom w:val="none" w:sz="0" w:space="0" w:color="auto"/>
        <w:right w:val="none" w:sz="0" w:space="0" w:color="auto"/>
      </w:divBdr>
      <w:divsChild>
        <w:div w:id="2060782232">
          <w:marLeft w:val="0"/>
          <w:marRight w:val="0"/>
          <w:marTop w:val="0"/>
          <w:marBottom w:val="0"/>
          <w:divBdr>
            <w:top w:val="none" w:sz="0" w:space="0" w:color="auto"/>
            <w:left w:val="none" w:sz="0" w:space="0" w:color="auto"/>
            <w:bottom w:val="none" w:sz="0" w:space="0" w:color="auto"/>
            <w:right w:val="none" w:sz="0" w:space="0" w:color="auto"/>
          </w:divBdr>
          <w:divsChild>
            <w:div w:id="1936480379">
              <w:marLeft w:val="0"/>
              <w:marRight w:val="0"/>
              <w:marTop w:val="0"/>
              <w:marBottom w:val="0"/>
              <w:divBdr>
                <w:top w:val="none" w:sz="0" w:space="0" w:color="auto"/>
                <w:left w:val="none" w:sz="0" w:space="0" w:color="auto"/>
                <w:bottom w:val="none" w:sz="0" w:space="0" w:color="auto"/>
                <w:right w:val="none" w:sz="0" w:space="0" w:color="auto"/>
              </w:divBdr>
              <w:divsChild>
                <w:div w:id="824393695">
                  <w:marLeft w:val="0"/>
                  <w:marRight w:val="0"/>
                  <w:marTop w:val="0"/>
                  <w:marBottom w:val="0"/>
                  <w:divBdr>
                    <w:top w:val="none" w:sz="0" w:space="0" w:color="auto"/>
                    <w:left w:val="none" w:sz="0" w:space="0" w:color="auto"/>
                    <w:bottom w:val="none" w:sz="0" w:space="0" w:color="auto"/>
                    <w:right w:val="none" w:sz="0" w:space="0" w:color="auto"/>
                  </w:divBdr>
                  <w:divsChild>
                    <w:div w:id="152679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990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emf"/><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B40F90-B649-4D43-A585-870EF9F8DB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38011</Words>
  <Characters>216669</Characters>
  <Application>Microsoft Office Word</Application>
  <DocSecurity>4</DocSecurity>
  <Lines>1805</Lines>
  <Paragraphs>508</Paragraphs>
  <ScaleCrop>false</ScaleCrop>
  <HeadingPairs>
    <vt:vector size="2" baseType="variant">
      <vt:variant>
        <vt:lpstr>Title</vt:lpstr>
      </vt:variant>
      <vt:variant>
        <vt:i4>1</vt:i4>
      </vt:variant>
    </vt:vector>
  </HeadingPairs>
  <TitlesOfParts>
    <vt:vector size="1" baseType="lpstr">
      <vt:lpstr/>
    </vt:vector>
  </TitlesOfParts>
  <Company>University Hospitals Of Leicester NHS Trust</Company>
  <LinksUpToDate>false</LinksUpToDate>
  <CharactersWithSpaces>254172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Sargeant, Jack</dc:creator>
  <cp:lastModifiedBy>Gray, Laura (Prof.)</cp:lastModifiedBy>
  <cp:revision>2</cp:revision>
  <cp:lastPrinted>2021-04-16T12:49:00Z</cp:lastPrinted>
  <dcterms:created xsi:type="dcterms:W3CDTF">2022-04-20T09:54:00Z</dcterms:created>
  <dcterms:modified xsi:type="dcterms:W3CDTF">2022-04-20T09:54:00Z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http://www.zotero.org/styles/american-medical-association</vt:lpwstr>
  </property>
  <property fmtid="{D5CDD505-2E9C-101B-9397-08002B2CF9AE}" pid="4" name="Mendeley Unique User Id_1">
    <vt:lpwstr>9ca95a68-68a8-3fcc-843d-a57dc745f8f0</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6th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http://www.zotero.org/styles/nutrients</vt:lpwstr>
  </property>
  <property fmtid="{D5CDD505-2E9C-101B-9397-08002B2CF9AE}" pid="20" name="Mendeley Recent Style Name 7_1">
    <vt:lpwstr>Nutrients</vt:lpwstr>
  </property>
  <property fmtid="{D5CDD505-2E9C-101B-9397-08002B2CF9AE}" pid="21" name="Mendeley Recent Style Id 8_1">
    <vt:lpwstr>http://www.zotero.org/styles/the-lancet</vt:lpwstr>
  </property>
  <property fmtid="{D5CDD505-2E9C-101B-9397-08002B2CF9AE}" pid="22" name="Mendeley Recent Style Name 8_1">
    <vt:lpwstr>The Lancet</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