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96036" w14:textId="326A319B" w:rsidR="00DB1F2B" w:rsidRPr="002F71DA" w:rsidRDefault="00DB1F2B" w:rsidP="004B1F15">
      <w:pPr>
        <w:pStyle w:val="Heading2"/>
        <w:keepNext/>
        <w:keepLines/>
        <w:numPr>
          <w:ilvl w:val="0"/>
          <w:numId w:val="0"/>
        </w:numPr>
        <w:spacing w:before="40" w:after="0"/>
        <w:ind w:hanging="9"/>
        <w:rPr>
          <w:sz w:val="24"/>
        </w:rPr>
      </w:pPr>
      <w:bookmarkStart w:id="0" w:name="_Toc25411631"/>
      <w:bookmarkStart w:id="1" w:name="_Toc60611536"/>
      <w:r>
        <w:t xml:space="preserve">Supplementary </w:t>
      </w:r>
      <w:r w:rsidR="005D23A8">
        <w:t>m</w:t>
      </w:r>
      <w:r>
        <w:t xml:space="preserve">aterial </w:t>
      </w:r>
      <w:r w:rsidR="00DF6555">
        <w:t>S2</w:t>
      </w:r>
      <w:r>
        <w:t>: The modified HFACS framework applied to serious incident reports</w:t>
      </w:r>
      <w:bookmarkEnd w:id="0"/>
      <w:bookmarkEnd w:id="1"/>
    </w:p>
    <w:p w14:paraId="0D5CE2B1" w14:textId="6F31B25E" w:rsidR="00DB1F2B" w:rsidRDefault="00DB1F2B" w:rsidP="00DB1F2B">
      <w:r>
        <w:t>The Table below includes description of the main categories of contributory factors at each tier of the modified HFACS framework. Column 2 outlines the differences from the HFACS framework devised by Diller et al.</w:t>
      </w:r>
      <w:r w:rsidR="008B3202" w:rsidRPr="008B3202">
        <w:rPr>
          <w:vertAlign w:val="superscript"/>
        </w:rPr>
        <w:t>15</w:t>
      </w:r>
      <w:r>
        <w:t xml:space="preserve"> </w:t>
      </w:r>
    </w:p>
    <w:tbl>
      <w:tblPr>
        <w:tblStyle w:val="TableGrid"/>
        <w:tblW w:w="0" w:type="auto"/>
        <w:tblLook w:val="04A0" w:firstRow="1" w:lastRow="0" w:firstColumn="1" w:lastColumn="0" w:noHBand="0" w:noVBand="1"/>
      </w:tblPr>
      <w:tblGrid>
        <w:gridCol w:w="4521"/>
        <w:gridCol w:w="4495"/>
      </w:tblGrid>
      <w:tr w:rsidR="00DB1F2B" w14:paraId="329FC986" w14:textId="77777777" w:rsidTr="006E4058">
        <w:tc>
          <w:tcPr>
            <w:tcW w:w="4521" w:type="dxa"/>
            <w:tcBorders>
              <w:top w:val="single" w:sz="4" w:space="0" w:color="auto"/>
              <w:left w:val="single" w:sz="4" w:space="0" w:color="auto"/>
              <w:bottom w:val="single" w:sz="4" w:space="0" w:color="auto"/>
              <w:right w:val="single" w:sz="4" w:space="0" w:color="auto"/>
            </w:tcBorders>
            <w:hideMark/>
          </w:tcPr>
          <w:p w14:paraId="3F71696E" w14:textId="40EAF919" w:rsidR="00DB1F2B" w:rsidRDefault="00DB1F2B" w:rsidP="006E4058">
            <w:pPr>
              <w:rPr>
                <w:b/>
              </w:rPr>
            </w:pPr>
            <w:r>
              <w:rPr>
                <w:b/>
              </w:rPr>
              <w:t xml:space="preserve">Contributory factors within each tier of the </w:t>
            </w:r>
            <w:r w:rsidR="008B3202">
              <w:rPr>
                <w:b/>
              </w:rPr>
              <w:t>M</w:t>
            </w:r>
            <w:r>
              <w:rPr>
                <w:b/>
              </w:rPr>
              <w:t>odified HFACS framework</w:t>
            </w:r>
          </w:p>
        </w:tc>
        <w:tc>
          <w:tcPr>
            <w:tcW w:w="4495" w:type="dxa"/>
            <w:tcBorders>
              <w:top w:val="single" w:sz="4" w:space="0" w:color="auto"/>
              <w:left w:val="single" w:sz="4" w:space="0" w:color="auto"/>
              <w:bottom w:val="single" w:sz="4" w:space="0" w:color="auto"/>
              <w:right w:val="single" w:sz="4" w:space="0" w:color="auto"/>
            </w:tcBorders>
            <w:hideMark/>
          </w:tcPr>
          <w:p w14:paraId="7CE68596" w14:textId="77777777" w:rsidR="00DB1F2B" w:rsidRDefault="00DB1F2B" w:rsidP="00DB1F2B">
            <w:pPr>
              <w:rPr>
                <w:b/>
              </w:rPr>
            </w:pPr>
            <w:r>
              <w:rPr>
                <w:b/>
              </w:rPr>
              <w:t>Changes compared to HFACS framework by Diller et al</w:t>
            </w:r>
          </w:p>
        </w:tc>
      </w:tr>
      <w:tr w:rsidR="00DB1F2B" w14:paraId="37B9BA7F" w14:textId="77777777" w:rsidTr="006E4058">
        <w:tc>
          <w:tcPr>
            <w:tcW w:w="4521" w:type="dxa"/>
            <w:tcBorders>
              <w:top w:val="single" w:sz="4" w:space="0" w:color="auto"/>
              <w:left w:val="single" w:sz="4" w:space="0" w:color="auto"/>
              <w:bottom w:val="single" w:sz="4" w:space="0" w:color="auto"/>
              <w:right w:val="single" w:sz="4" w:space="0" w:color="auto"/>
            </w:tcBorders>
          </w:tcPr>
          <w:p w14:paraId="3702E13D" w14:textId="77777777" w:rsidR="00DB1F2B" w:rsidRPr="00DB1F2B" w:rsidRDefault="00DB1F2B" w:rsidP="006E4058">
            <w:pPr>
              <w:rPr>
                <w:b/>
              </w:rPr>
            </w:pPr>
            <w:r>
              <w:rPr>
                <w:b/>
              </w:rPr>
              <w:t>Unsafe Actions or Errors</w:t>
            </w:r>
          </w:p>
          <w:p w14:paraId="0487A68C" w14:textId="77777777" w:rsidR="00DB1F2B" w:rsidRDefault="00DB1F2B" w:rsidP="006E4058">
            <w:pPr>
              <w:pStyle w:val="ListParagraph"/>
              <w:ind w:left="284"/>
              <w:rPr>
                <w:b/>
              </w:rPr>
            </w:pPr>
            <w:r>
              <w:rPr>
                <w:b/>
              </w:rPr>
              <w:t>Errors</w:t>
            </w:r>
          </w:p>
          <w:p w14:paraId="630D03FA" w14:textId="77777777" w:rsidR="00DB1F2B" w:rsidRDefault="00DB1F2B" w:rsidP="00DB1F2B">
            <w:pPr>
              <w:pStyle w:val="ListParagraph"/>
              <w:numPr>
                <w:ilvl w:val="0"/>
                <w:numId w:val="3"/>
              </w:numPr>
            </w:pPr>
            <w:r>
              <w:rPr>
                <w:b/>
              </w:rPr>
              <w:t>Decision-based errors</w:t>
            </w:r>
            <w:r>
              <w:t>: Actions of staff proceeded from intention but were subsequently found not to have been appropriate for the situation. Examples include inadequate assessment, inadequate management plan, cognitive bias.</w:t>
            </w:r>
          </w:p>
          <w:p w14:paraId="055E73BA" w14:textId="77777777" w:rsidR="00DB1F2B" w:rsidRDefault="00DB1F2B" w:rsidP="006E4058">
            <w:pPr>
              <w:pStyle w:val="ListParagraph"/>
              <w:ind w:left="644"/>
            </w:pPr>
          </w:p>
          <w:p w14:paraId="138A5B3F" w14:textId="77777777" w:rsidR="00DB1F2B" w:rsidRDefault="00DB1F2B" w:rsidP="00DB1F2B">
            <w:pPr>
              <w:pStyle w:val="ListParagraph"/>
              <w:numPr>
                <w:ilvl w:val="0"/>
                <w:numId w:val="3"/>
              </w:numPr>
            </w:pPr>
            <w:r>
              <w:rPr>
                <w:b/>
              </w:rPr>
              <w:t>Skill (action)-based errors:</w:t>
            </w:r>
            <w:r>
              <w:t xml:space="preserve"> Unintentional slips and lapses made during the execution of seemingly familiar tasks.</w:t>
            </w:r>
          </w:p>
          <w:p w14:paraId="3DDB4DF6" w14:textId="77777777" w:rsidR="00DB1F2B" w:rsidRDefault="00DB1F2B" w:rsidP="006E4058">
            <w:pPr>
              <w:pStyle w:val="ListParagraph"/>
              <w:ind w:left="644"/>
            </w:pPr>
            <w:r>
              <w:t>Examples include miscalculation of early warning scores, omitted steps in procedure, documentation errors.</w:t>
            </w:r>
          </w:p>
          <w:p w14:paraId="214ABA8C" w14:textId="77777777" w:rsidR="00DB1F2B" w:rsidRDefault="00DB1F2B" w:rsidP="006E4058">
            <w:pPr>
              <w:pStyle w:val="ListParagraph"/>
              <w:ind w:left="644"/>
            </w:pPr>
          </w:p>
          <w:p w14:paraId="4AE36114" w14:textId="77777777" w:rsidR="00DB1F2B" w:rsidRDefault="00DB1F2B" w:rsidP="00DB1F2B">
            <w:pPr>
              <w:pStyle w:val="ListParagraph"/>
              <w:numPr>
                <w:ilvl w:val="0"/>
                <w:numId w:val="3"/>
              </w:numPr>
            </w:pPr>
            <w:r>
              <w:rPr>
                <w:b/>
              </w:rPr>
              <w:t>Perceptual errors:</w:t>
            </w:r>
            <w:r>
              <w:t xml:space="preserve"> Errors which occur when sensory input is degraded. Examples include </w:t>
            </w:r>
            <w:r>
              <w:lastRenderedPageBreak/>
              <w:t>misreading information, observational errors.</w:t>
            </w:r>
          </w:p>
          <w:p w14:paraId="10101C67" w14:textId="77777777" w:rsidR="00DB1F2B" w:rsidRDefault="00DB1F2B" w:rsidP="006E4058">
            <w:pPr>
              <w:ind w:left="284"/>
            </w:pPr>
          </w:p>
          <w:p w14:paraId="551E509E" w14:textId="77777777" w:rsidR="00DB1F2B" w:rsidRDefault="00DB1F2B" w:rsidP="006E4058">
            <w:pPr>
              <w:ind w:left="284"/>
              <w:rPr>
                <w:b/>
              </w:rPr>
            </w:pPr>
            <w:r>
              <w:rPr>
                <w:b/>
              </w:rPr>
              <w:t>Violations</w:t>
            </w:r>
          </w:p>
          <w:p w14:paraId="070795E4" w14:textId="77777777" w:rsidR="00DB1F2B" w:rsidRDefault="00DB1F2B" w:rsidP="00DB1F2B">
            <w:pPr>
              <w:pStyle w:val="ListParagraph"/>
              <w:numPr>
                <w:ilvl w:val="0"/>
                <w:numId w:val="3"/>
              </w:numPr>
            </w:pPr>
            <w:r>
              <w:rPr>
                <w:b/>
              </w:rPr>
              <w:t>Routine violations:</w:t>
            </w:r>
            <w:r>
              <w:t xml:space="preserve"> Practices that had become routinised as workarounds (bending the rules) and seemed to be acceptable or done by peers in the same environment. Examples include not following policies, poor documentation practices.</w:t>
            </w:r>
          </w:p>
          <w:p w14:paraId="490E1329" w14:textId="77777777" w:rsidR="00DB1F2B" w:rsidRDefault="00DB1F2B" w:rsidP="006E4058">
            <w:pPr>
              <w:pStyle w:val="ListParagraph"/>
              <w:ind w:left="644"/>
            </w:pPr>
          </w:p>
          <w:p w14:paraId="3C01E2BD" w14:textId="77777777" w:rsidR="00DB1F2B" w:rsidRDefault="00DB1F2B" w:rsidP="00DB1F2B">
            <w:pPr>
              <w:pStyle w:val="ListParagraph"/>
              <w:numPr>
                <w:ilvl w:val="0"/>
                <w:numId w:val="3"/>
              </w:numPr>
            </w:pPr>
            <w:r>
              <w:rPr>
                <w:b/>
              </w:rPr>
              <w:t>Exceptional violations</w:t>
            </w:r>
            <w:r>
              <w:t>: One-off departures from accepted practice, which would generally not be acceptable by peers and seniors. Examples include failures to carry out critical job responsibilities, take necessary safety precautions.</w:t>
            </w:r>
          </w:p>
        </w:tc>
        <w:tc>
          <w:tcPr>
            <w:tcW w:w="4495" w:type="dxa"/>
            <w:tcBorders>
              <w:top w:val="single" w:sz="4" w:space="0" w:color="auto"/>
              <w:left w:val="single" w:sz="4" w:space="0" w:color="auto"/>
              <w:bottom w:val="single" w:sz="4" w:space="0" w:color="auto"/>
              <w:right w:val="single" w:sz="4" w:space="0" w:color="auto"/>
            </w:tcBorders>
          </w:tcPr>
          <w:p w14:paraId="2F643425" w14:textId="77777777" w:rsidR="00DB1F2B" w:rsidRDefault="00DB1F2B" w:rsidP="006E4058"/>
          <w:p w14:paraId="32312DDC" w14:textId="77777777" w:rsidR="00DB1F2B" w:rsidRDefault="00DB1F2B" w:rsidP="006E4058">
            <w:r>
              <w:t>No changes</w:t>
            </w:r>
          </w:p>
          <w:p w14:paraId="23B9102A" w14:textId="77777777" w:rsidR="00DB1F2B" w:rsidRDefault="00DB1F2B" w:rsidP="006E4058"/>
          <w:p w14:paraId="0DADDA6D" w14:textId="77777777" w:rsidR="00DB1F2B" w:rsidRDefault="00DB1F2B" w:rsidP="006E4058"/>
          <w:p w14:paraId="61A13FCB" w14:textId="77777777" w:rsidR="00DB1F2B" w:rsidRDefault="00DB1F2B" w:rsidP="006E4058"/>
          <w:p w14:paraId="0219316E" w14:textId="77777777" w:rsidR="00DB1F2B" w:rsidRDefault="00DB1F2B" w:rsidP="006E4058"/>
          <w:p w14:paraId="1B8A04E8" w14:textId="77777777" w:rsidR="00DB1F2B" w:rsidRDefault="00DB1F2B" w:rsidP="006E4058"/>
          <w:p w14:paraId="18EAF7C0" w14:textId="77777777" w:rsidR="00DB1F2B" w:rsidRDefault="00DB1F2B" w:rsidP="006E4058"/>
          <w:p w14:paraId="092F4577" w14:textId="77777777" w:rsidR="00DB1F2B" w:rsidRDefault="00DB1F2B" w:rsidP="006E4058"/>
          <w:p w14:paraId="758888FF" w14:textId="77777777" w:rsidR="00DB1F2B" w:rsidRDefault="00DB1F2B" w:rsidP="006E4058"/>
          <w:p w14:paraId="11FC8345" w14:textId="77777777" w:rsidR="00DB1F2B" w:rsidRDefault="00DB1F2B" w:rsidP="006E4058"/>
          <w:p w14:paraId="1F449F72" w14:textId="77777777" w:rsidR="00DB1F2B" w:rsidRDefault="00DB1F2B" w:rsidP="006E4058"/>
          <w:p w14:paraId="26A5A6CA" w14:textId="77777777" w:rsidR="00DB1F2B" w:rsidRDefault="00DB1F2B" w:rsidP="006E4058"/>
          <w:p w14:paraId="3BFC6D13" w14:textId="77777777" w:rsidR="00DB1F2B" w:rsidRDefault="00DB1F2B" w:rsidP="006E4058"/>
          <w:p w14:paraId="5DF135A3" w14:textId="77777777" w:rsidR="00DB1F2B" w:rsidRDefault="00DB1F2B" w:rsidP="006E4058"/>
          <w:p w14:paraId="09A38FDA" w14:textId="77777777" w:rsidR="00DB1F2B" w:rsidRDefault="00DB1F2B" w:rsidP="006E4058"/>
          <w:p w14:paraId="62D2454E" w14:textId="77777777" w:rsidR="00DB1F2B" w:rsidRDefault="00DB1F2B" w:rsidP="006E4058">
            <w:r>
              <w:br/>
              <w:t>No changes</w:t>
            </w:r>
          </w:p>
        </w:tc>
      </w:tr>
      <w:tr w:rsidR="00DB1F2B" w14:paraId="0A010B83" w14:textId="77777777" w:rsidTr="006E4058">
        <w:tc>
          <w:tcPr>
            <w:tcW w:w="4521" w:type="dxa"/>
            <w:tcBorders>
              <w:top w:val="single" w:sz="4" w:space="0" w:color="auto"/>
              <w:left w:val="single" w:sz="4" w:space="0" w:color="auto"/>
              <w:bottom w:val="single" w:sz="4" w:space="0" w:color="auto"/>
              <w:right w:val="single" w:sz="4" w:space="0" w:color="auto"/>
            </w:tcBorders>
          </w:tcPr>
          <w:p w14:paraId="6B3468F5" w14:textId="77777777" w:rsidR="00DB1F2B" w:rsidRDefault="00DB1F2B" w:rsidP="006E4058">
            <w:pPr>
              <w:rPr>
                <w:b/>
              </w:rPr>
            </w:pPr>
            <w:r>
              <w:rPr>
                <w:b/>
              </w:rPr>
              <w:lastRenderedPageBreak/>
              <w:t>Preconditions for unsafe acts</w:t>
            </w:r>
          </w:p>
          <w:p w14:paraId="54AB8281" w14:textId="77777777" w:rsidR="00DB1F2B" w:rsidRDefault="00DB1F2B" w:rsidP="00DB1F2B">
            <w:pPr>
              <w:pStyle w:val="ListParagraph"/>
              <w:numPr>
                <w:ilvl w:val="0"/>
                <w:numId w:val="3"/>
              </w:numPr>
            </w:pPr>
            <w:r>
              <w:rPr>
                <w:b/>
              </w:rPr>
              <w:t>Communication factors:</w:t>
            </w:r>
            <w:r>
              <w:t xml:space="preserve"> Issues with communication related to problems with the </w:t>
            </w:r>
            <w:r>
              <w:rPr>
                <w:i/>
              </w:rPr>
              <w:t>content</w:t>
            </w:r>
            <w:r>
              <w:t xml:space="preserve"> of the information exchanged, not involving the right individuals or if the outcome of the exchange of information was not achieved.</w:t>
            </w:r>
          </w:p>
          <w:p w14:paraId="52BA604F" w14:textId="77777777" w:rsidR="00DB1F2B" w:rsidRDefault="00DB1F2B" w:rsidP="006E4058">
            <w:pPr>
              <w:pStyle w:val="ListParagraph"/>
              <w:ind w:left="644"/>
            </w:pPr>
          </w:p>
          <w:p w14:paraId="530DA18C" w14:textId="77777777" w:rsidR="00DB1F2B" w:rsidRDefault="00DB1F2B" w:rsidP="00DB1F2B">
            <w:pPr>
              <w:pStyle w:val="ListParagraph"/>
              <w:numPr>
                <w:ilvl w:val="0"/>
                <w:numId w:val="3"/>
              </w:numPr>
            </w:pPr>
            <w:r>
              <w:rPr>
                <w:b/>
              </w:rPr>
              <w:t>Team dynamics:</w:t>
            </w:r>
            <w:r>
              <w:t xml:space="preserve"> How a team worked together and provided support to each other, under the guise of appropriate leadership</w:t>
            </w:r>
          </w:p>
          <w:p w14:paraId="4CFB5272" w14:textId="77777777" w:rsidR="00DB1F2B" w:rsidRDefault="00DB1F2B" w:rsidP="006E4058">
            <w:pPr>
              <w:pStyle w:val="ListParagraph"/>
              <w:ind w:left="644"/>
              <w:rPr>
                <w:b/>
              </w:rPr>
            </w:pPr>
          </w:p>
          <w:p w14:paraId="6096D067" w14:textId="77777777" w:rsidR="00DB1F2B" w:rsidRDefault="00DB1F2B" w:rsidP="00DB1F2B">
            <w:pPr>
              <w:pStyle w:val="ListParagraph"/>
              <w:numPr>
                <w:ilvl w:val="0"/>
                <w:numId w:val="3"/>
              </w:numPr>
            </w:pPr>
            <w:r>
              <w:rPr>
                <w:b/>
              </w:rPr>
              <w:t>Environmental factors:</w:t>
            </w:r>
            <w:r>
              <w:t xml:space="preserve"> Three different factors relating to the environment within which staff operated are identified: physical (characteristics of the setting where care is delivered), technological and local cultural environment.</w:t>
            </w:r>
          </w:p>
          <w:p w14:paraId="14C5FC54" w14:textId="77777777" w:rsidR="00DB1F2B" w:rsidRDefault="00DB1F2B" w:rsidP="006E4058">
            <w:pPr>
              <w:pStyle w:val="ListParagraph"/>
            </w:pPr>
          </w:p>
          <w:p w14:paraId="0A6DCE21" w14:textId="77777777" w:rsidR="00DB1F2B" w:rsidRDefault="00DB1F2B" w:rsidP="00DB1F2B">
            <w:pPr>
              <w:pStyle w:val="ListParagraph"/>
              <w:numPr>
                <w:ilvl w:val="0"/>
                <w:numId w:val="3"/>
              </w:numPr>
            </w:pPr>
            <w:r>
              <w:rPr>
                <w:b/>
              </w:rPr>
              <w:t>Patient factors:</w:t>
            </w:r>
            <w:r>
              <w:t xml:space="preserve"> Factors relating to the patient’s case (such as complexity, communication barriers)</w:t>
            </w:r>
          </w:p>
          <w:p w14:paraId="31897087" w14:textId="77777777" w:rsidR="00DB1F2B" w:rsidRDefault="00DB1F2B" w:rsidP="006E4058">
            <w:pPr>
              <w:pStyle w:val="ListParagraph"/>
              <w:rPr>
                <w:b/>
              </w:rPr>
            </w:pPr>
          </w:p>
          <w:p w14:paraId="00AEA8CA" w14:textId="77777777" w:rsidR="00DB1F2B" w:rsidRDefault="00DB1F2B" w:rsidP="00DB1F2B">
            <w:pPr>
              <w:pStyle w:val="ListParagraph"/>
              <w:numPr>
                <w:ilvl w:val="0"/>
                <w:numId w:val="3"/>
              </w:numPr>
            </w:pPr>
            <w:r>
              <w:rPr>
                <w:b/>
              </w:rPr>
              <w:t>Staff well-being and preparedness for work:</w:t>
            </w:r>
            <w:r>
              <w:t xml:space="preserve"> Situations where the operator is incapable to perform the task required due to adverse mental or physical health. This category also includes how ready staff is to work (fitness for duty)</w:t>
            </w:r>
          </w:p>
        </w:tc>
        <w:tc>
          <w:tcPr>
            <w:tcW w:w="4495" w:type="dxa"/>
            <w:tcBorders>
              <w:top w:val="single" w:sz="4" w:space="0" w:color="auto"/>
              <w:left w:val="single" w:sz="4" w:space="0" w:color="auto"/>
              <w:bottom w:val="single" w:sz="4" w:space="0" w:color="auto"/>
              <w:right w:val="single" w:sz="4" w:space="0" w:color="auto"/>
            </w:tcBorders>
          </w:tcPr>
          <w:p w14:paraId="478DF445" w14:textId="77777777" w:rsidR="00DB1F2B" w:rsidRDefault="00DB1F2B" w:rsidP="006E4058">
            <w:r>
              <w:t xml:space="preserve">Diller et al. divides preconditions for unsafe acts into three categories (personnel, environmental, condition of operator). </w:t>
            </w:r>
          </w:p>
          <w:p w14:paraId="2BE0DF53" w14:textId="77777777" w:rsidR="00DB1F2B" w:rsidRDefault="00DB1F2B" w:rsidP="006E4058">
            <w:r>
              <w:t xml:space="preserve">Personnel factors include issues relating to communication, coordination and planning and problems relating to the readiness of staff to carry out their duties. </w:t>
            </w:r>
          </w:p>
          <w:p w14:paraId="6CE43370" w14:textId="77777777" w:rsidR="00DB1F2B" w:rsidRDefault="00DB1F2B" w:rsidP="006E4058"/>
          <w:p w14:paraId="09964A0D" w14:textId="77777777" w:rsidR="00DB1F2B" w:rsidRDefault="00DB1F2B" w:rsidP="006E4058"/>
          <w:p w14:paraId="65A379A9" w14:textId="77777777" w:rsidR="00DB1F2B" w:rsidRDefault="00DB1F2B" w:rsidP="006E4058"/>
          <w:p w14:paraId="4B7F374A" w14:textId="77777777" w:rsidR="00DB1F2B" w:rsidRDefault="00DB1F2B" w:rsidP="006E4058"/>
          <w:p w14:paraId="6A78E520" w14:textId="77777777" w:rsidR="00DB1F2B" w:rsidRDefault="00DB1F2B" w:rsidP="006E4058">
            <w:r>
              <w:t>Local (departmental) cultural factors are not present at this level in Diller et al.’s model.</w:t>
            </w:r>
          </w:p>
          <w:p w14:paraId="3AFAF543" w14:textId="77777777" w:rsidR="00DB1F2B" w:rsidRDefault="00DB1F2B" w:rsidP="006E4058">
            <w:r>
              <w:t>Equipment design falls under “organisational influences” in Diller et al.’s model.</w:t>
            </w:r>
          </w:p>
          <w:p w14:paraId="35F1CC5F" w14:textId="2CAA2F15" w:rsidR="00DB1F2B" w:rsidRDefault="00DB1F2B" w:rsidP="006E4058">
            <w:r>
              <w:br/>
              <w:t>Patient factors are not present in Diller et al.’s model.</w:t>
            </w:r>
            <w:r w:rsidR="008B3202">
              <w:br/>
            </w:r>
          </w:p>
          <w:p w14:paraId="183A2744" w14:textId="77777777" w:rsidR="00DB1F2B" w:rsidRDefault="00DB1F2B" w:rsidP="006E4058">
            <w:r>
              <w:t>Fitness for duty falls under “personnel factors” in Diller et al.’s model.</w:t>
            </w:r>
          </w:p>
        </w:tc>
      </w:tr>
      <w:tr w:rsidR="00DB1F2B" w14:paraId="6F24FF84" w14:textId="77777777" w:rsidTr="006E4058">
        <w:tc>
          <w:tcPr>
            <w:tcW w:w="4521" w:type="dxa"/>
            <w:tcBorders>
              <w:top w:val="single" w:sz="4" w:space="0" w:color="auto"/>
              <w:left w:val="single" w:sz="4" w:space="0" w:color="auto"/>
              <w:bottom w:val="single" w:sz="4" w:space="0" w:color="auto"/>
              <w:right w:val="single" w:sz="4" w:space="0" w:color="auto"/>
            </w:tcBorders>
          </w:tcPr>
          <w:p w14:paraId="65234FB8" w14:textId="77777777" w:rsidR="00DB1F2B" w:rsidRPr="00DB1F2B" w:rsidRDefault="00DB1F2B" w:rsidP="006E4058">
            <w:pPr>
              <w:rPr>
                <w:b/>
              </w:rPr>
            </w:pPr>
            <w:r>
              <w:rPr>
                <w:b/>
              </w:rPr>
              <w:t>Supervisory factors</w:t>
            </w:r>
          </w:p>
          <w:p w14:paraId="16B6295A" w14:textId="77777777" w:rsidR="00DB1F2B" w:rsidRDefault="00DB1F2B" w:rsidP="00DB1F2B">
            <w:pPr>
              <w:pStyle w:val="ListParagraph"/>
              <w:numPr>
                <w:ilvl w:val="0"/>
                <w:numId w:val="3"/>
              </w:numPr>
            </w:pPr>
            <w:r>
              <w:rPr>
                <w:b/>
              </w:rPr>
              <w:t>Inadequate oversight:</w:t>
            </w:r>
            <w:r>
              <w:t xml:space="preserve"> Not providing adequate training to juniors or the right level of professional guidance.</w:t>
            </w:r>
          </w:p>
          <w:p w14:paraId="655D1D90" w14:textId="77777777" w:rsidR="00DB1F2B" w:rsidRDefault="00DB1F2B" w:rsidP="006E4058">
            <w:pPr>
              <w:pStyle w:val="ListParagraph"/>
              <w:ind w:left="644"/>
            </w:pPr>
          </w:p>
          <w:p w14:paraId="4043FC2C" w14:textId="77777777" w:rsidR="00DB1F2B" w:rsidRDefault="00DB1F2B" w:rsidP="00DB1F2B">
            <w:pPr>
              <w:pStyle w:val="ListParagraph"/>
              <w:numPr>
                <w:ilvl w:val="0"/>
                <w:numId w:val="3"/>
              </w:numPr>
            </w:pPr>
            <w:r>
              <w:rPr>
                <w:b/>
              </w:rPr>
              <w:t>Inadequate planning:</w:t>
            </w:r>
            <w:r>
              <w:t xml:space="preserve"> inadequacy of how the delivery of care was routinely organised, including the creation, enforcement and communication of local policies.</w:t>
            </w:r>
          </w:p>
          <w:p w14:paraId="0B2DFC2E" w14:textId="77777777" w:rsidR="00DB1F2B" w:rsidRDefault="00DB1F2B" w:rsidP="006E4058">
            <w:pPr>
              <w:pStyle w:val="ListParagraph"/>
            </w:pPr>
          </w:p>
          <w:p w14:paraId="7E301C2A" w14:textId="77777777" w:rsidR="00DB1F2B" w:rsidRDefault="00DB1F2B" w:rsidP="00DB1F2B">
            <w:pPr>
              <w:pStyle w:val="ListParagraph"/>
              <w:numPr>
                <w:ilvl w:val="0"/>
                <w:numId w:val="3"/>
              </w:numPr>
            </w:pPr>
            <w:r>
              <w:rPr>
                <w:b/>
              </w:rPr>
              <w:t>Supervisory violations:</w:t>
            </w:r>
            <w:r>
              <w:t xml:space="preserve"> Intentional departures from expected practice</w:t>
            </w:r>
          </w:p>
          <w:p w14:paraId="16B584F3" w14:textId="77777777" w:rsidR="00DB1F2B" w:rsidRDefault="00DB1F2B" w:rsidP="006E4058">
            <w:pPr>
              <w:pStyle w:val="ListParagraph"/>
            </w:pPr>
          </w:p>
          <w:p w14:paraId="4CBA2456" w14:textId="77777777" w:rsidR="00DB1F2B" w:rsidRDefault="00DB1F2B" w:rsidP="00DB1F2B">
            <w:pPr>
              <w:pStyle w:val="ListParagraph"/>
              <w:numPr>
                <w:ilvl w:val="0"/>
                <w:numId w:val="3"/>
              </w:numPr>
              <w:rPr>
                <w:b/>
              </w:rPr>
            </w:pPr>
            <w:r>
              <w:rPr>
                <w:b/>
              </w:rPr>
              <w:t xml:space="preserve">Failure to address a known problem: </w:t>
            </w:r>
            <w:r>
              <w:t>Hazard previously identified has not been addressed by local leadership team.</w:t>
            </w:r>
          </w:p>
        </w:tc>
        <w:tc>
          <w:tcPr>
            <w:tcW w:w="4495" w:type="dxa"/>
            <w:tcBorders>
              <w:top w:val="single" w:sz="4" w:space="0" w:color="auto"/>
              <w:left w:val="single" w:sz="4" w:space="0" w:color="auto"/>
              <w:bottom w:val="single" w:sz="4" w:space="0" w:color="auto"/>
              <w:right w:val="single" w:sz="4" w:space="0" w:color="auto"/>
            </w:tcBorders>
          </w:tcPr>
          <w:p w14:paraId="1C10CAB7" w14:textId="77777777" w:rsidR="00DB1F2B" w:rsidRDefault="00DB1F2B" w:rsidP="006E4058"/>
          <w:p w14:paraId="4B3D8F4B" w14:textId="77777777" w:rsidR="00DB1F2B" w:rsidRDefault="00DB1F2B" w:rsidP="006E4058">
            <w:r>
              <w:t>No changes</w:t>
            </w:r>
          </w:p>
          <w:p w14:paraId="13AF0EA9" w14:textId="77777777" w:rsidR="00DB1F2B" w:rsidRDefault="00DB1F2B" w:rsidP="006E4058"/>
          <w:p w14:paraId="115DB62C" w14:textId="12D98E42" w:rsidR="00DB1F2B" w:rsidRDefault="00DB1F2B" w:rsidP="006E4058">
            <w:r>
              <w:t>Diller et al.’s framework does not include creation of local policies at this level.</w:t>
            </w:r>
            <w:r w:rsidR="003B51FD">
              <w:br/>
            </w:r>
            <w:r w:rsidR="003B51FD">
              <w:br/>
            </w:r>
            <w:r w:rsidR="003B51FD">
              <w:br/>
            </w:r>
            <w:r w:rsidR="003B51FD">
              <w:br/>
            </w:r>
            <w:r w:rsidR="003B51FD">
              <w:br/>
            </w:r>
            <w:r>
              <w:t>No changes.</w:t>
            </w:r>
          </w:p>
          <w:p w14:paraId="532264AA" w14:textId="77777777" w:rsidR="00DB1F2B" w:rsidRDefault="00DB1F2B" w:rsidP="006E4058"/>
          <w:p w14:paraId="697CADD0" w14:textId="77777777" w:rsidR="00DB1F2B" w:rsidRDefault="00DB1F2B" w:rsidP="006E4058">
            <w:r>
              <w:t>No changes</w:t>
            </w:r>
          </w:p>
        </w:tc>
      </w:tr>
      <w:tr w:rsidR="00DB1F2B" w14:paraId="60587A02" w14:textId="77777777" w:rsidTr="006E4058">
        <w:tc>
          <w:tcPr>
            <w:tcW w:w="4521" w:type="dxa"/>
            <w:tcBorders>
              <w:top w:val="single" w:sz="4" w:space="0" w:color="auto"/>
              <w:left w:val="single" w:sz="4" w:space="0" w:color="auto"/>
              <w:bottom w:val="single" w:sz="4" w:space="0" w:color="auto"/>
              <w:right w:val="single" w:sz="4" w:space="0" w:color="auto"/>
            </w:tcBorders>
          </w:tcPr>
          <w:p w14:paraId="796B6DED" w14:textId="77777777" w:rsidR="00DB1F2B" w:rsidRPr="00DB1F2B" w:rsidRDefault="00DB1F2B" w:rsidP="006E4058">
            <w:pPr>
              <w:rPr>
                <w:b/>
              </w:rPr>
            </w:pPr>
            <w:r>
              <w:rPr>
                <w:b/>
              </w:rPr>
              <w:t>Organisational influences</w:t>
            </w:r>
          </w:p>
          <w:p w14:paraId="29650A6B" w14:textId="77777777" w:rsidR="00DB1F2B" w:rsidRDefault="00DB1F2B" w:rsidP="00DB1F2B">
            <w:pPr>
              <w:pStyle w:val="ListParagraph"/>
              <w:numPr>
                <w:ilvl w:val="0"/>
                <w:numId w:val="3"/>
              </w:numPr>
            </w:pPr>
            <w:r>
              <w:rPr>
                <w:b/>
              </w:rPr>
              <w:t>Poor operational processes</w:t>
            </w:r>
            <w:r>
              <w:t xml:space="preserve">: These are issues with how things are meant to happen within an organisation. They include inadequate </w:t>
            </w:r>
            <w:r>
              <w:rPr>
                <w:i/>
              </w:rPr>
              <w:t>operations</w:t>
            </w:r>
            <w:r>
              <w:t xml:space="preserve"> (structured systems in place to deliver care), </w:t>
            </w:r>
            <w:r>
              <w:rPr>
                <w:i/>
              </w:rPr>
              <w:t>inadequate procedures</w:t>
            </w:r>
            <w:r>
              <w:t xml:space="preserve"> (such as standard operating procedures) and the </w:t>
            </w:r>
            <w:r>
              <w:rPr>
                <w:i/>
              </w:rPr>
              <w:t>oversight</w:t>
            </w:r>
            <w:r>
              <w:t xml:space="preserve"> of safety within an organisation.</w:t>
            </w:r>
          </w:p>
          <w:p w14:paraId="244D8550" w14:textId="77777777" w:rsidR="00DB1F2B" w:rsidRDefault="00DB1F2B" w:rsidP="006E4058">
            <w:pPr>
              <w:pStyle w:val="ListParagraph"/>
              <w:ind w:left="644"/>
            </w:pPr>
          </w:p>
          <w:p w14:paraId="4D000AC1" w14:textId="77777777" w:rsidR="00DB1F2B" w:rsidRDefault="00DB1F2B" w:rsidP="00DB1F2B">
            <w:pPr>
              <w:pStyle w:val="ListParagraph"/>
              <w:numPr>
                <w:ilvl w:val="0"/>
                <w:numId w:val="3"/>
              </w:numPr>
            </w:pPr>
            <w:r>
              <w:rPr>
                <w:b/>
              </w:rPr>
              <w:t>Resource management:</w:t>
            </w:r>
            <w:r>
              <w:t xml:space="preserve"> Factors relating to human and financial resources and hardware availability for adequate functioning of an organisation.</w:t>
            </w:r>
          </w:p>
          <w:p w14:paraId="15A96CE7" w14:textId="77777777" w:rsidR="00DB1F2B" w:rsidRDefault="00DB1F2B" w:rsidP="006E4058">
            <w:pPr>
              <w:pStyle w:val="ListParagraph"/>
            </w:pPr>
          </w:p>
          <w:p w14:paraId="1FC384C7" w14:textId="77777777" w:rsidR="00DB1F2B" w:rsidRDefault="00DB1F2B" w:rsidP="00DB1F2B">
            <w:pPr>
              <w:pStyle w:val="ListParagraph"/>
              <w:numPr>
                <w:ilvl w:val="0"/>
                <w:numId w:val="3"/>
              </w:numPr>
            </w:pPr>
            <w:r>
              <w:rPr>
                <w:b/>
              </w:rPr>
              <w:t>Organisational culture:</w:t>
            </w:r>
            <w:r>
              <w:t xml:space="preserve"> The unspoken rules and habits governing how things get done within an organisation</w:t>
            </w:r>
          </w:p>
          <w:p w14:paraId="2AC99C3D" w14:textId="77777777" w:rsidR="00DB1F2B" w:rsidRDefault="00DB1F2B" w:rsidP="006E4058"/>
        </w:tc>
        <w:tc>
          <w:tcPr>
            <w:tcW w:w="4495" w:type="dxa"/>
            <w:tcBorders>
              <w:top w:val="single" w:sz="4" w:space="0" w:color="auto"/>
              <w:left w:val="single" w:sz="4" w:space="0" w:color="auto"/>
              <w:bottom w:val="single" w:sz="4" w:space="0" w:color="auto"/>
              <w:right w:val="single" w:sz="4" w:space="0" w:color="auto"/>
            </w:tcBorders>
          </w:tcPr>
          <w:p w14:paraId="137B90C0" w14:textId="77777777" w:rsidR="00DB1F2B" w:rsidRDefault="00DB1F2B" w:rsidP="006E4058"/>
          <w:p w14:paraId="066CDF42" w14:textId="77777777" w:rsidR="00DB1F2B" w:rsidRDefault="00DB1F2B" w:rsidP="006E4058">
            <w:r>
              <w:t>Diller et al. does not include issues with organisational policies here.</w:t>
            </w:r>
          </w:p>
          <w:p w14:paraId="19BDA1B9" w14:textId="77777777" w:rsidR="00DB1F2B" w:rsidRDefault="00DB1F2B" w:rsidP="006E4058"/>
          <w:p w14:paraId="1AF1F945" w14:textId="77777777" w:rsidR="00DB1F2B" w:rsidRDefault="00DB1F2B" w:rsidP="006E4058"/>
          <w:p w14:paraId="4FF49558" w14:textId="77777777" w:rsidR="00DB1F2B" w:rsidRDefault="00DB1F2B" w:rsidP="006E4058"/>
          <w:p w14:paraId="75124388" w14:textId="77777777" w:rsidR="00DB1F2B" w:rsidRDefault="00DB1F2B" w:rsidP="006E4058"/>
          <w:p w14:paraId="4CE87C52" w14:textId="528C8307" w:rsidR="00DB1F2B" w:rsidRDefault="008B3202" w:rsidP="006E4058">
            <w:r>
              <w:br/>
            </w:r>
            <w:r w:rsidR="00DB1F2B">
              <w:t>No changes.</w:t>
            </w:r>
          </w:p>
          <w:p w14:paraId="0DF62C8F" w14:textId="77777777" w:rsidR="00DB1F2B" w:rsidRDefault="00DB1F2B" w:rsidP="006E4058"/>
          <w:p w14:paraId="37AC196F" w14:textId="5E2F2ADF" w:rsidR="00DB1F2B" w:rsidRDefault="008B3202" w:rsidP="006E4058">
            <w:r>
              <w:br/>
            </w:r>
            <w:r>
              <w:br/>
            </w:r>
            <w:r w:rsidR="00DB1F2B">
              <w:t>Diller et al. label this factor as “organisational climate” and it covers both organisational culture and policies in place.</w:t>
            </w:r>
          </w:p>
        </w:tc>
      </w:tr>
      <w:tr w:rsidR="00DB1F2B" w14:paraId="1526C2F8" w14:textId="77777777" w:rsidTr="006E4058">
        <w:tc>
          <w:tcPr>
            <w:tcW w:w="4521" w:type="dxa"/>
            <w:tcBorders>
              <w:top w:val="single" w:sz="4" w:space="0" w:color="auto"/>
              <w:left w:val="single" w:sz="4" w:space="0" w:color="auto"/>
              <w:bottom w:val="single" w:sz="4" w:space="0" w:color="auto"/>
              <w:right w:val="single" w:sz="4" w:space="0" w:color="auto"/>
            </w:tcBorders>
          </w:tcPr>
          <w:p w14:paraId="3D4D91E4" w14:textId="77777777" w:rsidR="00DB1F2B" w:rsidRPr="00BC29BA" w:rsidRDefault="00DB1F2B" w:rsidP="006E4058">
            <w:pPr>
              <w:rPr>
                <w:b/>
              </w:rPr>
            </w:pPr>
            <w:r>
              <w:rPr>
                <w:b/>
              </w:rPr>
              <w:t>Extra-organisational issues</w:t>
            </w:r>
          </w:p>
          <w:p w14:paraId="63E2B8A2" w14:textId="77777777" w:rsidR="00DB1F2B" w:rsidRDefault="00DB1F2B" w:rsidP="00DB1F2B">
            <w:pPr>
              <w:pStyle w:val="ListParagraph"/>
              <w:numPr>
                <w:ilvl w:val="0"/>
                <w:numId w:val="3"/>
              </w:numPr>
            </w:pPr>
            <w:r>
              <w:t>Issues identified at this level correspond to problems which are beyond the remit of the organisation investigating the incident. Some may have been identified as “preconditions for unsafe acts”. Examples include issues with product design, financial constraints from local commissioning bodies</w:t>
            </w:r>
          </w:p>
        </w:tc>
        <w:tc>
          <w:tcPr>
            <w:tcW w:w="4495" w:type="dxa"/>
            <w:tcBorders>
              <w:top w:val="single" w:sz="4" w:space="0" w:color="auto"/>
              <w:left w:val="single" w:sz="4" w:space="0" w:color="auto"/>
              <w:bottom w:val="single" w:sz="4" w:space="0" w:color="auto"/>
              <w:right w:val="single" w:sz="4" w:space="0" w:color="auto"/>
            </w:tcBorders>
            <w:hideMark/>
          </w:tcPr>
          <w:p w14:paraId="0BD212C5" w14:textId="77777777" w:rsidR="00DB1F2B" w:rsidRDefault="00DB1F2B" w:rsidP="006E4058">
            <w:pPr>
              <w:keepNext/>
            </w:pPr>
            <w:r>
              <w:t>Not identified in Diller et al.</w:t>
            </w:r>
          </w:p>
        </w:tc>
      </w:tr>
    </w:tbl>
    <w:p w14:paraId="0B126ECD" w14:textId="77777777" w:rsidR="00DB1F2B" w:rsidRPr="00BC29BA" w:rsidRDefault="00DB1F2B" w:rsidP="00DB1F2B">
      <w:pPr>
        <w:pStyle w:val="Caption"/>
        <w:jc w:val="center"/>
        <w:rPr>
          <w:sz w:val="24"/>
          <w:szCs w:val="24"/>
        </w:rPr>
      </w:pPr>
      <w:bookmarkStart w:id="2" w:name="_Toc60611574"/>
      <w:bookmarkStart w:id="3" w:name="_Toc41512018"/>
      <w:r w:rsidRPr="00B353FF">
        <w:rPr>
          <w:sz w:val="24"/>
          <w:szCs w:val="24"/>
        </w:rPr>
        <w:t xml:space="preserve">Description of </w:t>
      </w:r>
      <w:r>
        <w:rPr>
          <w:sz w:val="24"/>
          <w:szCs w:val="24"/>
        </w:rPr>
        <w:t xml:space="preserve">different levels of contributory factors </w:t>
      </w:r>
      <w:r w:rsidRPr="00B353FF">
        <w:rPr>
          <w:sz w:val="24"/>
          <w:szCs w:val="24"/>
        </w:rPr>
        <w:t>in the modified HFACS framework and comparison with the HFACS framework devised by Diller et al.</w:t>
      </w:r>
      <w:bookmarkEnd w:id="2"/>
      <w:bookmarkEnd w:id="3"/>
      <w:r w:rsidRPr="00BC29BA">
        <w:rPr>
          <w:sz w:val="24"/>
          <w:szCs w:val="24"/>
        </w:rPr>
        <w:t xml:space="preserve"> </w:t>
      </w:r>
    </w:p>
    <w:p w14:paraId="4B14529D" w14:textId="251CD35F" w:rsidR="007D5726" w:rsidRPr="003B51FD" w:rsidRDefault="007D5726" w:rsidP="003B51FD">
      <w:pPr>
        <w:autoSpaceDE/>
        <w:autoSpaceDN/>
        <w:adjustRightInd/>
        <w:spacing w:after="160" w:line="259" w:lineRule="auto"/>
        <w:rPr>
          <w:rFonts w:ascii="Georgia" w:hAnsi="Georgia" w:cs="Georgia"/>
          <w:sz w:val="36"/>
          <w:szCs w:val="36"/>
        </w:rPr>
      </w:pPr>
      <w:bookmarkStart w:id="4" w:name="_Appendix_E:_Modified"/>
      <w:bookmarkEnd w:id="4"/>
    </w:p>
    <w:sectPr w:rsidR="007D5726" w:rsidRPr="003B51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eorgiaPro-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D2C2D"/>
    <w:multiLevelType w:val="multilevel"/>
    <w:tmpl w:val="969EB868"/>
    <w:lvl w:ilvl="0">
      <w:start w:val="1"/>
      <w:numFmt w:val="decimal"/>
      <w:lvlText w:val="%1"/>
      <w:lvlJc w:val="left"/>
      <w:pPr>
        <w:ind w:left="432" w:hanging="432"/>
      </w:pPr>
    </w:lvl>
    <w:lvl w:ilvl="1">
      <w:start w:val="1"/>
      <w:numFmt w:val="decimal"/>
      <w:lvlText w:val="%1.%2"/>
      <w:lvlJc w:val="left"/>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4E4754A"/>
    <w:multiLevelType w:val="multilevel"/>
    <w:tmpl w:val="C6880D5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rPr>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58C83EF7"/>
    <w:multiLevelType w:val="hybridMultilevel"/>
    <w:tmpl w:val="D25A8792"/>
    <w:lvl w:ilvl="0" w:tplc="A36E3830">
      <w:start w:val="2"/>
      <w:numFmt w:val="bullet"/>
      <w:lvlText w:val="-"/>
      <w:lvlJc w:val="left"/>
      <w:pPr>
        <w:ind w:left="644" w:hanging="360"/>
      </w:pPr>
      <w:rPr>
        <w:rFonts w:ascii="Calibri" w:eastAsiaTheme="minorHAnsi" w:hAnsi="Calibri" w:cstheme="minorBidi"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num w:numId="1" w16cid:durableId="1273897617">
    <w:abstractNumId w:val="1"/>
  </w:num>
  <w:num w:numId="2" w16cid:durableId="99497185">
    <w:abstractNumId w:val="0"/>
  </w:num>
  <w:num w:numId="3" w16cid:durableId="1361197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2B"/>
    <w:rsid w:val="003B51FD"/>
    <w:rsid w:val="004B1F15"/>
    <w:rsid w:val="005453FF"/>
    <w:rsid w:val="005D23A8"/>
    <w:rsid w:val="006E4058"/>
    <w:rsid w:val="007D5726"/>
    <w:rsid w:val="008B3202"/>
    <w:rsid w:val="00DB1F2B"/>
    <w:rsid w:val="00DF65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DB14"/>
  <w15:docId w15:val="{37572D3A-EF8A-403F-A50A-CE2A473B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F2B"/>
    <w:pPr>
      <w:autoSpaceDE w:val="0"/>
      <w:autoSpaceDN w:val="0"/>
      <w:adjustRightInd w:val="0"/>
      <w:spacing w:after="240" w:line="360" w:lineRule="auto"/>
    </w:pPr>
    <w:rPr>
      <w:sz w:val="24"/>
      <w:szCs w:val="24"/>
    </w:rPr>
  </w:style>
  <w:style w:type="paragraph" w:styleId="Heading1">
    <w:name w:val="heading 1"/>
    <w:basedOn w:val="Normal"/>
    <w:next w:val="Normal"/>
    <w:link w:val="Heading1Char"/>
    <w:uiPriority w:val="9"/>
    <w:qFormat/>
    <w:rsid w:val="00DB1F2B"/>
    <w:pPr>
      <w:numPr>
        <w:numId w:val="1"/>
      </w:numPr>
      <w:spacing w:before="240"/>
      <w:outlineLvl w:val="0"/>
    </w:pPr>
    <w:rPr>
      <w:rFonts w:ascii="Georgia" w:hAnsi="Georgia" w:cs="GeorgiaPro-Regular"/>
      <w:sz w:val="56"/>
      <w:szCs w:val="56"/>
    </w:rPr>
  </w:style>
  <w:style w:type="paragraph" w:styleId="Heading2">
    <w:name w:val="heading 2"/>
    <w:basedOn w:val="Normal"/>
    <w:next w:val="Normal"/>
    <w:link w:val="Heading2Char"/>
    <w:uiPriority w:val="9"/>
    <w:unhideWhenUsed/>
    <w:qFormat/>
    <w:rsid w:val="00DB1F2B"/>
    <w:pPr>
      <w:numPr>
        <w:ilvl w:val="1"/>
        <w:numId w:val="1"/>
      </w:numPr>
      <w:spacing w:before="240"/>
      <w:outlineLvl w:val="1"/>
    </w:pPr>
    <w:rPr>
      <w:rFonts w:ascii="Georgia" w:hAnsi="Georgia" w:cs="Georgia"/>
      <w:sz w:val="36"/>
      <w:szCs w:val="36"/>
    </w:rPr>
  </w:style>
  <w:style w:type="paragraph" w:styleId="Heading3">
    <w:name w:val="heading 3"/>
    <w:basedOn w:val="Heading4"/>
    <w:next w:val="Normal"/>
    <w:link w:val="Heading3Char"/>
    <w:uiPriority w:val="9"/>
    <w:unhideWhenUsed/>
    <w:qFormat/>
    <w:rsid w:val="00DB1F2B"/>
    <w:pPr>
      <w:numPr>
        <w:ilvl w:val="2"/>
      </w:numPr>
      <w:outlineLvl w:val="2"/>
    </w:pPr>
    <w:rPr>
      <w:color w:val="5B9BD5" w:themeColor="accent1"/>
    </w:rPr>
  </w:style>
  <w:style w:type="paragraph" w:styleId="Heading4">
    <w:name w:val="heading 4"/>
    <w:basedOn w:val="Normal"/>
    <w:next w:val="Normal"/>
    <w:link w:val="Heading4Char"/>
    <w:uiPriority w:val="9"/>
    <w:unhideWhenUsed/>
    <w:qFormat/>
    <w:rsid w:val="00DB1F2B"/>
    <w:pPr>
      <w:numPr>
        <w:ilvl w:val="3"/>
        <w:numId w:val="1"/>
      </w:numPr>
      <w:spacing w:before="240" w:after="0"/>
      <w:outlineLvl w:val="3"/>
    </w:pPr>
    <w:rPr>
      <w:b/>
      <w:bCs/>
    </w:rPr>
  </w:style>
  <w:style w:type="paragraph" w:styleId="Heading6">
    <w:name w:val="heading 6"/>
    <w:basedOn w:val="Normal"/>
    <w:next w:val="Normal"/>
    <w:link w:val="Heading6Char"/>
    <w:uiPriority w:val="9"/>
    <w:unhideWhenUsed/>
    <w:rsid w:val="00DB1F2B"/>
    <w:pPr>
      <w:keepNext/>
      <w:keepLines/>
      <w:numPr>
        <w:ilvl w:val="5"/>
        <w:numId w:val="1"/>
      </w:numPr>
      <w:spacing w:before="40" w:after="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iPriority w:val="9"/>
    <w:unhideWhenUsed/>
    <w:qFormat/>
    <w:rsid w:val="00DB1F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DB1F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B1F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F2B"/>
    <w:rPr>
      <w:rFonts w:ascii="Georgia" w:hAnsi="Georgia" w:cs="GeorgiaPro-Regular"/>
      <w:sz w:val="56"/>
      <w:szCs w:val="56"/>
    </w:rPr>
  </w:style>
  <w:style w:type="character" w:customStyle="1" w:styleId="Heading2Char">
    <w:name w:val="Heading 2 Char"/>
    <w:basedOn w:val="DefaultParagraphFont"/>
    <w:link w:val="Heading2"/>
    <w:uiPriority w:val="9"/>
    <w:rsid w:val="00DB1F2B"/>
    <w:rPr>
      <w:rFonts w:ascii="Georgia" w:hAnsi="Georgia" w:cs="Georgia"/>
      <w:sz w:val="36"/>
      <w:szCs w:val="36"/>
    </w:rPr>
  </w:style>
  <w:style w:type="character" w:customStyle="1" w:styleId="Heading3Char">
    <w:name w:val="Heading 3 Char"/>
    <w:basedOn w:val="DefaultParagraphFont"/>
    <w:link w:val="Heading3"/>
    <w:uiPriority w:val="9"/>
    <w:rsid w:val="00DB1F2B"/>
    <w:rPr>
      <w:b/>
      <w:bCs/>
      <w:color w:val="5B9BD5" w:themeColor="accent1"/>
      <w:sz w:val="24"/>
      <w:szCs w:val="24"/>
    </w:rPr>
  </w:style>
  <w:style w:type="character" w:customStyle="1" w:styleId="Heading4Char">
    <w:name w:val="Heading 4 Char"/>
    <w:basedOn w:val="DefaultParagraphFont"/>
    <w:link w:val="Heading4"/>
    <w:uiPriority w:val="9"/>
    <w:rsid w:val="00DB1F2B"/>
    <w:rPr>
      <w:b/>
      <w:bCs/>
      <w:sz w:val="24"/>
      <w:szCs w:val="24"/>
    </w:rPr>
  </w:style>
  <w:style w:type="character" w:customStyle="1" w:styleId="Heading6Char">
    <w:name w:val="Heading 6 Char"/>
    <w:basedOn w:val="DefaultParagraphFont"/>
    <w:link w:val="Heading6"/>
    <w:uiPriority w:val="9"/>
    <w:rsid w:val="00DB1F2B"/>
    <w:rPr>
      <w:rFonts w:asciiTheme="majorHAnsi" w:eastAsiaTheme="majorEastAsia" w:hAnsiTheme="majorHAnsi" w:cstheme="majorBidi"/>
      <w:color w:val="5B9BD5" w:themeColor="accent1"/>
      <w:sz w:val="24"/>
      <w:szCs w:val="24"/>
    </w:rPr>
  </w:style>
  <w:style w:type="character" w:customStyle="1" w:styleId="Heading7Char">
    <w:name w:val="Heading 7 Char"/>
    <w:basedOn w:val="DefaultParagraphFont"/>
    <w:link w:val="Heading7"/>
    <w:uiPriority w:val="9"/>
    <w:rsid w:val="00DB1F2B"/>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rsid w:val="00DB1F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B1F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DB1F2B"/>
    <w:pPr>
      <w:ind w:left="720"/>
      <w:contextualSpacing/>
    </w:pPr>
  </w:style>
  <w:style w:type="character" w:customStyle="1" w:styleId="ListParagraphChar">
    <w:name w:val="List Paragraph Char"/>
    <w:basedOn w:val="DefaultParagraphFont"/>
    <w:link w:val="ListParagraph"/>
    <w:uiPriority w:val="34"/>
    <w:rsid w:val="00DB1F2B"/>
    <w:rPr>
      <w:sz w:val="24"/>
      <w:szCs w:val="24"/>
    </w:rPr>
  </w:style>
  <w:style w:type="table" w:styleId="TableGrid">
    <w:name w:val="Table Grid"/>
    <w:basedOn w:val="TableNormal"/>
    <w:uiPriority w:val="39"/>
    <w:rsid w:val="00DB1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B1F2B"/>
    <w:pPr>
      <w:spacing w:after="200"/>
      <w:jc w:val="right"/>
    </w:pPr>
    <w:rPr>
      <w:i/>
      <w:iCs/>
      <w:sz w:val="18"/>
      <w:szCs w:val="18"/>
    </w:rPr>
  </w:style>
  <w:style w:type="character" w:styleId="CommentReference">
    <w:name w:val="annotation reference"/>
    <w:basedOn w:val="DefaultParagraphFont"/>
    <w:uiPriority w:val="99"/>
    <w:semiHidden/>
    <w:unhideWhenUsed/>
    <w:rsid w:val="00DB1F2B"/>
    <w:rPr>
      <w:sz w:val="16"/>
      <w:szCs w:val="16"/>
    </w:rPr>
  </w:style>
  <w:style w:type="paragraph" w:styleId="CommentText">
    <w:name w:val="annotation text"/>
    <w:basedOn w:val="Normal"/>
    <w:link w:val="CommentTextChar"/>
    <w:uiPriority w:val="99"/>
    <w:semiHidden/>
    <w:unhideWhenUsed/>
    <w:rsid w:val="00DB1F2B"/>
    <w:pPr>
      <w:spacing w:line="240" w:lineRule="auto"/>
    </w:pPr>
    <w:rPr>
      <w:sz w:val="20"/>
      <w:szCs w:val="20"/>
    </w:rPr>
  </w:style>
  <w:style w:type="character" w:customStyle="1" w:styleId="CommentTextChar">
    <w:name w:val="Comment Text Char"/>
    <w:basedOn w:val="DefaultParagraphFont"/>
    <w:link w:val="CommentText"/>
    <w:uiPriority w:val="99"/>
    <w:semiHidden/>
    <w:rsid w:val="00DB1F2B"/>
    <w:rPr>
      <w:sz w:val="20"/>
      <w:szCs w:val="20"/>
    </w:rPr>
  </w:style>
  <w:style w:type="paragraph" w:styleId="CommentSubject">
    <w:name w:val="annotation subject"/>
    <w:basedOn w:val="CommentText"/>
    <w:next w:val="CommentText"/>
    <w:link w:val="CommentSubjectChar"/>
    <w:uiPriority w:val="99"/>
    <w:semiHidden/>
    <w:unhideWhenUsed/>
    <w:rsid w:val="00DB1F2B"/>
    <w:rPr>
      <w:b/>
      <w:bCs/>
    </w:rPr>
  </w:style>
  <w:style w:type="character" w:customStyle="1" w:styleId="CommentSubjectChar">
    <w:name w:val="Comment Subject Char"/>
    <w:basedOn w:val="CommentTextChar"/>
    <w:link w:val="CommentSubject"/>
    <w:uiPriority w:val="99"/>
    <w:semiHidden/>
    <w:rsid w:val="00DB1F2B"/>
    <w:rPr>
      <w:b/>
      <w:bCs/>
      <w:sz w:val="20"/>
      <w:szCs w:val="20"/>
    </w:rPr>
  </w:style>
  <w:style w:type="paragraph" w:styleId="BalloonText">
    <w:name w:val="Balloon Text"/>
    <w:basedOn w:val="Normal"/>
    <w:link w:val="BalloonTextChar"/>
    <w:uiPriority w:val="99"/>
    <w:semiHidden/>
    <w:unhideWhenUsed/>
    <w:rsid w:val="00DB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5</Pages>
  <Words>749</Words>
  <Characters>4271</Characters>
  <Application>Microsoft Office Word</Application>
  <DocSecurity>0</DocSecurity>
  <Lines>35</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Supplementary material B: The modified HFACS framework applied to serious incide</vt:lpstr>
    </vt:vector>
  </TitlesOfParts>
  <Company>University of Leicester</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Peerally, Mohammad Farhad (Dr.)</dc:creator>
  <cp:keywords/>
  <dc:description/>
  <cp:lastModifiedBy>Farhad Peerally</cp:lastModifiedBy>
  <cp:revision>4</cp:revision>
  <dcterms:created xsi:type="dcterms:W3CDTF">2022-06-28T00:23:00Z</dcterms:created>
  <dcterms:modified xsi:type="dcterms:W3CDTF">2022-06-28T22:01:00Z</dcterms:modified>
</cp:coreProperties>
</file>