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B481C" w14:textId="632C39B9" w:rsidR="00F76A33" w:rsidRPr="00F76A33" w:rsidRDefault="00F76A33" w:rsidP="00F76A33">
      <w:pPr>
        <w:spacing w:line="480" w:lineRule="auto"/>
        <w:jc w:val="center"/>
        <w:rPr>
          <w:rFonts w:asciiTheme="majorHAnsi" w:hAnsiTheme="majorHAnsi" w:cstheme="majorHAnsi"/>
          <w:b/>
          <w:bCs/>
          <w:color w:val="000000"/>
          <w:sz w:val="28"/>
          <w:szCs w:val="28"/>
        </w:rPr>
      </w:pPr>
      <w:r w:rsidRPr="00F76A33">
        <w:rPr>
          <w:rFonts w:asciiTheme="majorHAnsi" w:hAnsiTheme="majorHAnsi" w:cstheme="majorHAnsi"/>
          <w:b/>
          <w:bCs/>
          <w:color w:val="000000"/>
          <w:sz w:val="28"/>
          <w:szCs w:val="28"/>
        </w:rPr>
        <w:t>The impact, effectiveness and outcomes of targeted screening thresholds for programmatic latent TB infection testing in HIV: cohort study result</w:t>
      </w:r>
      <w:r w:rsidR="00514488">
        <w:rPr>
          <w:rFonts w:asciiTheme="majorHAnsi" w:hAnsiTheme="majorHAnsi" w:cstheme="majorHAnsi"/>
          <w:b/>
          <w:bCs/>
          <w:color w:val="000000"/>
          <w:sz w:val="28"/>
          <w:szCs w:val="28"/>
        </w:rPr>
        <w:t>s</w:t>
      </w:r>
    </w:p>
    <w:p w14:paraId="3B7810FD" w14:textId="77777777" w:rsidR="00B3316D" w:rsidRDefault="00B3316D" w:rsidP="00870E69">
      <w:pPr>
        <w:spacing w:line="480" w:lineRule="auto"/>
        <w:rPr>
          <w:rFonts w:asciiTheme="majorHAnsi" w:hAnsiTheme="majorHAnsi" w:cstheme="majorHAnsi"/>
          <w:b/>
          <w:bCs/>
        </w:rPr>
      </w:pPr>
    </w:p>
    <w:p w14:paraId="3887A382" w14:textId="55DA86F4" w:rsidR="00870E69" w:rsidRPr="00F76A33" w:rsidRDefault="00870E69" w:rsidP="00870E69">
      <w:pPr>
        <w:spacing w:line="480" w:lineRule="auto"/>
        <w:rPr>
          <w:rFonts w:asciiTheme="majorHAnsi" w:hAnsiTheme="majorHAnsi" w:cstheme="majorHAnsi"/>
          <w:b/>
          <w:bCs/>
        </w:rPr>
      </w:pPr>
      <w:r w:rsidRPr="00F76A33">
        <w:rPr>
          <w:rFonts w:asciiTheme="majorHAnsi" w:hAnsiTheme="majorHAnsi" w:cstheme="majorHAnsi"/>
          <w:b/>
          <w:bCs/>
        </w:rPr>
        <w:t>Short title: Optimal latent TB testing threshold in HIV</w:t>
      </w:r>
    </w:p>
    <w:p w14:paraId="4C6EE881" w14:textId="77777777" w:rsidR="00B3316D" w:rsidRDefault="00B3316D" w:rsidP="009B69AB">
      <w:pPr>
        <w:spacing w:line="480" w:lineRule="auto"/>
        <w:rPr>
          <w:rFonts w:asciiTheme="majorHAnsi" w:hAnsiTheme="majorHAnsi" w:cstheme="majorHAnsi"/>
        </w:rPr>
      </w:pPr>
    </w:p>
    <w:p w14:paraId="7C631D5A" w14:textId="0707AC70" w:rsidR="0034083B" w:rsidRPr="008C5782" w:rsidRDefault="00267D92" w:rsidP="009B69AB">
      <w:pPr>
        <w:spacing w:line="480" w:lineRule="auto"/>
        <w:rPr>
          <w:rFonts w:asciiTheme="majorHAnsi" w:hAnsiTheme="majorHAnsi" w:cstheme="majorHAnsi"/>
          <w:vertAlign w:val="superscript"/>
        </w:rPr>
      </w:pPr>
      <w:r>
        <w:rPr>
          <w:rFonts w:asciiTheme="majorHAnsi" w:hAnsiTheme="majorHAnsi" w:cstheme="majorHAnsi"/>
        </w:rPr>
        <w:t xml:space="preserve">Helena A </w:t>
      </w:r>
      <w:r w:rsidR="00303EE3">
        <w:rPr>
          <w:rFonts w:asciiTheme="majorHAnsi" w:hAnsiTheme="majorHAnsi" w:cstheme="majorHAnsi"/>
        </w:rPr>
        <w:t>WHITE</w:t>
      </w:r>
      <w:r w:rsidR="00E46258" w:rsidRPr="008C5782">
        <w:rPr>
          <w:rFonts w:asciiTheme="majorHAnsi" w:hAnsiTheme="majorHAnsi" w:cstheme="majorHAnsi"/>
        </w:rPr>
        <w:t xml:space="preserve"> MD</w:t>
      </w:r>
      <w:r w:rsidR="0034083B" w:rsidRPr="008C5782">
        <w:rPr>
          <w:rFonts w:asciiTheme="majorHAnsi" w:hAnsiTheme="majorHAnsi" w:cstheme="majorHAnsi"/>
          <w:vertAlign w:val="superscript"/>
        </w:rPr>
        <w:t>1</w:t>
      </w:r>
      <w:r w:rsidR="00DF676F" w:rsidRPr="008C5782">
        <w:rPr>
          <w:rFonts w:asciiTheme="majorHAnsi" w:hAnsiTheme="majorHAnsi" w:cstheme="majorHAnsi"/>
          <w:vertAlign w:val="superscript"/>
        </w:rPr>
        <w:t>,2</w:t>
      </w:r>
      <w:r w:rsidR="0034083B" w:rsidRPr="008C5782">
        <w:rPr>
          <w:rFonts w:asciiTheme="majorHAnsi" w:hAnsiTheme="majorHAnsi" w:cstheme="majorHAnsi"/>
        </w:rPr>
        <w:t xml:space="preserve">, </w:t>
      </w:r>
      <w:r>
        <w:rPr>
          <w:rFonts w:asciiTheme="majorHAnsi" w:hAnsiTheme="majorHAnsi" w:cstheme="majorHAnsi"/>
        </w:rPr>
        <w:t xml:space="preserve">Rebecca F </w:t>
      </w:r>
      <w:r w:rsidR="00303EE3">
        <w:rPr>
          <w:rFonts w:asciiTheme="majorHAnsi" w:hAnsiTheme="majorHAnsi" w:cstheme="majorHAnsi"/>
        </w:rPr>
        <w:t>BAGGALEY</w:t>
      </w:r>
      <w:r w:rsidR="001C787A" w:rsidRPr="008C5782">
        <w:rPr>
          <w:rFonts w:asciiTheme="majorHAnsi" w:hAnsiTheme="majorHAnsi" w:cstheme="majorHAnsi"/>
        </w:rPr>
        <w:t xml:space="preserve"> PhD</w:t>
      </w:r>
      <w:r w:rsidR="0034083B" w:rsidRPr="008C5782">
        <w:rPr>
          <w:rFonts w:asciiTheme="majorHAnsi" w:hAnsiTheme="majorHAnsi" w:cstheme="majorHAnsi"/>
          <w:vertAlign w:val="superscript"/>
        </w:rPr>
        <w:t>2</w:t>
      </w:r>
      <w:r w:rsidR="0034083B" w:rsidRPr="008C5782">
        <w:rPr>
          <w:rFonts w:asciiTheme="majorHAnsi" w:hAnsiTheme="majorHAnsi" w:cstheme="majorHAnsi"/>
        </w:rPr>
        <w:t xml:space="preserve">, </w:t>
      </w:r>
      <w:r>
        <w:rPr>
          <w:rFonts w:asciiTheme="majorHAnsi" w:hAnsiTheme="majorHAnsi" w:cstheme="majorHAnsi"/>
        </w:rPr>
        <w:t xml:space="preserve">Hajra </w:t>
      </w:r>
      <w:r w:rsidR="00303EE3">
        <w:rPr>
          <w:rFonts w:asciiTheme="majorHAnsi" w:hAnsiTheme="majorHAnsi" w:cstheme="majorHAnsi"/>
        </w:rPr>
        <w:t>OKHAI</w:t>
      </w:r>
      <w:r w:rsidR="00E5556A" w:rsidRPr="008C5782">
        <w:rPr>
          <w:rFonts w:asciiTheme="majorHAnsi" w:hAnsiTheme="majorHAnsi" w:cstheme="majorHAnsi"/>
        </w:rPr>
        <w:t xml:space="preserve"> MSc</w:t>
      </w:r>
      <w:r w:rsidR="0034083B" w:rsidRPr="008C5782">
        <w:rPr>
          <w:rFonts w:asciiTheme="majorHAnsi" w:hAnsiTheme="majorHAnsi" w:cstheme="majorHAnsi"/>
          <w:vertAlign w:val="superscript"/>
        </w:rPr>
        <w:t>3</w:t>
      </w:r>
      <w:r w:rsidR="0034083B" w:rsidRPr="008C5782">
        <w:rPr>
          <w:rFonts w:asciiTheme="majorHAnsi" w:hAnsiTheme="majorHAnsi" w:cstheme="majorHAnsi"/>
        </w:rPr>
        <w:t>,</w:t>
      </w:r>
      <w:r w:rsidR="00E577CF" w:rsidRPr="008C5782">
        <w:rPr>
          <w:rFonts w:asciiTheme="majorHAnsi" w:hAnsiTheme="majorHAnsi" w:cstheme="majorHAnsi"/>
        </w:rPr>
        <w:t xml:space="preserve"> </w:t>
      </w:r>
      <w:r>
        <w:rPr>
          <w:rFonts w:asciiTheme="majorHAnsi" w:hAnsiTheme="majorHAnsi" w:cstheme="majorHAnsi"/>
        </w:rPr>
        <w:t xml:space="preserve">Hemu </w:t>
      </w:r>
      <w:r w:rsidR="00303EE3">
        <w:rPr>
          <w:rFonts w:asciiTheme="majorHAnsi" w:hAnsiTheme="majorHAnsi" w:cstheme="majorHAnsi"/>
        </w:rPr>
        <w:t>PATEL</w:t>
      </w:r>
      <w:r w:rsidR="00AA566E">
        <w:rPr>
          <w:rFonts w:asciiTheme="majorHAnsi" w:hAnsiTheme="majorHAnsi" w:cstheme="majorHAnsi"/>
        </w:rPr>
        <w:t xml:space="preserve"> </w:t>
      </w:r>
      <w:r w:rsidR="00EB5A91">
        <w:rPr>
          <w:rFonts w:asciiTheme="majorHAnsi" w:hAnsiTheme="majorHAnsi" w:cstheme="majorHAnsi"/>
        </w:rPr>
        <w:t>B</w:t>
      </w:r>
      <w:r w:rsidR="00AA566E">
        <w:rPr>
          <w:rFonts w:asciiTheme="majorHAnsi" w:hAnsiTheme="majorHAnsi" w:cstheme="majorHAnsi"/>
        </w:rPr>
        <w:t>Sc</w:t>
      </w:r>
      <w:r w:rsidR="00EF7E5A" w:rsidRPr="008C5782">
        <w:rPr>
          <w:rFonts w:asciiTheme="majorHAnsi" w:hAnsiTheme="majorHAnsi" w:cstheme="majorHAnsi"/>
          <w:vertAlign w:val="superscript"/>
        </w:rPr>
        <w:t>4</w:t>
      </w:r>
      <w:r w:rsidR="00966CB5" w:rsidRPr="008C5782">
        <w:rPr>
          <w:rFonts w:asciiTheme="majorHAnsi" w:hAnsiTheme="majorHAnsi" w:cstheme="majorHAnsi"/>
        </w:rPr>
        <w:t xml:space="preserve">, </w:t>
      </w:r>
      <w:r>
        <w:rPr>
          <w:rFonts w:asciiTheme="majorHAnsi" w:hAnsiTheme="majorHAnsi" w:cstheme="majorHAnsi"/>
        </w:rPr>
        <w:t xml:space="preserve">Iain </w:t>
      </w:r>
      <w:r w:rsidR="00303EE3">
        <w:rPr>
          <w:rFonts w:asciiTheme="majorHAnsi" w:hAnsiTheme="majorHAnsi" w:cstheme="majorHAnsi"/>
        </w:rPr>
        <w:t>STEPHENSON</w:t>
      </w:r>
      <w:r w:rsidR="00DF676F" w:rsidRPr="008C5782">
        <w:rPr>
          <w:rFonts w:asciiTheme="majorHAnsi" w:hAnsiTheme="majorHAnsi" w:cstheme="majorHAnsi"/>
        </w:rPr>
        <w:t xml:space="preserve"> MD</w:t>
      </w:r>
      <w:r w:rsidR="002C2DDD" w:rsidRPr="008C5782">
        <w:rPr>
          <w:rFonts w:asciiTheme="majorHAnsi" w:hAnsiTheme="majorHAnsi" w:cstheme="majorHAnsi"/>
          <w:vertAlign w:val="superscript"/>
        </w:rPr>
        <w:t>1</w:t>
      </w:r>
      <w:r w:rsidR="00EF7E5A" w:rsidRPr="008C5782">
        <w:rPr>
          <w:rFonts w:asciiTheme="majorHAnsi" w:hAnsiTheme="majorHAnsi" w:cstheme="majorHAnsi"/>
        </w:rPr>
        <w:t xml:space="preserve">, </w:t>
      </w:r>
      <w:r>
        <w:rPr>
          <w:rFonts w:asciiTheme="majorHAnsi" w:hAnsiTheme="majorHAnsi" w:cstheme="majorHAnsi"/>
        </w:rPr>
        <w:t xml:space="preserve">Chris </w:t>
      </w:r>
      <w:r w:rsidR="00303EE3">
        <w:rPr>
          <w:rFonts w:asciiTheme="majorHAnsi" w:hAnsiTheme="majorHAnsi" w:cstheme="majorHAnsi"/>
        </w:rPr>
        <w:t>BODIMEADE</w:t>
      </w:r>
      <w:r w:rsidR="00E5556A" w:rsidRPr="008C5782">
        <w:rPr>
          <w:rFonts w:asciiTheme="majorHAnsi" w:hAnsiTheme="majorHAnsi" w:cstheme="majorHAnsi"/>
        </w:rPr>
        <w:t xml:space="preserve"> MBChB</w:t>
      </w:r>
      <w:r w:rsidR="00EF7E5A" w:rsidRPr="008C5782">
        <w:rPr>
          <w:rFonts w:asciiTheme="majorHAnsi" w:hAnsiTheme="majorHAnsi" w:cstheme="majorHAnsi"/>
          <w:vertAlign w:val="superscript"/>
        </w:rPr>
        <w:t>1</w:t>
      </w:r>
      <w:r w:rsidR="002C2DDD" w:rsidRPr="008C5782">
        <w:rPr>
          <w:rFonts w:asciiTheme="majorHAnsi" w:hAnsiTheme="majorHAnsi" w:cstheme="majorHAnsi"/>
        </w:rPr>
        <w:t xml:space="preserve">, </w:t>
      </w:r>
      <w:r>
        <w:rPr>
          <w:rFonts w:asciiTheme="majorHAnsi" w:hAnsiTheme="majorHAnsi" w:cstheme="majorHAnsi"/>
        </w:rPr>
        <w:t xml:space="preserve">Martin J </w:t>
      </w:r>
      <w:r w:rsidR="00303EE3">
        <w:rPr>
          <w:rFonts w:asciiTheme="majorHAnsi" w:hAnsiTheme="majorHAnsi" w:cstheme="majorHAnsi"/>
        </w:rPr>
        <w:t>WISELKA</w:t>
      </w:r>
      <w:r w:rsidR="00DF676F" w:rsidRPr="008C5782">
        <w:rPr>
          <w:rFonts w:asciiTheme="majorHAnsi" w:hAnsiTheme="majorHAnsi" w:cstheme="majorHAnsi"/>
        </w:rPr>
        <w:t xml:space="preserve"> Ph</w:t>
      </w:r>
      <w:r w:rsidR="003D523C" w:rsidRPr="008C5782">
        <w:rPr>
          <w:rFonts w:asciiTheme="majorHAnsi" w:hAnsiTheme="majorHAnsi" w:cstheme="majorHAnsi"/>
        </w:rPr>
        <w:t>D</w:t>
      </w:r>
      <w:r w:rsidR="00EF7E5A" w:rsidRPr="008C5782">
        <w:rPr>
          <w:rFonts w:asciiTheme="majorHAnsi" w:hAnsiTheme="majorHAnsi" w:cstheme="majorHAnsi"/>
          <w:vertAlign w:val="superscript"/>
        </w:rPr>
        <w:t>1</w:t>
      </w:r>
      <w:r w:rsidR="00BC4452" w:rsidRPr="008C5782">
        <w:rPr>
          <w:rFonts w:asciiTheme="majorHAnsi" w:hAnsiTheme="majorHAnsi" w:cstheme="majorHAnsi"/>
        </w:rPr>
        <w:t xml:space="preserve">, </w:t>
      </w:r>
      <w:r>
        <w:rPr>
          <w:rFonts w:asciiTheme="majorHAnsi" w:hAnsiTheme="majorHAnsi" w:cstheme="majorHAnsi"/>
        </w:rPr>
        <w:t xml:space="preserve">Manish </w:t>
      </w:r>
      <w:r w:rsidR="00303EE3">
        <w:rPr>
          <w:rFonts w:asciiTheme="majorHAnsi" w:hAnsiTheme="majorHAnsi" w:cstheme="majorHAnsi"/>
        </w:rPr>
        <w:t>PAREEK</w:t>
      </w:r>
      <w:r w:rsidR="00E5556A" w:rsidRPr="008C5782">
        <w:rPr>
          <w:rFonts w:asciiTheme="majorHAnsi" w:hAnsiTheme="majorHAnsi" w:cstheme="majorHAnsi"/>
        </w:rPr>
        <w:t xml:space="preserve"> PhD</w:t>
      </w:r>
      <w:r w:rsidR="0034083B" w:rsidRPr="008C5782">
        <w:rPr>
          <w:rFonts w:asciiTheme="majorHAnsi" w:hAnsiTheme="majorHAnsi" w:cstheme="majorHAnsi"/>
          <w:vertAlign w:val="superscript"/>
        </w:rPr>
        <w:t>1,2</w:t>
      </w:r>
    </w:p>
    <w:p w14:paraId="3B7DCD5A" w14:textId="693AFB97" w:rsidR="0034083B" w:rsidRPr="008C5782" w:rsidRDefault="0034083B" w:rsidP="009B69AB">
      <w:pPr>
        <w:spacing w:line="480" w:lineRule="auto"/>
        <w:rPr>
          <w:rFonts w:asciiTheme="majorHAnsi" w:hAnsiTheme="majorHAnsi" w:cstheme="majorHAnsi"/>
        </w:rPr>
      </w:pPr>
      <w:r w:rsidRPr="008C5782">
        <w:rPr>
          <w:rFonts w:asciiTheme="majorHAnsi" w:hAnsiTheme="majorHAnsi" w:cstheme="majorHAnsi"/>
          <w:vertAlign w:val="superscript"/>
        </w:rPr>
        <w:t>1</w:t>
      </w:r>
      <w:r w:rsidRPr="008C5782">
        <w:rPr>
          <w:rFonts w:asciiTheme="majorHAnsi" w:hAnsiTheme="majorHAnsi" w:cstheme="majorHAnsi"/>
        </w:rPr>
        <w:t xml:space="preserve"> </w:t>
      </w:r>
      <w:r w:rsidRPr="008C5782">
        <w:rPr>
          <w:rFonts w:asciiTheme="majorHAnsi" w:hAnsiTheme="majorHAnsi" w:cstheme="majorHAnsi"/>
          <w:shd w:val="clear" w:color="auto" w:fill="FFFFFF"/>
        </w:rPr>
        <w:t>Department of Infection and HIV Medicine, University Hospitals o</w:t>
      </w:r>
      <w:r w:rsidR="00E46258" w:rsidRPr="008C5782">
        <w:rPr>
          <w:rFonts w:asciiTheme="majorHAnsi" w:hAnsiTheme="majorHAnsi" w:cstheme="majorHAnsi"/>
          <w:shd w:val="clear" w:color="auto" w:fill="FFFFFF"/>
        </w:rPr>
        <w:t>f Leicester NHS Trust, Infirmary Square, Leicester LE1 5WW</w:t>
      </w:r>
      <w:r w:rsidRPr="008C5782">
        <w:rPr>
          <w:rFonts w:asciiTheme="majorHAnsi" w:hAnsiTheme="majorHAnsi" w:cstheme="majorHAnsi"/>
          <w:shd w:val="clear" w:color="auto" w:fill="FFFFFF"/>
        </w:rPr>
        <w:t>, UK</w:t>
      </w:r>
    </w:p>
    <w:p w14:paraId="6678A239" w14:textId="1142C0E4" w:rsidR="0034083B" w:rsidRPr="008C5782" w:rsidRDefault="0034083B" w:rsidP="009B69AB">
      <w:pPr>
        <w:spacing w:line="480" w:lineRule="auto"/>
        <w:rPr>
          <w:rFonts w:asciiTheme="majorHAnsi" w:hAnsiTheme="majorHAnsi" w:cstheme="majorHAnsi"/>
          <w:shd w:val="clear" w:color="auto" w:fill="FFFFFF"/>
        </w:rPr>
      </w:pPr>
      <w:r w:rsidRPr="008C5782">
        <w:rPr>
          <w:rFonts w:asciiTheme="majorHAnsi" w:hAnsiTheme="majorHAnsi" w:cstheme="majorHAnsi"/>
          <w:vertAlign w:val="superscript"/>
        </w:rPr>
        <w:t>2</w:t>
      </w:r>
      <w:r w:rsidRPr="008C5782">
        <w:rPr>
          <w:rFonts w:asciiTheme="majorHAnsi" w:hAnsiTheme="majorHAnsi" w:cstheme="majorHAnsi"/>
          <w:shd w:val="clear" w:color="auto" w:fill="FFFFFF"/>
        </w:rPr>
        <w:t xml:space="preserve"> </w:t>
      </w:r>
      <w:proofErr w:type="gramStart"/>
      <w:r w:rsidRPr="008C5782">
        <w:rPr>
          <w:rFonts w:asciiTheme="majorHAnsi" w:hAnsiTheme="majorHAnsi" w:cstheme="majorHAnsi"/>
          <w:shd w:val="clear" w:color="auto" w:fill="FFFFFF"/>
        </w:rPr>
        <w:t>Department</w:t>
      </w:r>
      <w:proofErr w:type="gramEnd"/>
      <w:r w:rsidRPr="008C5782">
        <w:rPr>
          <w:rFonts w:asciiTheme="majorHAnsi" w:hAnsiTheme="majorHAnsi" w:cstheme="majorHAnsi"/>
          <w:shd w:val="clear" w:color="auto" w:fill="FFFFFF"/>
        </w:rPr>
        <w:t xml:space="preserve"> of Respiratory Sciences, University of Leicester, Leicester, LE1 7RH, UK</w:t>
      </w:r>
    </w:p>
    <w:p w14:paraId="48EEA798" w14:textId="51365C17" w:rsidR="0034083B" w:rsidRPr="008C5782" w:rsidRDefault="0034083B" w:rsidP="009B69AB">
      <w:pPr>
        <w:spacing w:line="480" w:lineRule="auto"/>
        <w:rPr>
          <w:rFonts w:asciiTheme="majorHAnsi" w:hAnsiTheme="majorHAnsi" w:cstheme="majorHAnsi"/>
          <w:shd w:val="clear" w:color="auto" w:fill="FFFFFF"/>
        </w:rPr>
      </w:pPr>
      <w:r w:rsidRPr="008C5782">
        <w:rPr>
          <w:rFonts w:asciiTheme="majorHAnsi" w:hAnsiTheme="majorHAnsi" w:cstheme="majorHAnsi"/>
          <w:vertAlign w:val="superscript"/>
        </w:rPr>
        <w:t>3</w:t>
      </w:r>
      <w:r w:rsidRPr="008C5782">
        <w:rPr>
          <w:rFonts w:asciiTheme="majorHAnsi" w:hAnsiTheme="majorHAnsi" w:cstheme="majorHAnsi"/>
          <w:shd w:val="clear" w:color="auto" w:fill="FFFFFF"/>
        </w:rPr>
        <w:t xml:space="preserve"> </w:t>
      </w:r>
      <w:proofErr w:type="gramStart"/>
      <w:r w:rsidR="004F2F00" w:rsidRPr="008C5782">
        <w:rPr>
          <w:rFonts w:asciiTheme="majorHAnsi" w:hAnsiTheme="majorHAnsi" w:cstheme="majorHAnsi"/>
          <w:shd w:val="clear" w:color="auto" w:fill="FFFFFF"/>
        </w:rPr>
        <w:t>Institute</w:t>
      </w:r>
      <w:proofErr w:type="gramEnd"/>
      <w:r w:rsidR="004F2F00" w:rsidRPr="008C5782">
        <w:rPr>
          <w:rFonts w:asciiTheme="majorHAnsi" w:hAnsiTheme="majorHAnsi" w:cstheme="majorHAnsi"/>
          <w:shd w:val="clear" w:color="auto" w:fill="FFFFFF"/>
        </w:rPr>
        <w:t xml:space="preserve"> for Global Health, University College London, London, </w:t>
      </w:r>
      <w:r w:rsidR="00E662EF" w:rsidRPr="008C5782">
        <w:rPr>
          <w:rFonts w:asciiTheme="majorHAnsi" w:hAnsiTheme="majorHAnsi" w:cstheme="majorHAnsi"/>
          <w:shd w:val="clear" w:color="auto" w:fill="FFFFFF"/>
        </w:rPr>
        <w:t>NW3 2PF, UK</w:t>
      </w:r>
    </w:p>
    <w:p w14:paraId="5C269114" w14:textId="5F2D743A" w:rsidR="00EF7E5A" w:rsidRPr="008C5782" w:rsidRDefault="00EF7E5A" w:rsidP="009B69AB">
      <w:pPr>
        <w:spacing w:line="480" w:lineRule="auto"/>
        <w:rPr>
          <w:rFonts w:asciiTheme="majorHAnsi" w:hAnsiTheme="majorHAnsi" w:cstheme="majorHAnsi"/>
        </w:rPr>
      </w:pPr>
      <w:r w:rsidRPr="008C5782">
        <w:rPr>
          <w:rFonts w:asciiTheme="majorHAnsi" w:hAnsiTheme="majorHAnsi" w:cstheme="majorHAnsi"/>
          <w:shd w:val="clear" w:color="auto" w:fill="FFFFFF"/>
          <w:vertAlign w:val="superscript"/>
        </w:rPr>
        <w:t xml:space="preserve">4 </w:t>
      </w:r>
      <w:r w:rsidRPr="008C5782">
        <w:rPr>
          <w:rFonts w:asciiTheme="majorHAnsi" w:hAnsiTheme="majorHAnsi" w:cstheme="majorHAnsi"/>
          <w:shd w:val="clear" w:color="auto" w:fill="FFFFFF"/>
        </w:rPr>
        <w:t>Department of Microbiology, University Hospitals of Leicester NHS Trust, Infirmary Square, Leicester LE1 5WW, UK</w:t>
      </w:r>
    </w:p>
    <w:p w14:paraId="5E91A257" w14:textId="77777777" w:rsidR="008F2F98" w:rsidRDefault="008F2F98" w:rsidP="009B69AB">
      <w:pPr>
        <w:spacing w:line="480" w:lineRule="auto"/>
        <w:rPr>
          <w:rFonts w:asciiTheme="majorHAnsi" w:hAnsiTheme="majorHAnsi" w:cstheme="majorHAnsi"/>
          <w:b/>
          <w:bCs/>
        </w:rPr>
      </w:pPr>
      <w:bookmarkStart w:id="0" w:name="_Toc420613002"/>
    </w:p>
    <w:p w14:paraId="4649434D" w14:textId="5DE613C7" w:rsidR="00862E99" w:rsidRDefault="00AB200A" w:rsidP="009B69AB">
      <w:pPr>
        <w:spacing w:line="480" w:lineRule="auto"/>
        <w:rPr>
          <w:rFonts w:asciiTheme="majorHAnsi" w:hAnsiTheme="majorHAnsi" w:cstheme="majorHAnsi"/>
        </w:rPr>
      </w:pPr>
      <w:r w:rsidRPr="00B21E1E">
        <w:rPr>
          <w:rFonts w:asciiTheme="majorHAnsi" w:hAnsiTheme="majorHAnsi" w:cstheme="majorHAnsi"/>
          <w:b/>
          <w:bCs/>
        </w:rPr>
        <w:t>Corresponding author:</w:t>
      </w:r>
      <w:r w:rsidR="00121D30" w:rsidRPr="008C5782">
        <w:rPr>
          <w:rFonts w:asciiTheme="majorHAnsi" w:hAnsiTheme="majorHAnsi" w:cstheme="majorHAnsi"/>
        </w:rPr>
        <w:t xml:space="preserve"> Dr Manish Pareek, Department of Respiratory Sciences, Maurice Shock Medical Sciences Building, University Road, University of Leicester, Leicester, LE1 9HN </w:t>
      </w:r>
      <w:hyperlink r:id="rId10" w:history="1">
        <w:r w:rsidR="00121D30" w:rsidRPr="008C5782">
          <w:rPr>
            <w:rStyle w:val="Hyperlink"/>
            <w:rFonts w:asciiTheme="majorHAnsi" w:hAnsiTheme="majorHAnsi" w:cstheme="majorHAnsi"/>
            <w:color w:val="auto"/>
          </w:rPr>
          <w:t>manish.pareek@leicester.ac.uk</w:t>
        </w:r>
      </w:hyperlink>
      <w:r w:rsidR="00121D30" w:rsidRPr="008C5782">
        <w:rPr>
          <w:rFonts w:asciiTheme="majorHAnsi" w:hAnsiTheme="majorHAnsi" w:cstheme="majorHAnsi"/>
        </w:rPr>
        <w:t xml:space="preserve"> +44 (0)116 258 6952  </w:t>
      </w:r>
    </w:p>
    <w:p w14:paraId="71F5245F" w14:textId="77777777" w:rsidR="008F2F98" w:rsidRDefault="008F2F98" w:rsidP="00E047DC">
      <w:pPr>
        <w:spacing w:line="480" w:lineRule="auto"/>
        <w:rPr>
          <w:rFonts w:asciiTheme="majorHAnsi" w:hAnsiTheme="majorHAnsi" w:cstheme="majorHAnsi"/>
          <w:b/>
          <w:bCs/>
        </w:rPr>
      </w:pPr>
    </w:p>
    <w:p w14:paraId="49802116" w14:textId="140DD6C6" w:rsidR="00E047DC" w:rsidRPr="00E047DC" w:rsidRDefault="00B21E1E" w:rsidP="00E047DC">
      <w:pPr>
        <w:spacing w:line="480" w:lineRule="auto"/>
        <w:rPr>
          <w:rFonts w:asciiTheme="majorHAnsi" w:hAnsiTheme="majorHAnsi" w:cstheme="majorHAnsi"/>
          <w:b/>
          <w:bCs/>
        </w:rPr>
      </w:pPr>
      <w:r w:rsidRPr="00B21E1E">
        <w:rPr>
          <w:rFonts w:asciiTheme="majorHAnsi" w:hAnsiTheme="majorHAnsi" w:cstheme="majorHAnsi"/>
          <w:b/>
          <w:bCs/>
        </w:rPr>
        <w:t>Conflicts of Interest and Source of Funding</w:t>
      </w:r>
      <w:r>
        <w:rPr>
          <w:rFonts w:asciiTheme="majorHAnsi" w:hAnsiTheme="majorHAnsi" w:cstheme="majorHAnsi"/>
          <w:b/>
          <w:bCs/>
        </w:rPr>
        <w:t>:</w:t>
      </w:r>
      <w:r w:rsidR="00E047DC">
        <w:rPr>
          <w:rFonts w:asciiTheme="majorHAnsi" w:hAnsiTheme="majorHAnsi" w:cstheme="majorHAnsi"/>
          <w:b/>
          <w:bCs/>
        </w:rPr>
        <w:t xml:space="preserve"> </w:t>
      </w:r>
      <w:r w:rsidR="00E047DC" w:rsidRPr="00AB06D7">
        <w:rPr>
          <w:rFonts w:asciiTheme="majorHAnsi" w:hAnsiTheme="majorHAnsi" w:cstheme="majorHAnsi"/>
        </w:rPr>
        <w:t>MP received grants and personal fees from Gilead Sciences and personal fees from QIAGEN, outside the submitted work. All other authors have no</w:t>
      </w:r>
      <w:r w:rsidR="00E047DC">
        <w:rPr>
          <w:rFonts w:asciiTheme="majorHAnsi" w:hAnsiTheme="majorHAnsi" w:cstheme="majorHAnsi"/>
        </w:rPr>
        <w:t xml:space="preserve"> conflicts of interest</w:t>
      </w:r>
      <w:r w:rsidR="00E047DC" w:rsidRPr="00AB06D7">
        <w:rPr>
          <w:rFonts w:asciiTheme="majorHAnsi" w:hAnsiTheme="majorHAnsi" w:cstheme="majorHAnsi"/>
        </w:rPr>
        <w:t xml:space="preserve"> to declare. </w:t>
      </w:r>
    </w:p>
    <w:p w14:paraId="4170E335" w14:textId="17ABBE27" w:rsidR="00E047DC" w:rsidRPr="00AB06D7" w:rsidRDefault="00E047DC" w:rsidP="00E047DC">
      <w:pPr>
        <w:autoSpaceDE w:val="0"/>
        <w:autoSpaceDN w:val="0"/>
        <w:adjustRightInd w:val="0"/>
        <w:spacing w:line="480" w:lineRule="auto"/>
        <w:jc w:val="both"/>
        <w:rPr>
          <w:rFonts w:asciiTheme="majorHAnsi" w:hAnsiTheme="majorHAnsi" w:cstheme="majorHAnsi"/>
        </w:rPr>
      </w:pPr>
      <w:r>
        <w:rPr>
          <w:rFonts w:asciiTheme="majorHAnsi" w:hAnsiTheme="majorHAnsi" w:cstheme="majorHAnsi"/>
        </w:rPr>
        <w:lastRenderedPageBreak/>
        <w:t xml:space="preserve">RFB </w:t>
      </w:r>
      <w:r w:rsidRPr="00AB06D7">
        <w:rPr>
          <w:rFonts w:asciiTheme="majorHAnsi" w:hAnsiTheme="majorHAnsi" w:cstheme="majorHAnsi"/>
        </w:rPr>
        <w:t xml:space="preserve">is supported by a </w:t>
      </w:r>
      <w:proofErr w:type="spellStart"/>
      <w:r w:rsidRPr="00AB06D7">
        <w:rPr>
          <w:rFonts w:asciiTheme="majorHAnsi" w:hAnsiTheme="majorHAnsi" w:cstheme="majorHAnsi"/>
        </w:rPr>
        <w:t>Wellcome</w:t>
      </w:r>
      <w:proofErr w:type="spellEnd"/>
      <w:r w:rsidRPr="00AB06D7">
        <w:rPr>
          <w:rFonts w:asciiTheme="majorHAnsi" w:hAnsiTheme="majorHAnsi" w:cstheme="majorHAnsi"/>
        </w:rPr>
        <w:t xml:space="preserve"> Trust Institutional Strategic Support Fund Fellowship (204801/Z/16/Z). MP is supported by a NIHR Development and Skills Enhancement Award and also acknowledges support/funding from the NIHR Leicester BRC and UKRI. The funding source played no role in study design; in the collection, analysis and interpretation of data; in the writing of the report or in the decision to submit the paper for publication.</w:t>
      </w:r>
      <w:r>
        <w:rPr>
          <w:rFonts w:asciiTheme="majorHAnsi" w:hAnsiTheme="majorHAnsi" w:cstheme="majorHAnsi"/>
        </w:rPr>
        <w:t xml:space="preserve"> </w:t>
      </w:r>
    </w:p>
    <w:p w14:paraId="4E2AE370" w14:textId="77777777" w:rsidR="008F2F98" w:rsidRDefault="008F2F98" w:rsidP="00F67F0A">
      <w:pPr>
        <w:spacing w:line="480" w:lineRule="auto"/>
        <w:rPr>
          <w:rFonts w:asciiTheme="majorHAnsi" w:hAnsiTheme="majorHAnsi" w:cstheme="majorHAnsi"/>
          <w:b/>
          <w:bCs/>
          <w:highlight w:val="yellow"/>
        </w:rPr>
      </w:pPr>
    </w:p>
    <w:p w14:paraId="310C9D95" w14:textId="77777777" w:rsidR="00C506DD" w:rsidRDefault="00C506DD" w:rsidP="00862E99">
      <w:pPr>
        <w:rPr>
          <w:rFonts w:asciiTheme="majorHAnsi" w:hAnsiTheme="majorHAnsi" w:cstheme="majorHAnsi"/>
        </w:rPr>
      </w:pPr>
    </w:p>
    <w:p w14:paraId="5C122477" w14:textId="77777777" w:rsidR="00714000" w:rsidRDefault="00714000" w:rsidP="009B69AB">
      <w:pPr>
        <w:pStyle w:val="Heading2"/>
        <w:numPr>
          <w:ilvl w:val="0"/>
          <w:numId w:val="0"/>
        </w:numPr>
        <w:spacing w:line="480" w:lineRule="auto"/>
        <w:rPr>
          <w:rFonts w:asciiTheme="majorHAnsi" w:hAnsiTheme="majorHAnsi" w:cstheme="majorHAnsi"/>
        </w:rPr>
        <w:sectPr w:rsidR="00714000" w:rsidSect="00241D74">
          <w:headerReference w:type="default" r:id="rId11"/>
          <w:footerReference w:type="even" r:id="rId12"/>
          <w:footerReference w:type="default" r:id="rId13"/>
          <w:pgSz w:w="11900" w:h="16840"/>
          <w:pgMar w:top="1440" w:right="1440" w:bottom="1440" w:left="1440" w:header="708" w:footer="708" w:gutter="0"/>
          <w:cols w:space="708"/>
          <w:docGrid w:linePitch="360"/>
        </w:sectPr>
      </w:pPr>
    </w:p>
    <w:p w14:paraId="2C4719AD" w14:textId="4D0931D6" w:rsidR="008726F5" w:rsidRDefault="004D7854" w:rsidP="009B69AB">
      <w:pPr>
        <w:pStyle w:val="Heading2"/>
        <w:numPr>
          <w:ilvl w:val="0"/>
          <w:numId w:val="0"/>
        </w:numPr>
        <w:spacing w:line="480" w:lineRule="auto"/>
        <w:rPr>
          <w:rFonts w:asciiTheme="majorHAnsi" w:hAnsiTheme="majorHAnsi" w:cstheme="majorHAnsi"/>
        </w:rPr>
      </w:pPr>
      <w:r>
        <w:rPr>
          <w:rFonts w:asciiTheme="majorHAnsi" w:hAnsiTheme="majorHAnsi" w:cstheme="majorHAnsi"/>
        </w:rPr>
        <w:lastRenderedPageBreak/>
        <w:t>Abstract</w:t>
      </w:r>
    </w:p>
    <w:p w14:paraId="4E0E8770" w14:textId="4DCD7353" w:rsidR="008726F5" w:rsidRDefault="00A95168" w:rsidP="009B69AB">
      <w:pPr>
        <w:pStyle w:val="m-651505653780680085msolistparagraph"/>
        <w:shd w:val="clear" w:color="auto" w:fill="FFFFFF"/>
        <w:spacing w:before="0" w:beforeAutospacing="0" w:after="240" w:afterAutospacing="0" w:line="480" w:lineRule="auto"/>
        <w:jc w:val="both"/>
        <w:rPr>
          <w:rFonts w:ascii="Calibri" w:hAnsi="Calibri" w:cs="Calibri"/>
        </w:rPr>
      </w:pPr>
      <w:r w:rsidRPr="00246685">
        <w:rPr>
          <w:rFonts w:asciiTheme="majorHAnsi" w:hAnsiTheme="majorHAnsi" w:cstheme="majorHAnsi"/>
          <w:b/>
          <w:bCs/>
        </w:rPr>
        <w:t>Background</w:t>
      </w:r>
      <w:r w:rsidR="002572A0" w:rsidRPr="00246685">
        <w:rPr>
          <w:rFonts w:ascii="Calibri" w:hAnsi="Calibri" w:cs="Calibri"/>
        </w:rPr>
        <w:t xml:space="preserve"> </w:t>
      </w:r>
      <w:r w:rsidR="00A138E3" w:rsidRPr="00246685">
        <w:rPr>
          <w:rFonts w:asciiTheme="majorHAnsi" w:hAnsiTheme="majorHAnsi" w:cstheme="majorHAnsi"/>
        </w:rPr>
        <w:t xml:space="preserve">Screening and treatment for latent tuberculosis infection (LTBI) </w:t>
      </w:r>
      <w:r w:rsidR="00C229E7">
        <w:rPr>
          <w:rFonts w:asciiTheme="majorHAnsi" w:hAnsiTheme="majorHAnsi" w:cstheme="majorHAnsi"/>
        </w:rPr>
        <w:t>are</w:t>
      </w:r>
      <w:r w:rsidR="00A138E3" w:rsidRPr="00246685">
        <w:rPr>
          <w:rFonts w:asciiTheme="majorHAnsi" w:hAnsiTheme="majorHAnsi" w:cstheme="majorHAnsi"/>
        </w:rPr>
        <w:t xml:space="preserve"> </w:t>
      </w:r>
      <w:proofErr w:type="gramStart"/>
      <w:r w:rsidR="005E024C">
        <w:rPr>
          <w:rFonts w:asciiTheme="majorHAnsi" w:hAnsiTheme="majorHAnsi" w:cstheme="majorHAnsi"/>
        </w:rPr>
        <w:t>key</w:t>
      </w:r>
      <w:proofErr w:type="gramEnd"/>
      <w:r w:rsidR="005E024C">
        <w:rPr>
          <w:rFonts w:asciiTheme="majorHAnsi" w:hAnsiTheme="majorHAnsi" w:cstheme="majorHAnsi"/>
        </w:rPr>
        <w:t xml:space="preserve"> for </w:t>
      </w:r>
      <w:r w:rsidR="000C5523">
        <w:rPr>
          <w:rFonts w:asciiTheme="majorHAnsi" w:hAnsiTheme="majorHAnsi" w:cstheme="majorHAnsi"/>
        </w:rPr>
        <w:t>TB</w:t>
      </w:r>
      <w:r w:rsidR="00201B5E">
        <w:rPr>
          <w:rFonts w:asciiTheme="majorHAnsi" w:hAnsiTheme="majorHAnsi" w:cstheme="majorHAnsi"/>
        </w:rPr>
        <w:t xml:space="preserve"> </w:t>
      </w:r>
      <w:r w:rsidR="00DB48CC">
        <w:rPr>
          <w:rFonts w:asciiTheme="majorHAnsi" w:hAnsiTheme="majorHAnsi" w:cstheme="majorHAnsi"/>
        </w:rPr>
        <w:t>control</w:t>
      </w:r>
      <w:r w:rsidR="005E024C">
        <w:rPr>
          <w:rFonts w:asciiTheme="majorHAnsi" w:hAnsiTheme="majorHAnsi" w:cstheme="majorHAnsi"/>
        </w:rPr>
        <w:t xml:space="preserve">. </w:t>
      </w:r>
      <w:r w:rsidR="002572A0" w:rsidRPr="00246685">
        <w:rPr>
          <w:rFonts w:ascii="Calibri" w:hAnsi="Calibri" w:cs="Calibri"/>
        </w:rPr>
        <w:t>In</w:t>
      </w:r>
      <w:r w:rsidR="000C5523">
        <w:rPr>
          <w:rFonts w:ascii="Calibri" w:hAnsi="Calibri" w:cs="Calibri"/>
        </w:rPr>
        <w:t xml:space="preserve"> the UK, </w:t>
      </w:r>
      <w:r w:rsidR="00CA4348">
        <w:rPr>
          <w:rFonts w:ascii="Calibri" w:hAnsi="Calibri" w:cs="Calibri"/>
        </w:rPr>
        <w:t>the National Institute of Health and Care Excellence (</w:t>
      </w:r>
      <w:r w:rsidR="000C5523">
        <w:rPr>
          <w:rFonts w:ascii="Calibri" w:hAnsi="Calibri" w:cs="Calibri"/>
        </w:rPr>
        <w:t>NICE</w:t>
      </w:r>
      <w:r w:rsidR="00CA4348">
        <w:rPr>
          <w:rFonts w:ascii="Calibri" w:hAnsi="Calibri" w:cs="Calibri"/>
        </w:rPr>
        <w:t>)</w:t>
      </w:r>
      <w:r w:rsidR="002572A0" w:rsidRPr="00246685">
        <w:rPr>
          <w:rFonts w:ascii="Calibri" w:hAnsi="Calibri" w:cs="Calibri"/>
        </w:rPr>
        <w:t xml:space="preserve"> and </w:t>
      </w:r>
      <w:r w:rsidR="000C5523">
        <w:rPr>
          <w:rFonts w:ascii="Calibri" w:hAnsi="Calibri" w:cs="Calibri"/>
        </w:rPr>
        <w:t xml:space="preserve">the </w:t>
      </w:r>
      <w:r w:rsidR="002572A0" w:rsidRPr="00246685">
        <w:rPr>
          <w:rFonts w:ascii="Calibri" w:hAnsi="Calibri" w:cs="Calibri"/>
        </w:rPr>
        <w:t xml:space="preserve">British HIV </w:t>
      </w:r>
      <w:r w:rsidR="00D9630A" w:rsidRPr="00246685">
        <w:rPr>
          <w:rFonts w:ascii="Calibri" w:hAnsi="Calibri" w:cs="Calibri"/>
        </w:rPr>
        <w:t>A</w:t>
      </w:r>
      <w:r w:rsidR="002572A0" w:rsidRPr="00246685">
        <w:rPr>
          <w:rFonts w:ascii="Calibri" w:hAnsi="Calibri" w:cs="Calibri"/>
        </w:rPr>
        <w:t>ssociation (BHIVA) give conflicting guidance on wh</w:t>
      </w:r>
      <w:r w:rsidR="00D9630A" w:rsidRPr="00246685">
        <w:rPr>
          <w:rFonts w:ascii="Calibri" w:hAnsi="Calibri" w:cs="Calibri"/>
        </w:rPr>
        <w:t>ich groups</w:t>
      </w:r>
      <w:r w:rsidR="00A138E3" w:rsidRPr="00246685">
        <w:rPr>
          <w:rFonts w:ascii="Calibri" w:hAnsi="Calibri" w:cs="Calibri"/>
        </w:rPr>
        <w:t xml:space="preserve"> of people living with HIV (PLWH)</w:t>
      </w:r>
      <w:r w:rsidR="002572A0" w:rsidRPr="00246685">
        <w:rPr>
          <w:rFonts w:ascii="Calibri" w:hAnsi="Calibri" w:cs="Calibri"/>
        </w:rPr>
        <w:t xml:space="preserve"> should be screened, and previous </w:t>
      </w:r>
      <w:r w:rsidR="00C229E7">
        <w:rPr>
          <w:rFonts w:ascii="Calibri" w:hAnsi="Calibri" w:cs="Calibri"/>
        </w:rPr>
        <w:t xml:space="preserve">national </w:t>
      </w:r>
      <w:r w:rsidR="002572A0" w:rsidRPr="00246685">
        <w:rPr>
          <w:rFonts w:ascii="Calibri" w:hAnsi="Calibri" w:cs="Calibri"/>
        </w:rPr>
        <w:t>a</w:t>
      </w:r>
      <w:r w:rsidR="00FD16E4">
        <w:rPr>
          <w:rFonts w:ascii="Calibri" w:hAnsi="Calibri" w:cs="Calibri"/>
        </w:rPr>
        <w:t>nalysi</w:t>
      </w:r>
      <w:r w:rsidR="008C5782">
        <w:rPr>
          <w:rFonts w:ascii="Calibri" w:hAnsi="Calibri" w:cs="Calibri"/>
        </w:rPr>
        <w:t>s demonstrated</w:t>
      </w:r>
      <w:r w:rsidR="003F5988">
        <w:rPr>
          <w:rFonts w:ascii="Calibri" w:hAnsi="Calibri" w:cs="Calibri"/>
        </w:rPr>
        <w:t xml:space="preserve"> </w:t>
      </w:r>
      <w:r w:rsidR="002572A0" w:rsidRPr="00246685">
        <w:rPr>
          <w:rFonts w:ascii="Calibri" w:hAnsi="Calibri" w:cs="Calibri"/>
        </w:rPr>
        <w:t xml:space="preserve">heterogeneity in how guidance is applied. </w:t>
      </w:r>
      <w:r w:rsidR="00C229E7">
        <w:rPr>
          <w:rFonts w:ascii="Calibri" w:hAnsi="Calibri" w:cs="Calibri"/>
        </w:rPr>
        <w:t>There is an urgent</w:t>
      </w:r>
      <w:r w:rsidR="002572A0" w:rsidRPr="00246685">
        <w:rPr>
          <w:rFonts w:ascii="Calibri" w:hAnsi="Calibri" w:cs="Calibri"/>
        </w:rPr>
        <w:t xml:space="preserve"> need for a firmer clinical effectiveness evidence base on which to </w:t>
      </w:r>
      <w:r w:rsidR="00A138E3" w:rsidRPr="00246685">
        <w:rPr>
          <w:rFonts w:ascii="Calibri" w:hAnsi="Calibri" w:cs="Calibri"/>
        </w:rPr>
        <w:t>build</w:t>
      </w:r>
      <w:r w:rsidR="002572A0" w:rsidRPr="00246685">
        <w:rPr>
          <w:rFonts w:ascii="Calibri" w:hAnsi="Calibri" w:cs="Calibri"/>
        </w:rPr>
        <w:t xml:space="preserve"> screening policy.</w:t>
      </w:r>
    </w:p>
    <w:p w14:paraId="3D79E3E4" w14:textId="26C918F1" w:rsidR="002572A0" w:rsidRPr="00246685" w:rsidRDefault="008726F5" w:rsidP="009B69AB">
      <w:pPr>
        <w:spacing w:after="240" w:line="480" w:lineRule="auto"/>
        <w:jc w:val="both"/>
        <w:rPr>
          <w:rFonts w:ascii="Calibri" w:hAnsi="Calibri" w:cs="Calibri"/>
        </w:rPr>
      </w:pPr>
      <w:r w:rsidRPr="00246685">
        <w:rPr>
          <w:rFonts w:asciiTheme="majorHAnsi" w:hAnsiTheme="majorHAnsi" w:cstheme="majorHAnsi"/>
          <w:b/>
          <w:bCs/>
        </w:rPr>
        <w:t>Methods</w:t>
      </w:r>
      <w:r w:rsidR="00D9630A" w:rsidRPr="00246685">
        <w:rPr>
          <w:rFonts w:asciiTheme="majorHAnsi" w:hAnsiTheme="majorHAnsi" w:cstheme="majorHAnsi"/>
          <w:b/>
          <w:bCs/>
        </w:rPr>
        <w:t xml:space="preserve"> </w:t>
      </w:r>
      <w:r w:rsidR="002572A0" w:rsidRPr="00246685">
        <w:rPr>
          <w:rFonts w:ascii="Calibri" w:hAnsi="Calibri" w:cs="Calibri"/>
        </w:rPr>
        <w:t>We conducted a systematic</w:t>
      </w:r>
      <w:r w:rsidR="006756CD">
        <w:rPr>
          <w:rFonts w:ascii="Calibri" w:hAnsi="Calibri" w:cs="Calibri"/>
        </w:rPr>
        <w:t>,</w:t>
      </w:r>
      <w:r w:rsidR="002572A0" w:rsidRPr="00246685">
        <w:rPr>
          <w:rFonts w:ascii="Calibri" w:hAnsi="Calibri" w:cs="Calibri"/>
        </w:rPr>
        <w:t xml:space="preserve"> </w:t>
      </w:r>
      <w:r w:rsidR="00C229E7">
        <w:rPr>
          <w:rFonts w:ascii="Calibri" w:hAnsi="Calibri" w:cs="Calibri"/>
        </w:rPr>
        <w:t>programmatic</w:t>
      </w:r>
      <w:r w:rsidR="00C229E7" w:rsidRPr="00246685">
        <w:rPr>
          <w:rFonts w:ascii="Calibri" w:hAnsi="Calibri" w:cs="Calibri"/>
        </w:rPr>
        <w:t xml:space="preserve"> </w:t>
      </w:r>
      <w:r w:rsidR="008C5782">
        <w:rPr>
          <w:rFonts w:ascii="Calibri" w:hAnsi="Calibri" w:cs="Calibri"/>
        </w:rPr>
        <w:t xml:space="preserve">LTBI </w:t>
      </w:r>
      <w:r w:rsidR="002572A0" w:rsidRPr="00246685">
        <w:rPr>
          <w:rFonts w:ascii="Calibri" w:hAnsi="Calibri" w:cs="Calibri"/>
        </w:rPr>
        <w:t>sc</w:t>
      </w:r>
      <w:r w:rsidR="000C5523">
        <w:rPr>
          <w:rFonts w:ascii="Calibri" w:hAnsi="Calibri" w:cs="Calibri"/>
        </w:rPr>
        <w:t>reening intervention</w:t>
      </w:r>
      <w:r w:rsidR="00201B5E" w:rsidRPr="00246685">
        <w:rPr>
          <w:rFonts w:ascii="Calibri" w:hAnsi="Calibri" w:cs="Calibri"/>
        </w:rPr>
        <w:t xml:space="preserve"> </w:t>
      </w:r>
      <w:r w:rsidR="002572A0" w:rsidRPr="00246685">
        <w:rPr>
          <w:rFonts w:ascii="Calibri" w:hAnsi="Calibri" w:cs="Calibri"/>
        </w:rPr>
        <w:t xml:space="preserve">for all PLWH </w:t>
      </w:r>
      <w:r w:rsidR="00E46258" w:rsidRPr="00246685">
        <w:rPr>
          <w:rFonts w:ascii="Calibri" w:hAnsi="Calibri" w:cs="Calibri"/>
        </w:rPr>
        <w:t>receiving</w:t>
      </w:r>
      <w:r w:rsidR="002572A0" w:rsidRPr="00246685">
        <w:rPr>
          <w:rFonts w:ascii="Calibri" w:hAnsi="Calibri" w:cs="Calibri"/>
        </w:rPr>
        <w:t xml:space="preserve"> care in Leicester, UK. </w:t>
      </w:r>
      <w:r w:rsidR="002572A0" w:rsidRPr="00246685">
        <w:rPr>
          <w:rFonts w:ascii="Calibri" w:eastAsia="Times New Roman" w:hAnsi="Calibri" w:cs="Calibri"/>
        </w:rPr>
        <w:t xml:space="preserve">We </w:t>
      </w:r>
      <w:r w:rsidR="00D9630A" w:rsidRPr="00246685">
        <w:rPr>
          <w:rFonts w:ascii="Calibri" w:eastAsia="Times New Roman" w:hAnsi="Calibri" w:cs="Calibri"/>
        </w:rPr>
        <w:t>compared</w:t>
      </w:r>
      <w:r w:rsidR="002572A0" w:rsidRPr="00246685">
        <w:rPr>
          <w:rFonts w:ascii="Calibri" w:eastAsia="Times New Roman" w:hAnsi="Calibri" w:cs="Calibri"/>
        </w:rPr>
        <w:t xml:space="preserve"> yields</w:t>
      </w:r>
      <w:r w:rsidR="00D9630A" w:rsidRPr="00246685">
        <w:rPr>
          <w:rFonts w:ascii="Calibri" w:eastAsia="Times New Roman" w:hAnsi="Calibri" w:cs="Calibri"/>
        </w:rPr>
        <w:t xml:space="preserve"> (percentage IGRA positive)</w:t>
      </w:r>
      <w:r w:rsidR="002572A0" w:rsidRPr="00246685">
        <w:rPr>
          <w:rFonts w:ascii="Calibri" w:eastAsia="Times New Roman" w:hAnsi="Calibri" w:cs="Calibri"/>
        </w:rPr>
        <w:t xml:space="preserve"> and </w:t>
      </w:r>
      <w:r w:rsidR="00D9630A" w:rsidRPr="00246685">
        <w:rPr>
          <w:rFonts w:ascii="Calibri" w:eastAsia="Times New Roman" w:hAnsi="Calibri" w:cs="Calibri"/>
        </w:rPr>
        <w:t xml:space="preserve">number of tests required when applying the NICE and BHIVA testing strategies, as well as strategies targeting screening by </w:t>
      </w:r>
      <w:r w:rsidR="000C5523">
        <w:rPr>
          <w:rFonts w:ascii="Calibri" w:eastAsia="Times New Roman" w:hAnsi="Calibri" w:cs="Calibri"/>
        </w:rPr>
        <w:t>TB</w:t>
      </w:r>
      <w:r w:rsidR="00D9630A" w:rsidRPr="00246685">
        <w:rPr>
          <w:rFonts w:ascii="Calibri" w:eastAsia="Times New Roman" w:hAnsi="Calibri" w:cs="Calibri"/>
        </w:rPr>
        <w:t xml:space="preserve"> </w:t>
      </w:r>
      <w:r w:rsidR="002572A0" w:rsidRPr="00246685">
        <w:rPr>
          <w:rFonts w:ascii="Calibri" w:eastAsia="Times New Roman" w:hAnsi="Calibri" w:cs="Calibri"/>
        </w:rPr>
        <w:t xml:space="preserve">incidence in </w:t>
      </w:r>
      <w:r w:rsidR="00D9630A" w:rsidRPr="00246685">
        <w:rPr>
          <w:rFonts w:ascii="Calibri" w:eastAsia="Times New Roman" w:hAnsi="Calibri" w:cs="Calibri"/>
        </w:rPr>
        <w:t xml:space="preserve">patients’ countries of </w:t>
      </w:r>
      <w:r w:rsidR="009B0F55">
        <w:rPr>
          <w:rFonts w:ascii="Calibri" w:eastAsia="Times New Roman" w:hAnsi="Calibri" w:cs="Calibri"/>
        </w:rPr>
        <w:t>birth</w:t>
      </w:r>
      <w:r w:rsidR="002572A0" w:rsidRPr="00246685">
        <w:rPr>
          <w:rFonts w:ascii="Calibri" w:eastAsia="Times New Roman" w:hAnsi="Calibri" w:cs="Calibri"/>
        </w:rPr>
        <w:t>.</w:t>
      </w:r>
    </w:p>
    <w:p w14:paraId="6AB267B1" w14:textId="55C26002" w:rsidR="008726F5" w:rsidRDefault="00C94918" w:rsidP="009B69AB">
      <w:pPr>
        <w:spacing w:after="240" w:line="480" w:lineRule="auto"/>
        <w:jc w:val="both"/>
        <w:rPr>
          <w:rFonts w:ascii="Calibri" w:hAnsi="Calibri" w:cs="Calibri"/>
        </w:rPr>
      </w:pPr>
      <w:r>
        <w:rPr>
          <w:rFonts w:asciiTheme="majorHAnsi" w:hAnsiTheme="majorHAnsi" w:cstheme="majorHAnsi"/>
          <w:b/>
          <w:bCs/>
        </w:rPr>
        <w:t>Results</w:t>
      </w:r>
      <w:r w:rsidR="003B4553" w:rsidRPr="00246685">
        <w:rPr>
          <w:rFonts w:asciiTheme="majorHAnsi" w:hAnsiTheme="majorHAnsi" w:cstheme="majorHAnsi"/>
          <w:b/>
          <w:bCs/>
        </w:rPr>
        <w:t xml:space="preserve"> </w:t>
      </w:r>
      <w:r w:rsidR="00E80CCD">
        <w:rPr>
          <w:rFonts w:ascii="Calibri" w:eastAsia="Times New Roman" w:hAnsi="Calibri" w:cs="Calibri"/>
        </w:rPr>
        <w:t>O</w:t>
      </w:r>
      <w:r w:rsidR="003B4553" w:rsidRPr="00246685">
        <w:rPr>
          <w:rFonts w:ascii="Calibri" w:eastAsia="Times New Roman" w:hAnsi="Calibri" w:cs="Calibri"/>
        </w:rPr>
        <w:t>f 1</w:t>
      </w:r>
      <w:r w:rsidR="0002726F">
        <w:rPr>
          <w:rFonts w:ascii="Calibri" w:eastAsia="Times New Roman" w:hAnsi="Calibri" w:cs="Calibri"/>
        </w:rPr>
        <w:t>053</w:t>
      </w:r>
      <w:r w:rsidR="003B4553" w:rsidRPr="00246685">
        <w:rPr>
          <w:rFonts w:ascii="Calibri" w:eastAsia="Times New Roman" w:hAnsi="Calibri" w:cs="Calibri"/>
        </w:rPr>
        <w:t xml:space="preserve"> PLWH</w:t>
      </w:r>
      <w:r w:rsidR="00E80CCD">
        <w:rPr>
          <w:rFonts w:ascii="Calibri" w:eastAsia="Times New Roman" w:hAnsi="Calibri" w:cs="Calibri"/>
        </w:rPr>
        <w:t xml:space="preserve"> tested, 1</w:t>
      </w:r>
      <w:r w:rsidR="0002726F">
        <w:rPr>
          <w:rFonts w:ascii="Calibri" w:eastAsia="Times New Roman" w:hAnsi="Calibri" w:cs="Calibri"/>
        </w:rPr>
        <w:t>18</w:t>
      </w:r>
      <w:r w:rsidR="00E80CCD">
        <w:rPr>
          <w:rFonts w:ascii="Calibri" w:eastAsia="Times New Roman" w:hAnsi="Calibri" w:cs="Calibri"/>
        </w:rPr>
        <w:t xml:space="preserve"> were IGRA-positive</w:t>
      </w:r>
      <w:r w:rsidR="003B4553" w:rsidRPr="00246685">
        <w:rPr>
          <w:rFonts w:ascii="Calibri" w:eastAsia="Times New Roman" w:hAnsi="Calibri" w:cs="Calibri"/>
        </w:rPr>
        <w:t xml:space="preserve"> (1</w:t>
      </w:r>
      <w:r w:rsidR="0002726F">
        <w:rPr>
          <w:rFonts w:ascii="Calibri" w:eastAsia="Times New Roman" w:hAnsi="Calibri" w:cs="Calibri"/>
        </w:rPr>
        <w:t>1</w:t>
      </w:r>
      <w:r w:rsidR="00143FCA">
        <w:rPr>
          <w:rFonts w:asciiTheme="majorHAnsi" w:hAnsiTheme="majorHAnsi" w:cstheme="majorHAnsi"/>
        </w:rPr>
        <w:t>.</w:t>
      </w:r>
      <w:r w:rsidR="0002726F">
        <w:rPr>
          <w:rFonts w:asciiTheme="majorHAnsi" w:hAnsiTheme="majorHAnsi" w:cstheme="majorHAnsi"/>
        </w:rPr>
        <w:t>2</w:t>
      </w:r>
      <w:r w:rsidR="003B4553" w:rsidRPr="00246685">
        <w:rPr>
          <w:rFonts w:ascii="Calibri" w:eastAsia="Times New Roman" w:hAnsi="Calibri" w:cs="Calibri"/>
        </w:rPr>
        <w:t>%)</w:t>
      </w:r>
      <w:r w:rsidR="00270E4C">
        <w:rPr>
          <w:rFonts w:ascii="Calibri" w:eastAsia="Times New Roman" w:hAnsi="Calibri" w:cs="Calibri"/>
        </w:rPr>
        <w:t>. Positivity was</w:t>
      </w:r>
      <w:r w:rsidR="00DE2904">
        <w:rPr>
          <w:rFonts w:ascii="Calibri" w:eastAsia="Times New Roman" w:hAnsi="Calibri" w:cs="Calibri"/>
        </w:rPr>
        <w:t xml:space="preserve"> associated with </w:t>
      </w:r>
      <w:r w:rsidR="005114E4">
        <w:rPr>
          <w:rFonts w:ascii="Calibri" w:eastAsia="Times New Roman" w:hAnsi="Calibri" w:cs="Calibri"/>
        </w:rPr>
        <w:t>higher</w:t>
      </w:r>
      <w:r w:rsidR="00DE2904">
        <w:rPr>
          <w:rFonts w:ascii="Calibri" w:eastAsia="Times New Roman" w:hAnsi="Calibri" w:cs="Calibri"/>
        </w:rPr>
        <w:t xml:space="preserve"> </w:t>
      </w:r>
      <w:r w:rsidR="000C5523">
        <w:rPr>
          <w:rFonts w:ascii="Calibri" w:eastAsia="Times New Roman" w:hAnsi="Calibri" w:cs="Calibri"/>
        </w:rPr>
        <w:t>TB</w:t>
      </w:r>
      <w:r w:rsidR="003B4553" w:rsidRPr="00246685">
        <w:rPr>
          <w:rFonts w:ascii="Calibri" w:eastAsia="Times New Roman" w:hAnsi="Calibri" w:cs="Calibri"/>
        </w:rPr>
        <w:t xml:space="preserve"> incidence</w:t>
      </w:r>
      <w:r w:rsidR="00FB7D0B">
        <w:rPr>
          <w:rFonts w:ascii="Calibri" w:eastAsia="Times New Roman" w:hAnsi="Calibri" w:cs="Calibri"/>
        </w:rPr>
        <w:t xml:space="preserve"> </w:t>
      </w:r>
      <w:r w:rsidR="003B4553" w:rsidRPr="00246685">
        <w:rPr>
          <w:rFonts w:ascii="Calibri" w:eastAsia="Times New Roman" w:hAnsi="Calibri" w:cs="Calibri"/>
        </w:rPr>
        <w:t xml:space="preserve">in </w:t>
      </w:r>
      <w:r w:rsidR="003B4553" w:rsidRPr="00246685">
        <w:rPr>
          <w:rFonts w:ascii="Calibri" w:eastAsia="Times New Roman" w:hAnsi="Calibri" w:cs="Calibri" w:hint="eastAsia"/>
        </w:rPr>
        <w:t>countr</w:t>
      </w:r>
      <w:r w:rsidR="00A138E3" w:rsidRPr="00246685">
        <w:rPr>
          <w:rFonts w:ascii="Calibri" w:eastAsia="Times New Roman" w:hAnsi="Calibri" w:cs="Calibri"/>
        </w:rPr>
        <w:t>y</w:t>
      </w:r>
      <w:r w:rsidR="00431A40">
        <w:rPr>
          <w:rFonts w:ascii="Calibri" w:eastAsia="Times New Roman" w:hAnsi="Calibri" w:cs="Calibri"/>
        </w:rPr>
        <w:t>-</w:t>
      </w:r>
      <w:r w:rsidR="003B4553" w:rsidRPr="00246685">
        <w:rPr>
          <w:rFonts w:ascii="Calibri" w:eastAsia="Times New Roman" w:hAnsi="Calibri" w:cs="Calibri" w:hint="eastAsia"/>
        </w:rPr>
        <w:t>of</w:t>
      </w:r>
      <w:r w:rsidR="00431A40">
        <w:rPr>
          <w:rFonts w:ascii="Calibri" w:eastAsia="Times New Roman" w:hAnsi="Calibri" w:cs="Calibri"/>
        </w:rPr>
        <w:t>-</w:t>
      </w:r>
      <w:r w:rsidR="009B0F55">
        <w:rPr>
          <w:rFonts w:ascii="Calibri" w:eastAsia="Times New Roman" w:hAnsi="Calibri" w:cs="Calibri"/>
        </w:rPr>
        <w:t>birth</w:t>
      </w:r>
      <w:r w:rsidR="003B4553" w:rsidRPr="00246685">
        <w:rPr>
          <w:rFonts w:ascii="Calibri" w:eastAsia="Times New Roman" w:hAnsi="Calibri" w:cs="Calibri" w:hint="eastAsia"/>
        </w:rPr>
        <w:t xml:space="preserve"> (</w:t>
      </w:r>
      <w:r w:rsidR="00CD0565">
        <w:rPr>
          <w:rFonts w:ascii="Calibri" w:eastAsia="Times New Roman" w:hAnsi="Calibri" w:cs="Calibri"/>
        </w:rPr>
        <w:t>adjusted odds ratio</w:t>
      </w:r>
      <w:r w:rsidR="005114E4">
        <w:rPr>
          <w:rFonts w:ascii="Calibri" w:eastAsia="Times New Roman" w:hAnsi="Calibri" w:cs="Calibri"/>
        </w:rPr>
        <w:t>,</w:t>
      </w:r>
      <w:r w:rsidR="00CD0565">
        <w:rPr>
          <w:rFonts w:ascii="Calibri" w:eastAsia="Times New Roman" w:hAnsi="Calibri" w:cs="Calibri"/>
        </w:rPr>
        <w:t xml:space="preserve"> </w:t>
      </w:r>
      <w:r w:rsidR="00270E4C">
        <w:rPr>
          <w:rFonts w:ascii="Calibri" w:eastAsia="Times New Roman" w:hAnsi="Calibri" w:cs="Calibri"/>
        </w:rPr>
        <w:t>50-149</w:t>
      </w:r>
      <w:r w:rsidR="005114E4">
        <w:rPr>
          <w:rFonts w:ascii="Calibri" w:eastAsia="Times New Roman" w:hAnsi="Calibri" w:cs="Calibri"/>
        </w:rPr>
        <w:t xml:space="preserve"> cases compared to &lt;50 cases</w:t>
      </w:r>
      <w:r w:rsidR="00270E4C">
        <w:rPr>
          <w:rFonts w:ascii="Calibri" w:eastAsia="Times New Roman" w:hAnsi="Calibri" w:cs="Calibri"/>
        </w:rPr>
        <w:t>/100,000</w:t>
      </w:r>
      <w:r w:rsidR="005114E4">
        <w:rPr>
          <w:rFonts w:ascii="Calibri" w:eastAsia="Times New Roman" w:hAnsi="Calibri" w:cs="Calibri"/>
        </w:rPr>
        <w:t>:</w:t>
      </w:r>
      <w:r w:rsidR="00270E4C">
        <w:rPr>
          <w:rFonts w:ascii="Calibri" w:eastAsia="Times New Roman" w:hAnsi="Calibri" w:cs="Calibri"/>
        </w:rPr>
        <w:t xml:space="preserve"> </w:t>
      </w:r>
      <w:r w:rsidR="0002726F">
        <w:rPr>
          <w:rFonts w:ascii="Calibri" w:eastAsia="Times New Roman" w:hAnsi="Calibri" w:cs="Calibri"/>
        </w:rPr>
        <w:t>11.6</w:t>
      </w:r>
      <w:r w:rsidR="00270E4C">
        <w:rPr>
          <w:rFonts w:ascii="Calibri" w:eastAsia="Times New Roman" w:hAnsi="Calibri" w:cs="Calibri"/>
        </w:rPr>
        <w:t xml:space="preserve"> (</w:t>
      </w:r>
      <w:r w:rsidR="005114E4">
        <w:rPr>
          <w:rFonts w:ascii="Calibri" w:eastAsia="Times New Roman" w:hAnsi="Calibri" w:cs="Calibri"/>
        </w:rPr>
        <w:t xml:space="preserve">95%CI </w:t>
      </w:r>
      <w:r w:rsidR="00270E4C">
        <w:rPr>
          <w:rFonts w:ascii="Calibri" w:eastAsia="Times New Roman" w:hAnsi="Calibri" w:cs="Calibri"/>
        </w:rPr>
        <w:t>4.</w:t>
      </w:r>
      <w:r w:rsidR="0002726F">
        <w:rPr>
          <w:rFonts w:ascii="Calibri" w:eastAsia="Times New Roman" w:hAnsi="Calibri" w:cs="Calibri"/>
        </w:rPr>
        <w:t>79</w:t>
      </w:r>
      <w:r w:rsidR="00270E4C">
        <w:rPr>
          <w:rFonts w:ascii="Calibri" w:eastAsia="Times New Roman" w:hAnsi="Calibri" w:cs="Calibri"/>
        </w:rPr>
        <w:t>–2</w:t>
      </w:r>
      <w:r w:rsidR="0002726F">
        <w:rPr>
          <w:rFonts w:ascii="Calibri" w:eastAsia="Times New Roman" w:hAnsi="Calibri" w:cs="Calibri"/>
        </w:rPr>
        <w:t>8</w:t>
      </w:r>
      <w:r w:rsidR="00270E4C">
        <w:rPr>
          <w:rFonts w:ascii="Calibri" w:eastAsia="Times New Roman" w:hAnsi="Calibri" w:cs="Calibri"/>
        </w:rPr>
        <w:t>.</w:t>
      </w:r>
      <w:r w:rsidR="0002726F">
        <w:rPr>
          <w:rFonts w:ascii="Calibri" w:eastAsia="Times New Roman" w:hAnsi="Calibri" w:cs="Calibri"/>
        </w:rPr>
        <w:t>10</w:t>
      </w:r>
      <w:r w:rsidR="00270E4C">
        <w:rPr>
          <w:rFonts w:ascii="Calibri" w:eastAsia="Times New Roman" w:hAnsi="Calibri" w:cs="Calibri"/>
        </w:rPr>
        <w:t>)</w:t>
      </w:r>
      <w:r w:rsidR="003B4553" w:rsidRPr="00246685">
        <w:rPr>
          <w:rFonts w:ascii="Calibri" w:eastAsia="Times New Roman" w:hAnsi="Calibri" w:cs="Calibri" w:hint="eastAsia"/>
        </w:rPr>
        <w:t>).</w:t>
      </w:r>
      <w:r w:rsidR="000C5523">
        <w:rPr>
          <w:rFonts w:ascii="Calibri" w:eastAsia="Times New Roman" w:hAnsi="Calibri" w:cs="Calibri"/>
        </w:rPr>
        <w:t xml:space="preserve"> There was high </w:t>
      </w:r>
      <w:r w:rsidR="00A138E3" w:rsidRPr="00246685">
        <w:rPr>
          <w:rFonts w:ascii="Calibri" w:eastAsia="Times New Roman" w:hAnsi="Calibri" w:cs="Calibri"/>
        </w:rPr>
        <w:t>testing</w:t>
      </w:r>
      <w:r w:rsidR="000C5523">
        <w:rPr>
          <w:rFonts w:ascii="Calibri" w:eastAsia="Times New Roman" w:hAnsi="Calibri" w:cs="Calibri"/>
        </w:rPr>
        <w:t xml:space="preserve"> uptake</w:t>
      </w:r>
      <w:r w:rsidR="007B0977" w:rsidRPr="00246685">
        <w:rPr>
          <w:rFonts w:ascii="Calibri" w:eastAsia="Times New Roman" w:hAnsi="Calibri" w:cs="Calibri"/>
        </w:rPr>
        <w:t xml:space="preserve"> </w:t>
      </w:r>
      <w:r w:rsidR="00AE58A3" w:rsidRPr="00246685">
        <w:rPr>
          <w:rFonts w:ascii="Calibri" w:eastAsia="Times New Roman" w:hAnsi="Calibri" w:cs="Calibri"/>
        </w:rPr>
        <w:t>(1</w:t>
      </w:r>
      <w:r w:rsidR="0002726F">
        <w:rPr>
          <w:rFonts w:ascii="Calibri" w:eastAsia="Times New Roman" w:hAnsi="Calibri" w:cs="Calibri"/>
        </w:rPr>
        <w:t>053</w:t>
      </w:r>
      <w:r w:rsidR="00AE58A3" w:rsidRPr="00246685">
        <w:rPr>
          <w:rFonts w:ascii="Calibri" w:eastAsia="Times New Roman" w:hAnsi="Calibri" w:cs="Calibri"/>
        </w:rPr>
        <w:t>/1</w:t>
      </w:r>
      <w:r w:rsidR="0002726F">
        <w:rPr>
          <w:rFonts w:ascii="Calibri" w:eastAsia="Times New Roman" w:hAnsi="Calibri" w:cs="Calibri"/>
        </w:rPr>
        <w:t>069</w:t>
      </w:r>
      <w:r w:rsidR="00AE58A3" w:rsidRPr="00246685">
        <w:rPr>
          <w:rFonts w:ascii="Calibri" w:eastAsia="Times New Roman" w:hAnsi="Calibri" w:cs="Calibri"/>
        </w:rPr>
        <w:t>,</w:t>
      </w:r>
      <w:r w:rsidR="008C5782">
        <w:rPr>
          <w:rFonts w:ascii="Calibri" w:eastAsia="Times New Roman" w:hAnsi="Calibri" w:cs="Calibri"/>
        </w:rPr>
        <w:t xml:space="preserve"> </w:t>
      </w:r>
      <w:r w:rsidR="00AE58A3" w:rsidRPr="00246685">
        <w:rPr>
          <w:rFonts w:ascii="Calibri" w:eastAsia="Times New Roman" w:hAnsi="Calibri" w:cs="Calibri"/>
        </w:rPr>
        <w:t>9</w:t>
      </w:r>
      <w:r w:rsidR="00DC2558">
        <w:rPr>
          <w:rFonts w:ascii="Calibri" w:eastAsia="Times New Roman" w:hAnsi="Calibri" w:cs="Calibri"/>
        </w:rPr>
        <w:t>8</w:t>
      </w:r>
      <w:r w:rsidR="00143FCA">
        <w:rPr>
          <w:rFonts w:asciiTheme="majorHAnsi" w:hAnsiTheme="majorHAnsi" w:cstheme="majorHAnsi"/>
        </w:rPr>
        <w:t>.</w:t>
      </w:r>
      <w:r w:rsidR="0002726F">
        <w:rPr>
          <w:rFonts w:asciiTheme="majorHAnsi" w:hAnsiTheme="majorHAnsi" w:cstheme="majorHAnsi"/>
        </w:rPr>
        <w:t>5</w:t>
      </w:r>
      <w:r w:rsidR="00AE58A3" w:rsidRPr="00246685">
        <w:rPr>
          <w:rFonts w:ascii="Calibri" w:eastAsia="Times New Roman" w:hAnsi="Calibri" w:cs="Calibri"/>
        </w:rPr>
        <w:t>%)</w:t>
      </w:r>
      <w:r w:rsidR="007A5DDC">
        <w:rPr>
          <w:rFonts w:ascii="Calibri" w:eastAsia="Times New Roman" w:hAnsi="Calibri" w:cs="Calibri"/>
        </w:rPr>
        <w:t>.</w:t>
      </w:r>
      <w:r w:rsidR="000C5523">
        <w:rPr>
          <w:rFonts w:ascii="Calibri" w:eastAsia="Times New Roman" w:hAnsi="Calibri" w:cs="Calibri"/>
        </w:rPr>
        <w:t xml:space="preserve"> </w:t>
      </w:r>
      <w:r w:rsidR="007A5DDC">
        <w:rPr>
          <w:rFonts w:ascii="Calibri" w:eastAsia="Times New Roman" w:hAnsi="Calibri" w:cs="Calibri"/>
        </w:rPr>
        <w:t xml:space="preserve">Appropriate </w:t>
      </w:r>
      <w:r w:rsidR="00A138E3" w:rsidRPr="00246685">
        <w:rPr>
          <w:rFonts w:ascii="Calibri" w:eastAsia="Times New Roman" w:hAnsi="Calibri" w:cs="Calibri"/>
        </w:rPr>
        <w:t>chemoprophylaxis</w:t>
      </w:r>
      <w:r w:rsidR="008C5782">
        <w:rPr>
          <w:rFonts w:ascii="Calibri" w:eastAsia="Times New Roman" w:hAnsi="Calibri" w:cs="Calibri"/>
        </w:rPr>
        <w:t xml:space="preserve"> </w:t>
      </w:r>
      <w:r w:rsidR="007A5DDC">
        <w:rPr>
          <w:rFonts w:ascii="Calibri" w:eastAsia="Times New Roman" w:hAnsi="Calibri" w:cs="Calibri"/>
        </w:rPr>
        <w:t xml:space="preserve">was </w:t>
      </w:r>
      <w:r w:rsidR="008C5782">
        <w:rPr>
          <w:rFonts w:ascii="Calibri" w:eastAsia="Times New Roman" w:hAnsi="Calibri" w:cs="Calibri"/>
        </w:rPr>
        <w:t>commence</w:t>
      </w:r>
      <w:r w:rsidR="007A5DDC">
        <w:rPr>
          <w:rFonts w:ascii="Calibri" w:eastAsia="Times New Roman" w:hAnsi="Calibri" w:cs="Calibri"/>
        </w:rPr>
        <w:t>d</w:t>
      </w:r>
      <w:r w:rsidR="00C65BF7" w:rsidRPr="00246685">
        <w:rPr>
          <w:rFonts w:ascii="Calibri" w:eastAsia="Times New Roman" w:hAnsi="Calibri" w:cs="Calibri"/>
        </w:rPr>
        <w:t xml:space="preserve"> </w:t>
      </w:r>
      <w:r w:rsidR="007A5DDC">
        <w:rPr>
          <w:rFonts w:ascii="Calibri" w:eastAsia="Times New Roman" w:hAnsi="Calibri" w:cs="Calibri"/>
        </w:rPr>
        <w:t xml:space="preserve">in </w:t>
      </w:r>
      <w:r w:rsidR="00C65BF7" w:rsidRPr="00246685">
        <w:rPr>
          <w:rFonts w:ascii="Calibri" w:eastAsia="Times New Roman" w:hAnsi="Calibri" w:cs="Calibri"/>
        </w:rPr>
        <w:t>1</w:t>
      </w:r>
      <w:r w:rsidR="0002726F">
        <w:rPr>
          <w:rFonts w:ascii="Calibri" w:eastAsia="Times New Roman" w:hAnsi="Calibri" w:cs="Calibri"/>
        </w:rPr>
        <w:t>00</w:t>
      </w:r>
      <w:r w:rsidR="00C65BF7" w:rsidRPr="00246685">
        <w:rPr>
          <w:rFonts w:ascii="Calibri" w:eastAsia="Times New Roman" w:hAnsi="Calibri" w:cs="Calibri"/>
        </w:rPr>
        <w:t>/1</w:t>
      </w:r>
      <w:r w:rsidR="0002726F">
        <w:rPr>
          <w:rFonts w:ascii="Calibri" w:eastAsia="Times New Roman" w:hAnsi="Calibri" w:cs="Calibri"/>
        </w:rPr>
        <w:t>17</w:t>
      </w:r>
      <w:r w:rsidR="008C5782">
        <w:rPr>
          <w:rFonts w:ascii="Calibri" w:eastAsia="Times New Roman" w:hAnsi="Calibri" w:cs="Calibri"/>
        </w:rPr>
        <w:t xml:space="preserve"> </w:t>
      </w:r>
      <w:r w:rsidR="007A5DDC">
        <w:rPr>
          <w:rFonts w:ascii="Calibri" w:eastAsia="Times New Roman" w:hAnsi="Calibri" w:cs="Calibri"/>
        </w:rPr>
        <w:t>(</w:t>
      </w:r>
      <w:r w:rsidR="00C65BF7" w:rsidRPr="00246685">
        <w:rPr>
          <w:rFonts w:ascii="Calibri" w:eastAsia="Times New Roman" w:hAnsi="Calibri" w:cs="Calibri"/>
        </w:rPr>
        <w:t>8</w:t>
      </w:r>
      <w:r w:rsidR="0098551C">
        <w:rPr>
          <w:rFonts w:ascii="Calibri" w:eastAsia="Times New Roman" w:hAnsi="Calibri" w:cs="Calibri"/>
        </w:rPr>
        <w:t>5</w:t>
      </w:r>
      <w:r w:rsidR="00143FCA">
        <w:rPr>
          <w:rFonts w:asciiTheme="majorHAnsi" w:hAnsiTheme="majorHAnsi" w:cstheme="majorHAnsi"/>
        </w:rPr>
        <w:t>.</w:t>
      </w:r>
      <w:r w:rsidR="0002726F">
        <w:rPr>
          <w:rFonts w:asciiTheme="majorHAnsi" w:hAnsiTheme="majorHAnsi" w:cstheme="majorHAnsi"/>
        </w:rPr>
        <w:t>5</w:t>
      </w:r>
      <w:r w:rsidR="00C65BF7" w:rsidRPr="00246685">
        <w:rPr>
          <w:rFonts w:ascii="Calibri" w:eastAsia="Times New Roman" w:hAnsi="Calibri" w:cs="Calibri"/>
        </w:rPr>
        <w:t>%)</w:t>
      </w:r>
      <w:r w:rsidR="007A5DDC">
        <w:rPr>
          <w:rFonts w:ascii="Calibri" w:eastAsia="Times New Roman" w:hAnsi="Calibri" w:cs="Calibri"/>
        </w:rPr>
        <w:t xml:space="preserve"> patients diagnosed with LTBI, of whom </w:t>
      </w:r>
      <w:r w:rsidR="0002726F">
        <w:rPr>
          <w:rFonts w:ascii="Calibri" w:eastAsia="Times New Roman" w:hAnsi="Calibri" w:cs="Calibri"/>
        </w:rPr>
        <w:t>96</w:t>
      </w:r>
      <w:r w:rsidR="00C65BF7" w:rsidRPr="00246685">
        <w:rPr>
          <w:rFonts w:ascii="Calibri" w:eastAsia="Times New Roman" w:hAnsi="Calibri" w:cs="Calibri"/>
        </w:rPr>
        <w:t>/1</w:t>
      </w:r>
      <w:r w:rsidR="0002726F">
        <w:rPr>
          <w:rFonts w:ascii="Calibri" w:eastAsia="Times New Roman" w:hAnsi="Calibri" w:cs="Calibri"/>
        </w:rPr>
        <w:t>00</w:t>
      </w:r>
      <w:r w:rsidR="008C5782">
        <w:rPr>
          <w:rFonts w:ascii="Calibri" w:eastAsia="Times New Roman" w:hAnsi="Calibri" w:cs="Calibri"/>
        </w:rPr>
        <w:t xml:space="preserve"> </w:t>
      </w:r>
      <w:r w:rsidR="007A5DDC">
        <w:rPr>
          <w:rFonts w:ascii="Calibri" w:eastAsia="Times New Roman" w:hAnsi="Calibri" w:cs="Calibri"/>
        </w:rPr>
        <w:t>(</w:t>
      </w:r>
      <w:r w:rsidR="00C65BF7" w:rsidRPr="00246685">
        <w:rPr>
          <w:rFonts w:ascii="Calibri" w:eastAsia="Times New Roman" w:hAnsi="Calibri" w:cs="Calibri"/>
        </w:rPr>
        <w:t>9</w:t>
      </w:r>
      <w:r w:rsidR="0002726F">
        <w:rPr>
          <w:rFonts w:asciiTheme="majorHAnsi" w:hAnsiTheme="majorHAnsi" w:cstheme="majorHAnsi"/>
        </w:rPr>
        <w:t>6.0</w:t>
      </w:r>
      <w:r w:rsidR="00C65BF7" w:rsidRPr="00246685">
        <w:rPr>
          <w:rFonts w:ascii="Calibri" w:eastAsia="Times New Roman" w:hAnsi="Calibri" w:cs="Calibri"/>
        </w:rPr>
        <w:t>%)</w:t>
      </w:r>
      <w:r w:rsidR="007A5DDC">
        <w:rPr>
          <w:rFonts w:ascii="Calibri" w:eastAsia="Times New Roman" w:hAnsi="Calibri" w:cs="Calibri"/>
        </w:rPr>
        <w:t xml:space="preserve"> completed treatment</w:t>
      </w:r>
      <w:r w:rsidR="00A138E3" w:rsidRPr="00246685">
        <w:rPr>
          <w:rFonts w:ascii="Calibri" w:eastAsia="Times New Roman" w:hAnsi="Calibri" w:cs="Calibri"/>
        </w:rPr>
        <w:t>.</w:t>
      </w:r>
      <w:r w:rsidR="003B4553" w:rsidRPr="00246685">
        <w:rPr>
          <w:rFonts w:ascii="ScalaLancetPro-Bold" w:eastAsia="ScalaLancetPro-Bold" w:cs="ScalaLancetPro-Bold" w:hint="eastAsia"/>
          <w:b/>
          <w:bCs/>
        </w:rPr>
        <w:t xml:space="preserve"> </w:t>
      </w:r>
      <w:r w:rsidR="007A5DDC">
        <w:rPr>
          <w:rFonts w:ascii="Calibri" w:hAnsi="Calibri" w:cs="Calibri"/>
        </w:rPr>
        <w:t>Delivering targeted testing to PLWH from countries with TB incidence &gt;150/100,000 or any sub-Saharan African country, would have correctly identified 8</w:t>
      </w:r>
      <w:r w:rsidR="0002726F">
        <w:rPr>
          <w:rFonts w:ascii="Calibri" w:hAnsi="Calibri" w:cs="Calibri"/>
        </w:rPr>
        <w:t>9</w:t>
      </w:r>
      <w:r w:rsidR="007A5DDC">
        <w:rPr>
          <w:rFonts w:asciiTheme="majorHAnsi" w:hAnsiTheme="majorHAnsi" w:cstheme="majorHAnsi"/>
        </w:rPr>
        <w:t>·</w:t>
      </w:r>
      <w:r w:rsidR="0002726F">
        <w:rPr>
          <w:rFonts w:asciiTheme="majorHAnsi" w:hAnsiTheme="majorHAnsi" w:cstheme="majorHAnsi"/>
        </w:rPr>
        <w:t>8</w:t>
      </w:r>
      <w:r w:rsidR="007A5DDC">
        <w:rPr>
          <w:rFonts w:ascii="Calibri" w:hAnsi="Calibri" w:cs="Calibri"/>
        </w:rPr>
        <w:t>% of all LTBI cases while cutting tests required by 4</w:t>
      </w:r>
      <w:r w:rsidR="00CD5DE2">
        <w:rPr>
          <w:rFonts w:ascii="Calibri" w:hAnsi="Calibri" w:cs="Calibri"/>
        </w:rPr>
        <w:t>6</w:t>
      </w:r>
      <w:r w:rsidR="007A5DDC">
        <w:rPr>
          <w:rFonts w:asciiTheme="majorHAnsi" w:hAnsiTheme="majorHAnsi" w:cstheme="majorHAnsi"/>
        </w:rPr>
        <w:t>·</w:t>
      </w:r>
      <w:r w:rsidR="00CD5DE2">
        <w:rPr>
          <w:rFonts w:ascii="Calibri" w:hAnsi="Calibri" w:cs="Calibri"/>
        </w:rPr>
        <w:t>1</w:t>
      </w:r>
      <w:r w:rsidR="007A5DDC">
        <w:rPr>
          <w:rFonts w:ascii="Calibri" w:hAnsi="Calibri" w:cs="Calibri"/>
        </w:rPr>
        <w:t>% compared to NICE guidance, performing as well as BHIVA 2018 guidance.</w:t>
      </w:r>
    </w:p>
    <w:p w14:paraId="6D9CAFC4" w14:textId="1CEA1F5F" w:rsidR="00C910C7" w:rsidRDefault="00C94918" w:rsidP="009B69AB">
      <w:pPr>
        <w:spacing w:after="240" w:line="480" w:lineRule="auto"/>
        <w:jc w:val="both"/>
        <w:rPr>
          <w:rFonts w:asciiTheme="majorHAnsi" w:hAnsiTheme="majorHAnsi" w:cstheme="majorHAnsi"/>
          <w:bCs/>
        </w:rPr>
      </w:pPr>
      <w:r>
        <w:rPr>
          <w:rFonts w:asciiTheme="majorHAnsi" w:hAnsiTheme="majorHAnsi" w:cstheme="majorHAnsi"/>
          <w:b/>
          <w:bCs/>
        </w:rPr>
        <w:t>Conclusions</w:t>
      </w:r>
      <w:r w:rsidR="00DE2904">
        <w:rPr>
          <w:rFonts w:asciiTheme="majorHAnsi" w:hAnsiTheme="majorHAnsi" w:cstheme="majorHAnsi"/>
          <w:b/>
          <w:bCs/>
        </w:rPr>
        <w:t xml:space="preserve"> </w:t>
      </w:r>
      <w:r w:rsidR="00CD0565" w:rsidRPr="00246685">
        <w:rPr>
          <w:rFonts w:ascii="Calibri" w:hAnsi="Calibri" w:cs="Calibri"/>
        </w:rPr>
        <w:t>Targeting screening to higher-risk PLWH increases yield</w:t>
      </w:r>
      <w:r w:rsidR="005E1675">
        <w:rPr>
          <w:rFonts w:ascii="Calibri" w:hAnsi="Calibri" w:cs="Calibri"/>
        </w:rPr>
        <w:t xml:space="preserve"> and</w:t>
      </w:r>
      <w:r w:rsidR="00CD0565">
        <w:rPr>
          <w:rFonts w:ascii="Calibri" w:hAnsi="Calibri" w:cs="Calibri"/>
        </w:rPr>
        <w:t xml:space="preserve"> reduces </w:t>
      </w:r>
      <w:r w:rsidR="005A0766">
        <w:rPr>
          <w:rFonts w:ascii="Calibri" w:hAnsi="Calibri" w:cs="Calibri"/>
        </w:rPr>
        <w:t>the number requiring testing</w:t>
      </w:r>
      <w:r w:rsidR="00CD0565" w:rsidRPr="00246685">
        <w:rPr>
          <w:rFonts w:ascii="Calibri" w:hAnsi="Calibri" w:cs="Calibri"/>
        </w:rPr>
        <w:t xml:space="preserve">. </w:t>
      </w:r>
      <w:r w:rsidR="000D443E" w:rsidRPr="00246685">
        <w:rPr>
          <w:rFonts w:asciiTheme="majorHAnsi" w:hAnsiTheme="majorHAnsi" w:cstheme="majorHAnsi"/>
          <w:bCs/>
        </w:rPr>
        <w:t>Our proposed ‘</w:t>
      </w:r>
      <w:r w:rsidR="000D443E" w:rsidRPr="005521C3">
        <w:rPr>
          <w:rFonts w:asciiTheme="majorHAnsi" w:hAnsiTheme="majorHAnsi" w:cstheme="majorHAnsi"/>
          <w:bCs/>
        </w:rPr>
        <w:t>PLWH-LTBI streamlined guidance</w:t>
      </w:r>
      <w:r w:rsidR="000D443E" w:rsidRPr="00246685">
        <w:rPr>
          <w:rFonts w:asciiTheme="majorHAnsi" w:hAnsiTheme="majorHAnsi" w:cstheme="majorHAnsi"/>
          <w:bCs/>
        </w:rPr>
        <w:t>’ offers a sim</w:t>
      </w:r>
      <w:r w:rsidR="008C5782">
        <w:rPr>
          <w:rFonts w:asciiTheme="majorHAnsi" w:hAnsiTheme="majorHAnsi" w:cstheme="majorHAnsi"/>
          <w:bCs/>
        </w:rPr>
        <w:t>plified approach</w:t>
      </w:r>
      <w:r w:rsidR="000D443E" w:rsidRPr="00246685">
        <w:rPr>
          <w:rFonts w:asciiTheme="majorHAnsi" w:hAnsiTheme="majorHAnsi" w:cstheme="majorHAnsi"/>
          <w:bCs/>
        </w:rPr>
        <w:t xml:space="preserve">, with the </w:t>
      </w:r>
      <w:r w:rsidR="00E1110F">
        <w:rPr>
          <w:rFonts w:asciiTheme="majorHAnsi" w:hAnsiTheme="majorHAnsi" w:cstheme="majorHAnsi"/>
          <w:bCs/>
        </w:rPr>
        <w:t>potential to</w:t>
      </w:r>
      <w:r w:rsidR="000D443E" w:rsidRPr="00246685">
        <w:rPr>
          <w:rFonts w:asciiTheme="majorHAnsi" w:hAnsiTheme="majorHAnsi" w:cstheme="majorHAnsi"/>
          <w:bCs/>
        </w:rPr>
        <w:t xml:space="preserve"> improv</w:t>
      </w:r>
      <w:r w:rsidR="00E1110F">
        <w:rPr>
          <w:rFonts w:asciiTheme="majorHAnsi" w:hAnsiTheme="majorHAnsi" w:cstheme="majorHAnsi"/>
          <w:bCs/>
        </w:rPr>
        <w:t>e</w:t>
      </w:r>
      <w:r w:rsidR="000D443E" w:rsidRPr="00246685">
        <w:rPr>
          <w:rFonts w:asciiTheme="majorHAnsi" w:hAnsiTheme="majorHAnsi" w:cstheme="majorHAnsi"/>
          <w:bCs/>
        </w:rPr>
        <w:t xml:space="preserve"> </w:t>
      </w:r>
      <w:r w:rsidR="00373657">
        <w:rPr>
          <w:rFonts w:asciiTheme="majorHAnsi" w:hAnsiTheme="majorHAnsi" w:cstheme="majorHAnsi"/>
          <w:bCs/>
        </w:rPr>
        <w:t xml:space="preserve">national </w:t>
      </w:r>
      <w:r w:rsidR="00E1110F">
        <w:rPr>
          <w:rFonts w:asciiTheme="majorHAnsi" w:hAnsiTheme="majorHAnsi" w:cstheme="majorHAnsi"/>
          <w:bCs/>
        </w:rPr>
        <w:t xml:space="preserve">LTBI </w:t>
      </w:r>
      <w:r w:rsidR="00373657">
        <w:rPr>
          <w:rFonts w:asciiTheme="majorHAnsi" w:hAnsiTheme="majorHAnsi" w:cstheme="majorHAnsi"/>
          <w:bCs/>
        </w:rPr>
        <w:t xml:space="preserve">screening </w:t>
      </w:r>
      <w:r w:rsidR="00E1110F">
        <w:rPr>
          <w:rFonts w:asciiTheme="majorHAnsi" w:hAnsiTheme="majorHAnsi" w:cstheme="majorHAnsi"/>
          <w:bCs/>
        </w:rPr>
        <w:t>implementation</w:t>
      </w:r>
      <w:r w:rsidR="000D443E" w:rsidRPr="00246685">
        <w:rPr>
          <w:rFonts w:asciiTheme="majorHAnsi" w:hAnsiTheme="majorHAnsi" w:cstheme="majorHAnsi"/>
          <w:bCs/>
        </w:rPr>
        <w:t xml:space="preserve">. </w:t>
      </w:r>
      <w:bookmarkStart w:id="1" w:name="_Hlk75783170"/>
    </w:p>
    <w:p w14:paraId="05AFB982" w14:textId="6F29A43A" w:rsidR="008C6451" w:rsidRPr="008835C1" w:rsidRDefault="008C6451" w:rsidP="008835C1">
      <w:pPr>
        <w:spacing w:after="240" w:line="360" w:lineRule="auto"/>
        <w:jc w:val="both"/>
        <w:rPr>
          <w:rFonts w:asciiTheme="majorHAnsi" w:hAnsiTheme="majorHAnsi" w:cstheme="majorHAnsi"/>
          <w:bCs/>
        </w:rPr>
      </w:pPr>
      <w:r w:rsidRPr="008C6451">
        <w:rPr>
          <w:rFonts w:asciiTheme="majorHAnsi" w:hAnsiTheme="majorHAnsi" w:cstheme="majorHAnsi"/>
          <w:b/>
        </w:rPr>
        <w:lastRenderedPageBreak/>
        <w:t>Key words:</w:t>
      </w:r>
      <w:r>
        <w:rPr>
          <w:rFonts w:asciiTheme="majorHAnsi" w:hAnsiTheme="majorHAnsi" w:cstheme="majorHAnsi"/>
          <w:bCs/>
        </w:rPr>
        <w:t xml:space="preserve"> Human Immunodeficiency Virus</w:t>
      </w:r>
      <w:r w:rsidR="00D6448D">
        <w:rPr>
          <w:rFonts w:asciiTheme="majorHAnsi" w:hAnsiTheme="majorHAnsi" w:cstheme="majorHAnsi"/>
          <w:bCs/>
        </w:rPr>
        <w:t>;</w:t>
      </w:r>
      <w:r>
        <w:rPr>
          <w:rFonts w:asciiTheme="majorHAnsi" w:hAnsiTheme="majorHAnsi" w:cstheme="majorHAnsi"/>
          <w:bCs/>
        </w:rPr>
        <w:t xml:space="preserve"> </w:t>
      </w:r>
      <w:r w:rsidR="009D3E73">
        <w:rPr>
          <w:rFonts w:asciiTheme="majorHAnsi" w:hAnsiTheme="majorHAnsi" w:cstheme="majorHAnsi"/>
          <w:bCs/>
        </w:rPr>
        <w:t xml:space="preserve">latent </w:t>
      </w:r>
      <w:r>
        <w:rPr>
          <w:rFonts w:asciiTheme="majorHAnsi" w:hAnsiTheme="majorHAnsi" w:cstheme="majorHAnsi"/>
          <w:bCs/>
        </w:rPr>
        <w:t>tuberculosis</w:t>
      </w:r>
      <w:r w:rsidR="00D6448D">
        <w:rPr>
          <w:rFonts w:asciiTheme="majorHAnsi" w:hAnsiTheme="majorHAnsi" w:cstheme="majorHAnsi"/>
          <w:bCs/>
        </w:rPr>
        <w:t>;</w:t>
      </w:r>
      <w:r>
        <w:rPr>
          <w:rFonts w:asciiTheme="majorHAnsi" w:hAnsiTheme="majorHAnsi" w:cstheme="majorHAnsi"/>
          <w:bCs/>
        </w:rPr>
        <w:t xml:space="preserve"> </w:t>
      </w:r>
      <w:r w:rsidR="000E4452">
        <w:rPr>
          <w:rFonts w:asciiTheme="majorHAnsi" w:hAnsiTheme="majorHAnsi" w:cstheme="majorHAnsi"/>
          <w:bCs/>
        </w:rPr>
        <w:t>tuberculosis</w:t>
      </w:r>
      <w:r w:rsidR="00D6448D">
        <w:rPr>
          <w:rFonts w:asciiTheme="majorHAnsi" w:hAnsiTheme="majorHAnsi" w:cstheme="majorHAnsi"/>
          <w:bCs/>
        </w:rPr>
        <w:t>;</w:t>
      </w:r>
      <w:r w:rsidR="000E4452">
        <w:rPr>
          <w:rFonts w:asciiTheme="majorHAnsi" w:hAnsiTheme="majorHAnsi" w:cstheme="majorHAnsi"/>
          <w:bCs/>
        </w:rPr>
        <w:t xml:space="preserve"> </w:t>
      </w:r>
      <w:r>
        <w:rPr>
          <w:rFonts w:asciiTheme="majorHAnsi" w:hAnsiTheme="majorHAnsi" w:cstheme="majorHAnsi"/>
          <w:bCs/>
        </w:rPr>
        <w:t>screening</w:t>
      </w:r>
      <w:r w:rsidR="00D6448D">
        <w:rPr>
          <w:rFonts w:asciiTheme="majorHAnsi" w:hAnsiTheme="majorHAnsi" w:cstheme="majorHAnsi"/>
          <w:bCs/>
        </w:rPr>
        <w:t>;</w:t>
      </w:r>
      <w:r>
        <w:rPr>
          <w:rFonts w:asciiTheme="majorHAnsi" w:hAnsiTheme="majorHAnsi" w:cstheme="majorHAnsi"/>
          <w:bCs/>
        </w:rPr>
        <w:t xml:space="preserve"> testing</w:t>
      </w:r>
      <w:r w:rsidR="00D6448D">
        <w:rPr>
          <w:rFonts w:asciiTheme="majorHAnsi" w:hAnsiTheme="majorHAnsi" w:cstheme="majorHAnsi"/>
          <w:bCs/>
        </w:rPr>
        <w:t>;</w:t>
      </w:r>
      <w:r>
        <w:rPr>
          <w:rFonts w:asciiTheme="majorHAnsi" w:hAnsiTheme="majorHAnsi" w:cstheme="majorHAnsi"/>
          <w:bCs/>
        </w:rPr>
        <w:t xml:space="preserve"> IGRA</w:t>
      </w:r>
    </w:p>
    <w:bookmarkEnd w:id="0"/>
    <w:bookmarkEnd w:id="1"/>
    <w:p w14:paraId="28722C9B" w14:textId="77777777" w:rsidR="00893D01" w:rsidRDefault="00893D01" w:rsidP="00893D01">
      <w:pPr>
        <w:pStyle w:val="Heading2"/>
        <w:numPr>
          <w:ilvl w:val="0"/>
          <w:numId w:val="0"/>
        </w:numPr>
        <w:spacing w:after="240" w:line="480" w:lineRule="auto"/>
        <w:rPr>
          <w:rFonts w:asciiTheme="majorHAnsi" w:hAnsiTheme="majorHAnsi" w:cstheme="majorHAnsi"/>
        </w:rPr>
      </w:pPr>
    </w:p>
    <w:p w14:paraId="2D58D2CC" w14:textId="77777777" w:rsidR="00B32322" w:rsidRDefault="00B32322" w:rsidP="00B32322"/>
    <w:p w14:paraId="10673827" w14:textId="77777777" w:rsidR="00B32322" w:rsidRDefault="00B32322" w:rsidP="00B32322"/>
    <w:p w14:paraId="64BD0BFF" w14:textId="3B1ADB98" w:rsidR="00B32322" w:rsidRPr="00B32322" w:rsidRDefault="00B32322" w:rsidP="00B32322">
      <w:pPr>
        <w:sectPr w:rsidR="00B32322" w:rsidRPr="00B32322" w:rsidSect="00166DBB">
          <w:pgSz w:w="11900" w:h="16840"/>
          <w:pgMar w:top="1440" w:right="1440" w:bottom="1440" w:left="1440" w:header="708" w:footer="708" w:gutter="0"/>
          <w:cols w:space="708"/>
          <w:docGrid w:linePitch="360"/>
        </w:sectPr>
      </w:pPr>
    </w:p>
    <w:p w14:paraId="286E7172" w14:textId="574C6C67" w:rsidR="00566B98" w:rsidRPr="00565042" w:rsidRDefault="00893D01" w:rsidP="00893D01">
      <w:pPr>
        <w:pStyle w:val="Heading2"/>
        <w:numPr>
          <w:ilvl w:val="0"/>
          <w:numId w:val="0"/>
        </w:numPr>
        <w:spacing w:after="240" w:line="480" w:lineRule="auto"/>
        <w:rPr>
          <w:rFonts w:asciiTheme="majorHAnsi" w:hAnsiTheme="majorHAnsi" w:cstheme="majorHAnsi"/>
        </w:rPr>
      </w:pPr>
      <w:r>
        <w:rPr>
          <w:rFonts w:asciiTheme="majorHAnsi" w:hAnsiTheme="majorHAnsi" w:cstheme="majorHAnsi"/>
        </w:rPr>
        <w:lastRenderedPageBreak/>
        <w:t>I</w:t>
      </w:r>
      <w:r w:rsidR="00770117">
        <w:rPr>
          <w:rFonts w:asciiTheme="majorHAnsi" w:hAnsiTheme="majorHAnsi" w:cstheme="majorHAnsi"/>
        </w:rPr>
        <w:t>ntroduction</w:t>
      </w:r>
    </w:p>
    <w:p w14:paraId="64DC6B9B" w14:textId="01F6080C" w:rsidR="001B37C2" w:rsidRPr="00246685" w:rsidRDefault="007B0084" w:rsidP="008C6451">
      <w:pPr>
        <w:spacing w:after="240" w:line="480" w:lineRule="auto"/>
        <w:jc w:val="both"/>
        <w:rPr>
          <w:rFonts w:asciiTheme="majorHAnsi" w:hAnsiTheme="majorHAnsi" w:cstheme="majorHAnsi"/>
        </w:rPr>
      </w:pPr>
      <w:r w:rsidRPr="00246685">
        <w:rPr>
          <w:rFonts w:asciiTheme="majorHAnsi" w:hAnsiTheme="majorHAnsi" w:cstheme="majorHAnsi"/>
        </w:rPr>
        <w:t xml:space="preserve">In 2019, </w:t>
      </w:r>
      <w:r w:rsidR="009E66E9" w:rsidRPr="00246685">
        <w:rPr>
          <w:rFonts w:asciiTheme="majorHAnsi" w:hAnsiTheme="majorHAnsi" w:cstheme="majorHAnsi"/>
        </w:rPr>
        <w:t>tuberculosis (</w:t>
      </w:r>
      <w:r w:rsidRPr="00246685">
        <w:rPr>
          <w:rFonts w:asciiTheme="majorHAnsi" w:hAnsiTheme="majorHAnsi" w:cstheme="majorHAnsi"/>
        </w:rPr>
        <w:t>TB</w:t>
      </w:r>
      <w:r w:rsidR="009E66E9" w:rsidRPr="00246685">
        <w:rPr>
          <w:rFonts w:asciiTheme="majorHAnsi" w:hAnsiTheme="majorHAnsi" w:cstheme="majorHAnsi"/>
        </w:rPr>
        <w:t>)</w:t>
      </w:r>
      <w:r w:rsidRPr="00246685">
        <w:rPr>
          <w:rFonts w:asciiTheme="majorHAnsi" w:hAnsiTheme="majorHAnsi" w:cstheme="majorHAnsi"/>
        </w:rPr>
        <w:t xml:space="preserve"> </w:t>
      </w:r>
      <w:r w:rsidR="00166DBB">
        <w:rPr>
          <w:rFonts w:asciiTheme="majorHAnsi" w:hAnsiTheme="majorHAnsi" w:cstheme="majorHAnsi"/>
        </w:rPr>
        <w:t xml:space="preserve">incidence </w:t>
      </w:r>
      <w:r w:rsidRPr="00246685">
        <w:rPr>
          <w:rFonts w:asciiTheme="majorHAnsi" w:hAnsiTheme="majorHAnsi" w:cstheme="majorHAnsi"/>
        </w:rPr>
        <w:t xml:space="preserve">in England rose for the first time in </w:t>
      </w:r>
      <w:r w:rsidR="009549D1" w:rsidRPr="00246685">
        <w:rPr>
          <w:rFonts w:asciiTheme="majorHAnsi" w:hAnsiTheme="majorHAnsi" w:cstheme="majorHAnsi"/>
        </w:rPr>
        <w:t xml:space="preserve">nine </w:t>
      </w:r>
      <w:r w:rsidRPr="00246685">
        <w:rPr>
          <w:rFonts w:asciiTheme="majorHAnsi" w:hAnsiTheme="majorHAnsi" w:cstheme="majorHAnsi"/>
        </w:rPr>
        <w:t xml:space="preserve">years, from 4,615 in 2018 to 4,725 </w:t>
      </w:r>
      <w:r w:rsidR="00412A61">
        <w:rPr>
          <w:rFonts w:asciiTheme="majorHAnsi" w:hAnsiTheme="majorHAnsi" w:cstheme="majorHAnsi"/>
        </w:rPr>
        <w:t>(</w:t>
      </w:r>
      <w:r w:rsidRPr="00246685">
        <w:rPr>
          <w:rFonts w:asciiTheme="majorHAnsi" w:hAnsiTheme="majorHAnsi" w:cstheme="majorHAnsi"/>
        </w:rPr>
        <w:t>2</w:t>
      </w:r>
      <w:r w:rsidR="00412A61">
        <w:rPr>
          <w:rFonts w:asciiTheme="majorHAnsi" w:hAnsiTheme="majorHAnsi" w:cstheme="majorHAnsi"/>
        </w:rPr>
        <w:t>.</w:t>
      </w:r>
      <w:r w:rsidRPr="00246685">
        <w:rPr>
          <w:rFonts w:asciiTheme="majorHAnsi" w:hAnsiTheme="majorHAnsi" w:cstheme="majorHAnsi"/>
        </w:rPr>
        <w:t>4%</w:t>
      </w:r>
      <w:r w:rsidR="00412A61">
        <w:rPr>
          <w:rFonts w:asciiTheme="majorHAnsi" w:hAnsiTheme="majorHAnsi" w:cstheme="majorHAnsi"/>
        </w:rPr>
        <w:t>)</w:t>
      </w:r>
      <w:r w:rsidR="009549D1" w:rsidRPr="00246685">
        <w:rPr>
          <w:rFonts w:asciiTheme="majorHAnsi" w:hAnsiTheme="majorHAnsi" w:cstheme="majorHAnsi"/>
        </w:rPr>
        <w:t>.</w:t>
      </w:r>
      <w:r w:rsidR="009549D1" w:rsidRPr="00246685">
        <w:rPr>
          <w:rFonts w:asciiTheme="majorHAnsi" w:hAnsiTheme="majorHAnsi" w:cstheme="majorHAnsi"/>
        </w:rPr>
      </w:r>
      <w:r w:rsidR="007158CE">
        <w:rPr>
          <w:rFonts w:asciiTheme="majorHAnsi" w:hAnsiTheme="majorHAnsi" w:cstheme="majorHAnsi"/>
        </w:rPr>
        <w:instrText xml:space="preserve"/>
      </w:r>
      <w:r w:rsidR="009549D1" w:rsidRPr="00246685">
        <w:rPr>
          <w:rFonts w:asciiTheme="majorHAnsi" w:hAnsiTheme="majorHAnsi" w:cstheme="majorHAnsi"/>
        </w:rPr>
      </w:r>
      <w:r w:rsidR="007158CE" w:rsidRPr="007158CE">
        <w:rPr>
          <w:rFonts w:asciiTheme="majorHAnsi" w:hAnsiTheme="majorHAnsi" w:cstheme="majorHAnsi"/>
          <w:noProof/>
          <w:vertAlign w:val="superscript"/>
        </w:rPr>
        <w:t>[1]</w:t>
      </w:r>
      <w:r w:rsidR="009549D1" w:rsidRPr="00246685">
        <w:rPr>
          <w:rFonts w:asciiTheme="majorHAnsi" w:hAnsiTheme="majorHAnsi" w:cstheme="majorHAnsi"/>
        </w:rPr>
      </w:r>
      <w:r w:rsidR="00191CB2" w:rsidRPr="00246685">
        <w:rPr>
          <w:rFonts w:asciiTheme="majorHAnsi" w:hAnsiTheme="majorHAnsi" w:cstheme="majorHAnsi"/>
        </w:rPr>
        <w:t xml:space="preserve"> </w:t>
      </w:r>
      <w:r w:rsidR="00166DBB">
        <w:rPr>
          <w:rFonts w:asciiTheme="majorHAnsi" w:hAnsiTheme="majorHAnsi" w:cstheme="majorHAnsi"/>
        </w:rPr>
        <w:t>I</w:t>
      </w:r>
      <w:r w:rsidR="00191CB2" w:rsidRPr="00246685">
        <w:rPr>
          <w:rFonts w:asciiTheme="majorHAnsi" w:hAnsiTheme="majorHAnsi" w:cstheme="majorHAnsi"/>
        </w:rPr>
        <w:t>nciden</w:t>
      </w:r>
      <w:r w:rsidR="00166DBB">
        <w:rPr>
          <w:rFonts w:asciiTheme="majorHAnsi" w:hAnsiTheme="majorHAnsi" w:cstheme="majorHAnsi"/>
        </w:rPr>
        <w:t>ce</w:t>
      </w:r>
      <w:r w:rsidR="00191CB2" w:rsidRPr="00246685">
        <w:rPr>
          <w:rFonts w:asciiTheme="majorHAnsi" w:hAnsiTheme="majorHAnsi" w:cstheme="majorHAnsi"/>
        </w:rPr>
        <w:t xml:space="preserve"> remain</w:t>
      </w:r>
      <w:r w:rsidR="00166DBB">
        <w:rPr>
          <w:rFonts w:asciiTheme="majorHAnsi" w:hAnsiTheme="majorHAnsi" w:cstheme="majorHAnsi"/>
        </w:rPr>
        <w:t>s</w:t>
      </w:r>
      <w:r w:rsidR="00191CB2" w:rsidRPr="00246685">
        <w:rPr>
          <w:rFonts w:asciiTheme="majorHAnsi" w:hAnsiTheme="majorHAnsi" w:cstheme="majorHAnsi"/>
        </w:rPr>
        <w:t xml:space="preserve"> higher </w:t>
      </w:r>
      <w:r w:rsidR="001B37C2" w:rsidRPr="00246685">
        <w:rPr>
          <w:rFonts w:asciiTheme="majorHAnsi" w:hAnsiTheme="majorHAnsi" w:cstheme="majorHAnsi"/>
        </w:rPr>
        <w:t xml:space="preserve">in the UK </w:t>
      </w:r>
      <w:r w:rsidR="00191CB2" w:rsidRPr="00246685">
        <w:rPr>
          <w:rFonts w:asciiTheme="majorHAnsi" w:hAnsiTheme="majorHAnsi" w:cstheme="majorHAnsi"/>
        </w:rPr>
        <w:t>than most other countries in western and northern Europe</w:t>
      </w:r>
      <w:r w:rsidR="009549D1" w:rsidRPr="00246685">
        <w:rPr>
          <w:rFonts w:asciiTheme="majorHAnsi" w:hAnsiTheme="majorHAnsi" w:cstheme="majorHAnsi"/>
        </w:rPr>
      </w:r>
      <w:r w:rsidR="007158CE">
        <w:rPr>
          <w:rFonts w:asciiTheme="majorHAnsi" w:hAnsiTheme="majorHAnsi" w:cstheme="majorHAnsi"/>
        </w:rPr>
        <w:instrText xml:space="preserve"/>
      </w:r>
      <w:r w:rsidR="009549D1" w:rsidRPr="00246685">
        <w:rPr>
          <w:rFonts w:asciiTheme="majorHAnsi" w:hAnsiTheme="majorHAnsi" w:cstheme="majorHAnsi"/>
        </w:rPr>
      </w:r>
      <w:r w:rsidR="007158CE" w:rsidRPr="007158CE">
        <w:rPr>
          <w:rFonts w:asciiTheme="majorHAnsi" w:hAnsiTheme="majorHAnsi" w:cstheme="majorHAnsi"/>
          <w:noProof/>
          <w:vertAlign w:val="superscript"/>
        </w:rPr>
        <w:t>[2]</w:t>
      </w:r>
      <w:r w:rsidR="009549D1" w:rsidRPr="00246685">
        <w:rPr>
          <w:rFonts w:asciiTheme="majorHAnsi" w:hAnsiTheme="majorHAnsi" w:cstheme="majorHAnsi"/>
        </w:rPr>
      </w:r>
      <w:r w:rsidR="001B37C2" w:rsidRPr="00246685">
        <w:rPr>
          <w:rFonts w:asciiTheme="majorHAnsi" w:hAnsiTheme="majorHAnsi" w:cstheme="majorHAnsi"/>
        </w:rPr>
        <w:t xml:space="preserve"> and its public health importance remains: </w:t>
      </w:r>
      <w:r w:rsidR="009E66E9" w:rsidRPr="00246685">
        <w:rPr>
          <w:rFonts w:asciiTheme="majorHAnsi" w:hAnsiTheme="majorHAnsi" w:cstheme="majorHAnsi"/>
        </w:rPr>
        <w:t>u</w:t>
      </w:r>
      <w:r w:rsidR="001B37C2" w:rsidRPr="00246685">
        <w:rPr>
          <w:rFonts w:asciiTheme="majorHAnsi" w:hAnsiTheme="majorHAnsi" w:cstheme="majorHAnsi"/>
        </w:rPr>
        <w:t>ntil the SARS-CoV-2 pandemic,</w:t>
      </w:r>
      <w:r w:rsidR="009E66E9" w:rsidRPr="00246685">
        <w:rPr>
          <w:rFonts w:asciiTheme="majorHAnsi" w:hAnsiTheme="majorHAnsi" w:cstheme="majorHAnsi"/>
        </w:rPr>
        <w:t xml:space="preserve"> </w:t>
      </w:r>
      <w:r w:rsidR="001B37C2" w:rsidRPr="00246685">
        <w:rPr>
          <w:rFonts w:asciiTheme="majorHAnsi" w:hAnsiTheme="majorHAnsi" w:cstheme="majorHAnsi"/>
        </w:rPr>
        <w:t xml:space="preserve">TB was the leading cause of death from an infectious disease among adults worldwide, </w:t>
      </w:r>
      <w:r w:rsidR="009E66E9" w:rsidRPr="00246685">
        <w:rPr>
          <w:rFonts w:asciiTheme="majorHAnsi" w:hAnsiTheme="majorHAnsi" w:cstheme="majorHAnsi"/>
        </w:rPr>
        <w:t>with an estimated 10 million people f</w:t>
      </w:r>
      <w:r w:rsidR="00F5777E" w:rsidRPr="00246685">
        <w:rPr>
          <w:rFonts w:asciiTheme="majorHAnsi" w:hAnsiTheme="majorHAnsi" w:cstheme="majorHAnsi"/>
        </w:rPr>
        <w:t>alling</w:t>
      </w:r>
      <w:r w:rsidR="009E66E9" w:rsidRPr="00246685">
        <w:rPr>
          <w:rFonts w:asciiTheme="majorHAnsi" w:hAnsiTheme="majorHAnsi" w:cstheme="majorHAnsi"/>
        </w:rPr>
        <w:t xml:space="preserve"> ill with TB in 2019, a number that has been declining only very slowly in recent years.</w:t>
      </w:r>
      <w:r w:rsidR="009549D1" w:rsidRPr="00246685">
        <w:rPr>
          <w:rFonts w:asciiTheme="majorHAnsi" w:hAnsiTheme="majorHAnsi" w:cstheme="majorHAnsi"/>
        </w:rPr>
      </w:r>
      <w:r w:rsidR="007158CE">
        <w:rPr>
          <w:rFonts w:asciiTheme="majorHAnsi" w:hAnsiTheme="majorHAnsi" w:cstheme="majorHAnsi"/>
        </w:rPr>
        <w:instrText xml:space="preserve"/>
      </w:r>
      <w:r w:rsidR="009549D1" w:rsidRPr="00246685">
        <w:rPr>
          <w:rFonts w:asciiTheme="majorHAnsi" w:hAnsiTheme="majorHAnsi" w:cstheme="majorHAnsi"/>
        </w:rPr>
      </w:r>
      <w:r w:rsidR="007158CE" w:rsidRPr="007158CE">
        <w:rPr>
          <w:rFonts w:asciiTheme="majorHAnsi" w:hAnsiTheme="majorHAnsi" w:cstheme="majorHAnsi"/>
          <w:noProof/>
          <w:vertAlign w:val="superscript"/>
        </w:rPr>
        <w:t>[3]</w:t>
      </w:r>
      <w:r w:rsidR="009549D1" w:rsidRPr="00246685">
        <w:rPr>
          <w:rFonts w:asciiTheme="majorHAnsi" w:hAnsiTheme="majorHAnsi" w:cstheme="majorHAnsi"/>
        </w:rPr>
      </w:r>
    </w:p>
    <w:p w14:paraId="0341676F" w14:textId="4B6A44D7" w:rsidR="00D8623A" w:rsidRPr="00246685" w:rsidRDefault="00F5777E" w:rsidP="008C6451">
      <w:pPr>
        <w:spacing w:after="240" w:line="480" w:lineRule="auto"/>
        <w:jc w:val="both"/>
        <w:rPr>
          <w:rFonts w:asciiTheme="majorHAnsi" w:hAnsiTheme="majorHAnsi" w:cstheme="majorHAnsi"/>
        </w:rPr>
      </w:pPr>
      <w:r w:rsidRPr="00246685">
        <w:rPr>
          <w:rFonts w:asciiTheme="majorHAnsi" w:hAnsiTheme="majorHAnsi" w:cstheme="majorHAnsi"/>
        </w:rPr>
        <w:t xml:space="preserve">There is now increasing focus on </w:t>
      </w:r>
      <w:r w:rsidR="004800D3" w:rsidRPr="00246685">
        <w:rPr>
          <w:rFonts w:asciiTheme="majorHAnsi" w:hAnsiTheme="majorHAnsi" w:cstheme="majorHAnsi"/>
        </w:rPr>
        <w:t>l</w:t>
      </w:r>
      <w:r w:rsidR="000B3708" w:rsidRPr="00246685">
        <w:rPr>
          <w:rFonts w:asciiTheme="majorHAnsi" w:hAnsiTheme="majorHAnsi" w:cstheme="majorHAnsi"/>
        </w:rPr>
        <w:t>atent TB infection (</w:t>
      </w:r>
      <w:r w:rsidRPr="00246685">
        <w:rPr>
          <w:rFonts w:asciiTheme="majorHAnsi" w:hAnsiTheme="majorHAnsi" w:cstheme="majorHAnsi"/>
        </w:rPr>
        <w:t>LTBI</w:t>
      </w:r>
      <w:r w:rsidR="000B3708" w:rsidRPr="00246685">
        <w:rPr>
          <w:rFonts w:asciiTheme="majorHAnsi" w:hAnsiTheme="majorHAnsi" w:cstheme="majorHAnsi"/>
        </w:rPr>
        <w:t>)</w:t>
      </w:r>
      <w:r w:rsidRPr="00246685">
        <w:rPr>
          <w:rFonts w:asciiTheme="majorHAnsi" w:hAnsiTheme="majorHAnsi" w:cstheme="majorHAnsi"/>
        </w:rPr>
        <w:t xml:space="preserve"> screening to </w:t>
      </w:r>
      <w:r w:rsidR="005A5542">
        <w:rPr>
          <w:rFonts w:asciiTheme="majorHAnsi" w:hAnsiTheme="majorHAnsi" w:cstheme="majorHAnsi"/>
        </w:rPr>
        <w:t>reduce</w:t>
      </w:r>
      <w:r w:rsidRPr="00246685">
        <w:rPr>
          <w:rFonts w:asciiTheme="majorHAnsi" w:hAnsiTheme="majorHAnsi" w:cstheme="majorHAnsi"/>
        </w:rPr>
        <w:t xml:space="preserve"> TB</w:t>
      </w:r>
      <w:r w:rsidR="005A5542">
        <w:rPr>
          <w:rFonts w:asciiTheme="majorHAnsi" w:hAnsiTheme="majorHAnsi" w:cstheme="majorHAnsi"/>
        </w:rPr>
        <w:t xml:space="preserve"> incidence</w:t>
      </w:r>
      <w:r w:rsidRPr="00246685">
        <w:rPr>
          <w:rFonts w:asciiTheme="majorHAnsi" w:hAnsiTheme="majorHAnsi" w:cstheme="majorHAnsi"/>
        </w:rPr>
        <w:t xml:space="preserve"> in high-risk populations. </w:t>
      </w:r>
      <w:r w:rsidR="0085014B" w:rsidRPr="00246685">
        <w:rPr>
          <w:rFonts w:asciiTheme="majorHAnsi" w:hAnsiTheme="majorHAnsi" w:cstheme="majorHAnsi"/>
          <w:color w:val="202020"/>
        </w:rPr>
        <w:t>Once</w:t>
      </w:r>
      <w:r w:rsidRPr="00246685">
        <w:rPr>
          <w:rFonts w:asciiTheme="majorHAnsi" w:hAnsiTheme="majorHAnsi" w:cstheme="majorHAnsi"/>
          <w:color w:val="202020"/>
        </w:rPr>
        <w:t xml:space="preserve"> latently</w:t>
      </w:r>
      <w:r w:rsidR="0085014B" w:rsidRPr="00246685">
        <w:rPr>
          <w:rFonts w:asciiTheme="majorHAnsi" w:hAnsiTheme="majorHAnsi" w:cstheme="majorHAnsi"/>
          <w:color w:val="202020"/>
        </w:rPr>
        <w:t xml:space="preserve"> infected, </w:t>
      </w:r>
      <w:r w:rsidRPr="00246685">
        <w:rPr>
          <w:rFonts w:asciiTheme="majorHAnsi" w:hAnsiTheme="majorHAnsi" w:cstheme="majorHAnsi"/>
          <w:color w:val="202020"/>
        </w:rPr>
        <w:t>an</w:t>
      </w:r>
      <w:r w:rsidR="0085014B" w:rsidRPr="00246685">
        <w:rPr>
          <w:rFonts w:asciiTheme="majorHAnsi" w:hAnsiTheme="majorHAnsi" w:cstheme="majorHAnsi"/>
          <w:color w:val="202020"/>
        </w:rPr>
        <w:t xml:space="preserve"> individual is at highest risk of developing TB disease within the first two years, but can remain at risk for their lifetime</w:t>
      </w:r>
      <w:r w:rsidRPr="00246685">
        <w:rPr>
          <w:rFonts w:asciiTheme="majorHAnsi" w:hAnsiTheme="majorHAnsi" w:cstheme="majorHAnsi"/>
          <w:color w:val="202020"/>
        </w:rPr>
        <w:t>.</w:t>
      </w:r>
      <w:r w:rsidR="009549D1" w:rsidRPr="00246685">
        <w:rPr>
          <w:rFonts w:asciiTheme="majorHAnsi" w:hAnsiTheme="majorHAnsi" w:cstheme="majorHAnsi"/>
          <w:color w:val="202020"/>
        </w:rPr>
      </w:r>
      <w:r w:rsidR="004E5082">
        <w:rPr>
          <w:rFonts w:asciiTheme="majorHAnsi" w:hAnsiTheme="majorHAnsi" w:cstheme="majorHAnsi"/>
          <w:color w:val="202020"/>
        </w:rPr>
        <w:instrText xml:space="preserve"/>
      </w:r>
      <w:r w:rsidR="009549D1" w:rsidRPr="00246685">
        <w:rPr>
          <w:rFonts w:asciiTheme="majorHAnsi" w:hAnsiTheme="majorHAnsi" w:cstheme="majorHAnsi"/>
          <w:color w:val="202020"/>
        </w:rPr>
      </w:r>
      <w:r w:rsidR="004E5082" w:rsidRPr="004E5082">
        <w:rPr>
          <w:rFonts w:asciiTheme="majorHAnsi" w:hAnsiTheme="majorHAnsi" w:cstheme="majorHAnsi"/>
          <w:noProof/>
          <w:color w:val="202020"/>
          <w:vertAlign w:val="superscript"/>
        </w:rPr>
        <w:t>[4]</w:t>
      </w:r>
      <w:r w:rsidR="009549D1" w:rsidRPr="00246685">
        <w:rPr>
          <w:rFonts w:asciiTheme="majorHAnsi" w:hAnsiTheme="majorHAnsi" w:cstheme="majorHAnsi"/>
          <w:color w:val="202020"/>
        </w:rPr>
      </w:r>
      <w:r w:rsidR="0085014B" w:rsidRPr="00246685">
        <w:rPr>
          <w:rFonts w:asciiTheme="majorHAnsi" w:hAnsiTheme="majorHAnsi" w:cstheme="majorHAnsi"/>
          <w:color w:val="202020"/>
        </w:rPr>
        <w:t xml:space="preserve"> </w:t>
      </w:r>
      <w:bookmarkStart w:id="2" w:name="article1.body1.sec1.p2"/>
      <w:bookmarkEnd w:id="2"/>
      <w:r w:rsidR="0085014B" w:rsidRPr="00246685">
        <w:rPr>
          <w:rFonts w:asciiTheme="majorHAnsi" w:hAnsiTheme="majorHAnsi" w:cstheme="majorHAnsi"/>
          <w:color w:val="202020"/>
        </w:rPr>
        <w:t>As the global community looks to meet ambitious targets for reduction (90% reduction in TB incidence by 2035) and elimination of TB (</w:t>
      </w:r>
      <w:r w:rsidR="00930405">
        <w:rPr>
          <w:rFonts w:asciiTheme="majorHAnsi" w:hAnsiTheme="majorHAnsi" w:cstheme="majorHAnsi"/>
          <w:color w:val="202020"/>
        </w:rPr>
        <w:t>&lt;</w:t>
      </w:r>
      <w:r w:rsidR="0085014B" w:rsidRPr="00246685">
        <w:rPr>
          <w:rFonts w:asciiTheme="majorHAnsi" w:hAnsiTheme="majorHAnsi" w:cstheme="majorHAnsi"/>
          <w:color w:val="202020"/>
        </w:rPr>
        <w:t>1 incident case</w:t>
      </w:r>
      <w:r w:rsidR="00AB58AC">
        <w:rPr>
          <w:rFonts w:asciiTheme="majorHAnsi" w:hAnsiTheme="majorHAnsi" w:cstheme="majorHAnsi"/>
          <w:color w:val="202020"/>
        </w:rPr>
        <w:t>s/</w:t>
      </w:r>
      <w:r w:rsidR="0085014B" w:rsidRPr="00246685">
        <w:rPr>
          <w:rFonts w:asciiTheme="majorHAnsi" w:hAnsiTheme="majorHAnsi" w:cstheme="majorHAnsi"/>
          <w:color w:val="202020"/>
        </w:rPr>
        <w:t>1,000,000 per year) by 2050,</w:t>
      </w:r>
      <w:r w:rsidR="002719A4" w:rsidRPr="00246685">
        <w:rPr>
          <w:rFonts w:asciiTheme="majorHAnsi" w:hAnsiTheme="majorHAnsi" w:cstheme="majorHAnsi"/>
          <w:color w:val="202020"/>
        </w:rPr>
      </w:r>
      <w:r w:rsidR="004E5082">
        <w:rPr>
          <w:rFonts w:asciiTheme="majorHAnsi" w:hAnsiTheme="majorHAnsi" w:cstheme="majorHAnsi"/>
          <w:color w:val="202020"/>
        </w:rPr>
        <w:instrText xml:space="preserve"/>
      </w:r>
      <w:r w:rsidR="002719A4" w:rsidRPr="00246685">
        <w:rPr>
          <w:rFonts w:asciiTheme="majorHAnsi" w:hAnsiTheme="majorHAnsi" w:cstheme="majorHAnsi"/>
          <w:color w:val="202020"/>
        </w:rPr>
      </w:r>
      <w:r w:rsidR="004E5082" w:rsidRPr="004E5082">
        <w:rPr>
          <w:rFonts w:asciiTheme="majorHAnsi" w:hAnsiTheme="majorHAnsi" w:cstheme="majorHAnsi"/>
          <w:noProof/>
          <w:color w:val="202020"/>
          <w:vertAlign w:val="superscript"/>
        </w:rPr>
        <w:t>[5]</w:t>
      </w:r>
      <w:r w:rsidR="002719A4" w:rsidRPr="00246685">
        <w:rPr>
          <w:rFonts w:asciiTheme="majorHAnsi" w:hAnsiTheme="majorHAnsi" w:cstheme="majorHAnsi"/>
          <w:color w:val="202020"/>
        </w:rPr>
      </w:r>
      <w:r w:rsidR="0085014B" w:rsidRPr="00246685">
        <w:rPr>
          <w:rFonts w:asciiTheme="majorHAnsi" w:hAnsiTheme="majorHAnsi" w:cstheme="majorHAnsi"/>
          <w:color w:val="202020"/>
        </w:rPr>
        <w:t xml:space="preserve"> </w:t>
      </w:r>
      <w:r w:rsidR="009549D1" w:rsidRPr="00246685">
        <w:rPr>
          <w:rFonts w:asciiTheme="majorHAnsi" w:hAnsiTheme="majorHAnsi" w:cstheme="majorHAnsi"/>
        </w:rPr>
        <w:t>reducing the</w:t>
      </w:r>
      <w:r w:rsidR="0085014B" w:rsidRPr="00246685">
        <w:rPr>
          <w:rFonts w:asciiTheme="majorHAnsi" w:hAnsiTheme="majorHAnsi" w:cstheme="majorHAnsi"/>
        </w:rPr>
        <w:t xml:space="preserve"> LTBI reservoir will be </w:t>
      </w:r>
      <w:r w:rsidR="000B3708" w:rsidRPr="00246685">
        <w:rPr>
          <w:rFonts w:asciiTheme="majorHAnsi" w:hAnsiTheme="majorHAnsi" w:cstheme="majorHAnsi"/>
        </w:rPr>
        <w:t xml:space="preserve">essential </w:t>
      </w:r>
      <w:r w:rsidR="00BC2F2F" w:rsidRPr="00246685">
        <w:rPr>
          <w:rFonts w:asciiTheme="majorHAnsi" w:hAnsiTheme="majorHAnsi" w:cstheme="majorHAnsi"/>
        </w:rPr>
        <w:t>and is one of the World Health Organi</w:t>
      </w:r>
      <w:r w:rsidR="000B3708" w:rsidRPr="00246685">
        <w:rPr>
          <w:rFonts w:asciiTheme="majorHAnsi" w:hAnsiTheme="majorHAnsi" w:cstheme="majorHAnsi"/>
        </w:rPr>
        <w:t>z</w:t>
      </w:r>
      <w:r w:rsidR="00BC2F2F" w:rsidRPr="00246685">
        <w:rPr>
          <w:rFonts w:asciiTheme="majorHAnsi" w:hAnsiTheme="majorHAnsi" w:cstheme="majorHAnsi"/>
        </w:rPr>
        <w:t>ation (WHO)’s key performance indicators.</w:t>
      </w:r>
      <w:r w:rsidR="005E024C">
        <w:rPr>
          <w:rFonts w:asciiTheme="majorHAnsi" w:hAnsiTheme="majorHAnsi" w:cstheme="majorHAnsi"/>
        </w:rPr>
      </w:r>
      <w:r w:rsidR="004E5082">
        <w:rPr>
          <w:rFonts w:asciiTheme="majorHAnsi" w:hAnsiTheme="majorHAnsi" w:cstheme="majorHAnsi"/>
        </w:rPr>
        <w:instrText xml:space="preserve"/>
      </w:r>
      <w:r w:rsidR="005E024C">
        <w:rPr>
          <w:rFonts w:asciiTheme="majorHAnsi" w:hAnsiTheme="majorHAnsi" w:cstheme="majorHAnsi"/>
        </w:rPr>
      </w:r>
      <w:r w:rsidR="004E5082" w:rsidRPr="004E5082">
        <w:rPr>
          <w:rFonts w:asciiTheme="majorHAnsi" w:hAnsiTheme="majorHAnsi" w:cstheme="majorHAnsi"/>
          <w:noProof/>
          <w:vertAlign w:val="superscript"/>
        </w:rPr>
        <w:t>[6]</w:t>
      </w:r>
      <w:r w:rsidR="005E024C">
        <w:rPr>
          <w:rFonts w:asciiTheme="majorHAnsi" w:hAnsiTheme="majorHAnsi" w:cstheme="majorHAnsi"/>
        </w:rPr>
      </w:r>
      <w:r w:rsidR="00A671E5" w:rsidRPr="00246685">
        <w:rPr>
          <w:rFonts w:asciiTheme="majorHAnsi" w:hAnsiTheme="majorHAnsi" w:cstheme="majorHAnsi"/>
        </w:rPr>
        <w:t xml:space="preserve"> </w:t>
      </w:r>
    </w:p>
    <w:p w14:paraId="1CD49A91" w14:textId="0B82DE5E" w:rsidR="00ED4E69" w:rsidRPr="00246685" w:rsidRDefault="00A671E5" w:rsidP="008C6451">
      <w:pPr>
        <w:spacing w:after="240" w:line="480" w:lineRule="auto"/>
        <w:jc w:val="both"/>
        <w:rPr>
          <w:rFonts w:asciiTheme="majorHAnsi" w:hAnsiTheme="majorHAnsi" w:cstheme="majorHAnsi"/>
        </w:rPr>
      </w:pPr>
      <w:r w:rsidRPr="00246685">
        <w:rPr>
          <w:rFonts w:asciiTheme="majorHAnsi" w:hAnsiTheme="majorHAnsi" w:cstheme="majorHAnsi"/>
        </w:rPr>
        <w:t xml:space="preserve">The WHO has published guidelines on groups </w:t>
      </w:r>
      <w:r w:rsidR="005A5542">
        <w:rPr>
          <w:rFonts w:asciiTheme="majorHAnsi" w:hAnsiTheme="majorHAnsi" w:cstheme="majorHAnsi"/>
        </w:rPr>
        <w:t xml:space="preserve">at high risk </w:t>
      </w:r>
      <w:r w:rsidRPr="00246685">
        <w:rPr>
          <w:rFonts w:asciiTheme="majorHAnsi" w:hAnsiTheme="majorHAnsi" w:cstheme="majorHAnsi"/>
        </w:rPr>
        <w:t xml:space="preserve">to target for LTBI screening and treatment: </w:t>
      </w:r>
      <w:r w:rsidR="006756CD">
        <w:rPr>
          <w:rFonts w:asciiTheme="majorHAnsi" w:hAnsiTheme="majorHAnsi" w:cstheme="majorHAnsi"/>
        </w:rPr>
        <w:t>p</w:t>
      </w:r>
      <w:r w:rsidR="00F543E8">
        <w:rPr>
          <w:rFonts w:asciiTheme="majorHAnsi" w:hAnsiTheme="majorHAnsi" w:cstheme="majorHAnsi"/>
        </w:rPr>
        <w:t xml:space="preserve">eople living with </w:t>
      </w:r>
      <w:r w:rsidRPr="00246685">
        <w:rPr>
          <w:rFonts w:asciiTheme="majorHAnsi" w:hAnsiTheme="majorHAnsi" w:cstheme="majorHAnsi"/>
        </w:rPr>
        <w:t>HIV</w:t>
      </w:r>
      <w:r w:rsidR="005A5542">
        <w:rPr>
          <w:rFonts w:asciiTheme="majorHAnsi" w:hAnsiTheme="majorHAnsi" w:cstheme="majorHAnsi"/>
        </w:rPr>
        <w:t xml:space="preserve"> (PLWH)</w:t>
      </w:r>
      <w:r w:rsidRPr="00246685">
        <w:rPr>
          <w:rFonts w:asciiTheme="majorHAnsi" w:hAnsiTheme="majorHAnsi" w:cstheme="majorHAnsi"/>
        </w:rPr>
        <w:t xml:space="preserve"> </w:t>
      </w:r>
      <w:r w:rsidR="00F543E8">
        <w:rPr>
          <w:rFonts w:asciiTheme="majorHAnsi" w:hAnsiTheme="majorHAnsi" w:cstheme="majorHAnsi"/>
        </w:rPr>
        <w:t>are</w:t>
      </w:r>
      <w:r w:rsidR="00F543E8" w:rsidRPr="00246685">
        <w:rPr>
          <w:rFonts w:asciiTheme="majorHAnsi" w:hAnsiTheme="majorHAnsi" w:cstheme="majorHAnsi"/>
        </w:rPr>
        <w:t xml:space="preserve"> </w:t>
      </w:r>
      <w:proofErr w:type="gramStart"/>
      <w:r w:rsidRPr="00246685">
        <w:rPr>
          <w:rFonts w:asciiTheme="majorHAnsi" w:hAnsiTheme="majorHAnsi" w:cstheme="majorHAnsi"/>
        </w:rPr>
        <w:t>prime</w:t>
      </w:r>
      <w:proofErr w:type="gramEnd"/>
      <w:r w:rsidRPr="00246685">
        <w:rPr>
          <w:rFonts w:asciiTheme="majorHAnsi" w:hAnsiTheme="majorHAnsi" w:cstheme="majorHAnsi"/>
        </w:rPr>
        <w:t xml:space="preserve"> amongst these. HIV accelerates progression from LTBI to active TB from a</w:t>
      </w:r>
      <w:r w:rsidR="00CB09E4" w:rsidRPr="00246685">
        <w:rPr>
          <w:rFonts w:asciiTheme="majorHAnsi" w:hAnsiTheme="majorHAnsi" w:cstheme="majorHAnsi"/>
        </w:rPr>
        <w:t xml:space="preserve">round a </w:t>
      </w:r>
      <w:r w:rsidRPr="00246685">
        <w:rPr>
          <w:rFonts w:asciiTheme="majorHAnsi" w:hAnsiTheme="majorHAnsi" w:cstheme="majorHAnsi"/>
        </w:rPr>
        <w:t>10% lifetime risk to as high as 15% per year.</w:t>
      </w:r>
      <w:r w:rsidR="009549D1" w:rsidRPr="00246685">
        <w:rPr>
          <w:rFonts w:asciiTheme="majorHAnsi" w:hAnsiTheme="majorHAnsi" w:cstheme="majorHAnsi"/>
        </w:rPr>
      </w:r>
      <w:r w:rsidR="004E5082">
        <w:rPr>
          <w:rFonts w:asciiTheme="majorHAnsi" w:hAnsiTheme="majorHAnsi" w:cstheme="majorHAnsi"/>
        </w:rPr>
        <w:instrText xml:space="preserve"/>
      </w:r>
      <w:r w:rsidR="009549D1" w:rsidRPr="00246685">
        <w:rPr>
          <w:rFonts w:asciiTheme="majorHAnsi" w:hAnsiTheme="majorHAnsi" w:cstheme="majorHAnsi"/>
        </w:rPr>
      </w:r>
      <w:r w:rsidR="004E5082" w:rsidRPr="004E5082">
        <w:rPr>
          <w:rFonts w:asciiTheme="majorHAnsi" w:hAnsiTheme="majorHAnsi" w:cstheme="majorHAnsi"/>
          <w:noProof/>
          <w:vertAlign w:val="superscript"/>
        </w:rPr>
        <w:t>[7]</w:t>
      </w:r>
      <w:r w:rsidR="009549D1" w:rsidRPr="00246685">
        <w:rPr>
          <w:rFonts w:asciiTheme="majorHAnsi" w:hAnsiTheme="majorHAnsi" w:cstheme="majorHAnsi"/>
        </w:rPr>
      </w:r>
      <w:r w:rsidRPr="00246685">
        <w:rPr>
          <w:rFonts w:asciiTheme="majorHAnsi" w:hAnsiTheme="majorHAnsi" w:cstheme="majorHAnsi"/>
        </w:rPr>
        <w:t xml:space="preserve"> </w:t>
      </w:r>
      <w:r w:rsidR="00930405">
        <w:rPr>
          <w:rFonts w:asciiTheme="majorHAnsi" w:hAnsiTheme="majorHAnsi" w:cstheme="majorHAnsi"/>
        </w:rPr>
        <w:t>While</w:t>
      </w:r>
      <w:r w:rsidRPr="00246685">
        <w:rPr>
          <w:rFonts w:asciiTheme="majorHAnsi" w:hAnsiTheme="majorHAnsi" w:cstheme="majorHAnsi"/>
        </w:rPr>
        <w:t xml:space="preserve"> antiretroviral therapy (ART) reduce</w:t>
      </w:r>
      <w:r w:rsidR="00930405">
        <w:rPr>
          <w:rFonts w:asciiTheme="majorHAnsi" w:hAnsiTheme="majorHAnsi" w:cstheme="majorHAnsi"/>
        </w:rPr>
        <w:t>s</w:t>
      </w:r>
      <w:r w:rsidRPr="00246685">
        <w:rPr>
          <w:rFonts w:asciiTheme="majorHAnsi" w:hAnsiTheme="majorHAnsi" w:cstheme="majorHAnsi"/>
        </w:rPr>
        <w:t xml:space="preserve"> TB</w:t>
      </w:r>
      <w:r w:rsidR="00930405">
        <w:rPr>
          <w:rFonts w:asciiTheme="majorHAnsi" w:hAnsiTheme="majorHAnsi" w:cstheme="majorHAnsi"/>
        </w:rPr>
        <w:t xml:space="preserve"> risk</w:t>
      </w:r>
      <w:r w:rsidRPr="00246685">
        <w:rPr>
          <w:rFonts w:asciiTheme="majorHAnsi" w:hAnsiTheme="majorHAnsi" w:cstheme="majorHAnsi"/>
        </w:rPr>
        <w:t xml:space="preserve">, </w:t>
      </w:r>
      <w:r w:rsidR="00CB09E4" w:rsidRPr="00246685">
        <w:rPr>
          <w:rFonts w:asciiTheme="majorHAnsi" w:hAnsiTheme="majorHAnsi" w:cstheme="majorHAnsi"/>
        </w:rPr>
        <w:t>it</w:t>
      </w:r>
      <w:r w:rsidRPr="00246685">
        <w:rPr>
          <w:rFonts w:asciiTheme="majorHAnsi" w:hAnsiTheme="majorHAnsi" w:cstheme="majorHAnsi"/>
        </w:rPr>
        <w:t xml:space="preserve"> does not return to that of the HIV</w:t>
      </w:r>
      <w:r w:rsidR="005A5542">
        <w:rPr>
          <w:rFonts w:asciiTheme="majorHAnsi" w:hAnsiTheme="majorHAnsi" w:cstheme="majorHAnsi"/>
        </w:rPr>
        <w:t>-</w:t>
      </w:r>
      <w:r w:rsidRPr="00246685">
        <w:rPr>
          <w:rFonts w:asciiTheme="majorHAnsi" w:hAnsiTheme="majorHAnsi" w:cstheme="majorHAnsi"/>
        </w:rPr>
        <w:t>negative population.</w:t>
      </w:r>
      <w:r w:rsidR="00F376B7"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F376B7" w:rsidRPr="00246685">
        <w:rPr>
          <w:rFonts w:asciiTheme="majorHAnsi" w:hAnsiTheme="majorHAnsi" w:cstheme="majorHAnsi"/>
        </w:rPr>
      </w:r>
      <w:r w:rsidR="00F376B7" w:rsidRPr="00246685">
        <w:rPr>
          <w:rFonts w:asciiTheme="majorHAnsi" w:hAnsiTheme="majorHAnsi" w:cstheme="majorHAnsi"/>
        </w:rPr>
      </w:r>
      <w:r w:rsidR="004E5082" w:rsidRPr="004E5082">
        <w:rPr>
          <w:rFonts w:asciiTheme="majorHAnsi" w:hAnsiTheme="majorHAnsi" w:cstheme="majorHAnsi"/>
          <w:noProof/>
          <w:vertAlign w:val="superscript"/>
        </w:rPr>
        <w:t>[8, 9]</w:t>
      </w:r>
      <w:r w:rsidR="00F376B7" w:rsidRPr="00246685">
        <w:rPr>
          <w:rFonts w:asciiTheme="majorHAnsi" w:hAnsiTheme="majorHAnsi" w:cstheme="majorHAnsi"/>
        </w:rPr>
      </w:r>
      <w:r w:rsidRPr="00246685">
        <w:rPr>
          <w:rFonts w:asciiTheme="majorHAnsi" w:hAnsiTheme="majorHAnsi" w:cstheme="majorHAnsi"/>
        </w:rPr>
        <w:t xml:space="preserve"> Screening and treatment</w:t>
      </w:r>
      <w:r w:rsidR="00CB09E4" w:rsidRPr="00246685">
        <w:rPr>
          <w:rFonts w:asciiTheme="majorHAnsi" w:hAnsiTheme="majorHAnsi" w:cstheme="majorHAnsi"/>
        </w:rPr>
        <w:t xml:space="preserve"> (chemoprophylaxis)</w:t>
      </w:r>
      <w:r w:rsidRPr="00246685">
        <w:rPr>
          <w:rFonts w:asciiTheme="majorHAnsi" w:hAnsiTheme="majorHAnsi" w:cstheme="majorHAnsi"/>
        </w:rPr>
        <w:t xml:space="preserve"> for LTBI reduce the risk of </w:t>
      </w:r>
      <w:r w:rsidR="00A806CC">
        <w:rPr>
          <w:rFonts w:asciiTheme="majorHAnsi" w:hAnsiTheme="majorHAnsi" w:cstheme="majorHAnsi"/>
        </w:rPr>
        <w:t>developing</w:t>
      </w:r>
      <w:r w:rsidRPr="00246685">
        <w:rPr>
          <w:rFonts w:asciiTheme="majorHAnsi" w:hAnsiTheme="majorHAnsi" w:cstheme="majorHAnsi"/>
        </w:rPr>
        <w:t xml:space="preserve"> active TB, thereby preventing active TB with its attendant morbidity and mortality, transmission as well as additional costs for the health system.</w:t>
      </w:r>
      <w:r w:rsidR="00F376B7" w:rsidRPr="00246685">
        <w:rPr>
          <w:rFonts w:asciiTheme="majorHAnsi" w:hAnsiTheme="majorHAnsi" w:cstheme="majorHAnsi"/>
        </w:rPr>
      </w:r>
      <w:r w:rsidR="004E5082">
        <w:rPr>
          <w:rFonts w:asciiTheme="majorHAnsi" w:hAnsiTheme="majorHAnsi" w:cstheme="majorHAnsi"/>
        </w:rPr>
        <w:instrText xml:space="preserve"/>
      </w:r>
      <w:r w:rsidR="00F376B7" w:rsidRPr="00246685">
        <w:rPr>
          <w:rFonts w:asciiTheme="majorHAnsi" w:hAnsiTheme="majorHAnsi" w:cstheme="majorHAnsi"/>
        </w:rPr>
      </w:r>
      <w:r w:rsidR="004E5082" w:rsidRPr="004E5082">
        <w:rPr>
          <w:rFonts w:asciiTheme="majorHAnsi" w:hAnsiTheme="majorHAnsi" w:cstheme="majorHAnsi"/>
          <w:noProof/>
          <w:vertAlign w:val="superscript"/>
        </w:rPr>
        <w:t>[10]</w:t>
      </w:r>
      <w:r w:rsidR="00F376B7" w:rsidRPr="00246685">
        <w:rPr>
          <w:rFonts w:asciiTheme="majorHAnsi" w:hAnsiTheme="majorHAnsi" w:cstheme="majorHAnsi"/>
        </w:rPr>
      </w:r>
      <w:r w:rsidRPr="00246685">
        <w:rPr>
          <w:rFonts w:asciiTheme="majorHAnsi" w:hAnsiTheme="majorHAnsi" w:cstheme="majorHAnsi"/>
        </w:rPr>
        <w:t xml:space="preserve"> </w:t>
      </w:r>
    </w:p>
    <w:p w14:paraId="49818BD2" w14:textId="764FFAD8" w:rsidR="00ED4E69" w:rsidRPr="00246685" w:rsidRDefault="00ED4E69" w:rsidP="008C6451">
      <w:pPr>
        <w:spacing w:after="240" w:line="480" w:lineRule="auto"/>
        <w:jc w:val="both"/>
        <w:rPr>
          <w:rFonts w:asciiTheme="majorHAnsi" w:hAnsiTheme="majorHAnsi" w:cstheme="majorHAnsi"/>
        </w:rPr>
      </w:pPr>
      <w:r w:rsidRPr="00246685">
        <w:rPr>
          <w:rFonts w:asciiTheme="majorHAnsi" w:hAnsiTheme="majorHAnsi" w:cstheme="majorHAnsi"/>
        </w:rPr>
        <w:lastRenderedPageBreak/>
        <w:t xml:space="preserve">Both 2019 European Centre for Disease Control (ECDC) guidance for use in the European Union and European Economic </w:t>
      </w:r>
      <w:proofErr w:type="gramStart"/>
      <w:r w:rsidRPr="00246685">
        <w:rPr>
          <w:rFonts w:asciiTheme="majorHAnsi" w:hAnsiTheme="majorHAnsi" w:cstheme="majorHAnsi"/>
        </w:rPr>
        <w:t>Area</w:t>
      </w:r>
      <w:proofErr w:type="gramEnd"/>
      <w:r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Pr="00246685">
        <w:rPr>
          <w:rFonts w:asciiTheme="majorHAnsi" w:hAnsiTheme="majorHAnsi" w:cstheme="majorHAnsi"/>
        </w:rPr>
      </w:r>
      <w:r w:rsidRPr="00246685">
        <w:rPr>
          <w:rFonts w:asciiTheme="majorHAnsi" w:hAnsiTheme="majorHAnsi" w:cstheme="majorHAnsi"/>
        </w:rPr>
      </w:r>
      <w:r w:rsidR="004E5082" w:rsidRPr="004E5082">
        <w:rPr>
          <w:rFonts w:asciiTheme="majorHAnsi" w:hAnsiTheme="majorHAnsi" w:cstheme="majorHAnsi"/>
          <w:noProof/>
          <w:vertAlign w:val="superscript"/>
        </w:rPr>
        <w:t>[11]</w:t>
      </w:r>
      <w:r w:rsidRPr="00246685">
        <w:rPr>
          <w:rFonts w:asciiTheme="majorHAnsi" w:hAnsiTheme="majorHAnsi" w:cstheme="majorHAnsi"/>
        </w:rPr>
      </w:r>
      <w:r w:rsidRPr="00246685">
        <w:rPr>
          <w:rFonts w:asciiTheme="majorHAnsi" w:hAnsiTheme="majorHAnsi" w:cstheme="majorHAnsi"/>
        </w:rPr>
        <w:t xml:space="preserve"> and WHO guidelines for low </w:t>
      </w:r>
      <w:r w:rsidR="00AB7A16">
        <w:rPr>
          <w:rFonts w:asciiTheme="majorHAnsi" w:hAnsiTheme="majorHAnsi" w:cstheme="majorHAnsi"/>
        </w:rPr>
        <w:t>TB</w:t>
      </w:r>
      <w:r w:rsidR="00AB7A16" w:rsidRPr="00246685">
        <w:rPr>
          <w:rFonts w:asciiTheme="majorHAnsi" w:hAnsiTheme="majorHAnsi" w:cstheme="majorHAnsi"/>
        </w:rPr>
        <w:t xml:space="preserve"> </w:t>
      </w:r>
      <w:r w:rsidRPr="00246685">
        <w:rPr>
          <w:rFonts w:asciiTheme="majorHAnsi" w:hAnsiTheme="majorHAnsi" w:cstheme="majorHAnsi"/>
        </w:rPr>
        <w:t>burden countries</w:t>
      </w:r>
      <w:r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Pr="00246685">
        <w:rPr>
          <w:rFonts w:asciiTheme="majorHAnsi" w:hAnsiTheme="majorHAnsi" w:cstheme="majorHAnsi"/>
        </w:rPr>
      </w:r>
      <w:r w:rsidRPr="00246685">
        <w:rPr>
          <w:rFonts w:asciiTheme="majorHAnsi" w:hAnsiTheme="majorHAnsi" w:cstheme="majorHAnsi"/>
        </w:rPr>
      </w:r>
      <w:r w:rsidR="004E5082" w:rsidRPr="004E5082">
        <w:rPr>
          <w:rFonts w:asciiTheme="majorHAnsi" w:hAnsiTheme="majorHAnsi" w:cstheme="majorHAnsi"/>
          <w:noProof/>
          <w:vertAlign w:val="superscript"/>
        </w:rPr>
        <w:t>[12]</w:t>
      </w:r>
      <w:r w:rsidRPr="00246685">
        <w:rPr>
          <w:rFonts w:asciiTheme="majorHAnsi" w:hAnsiTheme="majorHAnsi" w:cstheme="majorHAnsi"/>
        </w:rPr>
      </w:r>
      <w:r w:rsidRPr="00246685">
        <w:rPr>
          <w:rFonts w:asciiTheme="majorHAnsi" w:hAnsiTheme="majorHAnsi" w:cstheme="majorHAnsi"/>
        </w:rPr>
        <w:t xml:space="preserve"> recommend that all PLWH should be targeted for LTBI screening. In the UK, national guidance is conflicting: the updated 2016 National Institute for Health and Care Excellence (NICE) guidance aligns with international recommendations to test all PLWH.</w:t>
      </w:r>
      <w:r w:rsidRPr="00246685">
        <w:rPr>
          <w:rFonts w:asciiTheme="majorHAnsi" w:hAnsiTheme="majorHAnsi" w:cstheme="majorHAnsi"/>
        </w:rPr>
      </w:r>
      <w:r w:rsidR="004E5082">
        <w:rPr>
          <w:rFonts w:asciiTheme="majorHAnsi" w:hAnsiTheme="majorHAnsi" w:cstheme="majorHAnsi"/>
        </w:rPr>
        <w:instrText xml:space="preserve"/>
      </w:r>
      <w:r w:rsidRPr="00246685">
        <w:rPr>
          <w:rFonts w:asciiTheme="majorHAnsi" w:hAnsiTheme="majorHAnsi" w:cstheme="majorHAnsi"/>
        </w:rPr>
      </w:r>
      <w:r w:rsidR="004E5082" w:rsidRPr="004E5082">
        <w:rPr>
          <w:rFonts w:asciiTheme="majorHAnsi" w:hAnsiTheme="majorHAnsi" w:cstheme="majorHAnsi"/>
          <w:noProof/>
          <w:vertAlign w:val="superscript"/>
        </w:rPr>
        <w:t>[13]</w:t>
      </w:r>
      <w:r w:rsidRPr="00246685">
        <w:rPr>
          <w:rFonts w:asciiTheme="majorHAnsi" w:hAnsiTheme="majorHAnsi" w:cstheme="majorHAnsi"/>
        </w:rPr>
      </w:r>
      <w:r w:rsidRPr="00246685">
        <w:rPr>
          <w:rFonts w:asciiTheme="majorHAnsi" w:hAnsiTheme="majorHAnsi" w:cstheme="majorHAnsi"/>
        </w:rPr>
        <w:t xml:space="preserve"> </w:t>
      </w:r>
      <w:r w:rsidR="00F543E8">
        <w:rPr>
          <w:rFonts w:asciiTheme="majorHAnsi" w:hAnsiTheme="majorHAnsi" w:cstheme="majorHAnsi"/>
        </w:rPr>
        <w:t>By</w:t>
      </w:r>
      <w:r w:rsidR="00F543E8" w:rsidRPr="00246685">
        <w:rPr>
          <w:rFonts w:asciiTheme="majorHAnsi" w:hAnsiTheme="majorHAnsi" w:cstheme="majorHAnsi"/>
        </w:rPr>
        <w:t xml:space="preserve"> </w:t>
      </w:r>
      <w:r w:rsidRPr="00246685">
        <w:rPr>
          <w:rFonts w:asciiTheme="majorHAnsi" w:hAnsiTheme="majorHAnsi" w:cstheme="majorHAnsi"/>
        </w:rPr>
        <w:t>contrast, the British HIV Association (BHIVA) updated 2018 guidance recommends offering interferon gamma release assay (IGRA) testing to all PLWH from high (</w:t>
      </w:r>
      <w:r w:rsidRPr="00246685">
        <w:rPr>
          <w:rFonts w:asciiTheme="majorHAnsi" w:hAnsiTheme="majorHAnsi" w:cstheme="majorHAnsi"/>
          <w:color w:val="000000"/>
        </w:rPr>
        <w:t>≥</w:t>
      </w:r>
      <w:r w:rsidRPr="00246685">
        <w:rPr>
          <w:rFonts w:asciiTheme="majorHAnsi" w:hAnsiTheme="majorHAnsi" w:cstheme="majorHAnsi"/>
        </w:rPr>
        <w:t>150/100,000 population) or medium (40-150/100,000 population) TB incidence countries, and only screening those from low TB burden countries (&lt;40/100,000 population) if additional risk factors for TB are present (listed in the guidance</w:t>
      </w:r>
      <w:r w:rsidRPr="00246685">
        <w:rPr>
          <w:rFonts w:asciiTheme="majorHAnsi" w:hAnsiTheme="majorHAnsi" w:cstheme="majorHAnsi"/>
        </w:rPr>
      </w:r>
      <w:r w:rsidR="004E5082">
        <w:rPr>
          <w:rFonts w:asciiTheme="majorHAnsi" w:hAnsiTheme="majorHAnsi" w:cstheme="majorHAnsi"/>
        </w:rPr>
        <w:instrText xml:space="preserve"/>
      </w:r>
      <w:r w:rsidRPr="00246685">
        <w:rPr>
          <w:rFonts w:asciiTheme="majorHAnsi" w:hAnsiTheme="majorHAnsi" w:cstheme="majorHAnsi"/>
        </w:rPr>
      </w:r>
      <w:r w:rsidR="004E5082" w:rsidRPr="004E5082">
        <w:rPr>
          <w:rFonts w:asciiTheme="majorHAnsi" w:hAnsiTheme="majorHAnsi" w:cstheme="majorHAnsi"/>
          <w:noProof/>
          <w:vertAlign w:val="superscript"/>
        </w:rPr>
        <w:t>[14]</w:t>
      </w:r>
      <w:r w:rsidRPr="00246685">
        <w:rPr>
          <w:rFonts w:asciiTheme="majorHAnsi" w:hAnsiTheme="majorHAnsi" w:cstheme="majorHAnsi"/>
        </w:rPr>
      </w:r>
      <w:r w:rsidRPr="00246685">
        <w:rPr>
          <w:rFonts w:asciiTheme="majorHAnsi" w:hAnsiTheme="majorHAnsi" w:cstheme="majorHAnsi"/>
        </w:rPr>
        <w:t xml:space="preserve">). </w:t>
      </w:r>
    </w:p>
    <w:p w14:paraId="747EAFCD" w14:textId="4DCD0923" w:rsidR="00ED4E69" w:rsidRPr="00246685" w:rsidRDefault="00ED4E69" w:rsidP="008C6451">
      <w:pPr>
        <w:spacing w:after="240" w:line="480" w:lineRule="auto"/>
        <w:jc w:val="both"/>
        <w:rPr>
          <w:rFonts w:asciiTheme="majorHAnsi" w:hAnsiTheme="majorHAnsi" w:cstheme="majorHAnsi"/>
        </w:rPr>
      </w:pPr>
      <w:r w:rsidRPr="00246685">
        <w:rPr>
          <w:rFonts w:asciiTheme="majorHAnsi" w:hAnsiTheme="majorHAnsi" w:cstheme="majorHAnsi"/>
        </w:rPr>
        <w:t>This contradictory guidance may have contributed to the extreme heterogeneity in how LTBI testing for PLWH is applied in the UK.</w:t>
      </w:r>
      <w:r w:rsidR="00C97025" w:rsidRPr="00246685">
        <w:rPr>
          <w:rFonts w:asciiTheme="majorHAnsi" w:hAnsiTheme="majorHAnsi" w:cstheme="majorHAnsi"/>
        </w:rPr>
        <w:t xml:space="preserve"> Our national evaluation of practice </w:t>
      </w:r>
      <w:r w:rsidR="0008370A">
        <w:rPr>
          <w:rFonts w:asciiTheme="majorHAnsi" w:hAnsiTheme="majorHAnsi" w:cstheme="majorHAnsi"/>
        </w:rPr>
        <w:t>highlighted</w:t>
      </w:r>
      <w:r w:rsidR="0008370A" w:rsidRPr="00246685">
        <w:rPr>
          <w:rFonts w:asciiTheme="majorHAnsi" w:hAnsiTheme="majorHAnsi" w:cstheme="majorHAnsi"/>
        </w:rPr>
        <w:t xml:space="preserve"> </w:t>
      </w:r>
      <w:r w:rsidRPr="00246685">
        <w:rPr>
          <w:rFonts w:asciiTheme="majorHAnsi" w:hAnsiTheme="majorHAnsi" w:cstheme="majorHAnsi"/>
        </w:rPr>
        <w:t xml:space="preserve">that no widespread LTBI programmatic screening </w:t>
      </w:r>
      <w:r w:rsidR="00BB6918">
        <w:rPr>
          <w:rFonts w:asciiTheme="majorHAnsi" w:hAnsiTheme="majorHAnsi" w:cstheme="majorHAnsi"/>
        </w:rPr>
        <w:t>has been implemented</w:t>
      </w:r>
      <w:r w:rsidR="00EC7A7A">
        <w:rPr>
          <w:rFonts w:asciiTheme="majorHAnsi" w:hAnsiTheme="majorHAnsi" w:cstheme="majorHAnsi"/>
        </w:rPr>
        <w:t xml:space="preserve"> </w:t>
      </w:r>
      <w:r w:rsidRPr="00246685">
        <w:rPr>
          <w:rFonts w:asciiTheme="majorHAnsi" w:hAnsiTheme="majorHAnsi" w:cstheme="majorHAnsi"/>
        </w:rPr>
        <w:t>in the UK in this population, with approximately half of HIV services offering no LTBI testing</w:t>
      </w:r>
      <w:r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Pr="00246685">
        <w:rPr>
          <w:rFonts w:asciiTheme="majorHAnsi" w:hAnsiTheme="majorHAnsi" w:cstheme="majorHAnsi"/>
        </w:rPr>
      </w:r>
      <w:r w:rsidRPr="00246685">
        <w:rPr>
          <w:rFonts w:asciiTheme="majorHAnsi" w:hAnsiTheme="majorHAnsi" w:cstheme="majorHAnsi"/>
        </w:rPr>
      </w:r>
      <w:r w:rsidR="004E5082" w:rsidRPr="004E5082">
        <w:rPr>
          <w:rFonts w:asciiTheme="majorHAnsi" w:hAnsiTheme="majorHAnsi" w:cstheme="majorHAnsi"/>
          <w:noProof/>
          <w:vertAlign w:val="superscript"/>
        </w:rPr>
        <w:t>[15]</w:t>
      </w:r>
      <w:r w:rsidRPr="00246685">
        <w:rPr>
          <w:rFonts w:asciiTheme="majorHAnsi" w:hAnsiTheme="majorHAnsi" w:cstheme="majorHAnsi"/>
        </w:rPr>
      </w:r>
      <w:r w:rsidRPr="00246685">
        <w:rPr>
          <w:rFonts w:asciiTheme="majorHAnsi" w:hAnsiTheme="majorHAnsi" w:cstheme="majorHAnsi"/>
        </w:rPr>
        <w:t xml:space="preserve"> despite LTBI screening and treatment being highly acceptable to this population</w:t>
      </w:r>
      <w:r w:rsidR="00EC7A7A">
        <w:rPr>
          <w:rFonts w:asciiTheme="majorHAnsi" w:hAnsiTheme="majorHAnsi" w:cstheme="majorHAnsi"/>
        </w:rPr>
        <w:t>.</w:t>
      </w:r>
      <w:r w:rsidR="00B55584">
        <w:rPr>
          <w:rFonts w:asciiTheme="majorHAnsi" w:hAnsiTheme="majorHAnsi" w:cstheme="majorHAnsi"/>
        </w:rPr>
      </w:r>
      <w:r w:rsidR="004E5082">
        <w:rPr>
          <w:rFonts w:asciiTheme="majorHAnsi" w:hAnsiTheme="majorHAnsi" w:cstheme="majorHAnsi"/>
        </w:rPr>
        <w:instrText xml:space="preserve"/>
      </w:r>
      <w:r w:rsidR="00B55584">
        <w:rPr>
          <w:rFonts w:asciiTheme="majorHAnsi" w:hAnsiTheme="majorHAnsi" w:cstheme="majorHAnsi"/>
        </w:rPr>
      </w:r>
      <w:r w:rsidR="004E5082" w:rsidRPr="004E5082">
        <w:rPr>
          <w:rFonts w:asciiTheme="majorHAnsi" w:hAnsiTheme="majorHAnsi" w:cstheme="majorHAnsi"/>
          <w:noProof/>
          <w:vertAlign w:val="superscript"/>
        </w:rPr>
        <w:t>[16]</w:t>
      </w:r>
      <w:r w:rsidR="00B55584">
        <w:rPr>
          <w:rFonts w:asciiTheme="majorHAnsi" w:hAnsiTheme="majorHAnsi" w:cstheme="majorHAnsi"/>
        </w:rPr>
      </w:r>
      <w:r w:rsidR="008C2F26" w:rsidRPr="00246685">
        <w:rPr>
          <w:rFonts w:asciiTheme="majorHAnsi" w:hAnsiTheme="majorHAnsi" w:cstheme="majorHAnsi"/>
        </w:rPr>
        <w:t xml:space="preserve"> </w:t>
      </w:r>
      <w:r w:rsidR="0008370A">
        <w:rPr>
          <w:rFonts w:asciiTheme="majorHAnsi" w:hAnsiTheme="majorHAnsi" w:cstheme="majorHAnsi"/>
        </w:rPr>
        <w:t>R</w:t>
      </w:r>
      <w:r w:rsidR="00840758">
        <w:rPr>
          <w:rFonts w:asciiTheme="majorHAnsi" w:hAnsiTheme="majorHAnsi" w:cstheme="majorHAnsi"/>
        </w:rPr>
        <w:t xml:space="preserve">easons </w:t>
      </w:r>
      <w:r w:rsidR="00840758" w:rsidRPr="009B69AB">
        <w:rPr>
          <w:rFonts w:asciiTheme="majorHAnsi" w:hAnsiTheme="majorHAnsi" w:cstheme="majorHAnsi"/>
        </w:rPr>
        <w:t>for this heterogeneity in screening practice remain unclear but it likely represents a lack of confidence in existing guidelines and uncertainty as to which individuals should be offered LTBI screening.</w:t>
      </w:r>
      <w:r w:rsidR="00840758">
        <w:t xml:space="preserve"> </w:t>
      </w:r>
      <w:r w:rsidR="008C2F26" w:rsidRPr="00246685">
        <w:rPr>
          <w:rFonts w:asciiTheme="majorHAnsi" w:hAnsiTheme="majorHAnsi" w:cstheme="majorHAnsi"/>
        </w:rPr>
        <w:t>With patchy testing coverage</w:t>
      </w:r>
      <w:r w:rsidR="00566B98" w:rsidRPr="00246685">
        <w:rPr>
          <w:rFonts w:asciiTheme="majorHAnsi" w:hAnsiTheme="majorHAnsi" w:cstheme="majorHAnsi"/>
        </w:rPr>
        <w:t>,</w:t>
      </w:r>
      <w:r w:rsidR="008C2F26" w:rsidRPr="00246685">
        <w:rPr>
          <w:rFonts w:asciiTheme="majorHAnsi" w:hAnsiTheme="majorHAnsi" w:cstheme="majorHAnsi"/>
        </w:rPr>
        <w:t xml:space="preserve"> it is unsurprising that</w:t>
      </w:r>
      <w:r w:rsidR="00566B98" w:rsidRPr="00246685">
        <w:rPr>
          <w:rFonts w:asciiTheme="majorHAnsi" w:hAnsiTheme="majorHAnsi" w:cstheme="majorHAnsi"/>
        </w:rPr>
        <w:t xml:space="preserve"> there </w:t>
      </w:r>
      <w:r w:rsidR="000011B5" w:rsidRPr="00246685">
        <w:rPr>
          <w:rFonts w:asciiTheme="majorHAnsi" w:hAnsiTheme="majorHAnsi" w:cstheme="majorHAnsi"/>
        </w:rPr>
        <w:t>are few</w:t>
      </w:r>
      <w:r w:rsidR="00566B98" w:rsidRPr="00246685">
        <w:rPr>
          <w:rFonts w:asciiTheme="majorHAnsi" w:hAnsiTheme="majorHAnsi" w:cstheme="majorHAnsi"/>
        </w:rPr>
        <w:t xml:space="preserve"> previous</w:t>
      </w:r>
      <w:r w:rsidR="008C2F26" w:rsidRPr="00246685">
        <w:rPr>
          <w:rFonts w:asciiTheme="majorHAnsi" w:hAnsiTheme="majorHAnsi" w:cstheme="majorHAnsi"/>
        </w:rPr>
        <w:t>ly</w:t>
      </w:r>
      <w:r w:rsidR="00566B98" w:rsidRPr="00246685">
        <w:rPr>
          <w:rFonts w:asciiTheme="majorHAnsi" w:hAnsiTheme="majorHAnsi" w:cstheme="majorHAnsi"/>
        </w:rPr>
        <w:t xml:space="preserve"> published data on prospective, programmatic screening in low TB burden settings.</w:t>
      </w:r>
      <w:r w:rsidR="00C012B8" w:rsidRPr="00246685">
        <w:rPr>
          <w:rFonts w:asciiTheme="majorHAnsi" w:hAnsiTheme="majorHAnsi" w:cstheme="majorHAnsi"/>
        </w:rPr>
        <w:t xml:space="preserve"> </w:t>
      </w:r>
      <w:r w:rsidR="00566B98" w:rsidRPr="00246685">
        <w:rPr>
          <w:rFonts w:asciiTheme="majorHAnsi" w:hAnsiTheme="majorHAnsi" w:cstheme="majorHAnsi"/>
        </w:rPr>
        <w:t>Those which are available from cohort studies in low-incidence settings, including the UK, have included only a proportion of the active cohort being treated in that centre</w:t>
      </w:r>
      <w:r w:rsidR="00C22ED6" w:rsidRPr="00246685">
        <w:rPr>
          <w:rFonts w:asciiTheme="majorHAnsi" w:hAnsiTheme="majorHAnsi" w:cstheme="majorHAnsi"/>
        </w:rPr>
        <w:t>,</w:t>
      </w:r>
      <w:r w:rsidR="005601CF"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5601CF" w:rsidRPr="00246685">
        <w:rPr>
          <w:rFonts w:asciiTheme="majorHAnsi" w:hAnsiTheme="majorHAnsi" w:cstheme="majorHAnsi"/>
        </w:rPr>
      </w:r>
      <w:r w:rsidR="005601CF" w:rsidRPr="00246685">
        <w:rPr>
          <w:rFonts w:asciiTheme="majorHAnsi" w:hAnsiTheme="majorHAnsi" w:cstheme="majorHAnsi"/>
        </w:rPr>
      </w:r>
      <w:r w:rsidR="004E5082" w:rsidRPr="004E5082">
        <w:rPr>
          <w:rFonts w:asciiTheme="majorHAnsi" w:hAnsiTheme="majorHAnsi" w:cstheme="majorHAnsi"/>
          <w:noProof/>
          <w:vertAlign w:val="superscript"/>
        </w:rPr>
        <w:t>[17, 18]</w:t>
      </w:r>
      <w:r w:rsidR="005601CF" w:rsidRPr="00246685">
        <w:rPr>
          <w:rFonts w:asciiTheme="majorHAnsi" w:hAnsiTheme="majorHAnsi" w:cstheme="majorHAnsi"/>
        </w:rPr>
      </w:r>
      <w:r w:rsidR="00566B98" w:rsidRPr="00246685">
        <w:rPr>
          <w:rFonts w:asciiTheme="majorHAnsi" w:hAnsiTheme="majorHAnsi" w:cstheme="majorHAnsi"/>
        </w:rPr>
        <w:t xml:space="preserve"> contained estimated data</w:t>
      </w:r>
      <w:r w:rsidR="00C22ED6" w:rsidRPr="00246685">
        <w:rPr>
          <w:rFonts w:asciiTheme="majorHAnsi" w:hAnsiTheme="majorHAnsi" w:cstheme="majorHAnsi"/>
        </w:rPr>
        <w:t>,</w:t>
      </w:r>
      <w:r w:rsidR="005601CF"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5601CF" w:rsidRPr="00246685">
        <w:rPr>
          <w:rFonts w:asciiTheme="majorHAnsi" w:hAnsiTheme="majorHAnsi" w:cstheme="majorHAnsi"/>
        </w:rPr>
      </w:r>
      <w:r w:rsidR="005601CF" w:rsidRPr="00246685">
        <w:rPr>
          <w:rFonts w:asciiTheme="majorHAnsi" w:hAnsiTheme="majorHAnsi" w:cstheme="majorHAnsi"/>
        </w:rPr>
      </w:r>
      <w:r w:rsidR="004E5082" w:rsidRPr="004E5082">
        <w:rPr>
          <w:rFonts w:asciiTheme="majorHAnsi" w:hAnsiTheme="majorHAnsi" w:cstheme="majorHAnsi"/>
          <w:noProof/>
          <w:vertAlign w:val="superscript"/>
        </w:rPr>
        <w:t>[19]</w:t>
      </w:r>
      <w:r w:rsidR="005601CF" w:rsidRPr="00246685">
        <w:rPr>
          <w:rFonts w:asciiTheme="majorHAnsi" w:hAnsiTheme="majorHAnsi" w:cstheme="majorHAnsi"/>
        </w:rPr>
      </w:r>
      <w:r w:rsidR="00566B98" w:rsidRPr="00246685">
        <w:rPr>
          <w:rFonts w:asciiTheme="majorHAnsi" w:hAnsiTheme="majorHAnsi" w:cstheme="majorHAnsi"/>
        </w:rPr>
        <w:t xml:space="preserve"> or </w:t>
      </w:r>
      <w:r w:rsidRPr="00246685">
        <w:rPr>
          <w:rFonts w:asciiTheme="majorHAnsi" w:hAnsiTheme="majorHAnsi" w:cstheme="majorHAnsi"/>
        </w:rPr>
        <w:t>had small sample sizes</w:t>
      </w:r>
      <w:r w:rsidR="00C22ED6" w:rsidRPr="00246685">
        <w:rPr>
          <w:rFonts w:asciiTheme="majorHAnsi" w:hAnsiTheme="majorHAnsi" w:cstheme="majorHAnsi"/>
        </w:rPr>
        <w:t>.</w:t>
      </w:r>
      <w:r w:rsidR="005601CF" w:rsidRPr="002466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5601CF" w:rsidRPr="00246685">
        <w:rPr>
          <w:rFonts w:asciiTheme="majorHAnsi" w:hAnsiTheme="majorHAnsi" w:cstheme="majorHAnsi"/>
        </w:rPr>
      </w:r>
      <w:r w:rsidR="005601CF" w:rsidRPr="00246685">
        <w:rPr>
          <w:rFonts w:asciiTheme="majorHAnsi" w:hAnsiTheme="majorHAnsi" w:cstheme="majorHAnsi"/>
        </w:rPr>
      </w:r>
      <w:r w:rsidR="004E5082" w:rsidRPr="004E5082">
        <w:rPr>
          <w:rFonts w:asciiTheme="majorHAnsi" w:hAnsiTheme="majorHAnsi" w:cstheme="majorHAnsi"/>
          <w:noProof/>
          <w:vertAlign w:val="superscript"/>
        </w:rPr>
        <w:t>[17, 20]</w:t>
      </w:r>
      <w:r w:rsidR="005601CF" w:rsidRPr="00246685">
        <w:rPr>
          <w:rFonts w:asciiTheme="majorHAnsi" w:hAnsiTheme="majorHAnsi" w:cstheme="majorHAnsi"/>
        </w:rPr>
      </w:r>
      <w:r w:rsidR="00C012B8" w:rsidRPr="00246685">
        <w:rPr>
          <w:rFonts w:asciiTheme="majorHAnsi" w:hAnsiTheme="majorHAnsi" w:cstheme="majorHAnsi"/>
        </w:rPr>
        <w:t xml:space="preserve"> </w:t>
      </w:r>
      <w:r w:rsidR="008C2F26" w:rsidRPr="00246685">
        <w:rPr>
          <w:rFonts w:asciiTheme="majorHAnsi" w:hAnsiTheme="majorHAnsi" w:cstheme="majorHAnsi"/>
        </w:rPr>
        <w:t xml:space="preserve">This highlights the need for a firmer </w:t>
      </w:r>
      <w:r w:rsidR="008C2F26" w:rsidRPr="00246685">
        <w:rPr>
          <w:rFonts w:asciiTheme="majorHAnsi" w:hAnsiTheme="majorHAnsi" w:cstheme="majorHAnsi"/>
        </w:rPr>
        <w:lastRenderedPageBreak/>
        <w:t>clinical effectiveness evidence base on which to base national, and potentially international, screening policy.</w:t>
      </w:r>
    </w:p>
    <w:p w14:paraId="3087A928" w14:textId="2C167DB1" w:rsidR="00211BC5" w:rsidRPr="00246685" w:rsidRDefault="00211BC5" w:rsidP="008C6451">
      <w:pPr>
        <w:spacing w:after="240" w:line="480" w:lineRule="auto"/>
        <w:jc w:val="both"/>
        <w:rPr>
          <w:rFonts w:asciiTheme="majorHAnsi" w:hAnsiTheme="majorHAnsi" w:cstheme="majorHAnsi"/>
        </w:rPr>
      </w:pPr>
      <w:r w:rsidRPr="00246685">
        <w:rPr>
          <w:rFonts w:asciiTheme="majorHAnsi" w:hAnsiTheme="majorHAnsi" w:cstheme="majorHAnsi"/>
        </w:rPr>
        <w:t>We aimed to address this evidence gap by implementing a prospective screening programme for LTBI among PLWH to understand levels of LTBI testing uptake, prevalence of LTBI and levels of LTBI chemoprophylaxis uptake and completion for those testing positive, amongst this population. We also explored factors associated with LTBI in PLWH</w:t>
      </w:r>
      <w:r w:rsidR="00AB06D7" w:rsidRPr="00246685">
        <w:rPr>
          <w:rFonts w:asciiTheme="majorHAnsi" w:hAnsiTheme="majorHAnsi" w:cstheme="majorHAnsi"/>
        </w:rPr>
        <w:t>,</w:t>
      </w:r>
      <w:r w:rsidRPr="00246685">
        <w:rPr>
          <w:rFonts w:asciiTheme="majorHAnsi" w:hAnsiTheme="majorHAnsi" w:cstheme="majorHAnsi"/>
        </w:rPr>
        <w:t xml:space="preserve"> such as ethnicity and </w:t>
      </w:r>
      <w:r w:rsidR="00AB06D7" w:rsidRPr="00246685">
        <w:rPr>
          <w:rFonts w:asciiTheme="majorHAnsi" w:hAnsiTheme="majorHAnsi" w:cstheme="majorHAnsi"/>
        </w:rPr>
        <w:t xml:space="preserve">TB incidence in </w:t>
      </w:r>
      <w:r w:rsidRPr="00246685">
        <w:rPr>
          <w:rFonts w:asciiTheme="majorHAnsi" w:hAnsiTheme="majorHAnsi" w:cstheme="majorHAnsi"/>
        </w:rPr>
        <w:t>country</w:t>
      </w:r>
      <w:r w:rsidR="00431A40">
        <w:rPr>
          <w:rFonts w:asciiTheme="majorHAnsi" w:hAnsiTheme="majorHAnsi" w:cstheme="majorHAnsi"/>
        </w:rPr>
        <w:t>-</w:t>
      </w:r>
      <w:r w:rsidRPr="00246685">
        <w:rPr>
          <w:rFonts w:asciiTheme="majorHAnsi" w:hAnsiTheme="majorHAnsi" w:cstheme="majorHAnsi"/>
        </w:rPr>
        <w:t>of</w:t>
      </w:r>
      <w:r w:rsidR="00431A40">
        <w:rPr>
          <w:rFonts w:asciiTheme="majorHAnsi" w:hAnsiTheme="majorHAnsi" w:cstheme="majorHAnsi"/>
        </w:rPr>
        <w:t>-</w:t>
      </w:r>
      <w:r w:rsidRPr="00246685">
        <w:rPr>
          <w:rFonts w:asciiTheme="majorHAnsi" w:hAnsiTheme="majorHAnsi" w:cstheme="majorHAnsi"/>
        </w:rPr>
        <w:t>birth</w:t>
      </w:r>
      <w:r w:rsidR="00AB06D7" w:rsidRPr="00246685">
        <w:rPr>
          <w:rFonts w:asciiTheme="majorHAnsi" w:hAnsiTheme="majorHAnsi" w:cstheme="majorHAnsi"/>
        </w:rPr>
        <w:t>,</w:t>
      </w:r>
      <w:r w:rsidRPr="00246685">
        <w:rPr>
          <w:rFonts w:asciiTheme="majorHAnsi" w:hAnsiTheme="majorHAnsi" w:cstheme="majorHAnsi"/>
        </w:rPr>
        <w:t xml:space="preserve"> to </w:t>
      </w:r>
      <w:r w:rsidR="00AB06D7" w:rsidRPr="00246685">
        <w:rPr>
          <w:rFonts w:asciiTheme="majorHAnsi" w:hAnsiTheme="majorHAnsi" w:cstheme="majorHAnsi"/>
        </w:rPr>
        <w:t>evaluate the performance of targeted screening strategies including the 2018 BHIVA</w:t>
      </w:r>
      <w:r w:rsidR="00924A7F" w:rsidRPr="00246685">
        <w:rPr>
          <w:rFonts w:asciiTheme="majorHAnsi" w:hAnsiTheme="majorHAnsi" w:cstheme="majorHAnsi"/>
        </w:rPr>
      </w:r>
      <w:r w:rsidR="004E5082">
        <w:rPr>
          <w:rFonts w:asciiTheme="majorHAnsi" w:hAnsiTheme="majorHAnsi" w:cstheme="majorHAnsi"/>
        </w:rPr>
        <w:instrText xml:space="preserve"/>
      </w:r>
      <w:r w:rsidR="00924A7F" w:rsidRPr="00246685">
        <w:rPr>
          <w:rFonts w:asciiTheme="majorHAnsi" w:hAnsiTheme="majorHAnsi" w:cstheme="majorHAnsi"/>
        </w:rPr>
      </w:r>
      <w:r w:rsidR="004E5082" w:rsidRPr="004E5082">
        <w:rPr>
          <w:rFonts w:asciiTheme="majorHAnsi" w:hAnsiTheme="majorHAnsi" w:cstheme="majorHAnsi"/>
          <w:noProof/>
          <w:vertAlign w:val="superscript"/>
        </w:rPr>
        <w:t>[14]</w:t>
      </w:r>
      <w:r w:rsidR="00924A7F" w:rsidRPr="00246685">
        <w:rPr>
          <w:rFonts w:asciiTheme="majorHAnsi" w:hAnsiTheme="majorHAnsi" w:cstheme="majorHAnsi"/>
        </w:rPr>
      </w:r>
      <w:r w:rsidR="00AB06D7" w:rsidRPr="00246685">
        <w:rPr>
          <w:rFonts w:asciiTheme="majorHAnsi" w:hAnsiTheme="majorHAnsi" w:cstheme="majorHAnsi"/>
        </w:rPr>
        <w:t xml:space="preserve"> </w:t>
      </w:r>
      <w:r w:rsidR="00924A7F" w:rsidRPr="00246685">
        <w:rPr>
          <w:rFonts w:asciiTheme="majorHAnsi" w:hAnsiTheme="majorHAnsi" w:cstheme="majorHAnsi"/>
        </w:rPr>
        <w:t>and NICE</w:t>
      </w:r>
      <w:r w:rsidR="00924A7F" w:rsidRPr="00246685">
        <w:rPr>
          <w:rFonts w:asciiTheme="majorHAnsi" w:hAnsiTheme="majorHAnsi" w:cstheme="majorHAnsi"/>
        </w:rPr>
      </w:r>
      <w:r w:rsidR="004E5082">
        <w:rPr>
          <w:rFonts w:asciiTheme="majorHAnsi" w:hAnsiTheme="majorHAnsi" w:cstheme="majorHAnsi"/>
        </w:rPr>
        <w:instrText xml:space="preserve"/>
      </w:r>
      <w:r w:rsidR="00924A7F" w:rsidRPr="00246685">
        <w:rPr>
          <w:rFonts w:asciiTheme="majorHAnsi" w:hAnsiTheme="majorHAnsi" w:cstheme="majorHAnsi"/>
        </w:rPr>
      </w:r>
      <w:r w:rsidR="004E5082" w:rsidRPr="004E5082">
        <w:rPr>
          <w:rFonts w:asciiTheme="majorHAnsi" w:hAnsiTheme="majorHAnsi" w:cstheme="majorHAnsi"/>
          <w:noProof/>
          <w:vertAlign w:val="superscript"/>
        </w:rPr>
        <w:t>[13]</w:t>
      </w:r>
      <w:r w:rsidR="00924A7F" w:rsidRPr="00246685">
        <w:rPr>
          <w:rFonts w:asciiTheme="majorHAnsi" w:hAnsiTheme="majorHAnsi" w:cstheme="majorHAnsi"/>
        </w:rPr>
      </w:r>
      <w:r w:rsidR="00924A7F" w:rsidRPr="00246685">
        <w:rPr>
          <w:rFonts w:asciiTheme="majorHAnsi" w:hAnsiTheme="majorHAnsi" w:cstheme="majorHAnsi"/>
        </w:rPr>
        <w:t xml:space="preserve"> </w:t>
      </w:r>
      <w:r w:rsidR="00AB06D7" w:rsidRPr="00246685">
        <w:rPr>
          <w:rFonts w:asciiTheme="majorHAnsi" w:hAnsiTheme="majorHAnsi" w:cstheme="majorHAnsi"/>
        </w:rPr>
        <w:t xml:space="preserve">guidance and </w:t>
      </w:r>
      <w:r w:rsidR="007C22DB" w:rsidRPr="00246685">
        <w:rPr>
          <w:rFonts w:asciiTheme="majorHAnsi" w:hAnsiTheme="majorHAnsi" w:cstheme="majorHAnsi"/>
        </w:rPr>
        <w:t xml:space="preserve">formulate an alternative targeted testing strategy identifying </w:t>
      </w:r>
      <w:r w:rsidR="00AB06D7" w:rsidRPr="00246685">
        <w:rPr>
          <w:rFonts w:asciiTheme="majorHAnsi" w:hAnsiTheme="majorHAnsi" w:cstheme="majorHAnsi"/>
        </w:rPr>
        <w:t>groups of PLWH to prioritise for testing</w:t>
      </w:r>
      <w:r w:rsidR="007C22DB" w:rsidRPr="00246685">
        <w:rPr>
          <w:rFonts w:asciiTheme="majorHAnsi" w:hAnsiTheme="majorHAnsi" w:cstheme="majorHAnsi"/>
        </w:rPr>
        <w:t xml:space="preserve"> which optimises testing yield</w:t>
      </w:r>
      <w:r w:rsidR="00F43A38" w:rsidRPr="00246685">
        <w:rPr>
          <w:rFonts w:asciiTheme="majorHAnsi" w:hAnsiTheme="majorHAnsi" w:cstheme="majorHAnsi"/>
        </w:rPr>
        <w:t xml:space="preserve"> (IGRA positivity rate amongst those tested) and</w:t>
      </w:r>
      <w:r w:rsidR="00B141CB" w:rsidRPr="00246685">
        <w:rPr>
          <w:rFonts w:asciiTheme="majorHAnsi" w:hAnsiTheme="majorHAnsi" w:cstheme="majorHAnsi"/>
        </w:rPr>
        <w:t xml:space="preserve"> efficiency</w:t>
      </w:r>
      <w:r w:rsidR="00F43A38" w:rsidRPr="00246685">
        <w:rPr>
          <w:rFonts w:asciiTheme="majorHAnsi" w:hAnsiTheme="majorHAnsi" w:cstheme="majorHAnsi"/>
        </w:rPr>
        <w:t xml:space="preserve"> </w:t>
      </w:r>
      <w:r w:rsidR="00B141CB" w:rsidRPr="00246685">
        <w:rPr>
          <w:rFonts w:asciiTheme="majorHAnsi" w:hAnsiTheme="majorHAnsi" w:cstheme="majorHAnsi"/>
        </w:rPr>
        <w:t>(</w:t>
      </w:r>
      <w:r w:rsidR="00F43A38" w:rsidRPr="00246685">
        <w:rPr>
          <w:rFonts w:asciiTheme="majorHAnsi" w:hAnsiTheme="majorHAnsi" w:cstheme="majorHAnsi"/>
        </w:rPr>
        <w:t>minim</w:t>
      </w:r>
      <w:r w:rsidR="00B141CB" w:rsidRPr="00246685">
        <w:rPr>
          <w:rFonts w:asciiTheme="majorHAnsi" w:hAnsiTheme="majorHAnsi" w:cstheme="majorHAnsi"/>
        </w:rPr>
        <w:t>al</w:t>
      </w:r>
      <w:r w:rsidR="00F43A38" w:rsidRPr="00246685">
        <w:rPr>
          <w:rFonts w:asciiTheme="majorHAnsi" w:hAnsiTheme="majorHAnsi" w:cstheme="majorHAnsi"/>
        </w:rPr>
        <w:t xml:space="preserve"> </w:t>
      </w:r>
      <w:r w:rsidR="00B141CB" w:rsidRPr="00246685">
        <w:rPr>
          <w:rFonts w:asciiTheme="majorHAnsi" w:hAnsiTheme="majorHAnsi" w:cstheme="majorHAnsi"/>
        </w:rPr>
        <w:t xml:space="preserve">IGRA </w:t>
      </w:r>
      <w:r w:rsidR="00F43A38" w:rsidRPr="00246685">
        <w:rPr>
          <w:rFonts w:asciiTheme="majorHAnsi" w:hAnsiTheme="majorHAnsi" w:cstheme="majorHAnsi"/>
        </w:rPr>
        <w:t>tests required</w:t>
      </w:r>
      <w:r w:rsidR="00B141CB" w:rsidRPr="00246685">
        <w:rPr>
          <w:rFonts w:asciiTheme="majorHAnsi" w:hAnsiTheme="majorHAnsi" w:cstheme="majorHAnsi"/>
        </w:rPr>
        <w:t>)</w:t>
      </w:r>
      <w:r w:rsidR="00AB06D7" w:rsidRPr="00246685">
        <w:rPr>
          <w:rFonts w:asciiTheme="majorHAnsi" w:hAnsiTheme="majorHAnsi" w:cstheme="majorHAnsi"/>
        </w:rPr>
        <w:t>.</w:t>
      </w:r>
    </w:p>
    <w:p w14:paraId="028004F4" w14:textId="57CA532B" w:rsidR="00566B98" w:rsidRPr="00AB06D7" w:rsidRDefault="00566B98" w:rsidP="008C6451">
      <w:pPr>
        <w:pStyle w:val="Heading2"/>
        <w:numPr>
          <w:ilvl w:val="0"/>
          <w:numId w:val="0"/>
        </w:numPr>
        <w:spacing w:after="240" w:line="480" w:lineRule="auto"/>
        <w:ind w:left="420" w:hanging="420"/>
        <w:rPr>
          <w:rFonts w:asciiTheme="majorHAnsi" w:hAnsiTheme="majorHAnsi" w:cstheme="majorHAnsi"/>
        </w:rPr>
      </w:pPr>
      <w:bookmarkStart w:id="3" w:name="_Toc420613003"/>
      <w:r w:rsidRPr="00AB06D7">
        <w:rPr>
          <w:rFonts w:asciiTheme="majorHAnsi" w:hAnsiTheme="majorHAnsi" w:cstheme="majorHAnsi"/>
        </w:rPr>
        <w:t>Methods</w:t>
      </w:r>
      <w:bookmarkEnd w:id="3"/>
    </w:p>
    <w:p w14:paraId="5624F200" w14:textId="138DCBCE" w:rsidR="00566B98" w:rsidRPr="00246685" w:rsidRDefault="00566B98" w:rsidP="008C6451">
      <w:pPr>
        <w:pStyle w:val="Heading3"/>
        <w:spacing w:after="240" w:line="480" w:lineRule="auto"/>
        <w:rPr>
          <w:sz w:val="24"/>
          <w:szCs w:val="24"/>
        </w:rPr>
      </w:pPr>
      <w:bookmarkStart w:id="4" w:name="_Toc420613004"/>
      <w:r w:rsidRPr="00246685">
        <w:rPr>
          <w:rFonts w:asciiTheme="majorHAnsi" w:hAnsiTheme="majorHAnsi" w:cstheme="majorHAnsi"/>
          <w:sz w:val="24"/>
          <w:szCs w:val="24"/>
        </w:rPr>
        <w:t>Study design and setting</w:t>
      </w:r>
      <w:bookmarkEnd w:id="4"/>
      <w:r w:rsidR="00C446EE" w:rsidRPr="00246685">
        <w:rPr>
          <w:sz w:val="24"/>
          <w:szCs w:val="24"/>
        </w:rPr>
        <w:t xml:space="preserve"> </w:t>
      </w:r>
    </w:p>
    <w:p w14:paraId="6279F7F1" w14:textId="7FEE0BD8" w:rsidR="00F543E8" w:rsidRPr="00246685" w:rsidRDefault="009B4084" w:rsidP="008C6451">
      <w:pPr>
        <w:spacing w:line="480" w:lineRule="auto"/>
        <w:jc w:val="both"/>
        <w:rPr>
          <w:rFonts w:asciiTheme="majorHAnsi" w:hAnsiTheme="majorHAnsi" w:cstheme="majorHAnsi"/>
        </w:rPr>
      </w:pPr>
      <w:r w:rsidRPr="00246685">
        <w:rPr>
          <w:rFonts w:asciiTheme="majorHAnsi" w:eastAsia="Times New Roman" w:hAnsiTheme="majorHAnsi" w:cstheme="majorHAnsi"/>
          <w:color w:val="000000" w:themeColor="text1"/>
          <w:lang w:eastAsia="en-GB"/>
        </w:rPr>
        <w:t xml:space="preserve">We </w:t>
      </w:r>
      <w:r w:rsidR="001803F5" w:rsidRPr="00246685">
        <w:rPr>
          <w:rFonts w:asciiTheme="majorHAnsi" w:eastAsia="Times New Roman" w:hAnsiTheme="majorHAnsi" w:cstheme="majorHAnsi"/>
          <w:color w:val="000000" w:themeColor="text1"/>
          <w:lang w:eastAsia="en-GB"/>
        </w:rPr>
        <w:t>implemented</w:t>
      </w:r>
      <w:r w:rsidRPr="00246685">
        <w:rPr>
          <w:rFonts w:asciiTheme="majorHAnsi" w:eastAsia="Times New Roman" w:hAnsiTheme="majorHAnsi" w:cstheme="majorHAnsi"/>
          <w:color w:val="000000" w:themeColor="text1"/>
          <w:lang w:eastAsia="en-GB"/>
        </w:rPr>
        <w:t xml:space="preserve"> a </w:t>
      </w:r>
      <w:r w:rsidR="00566B98" w:rsidRPr="00246685">
        <w:rPr>
          <w:rFonts w:asciiTheme="majorHAnsi" w:eastAsia="Times New Roman" w:hAnsiTheme="majorHAnsi" w:cstheme="majorHAnsi"/>
          <w:color w:val="000000" w:themeColor="text1"/>
          <w:lang w:eastAsia="en-GB"/>
        </w:rPr>
        <w:t xml:space="preserve">LTBI screening programme in </w:t>
      </w:r>
      <w:r w:rsidR="00AC6E15" w:rsidRPr="00246685">
        <w:rPr>
          <w:rFonts w:asciiTheme="majorHAnsi" w:eastAsia="Times New Roman" w:hAnsiTheme="majorHAnsi" w:cstheme="majorHAnsi"/>
          <w:color w:val="000000" w:themeColor="text1"/>
          <w:lang w:eastAsia="en-GB"/>
        </w:rPr>
        <w:t>Leicester, UK</w:t>
      </w:r>
      <w:r w:rsidR="002719A4" w:rsidRPr="00246685">
        <w:rPr>
          <w:rFonts w:asciiTheme="majorHAnsi" w:eastAsia="Times New Roman" w:hAnsiTheme="majorHAnsi" w:cstheme="majorHAnsi"/>
          <w:color w:val="000000" w:themeColor="text1"/>
          <w:lang w:eastAsia="en-GB"/>
        </w:rPr>
        <w:t>,</w:t>
      </w:r>
      <w:r w:rsidR="00966CB5" w:rsidRPr="00246685">
        <w:rPr>
          <w:rFonts w:asciiTheme="majorHAnsi" w:hAnsiTheme="majorHAnsi" w:cstheme="majorHAnsi"/>
        </w:rPr>
        <w:t xml:space="preserve"> an ethnically diverse city with one of the highest TB </w:t>
      </w:r>
      <w:r w:rsidR="00CF0AA5">
        <w:rPr>
          <w:rFonts w:asciiTheme="majorHAnsi" w:hAnsiTheme="majorHAnsi" w:cstheme="majorHAnsi"/>
        </w:rPr>
        <w:t xml:space="preserve">incidence </w:t>
      </w:r>
      <w:r w:rsidR="00966CB5" w:rsidRPr="00246685">
        <w:rPr>
          <w:rFonts w:asciiTheme="majorHAnsi" w:hAnsiTheme="majorHAnsi" w:cstheme="majorHAnsi"/>
        </w:rPr>
        <w:t>rates in the UK (</w:t>
      </w:r>
      <w:r w:rsidR="00C446EE" w:rsidRPr="00246685">
        <w:rPr>
          <w:rFonts w:asciiTheme="majorHAnsi" w:hAnsiTheme="majorHAnsi" w:cstheme="majorHAnsi"/>
        </w:rPr>
        <w:t>40.5</w:t>
      </w:r>
      <w:r w:rsidR="00AB58AC">
        <w:rPr>
          <w:rFonts w:asciiTheme="majorHAnsi" w:hAnsiTheme="majorHAnsi" w:cstheme="majorHAnsi"/>
        </w:rPr>
        <w:t>/</w:t>
      </w:r>
      <w:r w:rsidR="00966CB5" w:rsidRPr="00246685">
        <w:rPr>
          <w:rFonts w:asciiTheme="majorHAnsi" w:hAnsiTheme="majorHAnsi" w:cstheme="majorHAnsi"/>
        </w:rPr>
        <w:t>10</w:t>
      </w:r>
      <w:r w:rsidR="00C446EE" w:rsidRPr="00246685">
        <w:rPr>
          <w:rFonts w:asciiTheme="majorHAnsi" w:hAnsiTheme="majorHAnsi" w:cstheme="majorHAnsi"/>
        </w:rPr>
        <w:t>0,</w:t>
      </w:r>
      <w:r w:rsidR="00966CB5" w:rsidRPr="00246685">
        <w:rPr>
          <w:rFonts w:asciiTheme="majorHAnsi" w:hAnsiTheme="majorHAnsi" w:cstheme="majorHAnsi"/>
        </w:rPr>
        <w:t xml:space="preserve">000 general population </w:t>
      </w:r>
      <w:r w:rsidR="00CF0AA5">
        <w:rPr>
          <w:rFonts w:asciiTheme="majorHAnsi" w:hAnsiTheme="majorHAnsi" w:cstheme="majorHAnsi"/>
        </w:rPr>
        <w:t>in</w:t>
      </w:r>
      <w:r w:rsidR="00C446EE" w:rsidRPr="00246685">
        <w:rPr>
          <w:rFonts w:asciiTheme="majorHAnsi" w:hAnsiTheme="majorHAnsi" w:cstheme="majorHAnsi"/>
        </w:rPr>
        <w:t xml:space="preserve"> 2018</w:t>
      </w:r>
      <w:r w:rsidR="0053531A" w:rsidRPr="00246685">
        <w:rPr>
          <w:rFonts w:asciiTheme="majorHAnsi" w:hAnsiTheme="majorHAnsi" w:cstheme="majorHAnsi"/>
        </w:rPr>
      </w:r>
      <w:r w:rsidR="004E5082">
        <w:rPr>
          <w:rFonts w:asciiTheme="majorHAnsi" w:hAnsiTheme="majorHAnsi" w:cstheme="majorHAnsi"/>
        </w:rPr>
        <w:instrText xml:space="preserve"/>
      </w:r>
      <w:r w:rsidR="0053531A" w:rsidRPr="00246685">
        <w:rPr>
          <w:rFonts w:asciiTheme="majorHAnsi" w:hAnsiTheme="majorHAnsi" w:cstheme="majorHAnsi"/>
        </w:rPr>
      </w:r>
      <w:r w:rsidR="004E5082" w:rsidRPr="004E5082">
        <w:rPr>
          <w:rFonts w:asciiTheme="majorHAnsi" w:hAnsiTheme="majorHAnsi" w:cstheme="majorHAnsi"/>
          <w:noProof/>
          <w:vertAlign w:val="superscript"/>
        </w:rPr>
        <w:t>[21]</w:t>
      </w:r>
      <w:r w:rsidR="0053531A" w:rsidRPr="00246685">
        <w:rPr>
          <w:rFonts w:asciiTheme="majorHAnsi" w:hAnsiTheme="majorHAnsi" w:cstheme="majorHAnsi"/>
        </w:rPr>
      </w:r>
      <w:r w:rsidR="00966CB5" w:rsidRPr="00246685">
        <w:rPr>
          <w:rFonts w:asciiTheme="majorHAnsi" w:hAnsiTheme="majorHAnsi" w:cstheme="majorHAnsi"/>
        </w:rPr>
        <w:t xml:space="preserve">). </w:t>
      </w:r>
      <w:r w:rsidR="00D838BD" w:rsidRPr="00246685">
        <w:rPr>
          <w:rFonts w:asciiTheme="majorHAnsi" w:hAnsiTheme="majorHAnsi" w:cstheme="majorHAnsi"/>
        </w:rPr>
        <w:t>HIV prevalence is 3</w:t>
      </w:r>
      <w:r w:rsidR="00E551C8">
        <w:rPr>
          <w:rFonts w:asciiTheme="majorHAnsi" w:hAnsiTheme="majorHAnsi" w:cstheme="majorHAnsi"/>
        </w:rPr>
        <w:t>.</w:t>
      </w:r>
      <w:r w:rsidR="00D838BD" w:rsidRPr="00246685">
        <w:rPr>
          <w:rFonts w:asciiTheme="majorHAnsi" w:hAnsiTheme="majorHAnsi" w:cstheme="majorHAnsi"/>
        </w:rPr>
        <w:t>9</w:t>
      </w:r>
      <w:r w:rsidR="00900234" w:rsidRPr="00246685">
        <w:rPr>
          <w:rFonts w:asciiTheme="majorHAnsi" w:hAnsiTheme="majorHAnsi" w:cstheme="majorHAnsi"/>
        </w:rPr>
        <w:t>6</w:t>
      </w:r>
      <w:r w:rsidR="00AB58AC">
        <w:rPr>
          <w:rFonts w:asciiTheme="majorHAnsi" w:hAnsiTheme="majorHAnsi" w:cstheme="majorHAnsi"/>
        </w:rPr>
        <w:t>/</w:t>
      </w:r>
      <w:r w:rsidR="00D838BD" w:rsidRPr="00246685">
        <w:rPr>
          <w:rFonts w:asciiTheme="majorHAnsi" w:hAnsiTheme="majorHAnsi" w:cstheme="majorHAnsi"/>
        </w:rPr>
        <w:t>1000 population</w:t>
      </w:r>
      <w:r w:rsidR="00900234" w:rsidRPr="00246685">
        <w:rPr>
          <w:rFonts w:asciiTheme="majorHAnsi" w:hAnsiTheme="majorHAnsi" w:cstheme="majorHAnsi"/>
        </w:rPr>
        <w:t xml:space="preserve"> </w:t>
      </w:r>
      <w:r w:rsidR="00566666">
        <w:rPr>
          <w:rFonts w:asciiTheme="majorHAnsi" w:hAnsiTheme="majorHAnsi" w:cstheme="majorHAnsi"/>
        </w:rPr>
        <w:t xml:space="preserve">aged </w:t>
      </w:r>
      <w:r w:rsidR="00900234" w:rsidRPr="00246685">
        <w:rPr>
          <w:rFonts w:asciiTheme="majorHAnsi" w:hAnsiTheme="majorHAnsi" w:cstheme="majorHAnsi"/>
        </w:rPr>
        <w:t>15-59 years</w:t>
      </w:r>
      <w:r w:rsidR="00D838BD" w:rsidRPr="00246685">
        <w:rPr>
          <w:rFonts w:asciiTheme="majorHAnsi" w:hAnsiTheme="majorHAnsi" w:cstheme="majorHAnsi"/>
        </w:rPr>
        <w:t xml:space="preserve">, </w:t>
      </w:r>
      <w:r w:rsidR="00E47736" w:rsidRPr="00246685">
        <w:rPr>
          <w:rFonts w:asciiTheme="majorHAnsi" w:hAnsiTheme="majorHAnsi" w:cstheme="majorHAnsi"/>
        </w:rPr>
        <w:t>making Leicester one of 84 (out of 317) local authorities in England with “high-diagnosed prevalence”</w:t>
      </w:r>
      <w:r w:rsidR="00900234" w:rsidRPr="00246685">
        <w:rPr>
          <w:rFonts w:asciiTheme="majorHAnsi" w:hAnsiTheme="majorHAnsi" w:cstheme="majorHAnsi"/>
        </w:rPr>
        <w:t xml:space="preserve"> (≥2</w:t>
      </w:r>
      <w:r w:rsidR="00AB58AC">
        <w:rPr>
          <w:rFonts w:asciiTheme="majorHAnsi" w:hAnsiTheme="majorHAnsi" w:cstheme="majorHAnsi"/>
        </w:rPr>
        <w:t>/</w:t>
      </w:r>
      <w:r w:rsidR="00900234" w:rsidRPr="00246685">
        <w:rPr>
          <w:rFonts w:asciiTheme="majorHAnsi" w:hAnsiTheme="majorHAnsi" w:cstheme="majorHAnsi"/>
        </w:rPr>
        <w:t>1000</w:t>
      </w:r>
      <w:r w:rsidR="0057635E">
        <w:rPr>
          <w:rFonts w:asciiTheme="majorHAnsi" w:hAnsiTheme="majorHAnsi" w:cstheme="majorHAnsi"/>
        </w:rPr>
        <w:t xml:space="preserve"> population</w:t>
      </w:r>
      <w:r w:rsidR="004B573E">
        <w:rPr>
          <w:rFonts w:asciiTheme="majorHAnsi" w:hAnsiTheme="majorHAnsi" w:cstheme="majorHAnsi"/>
        </w:rPr>
        <w:t>)</w:t>
      </w:r>
      <w:r w:rsidR="00900234" w:rsidRPr="00246685">
        <w:rPr>
          <w:rFonts w:asciiTheme="majorHAnsi" w:hAnsiTheme="majorHAnsi" w:cstheme="majorHAnsi"/>
        </w:rPr>
        <w:t>.</w:t>
      </w:r>
      <w:r w:rsidR="0053531A" w:rsidRPr="00246685">
        <w:rPr>
          <w:rFonts w:asciiTheme="majorHAnsi" w:hAnsiTheme="majorHAnsi" w:cstheme="majorHAnsi"/>
        </w:rPr>
      </w:r>
      <w:r w:rsidR="004E5082">
        <w:rPr>
          <w:rFonts w:asciiTheme="majorHAnsi" w:hAnsiTheme="majorHAnsi" w:cstheme="majorHAnsi"/>
        </w:rPr>
        <w:instrText xml:space="preserve"/>
      </w:r>
      <w:r w:rsidR="0053531A" w:rsidRPr="00246685">
        <w:rPr>
          <w:rFonts w:asciiTheme="majorHAnsi" w:hAnsiTheme="majorHAnsi" w:cstheme="majorHAnsi"/>
        </w:rPr>
      </w:r>
      <w:r w:rsidR="004E5082" w:rsidRPr="004E5082">
        <w:rPr>
          <w:rFonts w:asciiTheme="majorHAnsi" w:hAnsiTheme="majorHAnsi" w:cstheme="majorHAnsi"/>
          <w:noProof/>
          <w:vertAlign w:val="superscript"/>
        </w:rPr>
        <w:t>[22]</w:t>
      </w:r>
      <w:r w:rsidR="0053531A" w:rsidRPr="00246685">
        <w:rPr>
          <w:rFonts w:asciiTheme="majorHAnsi" w:hAnsiTheme="majorHAnsi" w:cstheme="majorHAnsi"/>
        </w:rPr>
      </w:r>
      <w:r w:rsidR="00900234" w:rsidRPr="00246685">
        <w:rPr>
          <w:rFonts w:asciiTheme="majorHAnsi" w:hAnsiTheme="majorHAnsi" w:cstheme="majorHAnsi"/>
        </w:rPr>
        <w:t xml:space="preserve"> </w:t>
      </w:r>
      <w:r w:rsidR="00966CB5" w:rsidRPr="00246685">
        <w:rPr>
          <w:rFonts w:asciiTheme="majorHAnsi" w:hAnsiTheme="majorHAnsi" w:cstheme="majorHAnsi"/>
        </w:rPr>
        <w:t xml:space="preserve">Only </w:t>
      </w:r>
      <w:r w:rsidR="00F10FF4">
        <w:rPr>
          <w:rFonts w:asciiTheme="majorHAnsi" w:hAnsiTheme="majorHAnsi" w:cstheme="majorHAnsi"/>
        </w:rPr>
        <w:t>inconsistent, patchy</w:t>
      </w:r>
      <w:r w:rsidR="00966CB5" w:rsidRPr="00246685">
        <w:rPr>
          <w:rFonts w:asciiTheme="majorHAnsi" w:hAnsiTheme="majorHAnsi" w:cstheme="majorHAnsi"/>
        </w:rPr>
        <w:t xml:space="preserve"> LTBI screening amongst PLWH had been occurring in Leicester since the introduction of IGRA tests</w:t>
      </w:r>
      <w:r w:rsidR="00361CD3">
        <w:rPr>
          <w:rFonts w:asciiTheme="majorHAnsi" w:hAnsiTheme="majorHAnsi" w:cstheme="majorHAnsi"/>
        </w:rPr>
        <w:t xml:space="preserve">. </w:t>
      </w:r>
    </w:p>
    <w:p w14:paraId="5F56B4B7" w14:textId="6A495CB2" w:rsidR="00F543E8" w:rsidRDefault="00DA388D" w:rsidP="008C6451">
      <w:pPr>
        <w:spacing w:line="480" w:lineRule="auto"/>
        <w:jc w:val="both"/>
        <w:rPr>
          <w:rFonts w:asciiTheme="majorHAnsi" w:hAnsiTheme="majorHAnsi" w:cstheme="majorHAnsi"/>
        </w:rPr>
      </w:pPr>
      <w:r>
        <w:rPr>
          <w:rFonts w:asciiTheme="majorHAnsi" w:hAnsiTheme="majorHAnsi" w:cstheme="majorHAnsi"/>
        </w:rPr>
        <w:t>From</w:t>
      </w:r>
      <w:r w:rsidR="00557B5B">
        <w:rPr>
          <w:rFonts w:asciiTheme="majorHAnsi" w:hAnsiTheme="majorHAnsi" w:cstheme="majorHAnsi"/>
        </w:rPr>
        <w:t xml:space="preserve"> 22nd February</w:t>
      </w:r>
      <w:r w:rsidR="00DA0896">
        <w:rPr>
          <w:rFonts w:asciiTheme="majorHAnsi" w:hAnsiTheme="majorHAnsi" w:cstheme="majorHAnsi"/>
        </w:rPr>
        <w:t xml:space="preserve"> </w:t>
      </w:r>
      <w:r>
        <w:rPr>
          <w:rFonts w:asciiTheme="majorHAnsi" w:hAnsiTheme="majorHAnsi" w:cstheme="majorHAnsi"/>
        </w:rPr>
        <w:t>2014 onwards, w</w:t>
      </w:r>
      <w:r w:rsidR="00966CB5" w:rsidRPr="00246685">
        <w:rPr>
          <w:rFonts w:asciiTheme="majorHAnsi" w:hAnsiTheme="majorHAnsi" w:cstheme="majorHAnsi"/>
        </w:rPr>
        <w:t xml:space="preserve">e prospectively screened all remaining active </w:t>
      </w:r>
      <w:r w:rsidR="00544929" w:rsidRPr="00246685">
        <w:rPr>
          <w:rFonts w:asciiTheme="majorHAnsi" w:hAnsiTheme="majorHAnsi" w:cstheme="majorHAnsi"/>
        </w:rPr>
        <w:t xml:space="preserve">HIV </w:t>
      </w:r>
      <w:r w:rsidR="00966CB5" w:rsidRPr="00246685">
        <w:rPr>
          <w:rFonts w:asciiTheme="majorHAnsi" w:hAnsiTheme="majorHAnsi" w:cstheme="majorHAnsi"/>
        </w:rPr>
        <w:t>patients in</w:t>
      </w:r>
      <w:r w:rsidR="00544929" w:rsidRPr="00246685">
        <w:rPr>
          <w:rFonts w:asciiTheme="majorHAnsi" w:hAnsiTheme="majorHAnsi" w:cstheme="majorHAnsi"/>
        </w:rPr>
        <w:t xml:space="preserve"> Leicester</w:t>
      </w:r>
      <w:r w:rsidR="00966CB5" w:rsidRPr="00246685">
        <w:rPr>
          <w:rFonts w:asciiTheme="majorHAnsi" w:hAnsiTheme="majorHAnsi" w:cstheme="majorHAnsi"/>
        </w:rPr>
        <w:t xml:space="preserve"> for LTBI followed by treatment, irrespective of ethnicity, country</w:t>
      </w:r>
      <w:r w:rsidR="00431A40">
        <w:rPr>
          <w:rFonts w:asciiTheme="majorHAnsi" w:hAnsiTheme="majorHAnsi" w:cstheme="majorHAnsi"/>
        </w:rPr>
        <w:t>-</w:t>
      </w:r>
      <w:r w:rsidR="00966CB5" w:rsidRPr="00246685">
        <w:rPr>
          <w:rFonts w:asciiTheme="majorHAnsi" w:hAnsiTheme="majorHAnsi" w:cstheme="majorHAnsi"/>
        </w:rPr>
        <w:t>of</w:t>
      </w:r>
      <w:r w:rsidR="00431A40">
        <w:rPr>
          <w:rFonts w:asciiTheme="majorHAnsi" w:hAnsiTheme="majorHAnsi" w:cstheme="majorHAnsi"/>
        </w:rPr>
        <w:t>-</w:t>
      </w:r>
      <w:r w:rsidR="00966CB5" w:rsidRPr="00246685">
        <w:rPr>
          <w:rFonts w:asciiTheme="majorHAnsi" w:hAnsiTheme="majorHAnsi" w:cstheme="majorHAnsi"/>
        </w:rPr>
        <w:t>birth, age, sex or co-morbidities</w:t>
      </w:r>
      <w:r w:rsidR="0053068E">
        <w:rPr>
          <w:rFonts w:asciiTheme="majorHAnsi" w:hAnsiTheme="majorHAnsi" w:cstheme="majorHAnsi"/>
        </w:rPr>
        <w:t>,</w:t>
      </w:r>
      <w:r w:rsidR="00966CB5" w:rsidRPr="00246685">
        <w:rPr>
          <w:rFonts w:asciiTheme="majorHAnsi" w:hAnsiTheme="majorHAnsi" w:cstheme="majorHAnsi"/>
        </w:rPr>
        <w:t xml:space="preserve"> to assess acceptability and uptake of LTBI screening and </w:t>
      </w:r>
      <w:r w:rsidR="00966CB5" w:rsidRPr="00246685">
        <w:rPr>
          <w:rFonts w:asciiTheme="majorHAnsi" w:hAnsiTheme="majorHAnsi" w:cstheme="majorHAnsi"/>
        </w:rPr>
        <w:lastRenderedPageBreak/>
        <w:t>treatment among PLWH, IGRA positivity rate,</w:t>
      </w:r>
      <w:r w:rsidR="0053068E">
        <w:rPr>
          <w:rFonts w:asciiTheme="majorHAnsi" w:hAnsiTheme="majorHAnsi" w:cstheme="majorHAnsi"/>
        </w:rPr>
        <w:t xml:space="preserve"> LTBI treatment completion rate</w:t>
      </w:r>
      <w:r>
        <w:rPr>
          <w:rFonts w:asciiTheme="majorHAnsi" w:hAnsiTheme="majorHAnsi" w:cstheme="majorHAnsi"/>
        </w:rPr>
        <w:t xml:space="preserve"> and correlates with IGRA positivity.</w:t>
      </w:r>
      <w:r w:rsidR="00966CB5" w:rsidRPr="00246685">
        <w:rPr>
          <w:rFonts w:asciiTheme="majorHAnsi" w:hAnsiTheme="majorHAnsi" w:cstheme="majorHAnsi"/>
        </w:rPr>
        <w:t xml:space="preserve"> </w:t>
      </w:r>
      <w:bookmarkStart w:id="5" w:name="_Toc420613005"/>
    </w:p>
    <w:p w14:paraId="5F127D8D" w14:textId="61A70424" w:rsidR="00566B98" w:rsidRPr="00246685" w:rsidRDefault="00566B98" w:rsidP="008C6451">
      <w:pPr>
        <w:pStyle w:val="Heading3"/>
        <w:spacing w:after="240" w:line="480" w:lineRule="auto"/>
        <w:rPr>
          <w:rFonts w:asciiTheme="majorHAnsi" w:hAnsiTheme="majorHAnsi" w:cstheme="majorHAnsi"/>
          <w:sz w:val="24"/>
          <w:szCs w:val="24"/>
        </w:rPr>
      </w:pPr>
      <w:r w:rsidRPr="00246685">
        <w:rPr>
          <w:rFonts w:asciiTheme="majorHAnsi" w:hAnsiTheme="majorHAnsi" w:cstheme="majorHAnsi"/>
          <w:sz w:val="24"/>
          <w:szCs w:val="24"/>
        </w:rPr>
        <w:t>Study population and participants</w:t>
      </w:r>
      <w:bookmarkEnd w:id="5"/>
    </w:p>
    <w:p w14:paraId="2B47B916" w14:textId="3433B1D9" w:rsidR="00566B98" w:rsidRPr="00246685" w:rsidRDefault="001803F5" w:rsidP="008C6451">
      <w:pPr>
        <w:spacing w:line="480" w:lineRule="auto"/>
        <w:jc w:val="both"/>
        <w:rPr>
          <w:rFonts w:asciiTheme="majorHAnsi" w:hAnsiTheme="majorHAnsi" w:cstheme="majorHAnsi"/>
        </w:rPr>
      </w:pPr>
      <w:r w:rsidRPr="00246685">
        <w:rPr>
          <w:rFonts w:asciiTheme="majorHAnsi" w:hAnsiTheme="majorHAnsi" w:cstheme="majorHAnsi"/>
        </w:rPr>
        <w:t>We included a</w:t>
      </w:r>
      <w:r w:rsidR="00D334F0" w:rsidRPr="00246685">
        <w:rPr>
          <w:rFonts w:asciiTheme="majorHAnsi" w:hAnsiTheme="majorHAnsi" w:cstheme="majorHAnsi"/>
        </w:rPr>
        <w:t xml:space="preserve">ll </w:t>
      </w:r>
      <w:r w:rsidR="0028771C" w:rsidRPr="00246685">
        <w:rPr>
          <w:rFonts w:asciiTheme="majorHAnsi" w:hAnsiTheme="majorHAnsi" w:cstheme="majorHAnsi"/>
        </w:rPr>
        <w:t>PLWH</w:t>
      </w:r>
      <w:r w:rsidR="00D334F0" w:rsidRPr="00246685">
        <w:rPr>
          <w:rFonts w:asciiTheme="majorHAnsi" w:hAnsiTheme="majorHAnsi" w:cstheme="majorHAnsi"/>
        </w:rPr>
        <w:t xml:space="preserve"> who had sought care for HIV at University Hospitals Leicester </w:t>
      </w:r>
      <w:r w:rsidR="0028771C" w:rsidRPr="00246685">
        <w:rPr>
          <w:rFonts w:asciiTheme="majorHAnsi" w:hAnsiTheme="majorHAnsi" w:cstheme="majorHAnsi"/>
        </w:rPr>
        <w:t xml:space="preserve">(UHL) </w:t>
      </w:r>
      <w:r w:rsidR="00D334F0" w:rsidRPr="00246685">
        <w:rPr>
          <w:rFonts w:asciiTheme="majorHAnsi" w:hAnsiTheme="majorHAnsi" w:cstheme="majorHAnsi"/>
        </w:rPr>
        <w:t>NHS Trust (which is the sole provider for HIV and TB care in Leicester</w:t>
      </w:r>
      <w:r w:rsidR="006756CD">
        <w:rPr>
          <w:rFonts w:asciiTheme="majorHAnsi" w:hAnsiTheme="majorHAnsi" w:cstheme="majorHAnsi"/>
        </w:rPr>
        <w:t xml:space="preserve"> city and Leicestershire</w:t>
      </w:r>
      <w:r w:rsidR="00D334F0" w:rsidRPr="00246685">
        <w:rPr>
          <w:rFonts w:asciiTheme="majorHAnsi" w:hAnsiTheme="majorHAnsi" w:cstheme="majorHAnsi"/>
        </w:rPr>
        <w:t>)</w:t>
      </w:r>
      <w:r w:rsidR="00FE7E8E" w:rsidRPr="00246685">
        <w:rPr>
          <w:rFonts w:asciiTheme="majorHAnsi" w:hAnsiTheme="majorHAnsi" w:cstheme="majorHAnsi"/>
        </w:rPr>
        <w:t xml:space="preserve"> up until 30th June 2017</w:t>
      </w:r>
      <w:r w:rsidR="004F733E">
        <w:rPr>
          <w:rFonts w:asciiTheme="majorHAnsi" w:hAnsiTheme="majorHAnsi" w:cstheme="majorHAnsi"/>
        </w:rPr>
        <w:t>.</w:t>
      </w:r>
      <w:r w:rsidR="00C012B8" w:rsidRPr="00246685">
        <w:rPr>
          <w:rFonts w:asciiTheme="majorHAnsi" w:hAnsiTheme="majorHAnsi" w:cstheme="majorHAnsi"/>
        </w:rPr>
        <w:t xml:space="preserve"> </w:t>
      </w:r>
      <w:r w:rsidRPr="00246685">
        <w:rPr>
          <w:rFonts w:asciiTheme="majorHAnsi" w:hAnsiTheme="majorHAnsi" w:cstheme="majorHAnsi"/>
        </w:rPr>
        <w:t>We excluded</w:t>
      </w:r>
      <w:r w:rsidR="00566B98" w:rsidRPr="00246685">
        <w:rPr>
          <w:rFonts w:asciiTheme="majorHAnsi" w:hAnsiTheme="majorHAnsi" w:cstheme="majorHAnsi"/>
        </w:rPr>
        <w:t xml:space="preserve"> those who had had active TB </w:t>
      </w:r>
      <w:r w:rsidR="00D334F0" w:rsidRPr="00246685">
        <w:rPr>
          <w:rFonts w:asciiTheme="majorHAnsi" w:hAnsiTheme="majorHAnsi" w:cstheme="majorHAnsi"/>
        </w:rPr>
        <w:t xml:space="preserve">or LTBI treated </w:t>
      </w:r>
      <w:r w:rsidR="00566B98" w:rsidRPr="00246685">
        <w:rPr>
          <w:rFonts w:asciiTheme="majorHAnsi" w:hAnsiTheme="majorHAnsi" w:cstheme="majorHAnsi"/>
        </w:rPr>
        <w:t>previously</w:t>
      </w:r>
      <w:r w:rsidR="003C1E05" w:rsidRPr="00246685">
        <w:rPr>
          <w:rFonts w:asciiTheme="majorHAnsi" w:hAnsiTheme="majorHAnsi" w:cstheme="majorHAnsi"/>
        </w:rPr>
        <w:t xml:space="preserve"> and</w:t>
      </w:r>
      <w:r w:rsidR="00D334F0" w:rsidRPr="00246685">
        <w:rPr>
          <w:rFonts w:asciiTheme="majorHAnsi" w:hAnsiTheme="majorHAnsi" w:cstheme="majorHAnsi"/>
        </w:rPr>
        <w:t xml:space="preserve"> </w:t>
      </w:r>
      <w:r w:rsidR="00566B98" w:rsidRPr="00246685">
        <w:rPr>
          <w:rFonts w:asciiTheme="majorHAnsi" w:hAnsiTheme="majorHAnsi" w:cstheme="majorHAnsi"/>
        </w:rPr>
        <w:t>those who had died</w:t>
      </w:r>
      <w:r w:rsidR="00D334F0" w:rsidRPr="00246685">
        <w:rPr>
          <w:rFonts w:asciiTheme="majorHAnsi" w:hAnsiTheme="majorHAnsi" w:cstheme="majorHAnsi"/>
        </w:rPr>
        <w:t xml:space="preserve">, </w:t>
      </w:r>
      <w:r w:rsidR="00566B98" w:rsidRPr="00246685">
        <w:rPr>
          <w:rFonts w:asciiTheme="majorHAnsi" w:hAnsiTheme="majorHAnsi" w:cstheme="majorHAnsi"/>
        </w:rPr>
        <w:t>moved away from Leicester</w:t>
      </w:r>
      <w:r w:rsidR="00557B5B">
        <w:rPr>
          <w:rFonts w:asciiTheme="majorHAnsi" w:hAnsiTheme="majorHAnsi" w:cstheme="majorHAnsi"/>
        </w:rPr>
        <w:t xml:space="preserve">, </w:t>
      </w:r>
      <w:r w:rsidR="00D334F0" w:rsidRPr="00246685">
        <w:rPr>
          <w:rFonts w:asciiTheme="majorHAnsi" w:hAnsiTheme="majorHAnsi" w:cstheme="majorHAnsi"/>
        </w:rPr>
        <w:t xml:space="preserve">been </w:t>
      </w:r>
      <w:r w:rsidR="00566B98" w:rsidRPr="00246685">
        <w:rPr>
          <w:rFonts w:asciiTheme="majorHAnsi" w:hAnsiTheme="majorHAnsi" w:cstheme="majorHAnsi"/>
        </w:rPr>
        <w:t xml:space="preserve">lost to follow-up </w:t>
      </w:r>
      <w:r w:rsidR="00557B5B">
        <w:rPr>
          <w:rFonts w:asciiTheme="majorHAnsi" w:hAnsiTheme="majorHAnsi" w:cstheme="majorHAnsi"/>
        </w:rPr>
        <w:t>or who had been screened for LTBI previously.</w:t>
      </w:r>
      <w:r w:rsidR="00FE7E8E" w:rsidRPr="00246685">
        <w:rPr>
          <w:rFonts w:asciiTheme="majorHAnsi" w:hAnsiTheme="majorHAnsi" w:cstheme="majorHAnsi"/>
        </w:rPr>
        <w:t xml:space="preserve"> Results from </w:t>
      </w:r>
      <w:r w:rsidR="00DA2355">
        <w:rPr>
          <w:rFonts w:asciiTheme="majorHAnsi" w:hAnsiTheme="majorHAnsi" w:cstheme="majorHAnsi"/>
        </w:rPr>
        <w:t xml:space="preserve">IGRA </w:t>
      </w:r>
      <w:r w:rsidR="00FE7E8E" w:rsidRPr="00246685">
        <w:rPr>
          <w:rFonts w:asciiTheme="majorHAnsi" w:hAnsiTheme="majorHAnsi" w:cstheme="majorHAnsi"/>
        </w:rPr>
        <w:t>screening of the cohort, together with chemoprophylaxis uptake and completion data, were included until 30th June 2021 for the purposes of this analysis.</w:t>
      </w:r>
    </w:p>
    <w:p w14:paraId="14A6BB40" w14:textId="7BE8EAF6" w:rsidR="00566B98" w:rsidRPr="00246685" w:rsidRDefault="00566B98" w:rsidP="008C6451">
      <w:pPr>
        <w:pStyle w:val="Heading3"/>
        <w:spacing w:after="240" w:line="480" w:lineRule="auto"/>
        <w:rPr>
          <w:rFonts w:asciiTheme="majorHAnsi" w:hAnsiTheme="majorHAnsi" w:cstheme="majorHAnsi"/>
          <w:sz w:val="24"/>
          <w:szCs w:val="24"/>
        </w:rPr>
      </w:pPr>
      <w:bookmarkStart w:id="6" w:name="_Toc420613006"/>
      <w:r w:rsidRPr="00246685">
        <w:rPr>
          <w:rFonts w:asciiTheme="majorHAnsi" w:hAnsiTheme="majorHAnsi" w:cstheme="majorHAnsi"/>
          <w:sz w:val="24"/>
          <w:szCs w:val="24"/>
        </w:rPr>
        <w:t xml:space="preserve">Ethics </w:t>
      </w:r>
      <w:bookmarkEnd w:id="6"/>
    </w:p>
    <w:p w14:paraId="7B77FA71" w14:textId="098E652C" w:rsidR="00F543E8" w:rsidRDefault="00566B98" w:rsidP="008C6451">
      <w:pPr>
        <w:spacing w:line="480" w:lineRule="auto"/>
        <w:jc w:val="both"/>
        <w:rPr>
          <w:rFonts w:asciiTheme="majorHAnsi" w:hAnsiTheme="majorHAnsi" w:cstheme="majorHAnsi"/>
        </w:rPr>
      </w:pPr>
      <w:r w:rsidRPr="00246685">
        <w:rPr>
          <w:rFonts w:asciiTheme="majorHAnsi" w:hAnsiTheme="majorHAnsi" w:cstheme="majorHAnsi"/>
        </w:rPr>
        <w:t>No ethics approval was required as this was considered to be implementation of clinical care in line with national recommendations</w:t>
      </w:r>
      <w:r w:rsidR="00E56297">
        <w:rPr>
          <w:rFonts w:asciiTheme="majorHAnsi" w:hAnsiTheme="majorHAnsi" w:cstheme="majorHAnsi"/>
        </w:rPr>
        <w:t>.</w:t>
      </w:r>
      <w:r w:rsidRPr="00246685">
        <w:rPr>
          <w:rFonts w:asciiTheme="majorHAnsi" w:hAnsiTheme="majorHAnsi" w:cstheme="majorHAnsi"/>
        </w:rPr>
        <w:t xml:space="preserve"> </w:t>
      </w:r>
      <w:r w:rsidR="001803F5" w:rsidRPr="00246685">
        <w:rPr>
          <w:rFonts w:asciiTheme="majorHAnsi" w:hAnsiTheme="majorHAnsi" w:cstheme="majorHAnsi"/>
        </w:rPr>
        <w:t>A</w:t>
      </w:r>
      <w:r w:rsidRPr="00246685">
        <w:rPr>
          <w:rFonts w:asciiTheme="majorHAnsi" w:hAnsiTheme="majorHAnsi" w:cstheme="majorHAnsi"/>
        </w:rPr>
        <w:t>pprov</w:t>
      </w:r>
      <w:r w:rsidR="007D1962" w:rsidRPr="00246685">
        <w:rPr>
          <w:rFonts w:asciiTheme="majorHAnsi" w:hAnsiTheme="majorHAnsi" w:cstheme="majorHAnsi"/>
        </w:rPr>
        <w:t>al was given</w:t>
      </w:r>
      <w:r w:rsidRPr="00246685">
        <w:rPr>
          <w:rFonts w:asciiTheme="majorHAnsi" w:hAnsiTheme="majorHAnsi" w:cstheme="majorHAnsi"/>
        </w:rPr>
        <w:t xml:space="preserve"> by the UHL Trust TB Board,</w:t>
      </w:r>
      <w:r w:rsidR="00D334F0" w:rsidRPr="00246685">
        <w:rPr>
          <w:rFonts w:asciiTheme="majorHAnsi" w:hAnsiTheme="majorHAnsi" w:cstheme="majorHAnsi"/>
        </w:rPr>
        <w:t xml:space="preserve"> </w:t>
      </w:r>
      <w:r w:rsidRPr="00246685">
        <w:rPr>
          <w:rFonts w:asciiTheme="majorHAnsi" w:hAnsiTheme="majorHAnsi" w:cstheme="majorHAnsi"/>
        </w:rPr>
        <w:t>the UHL HIV department</w:t>
      </w:r>
      <w:r w:rsidR="00D334F0" w:rsidRPr="00246685">
        <w:rPr>
          <w:rFonts w:asciiTheme="majorHAnsi" w:hAnsiTheme="majorHAnsi" w:cstheme="majorHAnsi"/>
        </w:rPr>
        <w:t xml:space="preserve"> and the UHL Microbiology department</w:t>
      </w:r>
      <w:r w:rsidRPr="00246685">
        <w:rPr>
          <w:rFonts w:asciiTheme="majorHAnsi" w:hAnsiTheme="majorHAnsi" w:cstheme="majorHAnsi"/>
        </w:rPr>
        <w:t xml:space="preserve">. </w:t>
      </w:r>
    </w:p>
    <w:p w14:paraId="3A116F10" w14:textId="12C3C562" w:rsidR="00566B98" w:rsidRPr="00246685" w:rsidRDefault="00146CC9" w:rsidP="008C6451">
      <w:pPr>
        <w:pStyle w:val="Heading3"/>
        <w:spacing w:after="240" w:line="480" w:lineRule="auto"/>
        <w:rPr>
          <w:rFonts w:asciiTheme="majorHAnsi" w:hAnsiTheme="majorHAnsi" w:cstheme="majorHAnsi"/>
          <w:sz w:val="24"/>
          <w:szCs w:val="24"/>
        </w:rPr>
      </w:pPr>
      <w:r w:rsidRPr="00246685">
        <w:rPr>
          <w:rFonts w:asciiTheme="majorHAnsi" w:hAnsiTheme="majorHAnsi" w:cstheme="majorHAnsi"/>
          <w:sz w:val="24"/>
          <w:szCs w:val="24"/>
        </w:rPr>
        <w:t>S</w:t>
      </w:r>
      <w:r w:rsidR="0028771C" w:rsidRPr="00246685">
        <w:rPr>
          <w:rFonts w:asciiTheme="majorHAnsi" w:hAnsiTheme="majorHAnsi" w:cstheme="majorHAnsi"/>
          <w:sz w:val="24"/>
          <w:szCs w:val="24"/>
        </w:rPr>
        <w:t>creening</w:t>
      </w:r>
      <w:r w:rsidRPr="00246685">
        <w:rPr>
          <w:rFonts w:asciiTheme="majorHAnsi" w:hAnsiTheme="majorHAnsi" w:cstheme="majorHAnsi"/>
          <w:sz w:val="24"/>
          <w:szCs w:val="24"/>
        </w:rPr>
        <w:t xml:space="preserve"> and management</w:t>
      </w:r>
    </w:p>
    <w:p w14:paraId="1DE3F4F6" w14:textId="49E14F35" w:rsidR="00F03985" w:rsidRPr="00246685" w:rsidRDefault="00DA0896" w:rsidP="008C6451">
      <w:pPr>
        <w:spacing w:after="240" w:line="480" w:lineRule="auto"/>
        <w:jc w:val="both"/>
        <w:rPr>
          <w:rFonts w:asciiTheme="majorHAnsi" w:hAnsiTheme="majorHAnsi" w:cstheme="majorHAnsi"/>
        </w:rPr>
      </w:pPr>
      <w:r>
        <w:rPr>
          <w:rFonts w:asciiTheme="majorHAnsi" w:hAnsiTheme="majorHAnsi" w:cstheme="majorHAnsi"/>
        </w:rPr>
        <w:t>In our prospective screening study we</w:t>
      </w:r>
      <w:r w:rsidR="004E363D" w:rsidRPr="00246685">
        <w:rPr>
          <w:rFonts w:asciiTheme="majorHAnsi" w:hAnsiTheme="majorHAnsi" w:cstheme="majorHAnsi"/>
        </w:rPr>
        <w:t xml:space="preserve"> used </w:t>
      </w:r>
      <w:proofErr w:type="spellStart"/>
      <w:r w:rsidR="00566666" w:rsidRPr="00246685">
        <w:rPr>
          <w:rFonts w:asciiTheme="majorHAnsi" w:hAnsiTheme="majorHAnsi" w:cstheme="majorHAnsi"/>
          <w:color w:val="222222"/>
          <w:shd w:val="clear" w:color="auto" w:fill="FFFFFF"/>
        </w:rPr>
        <w:t>QuantiFERON</w:t>
      </w:r>
      <w:proofErr w:type="spellEnd"/>
      <w:r w:rsidR="00566666" w:rsidRPr="00246685">
        <w:rPr>
          <w:rFonts w:asciiTheme="majorHAnsi" w:hAnsiTheme="majorHAnsi" w:cstheme="majorHAnsi"/>
          <w:color w:val="222222"/>
          <w:shd w:val="clear" w:color="auto" w:fill="FFFFFF"/>
        </w:rPr>
        <w:t>-TB</w:t>
      </w:r>
      <w:r w:rsidR="00566666" w:rsidRPr="00246685">
        <w:rPr>
          <w:rFonts w:asciiTheme="majorHAnsi" w:hAnsiTheme="majorHAnsi" w:cstheme="majorHAnsi"/>
          <w:color w:val="222222"/>
          <w:shd w:val="clear" w:color="auto" w:fill="FFFFFF"/>
          <w:vertAlign w:val="superscript"/>
        </w:rPr>
        <w:t>®</w:t>
      </w:r>
      <w:r w:rsidR="00566666" w:rsidRPr="00246685">
        <w:rPr>
          <w:rFonts w:asciiTheme="majorHAnsi" w:hAnsiTheme="majorHAnsi" w:cstheme="majorHAnsi"/>
          <w:color w:val="222222"/>
          <w:shd w:val="clear" w:color="auto" w:fill="FFFFFF"/>
        </w:rPr>
        <w:t xml:space="preserve"> </w:t>
      </w:r>
      <w:r w:rsidR="00566666">
        <w:rPr>
          <w:rFonts w:asciiTheme="majorHAnsi" w:hAnsiTheme="majorHAnsi" w:cstheme="majorHAnsi"/>
          <w:color w:val="222222"/>
          <w:shd w:val="clear" w:color="auto" w:fill="FFFFFF"/>
        </w:rPr>
        <w:t>Gold In-Tube (</w:t>
      </w:r>
      <w:r w:rsidR="00BD13CA" w:rsidRPr="00246685">
        <w:rPr>
          <w:rFonts w:asciiTheme="majorHAnsi" w:hAnsiTheme="majorHAnsi" w:cstheme="majorHAnsi"/>
          <w:color w:val="222222"/>
          <w:shd w:val="clear" w:color="auto" w:fill="FFFFFF"/>
        </w:rPr>
        <w:t>QFN-GIT</w:t>
      </w:r>
      <w:r w:rsidR="00566666">
        <w:rPr>
          <w:rFonts w:asciiTheme="majorHAnsi" w:hAnsiTheme="majorHAnsi" w:cstheme="majorHAnsi"/>
          <w:color w:val="222222"/>
          <w:shd w:val="clear" w:color="auto" w:fill="FFFFFF"/>
        </w:rPr>
        <w:t>)</w:t>
      </w:r>
      <w:proofErr w:type="gramStart"/>
      <w:r>
        <w:rPr>
          <w:rFonts w:asciiTheme="majorHAnsi" w:hAnsiTheme="majorHAnsi" w:cstheme="majorHAnsi"/>
          <w:color w:val="222222"/>
          <w:shd w:val="clear" w:color="auto" w:fill="FFFFFF"/>
        </w:rPr>
        <w:t>,</w:t>
      </w:r>
      <w:r w:rsidR="004E363D" w:rsidRPr="00246685">
        <w:rPr>
          <w:rFonts w:asciiTheme="majorHAnsi" w:hAnsiTheme="majorHAnsi" w:cstheme="majorHAnsi"/>
          <w:color w:val="222222"/>
          <w:shd w:val="clear" w:color="auto" w:fill="FFFFFF"/>
        </w:rPr>
        <w:t>,</w:t>
      </w:r>
      <w:proofErr w:type="gramEnd"/>
      <w:r w:rsidR="004E363D" w:rsidRPr="00246685">
        <w:rPr>
          <w:rFonts w:asciiTheme="majorHAnsi" w:hAnsiTheme="majorHAnsi" w:cstheme="majorHAnsi"/>
          <w:color w:val="222222"/>
          <w:shd w:val="clear" w:color="auto" w:fill="FFFFFF"/>
        </w:rPr>
        <w:t xml:space="preserve"> with gradual switching to </w:t>
      </w:r>
      <w:proofErr w:type="spellStart"/>
      <w:r w:rsidR="00566B98" w:rsidRPr="00246685">
        <w:rPr>
          <w:rFonts w:asciiTheme="majorHAnsi" w:hAnsiTheme="majorHAnsi" w:cstheme="majorHAnsi"/>
          <w:color w:val="222222"/>
          <w:shd w:val="clear" w:color="auto" w:fill="FFFFFF"/>
        </w:rPr>
        <w:t>QuantiFERON</w:t>
      </w:r>
      <w:proofErr w:type="spellEnd"/>
      <w:r w:rsidR="00566B98" w:rsidRPr="00246685">
        <w:rPr>
          <w:rFonts w:asciiTheme="majorHAnsi" w:hAnsiTheme="majorHAnsi" w:cstheme="majorHAnsi"/>
          <w:color w:val="222222"/>
          <w:shd w:val="clear" w:color="auto" w:fill="FFFFFF"/>
        </w:rPr>
        <w:t>-TB</w:t>
      </w:r>
      <w:r w:rsidR="00566B98" w:rsidRPr="00246685">
        <w:rPr>
          <w:rFonts w:asciiTheme="majorHAnsi" w:hAnsiTheme="majorHAnsi" w:cstheme="majorHAnsi"/>
          <w:color w:val="222222"/>
          <w:shd w:val="clear" w:color="auto" w:fill="FFFFFF"/>
          <w:vertAlign w:val="superscript"/>
        </w:rPr>
        <w:t>®</w:t>
      </w:r>
      <w:r w:rsidR="00566B98" w:rsidRPr="00246685">
        <w:rPr>
          <w:rFonts w:asciiTheme="majorHAnsi" w:hAnsiTheme="majorHAnsi" w:cstheme="majorHAnsi"/>
          <w:color w:val="222222"/>
          <w:shd w:val="clear" w:color="auto" w:fill="FFFFFF"/>
        </w:rPr>
        <w:t xml:space="preserve"> Gold Plus (QFT-Plus) between May 2016 </w:t>
      </w:r>
      <w:r w:rsidR="00565042" w:rsidRPr="00246685">
        <w:rPr>
          <w:rFonts w:asciiTheme="majorHAnsi" w:hAnsiTheme="majorHAnsi" w:cstheme="majorHAnsi"/>
          <w:color w:val="222222"/>
          <w:shd w:val="clear" w:color="auto" w:fill="FFFFFF"/>
        </w:rPr>
        <w:t>and</w:t>
      </w:r>
      <w:r w:rsidR="00566B98" w:rsidRPr="00246685">
        <w:rPr>
          <w:rFonts w:asciiTheme="majorHAnsi" w:hAnsiTheme="majorHAnsi" w:cstheme="majorHAnsi"/>
          <w:color w:val="222222"/>
          <w:shd w:val="clear" w:color="auto" w:fill="FFFFFF"/>
        </w:rPr>
        <w:t xml:space="preserve"> January 2017</w:t>
      </w:r>
      <w:r w:rsidR="004E363D" w:rsidRPr="00246685">
        <w:rPr>
          <w:rFonts w:asciiTheme="majorHAnsi" w:hAnsiTheme="majorHAnsi" w:cstheme="majorHAnsi"/>
          <w:color w:val="222222"/>
          <w:shd w:val="clear" w:color="auto" w:fill="FFFFFF"/>
        </w:rPr>
        <w:t xml:space="preserve">. </w:t>
      </w:r>
      <w:r w:rsidR="004E363D" w:rsidRPr="00246685">
        <w:rPr>
          <w:rFonts w:asciiTheme="majorHAnsi" w:hAnsiTheme="majorHAnsi" w:cstheme="majorHAnsi"/>
        </w:rPr>
        <w:t xml:space="preserve">Results were positive, negative or indeterminate, dependent on </w:t>
      </w:r>
      <w:r w:rsidR="004E363D" w:rsidRPr="00F03985">
        <w:rPr>
          <w:rFonts w:asciiTheme="majorHAnsi" w:hAnsiTheme="majorHAnsi" w:cstheme="majorHAnsi"/>
          <w:color w:val="222222"/>
          <w:shd w:val="clear" w:color="auto" w:fill="FFFFFF"/>
        </w:rPr>
        <w:t>manufacturers’ criteria.</w:t>
      </w:r>
      <w:r w:rsidR="00F03985" w:rsidRPr="00F03985">
        <w:rPr>
          <w:rFonts w:asciiTheme="majorHAnsi" w:hAnsiTheme="majorHAnsi" w:cstheme="majorHAnsi"/>
          <w:color w:val="222222"/>
          <w:shd w:val="clear" w:color="auto" w:fill="FFFFFF"/>
        </w:rPr>
        <w:t xml:space="preserve"> Indeterminate results were included in the denominator</w:t>
      </w:r>
      <w:r w:rsidR="002B6034">
        <w:rPr>
          <w:rFonts w:asciiTheme="majorHAnsi" w:hAnsiTheme="majorHAnsi" w:cstheme="majorHAnsi"/>
          <w:color w:val="222222"/>
          <w:shd w:val="clear" w:color="auto" w:fill="FFFFFF"/>
        </w:rPr>
        <w:t>.</w:t>
      </w:r>
    </w:p>
    <w:p w14:paraId="6A8D3CE7" w14:textId="0D8AD6E3" w:rsidR="00F03985" w:rsidRDefault="004E363D" w:rsidP="008C6451">
      <w:pPr>
        <w:spacing w:after="240" w:line="480" w:lineRule="auto"/>
        <w:jc w:val="both"/>
        <w:rPr>
          <w:rFonts w:asciiTheme="majorHAnsi" w:hAnsiTheme="majorHAnsi" w:cstheme="majorHAnsi"/>
        </w:rPr>
      </w:pPr>
      <w:r w:rsidRPr="00246685">
        <w:rPr>
          <w:rFonts w:asciiTheme="majorHAnsi" w:hAnsiTheme="majorHAnsi" w:cstheme="majorHAnsi"/>
        </w:rPr>
        <w:t>The majority of PLWH with CD4 counts ≥200 cells/mm</w:t>
      </w:r>
      <w:r w:rsidRPr="00246685">
        <w:rPr>
          <w:rFonts w:asciiTheme="majorHAnsi" w:hAnsiTheme="majorHAnsi" w:cstheme="majorHAnsi"/>
          <w:vertAlign w:val="superscript"/>
        </w:rPr>
        <w:t xml:space="preserve">3 </w:t>
      </w:r>
      <w:r w:rsidRPr="00246685">
        <w:rPr>
          <w:rFonts w:asciiTheme="majorHAnsi" w:hAnsiTheme="majorHAnsi" w:cstheme="majorHAnsi"/>
          <w:color w:val="222222"/>
          <w:shd w:val="clear" w:color="auto" w:fill="FFFFFF"/>
        </w:rPr>
        <w:t xml:space="preserve">received a single IGRA test. Those </w:t>
      </w:r>
      <w:r w:rsidRPr="00246685">
        <w:rPr>
          <w:rFonts w:asciiTheme="majorHAnsi" w:hAnsiTheme="majorHAnsi" w:cstheme="majorHAnsi"/>
        </w:rPr>
        <w:t>with CD4 counts &lt;200 cells/mm</w:t>
      </w:r>
      <w:r w:rsidRPr="00246685">
        <w:rPr>
          <w:rFonts w:asciiTheme="majorHAnsi" w:hAnsiTheme="majorHAnsi" w:cstheme="majorHAnsi"/>
          <w:vertAlign w:val="superscript"/>
        </w:rPr>
        <w:t xml:space="preserve">3 </w:t>
      </w:r>
      <w:r w:rsidRPr="00246685">
        <w:rPr>
          <w:rFonts w:asciiTheme="majorHAnsi" w:hAnsiTheme="majorHAnsi" w:cstheme="majorHAnsi"/>
          <w:color w:val="222222"/>
          <w:shd w:val="clear" w:color="auto" w:fill="FFFFFF"/>
        </w:rPr>
        <w:t>generally received two tests (</w:t>
      </w:r>
      <w:r w:rsidRPr="00246685">
        <w:rPr>
          <w:rFonts w:asciiTheme="majorHAnsi" w:hAnsiTheme="majorHAnsi" w:cstheme="majorHAnsi"/>
        </w:rPr>
        <w:t>T-SPOT</w:t>
      </w:r>
      <w:r w:rsidRPr="00246685">
        <w:rPr>
          <w:rFonts w:asciiTheme="majorHAnsi" w:hAnsiTheme="majorHAnsi" w:cstheme="majorHAnsi"/>
          <w:vertAlign w:val="superscript"/>
        </w:rPr>
        <w:t>®</w:t>
      </w:r>
      <w:r w:rsidRPr="00246685">
        <w:rPr>
          <w:rFonts w:asciiTheme="majorHAnsi" w:hAnsiTheme="majorHAnsi" w:cstheme="majorHAnsi"/>
        </w:rPr>
        <w:t>.</w:t>
      </w:r>
      <w:r w:rsidRPr="00246685">
        <w:rPr>
          <w:rFonts w:asciiTheme="majorHAnsi" w:hAnsiTheme="majorHAnsi" w:cstheme="majorHAnsi"/>
          <w:i/>
        </w:rPr>
        <w:t>TB</w:t>
      </w:r>
      <w:r w:rsidRPr="00246685">
        <w:rPr>
          <w:rFonts w:asciiTheme="majorHAnsi" w:hAnsiTheme="majorHAnsi" w:cstheme="majorHAnsi"/>
        </w:rPr>
        <w:t xml:space="preserve"> plus a </w:t>
      </w:r>
      <w:proofErr w:type="spellStart"/>
      <w:r w:rsidRPr="00246685">
        <w:rPr>
          <w:rFonts w:asciiTheme="majorHAnsi" w:hAnsiTheme="majorHAnsi" w:cstheme="majorHAnsi"/>
        </w:rPr>
        <w:lastRenderedPageBreak/>
        <w:t>QuantiFERON</w:t>
      </w:r>
      <w:proofErr w:type="spellEnd"/>
      <w:r w:rsidRPr="00246685">
        <w:rPr>
          <w:rFonts w:asciiTheme="majorHAnsi" w:hAnsiTheme="majorHAnsi" w:cstheme="majorHAnsi"/>
        </w:rPr>
        <w:t>-TB</w:t>
      </w:r>
      <w:r w:rsidRPr="00246685">
        <w:rPr>
          <w:rFonts w:asciiTheme="majorHAnsi" w:hAnsiTheme="majorHAnsi" w:cstheme="majorHAnsi"/>
          <w:color w:val="222222"/>
          <w:shd w:val="clear" w:color="auto" w:fill="FFFFFF"/>
          <w:vertAlign w:val="superscript"/>
        </w:rPr>
        <w:t>®</w:t>
      </w:r>
      <w:r w:rsidRPr="00246685">
        <w:rPr>
          <w:rFonts w:asciiTheme="majorHAnsi" w:hAnsiTheme="majorHAnsi" w:cstheme="majorHAnsi"/>
          <w:color w:val="222222"/>
          <w:shd w:val="clear" w:color="auto" w:fill="FFFFFF"/>
        </w:rPr>
        <w:t xml:space="preserve"> </w:t>
      </w:r>
      <w:r w:rsidRPr="00246685">
        <w:rPr>
          <w:rFonts w:asciiTheme="majorHAnsi" w:hAnsiTheme="majorHAnsi" w:cstheme="majorHAnsi"/>
        </w:rPr>
        <w:t xml:space="preserve">test), in most cases performed on the same day (where this was not possible, dual results </w:t>
      </w:r>
      <w:r w:rsidR="00F376B7" w:rsidRPr="00246685">
        <w:rPr>
          <w:rFonts w:asciiTheme="majorHAnsi" w:hAnsiTheme="majorHAnsi" w:cstheme="majorHAnsi"/>
        </w:rPr>
        <w:t>we</w:t>
      </w:r>
      <w:r w:rsidRPr="00246685">
        <w:rPr>
          <w:rFonts w:asciiTheme="majorHAnsi" w:hAnsiTheme="majorHAnsi" w:cstheme="majorHAnsi"/>
        </w:rPr>
        <w:t>re included if tests were taken within 14 days). PLWH taking two tests</w:t>
      </w:r>
      <w:r w:rsidR="00BA01ED" w:rsidRPr="00246685">
        <w:rPr>
          <w:rFonts w:asciiTheme="majorHAnsi" w:hAnsiTheme="majorHAnsi" w:cstheme="majorHAnsi"/>
        </w:rPr>
        <w:t xml:space="preserve"> were classed IGRA positive if either test was positive</w:t>
      </w:r>
      <w:r w:rsidR="00F03985">
        <w:rPr>
          <w:rFonts w:asciiTheme="majorHAnsi" w:hAnsiTheme="majorHAnsi" w:cstheme="majorHAnsi"/>
        </w:rPr>
        <w:t>.</w:t>
      </w:r>
    </w:p>
    <w:p w14:paraId="4A3EA14D" w14:textId="29E93D3F" w:rsidR="00146CC9" w:rsidRPr="00F03985" w:rsidRDefault="00566B98" w:rsidP="008C6451">
      <w:pPr>
        <w:spacing w:after="240" w:line="480" w:lineRule="auto"/>
        <w:jc w:val="both"/>
        <w:rPr>
          <w:rFonts w:asciiTheme="majorHAnsi" w:hAnsiTheme="majorHAnsi" w:cstheme="majorHAnsi"/>
        </w:rPr>
      </w:pPr>
      <w:r w:rsidRPr="00F03985">
        <w:rPr>
          <w:rFonts w:asciiTheme="majorHAnsi" w:hAnsiTheme="majorHAnsi" w:cstheme="majorHAnsi"/>
        </w:rPr>
        <w:t xml:space="preserve">The </w:t>
      </w:r>
      <w:r w:rsidR="001A204F">
        <w:rPr>
          <w:rFonts w:asciiTheme="majorHAnsi" w:hAnsiTheme="majorHAnsi" w:cstheme="majorHAnsi"/>
        </w:rPr>
        <w:t>most recent</w:t>
      </w:r>
      <w:r w:rsidR="001A204F" w:rsidRPr="00F03985">
        <w:rPr>
          <w:rFonts w:asciiTheme="majorHAnsi" w:hAnsiTheme="majorHAnsi" w:cstheme="majorHAnsi"/>
        </w:rPr>
        <w:t xml:space="preserve"> </w:t>
      </w:r>
      <w:r w:rsidRPr="00F03985">
        <w:rPr>
          <w:rFonts w:asciiTheme="majorHAnsi" w:hAnsiTheme="majorHAnsi" w:cstheme="majorHAnsi"/>
        </w:rPr>
        <w:t xml:space="preserve">previous CD4 count to </w:t>
      </w:r>
      <w:r w:rsidR="001A204F">
        <w:rPr>
          <w:rFonts w:asciiTheme="majorHAnsi" w:hAnsiTheme="majorHAnsi" w:cstheme="majorHAnsi"/>
        </w:rPr>
        <w:t>an</w:t>
      </w:r>
      <w:r w:rsidR="001A204F" w:rsidRPr="00F03985">
        <w:rPr>
          <w:rFonts w:asciiTheme="majorHAnsi" w:hAnsiTheme="majorHAnsi" w:cstheme="majorHAnsi"/>
        </w:rPr>
        <w:t xml:space="preserve"> </w:t>
      </w:r>
      <w:r w:rsidRPr="00F03985">
        <w:rPr>
          <w:rFonts w:asciiTheme="majorHAnsi" w:hAnsiTheme="majorHAnsi" w:cstheme="majorHAnsi"/>
        </w:rPr>
        <w:t xml:space="preserve">IGRA test was used as the CD4 count classification at the time of the test. Individuals who had CD4 counts performed more than a year prior to the planned time of IGRA testing had testing withheld until a more recent CD4 count </w:t>
      </w:r>
      <w:r w:rsidR="00BA01ED" w:rsidRPr="00F03985">
        <w:rPr>
          <w:rFonts w:asciiTheme="majorHAnsi" w:hAnsiTheme="majorHAnsi" w:cstheme="majorHAnsi"/>
        </w:rPr>
        <w:t>became</w:t>
      </w:r>
      <w:r w:rsidRPr="00F03985">
        <w:rPr>
          <w:rFonts w:asciiTheme="majorHAnsi" w:hAnsiTheme="majorHAnsi" w:cstheme="majorHAnsi"/>
        </w:rPr>
        <w:t xml:space="preserve"> available. </w:t>
      </w:r>
    </w:p>
    <w:p w14:paraId="71087A3C" w14:textId="28CC5D31" w:rsidR="00566B98" w:rsidRPr="00F03985" w:rsidRDefault="00146CC9" w:rsidP="008C6451">
      <w:pPr>
        <w:spacing w:after="240" w:line="480" w:lineRule="auto"/>
        <w:jc w:val="both"/>
        <w:rPr>
          <w:rFonts w:asciiTheme="majorHAnsi" w:hAnsiTheme="majorHAnsi" w:cstheme="majorHAnsi"/>
        </w:rPr>
      </w:pPr>
      <w:r w:rsidRPr="00F03985">
        <w:rPr>
          <w:rFonts w:asciiTheme="majorHAnsi" w:hAnsiTheme="majorHAnsi" w:cstheme="majorHAnsi"/>
        </w:rPr>
        <w:t>Individuals with positive IGRA test</w:t>
      </w:r>
      <w:r w:rsidR="007D35C1">
        <w:rPr>
          <w:rFonts w:asciiTheme="majorHAnsi" w:hAnsiTheme="majorHAnsi" w:cstheme="majorHAnsi"/>
        </w:rPr>
        <w:t>s</w:t>
      </w:r>
      <w:r w:rsidRPr="00F03985">
        <w:rPr>
          <w:rFonts w:asciiTheme="majorHAnsi" w:hAnsiTheme="majorHAnsi" w:cstheme="majorHAnsi"/>
        </w:rPr>
        <w:t xml:space="preserve"> were recalled for chest radiography and further clinical</w:t>
      </w:r>
      <w:r w:rsidR="00565042" w:rsidRPr="00F03985">
        <w:rPr>
          <w:rFonts w:asciiTheme="majorHAnsi" w:hAnsiTheme="majorHAnsi" w:cstheme="majorHAnsi"/>
        </w:rPr>
        <w:t xml:space="preserve"> </w:t>
      </w:r>
      <w:r w:rsidRPr="00F03985">
        <w:rPr>
          <w:rFonts w:asciiTheme="majorHAnsi" w:hAnsiTheme="majorHAnsi" w:cstheme="majorHAnsi"/>
        </w:rPr>
        <w:t xml:space="preserve">assessment to </w:t>
      </w:r>
      <w:r w:rsidR="008F3150">
        <w:rPr>
          <w:rFonts w:asciiTheme="majorHAnsi" w:hAnsiTheme="majorHAnsi" w:cstheme="majorHAnsi"/>
        </w:rPr>
        <w:t>exclude</w:t>
      </w:r>
      <w:r w:rsidRPr="00F03985">
        <w:rPr>
          <w:rFonts w:asciiTheme="majorHAnsi" w:hAnsiTheme="majorHAnsi" w:cstheme="majorHAnsi"/>
        </w:rPr>
        <w:t xml:space="preserve"> active </w:t>
      </w:r>
      <w:r w:rsidR="007D35C1">
        <w:rPr>
          <w:rFonts w:asciiTheme="majorHAnsi" w:hAnsiTheme="majorHAnsi" w:cstheme="majorHAnsi"/>
        </w:rPr>
        <w:t>TB</w:t>
      </w:r>
      <w:r w:rsidR="0019380A" w:rsidRPr="00F03985">
        <w:rPr>
          <w:rFonts w:asciiTheme="majorHAnsi" w:hAnsiTheme="majorHAnsi" w:cstheme="majorHAnsi"/>
        </w:rPr>
        <w:t>.</w:t>
      </w:r>
      <w:r w:rsidR="0019380A" w:rsidRPr="00F03985">
        <w:rPr>
          <w:rFonts w:asciiTheme="majorHAnsi" w:hAnsiTheme="majorHAnsi" w:cstheme="majorHAnsi"/>
        </w:rPr>
      </w:r>
      <w:r w:rsidR="004E5082">
        <w:rPr>
          <w:rFonts w:asciiTheme="majorHAnsi" w:hAnsiTheme="majorHAnsi" w:cstheme="majorHAnsi"/>
        </w:rPr>
        <w:instrText xml:space="preserve"/>
      </w:r>
      <w:r w:rsidR="0019380A" w:rsidRPr="00F03985">
        <w:rPr>
          <w:rFonts w:asciiTheme="majorHAnsi" w:hAnsiTheme="majorHAnsi" w:cstheme="majorHAnsi"/>
        </w:rPr>
      </w:r>
      <w:r w:rsidR="004E5082" w:rsidRPr="004E5082">
        <w:rPr>
          <w:rFonts w:asciiTheme="majorHAnsi" w:hAnsiTheme="majorHAnsi" w:cstheme="majorHAnsi"/>
          <w:noProof/>
          <w:vertAlign w:val="superscript"/>
        </w:rPr>
        <w:t>[13]</w:t>
      </w:r>
      <w:r w:rsidR="0019380A" w:rsidRPr="00F03985">
        <w:rPr>
          <w:rFonts w:asciiTheme="majorHAnsi" w:hAnsiTheme="majorHAnsi" w:cstheme="majorHAnsi"/>
        </w:rPr>
      </w:r>
      <w:r w:rsidRPr="00F03985">
        <w:rPr>
          <w:rFonts w:asciiTheme="majorHAnsi" w:hAnsiTheme="majorHAnsi" w:cstheme="majorHAnsi"/>
        </w:rPr>
        <w:t xml:space="preserve"> We defined LTBI as PLWH with a positive IGRA and normal chest radiography in the absence of any clinical features that would suggest active disease</w:t>
      </w:r>
      <w:r w:rsidR="00CD5A18" w:rsidRPr="00F03985">
        <w:rPr>
          <w:rFonts w:asciiTheme="majorHAnsi" w:hAnsiTheme="majorHAnsi" w:cstheme="majorHAnsi"/>
        </w:rPr>
        <w:t>.</w:t>
      </w:r>
      <w:r w:rsidR="00D17247" w:rsidRPr="00F03985">
        <w:rPr>
          <w:rFonts w:asciiTheme="majorHAnsi" w:hAnsiTheme="majorHAnsi" w:cstheme="majorHAnsi"/>
        </w:rPr>
      </w:r>
      <w:r w:rsidR="004E5082">
        <w:rPr>
          <w:rFonts w:asciiTheme="majorHAnsi" w:hAnsiTheme="majorHAnsi" w:cstheme="majorHAnsi"/>
        </w:rPr>
        <w:instrText xml:space="preserve"/>
      </w:r>
      <w:r w:rsidR="00D17247" w:rsidRPr="00F03985">
        <w:rPr>
          <w:rFonts w:asciiTheme="majorHAnsi" w:hAnsiTheme="majorHAnsi" w:cstheme="majorHAnsi"/>
        </w:rPr>
      </w:r>
      <w:r w:rsidR="004E5082" w:rsidRPr="004E5082">
        <w:rPr>
          <w:rFonts w:asciiTheme="majorHAnsi" w:hAnsiTheme="majorHAnsi" w:cstheme="majorHAnsi"/>
          <w:noProof/>
          <w:vertAlign w:val="superscript"/>
        </w:rPr>
        <w:t>[23]</w:t>
      </w:r>
      <w:r w:rsidR="00D17247" w:rsidRPr="00F03985">
        <w:rPr>
          <w:rFonts w:asciiTheme="majorHAnsi" w:hAnsiTheme="majorHAnsi" w:cstheme="majorHAnsi"/>
        </w:rPr>
      </w:r>
      <w:r w:rsidRPr="00F03985">
        <w:rPr>
          <w:rFonts w:asciiTheme="majorHAnsi" w:hAnsiTheme="majorHAnsi" w:cstheme="majorHAnsi"/>
        </w:rPr>
        <w:t xml:space="preserve"> PLWH diagnosed with</w:t>
      </w:r>
      <w:r w:rsidR="00CD5A18" w:rsidRPr="00F03985">
        <w:rPr>
          <w:rFonts w:asciiTheme="majorHAnsi" w:hAnsiTheme="majorHAnsi" w:cstheme="majorHAnsi"/>
        </w:rPr>
        <w:t xml:space="preserve"> </w:t>
      </w:r>
      <w:r w:rsidRPr="00F03985">
        <w:rPr>
          <w:rFonts w:asciiTheme="majorHAnsi" w:hAnsiTheme="majorHAnsi" w:cstheme="majorHAnsi"/>
        </w:rPr>
        <w:t>LTBI were offered chemoprophylaxis, in most cases 6 months of isoniazid, in accordance with UK guidelines,</w:t>
      </w:r>
      <w:r w:rsidR="00D17247" w:rsidRPr="00F03985">
        <w:rPr>
          <w:rFonts w:asciiTheme="majorHAnsi" w:hAnsiTheme="majorHAnsi" w:cstheme="majorHAnsi"/>
        </w:rPr>
      </w:r>
      <w:r w:rsidR="004E5082">
        <w:rPr>
          <w:rFonts w:asciiTheme="majorHAnsi" w:hAnsiTheme="majorHAnsi" w:cstheme="majorHAnsi"/>
        </w:rPr>
        <w:instrText xml:space="preserve"/>
      </w:r>
      <w:r w:rsidR="00D17247" w:rsidRPr="00F03985">
        <w:rPr>
          <w:rFonts w:asciiTheme="majorHAnsi" w:hAnsiTheme="majorHAnsi" w:cstheme="majorHAnsi"/>
        </w:rPr>
      </w:r>
      <w:r w:rsidR="004E5082" w:rsidRPr="004E5082">
        <w:rPr>
          <w:rFonts w:asciiTheme="majorHAnsi" w:hAnsiTheme="majorHAnsi" w:cstheme="majorHAnsi"/>
          <w:noProof/>
          <w:vertAlign w:val="superscript"/>
        </w:rPr>
        <w:t>[13]</w:t>
      </w:r>
      <w:r w:rsidR="00D17247" w:rsidRPr="00F03985">
        <w:rPr>
          <w:rFonts w:asciiTheme="majorHAnsi" w:hAnsiTheme="majorHAnsi" w:cstheme="majorHAnsi"/>
        </w:rPr>
      </w:r>
      <w:r w:rsidRPr="00F03985">
        <w:rPr>
          <w:rFonts w:asciiTheme="majorHAnsi" w:hAnsiTheme="majorHAnsi" w:cstheme="majorHAnsi"/>
        </w:rPr>
        <w:t xml:space="preserve"> although individual clinicians made the final decision dependent on clinician and patient preference</w:t>
      </w:r>
      <w:r w:rsidR="00566B98" w:rsidRPr="00F03985">
        <w:rPr>
          <w:rFonts w:asciiTheme="majorHAnsi" w:hAnsiTheme="majorHAnsi" w:cstheme="majorHAnsi"/>
        </w:rPr>
        <w:t>.</w:t>
      </w:r>
      <w:r w:rsidR="00CD5A18" w:rsidRPr="00F03985">
        <w:rPr>
          <w:rFonts w:asciiTheme="majorHAnsi" w:hAnsiTheme="majorHAnsi" w:cstheme="majorHAnsi"/>
        </w:rPr>
        <w:t xml:space="preserve"> Where active TB was diagnosed,</w:t>
      </w:r>
      <w:r w:rsidR="00D17247" w:rsidRPr="00F03985">
        <w:rPr>
          <w:rFonts w:asciiTheme="majorHAnsi" w:hAnsiTheme="majorHAnsi" w:cstheme="majorHAnsi"/>
        </w:rPr>
      </w:r>
      <w:r w:rsidR="004E5082">
        <w:rPr>
          <w:rFonts w:asciiTheme="majorHAnsi" w:hAnsiTheme="majorHAnsi" w:cstheme="majorHAnsi"/>
        </w:rPr>
        <w:instrText xml:space="preserve"/>
      </w:r>
      <w:r w:rsidR="00D17247" w:rsidRPr="00F03985">
        <w:rPr>
          <w:rFonts w:asciiTheme="majorHAnsi" w:hAnsiTheme="majorHAnsi" w:cstheme="majorHAnsi"/>
        </w:rPr>
      </w:r>
      <w:r w:rsidR="004E5082" w:rsidRPr="004E5082">
        <w:rPr>
          <w:rFonts w:asciiTheme="majorHAnsi" w:hAnsiTheme="majorHAnsi" w:cstheme="majorHAnsi"/>
          <w:noProof/>
          <w:vertAlign w:val="superscript"/>
        </w:rPr>
        <w:t>[23]</w:t>
      </w:r>
      <w:r w:rsidR="00D17247" w:rsidRPr="00F03985">
        <w:rPr>
          <w:rFonts w:asciiTheme="majorHAnsi" w:hAnsiTheme="majorHAnsi" w:cstheme="majorHAnsi"/>
        </w:rPr>
      </w:r>
      <w:r w:rsidR="00CD5A18" w:rsidRPr="00F03985">
        <w:rPr>
          <w:rFonts w:asciiTheme="majorHAnsi" w:hAnsiTheme="majorHAnsi" w:cstheme="majorHAnsi"/>
        </w:rPr>
        <w:t xml:space="preserve"> treatment again followed UK guidelines:</w:t>
      </w:r>
      <w:r w:rsidR="00D17247" w:rsidRPr="00F03985">
        <w:rPr>
          <w:rFonts w:asciiTheme="majorHAnsi" w:hAnsiTheme="majorHAnsi" w:cstheme="majorHAnsi"/>
        </w:rPr>
      </w:r>
      <w:r w:rsidR="004E5082">
        <w:rPr>
          <w:rFonts w:asciiTheme="majorHAnsi" w:hAnsiTheme="majorHAnsi" w:cstheme="majorHAnsi"/>
        </w:rPr>
        <w:instrText xml:space="preserve"/>
      </w:r>
      <w:r w:rsidR="00D17247" w:rsidRPr="00F03985">
        <w:rPr>
          <w:rFonts w:asciiTheme="majorHAnsi" w:hAnsiTheme="majorHAnsi" w:cstheme="majorHAnsi"/>
        </w:rPr>
      </w:r>
      <w:r w:rsidR="004E5082" w:rsidRPr="004E5082">
        <w:rPr>
          <w:rFonts w:asciiTheme="majorHAnsi" w:hAnsiTheme="majorHAnsi" w:cstheme="majorHAnsi"/>
          <w:noProof/>
          <w:vertAlign w:val="superscript"/>
        </w:rPr>
        <w:t>[13]</w:t>
      </w:r>
      <w:r w:rsidR="00D17247" w:rsidRPr="00F03985">
        <w:rPr>
          <w:rFonts w:asciiTheme="majorHAnsi" w:hAnsiTheme="majorHAnsi" w:cstheme="majorHAnsi"/>
        </w:rPr>
      </w:r>
      <w:r w:rsidR="00CD5A18" w:rsidRPr="00F03985">
        <w:rPr>
          <w:rFonts w:asciiTheme="majorHAnsi" w:hAnsiTheme="majorHAnsi" w:cstheme="majorHAnsi"/>
        </w:rPr>
        <w:t xml:space="preserve"> </w:t>
      </w:r>
    </w:p>
    <w:p w14:paraId="3A1AF02F" w14:textId="44421204" w:rsidR="00DF023A" w:rsidRPr="00F03985" w:rsidRDefault="00775A8D" w:rsidP="008C6451">
      <w:pPr>
        <w:pStyle w:val="Heading3"/>
        <w:spacing w:after="240" w:line="480" w:lineRule="auto"/>
        <w:rPr>
          <w:rFonts w:asciiTheme="majorHAnsi" w:hAnsiTheme="majorHAnsi" w:cstheme="majorHAnsi"/>
          <w:sz w:val="24"/>
          <w:szCs w:val="24"/>
        </w:rPr>
      </w:pPr>
      <w:r>
        <w:rPr>
          <w:rFonts w:asciiTheme="majorHAnsi" w:hAnsiTheme="majorHAnsi" w:cstheme="majorHAnsi"/>
          <w:sz w:val="24"/>
          <w:szCs w:val="24"/>
        </w:rPr>
        <w:t>Data acquisition</w:t>
      </w:r>
    </w:p>
    <w:p w14:paraId="7356FCF0" w14:textId="2B8AFF79" w:rsidR="00E46081" w:rsidRDefault="00E46081" w:rsidP="008C6451">
      <w:pPr>
        <w:spacing w:after="240" w:line="480" w:lineRule="auto"/>
        <w:jc w:val="both"/>
        <w:rPr>
          <w:rFonts w:asciiTheme="majorHAnsi" w:hAnsiTheme="majorHAnsi" w:cstheme="majorHAnsi"/>
        </w:rPr>
      </w:pPr>
      <w:r w:rsidRPr="00F03985">
        <w:rPr>
          <w:rFonts w:asciiTheme="majorHAnsi" w:hAnsiTheme="majorHAnsi" w:cstheme="majorHAnsi"/>
        </w:rPr>
        <w:t xml:space="preserve">Date of birth and </w:t>
      </w:r>
      <w:r w:rsidR="007A00D0" w:rsidRPr="00F03985">
        <w:rPr>
          <w:rFonts w:asciiTheme="majorHAnsi" w:hAnsiTheme="majorHAnsi" w:cstheme="majorHAnsi"/>
        </w:rPr>
        <w:t>sex</w:t>
      </w:r>
      <w:r w:rsidRPr="00F03985">
        <w:rPr>
          <w:rFonts w:asciiTheme="majorHAnsi" w:hAnsiTheme="majorHAnsi" w:cstheme="majorHAnsi"/>
        </w:rPr>
        <w:t xml:space="preserve"> at birth were recorded, together with NHS number where available, to verify records. Ethnicity and country</w:t>
      </w:r>
      <w:r w:rsidR="00431A40">
        <w:rPr>
          <w:rFonts w:asciiTheme="majorHAnsi" w:hAnsiTheme="majorHAnsi" w:cstheme="majorHAnsi"/>
        </w:rPr>
        <w:t>-</w:t>
      </w:r>
      <w:r w:rsidRPr="00F03985">
        <w:rPr>
          <w:rFonts w:asciiTheme="majorHAnsi" w:hAnsiTheme="majorHAnsi" w:cstheme="majorHAnsi"/>
        </w:rPr>
        <w:t>of</w:t>
      </w:r>
      <w:r w:rsidR="00431A40">
        <w:rPr>
          <w:rFonts w:asciiTheme="majorHAnsi" w:hAnsiTheme="majorHAnsi" w:cstheme="majorHAnsi"/>
        </w:rPr>
        <w:t>-</w:t>
      </w:r>
      <w:r w:rsidRPr="00F03985">
        <w:rPr>
          <w:rFonts w:asciiTheme="majorHAnsi" w:hAnsiTheme="majorHAnsi" w:cstheme="majorHAnsi"/>
        </w:rPr>
        <w:t>birth were ascertained from electronic hospital</w:t>
      </w:r>
      <w:r w:rsidR="006A56B3">
        <w:rPr>
          <w:rFonts w:asciiTheme="majorHAnsi" w:hAnsiTheme="majorHAnsi" w:cstheme="majorHAnsi"/>
        </w:rPr>
        <w:t xml:space="preserve">, </w:t>
      </w:r>
      <w:r w:rsidRPr="00F03985">
        <w:rPr>
          <w:rFonts w:asciiTheme="majorHAnsi" w:hAnsiTheme="majorHAnsi" w:cstheme="majorHAnsi"/>
        </w:rPr>
        <w:t>HIV records, or paper hospital records, and ethnicity was coded according to the national NHS data dictionary:</w:t>
      </w:r>
      <w:r w:rsidR="0093708C" w:rsidRPr="00F03985">
        <w:rPr>
          <w:rFonts w:asciiTheme="majorHAnsi" w:hAnsiTheme="majorHAnsi" w:cstheme="majorHAnsi"/>
        </w:rPr>
      </w:r>
      <w:r w:rsidR="004E5082">
        <w:rPr>
          <w:rFonts w:asciiTheme="majorHAnsi" w:hAnsiTheme="majorHAnsi" w:cstheme="majorHAnsi"/>
        </w:rPr>
        <w:instrText xml:space="preserve"/>
      </w:r>
      <w:r w:rsidR="0093708C" w:rsidRPr="00F03985">
        <w:rPr>
          <w:rFonts w:asciiTheme="majorHAnsi" w:hAnsiTheme="majorHAnsi" w:cstheme="majorHAnsi"/>
        </w:rPr>
      </w:r>
      <w:r w:rsidR="004E5082" w:rsidRPr="004E5082">
        <w:rPr>
          <w:rFonts w:asciiTheme="majorHAnsi" w:hAnsiTheme="majorHAnsi" w:cstheme="majorHAnsi"/>
          <w:noProof/>
          <w:vertAlign w:val="superscript"/>
        </w:rPr>
        <w:t>[24]</w:t>
      </w:r>
      <w:r w:rsidR="0093708C" w:rsidRPr="00F03985">
        <w:rPr>
          <w:rFonts w:asciiTheme="majorHAnsi" w:hAnsiTheme="majorHAnsi" w:cstheme="majorHAnsi"/>
        </w:rPr>
      </w:r>
      <w:r w:rsidRPr="00F03985">
        <w:rPr>
          <w:rFonts w:asciiTheme="majorHAnsi" w:hAnsiTheme="majorHAnsi" w:cstheme="majorHAnsi"/>
        </w:rPr>
        <w:t xml:space="preserve"> Countries of birth were further classified into regions according to the World Bank Analytical Grouping</w:t>
      </w:r>
      <w:r w:rsidR="00A517FE" w:rsidRPr="00F03985">
        <w:rPr>
          <w:rFonts w:asciiTheme="majorHAnsi" w:hAnsiTheme="majorHAnsi" w:cstheme="majorHAnsi"/>
        </w:rPr>
        <w:t>.</w:t>
      </w:r>
      <w:r w:rsidR="0093708C" w:rsidRPr="00F03985">
        <w:rPr>
          <w:rFonts w:asciiTheme="majorHAnsi" w:hAnsiTheme="majorHAnsi" w:cstheme="majorHAnsi"/>
        </w:rPr>
      </w:r>
      <w:r w:rsidR="004E5082">
        <w:rPr>
          <w:rFonts w:asciiTheme="majorHAnsi" w:hAnsiTheme="majorHAnsi" w:cstheme="majorHAnsi"/>
        </w:rPr>
        <w:instrText xml:space="preserve"/>
      </w:r>
      <w:r w:rsidR="0093708C" w:rsidRPr="00F03985">
        <w:rPr>
          <w:rFonts w:asciiTheme="majorHAnsi" w:hAnsiTheme="majorHAnsi" w:cstheme="majorHAnsi"/>
        </w:rPr>
      </w:r>
      <w:r w:rsidR="004E5082" w:rsidRPr="004E5082">
        <w:rPr>
          <w:rFonts w:asciiTheme="majorHAnsi" w:hAnsiTheme="majorHAnsi" w:cstheme="majorHAnsi"/>
          <w:noProof/>
          <w:vertAlign w:val="superscript"/>
        </w:rPr>
        <w:t>[25]</w:t>
      </w:r>
      <w:r w:rsidR="0093708C" w:rsidRPr="00F03985">
        <w:rPr>
          <w:rFonts w:asciiTheme="majorHAnsi" w:hAnsiTheme="majorHAnsi" w:cstheme="majorHAnsi"/>
        </w:rPr>
      </w:r>
      <w:r w:rsidRPr="00F03985">
        <w:rPr>
          <w:rFonts w:asciiTheme="majorHAnsi" w:hAnsiTheme="majorHAnsi" w:cstheme="majorHAnsi"/>
        </w:rPr>
        <w:t xml:space="preserve"> We took TB incidence in country</w:t>
      </w:r>
      <w:r w:rsidR="00431A40">
        <w:rPr>
          <w:rFonts w:asciiTheme="majorHAnsi" w:hAnsiTheme="majorHAnsi" w:cstheme="majorHAnsi"/>
        </w:rPr>
        <w:t>-</w:t>
      </w:r>
      <w:r w:rsidRPr="00F03985">
        <w:rPr>
          <w:rFonts w:asciiTheme="majorHAnsi" w:hAnsiTheme="majorHAnsi" w:cstheme="majorHAnsi"/>
        </w:rPr>
        <w:t>of</w:t>
      </w:r>
      <w:r w:rsidR="00431A40">
        <w:rPr>
          <w:rFonts w:asciiTheme="majorHAnsi" w:hAnsiTheme="majorHAnsi" w:cstheme="majorHAnsi"/>
        </w:rPr>
        <w:t>-</w:t>
      </w:r>
      <w:r w:rsidRPr="00F03985">
        <w:rPr>
          <w:rFonts w:asciiTheme="majorHAnsi" w:hAnsiTheme="majorHAnsi" w:cstheme="majorHAnsi"/>
        </w:rPr>
        <w:t xml:space="preserve">birth (&lt;50, 50-149, 150-249, 250-349 and </w:t>
      </w:r>
      <w:r w:rsidRPr="003D523C">
        <w:rPr>
          <w:rFonts w:asciiTheme="majorHAnsi" w:hAnsiTheme="majorHAnsi" w:cstheme="majorHAnsi"/>
          <w:color w:val="000000"/>
        </w:rPr>
        <w:t>≥</w:t>
      </w:r>
      <w:r w:rsidRPr="003D523C">
        <w:rPr>
          <w:rFonts w:asciiTheme="majorHAnsi" w:hAnsiTheme="majorHAnsi" w:cstheme="majorHAnsi"/>
        </w:rPr>
        <w:t xml:space="preserve">350 per 100,000 population) from WHO’s </w:t>
      </w:r>
      <w:r w:rsidR="003D523C" w:rsidRPr="003D523C">
        <w:rPr>
          <w:rFonts w:asciiTheme="majorHAnsi" w:hAnsiTheme="majorHAnsi" w:cstheme="majorHAnsi"/>
        </w:rPr>
        <w:t>Global Health Observatory</w:t>
      </w:r>
      <w:r w:rsidR="003E6A9D">
        <w:rPr>
          <w:rFonts w:asciiTheme="majorHAnsi" w:hAnsiTheme="majorHAnsi" w:cstheme="majorHAnsi"/>
        </w:rPr>
        <w:t xml:space="preserve"> and used figures available in March 2019</w:t>
      </w:r>
      <w:r w:rsidR="003D523C" w:rsidRPr="003D523C">
        <w:rPr>
          <w:rFonts w:asciiTheme="majorHAnsi" w:hAnsiTheme="majorHAnsi" w:cstheme="majorHAnsi"/>
        </w:rPr>
        <w:t>.</w:t>
      </w:r>
      <w:r w:rsidR="005508B8">
        <w:rPr>
          <w:rFonts w:asciiTheme="majorHAnsi" w:hAnsiTheme="majorHAnsi" w:cstheme="majorHAnsi"/>
        </w:rPr>
      </w:r>
      <w:r w:rsidR="004E5082">
        <w:rPr>
          <w:rFonts w:asciiTheme="majorHAnsi" w:hAnsiTheme="majorHAnsi" w:cstheme="majorHAnsi"/>
        </w:rPr>
        <w:instrText xml:space="preserve"/>
      </w:r>
      <w:r w:rsidR="005508B8">
        <w:rPr>
          <w:rFonts w:asciiTheme="majorHAnsi" w:hAnsiTheme="majorHAnsi" w:cstheme="majorHAnsi"/>
        </w:rPr>
      </w:r>
      <w:r w:rsidR="004E5082" w:rsidRPr="004E5082">
        <w:rPr>
          <w:rFonts w:asciiTheme="majorHAnsi" w:hAnsiTheme="majorHAnsi" w:cstheme="majorHAnsi"/>
          <w:noProof/>
          <w:vertAlign w:val="superscript"/>
        </w:rPr>
        <w:t>[26]</w:t>
      </w:r>
      <w:r w:rsidR="005508B8">
        <w:rPr>
          <w:rFonts w:asciiTheme="majorHAnsi" w:hAnsiTheme="majorHAnsi" w:cstheme="majorHAnsi"/>
        </w:rPr>
      </w:r>
      <w:r w:rsidR="003D523C" w:rsidRPr="003D523C">
        <w:rPr>
          <w:rFonts w:asciiTheme="majorHAnsi" w:hAnsiTheme="majorHAnsi" w:cstheme="majorHAnsi"/>
        </w:rPr>
        <w:t xml:space="preserve"> </w:t>
      </w:r>
    </w:p>
    <w:p w14:paraId="6C57BABE" w14:textId="4761634C" w:rsidR="00775A8D" w:rsidRPr="00692C51" w:rsidRDefault="00775A8D" w:rsidP="008C6451">
      <w:pPr>
        <w:spacing w:after="240" w:line="480" w:lineRule="auto"/>
        <w:jc w:val="both"/>
        <w:rPr>
          <w:rFonts w:asciiTheme="majorHAnsi" w:hAnsiTheme="majorHAnsi" w:cstheme="majorHAnsi"/>
          <w:b/>
        </w:rPr>
      </w:pPr>
      <w:r w:rsidRPr="00692C51">
        <w:rPr>
          <w:rFonts w:asciiTheme="majorHAnsi" w:hAnsiTheme="majorHAnsi" w:cstheme="majorHAnsi"/>
          <w:b/>
        </w:rPr>
        <w:lastRenderedPageBreak/>
        <w:t>Statistical analysis</w:t>
      </w:r>
    </w:p>
    <w:p w14:paraId="64504D5F" w14:textId="7D459F09" w:rsidR="007B00EC" w:rsidRPr="00F03985" w:rsidRDefault="00DF023A" w:rsidP="008C6451">
      <w:pPr>
        <w:spacing w:after="240" w:line="480" w:lineRule="auto"/>
        <w:jc w:val="both"/>
        <w:rPr>
          <w:rFonts w:asciiTheme="majorHAnsi" w:hAnsiTheme="majorHAnsi" w:cstheme="majorHAnsi"/>
        </w:rPr>
      </w:pPr>
      <w:r w:rsidRPr="00F03985">
        <w:rPr>
          <w:rFonts w:asciiTheme="majorHAnsi" w:hAnsiTheme="majorHAnsi" w:cstheme="majorHAnsi"/>
        </w:rPr>
        <w:t>Continuous data were summarised with median and interquartile range (IQR) and categorical responses as proportions/percentages.</w:t>
      </w:r>
      <w:r w:rsidR="00C012B8" w:rsidRPr="00F03985">
        <w:rPr>
          <w:rFonts w:asciiTheme="majorHAnsi" w:hAnsiTheme="majorHAnsi" w:cstheme="majorHAnsi"/>
        </w:rPr>
        <w:t xml:space="preserve"> </w:t>
      </w:r>
      <w:r w:rsidRPr="00F03985">
        <w:rPr>
          <w:rFonts w:asciiTheme="majorHAnsi" w:hAnsiTheme="majorHAnsi" w:cstheme="majorHAnsi"/>
        </w:rPr>
        <w:t>Comparisons were made using Pearson’s chi-square test (or Fisher</w:t>
      </w:r>
      <w:r w:rsidR="00143FCA">
        <w:rPr>
          <w:rFonts w:asciiTheme="majorHAnsi" w:hAnsiTheme="majorHAnsi" w:cstheme="majorHAnsi"/>
        </w:rPr>
        <w:t>’</w:t>
      </w:r>
      <w:r w:rsidRPr="00F03985">
        <w:rPr>
          <w:rFonts w:asciiTheme="majorHAnsi" w:hAnsiTheme="majorHAnsi" w:cstheme="majorHAnsi"/>
        </w:rPr>
        <w:t>s exact test if appropriate).</w:t>
      </w:r>
      <w:r w:rsidR="006A56B3">
        <w:rPr>
          <w:rFonts w:asciiTheme="majorHAnsi" w:hAnsiTheme="majorHAnsi" w:cstheme="majorHAnsi"/>
        </w:rPr>
        <w:t xml:space="preserve"> </w:t>
      </w:r>
      <w:r w:rsidR="009C00C7" w:rsidRPr="00F03985">
        <w:rPr>
          <w:rFonts w:asciiTheme="majorHAnsi" w:hAnsiTheme="majorHAnsi" w:cstheme="majorHAnsi"/>
        </w:rPr>
        <w:t xml:space="preserve">We assessed univariate associations of </w:t>
      </w:r>
      <w:r w:rsidR="004D22D6">
        <w:rPr>
          <w:rFonts w:asciiTheme="majorHAnsi" w:hAnsiTheme="majorHAnsi" w:cstheme="majorHAnsi"/>
        </w:rPr>
        <w:t>IGRA positivity</w:t>
      </w:r>
      <w:r w:rsidR="009C00C7" w:rsidRPr="00F03985">
        <w:rPr>
          <w:rFonts w:asciiTheme="majorHAnsi" w:hAnsiTheme="majorHAnsi" w:cstheme="majorHAnsi"/>
        </w:rPr>
        <w:t xml:space="preserve"> with age</w:t>
      </w:r>
      <w:r w:rsidR="006A56B3">
        <w:rPr>
          <w:rFonts w:asciiTheme="majorHAnsi" w:hAnsiTheme="majorHAnsi" w:cstheme="majorHAnsi"/>
        </w:rPr>
        <w:t xml:space="preserve"> at IGRA test, </w:t>
      </w:r>
      <w:r w:rsidR="002A4AF3" w:rsidRPr="00F03985">
        <w:rPr>
          <w:rFonts w:asciiTheme="majorHAnsi" w:hAnsiTheme="majorHAnsi" w:cstheme="majorHAnsi"/>
        </w:rPr>
        <w:t>CD4 count at IGRA test</w:t>
      </w:r>
      <w:r w:rsidR="009C00C7" w:rsidRPr="00F03985">
        <w:rPr>
          <w:rFonts w:asciiTheme="majorHAnsi" w:hAnsiTheme="majorHAnsi" w:cstheme="majorHAnsi"/>
        </w:rPr>
        <w:t xml:space="preserve">, year of HIV diagnosis, </w:t>
      </w:r>
      <w:r w:rsidR="007A00D0" w:rsidRPr="00F03985">
        <w:rPr>
          <w:rFonts w:asciiTheme="majorHAnsi" w:hAnsiTheme="majorHAnsi" w:cstheme="majorHAnsi"/>
        </w:rPr>
        <w:t>sex</w:t>
      </w:r>
      <w:r w:rsidR="009C00C7" w:rsidRPr="00F03985">
        <w:rPr>
          <w:rFonts w:asciiTheme="majorHAnsi" w:hAnsiTheme="majorHAnsi" w:cstheme="majorHAnsi"/>
        </w:rPr>
        <w:t>, ethnicity, UK birth status, region of birth, TB incidence level in country</w:t>
      </w:r>
      <w:r w:rsidR="00431A40">
        <w:rPr>
          <w:rFonts w:asciiTheme="majorHAnsi" w:hAnsiTheme="majorHAnsi" w:cstheme="majorHAnsi"/>
        </w:rPr>
        <w:t>-</w:t>
      </w:r>
      <w:r w:rsidR="009C00C7" w:rsidRPr="00F03985">
        <w:rPr>
          <w:rFonts w:asciiTheme="majorHAnsi" w:hAnsiTheme="majorHAnsi" w:cstheme="majorHAnsi"/>
        </w:rPr>
        <w:t>of</w:t>
      </w:r>
      <w:r w:rsidR="00431A40">
        <w:rPr>
          <w:rFonts w:asciiTheme="majorHAnsi" w:hAnsiTheme="majorHAnsi" w:cstheme="majorHAnsi"/>
        </w:rPr>
        <w:t>-</w:t>
      </w:r>
      <w:r w:rsidR="009C00C7" w:rsidRPr="00F03985">
        <w:rPr>
          <w:rFonts w:asciiTheme="majorHAnsi" w:hAnsiTheme="majorHAnsi" w:cstheme="majorHAnsi"/>
        </w:rPr>
        <w:t>birth and type of IGRA performed using logistic regression, reported as crude odds ratios (OR) and 95% confidence intervals (95%</w:t>
      </w:r>
      <w:r w:rsidR="00FE3B9B">
        <w:rPr>
          <w:rFonts w:asciiTheme="majorHAnsi" w:hAnsiTheme="majorHAnsi" w:cstheme="majorHAnsi"/>
        </w:rPr>
        <w:t xml:space="preserve"> </w:t>
      </w:r>
      <w:r w:rsidR="009C00C7" w:rsidRPr="00F03985">
        <w:rPr>
          <w:rFonts w:asciiTheme="majorHAnsi" w:hAnsiTheme="majorHAnsi" w:cstheme="majorHAnsi"/>
        </w:rPr>
        <w:t xml:space="preserve">CIs). </w:t>
      </w:r>
      <w:r w:rsidR="00B91978" w:rsidRPr="00F03985">
        <w:rPr>
          <w:rFonts w:asciiTheme="majorHAnsi" w:hAnsiTheme="majorHAnsi" w:cstheme="majorHAnsi"/>
        </w:rPr>
        <w:t>Region of birth</w:t>
      </w:r>
      <w:r w:rsidR="00293442">
        <w:rPr>
          <w:rFonts w:asciiTheme="majorHAnsi" w:hAnsiTheme="majorHAnsi" w:cstheme="majorHAnsi"/>
        </w:rPr>
        <w:t xml:space="preserve"> and black ethnicity </w:t>
      </w:r>
      <w:r w:rsidR="00B91978" w:rsidRPr="00F03985">
        <w:rPr>
          <w:rFonts w:asciiTheme="majorHAnsi" w:hAnsiTheme="majorHAnsi" w:cstheme="majorHAnsi"/>
        </w:rPr>
        <w:t>categories were collapsed due to small numbers for some regions</w:t>
      </w:r>
      <w:r w:rsidR="00293442">
        <w:rPr>
          <w:rFonts w:asciiTheme="majorHAnsi" w:hAnsiTheme="majorHAnsi" w:cstheme="majorHAnsi"/>
        </w:rPr>
        <w:t>/groups</w:t>
      </w:r>
      <w:r w:rsidR="00B91978" w:rsidRPr="00F03985">
        <w:rPr>
          <w:rFonts w:asciiTheme="majorHAnsi" w:hAnsiTheme="majorHAnsi" w:cstheme="majorHAnsi"/>
        </w:rPr>
        <w:t>.</w:t>
      </w:r>
      <w:r w:rsidR="006A56B3">
        <w:rPr>
          <w:rFonts w:asciiTheme="majorHAnsi" w:hAnsiTheme="majorHAnsi" w:cstheme="majorHAnsi"/>
        </w:rPr>
        <w:t xml:space="preserve"> Multivariable models were </w:t>
      </w:r>
      <w:r w:rsidR="009C00C7" w:rsidRPr="00F03985">
        <w:rPr>
          <w:rFonts w:asciiTheme="majorHAnsi" w:hAnsiTheme="majorHAnsi" w:cstheme="majorHAnsi"/>
        </w:rPr>
        <w:t>adjust</w:t>
      </w:r>
      <w:r w:rsidR="006A56B3">
        <w:rPr>
          <w:rFonts w:asciiTheme="majorHAnsi" w:hAnsiTheme="majorHAnsi" w:cstheme="majorHAnsi"/>
        </w:rPr>
        <w:t>ed</w:t>
      </w:r>
      <w:r w:rsidR="009C00C7" w:rsidRPr="00F03985">
        <w:rPr>
          <w:rFonts w:asciiTheme="majorHAnsi" w:hAnsiTheme="majorHAnsi" w:cstheme="majorHAnsi"/>
        </w:rPr>
        <w:t xml:space="preserve"> </w:t>
      </w:r>
      <w:r w:rsidR="00A605CE" w:rsidRPr="00F03985">
        <w:rPr>
          <w:rFonts w:asciiTheme="majorHAnsi" w:hAnsiTheme="majorHAnsi" w:cstheme="majorHAnsi"/>
        </w:rPr>
        <w:t>for age</w:t>
      </w:r>
      <w:r w:rsidR="006A56B3">
        <w:rPr>
          <w:rFonts w:asciiTheme="majorHAnsi" w:hAnsiTheme="majorHAnsi" w:cstheme="majorHAnsi"/>
        </w:rPr>
        <w:t>, sex</w:t>
      </w:r>
      <w:r w:rsidR="002E2073">
        <w:rPr>
          <w:rFonts w:asciiTheme="majorHAnsi" w:hAnsiTheme="majorHAnsi" w:cstheme="majorHAnsi"/>
        </w:rPr>
        <w:t xml:space="preserve"> and </w:t>
      </w:r>
      <w:r w:rsidR="00A605CE" w:rsidRPr="00F03985">
        <w:rPr>
          <w:rFonts w:asciiTheme="majorHAnsi" w:hAnsiTheme="majorHAnsi" w:cstheme="majorHAnsi"/>
        </w:rPr>
        <w:t>year of HIV diagnosis</w:t>
      </w:r>
      <w:r w:rsidR="002E2073">
        <w:rPr>
          <w:rFonts w:asciiTheme="majorHAnsi" w:hAnsiTheme="majorHAnsi" w:cstheme="majorHAnsi"/>
        </w:rPr>
        <w:t xml:space="preserve"> (selected </w:t>
      </w:r>
      <w:r w:rsidR="002E2073" w:rsidRPr="00692C51">
        <w:rPr>
          <w:rFonts w:asciiTheme="majorHAnsi" w:hAnsiTheme="majorHAnsi" w:cstheme="majorHAnsi"/>
          <w:i/>
          <w:iCs/>
        </w:rPr>
        <w:t>a priori</w:t>
      </w:r>
      <w:r w:rsidR="002E2073">
        <w:rPr>
          <w:rFonts w:asciiTheme="majorHAnsi" w:hAnsiTheme="majorHAnsi" w:cstheme="majorHAnsi"/>
        </w:rPr>
        <w:t>)</w:t>
      </w:r>
      <w:r w:rsidR="006A56B3">
        <w:rPr>
          <w:rFonts w:asciiTheme="majorHAnsi" w:hAnsiTheme="majorHAnsi" w:cstheme="majorHAnsi"/>
        </w:rPr>
        <w:t xml:space="preserve">. </w:t>
      </w:r>
      <w:r w:rsidR="002E2073">
        <w:rPr>
          <w:rFonts w:asciiTheme="majorHAnsi" w:hAnsiTheme="majorHAnsi" w:cstheme="majorHAnsi"/>
        </w:rPr>
        <w:t>Based on univariate associations, models were further adjusted for CD4 count at IGRA test. However, as e</w:t>
      </w:r>
      <w:r w:rsidR="00BA01ED" w:rsidRPr="00F03985">
        <w:rPr>
          <w:rFonts w:asciiTheme="majorHAnsi" w:hAnsiTheme="majorHAnsi" w:cstheme="majorHAnsi"/>
        </w:rPr>
        <w:t xml:space="preserve">thnicity, UK birth status and region of birth were closely linked to the </w:t>
      </w:r>
      <w:r w:rsidR="002A4AF3" w:rsidRPr="00F03985">
        <w:rPr>
          <w:rFonts w:asciiTheme="majorHAnsi" w:hAnsiTheme="majorHAnsi" w:cstheme="majorHAnsi"/>
        </w:rPr>
        <w:t xml:space="preserve">TB </w:t>
      </w:r>
      <w:r w:rsidR="00BA01ED" w:rsidRPr="00F03985">
        <w:rPr>
          <w:rFonts w:asciiTheme="majorHAnsi" w:hAnsiTheme="majorHAnsi" w:cstheme="majorHAnsi"/>
        </w:rPr>
        <w:t>incidence in country</w:t>
      </w:r>
      <w:r w:rsidR="00431A40">
        <w:rPr>
          <w:rFonts w:asciiTheme="majorHAnsi" w:hAnsiTheme="majorHAnsi" w:cstheme="majorHAnsi"/>
        </w:rPr>
        <w:t>-</w:t>
      </w:r>
      <w:r w:rsidR="00BA01ED" w:rsidRPr="00F03985">
        <w:rPr>
          <w:rFonts w:asciiTheme="majorHAnsi" w:hAnsiTheme="majorHAnsi" w:cstheme="majorHAnsi"/>
        </w:rPr>
        <w:t>of</w:t>
      </w:r>
      <w:r w:rsidR="00431A40">
        <w:rPr>
          <w:rFonts w:asciiTheme="majorHAnsi" w:hAnsiTheme="majorHAnsi" w:cstheme="majorHAnsi"/>
        </w:rPr>
        <w:t>-</w:t>
      </w:r>
      <w:r w:rsidR="00BA01ED" w:rsidRPr="00F03985">
        <w:rPr>
          <w:rFonts w:asciiTheme="majorHAnsi" w:hAnsiTheme="majorHAnsi" w:cstheme="majorHAnsi"/>
        </w:rPr>
        <w:t>birth</w:t>
      </w:r>
      <w:r w:rsidR="002E2073">
        <w:rPr>
          <w:rFonts w:asciiTheme="majorHAnsi" w:hAnsiTheme="majorHAnsi" w:cstheme="majorHAnsi"/>
        </w:rPr>
        <w:t>, only TB incidence in country-of-birth was included</w:t>
      </w:r>
      <w:r w:rsidR="00BA01ED" w:rsidRPr="00F03985">
        <w:rPr>
          <w:rFonts w:asciiTheme="majorHAnsi" w:hAnsiTheme="majorHAnsi" w:cstheme="majorHAnsi"/>
        </w:rPr>
        <w:t xml:space="preserve"> in the multivariable </w:t>
      </w:r>
      <w:r w:rsidR="009C00C7" w:rsidRPr="00F03985">
        <w:rPr>
          <w:rFonts w:asciiTheme="majorHAnsi" w:hAnsiTheme="majorHAnsi" w:cstheme="majorHAnsi"/>
        </w:rPr>
        <w:t>logistic regression</w:t>
      </w:r>
      <w:r w:rsidR="00BA01ED" w:rsidRPr="00F03985">
        <w:rPr>
          <w:rFonts w:asciiTheme="majorHAnsi" w:hAnsiTheme="majorHAnsi" w:cstheme="majorHAnsi"/>
        </w:rPr>
        <w:t>.</w:t>
      </w:r>
      <w:r w:rsidR="00C012B8" w:rsidRPr="00F03985">
        <w:rPr>
          <w:rFonts w:asciiTheme="majorHAnsi" w:hAnsiTheme="majorHAnsi" w:cstheme="majorHAnsi"/>
        </w:rPr>
        <w:t xml:space="preserve"> </w:t>
      </w:r>
    </w:p>
    <w:p w14:paraId="10BA8751" w14:textId="458BF8A5" w:rsidR="002A4AF3" w:rsidRPr="00F03985" w:rsidRDefault="007B00EC" w:rsidP="008C6451">
      <w:pPr>
        <w:spacing w:after="240" w:line="480" w:lineRule="auto"/>
        <w:jc w:val="both"/>
        <w:rPr>
          <w:rFonts w:asciiTheme="majorHAnsi" w:hAnsiTheme="majorHAnsi" w:cstheme="majorHAnsi"/>
        </w:rPr>
      </w:pPr>
      <w:r w:rsidRPr="00F03985">
        <w:rPr>
          <w:rFonts w:asciiTheme="majorHAnsi" w:hAnsiTheme="majorHAnsi" w:cstheme="majorHAnsi"/>
        </w:rPr>
        <w:t xml:space="preserve">To </w:t>
      </w:r>
      <w:r w:rsidR="00A67880" w:rsidRPr="00F03985">
        <w:rPr>
          <w:rFonts w:asciiTheme="majorHAnsi" w:hAnsiTheme="majorHAnsi" w:cstheme="majorHAnsi"/>
        </w:rPr>
        <w:t xml:space="preserve">evaluate the performance of NICE and BHIVA guidelines </w:t>
      </w:r>
      <w:r w:rsidR="005200DD" w:rsidRPr="00F03985">
        <w:rPr>
          <w:rFonts w:asciiTheme="majorHAnsi" w:hAnsiTheme="majorHAnsi" w:cstheme="majorHAnsi"/>
        </w:rPr>
        <w:t>alongside</w:t>
      </w:r>
      <w:r w:rsidR="00A67880" w:rsidRPr="00F03985">
        <w:rPr>
          <w:rFonts w:asciiTheme="majorHAnsi" w:hAnsiTheme="majorHAnsi" w:cstheme="majorHAnsi"/>
        </w:rPr>
        <w:t xml:space="preserve"> other targeted testing strategies using </w:t>
      </w:r>
      <w:r w:rsidRPr="00F03985">
        <w:rPr>
          <w:rFonts w:asciiTheme="majorHAnsi" w:hAnsiTheme="majorHAnsi" w:cstheme="majorHAnsi"/>
        </w:rPr>
        <w:t xml:space="preserve">different thresholds of </w:t>
      </w:r>
      <w:r w:rsidR="005200DD" w:rsidRPr="00F03985">
        <w:rPr>
          <w:rFonts w:asciiTheme="majorHAnsi" w:hAnsiTheme="majorHAnsi" w:cstheme="majorHAnsi"/>
        </w:rPr>
        <w:t xml:space="preserve">TB </w:t>
      </w:r>
      <w:r w:rsidRPr="00F03985">
        <w:rPr>
          <w:rFonts w:asciiTheme="majorHAnsi" w:hAnsiTheme="majorHAnsi" w:cstheme="majorHAnsi"/>
        </w:rPr>
        <w:t>incidence</w:t>
      </w:r>
      <w:r w:rsidR="005200DD" w:rsidRPr="00F03985">
        <w:rPr>
          <w:rFonts w:asciiTheme="majorHAnsi" w:hAnsiTheme="majorHAnsi" w:cstheme="majorHAnsi"/>
        </w:rPr>
        <w:t xml:space="preserve"> in country</w:t>
      </w:r>
      <w:r w:rsidR="00431A40">
        <w:rPr>
          <w:rFonts w:asciiTheme="majorHAnsi" w:hAnsiTheme="majorHAnsi" w:cstheme="majorHAnsi"/>
        </w:rPr>
        <w:t>-</w:t>
      </w:r>
      <w:r w:rsidR="005200DD" w:rsidRPr="00F03985">
        <w:rPr>
          <w:rFonts w:asciiTheme="majorHAnsi" w:hAnsiTheme="majorHAnsi" w:cstheme="majorHAnsi"/>
        </w:rPr>
        <w:t>of</w:t>
      </w:r>
      <w:r w:rsidR="00431A40">
        <w:rPr>
          <w:rFonts w:asciiTheme="majorHAnsi" w:hAnsiTheme="majorHAnsi" w:cstheme="majorHAnsi"/>
        </w:rPr>
        <w:t>-</w:t>
      </w:r>
      <w:r w:rsidR="005200DD" w:rsidRPr="00F03985">
        <w:rPr>
          <w:rFonts w:asciiTheme="majorHAnsi" w:hAnsiTheme="majorHAnsi" w:cstheme="majorHAnsi"/>
        </w:rPr>
        <w:t>birth, for each</w:t>
      </w:r>
      <w:r w:rsidRPr="00F03985">
        <w:rPr>
          <w:rFonts w:asciiTheme="majorHAnsi" w:hAnsiTheme="majorHAnsi" w:cstheme="majorHAnsi"/>
        </w:rPr>
        <w:t xml:space="preserve"> screening</w:t>
      </w:r>
      <w:r w:rsidR="005200DD" w:rsidRPr="00F03985">
        <w:rPr>
          <w:rFonts w:asciiTheme="majorHAnsi" w:hAnsiTheme="majorHAnsi" w:cstheme="majorHAnsi"/>
        </w:rPr>
        <w:t xml:space="preserve"> scenario</w:t>
      </w:r>
      <w:r w:rsidRPr="00F03985">
        <w:rPr>
          <w:rFonts w:asciiTheme="majorHAnsi" w:hAnsiTheme="majorHAnsi" w:cstheme="majorHAnsi"/>
        </w:rPr>
        <w:t xml:space="preserve"> we calculated</w:t>
      </w:r>
      <w:r w:rsidR="005200DD" w:rsidRPr="00F03985">
        <w:rPr>
          <w:rFonts w:asciiTheme="majorHAnsi" w:hAnsiTheme="majorHAnsi" w:cstheme="majorHAnsi"/>
        </w:rPr>
        <w:t xml:space="preserve"> </w:t>
      </w:r>
      <w:r w:rsidR="00A67880" w:rsidRPr="00F03985">
        <w:rPr>
          <w:rFonts w:asciiTheme="majorHAnsi" w:hAnsiTheme="majorHAnsi" w:cstheme="majorHAnsi"/>
        </w:rPr>
        <w:t xml:space="preserve">number of </w:t>
      </w:r>
      <w:r w:rsidR="005200DD" w:rsidRPr="00F03985">
        <w:rPr>
          <w:rFonts w:asciiTheme="majorHAnsi" w:hAnsiTheme="majorHAnsi" w:cstheme="majorHAnsi"/>
        </w:rPr>
        <w:t>PLWH</w:t>
      </w:r>
      <w:r w:rsidR="00A67880" w:rsidRPr="00F03985">
        <w:rPr>
          <w:rFonts w:asciiTheme="majorHAnsi" w:hAnsiTheme="majorHAnsi" w:cstheme="majorHAnsi"/>
        </w:rPr>
        <w:t xml:space="preserve"> needing to be</w:t>
      </w:r>
      <w:r w:rsidR="005200DD" w:rsidRPr="00F03985">
        <w:rPr>
          <w:rFonts w:asciiTheme="majorHAnsi" w:hAnsiTheme="majorHAnsi" w:cstheme="majorHAnsi"/>
        </w:rPr>
        <w:t xml:space="preserve"> </w:t>
      </w:r>
      <w:r w:rsidR="00A67880" w:rsidRPr="00F03985">
        <w:rPr>
          <w:rFonts w:asciiTheme="majorHAnsi" w:hAnsiTheme="majorHAnsi" w:cstheme="majorHAnsi"/>
        </w:rPr>
        <w:t xml:space="preserve">screened, </w:t>
      </w:r>
      <w:r w:rsidR="00143FCA">
        <w:rPr>
          <w:rFonts w:asciiTheme="majorHAnsi" w:hAnsiTheme="majorHAnsi" w:cstheme="majorHAnsi"/>
        </w:rPr>
        <w:t>LTBI</w:t>
      </w:r>
      <w:r w:rsidR="00143FCA" w:rsidRPr="00F03985">
        <w:rPr>
          <w:rFonts w:asciiTheme="majorHAnsi" w:hAnsiTheme="majorHAnsi" w:cstheme="majorHAnsi"/>
        </w:rPr>
        <w:t xml:space="preserve"> </w:t>
      </w:r>
      <w:r w:rsidR="00A67880" w:rsidRPr="00F03985">
        <w:rPr>
          <w:rFonts w:asciiTheme="majorHAnsi" w:hAnsiTheme="majorHAnsi" w:cstheme="majorHAnsi"/>
        </w:rPr>
        <w:t>yield and</w:t>
      </w:r>
      <w:r w:rsidR="005200DD" w:rsidRPr="00F03985">
        <w:rPr>
          <w:rFonts w:asciiTheme="majorHAnsi" w:hAnsiTheme="majorHAnsi" w:cstheme="majorHAnsi"/>
        </w:rPr>
        <w:t xml:space="preserve"> </w:t>
      </w:r>
      <w:r w:rsidR="00A67880" w:rsidRPr="00F03985">
        <w:rPr>
          <w:rFonts w:asciiTheme="majorHAnsi" w:hAnsiTheme="majorHAnsi" w:cstheme="majorHAnsi"/>
        </w:rPr>
        <w:t xml:space="preserve">the proportion of </w:t>
      </w:r>
      <w:r w:rsidR="005200DD" w:rsidRPr="00F03985">
        <w:rPr>
          <w:rFonts w:asciiTheme="majorHAnsi" w:hAnsiTheme="majorHAnsi" w:cstheme="majorHAnsi"/>
        </w:rPr>
        <w:t xml:space="preserve">all those IGRA positive correctly identified. TB </w:t>
      </w:r>
      <w:r w:rsidR="00EF0FCB">
        <w:rPr>
          <w:rFonts w:asciiTheme="majorHAnsi" w:hAnsiTheme="majorHAnsi" w:cstheme="majorHAnsi"/>
        </w:rPr>
        <w:t xml:space="preserve">incidence </w:t>
      </w:r>
      <w:r w:rsidR="005200DD" w:rsidRPr="00F03985">
        <w:rPr>
          <w:rFonts w:asciiTheme="majorHAnsi" w:hAnsiTheme="majorHAnsi" w:cstheme="majorHAnsi"/>
        </w:rPr>
        <w:t xml:space="preserve">thresholds evaluated were: 1) &gt;350/100,000, 2) &gt;250/100,000, 3) &gt;150/100,000, </w:t>
      </w:r>
      <w:r w:rsidR="002A4AF3" w:rsidRPr="00F03985">
        <w:rPr>
          <w:rFonts w:asciiTheme="majorHAnsi" w:hAnsiTheme="majorHAnsi" w:cstheme="majorHAnsi"/>
        </w:rPr>
        <w:t>4</w:t>
      </w:r>
      <w:r w:rsidR="005200DD" w:rsidRPr="00F03985">
        <w:rPr>
          <w:rFonts w:asciiTheme="majorHAnsi" w:hAnsiTheme="majorHAnsi" w:cstheme="majorHAnsi"/>
        </w:rPr>
        <w:t>) &gt;50/100,000 and 6) no threshold i.e. screening all PLWH, the strategy recommended by NICE 2016 guidelines,</w:t>
      </w:r>
      <w:r w:rsidR="00533B49" w:rsidRPr="00F03985">
        <w:rPr>
          <w:rFonts w:asciiTheme="majorHAnsi" w:hAnsiTheme="majorHAnsi" w:cstheme="majorHAnsi"/>
        </w:rPr>
      </w:r>
      <w:r w:rsidR="004E5082">
        <w:rPr>
          <w:rFonts w:asciiTheme="majorHAnsi" w:hAnsiTheme="majorHAnsi" w:cstheme="majorHAnsi"/>
        </w:rPr>
        <w:instrText xml:space="preserve"/>
      </w:r>
      <w:r w:rsidR="00533B49" w:rsidRPr="00F03985">
        <w:rPr>
          <w:rFonts w:asciiTheme="majorHAnsi" w:hAnsiTheme="majorHAnsi" w:cstheme="majorHAnsi"/>
        </w:rPr>
      </w:r>
      <w:r w:rsidR="004E5082" w:rsidRPr="004E5082">
        <w:rPr>
          <w:rFonts w:asciiTheme="majorHAnsi" w:hAnsiTheme="majorHAnsi" w:cstheme="majorHAnsi"/>
          <w:noProof/>
          <w:vertAlign w:val="superscript"/>
        </w:rPr>
        <w:t>[13]</w:t>
      </w:r>
      <w:r w:rsidR="00533B49" w:rsidRPr="00F03985">
        <w:rPr>
          <w:rFonts w:asciiTheme="majorHAnsi" w:hAnsiTheme="majorHAnsi" w:cstheme="majorHAnsi"/>
        </w:rPr>
      </w:r>
      <w:r w:rsidR="005200DD" w:rsidRPr="00F03985">
        <w:rPr>
          <w:rFonts w:asciiTheme="majorHAnsi" w:hAnsiTheme="majorHAnsi" w:cstheme="majorHAnsi"/>
        </w:rPr>
        <w:t xml:space="preserve"> ECDC guidelines for the EU/EEA</w:t>
      </w:r>
      <w:r w:rsidR="00533B49" w:rsidRPr="00F039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533B49" w:rsidRPr="00F03985">
        <w:rPr>
          <w:rFonts w:asciiTheme="majorHAnsi" w:hAnsiTheme="majorHAnsi" w:cstheme="majorHAnsi"/>
        </w:rPr>
      </w:r>
      <w:r w:rsidR="00533B49" w:rsidRPr="00F03985">
        <w:rPr>
          <w:rFonts w:asciiTheme="majorHAnsi" w:hAnsiTheme="majorHAnsi" w:cstheme="majorHAnsi"/>
        </w:rPr>
      </w:r>
      <w:r w:rsidR="004E5082" w:rsidRPr="004E5082">
        <w:rPr>
          <w:rFonts w:asciiTheme="majorHAnsi" w:hAnsiTheme="majorHAnsi" w:cstheme="majorHAnsi"/>
          <w:noProof/>
          <w:vertAlign w:val="superscript"/>
        </w:rPr>
        <w:t>[11]</w:t>
      </w:r>
      <w:r w:rsidR="00533B49" w:rsidRPr="00F03985">
        <w:rPr>
          <w:rFonts w:asciiTheme="majorHAnsi" w:hAnsiTheme="majorHAnsi" w:cstheme="majorHAnsi"/>
        </w:rPr>
      </w:r>
      <w:r w:rsidR="005200DD" w:rsidRPr="00F03985">
        <w:rPr>
          <w:rFonts w:asciiTheme="majorHAnsi" w:hAnsiTheme="majorHAnsi" w:cstheme="majorHAnsi"/>
        </w:rPr>
        <w:t xml:space="preserve"> and WHO guidelines for low TB incidence countries.</w:t>
      </w:r>
      <w:r w:rsidR="00533B49" w:rsidRPr="00F03985">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533B49" w:rsidRPr="00F03985">
        <w:rPr>
          <w:rFonts w:asciiTheme="majorHAnsi" w:hAnsiTheme="majorHAnsi" w:cstheme="majorHAnsi"/>
        </w:rPr>
      </w:r>
      <w:r w:rsidR="00533B49" w:rsidRPr="00F03985">
        <w:rPr>
          <w:rFonts w:asciiTheme="majorHAnsi" w:hAnsiTheme="majorHAnsi" w:cstheme="majorHAnsi"/>
        </w:rPr>
      </w:r>
      <w:r w:rsidR="004E5082" w:rsidRPr="004E5082">
        <w:rPr>
          <w:rFonts w:asciiTheme="majorHAnsi" w:hAnsiTheme="majorHAnsi" w:cstheme="majorHAnsi"/>
          <w:noProof/>
          <w:vertAlign w:val="superscript"/>
        </w:rPr>
        <w:t>[12]</w:t>
      </w:r>
      <w:r w:rsidR="00533B49" w:rsidRPr="00F03985">
        <w:rPr>
          <w:rFonts w:asciiTheme="majorHAnsi" w:hAnsiTheme="majorHAnsi" w:cstheme="majorHAnsi"/>
        </w:rPr>
      </w:r>
      <w:r w:rsidR="005200DD" w:rsidRPr="00F03985">
        <w:rPr>
          <w:rFonts w:asciiTheme="majorHAnsi" w:hAnsiTheme="majorHAnsi" w:cstheme="majorHAnsi"/>
        </w:rPr>
        <w:t xml:space="preserve"> </w:t>
      </w:r>
      <w:r w:rsidR="008846C9" w:rsidRPr="00F03985">
        <w:rPr>
          <w:rFonts w:asciiTheme="majorHAnsi" w:hAnsiTheme="majorHAnsi" w:cstheme="majorHAnsi"/>
        </w:rPr>
        <w:t>We compared these</w:t>
      </w:r>
      <w:r w:rsidR="00361EF9" w:rsidRPr="00F03985">
        <w:rPr>
          <w:rFonts w:asciiTheme="majorHAnsi" w:hAnsiTheme="majorHAnsi" w:cstheme="majorHAnsi"/>
        </w:rPr>
        <w:t xml:space="preserve"> </w:t>
      </w:r>
      <w:r w:rsidR="002A4AF3" w:rsidRPr="00F03985">
        <w:rPr>
          <w:rFonts w:asciiTheme="majorHAnsi" w:hAnsiTheme="majorHAnsi" w:cstheme="majorHAnsi"/>
        </w:rPr>
        <w:t xml:space="preserve">strategies </w:t>
      </w:r>
      <w:r w:rsidR="00361EF9" w:rsidRPr="00F03985">
        <w:rPr>
          <w:rFonts w:asciiTheme="majorHAnsi" w:hAnsiTheme="majorHAnsi" w:cstheme="majorHAnsi"/>
        </w:rPr>
        <w:t xml:space="preserve">to </w:t>
      </w:r>
      <w:r w:rsidR="007623F4">
        <w:rPr>
          <w:rFonts w:asciiTheme="majorHAnsi" w:hAnsiTheme="majorHAnsi" w:cstheme="majorHAnsi"/>
        </w:rPr>
        <w:t xml:space="preserve">2018 </w:t>
      </w:r>
      <w:r w:rsidR="008846C9" w:rsidRPr="00F03985">
        <w:rPr>
          <w:rFonts w:asciiTheme="majorHAnsi" w:hAnsiTheme="majorHAnsi" w:cstheme="majorHAnsi"/>
        </w:rPr>
        <w:t xml:space="preserve">BHIVA guidance which recommends targeted IGRA testing for those born in low TB incidence countries (&lt;40/100,000) for those with TB risk factors including recent exposure to a known TB case, injecting drug use and diabetes </w:t>
      </w:r>
      <w:r w:rsidR="008846C9" w:rsidRPr="00F03985">
        <w:rPr>
          <w:rFonts w:asciiTheme="majorHAnsi" w:hAnsiTheme="majorHAnsi" w:cstheme="majorHAnsi"/>
        </w:rPr>
        <w:lastRenderedPageBreak/>
        <w:t>mellitus.</w:t>
      </w:r>
      <w:r w:rsidR="008846C9" w:rsidRPr="00F03985">
        <w:rPr>
          <w:rFonts w:asciiTheme="majorHAnsi" w:hAnsiTheme="majorHAnsi" w:cstheme="majorHAnsi"/>
        </w:rPr>
      </w:r>
      <w:r w:rsidR="004E5082">
        <w:rPr>
          <w:rFonts w:asciiTheme="majorHAnsi" w:hAnsiTheme="majorHAnsi" w:cstheme="majorHAnsi"/>
        </w:rPr>
        <w:instrText xml:space="preserve"/>
      </w:r>
      <w:r w:rsidR="008846C9" w:rsidRPr="00F03985">
        <w:rPr>
          <w:rFonts w:asciiTheme="majorHAnsi" w:hAnsiTheme="majorHAnsi" w:cstheme="majorHAnsi"/>
        </w:rPr>
      </w:r>
      <w:r w:rsidR="004E5082" w:rsidRPr="004E5082">
        <w:rPr>
          <w:rFonts w:asciiTheme="majorHAnsi" w:hAnsiTheme="majorHAnsi" w:cstheme="majorHAnsi"/>
          <w:noProof/>
          <w:vertAlign w:val="superscript"/>
        </w:rPr>
        <w:t>[14]</w:t>
      </w:r>
      <w:r w:rsidR="008846C9" w:rsidRPr="00F03985">
        <w:rPr>
          <w:rFonts w:asciiTheme="majorHAnsi" w:hAnsiTheme="majorHAnsi" w:cstheme="majorHAnsi"/>
        </w:rPr>
      </w:r>
      <w:r w:rsidR="008846C9" w:rsidRPr="00F03985">
        <w:rPr>
          <w:rFonts w:asciiTheme="majorHAnsi" w:hAnsiTheme="majorHAnsi" w:cstheme="majorHAnsi"/>
        </w:rPr>
        <w:t xml:space="preserve"> We therefore prospectively collected risk factor data for patients testing IGRA-positive and from a low incidence (&lt;40/100,000) country from 2018 onwards, and retrospectively extracted data from medical notes for those testing IGRA-positive pre-2018. Since BHIVA guidance changed part-way through our study we did not prospectively collect data on risk factors for patients who tested IGRA</w:t>
      </w:r>
      <w:r w:rsidR="002012C3">
        <w:rPr>
          <w:rFonts w:asciiTheme="majorHAnsi" w:hAnsiTheme="majorHAnsi" w:cstheme="majorHAnsi"/>
        </w:rPr>
        <w:t>-</w:t>
      </w:r>
      <w:r w:rsidR="008846C9" w:rsidRPr="00F03985">
        <w:rPr>
          <w:rFonts w:asciiTheme="majorHAnsi" w:hAnsiTheme="majorHAnsi" w:cstheme="majorHAnsi"/>
        </w:rPr>
        <w:t>negative from low incidence countries.</w:t>
      </w:r>
    </w:p>
    <w:p w14:paraId="7BC387BE" w14:textId="207E1D07" w:rsidR="00A67880" w:rsidRPr="00F03985" w:rsidRDefault="00361EF9" w:rsidP="008C6451">
      <w:pPr>
        <w:spacing w:after="240" w:line="480" w:lineRule="auto"/>
        <w:jc w:val="both"/>
        <w:rPr>
          <w:rFonts w:asciiTheme="majorHAnsi" w:hAnsiTheme="majorHAnsi" w:cstheme="majorHAnsi"/>
        </w:rPr>
      </w:pPr>
      <w:r w:rsidRPr="00F03985">
        <w:rPr>
          <w:rFonts w:asciiTheme="majorHAnsi" w:hAnsiTheme="majorHAnsi" w:cstheme="majorHAnsi"/>
        </w:rPr>
        <w:t xml:space="preserve">Finally, </w:t>
      </w:r>
      <w:r w:rsidR="00B141CB" w:rsidRPr="00F03985">
        <w:rPr>
          <w:rFonts w:asciiTheme="majorHAnsi" w:hAnsiTheme="majorHAnsi" w:cstheme="majorHAnsi"/>
        </w:rPr>
        <w:t>we compared these</w:t>
      </w:r>
      <w:r w:rsidRPr="00F03985">
        <w:rPr>
          <w:rFonts w:asciiTheme="majorHAnsi" w:hAnsiTheme="majorHAnsi" w:cstheme="majorHAnsi"/>
        </w:rPr>
        <w:t xml:space="preserve"> guidelines to</w:t>
      </w:r>
      <w:r w:rsidR="00431A40">
        <w:rPr>
          <w:rFonts w:asciiTheme="majorHAnsi" w:hAnsiTheme="majorHAnsi" w:cstheme="majorHAnsi"/>
        </w:rPr>
        <w:t xml:space="preserve"> our proposed </w:t>
      </w:r>
      <w:r w:rsidR="00431A40" w:rsidRPr="00246685">
        <w:rPr>
          <w:rFonts w:asciiTheme="majorHAnsi" w:hAnsiTheme="majorHAnsi" w:cstheme="majorHAnsi"/>
          <w:bCs/>
        </w:rPr>
        <w:t>‘</w:t>
      </w:r>
      <w:r w:rsidR="00431A40" w:rsidRPr="005521C3">
        <w:rPr>
          <w:rFonts w:asciiTheme="majorHAnsi" w:hAnsiTheme="majorHAnsi" w:cstheme="majorHAnsi"/>
          <w:bCs/>
        </w:rPr>
        <w:t>PLWH-LTBI streamlined guidance</w:t>
      </w:r>
      <w:r w:rsidR="00431A40" w:rsidRPr="00246685">
        <w:rPr>
          <w:rFonts w:asciiTheme="majorHAnsi" w:hAnsiTheme="majorHAnsi" w:cstheme="majorHAnsi"/>
          <w:bCs/>
        </w:rPr>
        <w:t>’</w:t>
      </w:r>
      <w:r w:rsidR="00431A40">
        <w:rPr>
          <w:rFonts w:asciiTheme="majorHAnsi" w:hAnsiTheme="majorHAnsi" w:cstheme="majorHAnsi"/>
          <w:bCs/>
        </w:rPr>
        <w:t>: targeting testing to PLWH with country-of-</w:t>
      </w:r>
      <w:r w:rsidR="009B0F55">
        <w:rPr>
          <w:rFonts w:asciiTheme="majorHAnsi" w:hAnsiTheme="majorHAnsi" w:cstheme="majorHAnsi"/>
          <w:bCs/>
        </w:rPr>
        <w:t>birth</w:t>
      </w:r>
      <w:r w:rsidR="00431A40">
        <w:rPr>
          <w:rFonts w:asciiTheme="majorHAnsi" w:hAnsiTheme="majorHAnsi" w:cstheme="majorHAnsi"/>
          <w:bCs/>
        </w:rPr>
        <w:t xml:space="preserve"> TB incidence &gt;150 cases</w:t>
      </w:r>
      <w:r w:rsidR="00AB58AC">
        <w:rPr>
          <w:rFonts w:asciiTheme="majorHAnsi" w:hAnsiTheme="majorHAnsi" w:cstheme="majorHAnsi"/>
          <w:bCs/>
        </w:rPr>
        <w:t>/</w:t>
      </w:r>
      <w:r w:rsidR="00431A40">
        <w:rPr>
          <w:rFonts w:asciiTheme="majorHAnsi" w:hAnsiTheme="majorHAnsi" w:cstheme="majorHAnsi"/>
          <w:bCs/>
        </w:rPr>
        <w:t>100,000 population or any sub-Saharan African country. This alternative guidance</w:t>
      </w:r>
      <w:r w:rsidR="00431A40">
        <w:rPr>
          <w:rFonts w:asciiTheme="majorHAnsi" w:hAnsiTheme="majorHAnsi" w:cstheme="majorHAnsi"/>
        </w:rPr>
        <w:t xml:space="preserve"> was</w:t>
      </w:r>
      <w:r w:rsidR="00B141CB" w:rsidRPr="00F03985">
        <w:rPr>
          <w:rFonts w:asciiTheme="majorHAnsi" w:hAnsiTheme="majorHAnsi" w:cstheme="majorHAnsi"/>
        </w:rPr>
        <w:t xml:space="preserve"> formulated to maximise yield while minimising testing required</w:t>
      </w:r>
      <w:r w:rsidR="00D17892">
        <w:rPr>
          <w:rFonts w:asciiTheme="majorHAnsi" w:hAnsiTheme="majorHAnsi" w:cstheme="majorHAnsi"/>
        </w:rPr>
        <w:t>, while</w:t>
      </w:r>
      <w:r w:rsidR="00431A40">
        <w:rPr>
          <w:rFonts w:asciiTheme="majorHAnsi" w:hAnsiTheme="majorHAnsi" w:cstheme="majorHAnsi"/>
        </w:rPr>
        <w:t xml:space="preserve"> streamlining guidance to be as simple and user-friendly for physicians as possible</w:t>
      </w:r>
      <w:r w:rsidR="00B141CB" w:rsidRPr="00F03985">
        <w:rPr>
          <w:rFonts w:asciiTheme="majorHAnsi" w:hAnsiTheme="majorHAnsi" w:cstheme="majorHAnsi"/>
        </w:rPr>
        <w:t xml:space="preserve">. </w:t>
      </w:r>
    </w:p>
    <w:p w14:paraId="2C99D6CF" w14:textId="291C2FF3" w:rsidR="00565042" w:rsidRPr="00F03985" w:rsidRDefault="00DF023A" w:rsidP="008C6451">
      <w:pPr>
        <w:spacing w:after="240" w:line="480" w:lineRule="auto"/>
        <w:jc w:val="both"/>
        <w:rPr>
          <w:rFonts w:asciiTheme="majorHAnsi" w:hAnsiTheme="majorHAnsi" w:cstheme="majorHAnsi"/>
        </w:rPr>
      </w:pPr>
      <w:r w:rsidRPr="00F03985">
        <w:rPr>
          <w:rFonts w:asciiTheme="majorHAnsi" w:hAnsiTheme="majorHAnsi" w:cstheme="majorHAnsi"/>
        </w:rPr>
        <w:t xml:space="preserve">All data were analysed using Stata </w:t>
      </w:r>
      <w:r w:rsidR="00BD13CA" w:rsidRPr="00F03985">
        <w:rPr>
          <w:rFonts w:asciiTheme="majorHAnsi" w:hAnsiTheme="majorHAnsi" w:cstheme="majorHAnsi"/>
        </w:rPr>
        <w:t>v</w:t>
      </w:r>
      <w:r w:rsidRPr="00F03985">
        <w:rPr>
          <w:rFonts w:asciiTheme="majorHAnsi" w:hAnsiTheme="majorHAnsi" w:cstheme="majorHAnsi"/>
        </w:rPr>
        <w:t>15.1 (</w:t>
      </w:r>
      <w:proofErr w:type="spellStart"/>
      <w:r w:rsidRPr="00F03985">
        <w:rPr>
          <w:rFonts w:asciiTheme="majorHAnsi" w:hAnsiTheme="majorHAnsi" w:cstheme="majorHAnsi"/>
        </w:rPr>
        <w:t>StataCorp</w:t>
      </w:r>
      <w:proofErr w:type="spellEnd"/>
      <w:r w:rsidRPr="00F03985">
        <w:rPr>
          <w:rFonts w:asciiTheme="majorHAnsi" w:hAnsiTheme="majorHAnsi" w:cstheme="majorHAnsi"/>
        </w:rPr>
        <w:t>, Texas, USA).</w:t>
      </w:r>
      <w:r w:rsidR="00A67880" w:rsidRPr="00F03985">
        <w:rPr>
          <w:rFonts w:asciiTheme="majorHAnsi" w:hAnsiTheme="majorHAnsi" w:cstheme="majorHAnsi"/>
        </w:rPr>
        <w:t xml:space="preserve"> All statistical tests were considered significant when p≤0.05.</w:t>
      </w:r>
    </w:p>
    <w:p w14:paraId="71BA6B88" w14:textId="40599A6A" w:rsidR="00566B98" w:rsidRDefault="00A95168" w:rsidP="008C6451">
      <w:pPr>
        <w:pStyle w:val="Heading2"/>
        <w:numPr>
          <w:ilvl w:val="0"/>
          <w:numId w:val="0"/>
        </w:numPr>
        <w:spacing w:after="240" w:line="480" w:lineRule="auto"/>
        <w:rPr>
          <w:rFonts w:asciiTheme="majorHAnsi" w:hAnsiTheme="majorHAnsi" w:cstheme="majorHAnsi"/>
        </w:rPr>
      </w:pPr>
      <w:r>
        <w:rPr>
          <w:rFonts w:asciiTheme="majorHAnsi" w:hAnsiTheme="majorHAnsi" w:cstheme="majorHAnsi"/>
        </w:rPr>
        <w:t>Findings</w:t>
      </w:r>
    </w:p>
    <w:p w14:paraId="4885B743" w14:textId="3B87E759" w:rsidR="00922BDF" w:rsidRPr="00F14FF5" w:rsidRDefault="00F14FF5" w:rsidP="008C6451">
      <w:pPr>
        <w:spacing w:after="240" w:line="480" w:lineRule="auto"/>
        <w:jc w:val="both"/>
        <w:rPr>
          <w:rFonts w:asciiTheme="majorHAnsi" w:hAnsiTheme="majorHAnsi" w:cstheme="majorHAnsi"/>
          <w:b/>
          <w:bCs/>
        </w:rPr>
      </w:pPr>
      <w:r w:rsidRPr="00F14FF5">
        <w:rPr>
          <w:rFonts w:asciiTheme="majorHAnsi" w:hAnsiTheme="majorHAnsi" w:cstheme="majorHAnsi"/>
          <w:b/>
          <w:bCs/>
        </w:rPr>
        <w:t>Cohort d</w:t>
      </w:r>
      <w:r w:rsidR="00922BDF" w:rsidRPr="00F14FF5">
        <w:rPr>
          <w:rFonts w:asciiTheme="majorHAnsi" w:hAnsiTheme="majorHAnsi" w:cstheme="majorHAnsi"/>
          <w:b/>
          <w:bCs/>
        </w:rPr>
        <w:t xml:space="preserve">escription </w:t>
      </w:r>
    </w:p>
    <w:p w14:paraId="6A2C1D09" w14:textId="5E09A4E9" w:rsidR="00566B98" w:rsidRPr="00AB06D7" w:rsidRDefault="00F42F5E" w:rsidP="008C6451">
      <w:pPr>
        <w:spacing w:after="240" w:line="480" w:lineRule="auto"/>
        <w:jc w:val="both"/>
        <w:rPr>
          <w:rFonts w:asciiTheme="majorHAnsi" w:hAnsiTheme="majorHAnsi" w:cstheme="majorHAnsi"/>
        </w:rPr>
      </w:pPr>
      <w:r w:rsidRPr="001C7185">
        <w:rPr>
          <w:rFonts w:asciiTheme="majorHAnsi" w:hAnsiTheme="majorHAnsi" w:cstheme="majorHAnsi"/>
        </w:rPr>
        <w:t>Recruitment</w:t>
      </w:r>
      <w:r w:rsidR="00566B98" w:rsidRPr="001C7185">
        <w:rPr>
          <w:rFonts w:asciiTheme="majorHAnsi" w:hAnsiTheme="majorHAnsi" w:cstheme="majorHAnsi"/>
        </w:rPr>
        <w:t xml:space="preserve"> </w:t>
      </w:r>
      <w:r w:rsidRPr="001C7185">
        <w:rPr>
          <w:rFonts w:asciiTheme="majorHAnsi" w:hAnsiTheme="majorHAnsi" w:cstheme="majorHAnsi"/>
        </w:rPr>
        <w:t>into the study is outlined in figure 1.</w:t>
      </w:r>
      <w:r w:rsidR="00566B98" w:rsidRPr="001C7185">
        <w:rPr>
          <w:rFonts w:asciiTheme="majorHAnsi" w:hAnsiTheme="majorHAnsi" w:cstheme="majorHAnsi"/>
        </w:rPr>
        <w:t xml:space="preserve"> </w:t>
      </w:r>
      <w:r w:rsidR="00D17892" w:rsidRPr="001C7185">
        <w:rPr>
          <w:rFonts w:asciiTheme="majorHAnsi" w:hAnsiTheme="majorHAnsi" w:cstheme="majorHAnsi"/>
        </w:rPr>
        <w:t>323</w:t>
      </w:r>
      <w:r w:rsidR="00117D9A" w:rsidRPr="001C7185">
        <w:rPr>
          <w:rFonts w:asciiTheme="majorHAnsi" w:hAnsiTheme="majorHAnsi" w:cstheme="majorHAnsi"/>
        </w:rPr>
        <w:t xml:space="preserve"> patients had already had active TB and were excluded from screening</w:t>
      </w:r>
      <w:r w:rsidR="001C7185" w:rsidRPr="0082666E">
        <w:rPr>
          <w:rFonts w:asciiTheme="majorHAnsi" w:hAnsiTheme="majorHAnsi" w:cstheme="majorHAnsi"/>
        </w:rPr>
        <w:t>,</w:t>
      </w:r>
      <w:r w:rsidR="001C7185">
        <w:rPr>
          <w:rFonts w:asciiTheme="majorHAnsi" w:hAnsiTheme="majorHAnsi" w:cstheme="majorHAnsi"/>
        </w:rPr>
        <w:t xml:space="preserve"> </w:t>
      </w:r>
      <w:r w:rsidR="001C7185" w:rsidRPr="0082666E">
        <w:rPr>
          <w:rFonts w:asciiTheme="majorHAnsi" w:hAnsiTheme="majorHAnsi" w:cstheme="majorHAnsi"/>
        </w:rPr>
        <w:t>as were 30 patients who had had already been diagnosed with and treated for LTBI</w:t>
      </w:r>
      <w:r w:rsidR="00117D9A" w:rsidRPr="001C7185">
        <w:rPr>
          <w:rFonts w:asciiTheme="majorHAnsi" w:hAnsiTheme="majorHAnsi" w:cstheme="majorHAnsi"/>
        </w:rPr>
        <w:t xml:space="preserve">. </w:t>
      </w:r>
      <w:r w:rsidR="00A35C01" w:rsidRPr="001C7185">
        <w:rPr>
          <w:rFonts w:asciiTheme="majorHAnsi" w:hAnsiTheme="majorHAnsi" w:cstheme="majorHAnsi"/>
        </w:rPr>
        <w:t>Ten</w:t>
      </w:r>
      <w:r w:rsidR="00566B98" w:rsidRPr="001C7185">
        <w:rPr>
          <w:rFonts w:asciiTheme="majorHAnsi" w:hAnsiTheme="majorHAnsi" w:cstheme="majorHAnsi"/>
        </w:rPr>
        <w:t xml:space="preserve"> </w:t>
      </w:r>
      <w:r w:rsidRPr="001C7185">
        <w:rPr>
          <w:rFonts w:asciiTheme="majorHAnsi" w:hAnsiTheme="majorHAnsi" w:cstheme="majorHAnsi"/>
        </w:rPr>
        <w:t>of 1</w:t>
      </w:r>
      <w:r w:rsidR="001C7185" w:rsidRPr="0082666E">
        <w:rPr>
          <w:rFonts w:asciiTheme="majorHAnsi" w:hAnsiTheme="majorHAnsi" w:cstheme="majorHAnsi"/>
        </w:rPr>
        <w:t>069</w:t>
      </w:r>
      <w:r w:rsidRPr="001C7185">
        <w:rPr>
          <w:rFonts w:asciiTheme="majorHAnsi" w:hAnsiTheme="majorHAnsi" w:cstheme="majorHAnsi"/>
        </w:rPr>
        <w:t xml:space="preserve"> patients eligible for screening </w:t>
      </w:r>
      <w:r w:rsidR="00566B98" w:rsidRPr="001C7185">
        <w:rPr>
          <w:rFonts w:asciiTheme="majorHAnsi" w:hAnsiTheme="majorHAnsi" w:cstheme="majorHAnsi"/>
        </w:rPr>
        <w:t>(</w:t>
      </w:r>
      <w:r w:rsidR="00B6013E" w:rsidRPr="001C7185">
        <w:rPr>
          <w:rFonts w:asciiTheme="majorHAnsi" w:hAnsiTheme="majorHAnsi" w:cstheme="majorHAnsi"/>
        </w:rPr>
        <w:t>0</w:t>
      </w:r>
      <w:r w:rsidR="003958B3" w:rsidRPr="001C7185">
        <w:rPr>
          <w:rFonts w:asciiTheme="majorHAnsi" w:hAnsiTheme="majorHAnsi" w:cstheme="majorHAnsi"/>
        </w:rPr>
        <w:t>.</w:t>
      </w:r>
      <w:r w:rsidR="001C7185" w:rsidRPr="0082666E">
        <w:rPr>
          <w:rFonts w:asciiTheme="majorHAnsi" w:hAnsiTheme="majorHAnsi" w:cstheme="majorHAnsi"/>
        </w:rPr>
        <w:t>9</w:t>
      </w:r>
      <w:r w:rsidR="00566B98" w:rsidRPr="001C7185">
        <w:rPr>
          <w:rFonts w:asciiTheme="majorHAnsi" w:hAnsiTheme="majorHAnsi" w:cstheme="majorHAnsi"/>
        </w:rPr>
        <w:t xml:space="preserve">%) </w:t>
      </w:r>
      <w:r w:rsidR="004E23F8" w:rsidRPr="001C7185">
        <w:rPr>
          <w:rFonts w:asciiTheme="majorHAnsi" w:hAnsiTheme="majorHAnsi" w:cstheme="majorHAnsi"/>
        </w:rPr>
        <w:t>remained</w:t>
      </w:r>
      <w:r w:rsidR="00566B98" w:rsidRPr="001C7185">
        <w:rPr>
          <w:rFonts w:asciiTheme="majorHAnsi" w:hAnsiTheme="majorHAnsi" w:cstheme="majorHAnsi"/>
        </w:rPr>
        <w:t xml:space="preserve"> untested at the</w:t>
      </w:r>
      <w:r w:rsidR="00C6510E" w:rsidRPr="001C7185">
        <w:rPr>
          <w:rFonts w:asciiTheme="majorHAnsi" w:hAnsiTheme="majorHAnsi" w:cstheme="majorHAnsi"/>
        </w:rPr>
        <w:t xml:space="preserve"> end of follow-up</w:t>
      </w:r>
      <w:r w:rsidRPr="001C7185">
        <w:rPr>
          <w:rFonts w:asciiTheme="majorHAnsi" w:hAnsiTheme="majorHAnsi" w:cstheme="majorHAnsi"/>
        </w:rPr>
        <w:t xml:space="preserve"> and </w:t>
      </w:r>
      <w:r w:rsidR="00A35C01" w:rsidRPr="001C7185">
        <w:rPr>
          <w:rFonts w:asciiTheme="majorHAnsi" w:hAnsiTheme="majorHAnsi" w:cstheme="majorHAnsi"/>
        </w:rPr>
        <w:t>six</w:t>
      </w:r>
      <w:r w:rsidR="00566B98" w:rsidRPr="001C7185">
        <w:rPr>
          <w:rFonts w:asciiTheme="majorHAnsi" w:hAnsiTheme="majorHAnsi" w:cstheme="majorHAnsi"/>
        </w:rPr>
        <w:t xml:space="preserve"> (0</w:t>
      </w:r>
      <w:r w:rsidR="003958B3" w:rsidRPr="001C7185">
        <w:rPr>
          <w:rFonts w:asciiTheme="majorHAnsi" w:hAnsiTheme="majorHAnsi" w:cstheme="majorHAnsi"/>
        </w:rPr>
        <w:t>.</w:t>
      </w:r>
      <w:r w:rsidR="001C7185" w:rsidRPr="0082666E">
        <w:rPr>
          <w:rFonts w:asciiTheme="majorHAnsi" w:hAnsiTheme="majorHAnsi" w:cstheme="majorHAnsi"/>
        </w:rPr>
        <w:t>6</w:t>
      </w:r>
      <w:r w:rsidR="00566B98" w:rsidRPr="001C7185">
        <w:rPr>
          <w:rFonts w:asciiTheme="majorHAnsi" w:hAnsiTheme="majorHAnsi" w:cstheme="majorHAnsi"/>
        </w:rPr>
        <w:t>%) patients declined screening</w:t>
      </w:r>
      <w:r w:rsidRPr="001C7185">
        <w:rPr>
          <w:rFonts w:asciiTheme="majorHAnsi" w:hAnsiTheme="majorHAnsi" w:cstheme="majorHAnsi"/>
        </w:rPr>
        <w:t>, leaving</w:t>
      </w:r>
      <w:r w:rsidR="00566B98" w:rsidRPr="001C7185">
        <w:rPr>
          <w:rFonts w:asciiTheme="majorHAnsi" w:hAnsiTheme="majorHAnsi" w:cstheme="majorHAnsi"/>
        </w:rPr>
        <w:t xml:space="preserve"> 1</w:t>
      </w:r>
      <w:r w:rsidR="001C7185" w:rsidRPr="0082666E">
        <w:rPr>
          <w:rFonts w:asciiTheme="majorHAnsi" w:hAnsiTheme="majorHAnsi" w:cstheme="majorHAnsi"/>
        </w:rPr>
        <w:t>053</w:t>
      </w:r>
      <w:r w:rsidR="00566B98" w:rsidRPr="001C7185">
        <w:rPr>
          <w:rFonts w:asciiTheme="majorHAnsi" w:hAnsiTheme="majorHAnsi" w:cstheme="majorHAnsi"/>
        </w:rPr>
        <w:t xml:space="preserve"> </w:t>
      </w:r>
      <w:proofErr w:type="gramStart"/>
      <w:r w:rsidR="00566B98" w:rsidRPr="001C7185">
        <w:rPr>
          <w:rFonts w:asciiTheme="majorHAnsi" w:hAnsiTheme="majorHAnsi" w:cstheme="majorHAnsi"/>
        </w:rPr>
        <w:t>who</w:t>
      </w:r>
      <w:proofErr w:type="gramEnd"/>
      <w:r w:rsidR="00566B98" w:rsidRPr="001C7185">
        <w:rPr>
          <w:rFonts w:asciiTheme="majorHAnsi" w:hAnsiTheme="majorHAnsi" w:cstheme="majorHAnsi"/>
        </w:rPr>
        <w:t xml:space="preserve"> underwent LTBI screening. </w:t>
      </w:r>
    </w:p>
    <w:p w14:paraId="18C969D3" w14:textId="4320F044" w:rsidR="00922BDF" w:rsidRDefault="00972E00" w:rsidP="008C6451">
      <w:pPr>
        <w:spacing w:after="240" w:line="480" w:lineRule="auto"/>
        <w:jc w:val="both"/>
        <w:rPr>
          <w:rFonts w:asciiTheme="majorHAnsi" w:hAnsiTheme="majorHAnsi" w:cstheme="majorHAnsi"/>
        </w:rPr>
      </w:pPr>
      <w:r>
        <w:rPr>
          <w:rFonts w:asciiTheme="majorHAnsi" w:hAnsiTheme="majorHAnsi" w:cstheme="majorHAnsi"/>
        </w:rPr>
        <w:t>Table 1 shows the d</w:t>
      </w:r>
      <w:r w:rsidR="004E23F8" w:rsidRPr="00AB06D7">
        <w:rPr>
          <w:rFonts w:asciiTheme="majorHAnsi" w:hAnsiTheme="majorHAnsi" w:cstheme="majorHAnsi"/>
        </w:rPr>
        <w:t>emographic</w:t>
      </w:r>
      <w:r w:rsidR="005C50A6">
        <w:rPr>
          <w:rFonts w:asciiTheme="majorHAnsi" w:hAnsiTheme="majorHAnsi" w:cstheme="majorHAnsi"/>
        </w:rPr>
        <w:t xml:space="preserve"> and HIV and LTBI testing-related characteristic</w:t>
      </w:r>
      <w:r>
        <w:rPr>
          <w:rFonts w:asciiTheme="majorHAnsi" w:hAnsiTheme="majorHAnsi" w:cstheme="majorHAnsi"/>
        </w:rPr>
        <w:t>s of the screened population (n=1</w:t>
      </w:r>
      <w:r w:rsidR="00557B5B">
        <w:rPr>
          <w:rFonts w:asciiTheme="majorHAnsi" w:hAnsiTheme="majorHAnsi" w:cstheme="majorHAnsi"/>
        </w:rPr>
        <w:t>053</w:t>
      </w:r>
      <w:r>
        <w:rPr>
          <w:rFonts w:asciiTheme="majorHAnsi" w:hAnsiTheme="majorHAnsi" w:cstheme="majorHAnsi"/>
        </w:rPr>
        <w:t>)</w:t>
      </w:r>
      <w:r w:rsidR="004E23F8" w:rsidRPr="00AB06D7">
        <w:rPr>
          <w:rFonts w:asciiTheme="majorHAnsi" w:hAnsiTheme="majorHAnsi" w:cstheme="majorHAnsi"/>
        </w:rPr>
        <w:t xml:space="preserve">. </w:t>
      </w:r>
      <w:r w:rsidR="002F5265">
        <w:rPr>
          <w:rFonts w:asciiTheme="majorHAnsi" w:hAnsiTheme="majorHAnsi" w:cstheme="majorHAnsi"/>
        </w:rPr>
        <w:t>M</w:t>
      </w:r>
      <w:r w:rsidR="00566B98" w:rsidRPr="00AB06D7">
        <w:rPr>
          <w:rFonts w:asciiTheme="majorHAnsi" w:hAnsiTheme="majorHAnsi" w:cstheme="majorHAnsi"/>
        </w:rPr>
        <w:t>edian age at IGRA testing was 42</w:t>
      </w:r>
      <w:r w:rsidR="0052344D" w:rsidRPr="00AB06D7">
        <w:rPr>
          <w:rFonts w:asciiTheme="majorHAnsi" w:hAnsiTheme="majorHAnsi" w:cstheme="majorHAnsi"/>
        </w:rPr>
        <w:t xml:space="preserve"> years</w:t>
      </w:r>
      <w:r w:rsidR="00566B98" w:rsidRPr="00AB06D7">
        <w:rPr>
          <w:rFonts w:asciiTheme="majorHAnsi" w:hAnsiTheme="majorHAnsi" w:cstheme="majorHAnsi"/>
        </w:rPr>
        <w:t xml:space="preserve"> (IQR 36</w:t>
      </w:r>
      <w:r w:rsidR="00C6510E">
        <w:rPr>
          <w:rFonts w:asciiTheme="majorHAnsi" w:hAnsiTheme="majorHAnsi" w:cstheme="majorHAnsi"/>
        </w:rPr>
        <w:t>–</w:t>
      </w:r>
      <w:r w:rsidR="00566B98" w:rsidRPr="00AB06D7">
        <w:rPr>
          <w:rFonts w:asciiTheme="majorHAnsi" w:hAnsiTheme="majorHAnsi" w:cstheme="majorHAnsi"/>
        </w:rPr>
        <w:t>4</w:t>
      </w:r>
      <w:r w:rsidR="002A646C">
        <w:rPr>
          <w:rFonts w:asciiTheme="majorHAnsi" w:hAnsiTheme="majorHAnsi" w:cstheme="majorHAnsi"/>
        </w:rPr>
        <w:t>9</w:t>
      </w:r>
      <w:r w:rsidR="00566B98" w:rsidRPr="00AB06D7">
        <w:rPr>
          <w:rFonts w:asciiTheme="majorHAnsi" w:hAnsiTheme="majorHAnsi" w:cstheme="majorHAnsi"/>
        </w:rPr>
        <w:t xml:space="preserve">) and </w:t>
      </w:r>
      <w:r w:rsidR="00566B98" w:rsidRPr="00AB06D7">
        <w:rPr>
          <w:rFonts w:asciiTheme="majorHAnsi" w:hAnsiTheme="majorHAnsi" w:cstheme="majorHAnsi"/>
        </w:rPr>
        <w:lastRenderedPageBreak/>
        <w:t xml:space="preserve">median CD4 count was </w:t>
      </w:r>
      <w:proofErr w:type="gramStart"/>
      <w:r w:rsidR="00566B98" w:rsidRPr="00AB06D7">
        <w:rPr>
          <w:rFonts w:asciiTheme="majorHAnsi" w:hAnsiTheme="majorHAnsi" w:cstheme="majorHAnsi"/>
        </w:rPr>
        <w:t>5</w:t>
      </w:r>
      <w:r w:rsidR="002A646C">
        <w:rPr>
          <w:rFonts w:asciiTheme="majorHAnsi" w:hAnsiTheme="majorHAnsi" w:cstheme="majorHAnsi"/>
        </w:rPr>
        <w:t>3</w:t>
      </w:r>
      <w:r w:rsidR="00566B98" w:rsidRPr="00AB06D7">
        <w:rPr>
          <w:rFonts w:asciiTheme="majorHAnsi" w:hAnsiTheme="majorHAnsi" w:cstheme="majorHAnsi"/>
        </w:rPr>
        <w:t>0</w:t>
      </w:r>
      <w:r w:rsidR="0052344D" w:rsidRPr="00AB06D7">
        <w:rPr>
          <w:rFonts w:asciiTheme="majorHAnsi" w:hAnsiTheme="majorHAnsi" w:cstheme="majorHAnsi"/>
        </w:rPr>
        <w:t xml:space="preserve"> cells/mm</w:t>
      </w:r>
      <w:r w:rsidR="0052344D" w:rsidRPr="00AB06D7">
        <w:rPr>
          <w:rFonts w:asciiTheme="majorHAnsi" w:hAnsiTheme="majorHAnsi" w:cstheme="majorHAnsi"/>
          <w:vertAlign w:val="superscript"/>
        </w:rPr>
        <w:t>3</w:t>
      </w:r>
      <w:r w:rsidR="00566B98" w:rsidRPr="00AB06D7">
        <w:rPr>
          <w:rFonts w:asciiTheme="majorHAnsi" w:hAnsiTheme="majorHAnsi" w:cstheme="majorHAnsi"/>
        </w:rPr>
        <w:t xml:space="preserve"> (IQR 3</w:t>
      </w:r>
      <w:r w:rsidR="002A646C">
        <w:rPr>
          <w:rFonts w:asciiTheme="majorHAnsi" w:hAnsiTheme="majorHAnsi" w:cstheme="majorHAnsi"/>
        </w:rPr>
        <w:t>80</w:t>
      </w:r>
      <w:r w:rsidR="005601CF" w:rsidRPr="00AB06D7">
        <w:rPr>
          <w:rFonts w:asciiTheme="majorHAnsi" w:hAnsiTheme="majorHAnsi" w:cstheme="majorHAnsi"/>
        </w:rPr>
        <w:t>–</w:t>
      </w:r>
      <w:r w:rsidR="002A646C">
        <w:rPr>
          <w:rFonts w:asciiTheme="majorHAnsi" w:hAnsiTheme="majorHAnsi" w:cstheme="majorHAnsi"/>
        </w:rPr>
        <w:t>700</w:t>
      </w:r>
      <w:r w:rsidR="00566B98" w:rsidRPr="00AB06D7">
        <w:rPr>
          <w:rFonts w:asciiTheme="majorHAnsi" w:hAnsiTheme="majorHAnsi" w:cstheme="majorHAnsi"/>
        </w:rPr>
        <w:t>)</w:t>
      </w:r>
      <w:proofErr w:type="gramEnd"/>
      <w:r w:rsidR="00566B98" w:rsidRPr="00AB06D7">
        <w:rPr>
          <w:rFonts w:asciiTheme="majorHAnsi" w:hAnsiTheme="majorHAnsi" w:cstheme="majorHAnsi"/>
        </w:rPr>
        <w:t xml:space="preserve">. Only </w:t>
      </w:r>
      <w:r w:rsidR="002A646C">
        <w:rPr>
          <w:rFonts w:asciiTheme="majorHAnsi" w:hAnsiTheme="majorHAnsi" w:cstheme="majorHAnsi"/>
        </w:rPr>
        <w:t>48</w:t>
      </w:r>
      <w:r w:rsidR="00566B98" w:rsidRPr="00AB06D7">
        <w:rPr>
          <w:rFonts w:asciiTheme="majorHAnsi" w:hAnsiTheme="majorHAnsi" w:cstheme="majorHAnsi"/>
        </w:rPr>
        <w:t xml:space="preserve"> (</w:t>
      </w:r>
      <w:r w:rsidR="002A646C">
        <w:rPr>
          <w:rFonts w:asciiTheme="majorHAnsi" w:hAnsiTheme="majorHAnsi" w:cstheme="majorHAnsi"/>
        </w:rPr>
        <w:t>4.6</w:t>
      </w:r>
      <w:r w:rsidR="00566B98" w:rsidRPr="00AB06D7">
        <w:rPr>
          <w:rFonts w:asciiTheme="majorHAnsi" w:hAnsiTheme="majorHAnsi" w:cstheme="majorHAnsi"/>
        </w:rPr>
        <w:t xml:space="preserve">%) </w:t>
      </w:r>
      <w:r w:rsidR="002E0689" w:rsidRPr="00AB06D7">
        <w:rPr>
          <w:rFonts w:asciiTheme="majorHAnsi" w:hAnsiTheme="majorHAnsi" w:cstheme="majorHAnsi"/>
        </w:rPr>
        <w:t>had</w:t>
      </w:r>
      <w:r w:rsidR="00566B98" w:rsidRPr="00AB06D7">
        <w:rPr>
          <w:rFonts w:asciiTheme="majorHAnsi" w:hAnsiTheme="majorHAnsi" w:cstheme="majorHAnsi"/>
        </w:rPr>
        <w:t xml:space="preserve"> a CD4 count </w:t>
      </w:r>
      <w:r w:rsidR="002E0689" w:rsidRPr="00AB06D7">
        <w:rPr>
          <w:rFonts w:asciiTheme="majorHAnsi" w:hAnsiTheme="majorHAnsi" w:cstheme="majorHAnsi"/>
        </w:rPr>
        <w:t>&lt;</w:t>
      </w:r>
      <w:r w:rsidR="00566B98" w:rsidRPr="00AB06D7">
        <w:rPr>
          <w:rFonts w:asciiTheme="majorHAnsi" w:hAnsiTheme="majorHAnsi" w:cstheme="majorHAnsi"/>
        </w:rPr>
        <w:t>200 cells/mm</w:t>
      </w:r>
      <w:r w:rsidR="00566B98" w:rsidRPr="00AB06D7">
        <w:rPr>
          <w:rFonts w:asciiTheme="majorHAnsi" w:hAnsiTheme="majorHAnsi" w:cstheme="majorHAnsi"/>
          <w:vertAlign w:val="superscript"/>
        </w:rPr>
        <w:t>3</w:t>
      </w:r>
      <w:r w:rsidR="00566B98" w:rsidRPr="00AB06D7">
        <w:rPr>
          <w:rFonts w:asciiTheme="majorHAnsi" w:hAnsiTheme="majorHAnsi" w:cstheme="majorHAnsi"/>
        </w:rPr>
        <w:t>. The dominant ethnic group</w:t>
      </w:r>
      <w:r w:rsidR="00A56848" w:rsidRPr="00AB06D7">
        <w:rPr>
          <w:rFonts w:asciiTheme="majorHAnsi" w:hAnsiTheme="majorHAnsi" w:cstheme="majorHAnsi"/>
        </w:rPr>
        <w:t>s</w:t>
      </w:r>
      <w:r w:rsidR="00566B98" w:rsidRPr="00AB06D7">
        <w:rPr>
          <w:rFonts w:asciiTheme="majorHAnsi" w:hAnsiTheme="majorHAnsi" w:cstheme="majorHAnsi"/>
        </w:rPr>
        <w:t xml:space="preserve"> </w:t>
      </w:r>
      <w:r w:rsidR="00922BDF">
        <w:rPr>
          <w:rFonts w:asciiTheme="majorHAnsi" w:hAnsiTheme="majorHAnsi" w:cstheme="majorHAnsi"/>
        </w:rPr>
        <w:t>w</w:t>
      </w:r>
      <w:r w:rsidR="00F14FF5">
        <w:rPr>
          <w:rFonts w:asciiTheme="majorHAnsi" w:hAnsiTheme="majorHAnsi" w:cstheme="majorHAnsi"/>
        </w:rPr>
        <w:t>ere</w:t>
      </w:r>
      <w:r w:rsidR="00922BDF" w:rsidRPr="00AB06D7">
        <w:rPr>
          <w:rFonts w:asciiTheme="majorHAnsi" w:hAnsiTheme="majorHAnsi" w:cstheme="majorHAnsi"/>
        </w:rPr>
        <w:t xml:space="preserve"> </w:t>
      </w:r>
      <w:r w:rsidR="00922BDF" w:rsidRPr="00963EEE">
        <w:rPr>
          <w:rFonts w:asciiTheme="majorHAnsi" w:hAnsiTheme="majorHAnsi" w:cstheme="majorHAnsi"/>
        </w:rPr>
        <w:t xml:space="preserve">Black </w:t>
      </w:r>
      <w:r w:rsidR="00566B98" w:rsidRPr="00963EEE">
        <w:rPr>
          <w:rFonts w:asciiTheme="majorHAnsi" w:hAnsiTheme="majorHAnsi" w:cstheme="majorHAnsi"/>
        </w:rPr>
        <w:t>African</w:t>
      </w:r>
      <w:r w:rsidR="00A56848" w:rsidRPr="00963EEE">
        <w:rPr>
          <w:rFonts w:asciiTheme="majorHAnsi" w:hAnsiTheme="majorHAnsi" w:cstheme="majorHAnsi"/>
        </w:rPr>
        <w:t xml:space="preserve"> (</w:t>
      </w:r>
      <w:r w:rsidR="006448A1">
        <w:rPr>
          <w:rFonts w:asciiTheme="majorHAnsi" w:hAnsiTheme="majorHAnsi" w:cstheme="majorHAnsi"/>
        </w:rPr>
        <w:t>4</w:t>
      </w:r>
      <w:r w:rsidR="002A646C">
        <w:rPr>
          <w:rFonts w:asciiTheme="majorHAnsi" w:hAnsiTheme="majorHAnsi" w:cstheme="majorHAnsi"/>
        </w:rPr>
        <w:t>98</w:t>
      </w:r>
      <w:r w:rsidR="00A56848" w:rsidRPr="00963EEE">
        <w:rPr>
          <w:rFonts w:asciiTheme="majorHAnsi" w:hAnsiTheme="majorHAnsi" w:cstheme="majorHAnsi"/>
        </w:rPr>
        <w:t xml:space="preserve">, </w:t>
      </w:r>
      <w:r w:rsidR="00566B98" w:rsidRPr="00963EEE">
        <w:rPr>
          <w:rFonts w:asciiTheme="majorHAnsi" w:hAnsiTheme="majorHAnsi" w:cstheme="majorHAnsi"/>
        </w:rPr>
        <w:t>4</w:t>
      </w:r>
      <w:r w:rsidR="002A646C">
        <w:rPr>
          <w:rFonts w:asciiTheme="majorHAnsi" w:hAnsiTheme="majorHAnsi" w:cstheme="majorHAnsi"/>
        </w:rPr>
        <w:t>7</w:t>
      </w:r>
      <w:r w:rsidR="003958B3">
        <w:rPr>
          <w:rFonts w:asciiTheme="majorHAnsi" w:hAnsiTheme="majorHAnsi" w:cstheme="majorHAnsi"/>
        </w:rPr>
        <w:t>.</w:t>
      </w:r>
      <w:r w:rsidR="002A646C">
        <w:rPr>
          <w:rFonts w:asciiTheme="majorHAnsi" w:hAnsiTheme="majorHAnsi" w:cstheme="majorHAnsi"/>
        </w:rPr>
        <w:t>3</w:t>
      </w:r>
      <w:r w:rsidR="00566B98" w:rsidRPr="00963EEE">
        <w:rPr>
          <w:rFonts w:asciiTheme="majorHAnsi" w:hAnsiTheme="majorHAnsi" w:cstheme="majorHAnsi"/>
        </w:rPr>
        <w:t>%)</w:t>
      </w:r>
      <w:r w:rsidR="00C6510E" w:rsidRPr="00963EEE">
        <w:rPr>
          <w:rFonts w:asciiTheme="majorHAnsi" w:hAnsiTheme="majorHAnsi" w:cstheme="majorHAnsi"/>
        </w:rPr>
        <w:t xml:space="preserve"> and</w:t>
      </w:r>
      <w:r w:rsidR="00A56848" w:rsidRPr="00AB06D7">
        <w:rPr>
          <w:rFonts w:asciiTheme="majorHAnsi" w:hAnsiTheme="majorHAnsi" w:cstheme="majorHAnsi"/>
        </w:rPr>
        <w:t xml:space="preserve"> </w:t>
      </w:r>
      <w:r w:rsidR="00922BDF">
        <w:rPr>
          <w:rFonts w:asciiTheme="majorHAnsi" w:hAnsiTheme="majorHAnsi" w:cstheme="majorHAnsi"/>
        </w:rPr>
        <w:t>W</w:t>
      </w:r>
      <w:r w:rsidR="00566B98" w:rsidRPr="00AB06D7">
        <w:rPr>
          <w:rFonts w:asciiTheme="majorHAnsi" w:hAnsiTheme="majorHAnsi" w:cstheme="majorHAnsi"/>
        </w:rPr>
        <w:t>hite (</w:t>
      </w:r>
      <w:r w:rsidR="002A646C">
        <w:rPr>
          <w:rFonts w:asciiTheme="majorHAnsi" w:hAnsiTheme="majorHAnsi" w:cstheme="majorHAnsi"/>
        </w:rPr>
        <w:t>388</w:t>
      </w:r>
      <w:r w:rsidR="00566B98" w:rsidRPr="00AB06D7">
        <w:rPr>
          <w:rFonts w:asciiTheme="majorHAnsi" w:hAnsiTheme="majorHAnsi" w:cstheme="majorHAnsi"/>
        </w:rPr>
        <w:t>, 3</w:t>
      </w:r>
      <w:r w:rsidR="002A646C">
        <w:rPr>
          <w:rFonts w:asciiTheme="majorHAnsi" w:hAnsiTheme="majorHAnsi" w:cstheme="majorHAnsi"/>
        </w:rPr>
        <w:t>6</w:t>
      </w:r>
      <w:r w:rsidR="003958B3">
        <w:rPr>
          <w:rFonts w:asciiTheme="majorHAnsi" w:hAnsiTheme="majorHAnsi" w:cstheme="majorHAnsi"/>
        </w:rPr>
        <w:t>.</w:t>
      </w:r>
      <w:r w:rsidR="002A646C">
        <w:rPr>
          <w:rFonts w:asciiTheme="majorHAnsi" w:hAnsiTheme="majorHAnsi" w:cstheme="majorHAnsi"/>
        </w:rPr>
        <w:t>8</w:t>
      </w:r>
      <w:r w:rsidR="00566B98" w:rsidRPr="00AB06D7">
        <w:rPr>
          <w:rFonts w:asciiTheme="majorHAnsi" w:hAnsiTheme="majorHAnsi" w:cstheme="majorHAnsi"/>
        </w:rPr>
        <w:t>%).</w:t>
      </w:r>
      <w:r w:rsidR="0064694D">
        <w:rPr>
          <w:rFonts w:asciiTheme="majorHAnsi" w:hAnsiTheme="majorHAnsi" w:cstheme="majorHAnsi"/>
        </w:rPr>
        <w:t xml:space="preserve"> S</w:t>
      </w:r>
      <w:r w:rsidR="00E515AA">
        <w:rPr>
          <w:rFonts w:asciiTheme="majorHAnsi" w:hAnsiTheme="majorHAnsi" w:cstheme="majorHAnsi"/>
        </w:rPr>
        <w:t>ub-Saharan Africa</w:t>
      </w:r>
      <w:r w:rsidR="0064694D">
        <w:rPr>
          <w:rFonts w:asciiTheme="majorHAnsi" w:hAnsiTheme="majorHAnsi" w:cstheme="majorHAnsi"/>
        </w:rPr>
        <w:t xml:space="preserve"> and</w:t>
      </w:r>
      <w:r w:rsidR="00E515AA">
        <w:rPr>
          <w:rFonts w:asciiTheme="majorHAnsi" w:hAnsiTheme="majorHAnsi" w:cstheme="majorHAnsi"/>
        </w:rPr>
        <w:t xml:space="preserve"> Europe &amp; Central Asia</w:t>
      </w:r>
      <w:r w:rsidR="0064694D">
        <w:rPr>
          <w:rFonts w:asciiTheme="majorHAnsi" w:hAnsiTheme="majorHAnsi" w:cstheme="majorHAnsi"/>
        </w:rPr>
        <w:t xml:space="preserve"> were the most common regions of </w:t>
      </w:r>
      <w:r w:rsidR="009B0F55">
        <w:rPr>
          <w:rFonts w:asciiTheme="majorHAnsi" w:hAnsiTheme="majorHAnsi" w:cstheme="majorHAnsi"/>
        </w:rPr>
        <w:t>birth</w:t>
      </w:r>
      <w:r w:rsidR="0064694D">
        <w:rPr>
          <w:rFonts w:asciiTheme="majorHAnsi" w:hAnsiTheme="majorHAnsi" w:cstheme="majorHAnsi"/>
        </w:rPr>
        <w:t xml:space="preserve"> (5</w:t>
      </w:r>
      <w:r w:rsidR="002A646C">
        <w:rPr>
          <w:rFonts w:asciiTheme="majorHAnsi" w:hAnsiTheme="majorHAnsi" w:cstheme="majorHAnsi"/>
        </w:rPr>
        <w:t>1.1</w:t>
      </w:r>
      <w:r w:rsidR="0064694D">
        <w:rPr>
          <w:rFonts w:asciiTheme="majorHAnsi" w:hAnsiTheme="majorHAnsi" w:cstheme="majorHAnsi"/>
        </w:rPr>
        <w:t xml:space="preserve">% and </w:t>
      </w:r>
      <w:r w:rsidR="002A646C">
        <w:rPr>
          <w:rFonts w:asciiTheme="majorHAnsi" w:hAnsiTheme="majorHAnsi" w:cstheme="majorHAnsi"/>
        </w:rPr>
        <w:t>40.0</w:t>
      </w:r>
      <w:r w:rsidR="0064694D">
        <w:rPr>
          <w:rFonts w:asciiTheme="majorHAnsi" w:hAnsiTheme="majorHAnsi" w:cstheme="majorHAnsi"/>
        </w:rPr>
        <w:t>%, respectively)</w:t>
      </w:r>
      <w:r w:rsidR="00E515AA">
        <w:rPr>
          <w:rFonts w:asciiTheme="majorHAnsi" w:hAnsiTheme="majorHAnsi" w:cstheme="majorHAnsi"/>
        </w:rPr>
        <w:t>.</w:t>
      </w:r>
    </w:p>
    <w:p w14:paraId="64D3F30F" w14:textId="7CB977E0" w:rsidR="00922BDF" w:rsidRPr="00F14FF5" w:rsidRDefault="00922BDF" w:rsidP="008C6451">
      <w:pPr>
        <w:spacing w:after="240" w:line="480" w:lineRule="auto"/>
        <w:jc w:val="both"/>
        <w:rPr>
          <w:rFonts w:asciiTheme="majorHAnsi" w:hAnsiTheme="majorHAnsi" w:cstheme="majorHAnsi"/>
          <w:b/>
          <w:bCs/>
        </w:rPr>
      </w:pPr>
      <w:r w:rsidRPr="00F14FF5">
        <w:rPr>
          <w:rFonts w:asciiTheme="majorHAnsi" w:hAnsiTheme="majorHAnsi" w:cstheme="majorHAnsi"/>
          <w:b/>
          <w:bCs/>
        </w:rPr>
        <w:t>IGRA testing</w:t>
      </w:r>
      <w:r w:rsidR="00F14FF5" w:rsidRPr="00F14FF5">
        <w:rPr>
          <w:rFonts w:asciiTheme="majorHAnsi" w:hAnsiTheme="majorHAnsi" w:cstheme="majorHAnsi"/>
          <w:b/>
          <w:bCs/>
        </w:rPr>
        <w:t xml:space="preserve"> outcomes</w:t>
      </w:r>
    </w:p>
    <w:p w14:paraId="26A366C5" w14:textId="2991F879" w:rsidR="00D91782" w:rsidRDefault="00126EAE" w:rsidP="008C6451">
      <w:pPr>
        <w:spacing w:after="240" w:line="480" w:lineRule="auto"/>
        <w:jc w:val="both"/>
        <w:rPr>
          <w:rFonts w:asciiTheme="majorHAnsi" w:hAnsiTheme="majorHAnsi" w:cstheme="majorHAnsi"/>
        </w:rPr>
      </w:pPr>
      <w:r w:rsidRPr="00126EAE">
        <w:rPr>
          <w:rFonts w:asciiTheme="majorHAnsi" w:hAnsiTheme="majorHAnsi" w:cstheme="majorHAnsi"/>
        </w:rPr>
        <w:t xml:space="preserve">IGRA results were available for all participants. </w:t>
      </w:r>
      <w:r w:rsidR="002F5265">
        <w:rPr>
          <w:rFonts w:asciiTheme="majorHAnsi" w:hAnsiTheme="majorHAnsi" w:cstheme="majorHAnsi"/>
        </w:rPr>
        <w:t>Overall,</w:t>
      </w:r>
      <w:r w:rsidR="00566B98" w:rsidRPr="00AB06D7">
        <w:rPr>
          <w:rFonts w:asciiTheme="majorHAnsi" w:hAnsiTheme="majorHAnsi" w:cstheme="majorHAnsi"/>
        </w:rPr>
        <w:t xml:space="preserve"> 1</w:t>
      </w:r>
      <w:r w:rsidR="002A646C">
        <w:rPr>
          <w:rFonts w:asciiTheme="majorHAnsi" w:hAnsiTheme="majorHAnsi" w:cstheme="majorHAnsi"/>
        </w:rPr>
        <w:t>18</w:t>
      </w:r>
      <w:r w:rsidR="00566B98" w:rsidRPr="00AB06D7">
        <w:rPr>
          <w:rFonts w:asciiTheme="majorHAnsi" w:hAnsiTheme="majorHAnsi" w:cstheme="majorHAnsi"/>
        </w:rPr>
        <w:t xml:space="preserve"> (1</w:t>
      </w:r>
      <w:r w:rsidR="002A646C">
        <w:rPr>
          <w:rFonts w:asciiTheme="majorHAnsi" w:hAnsiTheme="majorHAnsi" w:cstheme="majorHAnsi"/>
        </w:rPr>
        <w:t>1</w:t>
      </w:r>
      <w:r w:rsidR="003958B3">
        <w:rPr>
          <w:rFonts w:asciiTheme="majorHAnsi" w:hAnsiTheme="majorHAnsi" w:cstheme="majorHAnsi"/>
        </w:rPr>
        <w:t>.</w:t>
      </w:r>
      <w:r w:rsidR="002A646C">
        <w:rPr>
          <w:rFonts w:asciiTheme="majorHAnsi" w:hAnsiTheme="majorHAnsi" w:cstheme="majorHAnsi"/>
        </w:rPr>
        <w:t>2</w:t>
      </w:r>
      <w:r w:rsidR="00566B98" w:rsidRPr="00AB06D7">
        <w:rPr>
          <w:rFonts w:asciiTheme="majorHAnsi" w:hAnsiTheme="majorHAnsi" w:cstheme="majorHAnsi"/>
        </w:rPr>
        <w:t>%)</w:t>
      </w:r>
      <w:r w:rsidR="00566B98" w:rsidRPr="00ED0672">
        <w:rPr>
          <w:rFonts w:asciiTheme="majorHAnsi" w:hAnsiTheme="majorHAnsi" w:cstheme="majorHAnsi"/>
        </w:rPr>
        <w:t xml:space="preserve"> PLWH </w:t>
      </w:r>
      <w:r w:rsidR="009A3A1F" w:rsidRPr="00ED0672">
        <w:rPr>
          <w:rFonts w:asciiTheme="majorHAnsi" w:hAnsiTheme="majorHAnsi" w:cstheme="majorHAnsi"/>
        </w:rPr>
        <w:t>had</w:t>
      </w:r>
      <w:r w:rsidR="00566B98" w:rsidRPr="00ED0672">
        <w:rPr>
          <w:rFonts w:asciiTheme="majorHAnsi" w:hAnsiTheme="majorHAnsi" w:cstheme="majorHAnsi"/>
        </w:rPr>
        <w:t xml:space="preserve"> a positive IGRA result (</w:t>
      </w:r>
      <w:r w:rsidR="00A83938" w:rsidRPr="00ED0672">
        <w:rPr>
          <w:rFonts w:asciiTheme="majorHAnsi" w:hAnsiTheme="majorHAnsi" w:cstheme="majorHAnsi"/>
        </w:rPr>
        <w:t>f</w:t>
      </w:r>
      <w:r w:rsidR="00566B98" w:rsidRPr="00ED0672">
        <w:rPr>
          <w:rFonts w:asciiTheme="majorHAnsi" w:hAnsiTheme="majorHAnsi" w:cstheme="majorHAnsi"/>
        </w:rPr>
        <w:t xml:space="preserve">igure 1 and </w:t>
      </w:r>
      <w:r w:rsidR="00A83938" w:rsidRPr="00ED0672">
        <w:rPr>
          <w:rFonts w:asciiTheme="majorHAnsi" w:hAnsiTheme="majorHAnsi" w:cstheme="majorHAnsi"/>
        </w:rPr>
        <w:t>t</w:t>
      </w:r>
      <w:r w:rsidR="00566B98" w:rsidRPr="00ED0672">
        <w:rPr>
          <w:rFonts w:asciiTheme="majorHAnsi" w:hAnsiTheme="majorHAnsi" w:cstheme="majorHAnsi"/>
        </w:rPr>
        <w:t>able 1)</w:t>
      </w:r>
      <w:r w:rsidR="00ED0672" w:rsidRPr="00ED0672">
        <w:rPr>
          <w:rFonts w:asciiTheme="majorHAnsi" w:hAnsiTheme="majorHAnsi" w:cstheme="majorHAnsi"/>
        </w:rPr>
        <w:t xml:space="preserve"> and two had indeterminate results (0.</w:t>
      </w:r>
      <w:r w:rsidR="002A646C">
        <w:rPr>
          <w:rFonts w:asciiTheme="majorHAnsi" w:hAnsiTheme="majorHAnsi" w:cstheme="majorHAnsi"/>
        </w:rPr>
        <w:t>2</w:t>
      </w:r>
      <w:r w:rsidR="00ED0672" w:rsidRPr="00ED0672">
        <w:rPr>
          <w:rFonts w:asciiTheme="majorHAnsi" w:hAnsiTheme="majorHAnsi" w:cstheme="majorHAnsi"/>
        </w:rPr>
        <w:t>%</w:t>
      </w:r>
      <w:r w:rsidR="00ED0672">
        <w:rPr>
          <w:rFonts w:asciiTheme="majorHAnsi" w:hAnsiTheme="majorHAnsi" w:cstheme="majorHAnsi"/>
        </w:rPr>
        <w:t xml:space="preserve">, further information in </w:t>
      </w:r>
      <w:r w:rsidR="000F0CC8">
        <w:rPr>
          <w:rFonts w:asciiTheme="majorHAnsi" w:hAnsiTheme="majorHAnsi" w:cstheme="majorHAnsi"/>
        </w:rPr>
        <w:t>table S1</w:t>
      </w:r>
      <w:r w:rsidR="00D17892">
        <w:rPr>
          <w:rFonts w:asciiTheme="majorHAnsi" w:hAnsiTheme="majorHAnsi" w:cstheme="majorHAnsi"/>
        </w:rPr>
        <w:t>, Supplementa</w:t>
      </w:r>
      <w:r w:rsidR="00744420">
        <w:rPr>
          <w:rFonts w:asciiTheme="majorHAnsi" w:hAnsiTheme="majorHAnsi" w:cstheme="majorHAnsi"/>
        </w:rPr>
        <w:t>l</w:t>
      </w:r>
      <w:r w:rsidR="00D17892">
        <w:rPr>
          <w:rFonts w:asciiTheme="majorHAnsi" w:hAnsiTheme="majorHAnsi" w:cstheme="majorHAnsi"/>
        </w:rPr>
        <w:t xml:space="preserve"> </w:t>
      </w:r>
      <w:r w:rsidR="00A13FF6">
        <w:rPr>
          <w:rFonts w:asciiTheme="majorHAnsi" w:hAnsiTheme="majorHAnsi" w:cstheme="majorHAnsi"/>
        </w:rPr>
        <w:t>Digital Content</w:t>
      </w:r>
      <w:r w:rsidR="00ED0672" w:rsidRPr="00ED0672">
        <w:rPr>
          <w:rFonts w:asciiTheme="majorHAnsi" w:hAnsiTheme="majorHAnsi" w:cstheme="majorHAnsi"/>
        </w:rPr>
        <w:t>)</w:t>
      </w:r>
      <w:r w:rsidR="00566B98" w:rsidRPr="00ED0672">
        <w:rPr>
          <w:rFonts w:asciiTheme="majorHAnsi" w:hAnsiTheme="majorHAnsi" w:cstheme="majorHAnsi"/>
        </w:rPr>
        <w:t>.</w:t>
      </w:r>
      <w:r w:rsidR="00E64643" w:rsidRPr="00ED0672">
        <w:rPr>
          <w:rFonts w:asciiTheme="majorHAnsi" w:hAnsiTheme="majorHAnsi" w:cstheme="majorHAnsi"/>
        </w:rPr>
        <w:t xml:space="preserve"> </w:t>
      </w:r>
    </w:p>
    <w:p w14:paraId="585DEACF" w14:textId="26A366AC" w:rsidR="00D91782" w:rsidRDefault="00E05FCA" w:rsidP="008C6451">
      <w:pPr>
        <w:spacing w:after="240" w:line="480" w:lineRule="auto"/>
        <w:jc w:val="both"/>
        <w:rPr>
          <w:rFonts w:asciiTheme="majorHAnsi" w:hAnsiTheme="majorHAnsi" w:cstheme="majorHAnsi"/>
        </w:rPr>
      </w:pPr>
      <w:r w:rsidRPr="00ED0672">
        <w:rPr>
          <w:rFonts w:asciiTheme="majorHAnsi" w:hAnsiTheme="majorHAnsi" w:cstheme="majorHAnsi"/>
        </w:rPr>
        <w:t xml:space="preserve">All PLWH with a positive IGRA test were diagnosed with LTBI apart from </w:t>
      </w:r>
      <w:r w:rsidRPr="00AB06D7">
        <w:rPr>
          <w:rFonts w:asciiTheme="majorHAnsi" w:hAnsiTheme="majorHAnsi" w:cstheme="majorHAnsi"/>
        </w:rPr>
        <w:t>one individual who was found to have active TB disease during clinical/radiological assessment of a positive T-SPOT</w:t>
      </w:r>
      <w:r w:rsidRPr="00ED0672">
        <w:rPr>
          <w:rFonts w:asciiTheme="majorHAnsi" w:hAnsiTheme="majorHAnsi" w:cstheme="majorHAnsi"/>
        </w:rPr>
        <w:t>®</w:t>
      </w:r>
      <w:r w:rsidRPr="00AB06D7">
        <w:rPr>
          <w:rFonts w:asciiTheme="majorHAnsi" w:hAnsiTheme="majorHAnsi" w:cstheme="majorHAnsi"/>
        </w:rPr>
        <w:t>.</w:t>
      </w:r>
      <w:r w:rsidRPr="00ED0672">
        <w:rPr>
          <w:rFonts w:asciiTheme="majorHAnsi" w:hAnsiTheme="majorHAnsi" w:cstheme="majorHAnsi"/>
        </w:rPr>
        <w:t xml:space="preserve">TB </w:t>
      </w:r>
      <w:r w:rsidRPr="00AB06D7">
        <w:rPr>
          <w:rFonts w:asciiTheme="majorHAnsi" w:hAnsiTheme="majorHAnsi" w:cstheme="majorHAnsi"/>
        </w:rPr>
        <w:t xml:space="preserve">test, performed at a CD4 count </w:t>
      </w:r>
      <w:proofErr w:type="gramStart"/>
      <w:r w:rsidRPr="00AB06D7">
        <w:rPr>
          <w:rFonts w:asciiTheme="majorHAnsi" w:hAnsiTheme="majorHAnsi" w:cstheme="majorHAnsi"/>
        </w:rPr>
        <w:t>of 340 cells/mm</w:t>
      </w:r>
      <w:r w:rsidRPr="00C872DA">
        <w:rPr>
          <w:rFonts w:asciiTheme="majorHAnsi" w:hAnsiTheme="majorHAnsi" w:cstheme="majorHAnsi"/>
          <w:vertAlign w:val="superscript"/>
        </w:rPr>
        <w:t>3</w:t>
      </w:r>
      <w:proofErr w:type="gramEnd"/>
      <w:r w:rsidRPr="00AB06D7">
        <w:rPr>
          <w:rFonts w:asciiTheme="majorHAnsi" w:hAnsiTheme="majorHAnsi" w:cstheme="majorHAnsi"/>
        </w:rPr>
        <w:t xml:space="preserve"> but with a detectable HIV viral load of 182 copies/ml. </w:t>
      </w:r>
    </w:p>
    <w:p w14:paraId="0E6C356F" w14:textId="22442096" w:rsidR="009F2D6A" w:rsidRPr="00AB06D7" w:rsidRDefault="009F2D6A" w:rsidP="008C6451">
      <w:pPr>
        <w:spacing w:after="240" w:line="480" w:lineRule="auto"/>
        <w:jc w:val="both"/>
        <w:rPr>
          <w:rFonts w:asciiTheme="majorHAnsi" w:hAnsiTheme="majorHAnsi" w:cstheme="majorHAnsi"/>
        </w:rPr>
      </w:pPr>
      <w:r w:rsidRPr="00AB06D7">
        <w:rPr>
          <w:rFonts w:asciiTheme="majorHAnsi" w:hAnsiTheme="majorHAnsi" w:cstheme="majorHAnsi"/>
        </w:rPr>
        <w:t>Of the 1</w:t>
      </w:r>
      <w:r w:rsidR="002A646C">
        <w:rPr>
          <w:rFonts w:asciiTheme="majorHAnsi" w:hAnsiTheme="majorHAnsi" w:cstheme="majorHAnsi"/>
        </w:rPr>
        <w:t>17</w:t>
      </w:r>
      <w:r w:rsidRPr="00AB06D7">
        <w:rPr>
          <w:rFonts w:asciiTheme="majorHAnsi" w:hAnsiTheme="majorHAnsi" w:cstheme="majorHAnsi"/>
        </w:rPr>
        <w:t xml:space="preserve"> PLWH diagnosed with LTBI, 1</w:t>
      </w:r>
      <w:r w:rsidR="002A646C">
        <w:rPr>
          <w:rFonts w:asciiTheme="majorHAnsi" w:hAnsiTheme="majorHAnsi" w:cstheme="majorHAnsi"/>
        </w:rPr>
        <w:t>00</w:t>
      </w:r>
      <w:r w:rsidRPr="00AB06D7">
        <w:rPr>
          <w:rFonts w:asciiTheme="majorHAnsi" w:hAnsiTheme="majorHAnsi" w:cstheme="majorHAnsi"/>
        </w:rPr>
        <w:t xml:space="preserve"> (8</w:t>
      </w:r>
      <w:r w:rsidR="00A35C01">
        <w:rPr>
          <w:rFonts w:asciiTheme="majorHAnsi" w:hAnsiTheme="majorHAnsi" w:cstheme="majorHAnsi"/>
        </w:rPr>
        <w:t>5</w:t>
      </w:r>
      <w:r w:rsidR="003958B3">
        <w:rPr>
          <w:rFonts w:asciiTheme="majorHAnsi" w:hAnsiTheme="majorHAnsi" w:cstheme="majorHAnsi"/>
        </w:rPr>
        <w:t>.</w:t>
      </w:r>
      <w:r w:rsidR="002A646C">
        <w:rPr>
          <w:rFonts w:asciiTheme="majorHAnsi" w:hAnsiTheme="majorHAnsi" w:cstheme="majorHAnsi"/>
        </w:rPr>
        <w:t>5</w:t>
      </w:r>
      <w:r w:rsidRPr="00AB06D7">
        <w:rPr>
          <w:rFonts w:asciiTheme="majorHAnsi" w:hAnsiTheme="majorHAnsi" w:cstheme="majorHAnsi"/>
        </w:rPr>
        <w:t>%) commenced LTBI chemoprophylaxis</w:t>
      </w:r>
      <w:r>
        <w:rPr>
          <w:rFonts w:asciiTheme="majorHAnsi" w:hAnsiTheme="majorHAnsi" w:cstheme="majorHAnsi"/>
        </w:rPr>
        <w:t xml:space="preserve"> (figure 1)</w:t>
      </w:r>
      <w:r w:rsidRPr="00AB06D7">
        <w:rPr>
          <w:rFonts w:asciiTheme="majorHAnsi" w:hAnsiTheme="majorHAnsi" w:cstheme="majorHAnsi"/>
        </w:rPr>
        <w:t xml:space="preserve">. </w:t>
      </w:r>
      <w:r w:rsidR="00F10C5C">
        <w:rPr>
          <w:rFonts w:asciiTheme="majorHAnsi" w:hAnsiTheme="majorHAnsi" w:cstheme="majorHAnsi"/>
        </w:rPr>
        <w:t>9</w:t>
      </w:r>
      <w:r w:rsidRPr="00AB06D7">
        <w:rPr>
          <w:rFonts w:asciiTheme="majorHAnsi" w:hAnsiTheme="majorHAnsi" w:cstheme="majorHAnsi"/>
        </w:rPr>
        <w:t>/1</w:t>
      </w:r>
      <w:r w:rsidR="00F10C5C">
        <w:rPr>
          <w:rFonts w:asciiTheme="majorHAnsi" w:hAnsiTheme="majorHAnsi" w:cstheme="majorHAnsi"/>
        </w:rPr>
        <w:t>17</w:t>
      </w:r>
      <w:r w:rsidRPr="00AB06D7">
        <w:rPr>
          <w:rFonts w:asciiTheme="majorHAnsi" w:hAnsiTheme="majorHAnsi" w:cstheme="majorHAnsi"/>
        </w:rPr>
        <w:t xml:space="preserve"> (</w:t>
      </w:r>
      <w:r w:rsidR="00A274B8">
        <w:rPr>
          <w:rFonts w:asciiTheme="majorHAnsi" w:hAnsiTheme="majorHAnsi" w:cstheme="majorHAnsi"/>
        </w:rPr>
        <w:t>7.</w:t>
      </w:r>
      <w:r w:rsidR="00F10C5C">
        <w:rPr>
          <w:rFonts w:asciiTheme="majorHAnsi" w:hAnsiTheme="majorHAnsi" w:cstheme="majorHAnsi"/>
        </w:rPr>
        <w:t>7</w:t>
      </w:r>
      <w:r w:rsidRPr="00AB06D7">
        <w:rPr>
          <w:rFonts w:asciiTheme="majorHAnsi" w:hAnsiTheme="majorHAnsi" w:cstheme="majorHAnsi"/>
        </w:rPr>
        <w:t>%) declined; treatment was not advised by the treating physician in 2/1</w:t>
      </w:r>
      <w:r w:rsidR="00F10C5C">
        <w:rPr>
          <w:rFonts w:asciiTheme="majorHAnsi" w:hAnsiTheme="majorHAnsi" w:cstheme="majorHAnsi"/>
        </w:rPr>
        <w:t>17</w:t>
      </w:r>
      <w:r w:rsidRPr="00AB06D7">
        <w:rPr>
          <w:rFonts w:asciiTheme="majorHAnsi" w:hAnsiTheme="majorHAnsi" w:cstheme="majorHAnsi"/>
        </w:rPr>
        <w:t xml:space="preserve"> (1</w:t>
      </w:r>
      <w:r w:rsidR="003958B3">
        <w:rPr>
          <w:rFonts w:asciiTheme="majorHAnsi" w:hAnsiTheme="majorHAnsi" w:cstheme="majorHAnsi"/>
        </w:rPr>
        <w:t>.</w:t>
      </w:r>
      <w:r w:rsidR="00F10C5C">
        <w:rPr>
          <w:rFonts w:asciiTheme="majorHAnsi" w:hAnsiTheme="majorHAnsi" w:cstheme="majorHAnsi"/>
        </w:rPr>
        <w:t>7</w:t>
      </w:r>
      <w:r w:rsidRPr="00AB06D7">
        <w:rPr>
          <w:rFonts w:asciiTheme="majorHAnsi" w:hAnsiTheme="majorHAnsi" w:cstheme="majorHAnsi"/>
        </w:rPr>
        <w:t xml:space="preserve">%) cases; and </w:t>
      </w:r>
      <w:r w:rsidR="00F10C5C">
        <w:rPr>
          <w:rFonts w:asciiTheme="majorHAnsi" w:hAnsiTheme="majorHAnsi" w:cstheme="majorHAnsi"/>
        </w:rPr>
        <w:t>4</w:t>
      </w:r>
      <w:r w:rsidRPr="00AB06D7">
        <w:rPr>
          <w:rFonts w:asciiTheme="majorHAnsi" w:hAnsiTheme="majorHAnsi" w:cstheme="majorHAnsi"/>
        </w:rPr>
        <w:t>/1</w:t>
      </w:r>
      <w:r w:rsidR="00F10C5C">
        <w:rPr>
          <w:rFonts w:asciiTheme="majorHAnsi" w:hAnsiTheme="majorHAnsi" w:cstheme="majorHAnsi"/>
        </w:rPr>
        <w:t>17</w:t>
      </w:r>
      <w:r w:rsidRPr="00AB06D7">
        <w:rPr>
          <w:rFonts w:asciiTheme="majorHAnsi" w:hAnsiTheme="majorHAnsi" w:cstheme="majorHAnsi"/>
        </w:rPr>
        <w:t xml:space="preserve"> (</w:t>
      </w:r>
      <w:r w:rsidR="00A8277E">
        <w:rPr>
          <w:rFonts w:asciiTheme="majorHAnsi" w:hAnsiTheme="majorHAnsi" w:cstheme="majorHAnsi"/>
        </w:rPr>
        <w:t>3</w:t>
      </w:r>
      <w:r w:rsidR="003958B3">
        <w:rPr>
          <w:rFonts w:asciiTheme="majorHAnsi" w:hAnsiTheme="majorHAnsi" w:cstheme="majorHAnsi"/>
        </w:rPr>
        <w:t>.</w:t>
      </w:r>
      <w:r w:rsidR="00F10C5C">
        <w:rPr>
          <w:rFonts w:asciiTheme="majorHAnsi" w:hAnsiTheme="majorHAnsi" w:cstheme="majorHAnsi"/>
        </w:rPr>
        <w:t>4</w:t>
      </w:r>
      <w:r w:rsidRPr="00AB06D7">
        <w:rPr>
          <w:rFonts w:asciiTheme="majorHAnsi" w:hAnsiTheme="majorHAnsi" w:cstheme="majorHAnsi"/>
        </w:rPr>
        <w:t xml:space="preserve">%) moved away before chemoprophylaxis could be given. </w:t>
      </w:r>
      <w:r w:rsidR="00A8277E">
        <w:rPr>
          <w:rFonts w:asciiTheme="majorHAnsi" w:hAnsiTheme="majorHAnsi" w:cstheme="majorHAnsi"/>
        </w:rPr>
        <w:t>T</w:t>
      </w:r>
      <w:r w:rsidR="00FF4CB7">
        <w:rPr>
          <w:rFonts w:asciiTheme="majorHAnsi" w:hAnsiTheme="majorHAnsi" w:cstheme="majorHAnsi"/>
        </w:rPr>
        <w:t xml:space="preserve">reatment is pending in </w:t>
      </w:r>
      <w:r w:rsidR="00F10C5C">
        <w:rPr>
          <w:rFonts w:asciiTheme="majorHAnsi" w:hAnsiTheme="majorHAnsi" w:cstheme="majorHAnsi"/>
        </w:rPr>
        <w:t>2</w:t>
      </w:r>
      <w:r w:rsidR="00A8277E">
        <w:rPr>
          <w:rFonts w:asciiTheme="majorHAnsi" w:hAnsiTheme="majorHAnsi" w:cstheme="majorHAnsi"/>
        </w:rPr>
        <w:t>/1</w:t>
      </w:r>
      <w:r w:rsidR="00F10C5C">
        <w:rPr>
          <w:rFonts w:asciiTheme="majorHAnsi" w:hAnsiTheme="majorHAnsi" w:cstheme="majorHAnsi"/>
        </w:rPr>
        <w:t>17</w:t>
      </w:r>
      <w:r w:rsidR="00A8277E">
        <w:rPr>
          <w:rFonts w:asciiTheme="majorHAnsi" w:hAnsiTheme="majorHAnsi" w:cstheme="majorHAnsi"/>
        </w:rPr>
        <w:t xml:space="preserve"> (</w:t>
      </w:r>
      <w:r w:rsidR="00F10C5C">
        <w:rPr>
          <w:rFonts w:asciiTheme="majorHAnsi" w:hAnsiTheme="majorHAnsi" w:cstheme="majorHAnsi"/>
        </w:rPr>
        <w:t>1.7</w:t>
      </w:r>
      <w:r w:rsidR="00A8277E">
        <w:rPr>
          <w:rFonts w:asciiTheme="majorHAnsi" w:hAnsiTheme="majorHAnsi" w:cstheme="majorHAnsi"/>
        </w:rPr>
        <w:t xml:space="preserve">%) cases. </w:t>
      </w:r>
      <w:r w:rsidR="009F179F">
        <w:rPr>
          <w:rFonts w:asciiTheme="majorHAnsi" w:hAnsiTheme="majorHAnsi" w:cstheme="majorHAnsi"/>
        </w:rPr>
        <w:t>R</w:t>
      </w:r>
      <w:r w:rsidR="009F179F" w:rsidRPr="00AB06D7">
        <w:rPr>
          <w:rFonts w:asciiTheme="majorHAnsi" w:hAnsiTheme="majorHAnsi" w:cstheme="majorHAnsi"/>
        </w:rPr>
        <w:t xml:space="preserve">easons behind declination </w:t>
      </w:r>
      <w:r w:rsidR="009F179F">
        <w:rPr>
          <w:rFonts w:asciiTheme="majorHAnsi" w:hAnsiTheme="majorHAnsi" w:cstheme="majorHAnsi"/>
        </w:rPr>
        <w:t>we</w:t>
      </w:r>
      <w:r w:rsidR="009F179F" w:rsidRPr="00AB06D7">
        <w:rPr>
          <w:rFonts w:asciiTheme="majorHAnsi" w:hAnsiTheme="majorHAnsi" w:cstheme="majorHAnsi"/>
        </w:rPr>
        <w:t>re not well documented in patient notes</w:t>
      </w:r>
      <w:r w:rsidR="009F179F">
        <w:rPr>
          <w:rFonts w:asciiTheme="majorHAnsi" w:hAnsiTheme="majorHAnsi" w:cstheme="majorHAnsi"/>
        </w:rPr>
        <w:t xml:space="preserve">. </w:t>
      </w:r>
      <w:r w:rsidR="00F10C5C">
        <w:rPr>
          <w:rFonts w:asciiTheme="majorHAnsi" w:hAnsiTheme="majorHAnsi" w:cstheme="majorHAnsi"/>
        </w:rPr>
        <w:t>98</w:t>
      </w:r>
      <w:r w:rsidRPr="00AB06D7">
        <w:rPr>
          <w:rFonts w:asciiTheme="majorHAnsi" w:hAnsiTheme="majorHAnsi" w:cstheme="majorHAnsi"/>
        </w:rPr>
        <w:t>/1</w:t>
      </w:r>
      <w:r w:rsidR="00F10C5C">
        <w:rPr>
          <w:rFonts w:asciiTheme="majorHAnsi" w:hAnsiTheme="majorHAnsi" w:cstheme="majorHAnsi"/>
        </w:rPr>
        <w:t>00</w:t>
      </w:r>
      <w:r w:rsidRPr="00AB06D7">
        <w:rPr>
          <w:rFonts w:asciiTheme="majorHAnsi" w:hAnsiTheme="majorHAnsi" w:cstheme="majorHAnsi"/>
        </w:rPr>
        <w:t xml:space="preserve"> (9</w:t>
      </w:r>
      <w:r w:rsidR="00F10C5C">
        <w:rPr>
          <w:rFonts w:asciiTheme="majorHAnsi" w:hAnsiTheme="majorHAnsi" w:cstheme="majorHAnsi"/>
        </w:rPr>
        <w:t>8</w:t>
      </w:r>
      <w:r w:rsidRPr="00AB06D7">
        <w:rPr>
          <w:rFonts w:asciiTheme="majorHAnsi" w:hAnsiTheme="majorHAnsi" w:cstheme="majorHAnsi"/>
        </w:rPr>
        <w:t>%) of those initiating chemoprophylaxis had isoniazid mono</w:t>
      </w:r>
      <w:r>
        <w:rPr>
          <w:rFonts w:asciiTheme="majorHAnsi" w:hAnsiTheme="majorHAnsi" w:cstheme="majorHAnsi"/>
        </w:rPr>
        <w:t>t</w:t>
      </w:r>
      <w:r w:rsidRPr="00AB06D7">
        <w:rPr>
          <w:rFonts w:asciiTheme="majorHAnsi" w:hAnsiTheme="majorHAnsi" w:cstheme="majorHAnsi"/>
        </w:rPr>
        <w:t xml:space="preserve">herapy; the remaining </w:t>
      </w:r>
      <w:r w:rsidR="00F11F07">
        <w:rPr>
          <w:rFonts w:asciiTheme="majorHAnsi" w:hAnsiTheme="majorHAnsi" w:cstheme="majorHAnsi"/>
        </w:rPr>
        <w:t>2</w:t>
      </w:r>
      <w:r w:rsidRPr="00AB06D7">
        <w:rPr>
          <w:rFonts w:asciiTheme="majorHAnsi" w:hAnsiTheme="majorHAnsi" w:cstheme="majorHAnsi"/>
        </w:rPr>
        <w:t xml:space="preserve"> (</w:t>
      </w:r>
      <w:r w:rsidR="00F10C5C">
        <w:rPr>
          <w:rFonts w:asciiTheme="majorHAnsi" w:hAnsiTheme="majorHAnsi" w:cstheme="majorHAnsi"/>
        </w:rPr>
        <w:t>2</w:t>
      </w:r>
      <w:r w:rsidRPr="00AB06D7">
        <w:rPr>
          <w:rFonts w:asciiTheme="majorHAnsi" w:hAnsiTheme="majorHAnsi" w:cstheme="majorHAnsi"/>
        </w:rPr>
        <w:t xml:space="preserve">%) had combined rifampicin/isoniazid. </w:t>
      </w:r>
    </w:p>
    <w:p w14:paraId="65A68FFA" w14:textId="600C3D4F" w:rsidR="00922BDF" w:rsidRDefault="009F2D6A" w:rsidP="008C6451">
      <w:pPr>
        <w:spacing w:after="240" w:line="480" w:lineRule="auto"/>
        <w:jc w:val="both"/>
        <w:rPr>
          <w:rFonts w:asciiTheme="majorHAnsi" w:hAnsiTheme="majorHAnsi" w:cstheme="majorHAnsi"/>
        </w:rPr>
      </w:pPr>
      <w:r w:rsidRPr="00AB06D7">
        <w:rPr>
          <w:rFonts w:asciiTheme="majorHAnsi" w:hAnsiTheme="majorHAnsi" w:cstheme="majorHAnsi"/>
        </w:rPr>
        <w:t>Of the 1</w:t>
      </w:r>
      <w:r w:rsidR="00F10C5C">
        <w:rPr>
          <w:rFonts w:asciiTheme="majorHAnsi" w:hAnsiTheme="majorHAnsi" w:cstheme="majorHAnsi"/>
        </w:rPr>
        <w:t>00</w:t>
      </w:r>
      <w:r w:rsidRPr="00AB06D7">
        <w:rPr>
          <w:rFonts w:asciiTheme="majorHAnsi" w:hAnsiTheme="majorHAnsi" w:cstheme="majorHAnsi"/>
        </w:rPr>
        <w:t xml:space="preserve"> patients commencing chemoprophylaxis, </w:t>
      </w:r>
      <w:r w:rsidR="00F10C5C">
        <w:rPr>
          <w:rFonts w:asciiTheme="majorHAnsi" w:hAnsiTheme="majorHAnsi" w:cstheme="majorHAnsi"/>
        </w:rPr>
        <w:t>9</w:t>
      </w:r>
      <w:r w:rsidR="00F11F07">
        <w:rPr>
          <w:rFonts w:asciiTheme="majorHAnsi" w:hAnsiTheme="majorHAnsi" w:cstheme="majorHAnsi"/>
        </w:rPr>
        <w:t>6</w:t>
      </w:r>
      <w:r w:rsidRPr="00AB06D7">
        <w:rPr>
          <w:rFonts w:asciiTheme="majorHAnsi" w:hAnsiTheme="majorHAnsi" w:cstheme="majorHAnsi"/>
        </w:rPr>
        <w:t xml:space="preserve"> (9</w:t>
      </w:r>
      <w:r w:rsidR="00F10C5C">
        <w:rPr>
          <w:rFonts w:asciiTheme="majorHAnsi" w:hAnsiTheme="majorHAnsi" w:cstheme="majorHAnsi"/>
        </w:rPr>
        <w:t>6</w:t>
      </w:r>
      <w:r w:rsidRPr="00AB06D7">
        <w:rPr>
          <w:rFonts w:asciiTheme="majorHAnsi" w:hAnsiTheme="majorHAnsi" w:cstheme="majorHAnsi"/>
        </w:rPr>
        <w:t>%) completed treatment</w:t>
      </w:r>
      <w:r w:rsidR="00DA388D">
        <w:rPr>
          <w:rFonts w:asciiTheme="majorHAnsi" w:hAnsiTheme="majorHAnsi" w:cstheme="majorHAnsi"/>
        </w:rPr>
        <w:t xml:space="preserve"> to the satisfaction of the treating physician</w:t>
      </w:r>
      <w:r w:rsidRPr="00AB06D7">
        <w:rPr>
          <w:rFonts w:asciiTheme="majorHAnsi" w:hAnsiTheme="majorHAnsi" w:cstheme="majorHAnsi"/>
        </w:rPr>
        <w:t>. One individual moved away and it was unclear whether chemoprophylaxis</w:t>
      </w:r>
      <w:r w:rsidR="00F10FF4">
        <w:rPr>
          <w:rFonts w:asciiTheme="majorHAnsi" w:hAnsiTheme="majorHAnsi" w:cstheme="majorHAnsi"/>
        </w:rPr>
        <w:t xml:space="preserve"> had been completed</w:t>
      </w:r>
      <w:r w:rsidRPr="00AB06D7">
        <w:rPr>
          <w:rFonts w:asciiTheme="majorHAnsi" w:hAnsiTheme="majorHAnsi" w:cstheme="majorHAnsi"/>
        </w:rPr>
        <w:t xml:space="preserve">, and one defaulted from treatment. Only </w:t>
      </w:r>
      <w:r w:rsidR="00F10C5C">
        <w:rPr>
          <w:rFonts w:asciiTheme="majorHAnsi" w:hAnsiTheme="majorHAnsi" w:cstheme="majorHAnsi"/>
        </w:rPr>
        <w:t>2</w:t>
      </w:r>
      <w:r w:rsidRPr="00AB06D7">
        <w:rPr>
          <w:rFonts w:asciiTheme="majorHAnsi" w:hAnsiTheme="majorHAnsi" w:cstheme="majorHAnsi"/>
        </w:rPr>
        <w:t>/1</w:t>
      </w:r>
      <w:r w:rsidR="00F10C5C">
        <w:rPr>
          <w:rFonts w:asciiTheme="majorHAnsi" w:hAnsiTheme="majorHAnsi" w:cstheme="majorHAnsi"/>
        </w:rPr>
        <w:t>00</w:t>
      </w:r>
      <w:r w:rsidRPr="00AB06D7">
        <w:rPr>
          <w:rFonts w:asciiTheme="majorHAnsi" w:hAnsiTheme="majorHAnsi" w:cstheme="majorHAnsi"/>
        </w:rPr>
        <w:t xml:space="preserve"> (2%) had to stop treatment prematurely due to adverse drug effects</w:t>
      </w:r>
      <w:r w:rsidR="009F179F">
        <w:rPr>
          <w:rFonts w:asciiTheme="majorHAnsi" w:hAnsiTheme="majorHAnsi" w:cstheme="majorHAnsi"/>
        </w:rPr>
        <w:t>.</w:t>
      </w:r>
    </w:p>
    <w:p w14:paraId="5711A1BB" w14:textId="4E372616" w:rsidR="00922BDF" w:rsidRPr="00F14FF5" w:rsidRDefault="00922BDF" w:rsidP="008C6451">
      <w:pPr>
        <w:spacing w:after="240" w:line="480" w:lineRule="auto"/>
        <w:jc w:val="both"/>
        <w:rPr>
          <w:rFonts w:asciiTheme="majorHAnsi" w:hAnsiTheme="majorHAnsi" w:cstheme="majorHAnsi"/>
          <w:b/>
          <w:bCs/>
        </w:rPr>
      </w:pPr>
      <w:r w:rsidRPr="00F14FF5">
        <w:rPr>
          <w:rFonts w:asciiTheme="majorHAnsi" w:hAnsiTheme="majorHAnsi" w:cstheme="majorHAnsi"/>
          <w:b/>
          <w:bCs/>
        </w:rPr>
        <w:lastRenderedPageBreak/>
        <w:t>Factors associated with IGRA</w:t>
      </w:r>
      <w:r w:rsidR="00F14FF5" w:rsidRPr="00F14FF5">
        <w:rPr>
          <w:rFonts w:asciiTheme="majorHAnsi" w:hAnsiTheme="majorHAnsi" w:cstheme="majorHAnsi"/>
          <w:b/>
          <w:bCs/>
        </w:rPr>
        <w:t xml:space="preserve">-positivity and </w:t>
      </w:r>
      <w:r w:rsidRPr="00F14FF5">
        <w:rPr>
          <w:rFonts w:asciiTheme="majorHAnsi" w:hAnsiTheme="majorHAnsi" w:cstheme="majorHAnsi"/>
          <w:b/>
          <w:bCs/>
        </w:rPr>
        <w:t>LTBI</w:t>
      </w:r>
    </w:p>
    <w:p w14:paraId="30764D75" w14:textId="552C172E" w:rsidR="00566B98" w:rsidRPr="007D01C4" w:rsidRDefault="00126EAE" w:rsidP="008C6451">
      <w:pPr>
        <w:spacing w:after="240" w:line="480" w:lineRule="auto"/>
        <w:jc w:val="both"/>
        <w:rPr>
          <w:rFonts w:asciiTheme="majorHAnsi" w:hAnsiTheme="majorHAnsi" w:cstheme="majorHAnsi"/>
        </w:rPr>
      </w:pPr>
      <w:r w:rsidRPr="008D72FD">
        <w:rPr>
          <w:rFonts w:asciiTheme="majorHAnsi" w:hAnsiTheme="majorHAnsi" w:cstheme="majorHAnsi"/>
          <w:color w:val="000000" w:themeColor="text1"/>
        </w:rPr>
        <w:t>N</w:t>
      </w:r>
      <w:r w:rsidR="00566B98" w:rsidRPr="008D72FD">
        <w:rPr>
          <w:rFonts w:asciiTheme="majorHAnsi" w:hAnsiTheme="majorHAnsi" w:cstheme="majorHAnsi"/>
          <w:color w:val="000000" w:themeColor="text1"/>
        </w:rPr>
        <w:t>on-UK born individuals</w:t>
      </w:r>
      <w:r w:rsidR="009A3A1F" w:rsidRPr="008D72FD">
        <w:rPr>
          <w:rFonts w:asciiTheme="majorHAnsi" w:hAnsiTheme="majorHAnsi" w:cstheme="majorHAnsi"/>
          <w:color w:val="000000" w:themeColor="text1"/>
        </w:rPr>
        <w:t xml:space="preserve"> </w:t>
      </w:r>
      <w:r w:rsidR="00566B98" w:rsidRPr="008D72FD">
        <w:rPr>
          <w:rFonts w:asciiTheme="majorHAnsi" w:hAnsiTheme="majorHAnsi" w:cstheme="majorHAnsi"/>
          <w:color w:val="000000" w:themeColor="text1"/>
        </w:rPr>
        <w:t>were</w:t>
      </w:r>
      <w:r w:rsidR="009A3A1F" w:rsidRPr="008D72FD">
        <w:rPr>
          <w:rFonts w:asciiTheme="majorHAnsi" w:hAnsiTheme="majorHAnsi" w:cstheme="majorHAnsi"/>
          <w:color w:val="000000" w:themeColor="text1"/>
        </w:rPr>
        <w:t xml:space="preserve"> significantly more likely than UK-born individuals to be IGRA </w:t>
      </w:r>
      <w:r w:rsidR="00566B98" w:rsidRPr="008D72FD">
        <w:rPr>
          <w:rFonts w:asciiTheme="majorHAnsi" w:hAnsiTheme="majorHAnsi" w:cstheme="majorHAnsi"/>
          <w:color w:val="000000" w:themeColor="text1"/>
        </w:rPr>
        <w:t>positive</w:t>
      </w:r>
      <w:r w:rsidR="004470B9" w:rsidRPr="008D72FD">
        <w:rPr>
          <w:rFonts w:asciiTheme="majorHAnsi" w:hAnsiTheme="majorHAnsi" w:cstheme="majorHAnsi"/>
          <w:color w:val="000000" w:themeColor="text1"/>
        </w:rPr>
        <w:t xml:space="preserve"> </w:t>
      </w:r>
      <w:r w:rsidR="00566B98" w:rsidRPr="008D72FD">
        <w:rPr>
          <w:rFonts w:asciiTheme="majorHAnsi" w:hAnsiTheme="majorHAnsi" w:cstheme="majorHAnsi"/>
          <w:color w:val="000000" w:themeColor="text1"/>
        </w:rPr>
        <w:t>(</w:t>
      </w:r>
      <w:r w:rsidRPr="008D72FD">
        <w:rPr>
          <w:rFonts w:asciiTheme="majorHAnsi" w:hAnsiTheme="majorHAnsi" w:cstheme="majorHAnsi"/>
          <w:color w:val="000000" w:themeColor="text1"/>
        </w:rPr>
        <w:t>1</w:t>
      </w:r>
      <w:r w:rsidR="006448A1" w:rsidRPr="0082666E">
        <w:rPr>
          <w:rFonts w:asciiTheme="majorHAnsi" w:hAnsiTheme="majorHAnsi" w:cstheme="majorHAnsi"/>
          <w:color w:val="000000" w:themeColor="text1"/>
        </w:rPr>
        <w:t>5</w:t>
      </w:r>
      <w:r w:rsidR="003958B3" w:rsidRPr="008D72FD">
        <w:rPr>
          <w:rFonts w:asciiTheme="majorHAnsi" w:hAnsiTheme="majorHAnsi" w:cstheme="majorHAnsi"/>
        </w:rPr>
        <w:t>.</w:t>
      </w:r>
      <w:r w:rsidR="006448A1" w:rsidRPr="0082666E">
        <w:rPr>
          <w:rFonts w:asciiTheme="majorHAnsi" w:hAnsiTheme="majorHAnsi" w:cstheme="majorHAnsi"/>
        </w:rPr>
        <w:t>6</w:t>
      </w:r>
      <w:r w:rsidRPr="008D72FD">
        <w:rPr>
          <w:rFonts w:asciiTheme="majorHAnsi" w:hAnsiTheme="majorHAnsi" w:cstheme="majorHAnsi"/>
          <w:color w:val="000000" w:themeColor="text1"/>
        </w:rPr>
        <w:t xml:space="preserve">% versus </w:t>
      </w:r>
      <w:r w:rsidR="005D59F7" w:rsidRPr="008D72FD">
        <w:rPr>
          <w:rFonts w:asciiTheme="majorHAnsi" w:hAnsiTheme="majorHAnsi" w:cstheme="majorHAnsi"/>
          <w:color w:val="000000" w:themeColor="text1"/>
        </w:rPr>
        <w:t>2</w:t>
      </w:r>
      <w:r w:rsidR="003958B3" w:rsidRPr="008D72FD">
        <w:rPr>
          <w:rFonts w:asciiTheme="majorHAnsi" w:hAnsiTheme="majorHAnsi" w:cstheme="majorHAnsi"/>
        </w:rPr>
        <w:t>.</w:t>
      </w:r>
      <w:r w:rsidR="006448A1" w:rsidRPr="0082666E">
        <w:rPr>
          <w:rFonts w:asciiTheme="majorHAnsi" w:hAnsiTheme="majorHAnsi" w:cstheme="majorHAnsi"/>
        </w:rPr>
        <w:t>8</w:t>
      </w:r>
      <w:r w:rsidRPr="008D72FD">
        <w:rPr>
          <w:rFonts w:asciiTheme="majorHAnsi" w:hAnsiTheme="majorHAnsi" w:cstheme="majorHAnsi"/>
          <w:color w:val="000000" w:themeColor="text1"/>
        </w:rPr>
        <w:t xml:space="preserve">%, </w:t>
      </w:r>
      <w:r w:rsidR="00566B98" w:rsidRPr="008D72FD">
        <w:rPr>
          <w:rFonts w:asciiTheme="majorHAnsi" w:hAnsiTheme="majorHAnsi" w:cstheme="majorHAnsi"/>
          <w:color w:val="000000" w:themeColor="text1"/>
        </w:rPr>
        <w:t>p&lt;0</w:t>
      </w:r>
      <w:r w:rsidR="003958B3" w:rsidRPr="008D72FD">
        <w:rPr>
          <w:rFonts w:asciiTheme="majorHAnsi" w:hAnsiTheme="majorHAnsi" w:cstheme="majorHAnsi"/>
        </w:rPr>
        <w:t>.</w:t>
      </w:r>
      <w:r w:rsidR="00566B98" w:rsidRPr="008D72FD">
        <w:rPr>
          <w:rFonts w:asciiTheme="majorHAnsi" w:hAnsiTheme="majorHAnsi" w:cstheme="majorHAnsi"/>
          <w:color w:val="000000" w:themeColor="text1"/>
        </w:rPr>
        <w:t>0001).</w:t>
      </w:r>
      <w:r w:rsidR="00E64643" w:rsidRPr="00154C36">
        <w:rPr>
          <w:rFonts w:asciiTheme="majorHAnsi" w:hAnsiTheme="majorHAnsi" w:cstheme="majorHAnsi"/>
          <w:color w:val="000000" w:themeColor="text1"/>
        </w:rPr>
        <w:t xml:space="preserve"> </w:t>
      </w:r>
      <w:r w:rsidR="00154C36">
        <w:rPr>
          <w:rFonts w:asciiTheme="majorHAnsi" w:hAnsiTheme="majorHAnsi" w:cstheme="majorHAnsi"/>
          <w:color w:val="000000" w:themeColor="text1"/>
        </w:rPr>
        <w:t xml:space="preserve">The majority of those testing positive </w:t>
      </w:r>
      <w:r w:rsidR="00154C36" w:rsidRPr="00154C36">
        <w:rPr>
          <w:rFonts w:asciiTheme="majorHAnsi" w:hAnsiTheme="majorHAnsi" w:cstheme="majorHAnsi"/>
          <w:color w:val="000000" w:themeColor="text1"/>
        </w:rPr>
        <w:t>were from sub-Saharan Africa</w:t>
      </w:r>
      <w:r w:rsidR="004470B9" w:rsidRPr="00154C36">
        <w:rPr>
          <w:rFonts w:asciiTheme="majorHAnsi" w:hAnsiTheme="majorHAnsi" w:cstheme="majorHAnsi"/>
          <w:color w:val="000000" w:themeColor="text1"/>
        </w:rPr>
        <w:t xml:space="preserve"> </w:t>
      </w:r>
      <w:r w:rsidR="00154C36">
        <w:rPr>
          <w:rFonts w:asciiTheme="majorHAnsi" w:hAnsiTheme="majorHAnsi" w:cstheme="majorHAnsi"/>
          <w:color w:val="000000" w:themeColor="text1"/>
        </w:rPr>
        <w:t>(</w:t>
      </w:r>
      <w:r w:rsidR="00384725">
        <w:rPr>
          <w:rFonts w:asciiTheme="majorHAnsi" w:hAnsiTheme="majorHAnsi" w:cstheme="majorHAnsi"/>
          <w:color w:val="000000" w:themeColor="text1"/>
        </w:rPr>
        <w:t>96</w:t>
      </w:r>
      <w:r w:rsidR="00566B98" w:rsidRPr="00154C36">
        <w:rPr>
          <w:rFonts w:asciiTheme="majorHAnsi" w:hAnsiTheme="majorHAnsi" w:cstheme="majorHAnsi"/>
          <w:color w:val="000000" w:themeColor="text1"/>
        </w:rPr>
        <w:t>/1</w:t>
      </w:r>
      <w:r w:rsidR="00384725">
        <w:rPr>
          <w:rFonts w:asciiTheme="majorHAnsi" w:hAnsiTheme="majorHAnsi" w:cstheme="majorHAnsi"/>
          <w:color w:val="000000" w:themeColor="text1"/>
        </w:rPr>
        <w:t>18</w:t>
      </w:r>
      <w:r w:rsidR="00154C36">
        <w:rPr>
          <w:rFonts w:asciiTheme="majorHAnsi" w:hAnsiTheme="majorHAnsi" w:cstheme="majorHAnsi"/>
          <w:color w:val="000000" w:themeColor="text1"/>
        </w:rPr>
        <w:t>,</w:t>
      </w:r>
      <w:r w:rsidR="00E935F9">
        <w:rPr>
          <w:rFonts w:asciiTheme="majorHAnsi" w:hAnsiTheme="majorHAnsi" w:cstheme="majorHAnsi"/>
          <w:color w:val="000000" w:themeColor="text1"/>
        </w:rPr>
        <w:t xml:space="preserve"> </w:t>
      </w:r>
      <w:r w:rsidR="00E7090D">
        <w:rPr>
          <w:rFonts w:asciiTheme="majorHAnsi" w:hAnsiTheme="majorHAnsi" w:cstheme="majorHAnsi"/>
          <w:color w:val="000000" w:themeColor="text1"/>
        </w:rPr>
        <w:t>8</w:t>
      </w:r>
      <w:r w:rsidR="00384725">
        <w:rPr>
          <w:rFonts w:asciiTheme="majorHAnsi" w:hAnsiTheme="majorHAnsi" w:cstheme="majorHAnsi"/>
          <w:color w:val="000000" w:themeColor="text1"/>
        </w:rPr>
        <w:t>1</w:t>
      </w:r>
      <w:r w:rsidR="003958B3">
        <w:rPr>
          <w:rFonts w:asciiTheme="majorHAnsi" w:hAnsiTheme="majorHAnsi" w:cstheme="majorHAnsi"/>
        </w:rPr>
        <w:t>.</w:t>
      </w:r>
      <w:r w:rsidR="00384725">
        <w:rPr>
          <w:rFonts w:asciiTheme="majorHAnsi" w:hAnsiTheme="majorHAnsi" w:cstheme="majorHAnsi"/>
        </w:rPr>
        <w:t>4</w:t>
      </w:r>
      <w:r w:rsidR="00566B98" w:rsidRPr="00154C36">
        <w:rPr>
          <w:rFonts w:asciiTheme="majorHAnsi" w:hAnsiTheme="majorHAnsi" w:cstheme="majorHAnsi"/>
          <w:color w:val="000000" w:themeColor="text1"/>
        </w:rPr>
        <w:t>%)</w:t>
      </w:r>
      <w:r w:rsidR="00E935F9">
        <w:rPr>
          <w:rFonts w:asciiTheme="majorHAnsi" w:hAnsiTheme="majorHAnsi" w:cstheme="majorHAnsi"/>
          <w:color w:val="000000" w:themeColor="text1"/>
        </w:rPr>
        <w:t>, with the IGRA positivity rate for</w:t>
      </w:r>
      <w:r w:rsidR="005D59F7">
        <w:rPr>
          <w:rFonts w:asciiTheme="majorHAnsi" w:hAnsiTheme="majorHAnsi" w:cstheme="majorHAnsi"/>
          <w:color w:val="000000" w:themeColor="text1"/>
        </w:rPr>
        <w:t xml:space="preserve"> this group being 1</w:t>
      </w:r>
      <w:r w:rsidR="00384725">
        <w:rPr>
          <w:rFonts w:asciiTheme="majorHAnsi" w:hAnsiTheme="majorHAnsi" w:cstheme="majorHAnsi"/>
          <w:color w:val="000000" w:themeColor="text1"/>
        </w:rPr>
        <w:t>7</w:t>
      </w:r>
      <w:r w:rsidR="003958B3">
        <w:rPr>
          <w:rFonts w:asciiTheme="majorHAnsi" w:hAnsiTheme="majorHAnsi" w:cstheme="majorHAnsi"/>
        </w:rPr>
        <w:t>.</w:t>
      </w:r>
      <w:r w:rsidR="00384725">
        <w:rPr>
          <w:rFonts w:asciiTheme="majorHAnsi" w:hAnsiTheme="majorHAnsi" w:cstheme="majorHAnsi"/>
        </w:rPr>
        <w:t>8</w:t>
      </w:r>
      <w:r w:rsidR="005D59F7">
        <w:rPr>
          <w:rFonts w:asciiTheme="majorHAnsi" w:hAnsiTheme="majorHAnsi" w:cstheme="majorHAnsi"/>
          <w:color w:val="000000" w:themeColor="text1"/>
        </w:rPr>
        <w:t>%</w:t>
      </w:r>
      <w:r w:rsidR="00566B98" w:rsidRPr="00154C36">
        <w:rPr>
          <w:rFonts w:asciiTheme="majorHAnsi" w:hAnsiTheme="majorHAnsi" w:cstheme="majorHAnsi"/>
          <w:color w:val="000000" w:themeColor="text1"/>
        </w:rPr>
        <w:t xml:space="preserve">. </w:t>
      </w:r>
      <w:r>
        <w:rPr>
          <w:rFonts w:asciiTheme="majorHAnsi" w:hAnsiTheme="majorHAnsi" w:cstheme="majorHAnsi"/>
          <w:color w:val="000000" w:themeColor="text1"/>
        </w:rPr>
        <w:t xml:space="preserve">Black African and South Asian patients had the highest IGRA </w:t>
      </w:r>
      <w:r w:rsidRPr="002B001E">
        <w:rPr>
          <w:rFonts w:asciiTheme="majorHAnsi" w:hAnsiTheme="majorHAnsi" w:cstheme="majorHAnsi"/>
          <w:color w:val="000000" w:themeColor="text1"/>
        </w:rPr>
        <w:t xml:space="preserve">positivity rates </w:t>
      </w:r>
      <w:r w:rsidR="005D59F7" w:rsidRPr="002B001E">
        <w:rPr>
          <w:rFonts w:asciiTheme="majorHAnsi" w:hAnsiTheme="majorHAnsi" w:cstheme="majorHAnsi"/>
          <w:color w:val="000000" w:themeColor="text1"/>
        </w:rPr>
        <w:t>(</w:t>
      </w:r>
      <w:r w:rsidR="00C227F9">
        <w:rPr>
          <w:rFonts w:asciiTheme="majorHAnsi" w:hAnsiTheme="majorHAnsi" w:cstheme="majorHAnsi"/>
          <w:color w:val="000000" w:themeColor="text1"/>
        </w:rPr>
        <w:t xml:space="preserve">both </w:t>
      </w:r>
      <w:r w:rsidR="005D59F7" w:rsidRPr="002B001E">
        <w:rPr>
          <w:rFonts w:asciiTheme="majorHAnsi" w:hAnsiTheme="majorHAnsi" w:cstheme="majorHAnsi"/>
          <w:color w:val="000000" w:themeColor="text1"/>
        </w:rPr>
        <w:t>1</w:t>
      </w:r>
      <w:r w:rsidR="00C227F9">
        <w:rPr>
          <w:rFonts w:asciiTheme="majorHAnsi" w:hAnsiTheme="majorHAnsi" w:cstheme="majorHAnsi"/>
        </w:rPr>
        <w:t>8.1%</w:t>
      </w:r>
      <w:r w:rsidR="005D59F7" w:rsidRPr="002B001E">
        <w:rPr>
          <w:rFonts w:asciiTheme="majorHAnsi" w:hAnsiTheme="majorHAnsi" w:cstheme="majorHAnsi"/>
          <w:color w:val="000000" w:themeColor="text1"/>
        </w:rPr>
        <w:t>).</w:t>
      </w:r>
      <w:r w:rsidR="005D59F7" w:rsidRPr="00154C36">
        <w:rPr>
          <w:rFonts w:asciiTheme="majorHAnsi" w:hAnsiTheme="majorHAnsi" w:cstheme="majorHAnsi"/>
          <w:color w:val="000000" w:themeColor="text1"/>
        </w:rPr>
        <w:t xml:space="preserve"> </w:t>
      </w:r>
      <w:r w:rsidR="005D59F7">
        <w:rPr>
          <w:rFonts w:asciiTheme="majorHAnsi" w:hAnsiTheme="majorHAnsi" w:cstheme="majorHAnsi"/>
          <w:color w:val="000000" w:themeColor="text1"/>
        </w:rPr>
        <w:t xml:space="preserve">Patients </w:t>
      </w:r>
      <w:r w:rsidR="005D59F7" w:rsidRPr="00AB06D7">
        <w:rPr>
          <w:rFonts w:asciiTheme="majorHAnsi" w:hAnsiTheme="majorHAnsi" w:cstheme="majorHAnsi"/>
          <w:color w:val="000000" w:themeColor="text1"/>
        </w:rPr>
        <w:t xml:space="preserve">from a country where TB incidence was </w:t>
      </w:r>
      <w:r w:rsidR="005D59F7">
        <w:rPr>
          <w:rFonts w:asciiTheme="majorHAnsi" w:hAnsiTheme="majorHAnsi" w:cstheme="majorHAnsi"/>
          <w:color w:val="000000" w:themeColor="text1"/>
        </w:rPr>
        <w:t xml:space="preserve">more than </w:t>
      </w:r>
      <w:r w:rsidR="005D59F7" w:rsidRPr="00AB06D7">
        <w:rPr>
          <w:rFonts w:asciiTheme="majorHAnsi" w:hAnsiTheme="majorHAnsi" w:cstheme="majorHAnsi"/>
          <w:color w:val="000000" w:themeColor="text1"/>
        </w:rPr>
        <w:t>50/100,000 population</w:t>
      </w:r>
      <w:r w:rsidR="005D59F7">
        <w:rPr>
          <w:rFonts w:asciiTheme="majorHAnsi" w:hAnsiTheme="majorHAnsi" w:cstheme="majorHAnsi"/>
          <w:color w:val="000000" w:themeColor="text1"/>
        </w:rPr>
        <w:t xml:space="preserve"> had higher positivity rates: 1</w:t>
      </w:r>
      <w:r w:rsidR="003353E5">
        <w:rPr>
          <w:rFonts w:asciiTheme="majorHAnsi" w:hAnsiTheme="majorHAnsi" w:cstheme="majorHAnsi"/>
          <w:color w:val="000000" w:themeColor="text1"/>
        </w:rPr>
        <w:t>7.3</w:t>
      </w:r>
      <w:r w:rsidR="005D59F7">
        <w:rPr>
          <w:rFonts w:asciiTheme="majorHAnsi" w:hAnsiTheme="majorHAnsi" w:cstheme="majorHAnsi"/>
          <w:color w:val="000000" w:themeColor="text1"/>
        </w:rPr>
        <w:t>% (</w:t>
      </w:r>
      <w:r w:rsidR="0011126A">
        <w:rPr>
          <w:rFonts w:asciiTheme="majorHAnsi" w:hAnsiTheme="majorHAnsi" w:cstheme="majorHAnsi"/>
          <w:color w:val="000000" w:themeColor="text1"/>
        </w:rPr>
        <w:t>106</w:t>
      </w:r>
      <w:r w:rsidR="005D59F7">
        <w:rPr>
          <w:rFonts w:asciiTheme="majorHAnsi" w:hAnsiTheme="majorHAnsi" w:cstheme="majorHAnsi"/>
          <w:color w:val="000000" w:themeColor="text1"/>
        </w:rPr>
        <w:t>/6</w:t>
      </w:r>
      <w:r w:rsidR="0011126A">
        <w:rPr>
          <w:rFonts w:asciiTheme="majorHAnsi" w:hAnsiTheme="majorHAnsi" w:cstheme="majorHAnsi"/>
          <w:color w:val="000000" w:themeColor="text1"/>
        </w:rPr>
        <w:t>1</w:t>
      </w:r>
      <w:r w:rsidR="001D2E28">
        <w:rPr>
          <w:rFonts w:asciiTheme="majorHAnsi" w:hAnsiTheme="majorHAnsi" w:cstheme="majorHAnsi"/>
          <w:color w:val="000000" w:themeColor="text1"/>
        </w:rPr>
        <w:t>4</w:t>
      </w:r>
      <w:r w:rsidR="005D59F7">
        <w:rPr>
          <w:rFonts w:asciiTheme="majorHAnsi" w:hAnsiTheme="majorHAnsi" w:cstheme="majorHAnsi"/>
          <w:color w:val="000000" w:themeColor="text1"/>
        </w:rPr>
        <w:t xml:space="preserve">) compared to </w:t>
      </w:r>
      <w:r w:rsidR="0011126A">
        <w:rPr>
          <w:rFonts w:asciiTheme="majorHAnsi" w:hAnsiTheme="majorHAnsi" w:cstheme="majorHAnsi"/>
        </w:rPr>
        <w:t>2.7</w:t>
      </w:r>
      <w:r w:rsidR="005D59F7">
        <w:rPr>
          <w:rFonts w:asciiTheme="majorHAnsi" w:hAnsiTheme="majorHAnsi" w:cstheme="majorHAnsi"/>
          <w:color w:val="000000" w:themeColor="text1"/>
        </w:rPr>
        <w:t>% (1</w:t>
      </w:r>
      <w:r w:rsidR="0011126A">
        <w:rPr>
          <w:rFonts w:asciiTheme="majorHAnsi" w:hAnsiTheme="majorHAnsi" w:cstheme="majorHAnsi"/>
          <w:color w:val="000000" w:themeColor="text1"/>
        </w:rPr>
        <w:t>2</w:t>
      </w:r>
      <w:r w:rsidR="005D59F7">
        <w:rPr>
          <w:rFonts w:asciiTheme="majorHAnsi" w:hAnsiTheme="majorHAnsi" w:cstheme="majorHAnsi"/>
          <w:color w:val="000000" w:themeColor="text1"/>
        </w:rPr>
        <w:t>/</w:t>
      </w:r>
      <w:r w:rsidR="001D2E28">
        <w:rPr>
          <w:rFonts w:asciiTheme="majorHAnsi" w:hAnsiTheme="majorHAnsi" w:cstheme="majorHAnsi"/>
          <w:color w:val="000000" w:themeColor="text1"/>
        </w:rPr>
        <w:t>439</w:t>
      </w:r>
      <w:r w:rsidR="005D59F7">
        <w:rPr>
          <w:rFonts w:asciiTheme="majorHAnsi" w:hAnsiTheme="majorHAnsi" w:cstheme="majorHAnsi"/>
          <w:color w:val="000000" w:themeColor="text1"/>
        </w:rPr>
        <w:t>) for patients</w:t>
      </w:r>
      <w:r w:rsidR="007D01C4">
        <w:rPr>
          <w:rFonts w:asciiTheme="majorHAnsi" w:hAnsiTheme="majorHAnsi" w:cstheme="majorHAnsi"/>
          <w:color w:val="000000" w:themeColor="text1"/>
        </w:rPr>
        <w:t xml:space="preserve"> from low TB incidence countries (&lt;</w:t>
      </w:r>
      <w:r w:rsidR="007D01C4" w:rsidRPr="00AB06D7">
        <w:rPr>
          <w:rFonts w:asciiTheme="majorHAnsi" w:hAnsiTheme="majorHAnsi" w:cstheme="majorHAnsi"/>
          <w:color w:val="000000" w:themeColor="text1"/>
        </w:rPr>
        <w:t>50/100,000</w:t>
      </w:r>
      <w:r w:rsidR="007D01C4">
        <w:rPr>
          <w:rFonts w:asciiTheme="majorHAnsi" w:hAnsiTheme="majorHAnsi" w:cstheme="majorHAnsi"/>
          <w:color w:val="000000" w:themeColor="text1"/>
        </w:rPr>
        <w:t>)</w:t>
      </w:r>
      <w:r w:rsidR="005D59F7">
        <w:rPr>
          <w:rFonts w:asciiTheme="majorHAnsi" w:hAnsiTheme="majorHAnsi" w:cstheme="majorHAnsi"/>
          <w:color w:val="000000" w:themeColor="text1"/>
        </w:rPr>
        <w:t>.</w:t>
      </w:r>
      <w:r w:rsidR="007D01C4">
        <w:rPr>
          <w:rFonts w:asciiTheme="majorHAnsi" w:hAnsiTheme="majorHAnsi" w:cstheme="majorHAnsi"/>
          <w:color w:val="000000" w:themeColor="text1"/>
        </w:rPr>
        <w:t xml:space="preserve"> </w:t>
      </w:r>
      <w:r w:rsidR="00852A05">
        <w:rPr>
          <w:rFonts w:asciiTheme="majorHAnsi" w:hAnsiTheme="majorHAnsi" w:cstheme="majorHAnsi"/>
          <w:color w:val="000000" w:themeColor="text1"/>
        </w:rPr>
        <w:t>Of the 1</w:t>
      </w:r>
      <w:r w:rsidR="007A50F3">
        <w:rPr>
          <w:rFonts w:asciiTheme="majorHAnsi" w:hAnsiTheme="majorHAnsi" w:cstheme="majorHAnsi"/>
          <w:color w:val="000000" w:themeColor="text1"/>
        </w:rPr>
        <w:t>2</w:t>
      </w:r>
      <w:r w:rsidR="00852A05">
        <w:rPr>
          <w:rFonts w:asciiTheme="majorHAnsi" w:hAnsiTheme="majorHAnsi" w:cstheme="majorHAnsi"/>
          <w:color w:val="000000" w:themeColor="text1"/>
        </w:rPr>
        <w:t xml:space="preserve"> from low TB incidence countries, only </w:t>
      </w:r>
      <w:r w:rsidR="007A50F3">
        <w:rPr>
          <w:rFonts w:asciiTheme="majorHAnsi" w:hAnsiTheme="majorHAnsi" w:cstheme="majorHAnsi"/>
          <w:color w:val="000000" w:themeColor="text1"/>
        </w:rPr>
        <w:t>four</w:t>
      </w:r>
      <w:r w:rsidR="00852A05" w:rsidRPr="00852A05">
        <w:rPr>
          <w:rFonts w:asciiTheme="majorHAnsi" w:hAnsiTheme="majorHAnsi" w:cstheme="majorHAnsi"/>
          <w:color w:val="000000" w:themeColor="text1"/>
        </w:rPr>
        <w:t xml:space="preserve"> (</w:t>
      </w:r>
      <w:r w:rsidR="007A50F3">
        <w:rPr>
          <w:rFonts w:asciiTheme="majorHAnsi" w:hAnsiTheme="majorHAnsi" w:cstheme="majorHAnsi"/>
          <w:color w:val="000000" w:themeColor="text1"/>
        </w:rPr>
        <w:t>3</w:t>
      </w:r>
      <w:r w:rsidR="00F93408">
        <w:rPr>
          <w:rFonts w:asciiTheme="majorHAnsi" w:hAnsiTheme="majorHAnsi" w:cstheme="majorHAnsi"/>
          <w:color w:val="000000" w:themeColor="text1"/>
        </w:rPr>
        <w:t>3</w:t>
      </w:r>
      <w:r w:rsidR="003958B3">
        <w:rPr>
          <w:rFonts w:asciiTheme="majorHAnsi" w:hAnsiTheme="majorHAnsi" w:cstheme="majorHAnsi"/>
          <w:color w:val="000000" w:themeColor="text1"/>
        </w:rPr>
        <w:t>.</w:t>
      </w:r>
      <w:r w:rsidR="007A50F3">
        <w:rPr>
          <w:rFonts w:asciiTheme="majorHAnsi" w:hAnsiTheme="majorHAnsi" w:cstheme="majorHAnsi"/>
          <w:color w:val="000000" w:themeColor="text1"/>
        </w:rPr>
        <w:t>3</w:t>
      </w:r>
      <w:r w:rsidR="00D17892">
        <w:rPr>
          <w:rFonts w:asciiTheme="majorHAnsi" w:hAnsiTheme="majorHAnsi" w:cstheme="majorHAnsi"/>
          <w:color w:val="000000" w:themeColor="text1"/>
        </w:rPr>
        <w:t>%) had risk factors (</w:t>
      </w:r>
      <w:r w:rsidR="00852A05" w:rsidRPr="00852A05">
        <w:rPr>
          <w:rFonts w:asciiTheme="majorHAnsi" w:hAnsiTheme="majorHAnsi" w:cstheme="majorHAnsi"/>
          <w:color w:val="000000" w:themeColor="text1"/>
        </w:rPr>
        <w:t>t</w:t>
      </w:r>
      <w:r w:rsidR="007D01C4" w:rsidRPr="00852A05">
        <w:rPr>
          <w:rFonts w:asciiTheme="majorHAnsi" w:hAnsiTheme="majorHAnsi" w:cstheme="majorHAnsi"/>
          <w:color w:val="000000" w:themeColor="text1"/>
        </w:rPr>
        <w:t>able S</w:t>
      </w:r>
      <w:r w:rsidR="000F0CC8">
        <w:rPr>
          <w:rFonts w:asciiTheme="majorHAnsi" w:hAnsiTheme="majorHAnsi" w:cstheme="majorHAnsi"/>
          <w:color w:val="000000" w:themeColor="text1"/>
        </w:rPr>
        <w:t>2</w:t>
      </w:r>
      <w:r w:rsidR="007D01C4" w:rsidRPr="00852A05">
        <w:rPr>
          <w:rFonts w:asciiTheme="majorHAnsi" w:hAnsiTheme="majorHAnsi" w:cstheme="majorHAnsi"/>
          <w:color w:val="000000" w:themeColor="text1"/>
        </w:rPr>
        <w:t>, Supplementa</w:t>
      </w:r>
      <w:r w:rsidR="00744420">
        <w:rPr>
          <w:rFonts w:asciiTheme="majorHAnsi" w:hAnsiTheme="majorHAnsi" w:cstheme="majorHAnsi"/>
          <w:color w:val="000000" w:themeColor="text1"/>
        </w:rPr>
        <w:t>l Digital Content</w:t>
      </w:r>
      <w:r w:rsidR="00852A05" w:rsidRPr="00852A05">
        <w:rPr>
          <w:rFonts w:asciiTheme="majorHAnsi" w:hAnsiTheme="majorHAnsi" w:cstheme="majorHAnsi"/>
          <w:color w:val="000000" w:themeColor="text1"/>
        </w:rPr>
        <w:t>).</w:t>
      </w:r>
      <w:r w:rsidR="00855E98">
        <w:rPr>
          <w:rFonts w:asciiTheme="majorHAnsi" w:hAnsiTheme="majorHAnsi" w:cstheme="majorHAnsi"/>
          <w:color w:val="000000" w:themeColor="text1"/>
        </w:rPr>
        <w:t xml:space="preserve"> </w:t>
      </w:r>
    </w:p>
    <w:p w14:paraId="1A0009E3" w14:textId="057A6F67" w:rsidR="009F2D6A" w:rsidRDefault="008E4EF7" w:rsidP="008C6451">
      <w:pPr>
        <w:spacing w:after="240" w:line="480" w:lineRule="auto"/>
        <w:jc w:val="both"/>
        <w:rPr>
          <w:rFonts w:asciiTheme="majorHAnsi" w:hAnsiTheme="majorHAnsi" w:cstheme="majorHAnsi"/>
        </w:rPr>
      </w:pPr>
      <w:r>
        <w:rPr>
          <w:rFonts w:asciiTheme="majorHAnsi" w:hAnsiTheme="majorHAnsi" w:cstheme="majorHAnsi"/>
        </w:rPr>
        <w:t>In</w:t>
      </w:r>
      <w:r w:rsidR="00566B98" w:rsidRPr="00AB06D7">
        <w:rPr>
          <w:rFonts w:asciiTheme="majorHAnsi" w:hAnsiTheme="majorHAnsi" w:cstheme="majorHAnsi"/>
        </w:rPr>
        <w:t xml:space="preserve"> </w:t>
      </w:r>
      <w:proofErr w:type="spellStart"/>
      <w:r w:rsidR="00922BDF">
        <w:rPr>
          <w:rFonts w:asciiTheme="majorHAnsi" w:hAnsiTheme="majorHAnsi" w:cstheme="majorHAnsi"/>
        </w:rPr>
        <w:t>univariable</w:t>
      </w:r>
      <w:proofErr w:type="spellEnd"/>
      <w:r w:rsidR="00922BDF">
        <w:rPr>
          <w:rFonts w:asciiTheme="majorHAnsi" w:hAnsiTheme="majorHAnsi" w:cstheme="majorHAnsi"/>
        </w:rPr>
        <w:t xml:space="preserve"> </w:t>
      </w:r>
      <w:r>
        <w:rPr>
          <w:rFonts w:asciiTheme="majorHAnsi" w:hAnsiTheme="majorHAnsi" w:cstheme="majorHAnsi"/>
        </w:rPr>
        <w:t>analysis,</w:t>
      </w:r>
      <w:r w:rsidR="00E904CB">
        <w:rPr>
          <w:rFonts w:asciiTheme="majorHAnsi" w:hAnsiTheme="majorHAnsi" w:cstheme="majorHAnsi"/>
        </w:rPr>
        <w:t xml:space="preserve"> </w:t>
      </w:r>
      <w:r w:rsidR="00566B98" w:rsidRPr="00AB06D7">
        <w:rPr>
          <w:rFonts w:asciiTheme="majorHAnsi" w:hAnsiTheme="majorHAnsi" w:cstheme="majorHAnsi"/>
        </w:rPr>
        <w:t>being born abroad, specifically in sub-Saharan Africa and the South Asia and East Asia &amp;</w:t>
      </w:r>
      <w:r w:rsidR="005F24F7" w:rsidRPr="00AB06D7">
        <w:rPr>
          <w:rFonts w:asciiTheme="majorHAnsi" w:hAnsiTheme="majorHAnsi" w:cstheme="majorHAnsi"/>
        </w:rPr>
        <w:t xml:space="preserve"> </w:t>
      </w:r>
      <w:r w:rsidR="00566B98" w:rsidRPr="00AB06D7">
        <w:rPr>
          <w:rFonts w:asciiTheme="majorHAnsi" w:hAnsiTheme="majorHAnsi" w:cstheme="majorHAnsi"/>
        </w:rPr>
        <w:t xml:space="preserve">Pacific regions, and being of black African or South Asian ethnicities, were </w:t>
      </w:r>
      <w:r>
        <w:rPr>
          <w:rFonts w:asciiTheme="majorHAnsi" w:hAnsiTheme="majorHAnsi" w:cstheme="majorHAnsi"/>
        </w:rPr>
        <w:t>associated with</w:t>
      </w:r>
      <w:r w:rsidR="00566B98" w:rsidRPr="00AB06D7">
        <w:rPr>
          <w:rFonts w:asciiTheme="majorHAnsi" w:hAnsiTheme="majorHAnsi" w:cstheme="majorHAnsi"/>
        </w:rPr>
        <w:t xml:space="preserve"> positive IGRA</w:t>
      </w:r>
      <w:r w:rsidR="00E904CB">
        <w:rPr>
          <w:rFonts w:asciiTheme="majorHAnsi" w:hAnsiTheme="majorHAnsi" w:cstheme="majorHAnsi"/>
        </w:rPr>
        <w:t xml:space="preserve"> (</w:t>
      </w:r>
      <w:r w:rsidR="00852A05">
        <w:rPr>
          <w:rFonts w:asciiTheme="majorHAnsi" w:hAnsiTheme="majorHAnsi" w:cstheme="majorHAnsi"/>
        </w:rPr>
        <w:t>t</w:t>
      </w:r>
      <w:r w:rsidR="00E904CB">
        <w:rPr>
          <w:rFonts w:asciiTheme="majorHAnsi" w:hAnsiTheme="majorHAnsi" w:cstheme="majorHAnsi"/>
        </w:rPr>
        <w:t>able 2)</w:t>
      </w:r>
      <w:r w:rsidR="00566B98" w:rsidRPr="00AB06D7">
        <w:rPr>
          <w:rFonts w:asciiTheme="majorHAnsi" w:hAnsiTheme="majorHAnsi" w:cstheme="majorHAnsi"/>
        </w:rPr>
        <w:t xml:space="preserve">. TB incidence in </w:t>
      </w:r>
      <w:r w:rsidR="00932A18" w:rsidRPr="00AB06D7">
        <w:rPr>
          <w:rFonts w:asciiTheme="majorHAnsi" w:hAnsiTheme="majorHAnsi" w:cstheme="majorHAnsi"/>
        </w:rPr>
        <w:t>country</w:t>
      </w:r>
      <w:r w:rsidR="00431A40">
        <w:rPr>
          <w:rFonts w:asciiTheme="majorHAnsi" w:hAnsiTheme="majorHAnsi" w:cstheme="majorHAnsi"/>
        </w:rPr>
        <w:t>-</w:t>
      </w:r>
      <w:r w:rsidR="00932A18" w:rsidRPr="00AB06D7">
        <w:rPr>
          <w:rFonts w:asciiTheme="majorHAnsi" w:hAnsiTheme="majorHAnsi" w:cstheme="majorHAnsi"/>
        </w:rPr>
        <w:t>of</w:t>
      </w:r>
      <w:r w:rsidR="00431A40">
        <w:rPr>
          <w:rFonts w:asciiTheme="majorHAnsi" w:hAnsiTheme="majorHAnsi" w:cstheme="majorHAnsi"/>
        </w:rPr>
        <w:t>-</w:t>
      </w:r>
      <w:r w:rsidR="00932A18" w:rsidRPr="00AB06D7">
        <w:rPr>
          <w:rFonts w:asciiTheme="majorHAnsi" w:hAnsiTheme="majorHAnsi" w:cstheme="majorHAnsi"/>
        </w:rPr>
        <w:t xml:space="preserve">birth </w:t>
      </w:r>
      <w:r w:rsidR="00E904CB">
        <w:rPr>
          <w:rFonts w:asciiTheme="majorHAnsi" w:hAnsiTheme="majorHAnsi" w:cstheme="majorHAnsi"/>
        </w:rPr>
        <w:t xml:space="preserve">was </w:t>
      </w:r>
      <w:r w:rsidR="00566B98" w:rsidRPr="00AB06D7">
        <w:rPr>
          <w:rFonts w:asciiTheme="majorHAnsi" w:hAnsiTheme="majorHAnsi" w:cstheme="majorHAnsi"/>
        </w:rPr>
        <w:t xml:space="preserve">significant in </w:t>
      </w:r>
      <w:r w:rsidR="00E904CB">
        <w:rPr>
          <w:rFonts w:asciiTheme="majorHAnsi" w:hAnsiTheme="majorHAnsi" w:cstheme="majorHAnsi"/>
        </w:rPr>
        <w:t>both</w:t>
      </w:r>
      <w:r w:rsidR="00566B98" w:rsidRPr="00AB06D7">
        <w:rPr>
          <w:rFonts w:asciiTheme="majorHAnsi" w:hAnsiTheme="majorHAnsi" w:cstheme="majorHAnsi"/>
        </w:rPr>
        <w:t xml:space="preserve"> </w:t>
      </w:r>
      <w:proofErr w:type="spellStart"/>
      <w:r w:rsidR="009F2D6A">
        <w:rPr>
          <w:rFonts w:asciiTheme="majorHAnsi" w:hAnsiTheme="majorHAnsi" w:cstheme="majorHAnsi"/>
        </w:rPr>
        <w:t>univariable</w:t>
      </w:r>
      <w:proofErr w:type="spellEnd"/>
      <w:r w:rsidR="009F2D6A">
        <w:rPr>
          <w:rFonts w:asciiTheme="majorHAnsi" w:hAnsiTheme="majorHAnsi" w:cstheme="majorHAnsi"/>
        </w:rPr>
        <w:t xml:space="preserve"> </w:t>
      </w:r>
      <w:r w:rsidR="00E904CB">
        <w:rPr>
          <w:rFonts w:asciiTheme="majorHAnsi" w:hAnsiTheme="majorHAnsi" w:cstheme="majorHAnsi"/>
        </w:rPr>
        <w:t>and</w:t>
      </w:r>
      <w:r w:rsidR="00E904CB" w:rsidRPr="00AB06D7">
        <w:rPr>
          <w:rFonts w:asciiTheme="majorHAnsi" w:hAnsiTheme="majorHAnsi" w:cstheme="majorHAnsi"/>
        </w:rPr>
        <w:t xml:space="preserve"> multivariable analysis</w:t>
      </w:r>
      <w:r w:rsidR="00D11E51">
        <w:rPr>
          <w:rFonts w:asciiTheme="majorHAnsi" w:hAnsiTheme="majorHAnsi" w:cstheme="majorHAnsi"/>
        </w:rPr>
        <w:t xml:space="preserve"> with</w:t>
      </w:r>
      <w:r w:rsidR="00566B98" w:rsidRPr="00AB06D7">
        <w:rPr>
          <w:rFonts w:asciiTheme="majorHAnsi" w:hAnsiTheme="majorHAnsi" w:cstheme="majorHAnsi"/>
        </w:rPr>
        <w:t xml:space="preserve"> increas</w:t>
      </w:r>
      <w:r w:rsidR="00D11E51">
        <w:rPr>
          <w:rFonts w:asciiTheme="majorHAnsi" w:hAnsiTheme="majorHAnsi" w:cstheme="majorHAnsi"/>
        </w:rPr>
        <w:t>ing likelihood</w:t>
      </w:r>
      <w:r w:rsidR="00566B98" w:rsidRPr="00AB06D7">
        <w:rPr>
          <w:rFonts w:asciiTheme="majorHAnsi" w:hAnsiTheme="majorHAnsi" w:cstheme="majorHAnsi"/>
        </w:rPr>
        <w:t xml:space="preserve"> of having a positive IGRA amongst individuals born in countries </w:t>
      </w:r>
      <w:r w:rsidR="00D95DB8">
        <w:rPr>
          <w:rFonts w:asciiTheme="majorHAnsi" w:hAnsiTheme="majorHAnsi" w:cstheme="majorHAnsi"/>
        </w:rPr>
        <w:t>with</w:t>
      </w:r>
      <w:r w:rsidR="00932A18" w:rsidRPr="00AB06D7">
        <w:rPr>
          <w:rFonts w:asciiTheme="majorHAnsi" w:hAnsiTheme="majorHAnsi" w:cstheme="majorHAnsi"/>
        </w:rPr>
        <w:t xml:space="preserve"> TB incidence &gt;</w:t>
      </w:r>
      <w:r w:rsidR="00566B98" w:rsidRPr="00AB06D7">
        <w:rPr>
          <w:rFonts w:asciiTheme="majorHAnsi" w:hAnsiTheme="majorHAnsi" w:cstheme="majorHAnsi"/>
        </w:rPr>
        <w:t>50/100,000 population.</w:t>
      </w:r>
    </w:p>
    <w:p w14:paraId="5E130638" w14:textId="340266FF" w:rsidR="009F2D6A" w:rsidRPr="00F14FF5" w:rsidRDefault="009F2D6A" w:rsidP="008C6451">
      <w:pPr>
        <w:spacing w:after="240" w:line="480" w:lineRule="auto"/>
        <w:jc w:val="both"/>
        <w:rPr>
          <w:rFonts w:asciiTheme="majorHAnsi" w:hAnsiTheme="majorHAnsi" w:cstheme="majorHAnsi"/>
          <w:b/>
          <w:bCs/>
        </w:rPr>
      </w:pPr>
      <w:r w:rsidRPr="00F14FF5">
        <w:rPr>
          <w:rFonts w:asciiTheme="majorHAnsi" w:hAnsiTheme="majorHAnsi" w:cstheme="majorHAnsi"/>
          <w:b/>
          <w:bCs/>
        </w:rPr>
        <w:t xml:space="preserve">Yields </w:t>
      </w:r>
      <w:r w:rsidR="00F14FF5">
        <w:rPr>
          <w:rFonts w:asciiTheme="majorHAnsi" w:hAnsiTheme="majorHAnsi" w:cstheme="majorHAnsi"/>
          <w:b/>
          <w:bCs/>
        </w:rPr>
        <w:t>by testing</w:t>
      </w:r>
      <w:r w:rsidRPr="00F14FF5">
        <w:rPr>
          <w:rFonts w:asciiTheme="majorHAnsi" w:hAnsiTheme="majorHAnsi" w:cstheme="majorHAnsi"/>
          <w:b/>
          <w:bCs/>
        </w:rPr>
        <w:t xml:space="preserve"> threshold</w:t>
      </w:r>
    </w:p>
    <w:p w14:paraId="4AB26DF3" w14:textId="7C49DB2B" w:rsidR="00DA1B4D" w:rsidRPr="00FB1451" w:rsidRDefault="004470B9" w:rsidP="008C6451">
      <w:pPr>
        <w:spacing w:after="240" w:line="480" w:lineRule="auto"/>
        <w:jc w:val="both"/>
        <w:rPr>
          <w:rFonts w:asciiTheme="majorHAnsi" w:hAnsiTheme="majorHAnsi" w:cstheme="majorHAnsi"/>
        </w:rPr>
      </w:pPr>
      <w:r w:rsidRPr="00FB1451">
        <w:rPr>
          <w:rFonts w:asciiTheme="majorHAnsi" w:hAnsiTheme="majorHAnsi" w:cstheme="majorHAnsi"/>
        </w:rPr>
        <w:t xml:space="preserve">Table 3 </w:t>
      </w:r>
      <w:r w:rsidR="00D95DB8" w:rsidRPr="00FB1451">
        <w:rPr>
          <w:rFonts w:asciiTheme="majorHAnsi" w:hAnsiTheme="majorHAnsi" w:cstheme="majorHAnsi"/>
        </w:rPr>
        <w:t>outlines</w:t>
      </w:r>
      <w:r w:rsidRPr="00FB1451">
        <w:rPr>
          <w:rFonts w:asciiTheme="majorHAnsi" w:hAnsiTheme="majorHAnsi" w:cstheme="majorHAnsi"/>
        </w:rPr>
        <w:t xml:space="preserve"> t</w:t>
      </w:r>
      <w:r w:rsidR="00566B98" w:rsidRPr="00FB1451">
        <w:rPr>
          <w:rFonts w:asciiTheme="majorHAnsi" w:hAnsiTheme="majorHAnsi" w:cstheme="majorHAnsi"/>
        </w:rPr>
        <w:t xml:space="preserve">he outcome of </w:t>
      </w:r>
      <w:r w:rsidR="00D95DB8" w:rsidRPr="00FB1451">
        <w:rPr>
          <w:rFonts w:asciiTheme="majorHAnsi" w:hAnsiTheme="majorHAnsi" w:cstheme="majorHAnsi"/>
        </w:rPr>
        <w:t>PLWH</w:t>
      </w:r>
      <w:r w:rsidR="00566B98" w:rsidRPr="00FB1451">
        <w:rPr>
          <w:rFonts w:asciiTheme="majorHAnsi" w:hAnsiTheme="majorHAnsi" w:cstheme="majorHAnsi"/>
        </w:rPr>
        <w:t xml:space="preserve"> </w:t>
      </w:r>
      <w:r w:rsidR="00A31BD9" w:rsidRPr="00FB1451">
        <w:rPr>
          <w:rFonts w:asciiTheme="majorHAnsi" w:hAnsiTheme="majorHAnsi" w:cstheme="majorHAnsi"/>
        </w:rPr>
        <w:t xml:space="preserve">IGRA test </w:t>
      </w:r>
      <w:r w:rsidR="00566B98" w:rsidRPr="00FB1451">
        <w:rPr>
          <w:rFonts w:asciiTheme="majorHAnsi" w:hAnsiTheme="majorHAnsi" w:cstheme="majorHAnsi"/>
        </w:rPr>
        <w:t xml:space="preserve">screening </w:t>
      </w:r>
      <w:r w:rsidR="00D95DB8" w:rsidRPr="00FB1451">
        <w:rPr>
          <w:rFonts w:asciiTheme="majorHAnsi" w:hAnsiTheme="majorHAnsi" w:cstheme="majorHAnsi"/>
        </w:rPr>
        <w:t xml:space="preserve">in Leicester </w:t>
      </w:r>
      <w:r w:rsidR="00566B98" w:rsidRPr="00FB1451">
        <w:rPr>
          <w:rFonts w:asciiTheme="majorHAnsi" w:hAnsiTheme="majorHAnsi" w:cstheme="majorHAnsi"/>
        </w:rPr>
        <w:t>stratified by TB incidence in country</w:t>
      </w:r>
      <w:r w:rsidR="00431A40" w:rsidRPr="00FB1451">
        <w:rPr>
          <w:rFonts w:asciiTheme="majorHAnsi" w:hAnsiTheme="majorHAnsi" w:cstheme="majorHAnsi"/>
        </w:rPr>
        <w:t>-</w:t>
      </w:r>
      <w:r w:rsidR="00566B98" w:rsidRPr="00FB1451">
        <w:rPr>
          <w:rFonts w:asciiTheme="majorHAnsi" w:hAnsiTheme="majorHAnsi" w:cstheme="majorHAnsi"/>
        </w:rPr>
        <w:t>of</w:t>
      </w:r>
      <w:r w:rsidR="00431A40" w:rsidRPr="00FB1451">
        <w:rPr>
          <w:rFonts w:asciiTheme="majorHAnsi" w:hAnsiTheme="majorHAnsi" w:cstheme="majorHAnsi"/>
        </w:rPr>
        <w:t>-</w:t>
      </w:r>
      <w:r w:rsidR="00566B98" w:rsidRPr="00FB1451">
        <w:rPr>
          <w:rFonts w:asciiTheme="majorHAnsi" w:hAnsiTheme="majorHAnsi" w:cstheme="majorHAnsi"/>
        </w:rPr>
        <w:t>birth</w:t>
      </w:r>
      <w:r w:rsidR="00D95DB8" w:rsidRPr="00FB1451">
        <w:rPr>
          <w:rFonts w:asciiTheme="majorHAnsi" w:hAnsiTheme="majorHAnsi" w:cstheme="majorHAnsi"/>
        </w:rPr>
        <w:t>, as well as outcomes for other screening strategies including BHIVA 2018</w:t>
      </w:r>
      <w:r w:rsidR="006D070C" w:rsidRPr="000C0460">
        <w:rPr>
          <w:rFonts w:asciiTheme="majorHAnsi" w:hAnsiTheme="majorHAnsi" w:cstheme="majorHAnsi"/>
          <w:sz w:val="20"/>
          <w:szCs w:val="20"/>
        </w:rPr>
      </w:r>
      <w:r w:rsidR="004E5082" w:rsidRPr="00FB1451">
        <w:rPr>
          <w:rFonts w:asciiTheme="majorHAnsi" w:hAnsiTheme="majorHAnsi" w:cstheme="majorHAnsi"/>
          <w:sz w:val="20"/>
          <w:szCs w:val="20"/>
        </w:rPr>
        <w:instrText xml:space="preserve"/>
      </w:r>
      <w:r w:rsidR="006D070C" w:rsidRPr="0082666E">
        <w:rPr>
          <w:rFonts w:asciiTheme="majorHAnsi" w:hAnsiTheme="majorHAnsi" w:cstheme="majorHAnsi"/>
          <w:sz w:val="20"/>
          <w:szCs w:val="20"/>
        </w:rPr>
      </w:r>
      <w:r w:rsidR="004E5082" w:rsidRPr="00FB1451">
        <w:rPr>
          <w:rFonts w:asciiTheme="majorHAnsi" w:hAnsiTheme="majorHAnsi" w:cstheme="majorHAnsi"/>
          <w:noProof/>
          <w:sz w:val="20"/>
          <w:szCs w:val="20"/>
          <w:vertAlign w:val="superscript"/>
        </w:rPr>
        <w:t>[14]</w:t>
      </w:r>
      <w:r w:rsidR="006D070C" w:rsidRPr="000C0460">
        <w:rPr>
          <w:rFonts w:asciiTheme="majorHAnsi" w:hAnsiTheme="majorHAnsi" w:cstheme="majorHAnsi"/>
          <w:sz w:val="20"/>
          <w:szCs w:val="20"/>
        </w:rPr>
      </w:r>
      <w:r w:rsidR="00D95DB8" w:rsidRPr="00FB1451">
        <w:rPr>
          <w:rFonts w:asciiTheme="majorHAnsi" w:hAnsiTheme="majorHAnsi" w:cstheme="majorHAnsi"/>
        </w:rPr>
        <w:t xml:space="preserve"> and NICE</w:t>
      </w:r>
      <w:r w:rsidR="006D070C" w:rsidRPr="000C0460">
        <w:rPr>
          <w:rFonts w:asciiTheme="majorHAnsi" w:hAnsiTheme="majorHAnsi" w:cstheme="majorHAnsi"/>
          <w:sz w:val="20"/>
          <w:szCs w:val="20"/>
        </w:rPr>
      </w:r>
      <w:r w:rsidR="004E5082" w:rsidRPr="00FB1451">
        <w:rPr>
          <w:rFonts w:asciiTheme="majorHAnsi" w:hAnsiTheme="majorHAnsi" w:cstheme="majorHAnsi"/>
          <w:sz w:val="20"/>
          <w:szCs w:val="20"/>
        </w:rPr>
        <w:instrText xml:space="preserve"/>
      </w:r>
      <w:r w:rsidR="006D070C" w:rsidRPr="0082666E">
        <w:rPr>
          <w:rFonts w:asciiTheme="majorHAnsi" w:hAnsiTheme="majorHAnsi" w:cstheme="majorHAnsi"/>
          <w:sz w:val="20"/>
          <w:szCs w:val="20"/>
        </w:rPr>
      </w:r>
      <w:r w:rsidR="004E5082" w:rsidRPr="00FB1451">
        <w:rPr>
          <w:rFonts w:asciiTheme="majorHAnsi" w:hAnsiTheme="majorHAnsi" w:cstheme="majorHAnsi"/>
          <w:noProof/>
          <w:sz w:val="20"/>
          <w:szCs w:val="20"/>
          <w:vertAlign w:val="superscript"/>
        </w:rPr>
        <w:t>[13]</w:t>
      </w:r>
      <w:r w:rsidR="006D070C" w:rsidRPr="000C0460">
        <w:rPr>
          <w:rFonts w:asciiTheme="majorHAnsi" w:hAnsiTheme="majorHAnsi" w:cstheme="majorHAnsi"/>
          <w:sz w:val="20"/>
          <w:szCs w:val="20"/>
        </w:rPr>
      </w:r>
      <w:r w:rsidR="00D95DB8" w:rsidRPr="00FB1451">
        <w:rPr>
          <w:rFonts w:asciiTheme="majorHAnsi" w:hAnsiTheme="majorHAnsi" w:cstheme="majorHAnsi"/>
        </w:rPr>
        <w:t xml:space="preserve"> </w:t>
      </w:r>
      <w:r w:rsidR="004D1865" w:rsidRPr="00FB1451">
        <w:rPr>
          <w:rFonts w:asciiTheme="majorHAnsi" w:hAnsiTheme="majorHAnsi" w:cstheme="majorHAnsi"/>
        </w:rPr>
        <w:t>guidance</w:t>
      </w:r>
      <w:r w:rsidR="00D95DB8" w:rsidRPr="00FB1451">
        <w:rPr>
          <w:rFonts w:asciiTheme="majorHAnsi" w:hAnsiTheme="majorHAnsi" w:cstheme="majorHAnsi"/>
        </w:rPr>
        <w:t xml:space="preserve"> and </w:t>
      </w:r>
      <w:r w:rsidR="0007188D" w:rsidRPr="00FB1451">
        <w:rPr>
          <w:rFonts w:asciiTheme="majorHAnsi" w:hAnsiTheme="majorHAnsi" w:cstheme="majorHAnsi"/>
        </w:rPr>
        <w:t>our</w:t>
      </w:r>
      <w:r w:rsidR="00D95DB8" w:rsidRPr="00FB1451">
        <w:rPr>
          <w:rFonts w:asciiTheme="majorHAnsi" w:hAnsiTheme="majorHAnsi" w:cstheme="majorHAnsi"/>
        </w:rPr>
        <w:t xml:space="preserve"> proposed</w:t>
      </w:r>
      <w:r w:rsidR="0007188D" w:rsidRPr="00FB1451">
        <w:rPr>
          <w:rFonts w:asciiTheme="majorHAnsi" w:hAnsiTheme="majorHAnsi" w:cstheme="majorHAnsi"/>
        </w:rPr>
        <w:t xml:space="preserve"> alternative</w:t>
      </w:r>
      <w:r w:rsidR="00D95DB8" w:rsidRPr="00FB1451">
        <w:rPr>
          <w:rFonts w:asciiTheme="majorHAnsi" w:hAnsiTheme="majorHAnsi" w:cstheme="majorHAnsi"/>
        </w:rPr>
        <w:t xml:space="preserve"> </w:t>
      </w:r>
      <w:r w:rsidR="00431A40" w:rsidRPr="00FB1451">
        <w:rPr>
          <w:rFonts w:asciiTheme="majorHAnsi" w:hAnsiTheme="majorHAnsi" w:cstheme="majorHAnsi"/>
          <w:bCs/>
        </w:rPr>
        <w:t>‘PLWH-LTBI streamlined guidance’</w:t>
      </w:r>
      <w:r w:rsidR="0007188D" w:rsidRPr="00FB1451">
        <w:rPr>
          <w:rFonts w:asciiTheme="majorHAnsi" w:hAnsiTheme="majorHAnsi" w:cstheme="majorHAnsi"/>
        </w:rPr>
        <w:t xml:space="preserve"> for targeted testing</w:t>
      </w:r>
      <w:r w:rsidR="00DA1B4D" w:rsidRPr="00FB1451">
        <w:rPr>
          <w:rFonts w:asciiTheme="majorHAnsi" w:hAnsiTheme="majorHAnsi" w:cstheme="majorHAnsi"/>
        </w:rPr>
        <w:t xml:space="preserve">. As the incidence at which screening is instigated increases, fewer PLWH are eligible to be screened and, consequently, the number of identified </w:t>
      </w:r>
      <w:r w:rsidR="004464BE" w:rsidRPr="00FB1451">
        <w:rPr>
          <w:rFonts w:asciiTheme="majorHAnsi" w:hAnsiTheme="majorHAnsi" w:cstheme="majorHAnsi"/>
        </w:rPr>
        <w:t>LTBI</w:t>
      </w:r>
      <w:r w:rsidR="00DA1B4D" w:rsidRPr="00FB1451">
        <w:rPr>
          <w:rFonts w:asciiTheme="majorHAnsi" w:hAnsiTheme="majorHAnsi" w:cstheme="majorHAnsi"/>
        </w:rPr>
        <w:t xml:space="preserve"> cases also decreases. The yield (</w:t>
      </w:r>
      <w:r w:rsidR="00DA1B4D" w:rsidRPr="00FB1451">
        <w:rPr>
          <w:rFonts w:asciiTheme="majorHAnsi" w:hAnsiTheme="majorHAnsi" w:cstheme="majorHAnsi"/>
          <w:color w:val="000000" w:themeColor="text1"/>
        </w:rPr>
        <w:t xml:space="preserve">IGRA positivity rate amongst those tested) does not correspondingly increase once above the 40/100,000 </w:t>
      </w:r>
      <w:r w:rsidR="003E31BF" w:rsidRPr="00FB1451">
        <w:rPr>
          <w:rFonts w:asciiTheme="majorHAnsi" w:hAnsiTheme="majorHAnsi" w:cstheme="majorHAnsi"/>
          <w:color w:val="000000" w:themeColor="text1"/>
        </w:rPr>
        <w:t xml:space="preserve">BHIVA 2018 </w:t>
      </w:r>
      <w:r w:rsidR="00DA1B4D" w:rsidRPr="00FB1451">
        <w:rPr>
          <w:rFonts w:asciiTheme="majorHAnsi" w:hAnsiTheme="majorHAnsi" w:cstheme="majorHAnsi"/>
          <w:color w:val="000000" w:themeColor="text1"/>
        </w:rPr>
        <w:t xml:space="preserve">incidence threshold </w:t>
      </w:r>
      <w:r w:rsidR="00DA1B4D" w:rsidRPr="00FB1451">
        <w:rPr>
          <w:rFonts w:asciiTheme="majorHAnsi" w:hAnsiTheme="majorHAnsi" w:cstheme="majorHAnsi"/>
          <w:color w:val="000000" w:themeColor="text1"/>
        </w:rPr>
        <w:lastRenderedPageBreak/>
        <w:t>because we did not observe a linear increase in IGRA positivity for PLWH from countries with TB incidence in country</w:t>
      </w:r>
      <w:r w:rsidR="00431A40" w:rsidRPr="00FB1451">
        <w:rPr>
          <w:rFonts w:asciiTheme="majorHAnsi" w:hAnsiTheme="majorHAnsi" w:cstheme="majorHAnsi"/>
          <w:color w:val="000000" w:themeColor="text1"/>
        </w:rPr>
        <w:t>-</w:t>
      </w:r>
      <w:r w:rsidR="00DA1B4D" w:rsidRPr="00FB1451">
        <w:rPr>
          <w:rFonts w:asciiTheme="majorHAnsi" w:hAnsiTheme="majorHAnsi" w:cstheme="majorHAnsi"/>
          <w:color w:val="000000" w:themeColor="text1"/>
        </w:rPr>
        <w:t>of</w:t>
      </w:r>
      <w:r w:rsidR="00431A40" w:rsidRPr="00FB1451">
        <w:rPr>
          <w:rFonts w:asciiTheme="majorHAnsi" w:hAnsiTheme="majorHAnsi" w:cstheme="majorHAnsi"/>
          <w:color w:val="000000" w:themeColor="text1"/>
        </w:rPr>
        <w:t>-</w:t>
      </w:r>
      <w:r w:rsidR="00DA1B4D" w:rsidRPr="00FB1451">
        <w:rPr>
          <w:rFonts w:asciiTheme="majorHAnsi" w:hAnsiTheme="majorHAnsi" w:cstheme="majorHAnsi"/>
          <w:color w:val="000000" w:themeColor="text1"/>
        </w:rPr>
        <w:t>birth more than 40/100,000 population (table 1).</w:t>
      </w:r>
    </w:p>
    <w:p w14:paraId="083FF494" w14:textId="5D100ED3" w:rsidR="00F14FF5" w:rsidRPr="00AB06D7" w:rsidRDefault="00DA1B4D" w:rsidP="008C6451">
      <w:pPr>
        <w:spacing w:after="240" w:line="480" w:lineRule="auto"/>
        <w:jc w:val="both"/>
        <w:rPr>
          <w:rFonts w:asciiTheme="majorHAnsi" w:hAnsiTheme="majorHAnsi" w:cstheme="majorHAnsi"/>
        </w:rPr>
      </w:pPr>
      <w:r w:rsidRPr="00F54012">
        <w:rPr>
          <w:rFonts w:asciiTheme="majorHAnsi" w:hAnsiTheme="majorHAnsi" w:cstheme="majorHAnsi"/>
        </w:rPr>
        <w:t>The</w:t>
      </w:r>
      <w:r w:rsidR="0007188D" w:rsidRPr="00F54012">
        <w:rPr>
          <w:rFonts w:asciiTheme="majorHAnsi" w:hAnsiTheme="majorHAnsi" w:cstheme="majorHAnsi"/>
        </w:rPr>
        <w:t xml:space="preserve"> strategy</w:t>
      </w:r>
      <w:r w:rsidRPr="00F54012">
        <w:rPr>
          <w:rFonts w:asciiTheme="majorHAnsi" w:hAnsiTheme="majorHAnsi" w:cstheme="majorHAnsi"/>
        </w:rPr>
        <w:t xml:space="preserve"> we identified as optimising yield and efficiency of testing (the </w:t>
      </w:r>
      <w:r w:rsidR="00431A40" w:rsidRPr="00F54012">
        <w:rPr>
          <w:rFonts w:asciiTheme="majorHAnsi" w:hAnsiTheme="majorHAnsi" w:cstheme="majorHAnsi"/>
          <w:bCs/>
        </w:rPr>
        <w:t>‘PLWH-LTBI streamlined guidance’</w:t>
      </w:r>
      <w:r w:rsidRPr="00F54012">
        <w:rPr>
          <w:rFonts w:asciiTheme="majorHAnsi" w:hAnsiTheme="majorHAnsi" w:cstheme="majorHAnsi"/>
        </w:rPr>
        <w:t>) involves t</w:t>
      </w:r>
      <w:r w:rsidR="00D95DB8" w:rsidRPr="00F54012">
        <w:rPr>
          <w:rFonts w:asciiTheme="majorHAnsi" w:hAnsiTheme="majorHAnsi" w:cstheme="majorHAnsi"/>
        </w:rPr>
        <w:t>esting all PLWH with country</w:t>
      </w:r>
      <w:r w:rsidR="00431A40" w:rsidRPr="00F54012">
        <w:rPr>
          <w:rFonts w:asciiTheme="majorHAnsi" w:hAnsiTheme="majorHAnsi" w:cstheme="majorHAnsi"/>
        </w:rPr>
        <w:t>-</w:t>
      </w:r>
      <w:r w:rsidR="00D95DB8" w:rsidRPr="00F54012">
        <w:rPr>
          <w:rFonts w:asciiTheme="majorHAnsi" w:hAnsiTheme="majorHAnsi" w:cstheme="majorHAnsi"/>
        </w:rPr>
        <w:t>o</w:t>
      </w:r>
      <w:r w:rsidRPr="00F54012">
        <w:rPr>
          <w:rFonts w:asciiTheme="majorHAnsi" w:hAnsiTheme="majorHAnsi" w:cstheme="majorHAnsi"/>
        </w:rPr>
        <w:t>f</w:t>
      </w:r>
      <w:r w:rsidR="00431A40" w:rsidRPr="00F54012">
        <w:rPr>
          <w:rFonts w:asciiTheme="majorHAnsi" w:hAnsiTheme="majorHAnsi" w:cstheme="majorHAnsi"/>
        </w:rPr>
        <w:t>-</w:t>
      </w:r>
      <w:r w:rsidR="009B0F55" w:rsidRPr="00F54012">
        <w:rPr>
          <w:rFonts w:asciiTheme="majorHAnsi" w:hAnsiTheme="majorHAnsi" w:cstheme="majorHAnsi"/>
        </w:rPr>
        <w:t>birth</w:t>
      </w:r>
      <w:r w:rsidRPr="00F54012">
        <w:rPr>
          <w:rFonts w:asciiTheme="majorHAnsi" w:hAnsiTheme="majorHAnsi" w:cstheme="majorHAnsi"/>
        </w:rPr>
        <w:t xml:space="preserve"> TB</w:t>
      </w:r>
      <w:r w:rsidR="00D95DB8" w:rsidRPr="00F54012">
        <w:rPr>
          <w:rFonts w:asciiTheme="majorHAnsi" w:hAnsiTheme="majorHAnsi" w:cstheme="majorHAnsi"/>
        </w:rPr>
        <w:t xml:space="preserve"> incidence &gt;150/100,000 plus all sub-Saharan African countries</w:t>
      </w:r>
      <w:r w:rsidR="00F37421" w:rsidRPr="00F54012">
        <w:rPr>
          <w:rFonts w:asciiTheme="majorHAnsi" w:hAnsiTheme="majorHAnsi" w:cstheme="majorHAnsi"/>
        </w:rPr>
        <w:t>.</w:t>
      </w:r>
      <w:r w:rsidR="001F3D10" w:rsidRPr="00F54012">
        <w:rPr>
          <w:rFonts w:asciiTheme="majorHAnsi" w:hAnsiTheme="majorHAnsi" w:cstheme="majorHAnsi"/>
        </w:rPr>
        <w:t xml:space="preserve"> </w:t>
      </w:r>
      <w:r w:rsidR="006D070C" w:rsidRPr="00F54012">
        <w:rPr>
          <w:rFonts w:asciiTheme="majorHAnsi" w:hAnsiTheme="majorHAnsi" w:cstheme="majorHAnsi"/>
        </w:rPr>
        <w:t>Application of NICE</w:t>
      </w:r>
      <w:r w:rsidR="006D070C" w:rsidRPr="000C0460">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6D070C" w:rsidRPr="0082666E">
        <w:rPr>
          <w:rFonts w:asciiTheme="majorHAnsi" w:hAnsiTheme="majorHAnsi" w:cstheme="majorHAnsi"/>
          <w:sz w:val="20"/>
          <w:szCs w:val="20"/>
        </w:rPr>
      </w:r>
      <w:r w:rsidR="004E5082" w:rsidRPr="00F54012">
        <w:rPr>
          <w:rFonts w:asciiTheme="majorHAnsi" w:hAnsiTheme="majorHAnsi" w:cstheme="majorHAnsi"/>
          <w:noProof/>
          <w:sz w:val="20"/>
          <w:szCs w:val="20"/>
          <w:vertAlign w:val="superscript"/>
        </w:rPr>
        <w:t>[13]</w:t>
      </w:r>
      <w:r w:rsidR="006D070C" w:rsidRPr="000C0460">
        <w:rPr>
          <w:rFonts w:asciiTheme="majorHAnsi" w:hAnsiTheme="majorHAnsi" w:cstheme="majorHAnsi"/>
          <w:sz w:val="20"/>
          <w:szCs w:val="20"/>
        </w:rPr>
      </w:r>
      <w:r w:rsidR="006D070C" w:rsidRPr="00F54012">
        <w:rPr>
          <w:rFonts w:asciiTheme="majorHAnsi" w:hAnsiTheme="majorHAnsi" w:cstheme="majorHAnsi"/>
        </w:rPr>
        <w:t xml:space="preserve"> </w:t>
      </w:r>
      <w:r w:rsidR="00142C64" w:rsidRPr="00F54012">
        <w:rPr>
          <w:rFonts w:asciiTheme="majorHAnsi" w:hAnsiTheme="majorHAnsi" w:cstheme="majorHAnsi"/>
        </w:rPr>
        <w:t>and international</w:t>
      </w:r>
      <w:r w:rsidR="00142C64" w:rsidRPr="000C0460">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4E5082" w:rsidRPr="0082666E">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4E5082" w:rsidRPr="0082666E">
        <w:rPr>
          <w:rFonts w:asciiTheme="majorHAnsi" w:hAnsiTheme="majorHAnsi" w:cstheme="majorHAnsi"/>
          <w:sz w:val="20"/>
          <w:szCs w:val="20"/>
        </w:rPr>
      </w:r>
      <w:r w:rsidR="004E5082" w:rsidRPr="0082666E">
        <w:rPr>
          <w:rFonts w:asciiTheme="majorHAnsi" w:hAnsiTheme="majorHAnsi" w:cstheme="majorHAnsi"/>
          <w:sz w:val="20"/>
          <w:szCs w:val="20"/>
        </w:rPr>
      </w:r>
      <w:r w:rsidR="00142C64" w:rsidRPr="0082666E">
        <w:rPr>
          <w:rFonts w:asciiTheme="majorHAnsi" w:hAnsiTheme="majorHAnsi" w:cstheme="majorHAnsi"/>
          <w:sz w:val="20"/>
          <w:szCs w:val="20"/>
        </w:rPr>
      </w:r>
      <w:r w:rsidR="00142C64" w:rsidRPr="0082666E">
        <w:rPr>
          <w:rFonts w:asciiTheme="majorHAnsi" w:hAnsiTheme="majorHAnsi" w:cstheme="majorHAnsi"/>
          <w:sz w:val="20"/>
          <w:szCs w:val="20"/>
        </w:rPr>
      </w:r>
      <w:r w:rsidR="004E5082" w:rsidRPr="00F54012">
        <w:rPr>
          <w:rFonts w:asciiTheme="majorHAnsi" w:hAnsiTheme="majorHAnsi" w:cstheme="majorHAnsi"/>
          <w:noProof/>
          <w:sz w:val="20"/>
          <w:szCs w:val="20"/>
          <w:vertAlign w:val="superscript"/>
        </w:rPr>
        <w:t>[11, 12]</w:t>
      </w:r>
      <w:r w:rsidR="00142C64" w:rsidRPr="000C0460">
        <w:rPr>
          <w:rFonts w:asciiTheme="majorHAnsi" w:hAnsiTheme="majorHAnsi" w:cstheme="majorHAnsi"/>
          <w:sz w:val="20"/>
          <w:szCs w:val="20"/>
        </w:rPr>
      </w:r>
      <w:r w:rsidR="00142C64" w:rsidRPr="00F54012">
        <w:rPr>
          <w:rFonts w:asciiTheme="majorHAnsi" w:hAnsiTheme="majorHAnsi" w:cstheme="majorHAnsi"/>
        </w:rPr>
        <w:t xml:space="preserve"> guidance </w:t>
      </w:r>
      <w:r w:rsidR="000A4390" w:rsidRPr="00F54012">
        <w:rPr>
          <w:rFonts w:asciiTheme="majorHAnsi" w:hAnsiTheme="majorHAnsi" w:cstheme="majorHAnsi"/>
        </w:rPr>
        <w:t xml:space="preserve">i.e. </w:t>
      </w:r>
      <w:r w:rsidR="00142C64" w:rsidRPr="00F54012">
        <w:rPr>
          <w:rFonts w:asciiTheme="majorHAnsi" w:hAnsiTheme="majorHAnsi" w:cstheme="majorHAnsi"/>
        </w:rPr>
        <w:t>screen</w:t>
      </w:r>
      <w:r w:rsidR="000A4390" w:rsidRPr="00F54012">
        <w:rPr>
          <w:rFonts w:asciiTheme="majorHAnsi" w:hAnsiTheme="majorHAnsi" w:cstheme="majorHAnsi"/>
        </w:rPr>
        <w:t>ing</w:t>
      </w:r>
      <w:r w:rsidR="00142C64" w:rsidRPr="00F54012">
        <w:rPr>
          <w:rFonts w:asciiTheme="majorHAnsi" w:hAnsiTheme="majorHAnsi" w:cstheme="majorHAnsi"/>
        </w:rPr>
        <w:t xml:space="preserve"> </w:t>
      </w:r>
      <w:r w:rsidR="000A4390" w:rsidRPr="00F54012">
        <w:rPr>
          <w:rFonts w:asciiTheme="majorHAnsi" w:hAnsiTheme="majorHAnsi" w:cstheme="majorHAnsi"/>
        </w:rPr>
        <w:t>all</w:t>
      </w:r>
      <w:r w:rsidR="00142C64" w:rsidRPr="00F54012">
        <w:rPr>
          <w:rFonts w:asciiTheme="majorHAnsi" w:hAnsiTheme="majorHAnsi" w:cstheme="majorHAnsi"/>
        </w:rPr>
        <w:t xml:space="preserve"> PLWH in</w:t>
      </w:r>
      <w:r w:rsidR="006D070C" w:rsidRPr="00F54012">
        <w:rPr>
          <w:rFonts w:asciiTheme="majorHAnsi" w:hAnsiTheme="majorHAnsi" w:cstheme="majorHAnsi"/>
        </w:rPr>
        <w:t xml:space="preserve"> our cohort</w:t>
      </w:r>
      <w:r w:rsidR="000A4390" w:rsidRPr="00F54012">
        <w:rPr>
          <w:rFonts w:asciiTheme="majorHAnsi" w:hAnsiTheme="majorHAnsi" w:cstheme="majorHAnsi"/>
        </w:rPr>
        <w:t>, identifies</w:t>
      </w:r>
      <w:r w:rsidR="006D070C" w:rsidRPr="00F54012">
        <w:rPr>
          <w:rFonts w:asciiTheme="majorHAnsi" w:hAnsiTheme="majorHAnsi" w:cstheme="majorHAnsi"/>
        </w:rPr>
        <w:t xml:space="preserve"> 100% of </w:t>
      </w:r>
      <w:r w:rsidR="00A31BD9" w:rsidRPr="00F54012">
        <w:rPr>
          <w:rFonts w:asciiTheme="majorHAnsi" w:hAnsiTheme="majorHAnsi" w:cstheme="majorHAnsi"/>
        </w:rPr>
        <w:t>IGRA positive cases</w:t>
      </w:r>
      <w:r w:rsidR="00932740" w:rsidRPr="00F54012">
        <w:rPr>
          <w:rFonts w:asciiTheme="majorHAnsi" w:hAnsiTheme="majorHAnsi" w:cstheme="majorHAnsi"/>
        </w:rPr>
        <w:t xml:space="preserve"> </w:t>
      </w:r>
      <w:r w:rsidR="000A4390" w:rsidRPr="00F54012">
        <w:rPr>
          <w:rFonts w:asciiTheme="majorHAnsi" w:hAnsiTheme="majorHAnsi" w:cstheme="majorHAnsi"/>
        </w:rPr>
        <w:t xml:space="preserve">with </w:t>
      </w:r>
      <w:r w:rsidR="00932740" w:rsidRPr="00F54012">
        <w:rPr>
          <w:rFonts w:asciiTheme="majorHAnsi" w:hAnsiTheme="majorHAnsi" w:cstheme="majorHAnsi"/>
          <w:color w:val="000000" w:themeColor="text1"/>
        </w:rPr>
        <w:t>yield 1</w:t>
      </w:r>
      <w:r w:rsidR="00FB1451" w:rsidRPr="0082666E">
        <w:rPr>
          <w:rFonts w:asciiTheme="majorHAnsi" w:hAnsiTheme="majorHAnsi" w:cstheme="majorHAnsi"/>
          <w:color w:val="000000" w:themeColor="text1"/>
        </w:rPr>
        <w:t>1</w:t>
      </w:r>
      <w:r w:rsidR="003958B3" w:rsidRPr="00F54012">
        <w:rPr>
          <w:rFonts w:asciiTheme="majorHAnsi" w:hAnsiTheme="majorHAnsi" w:cstheme="majorHAnsi"/>
        </w:rPr>
        <w:t>.</w:t>
      </w:r>
      <w:r w:rsidR="00FB1451" w:rsidRPr="0082666E">
        <w:rPr>
          <w:rFonts w:asciiTheme="majorHAnsi" w:hAnsiTheme="majorHAnsi" w:cstheme="majorHAnsi"/>
        </w:rPr>
        <w:t>2</w:t>
      </w:r>
      <w:r w:rsidR="00932740" w:rsidRPr="00F54012">
        <w:rPr>
          <w:rFonts w:asciiTheme="majorHAnsi" w:hAnsiTheme="majorHAnsi" w:cstheme="majorHAnsi"/>
          <w:color w:val="000000" w:themeColor="text1"/>
        </w:rPr>
        <w:t>%</w:t>
      </w:r>
      <w:r w:rsidR="006D070C" w:rsidRPr="00F54012">
        <w:rPr>
          <w:rFonts w:asciiTheme="majorHAnsi" w:hAnsiTheme="majorHAnsi" w:cstheme="majorHAnsi"/>
        </w:rPr>
        <w:t>. Applying BHIVA 2018</w:t>
      </w:r>
      <w:r w:rsidR="006D070C" w:rsidRPr="000C0460">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6D070C" w:rsidRPr="0082666E">
        <w:rPr>
          <w:rFonts w:asciiTheme="majorHAnsi" w:hAnsiTheme="majorHAnsi" w:cstheme="majorHAnsi"/>
          <w:sz w:val="20"/>
          <w:szCs w:val="20"/>
        </w:rPr>
      </w:r>
      <w:r w:rsidR="004E5082" w:rsidRPr="00F54012">
        <w:rPr>
          <w:rFonts w:asciiTheme="majorHAnsi" w:hAnsiTheme="majorHAnsi" w:cstheme="majorHAnsi"/>
          <w:noProof/>
          <w:sz w:val="20"/>
          <w:szCs w:val="20"/>
          <w:vertAlign w:val="superscript"/>
        </w:rPr>
        <w:t>[14]</w:t>
      </w:r>
      <w:r w:rsidR="006D070C" w:rsidRPr="000C0460">
        <w:rPr>
          <w:rFonts w:asciiTheme="majorHAnsi" w:hAnsiTheme="majorHAnsi" w:cstheme="majorHAnsi"/>
          <w:sz w:val="20"/>
          <w:szCs w:val="20"/>
        </w:rPr>
      </w:r>
      <w:r w:rsidR="006D070C" w:rsidRPr="00F54012">
        <w:rPr>
          <w:rFonts w:asciiTheme="majorHAnsi" w:hAnsiTheme="majorHAnsi" w:cstheme="majorHAnsi"/>
        </w:rPr>
        <w:t xml:space="preserve"> guidance or our proposed</w:t>
      </w:r>
      <w:r w:rsidR="00431A40" w:rsidRPr="00F54012">
        <w:rPr>
          <w:rFonts w:asciiTheme="majorHAnsi" w:hAnsiTheme="majorHAnsi" w:cstheme="majorHAnsi"/>
        </w:rPr>
        <w:t xml:space="preserve"> </w:t>
      </w:r>
      <w:r w:rsidR="00431A40" w:rsidRPr="00F54012">
        <w:rPr>
          <w:rFonts w:asciiTheme="majorHAnsi" w:hAnsiTheme="majorHAnsi" w:cstheme="majorHAnsi"/>
          <w:bCs/>
        </w:rPr>
        <w:t>‘PLWH-LTBI streamlined guidance’</w:t>
      </w:r>
      <w:r w:rsidR="006D070C" w:rsidRPr="00F54012">
        <w:rPr>
          <w:rFonts w:asciiTheme="majorHAnsi" w:hAnsiTheme="majorHAnsi" w:cstheme="majorHAnsi"/>
        </w:rPr>
        <w:t xml:space="preserve"> both reduce the number of patients eligible for screening (to </w:t>
      </w:r>
      <w:r w:rsidR="00FB1451" w:rsidRPr="0082666E">
        <w:rPr>
          <w:rFonts w:asciiTheme="majorHAnsi" w:hAnsiTheme="majorHAnsi" w:cstheme="majorHAnsi"/>
        </w:rPr>
        <w:t>622</w:t>
      </w:r>
      <w:r w:rsidR="006D070C" w:rsidRPr="00F54012">
        <w:rPr>
          <w:rFonts w:asciiTheme="majorHAnsi" w:hAnsiTheme="majorHAnsi" w:cstheme="majorHAnsi"/>
        </w:rPr>
        <w:t xml:space="preserve">, </w:t>
      </w:r>
      <w:r w:rsidR="00FB1451" w:rsidRPr="0082666E">
        <w:rPr>
          <w:rFonts w:asciiTheme="majorHAnsi" w:hAnsiTheme="majorHAnsi" w:cstheme="majorHAnsi"/>
        </w:rPr>
        <w:t>59.1</w:t>
      </w:r>
      <w:r w:rsidR="006D070C" w:rsidRPr="00F54012">
        <w:rPr>
          <w:rFonts w:asciiTheme="majorHAnsi" w:hAnsiTheme="majorHAnsi" w:cstheme="majorHAnsi"/>
          <w:color w:val="000000" w:themeColor="text1"/>
        </w:rPr>
        <w:t xml:space="preserve">% and </w:t>
      </w:r>
      <w:r w:rsidR="00FB1451" w:rsidRPr="0082666E">
        <w:rPr>
          <w:rFonts w:asciiTheme="majorHAnsi" w:hAnsiTheme="majorHAnsi" w:cstheme="majorHAnsi"/>
          <w:color w:val="000000" w:themeColor="text1"/>
        </w:rPr>
        <w:t>568</w:t>
      </w:r>
      <w:r w:rsidR="006D070C" w:rsidRPr="00F54012">
        <w:rPr>
          <w:rFonts w:asciiTheme="majorHAnsi" w:hAnsiTheme="majorHAnsi" w:cstheme="majorHAnsi"/>
          <w:color w:val="000000" w:themeColor="text1"/>
        </w:rPr>
        <w:t>, 5</w:t>
      </w:r>
      <w:r w:rsidR="00FB1451" w:rsidRPr="0082666E">
        <w:rPr>
          <w:rFonts w:asciiTheme="majorHAnsi" w:hAnsiTheme="majorHAnsi" w:cstheme="majorHAnsi"/>
          <w:color w:val="000000" w:themeColor="text1"/>
        </w:rPr>
        <w:t>3</w:t>
      </w:r>
      <w:r w:rsidR="003958B3" w:rsidRPr="00F54012">
        <w:rPr>
          <w:rFonts w:asciiTheme="majorHAnsi" w:hAnsiTheme="majorHAnsi" w:cstheme="majorHAnsi"/>
        </w:rPr>
        <w:t>.</w:t>
      </w:r>
      <w:r w:rsidR="00FB1451" w:rsidRPr="0082666E">
        <w:rPr>
          <w:rFonts w:asciiTheme="majorHAnsi" w:hAnsiTheme="majorHAnsi" w:cstheme="majorHAnsi"/>
        </w:rPr>
        <w:t>9</w:t>
      </w:r>
      <w:r w:rsidR="006D070C" w:rsidRPr="00F54012">
        <w:rPr>
          <w:rFonts w:asciiTheme="majorHAnsi" w:hAnsiTheme="majorHAnsi" w:cstheme="majorHAnsi"/>
          <w:color w:val="000000" w:themeColor="text1"/>
        </w:rPr>
        <w:t>%, respectively). These screening strategies produce yield</w:t>
      </w:r>
      <w:r w:rsidR="00FB1451" w:rsidRPr="0082666E">
        <w:rPr>
          <w:rFonts w:asciiTheme="majorHAnsi" w:hAnsiTheme="majorHAnsi" w:cstheme="majorHAnsi"/>
          <w:color w:val="000000" w:themeColor="text1"/>
        </w:rPr>
        <w:t xml:space="preserve">s of 17.7% and 18.7%. Both </w:t>
      </w:r>
      <w:r w:rsidR="008917C6" w:rsidRPr="0082666E">
        <w:rPr>
          <w:rFonts w:asciiTheme="majorHAnsi" w:hAnsiTheme="majorHAnsi" w:cstheme="majorHAnsi"/>
          <w:color w:val="000000" w:themeColor="text1"/>
        </w:rPr>
        <w:t xml:space="preserve">yields </w:t>
      </w:r>
      <w:r w:rsidR="00FB1451" w:rsidRPr="0082666E">
        <w:rPr>
          <w:rFonts w:asciiTheme="majorHAnsi" w:hAnsiTheme="majorHAnsi" w:cstheme="majorHAnsi"/>
          <w:color w:val="000000" w:themeColor="text1"/>
        </w:rPr>
        <w:t>are</w:t>
      </w:r>
      <w:r w:rsidR="00932740" w:rsidRPr="00F54012">
        <w:rPr>
          <w:rFonts w:asciiTheme="majorHAnsi" w:hAnsiTheme="majorHAnsi" w:cstheme="majorHAnsi"/>
          <w:color w:val="000000" w:themeColor="text1"/>
        </w:rPr>
        <w:t xml:space="preserve"> significantly higher than NICE</w:t>
      </w:r>
      <w:r w:rsidR="00932740" w:rsidRPr="00566666">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932740" w:rsidRPr="0082666E">
        <w:rPr>
          <w:rFonts w:asciiTheme="majorHAnsi" w:hAnsiTheme="majorHAnsi" w:cstheme="majorHAnsi"/>
          <w:sz w:val="20"/>
          <w:szCs w:val="20"/>
        </w:rPr>
      </w:r>
      <w:r w:rsidR="004E5082" w:rsidRPr="00F54012">
        <w:rPr>
          <w:rFonts w:asciiTheme="majorHAnsi" w:hAnsiTheme="majorHAnsi" w:cstheme="majorHAnsi"/>
          <w:noProof/>
          <w:sz w:val="20"/>
          <w:szCs w:val="20"/>
          <w:vertAlign w:val="superscript"/>
        </w:rPr>
        <w:t>[13]</w:t>
      </w:r>
      <w:r w:rsidR="00932740" w:rsidRPr="00566666">
        <w:rPr>
          <w:rFonts w:asciiTheme="majorHAnsi" w:hAnsiTheme="majorHAnsi" w:cstheme="majorHAnsi"/>
          <w:sz w:val="20"/>
          <w:szCs w:val="20"/>
        </w:rPr>
      </w:r>
      <w:r w:rsidR="00932740" w:rsidRPr="00F54012">
        <w:rPr>
          <w:rFonts w:asciiTheme="majorHAnsi" w:hAnsiTheme="majorHAnsi" w:cstheme="majorHAnsi"/>
          <w:color w:val="000000" w:themeColor="text1"/>
        </w:rPr>
        <w:t xml:space="preserve"> guidelines, </w:t>
      </w:r>
      <w:r w:rsidR="00FB1451" w:rsidRPr="0082666E">
        <w:rPr>
          <w:rFonts w:asciiTheme="majorHAnsi" w:hAnsiTheme="majorHAnsi" w:cstheme="majorHAnsi"/>
          <w:color w:val="000000" w:themeColor="text1"/>
        </w:rPr>
        <w:t xml:space="preserve">(proposed guidance v NICE, </w:t>
      </w:r>
      <w:r w:rsidR="00932740" w:rsidRPr="00F54012">
        <w:rPr>
          <w:rFonts w:asciiTheme="majorHAnsi" w:hAnsiTheme="majorHAnsi" w:cstheme="majorHAnsi"/>
        </w:rPr>
        <w:t>p</w:t>
      </w:r>
      <w:r w:rsidR="00FB1451" w:rsidRPr="0082666E">
        <w:rPr>
          <w:rFonts w:asciiTheme="majorHAnsi" w:hAnsiTheme="majorHAnsi" w:cstheme="majorHAnsi"/>
        </w:rPr>
        <w:t>&lt;</w:t>
      </w:r>
      <w:r w:rsidR="00932740" w:rsidRPr="00F54012">
        <w:rPr>
          <w:rFonts w:asciiTheme="majorHAnsi" w:hAnsiTheme="majorHAnsi" w:cstheme="majorHAnsi"/>
        </w:rPr>
        <w:t>0</w:t>
      </w:r>
      <w:r w:rsidR="003958B3" w:rsidRPr="00F54012">
        <w:rPr>
          <w:rFonts w:asciiTheme="majorHAnsi" w:hAnsiTheme="majorHAnsi" w:cstheme="majorHAnsi"/>
        </w:rPr>
        <w:t>.</w:t>
      </w:r>
      <w:r w:rsidR="00932740" w:rsidRPr="00F54012">
        <w:rPr>
          <w:rFonts w:asciiTheme="majorHAnsi" w:hAnsiTheme="majorHAnsi" w:cstheme="majorHAnsi"/>
        </w:rPr>
        <w:t>0001</w:t>
      </w:r>
      <w:r w:rsidR="00FB1451" w:rsidRPr="0082666E">
        <w:rPr>
          <w:rFonts w:asciiTheme="majorHAnsi" w:hAnsiTheme="majorHAnsi" w:cstheme="majorHAnsi"/>
        </w:rPr>
        <w:t>; BHIVA guidance v NICE, p=0.0002</w:t>
      </w:r>
      <w:r w:rsidR="006D070C" w:rsidRPr="00F54012">
        <w:rPr>
          <w:rFonts w:asciiTheme="majorHAnsi" w:hAnsiTheme="majorHAnsi" w:cstheme="majorHAnsi"/>
          <w:color w:val="000000" w:themeColor="text1"/>
        </w:rPr>
        <w:t>)</w:t>
      </w:r>
      <w:r w:rsidR="00FB1451" w:rsidRPr="0082666E">
        <w:rPr>
          <w:rFonts w:asciiTheme="majorHAnsi" w:hAnsiTheme="majorHAnsi" w:cstheme="majorHAnsi"/>
          <w:color w:val="000000" w:themeColor="text1"/>
        </w:rPr>
        <w:t>.</w:t>
      </w:r>
      <w:r w:rsidR="006D070C" w:rsidRPr="00F54012">
        <w:rPr>
          <w:rFonts w:asciiTheme="majorHAnsi" w:hAnsiTheme="majorHAnsi" w:cstheme="majorHAnsi"/>
          <w:color w:val="000000" w:themeColor="text1"/>
        </w:rPr>
        <w:t xml:space="preserve"> </w:t>
      </w:r>
      <w:r w:rsidR="006D070C" w:rsidRPr="00F54012">
        <w:rPr>
          <w:rFonts w:asciiTheme="majorHAnsi" w:hAnsiTheme="majorHAnsi" w:cstheme="majorHAnsi"/>
        </w:rPr>
        <w:t>BHIVA 2018</w:t>
      </w:r>
      <w:r w:rsidR="006F7ADE" w:rsidRPr="00566666">
        <w:rPr>
          <w:rFonts w:asciiTheme="majorHAnsi" w:hAnsiTheme="majorHAnsi" w:cstheme="majorHAnsi"/>
          <w:sz w:val="20"/>
          <w:szCs w:val="20"/>
        </w:rPr>
      </w:r>
      <w:r w:rsidR="004E5082" w:rsidRPr="00F54012">
        <w:rPr>
          <w:rFonts w:asciiTheme="majorHAnsi" w:hAnsiTheme="majorHAnsi" w:cstheme="majorHAnsi"/>
          <w:sz w:val="20"/>
          <w:szCs w:val="20"/>
        </w:rPr>
        <w:instrText xml:space="preserve"/>
      </w:r>
      <w:r w:rsidR="006F7ADE" w:rsidRPr="0082666E">
        <w:rPr>
          <w:rFonts w:asciiTheme="majorHAnsi" w:hAnsiTheme="majorHAnsi" w:cstheme="majorHAnsi"/>
          <w:sz w:val="20"/>
          <w:szCs w:val="20"/>
        </w:rPr>
      </w:r>
      <w:r w:rsidR="004E5082" w:rsidRPr="00F54012">
        <w:rPr>
          <w:rFonts w:asciiTheme="majorHAnsi" w:hAnsiTheme="majorHAnsi" w:cstheme="majorHAnsi"/>
          <w:noProof/>
          <w:sz w:val="20"/>
          <w:szCs w:val="20"/>
          <w:vertAlign w:val="superscript"/>
        </w:rPr>
        <w:t>[14]</w:t>
      </w:r>
      <w:r w:rsidR="006F7ADE" w:rsidRPr="00566666">
        <w:rPr>
          <w:rFonts w:asciiTheme="majorHAnsi" w:hAnsiTheme="majorHAnsi" w:cstheme="majorHAnsi"/>
          <w:sz w:val="20"/>
          <w:szCs w:val="20"/>
        </w:rPr>
      </w:r>
      <w:r w:rsidR="006D070C" w:rsidRPr="00F54012">
        <w:rPr>
          <w:rFonts w:asciiTheme="majorHAnsi" w:hAnsiTheme="majorHAnsi" w:cstheme="majorHAnsi"/>
        </w:rPr>
        <w:t xml:space="preserve"> guidance miss</w:t>
      </w:r>
      <w:r w:rsidR="00FB1451" w:rsidRPr="0082666E">
        <w:rPr>
          <w:rFonts w:asciiTheme="majorHAnsi" w:hAnsiTheme="majorHAnsi" w:cstheme="majorHAnsi"/>
        </w:rPr>
        <w:t>es</w:t>
      </w:r>
      <w:r w:rsidR="006D070C" w:rsidRPr="00F54012">
        <w:rPr>
          <w:rFonts w:asciiTheme="majorHAnsi" w:hAnsiTheme="majorHAnsi" w:cstheme="majorHAnsi"/>
        </w:rPr>
        <w:t xml:space="preserve"> marginally fewer infections </w:t>
      </w:r>
      <w:r w:rsidR="00FB1451" w:rsidRPr="0082666E">
        <w:rPr>
          <w:rFonts w:asciiTheme="majorHAnsi" w:hAnsiTheme="majorHAnsi" w:cstheme="majorHAnsi"/>
        </w:rPr>
        <w:t xml:space="preserve">than in our proposed strategy </w:t>
      </w:r>
      <w:r w:rsidR="006D070C" w:rsidRPr="00F54012">
        <w:rPr>
          <w:rFonts w:asciiTheme="majorHAnsi" w:hAnsiTheme="majorHAnsi" w:cstheme="majorHAnsi"/>
        </w:rPr>
        <w:t xml:space="preserve">(percentage IGRA positives correctly identified </w:t>
      </w:r>
      <w:r w:rsidR="006D070C" w:rsidRPr="00F54012">
        <w:rPr>
          <w:rFonts w:asciiTheme="majorHAnsi" w:hAnsiTheme="majorHAnsi" w:cstheme="majorHAnsi"/>
          <w:color w:val="000000" w:themeColor="text1"/>
        </w:rPr>
        <w:t>9</w:t>
      </w:r>
      <w:r w:rsidR="00A2181E" w:rsidRPr="00F54012">
        <w:rPr>
          <w:rFonts w:asciiTheme="majorHAnsi" w:hAnsiTheme="majorHAnsi" w:cstheme="majorHAnsi"/>
          <w:color w:val="000000" w:themeColor="text1"/>
        </w:rPr>
        <w:t>3</w:t>
      </w:r>
      <w:r w:rsidR="003958B3" w:rsidRPr="00F54012">
        <w:rPr>
          <w:rFonts w:asciiTheme="majorHAnsi" w:hAnsiTheme="majorHAnsi" w:cstheme="majorHAnsi"/>
        </w:rPr>
        <w:t>.</w:t>
      </w:r>
      <w:r w:rsidR="00FB1451" w:rsidRPr="0082666E">
        <w:rPr>
          <w:rFonts w:asciiTheme="majorHAnsi" w:hAnsiTheme="majorHAnsi" w:cstheme="majorHAnsi"/>
        </w:rPr>
        <w:t>2</w:t>
      </w:r>
      <w:r w:rsidR="006D070C" w:rsidRPr="00F54012">
        <w:rPr>
          <w:rFonts w:asciiTheme="majorHAnsi" w:hAnsiTheme="majorHAnsi" w:cstheme="majorHAnsi"/>
          <w:color w:val="000000" w:themeColor="text1"/>
        </w:rPr>
        <w:t>% versus 8</w:t>
      </w:r>
      <w:r w:rsidR="00FB1451" w:rsidRPr="0082666E">
        <w:rPr>
          <w:rFonts w:asciiTheme="majorHAnsi" w:hAnsiTheme="majorHAnsi" w:cstheme="majorHAnsi"/>
        </w:rPr>
        <w:t>9</w:t>
      </w:r>
      <w:r w:rsidR="003958B3" w:rsidRPr="00F54012">
        <w:rPr>
          <w:rFonts w:asciiTheme="majorHAnsi" w:hAnsiTheme="majorHAnsi" w:cstheme="majorHAnsi"/>
        </w:rPr>
        <w:t>.</w:t>
      </w:r>
      <w:r w:rsidR="00FB1451" w:rsidRPr="0082666E">
        <w:rPr>
          <w:rFonts w:asciiTheme="majorHAnsi" w:hAnsiTheme="majorHAnsi" w:cstheme="majorHAnsi"/>
        </w:rPr>
        <w:t>8</w:t>
      </w:r>
      <w:r w:rsidR="006D070C" w:rsidRPr="00F54012">
        <w:rPr>
          <w:rFonts w:asciiTheme="majorHAnsi" w:hAnsiTheme="majorHAnsi" w:cstheme="majorHAnsi"/>
          <w:color w:val="000000" w:themeColor="text1"/>
        </w:rPr>
        <w:t>%).</w:t>
      </w:r>
      <w:r w:rsidR="00932740" w:rsidRPr="00F54012">
        <w:rPr>
          <w:rFonts w:asciiTheme="majorHAnsi" w:hAnsiTheme="majorHAnsi" w:cstheme="majorHAnsi"/>
          <w:color w:val="000000" w:themeColor="text1"/>
        </w:rPr>
        <w:t xml:space="preserve"> There was no statistically significant difference in any of </w:t>
      </w:r>
      <w:r w:rsidR="00932740" w:rsidRPr="00F54012">
        <w:rPr>
          <w:rFonts w:asciiTheme="majorHAnsi" w:hAnsiTheme="majorHAnsi" w:cstheme="majorHAnsi"/>
        </w:rPr>
        <w:t xml:space="preserve">the outcomes shown in </w:t>
      </w:r>
      <w:r w:rsidR="00A83938" w:rsidRPr="00F54012">
        <w:rPr>
          <w:rFonts w:asciiTheme="majorHAnsi" w:hAnsiTheme="majorHAnsi" w:cstheme="majorHAnsi"/>
        </w:rPr>
        <w:t>t</w:t>
      </w:r>
      <w:r w:rsidR="00932740" w:rsidRPr="00F54012">
        <w:rPr>
          <w:rFonts w:asciiTheme="majorHAnsi" w:hAnsiTheme="majorHAnsi" w:cstheme="majorHAnsi"/>
        </w:rPr>
        <w:t>able 3 between BHIVA 2018</w:t>
      </w:r>
      <w:r w:rsidR="00932740" w:rsidRPr="00566666">
        <w:rPr>
          <w:rFonts w:asciiTheme="majorHAnsi" w:hAnsiTheme="majorHAnsi" w:cstheme="majorHAnsi"/>
        </w:rPr>
      </w:r>
      <w:r w:rsidR="004E5082" w:rsidRPr="00F54012">
        <w:rPr>
          <w:rFonts w:asciiTheme="majorHAnsi" w:hAnsiTheme="majorHAnsi" w:cstheme="majorHAnsi"/>
        </w:rPr>
        <w:instrText xml:space="preserve"/>
      </w:r>
      <w:r w:rsidR="00932740" w:rsidRPr="0082666E">
        <w:rPr>
          <w:rFonts w:asciiTheme="majorHAnsi" w:hAnsiTheme="majorHAnsi" w:cstheme="majorHAnsi"/>
        </w:rPr>
      </w:r>
      <w:r w:rsidR="004E5082" w:rsidRPr="00F54012">
        <w:rPr>
          <w:rFonts w:asciiTheme="majorHAnsi" w:hAnsiTheme="majorHAnsi" w:cstheme="majorHAnsi"/>
          <w:noProof/>
          <w:vertAlign w:val="superscript"/>
        </w:rPr>
        <w:t>[14]</w:t>
      </w:r>
      <w:r w:rsidR="00932740" w:rsidRPr="00566666">
        <w:rPr>
          <w:rFonts w:asciiTheme="majorHAnsi" w:hAnsiTheme="majorHAnsi" w:cstheme="majorHAnsi"/>
        </w:rPr>
      </w:r>
      <w:r w:rsidR="00932740" w:rsidRPr="00F54012">
        <w:rPr>
          <w:rFonts w:asciiTheme="majorHAnsi" w:hAnsiTheme="majorHAnsi" w:cstheme="majorHAnsi"/>
        </w:rPr>
        <w:t xml:space="preserve"> and the </w:t>
      </w:r>
      <w:r w:rsidR="00431A40" w:rsidRPr="00F54012">
        <w:rPr>
          <w:rFonts w:asciiTheme="majorHAnsi" w:hAnsiTheme="majorHAnsi" w:cstheme="majorHAnsi"/>
          <w:bCs/>
        </w:rPr>
        <w:t>‘PLWH-LTBI streamlined guidance’</w:t>
      </w:r>
      <w:r w:rsidR="008917C6" w:rsidRPr="0082666E">
        <w:rPr>
          <w:rFonts w:asciiTheme="majorHAnsi" w:hAnsiTheme="majorHAnsi" w:cstheme="majorHAnsi"/>
          <w:bCs/>
        </w:rPr>
        <w:t xml:space="preserve"> (p=0.66</w:t>
      </w:r>
      <w:r w:rsidR="006F4E0C">
        <w:rPr>
          <w:rFonts w:asciiTheme="majorHAnsi" w:hAnsiTheme="majorHAnsi" w:cstheme="majorHAnsi"/>
          <w:bCs/>
        </w:rPr>
        <w:t>)</w:t>
      </w:r>
      <w:r w:rsidR="00A91893" w:rsidRPr="00F54012">
        <w:rPr>
          <w:rFonts w:asciiTheme="majorHAnsi" w:hAnsiTheme="majorHAnsi" w:cstheme="majorHAnsi"/>
        </w:rPr>
        <w:t>.</w:t>
      </w:r>
    </w:p>
    <w:p w14:paraId="234200CA" w14:textId="0BB0EDF2" w:rsidR="00566B98" w:rsidRPr="00AB06D7" w:rsidRDefault="00F10FF4" w:rsidP="008C6451">
      <w:pPr>
        <w:pStyle w:val="Heading2"/>
        <w:numPr>
          <w:ilvl w:val="0"/>
          <w:numId w:val="0"/>
        </w:numPr>
        <w:spacing w:after="240" w:line="480" w:lineRule="auto"/>
        <w:ind w:left="420" w:hanging="420"/>
        <w:rPr>
          <w:rFonts w:asciiTheme="majorHAnsi" w:hAnsiTheme="majorHAnsi" w:cstheme="majorHAnsi"/>
        </w:rPr>
      </w:pPr>
      <w:r>
        <w:rPr>
          <w:rFonts w:asciiTheme="majorHAnsi" w:hAnsiTheme="majorHAnsi" w:cstheme="majorHAnsi"/>
        </w:rPr>
        <w:t>Discussion</w:t>
      </w:r>
    </w:p>
    <w:p w14:paraId="4F64AA56" w14:textId="38FF4DC5" w:rsidR="00566B98" w:rsidRDefault="00B94E67" w:rsidP="008C6451">
      <w:pPr>
        <w:spacing w:after="240" w:line="480" w:lineRule="auto"/>
        <w:jc w:val="both"/>
        <w:rPr>
          <w:rFonts w:asciiTheme="majorHAnsi" w:hAnsiTheme="majorHAnsi" w:cstheme="majorHAnsi"/>
        </w:rPr>
      </w:pPr>
      <w:r>
        <w:rPr>
          <w:rFonts w:asciiTheme="majorHAnsi" w:hAnsiTheme="majorHAnsi" w:cstheme="majorHAnsi"/>
        </w:rPr>
        <w:t>O</w:t>
      </w:r>
      <w:r w:rsidR="00A95168">
        <w:rPr>
          <w:rFonts w:asciiTheme="majorHAnsi" w:hAnsiTheme="majorHAnsi" w:cstheme="majorHAnsi"/>
        </w:rPr>
        <w:t>ur</w:t>
      </w:r>
      <w:r w:rsidR="00566B98" w:rsidRPr="00AB06D7">
        <w:rPr>
          <w:rFonts w:asciiTheme="majorHAnsi" w:hAnsiTheme="majorHAnsi" w:cstheme="majorHAnsi"/>
        </w:rPr>
        <w:t xml:space="preserve"> study describes </w:t>
      </w:r>
      <w:r>
        <w:rPr>
          <w:rFonts w:asciiTheme="majorHAnsi" w:hAnsiTheme="majorHAnsi" w:cstheme="majorHAnsi"/>
        </w:rPr>
        <w:t>a</w:t>
      </w:r>
      <w:r w:rsidR="00566B98" w:rsidRPr="00AB06D7">
        <w:rPr>
          <w:rFonts w:asciiTheme="majorHAnsi" w:hAnsiTheme="majorHAnsi" w:cstheme="majorHAnsi"/>
        </w:rPr>
        <w:t xml:space="preserve"> large prospective, systematic LTBI screening programme implemented </w:t>
      </w:r>
      <w:r w:rsidR="00A95168">
        <w:rPr>
          <w:rFonts w:asciiTheme="majorHAnsi" w:hAnsiTheme="majorHAnsi" w:cstheme="majorHAnsi"/>
        </w:rPr>
        <w:t>among</w:t>
      </w:r>
      <w:r w:rsidR="00566B98" w:rsidRPr="00AB06D7">
        <w:rPr>
          <w:rFonts w:asciiTheme="majorHAnsi" w:hAnsiTheme="majorHAnsi" w:cstheme="majorHAnsi"/>
        </w:rPr>
        <w:t xml:space="preserve"> PLWH</w:t>
      </w:r>
      <w:r w:rsidR="00A95168">
        <w:rPr>
          <w:rFonts w:asciiTheme="majorHAnsi" w:hAnsiTheme="majorHAnsi" w:cstheme="majorHAnsi"/>
        </w:rPr>
        <w:t xml:space="preserve"> </w:t>
      </w:r>
      <w:r w:rsidR="00566B98" w:rsidRPr="00AB06D7">
        <w:rPr>
          <w:rFonts w:asciiTheme="majorHAnsi" w:hAnsiTheme="majorHAnsi" w:cstheme="majorHAnsi"/>
        </w:rPr>
        <w:t>in a low TB incidence country</w:t>
      </w:r>
      <w:r w:rsidR="00AE7AFB">
        <w:rPr>
          <w:rFonts w:asciiTheme="majorHAnsi" w:hAnsiTheme="majorHAnsi" w:cstheme="majorHAnsi"/>
        </w:rPr>
        <w:t xml:space="preserve"> and is the first to report chemoprophylaxis treatment uptake and completion rates</w:t>
      </w:r>
      <w:r w:rsidR="00566B98" w:rsidRPr="00AB06D7">
        <w:rPr>
          <w:rFonts w:asciiTheme="majorHAnsi" w:hAnsiTheme="majorHAnsi" w:cstheme="majorHAnsi"/>
        </w:rPr>
        <w:t>.</w:t>
      </w:r>
      <w:r w:rsidR="0024562D" w:rsidRPr="00AB06D7">
        <w:rPr>
          <w:rFonts w:asciiTheme="majorHAnsi" w:hAnsiTheme="majorHAnsi" w:cstheme="majorHAnsi"/>
        </w:rPr>
        <w:t xml:space="preserve"> </w:t>
      </w:r>
      <w:r w:rsidR="00566B98" w:rsidRPr="00AB06D7">
        <w:rPr>
          <w:rFonts w:asciiTheme="majorHAnsi" w:hAnsiTheme="majorHAnsi" w:cstheme="majorHAnsi"/>
        </w:rPr>
        <w:t>Overall, 1</w:t>
      </w:r>
      <w:r w:rsidR="008D72FD">
        <w:rPr>
          <w:rFonts w:asciiTheme="majorHAnsi" w:hAnsiTheme="majorHAnsi" w:cstheme="majorHAnsi"/>
        </w:rPr>
        <w:t>1</w:t>
      </w:r>
      <w:r w:rsidR="003958B3">
        <w:rPr>
          <w:rFonts w:asciiTheme="majorHAnsi" w:hAnsiTheme="majorHAnsi" w:cstheme="majorHAnsi"/>
        </w:rPr>
        <w:t>.</w:t>
      </w:r>
      <w:r w:rsidR="008D72FD">
        <w:rPr>
          <w:rFonts w:asciiTheme="majorHAnsi" w:hAnsiTheme="majorHAnsi" w:cstheme="majorHAnsi"/>
        </w:rPr>
        <w:t>1</w:t>
      </w:r>
      <w:r w:rsidR="00566B98" w:rsidRPr="00AB06D7">
        <w:rPr>
          <w:rFonts w:asciiTheme="majorHAnsi" w:hAnsiTheme="majorHAnsi" w:cstheme="majorHAnsi"/>
        </w:rPr>
        <w:t>%</w:t>
      </w:r>
      <w:r w:rsidR="008D72FD">
        <w:rPr>
          <w:rFonts w:asciiTheme="majorHAnsi" w:hAnsiTheme="majorHAnsi" w:cstheme="majorHAnsi"/>
        </w:rPr>
        <w:t xml:space="preserve"> (117/1053)</w:t>
      </w:r>
      <w:r w:rsidR="00566B98" w:rsidRPr="00AB06D7">
        <w:rPr>
          <w:rFonts w:asciiTheme="majorHAnsi" w:hAnsiTheme="majorHAnsi" w:cstheme="majorHAnsi"/>
        </w:rPr>
        <w:t xml:space="preserve"> of screened patients had LTBI, confirming that there is significant potential to reduce incident TB</w:t>
      </w:r>
      <w:r w:rsidR="00EC12EA">
        <w:rPr>
          <w:rFonts w:asciiTheme="majorHAnsi" w:hAnsiTheme="majorHAnsi" w:cstheme="majorHAnsi"/>
        </w:rPr>
        <w:t xml:space="preserve"> rates</w:t>
      </w:r>
      <w:r w:rsidR="00566B98" w:rsidRPr="00AB06D7">
        <w:rPr>
          <w:rFonts w:asciiTheme="majorHAnsi" w:hAnsiTheme="majorHAnsi" w:cstheme="majorHAnsi"/>
        </w:rPr>
        <w:t xml:space="preserve"> amongst PLWH in the UK.</w:t>
      </w:r>
      <w:r w:rsidR="0024562D" w:rsidRPr="00AB06D7">
        <w:rPr>
          <w:rFonts w:asciiTheme="majorHAnsi" w:hAnsiTheme="majorHAnsi" w:cstheme="majorHAnsi"/>
        </w:rPr>
        <w:t xml:space="preserve"> </w:t>
      </w:r>
      <w:r w:rsidR="00566B98" w:rsidRPr="00AB06D7">
        <w:rPr>
          <w:rFonts w:asciiTheme="majorHAnsi" w:hAnsiTheme="majorHAnsi" w:cstheme="majorHAnsi"/>
        </w:rPr>
        <w:t xml:space="preserve">TB </w:t>
      </w:r>
      <w:r w:rsidR="00E074BC">
        <w:rPr>
          <w:rFonts w:asciiTheme="majorHAnsi" w:hAnsiTheme="majorHAnsi" w:cstheme="majorHAnsi"/>
        </w:rPr>
        <w:t xml:space="preserve">incidence </w:t>
      </w:r>
      <w:r w:rsidR="00566B98" w:rsidRPr="00AB06D7">
        <w:rPr>
          <w:rFonts w:asciiTheme="majorHAnsi" w:hAnsiTheme="majorHAnsi" w:cstheme="majorHAnsi"/>
        </w:rPr>
        <w:t>in this</w:t>
      </w:r>
      <w:r w:rsidR="00A95168">
        <w:rPr>
          <w:rFonts w:asciiTheme="majorHAnsi" w:hAnsiTheme="majorHAnsi" w:cstheme="majorHAnsi"/>
        </w:rPr>
        <w:t xml:space="preserve"> Leicester</w:t>
      </w:r>
      <w:r w:rsidR="00566B98" w:rsidRPr="00AB06D7">
        <w:rPr>
          <w:rFonts w:asciiTheme="majorHAnsi" w:hAnsiTheme="majorHAnsi" w:cstheme="majorHAnsi"/>
        </w:rPr>
        <w:t xml:space="preserve"> cohort </w:t>
      </w:r>
      <w:r w:rsidR="00E074BC">
        <w:rPr>
          <w:rFonts w:asciiTheme="majorHAnsi" w:hAnsiTheme="majorHAnsi" w:cstheme="majorHAnsi"/>
        </w:rPr>
        <w:t>is</w:t>
      </w:r>
      <w:r w:rsidR="00566B98" w:rsidRPr="00AB06D7">
        <w:rPr>
          <w:rFonts w:asciiTheme="majorHAnsi" w:hAnsiTheme="majorHAnsi" w:cstheme="majorHAnsi"/>
        </w:rPr>
        <w:t xml:space="preserve"> extremely high</w:t>
      </w:r>
      <w:r w:rsidR="00A95168">
        <w:rPr>
          <w:rFonts w:asciiTheme="majorHAnsi" w:hAnsiTheme="majorHAnsi" w:cstheme="majorHAnsi"/>
        </w:rPr>
        <w:t xml:space="preserve">: of the 2158 patients ever treated for HIV in Leicester, 325 (15%) have had active TB, with 100 of these (31%) </w:t>
      </w:r>
      <w:r w:rsidR="00A95168">
        <w:rPr>
          <w:rFonts w:asciiTheme="majorHAnsi" w:hAnsiTheme="majorHAnsi" w:cstheme="majorHAnsi"/>
        </w:rPr>
        <w:lastRenderedPageBreak/>
        <w:t xml:space="preserve">having incident </w:t>
      </w:r>
      <w:r w:rsidR="00A95168" w:rsidRPr="00993991">
        <w:rPr>
          <w:rFonts w:asciiTheme="majorHAnsi" w:hAnsiTheme="majorHAnsi" w:cstheme="majorHAnsi"/>
        </w:rPr>
        <w:t>TB occurring more than 3 months after HIV diagnosi</w:t>
      </w:r>
      <w:r w:rsidR="00993991" w:rsidRPr="00993991">
        <w:rPr>
          <w:rFonts w:asciiTheme="majorHAnsi" w:hAnsiTheme="majorHAnsi" w:cstheme="majorHAnsi"/>
        </w:rPr>
        <w:t>s</w:t>
      </w:r>
      <w:r w:rsidR="007158CE">
        <w:rPr>
          <w:rFonts w:asciiTheme="majorHAnsi" w:hAnsiTheme="majorHAnsi" w:cstheme="majorHAnsi"/>
        </w:rPr>
        <w:t>.</w:t>
      </w:r>
      <w:r w:rsidR="009F451A" w:rsidRPr="00993991">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9F451A" w:rsidRPr="00993991">
        <w:rPr>
          <w:rFonts w:asciiTheme="majorHAnsi" w:hAnsiTheme="majorHAnsi" w:cstheme="majorHAnsi"/>
        </w:rPr>
      </w:r>
      <w:r w:rsidR="009F451A" w:rsidRPr="00993991">
        <w:rPr>
          <w:rFonts w:asciiTheme="majorHAnsi" w:hAnsiTheme="majorHAnsi" w:cstheme="majorHAnsi"/>
        </w:rPr>
      </w:r>
      <w:r w:rsidR="004E5082" w:rsidRPr="004E5082">
        <w:rPr>
          <w:rFonts w:asciiTheme="majorHAnsi" w:hAnsiTheme="majorHAnsi" w:cstheme="majorHAnsi"/>
          <w:noProof/>
          <w:vertAlign w:val="superscript"/>
        </w:rPr>
        <w:t>[15, 27]</w:t>
      </w:r>
      <w:r w:rsidR="009F451A" w:rsidRPr="00993991">
        <w:rPr>
          <w:rFonts w:asciiTheme="majorHAnsi" w:hAnsiTheme="majorHAnsi" w:cstheme="majorHAnsi"/>
        </w:rPr>
      </w:r>
      <w:r w:rsidR="00E074BC" w:rsidRPr="00993991">
        <w:rPr>
          <w:rFonts w:asciiTheme="majorHAnsi" w:hAnsiTheme="majorHAnsi" w:cstheme="majorHAnsi"/>
        </w:rPr>
        <w:t xml:space="preserve"> </w:t>
      </w:r>
      <w:r w:rsidR="00E00825" w:rsidRPr="00993991">
        <w:rPr>
          <w:rFonts w:asciiTheme="majorHAnsi" w:hAnsiTheme="majorHAnsi" w:cstheme="majorHAnsi"/>
        </w:rPr>
        <w:t>T</w:t>
      </w:r>
      <w:r w:rsidR="00566B98" w:rsidRPr="00993991">
        <w:rPr>
          <w:rFonts w:asciiTheme="majorHAnsi" w:hAnsiTheme="majorHAnsi" w:cstheme="majorHAnsi"/>
        </w:rPr>
        <w:t>herefore</w:t>
      </w:r>
      <w:r w:rsidR="00566B98" w:rsidRPr="00AB06D7">
        <w:rPr>
          <w:rFonts w:asciiTheme="majorHAnsi" w:hAnsiTheme="majorHAnsi" w:cstheme="majorHAnsi"/>
        </w:rPr>
        <w:t xml:space="preserve"> it is imperative that the burden of LTBI amongst </w:t>
      </w:r>
      <w:r w:rsidR="00E00825" w:rsidRPr="00AB06D7">
        <w:rPr>
          <w:rFonts w:asciiTheme="majorHAnsi" w:hAnsiTheme="majorHAnsi" w:cstheme="majorHAnsi"/>
        </w:rPr>
        <w:t>PLWH</w:t>
      </w:r>
      <w:r w:rsidR="00566B98" w:rsidRPr="00AB06D7">
        <w:rPr>
          <w:rFonts w:asciiTheme="majorHAnsi" w:hAnsiTheme="majorHAnsi" w:cstheme="majorHAnsi"/>
        </w:rPr>
        <w:t xml:space="preserve"> is addressed</w:t>
      </w:r>
      <w:r w:rsidR="00D87CA4">
        <w:rPr>
          <w:rFonts w:asciiTheme="majorHAnsi" w:hAnsiTheme="majorHAnsi" w:cstheme="majorHAnsi"/>
        </w:rPr>
        <w:t xml:space="preserve"> to prevent incidence of active infection</w:t>
      </w:r>
      <w:r w:rsidR="00566B98" w:rsidRPr="00AB06D7">
        <w:rPr>
          <w:rFonts w:asciiTheme="majorHAnsi" w:hAnsiTheme="majorHAnsi" w:cstheme="majorHAnsi"/>
        </w:rPr>
        <w:t>.</w:t>
      </w:r>
      <w:r w:rsidR="009E67D1" w:rsidRPr="00AB06D7">
        <w:rPr>
          <w:rFonts w:asciiTheme="majorHAnsi" w:hAnsiTheme="majorHAnsi" w:cstheme="majorHAnsi"/>
        </w:rPr>
        <w:t xml:space="preserve"> </w:t>
      </w:r>
      <w:r w:rsidR="00667E8A">
        <w:rPr>
          <w:rFonts w:asciiTheme="majorHAnsi" w:hAnsiTheme="majorHAnsi" w:cstheme="majorHAnsi"/>
        </w:rPr>
        <w:t xml:space="preserve">Our study showed high acceptance of LTBI testing among PLWH, </w:t>
      </w:r>
      <w:r w:rsidR="00AB58AC">
        <w:rPr>
          <w:rFonts w:asciiTheme="majorHAnsi" w:hAnsiTheme="majorHAnsi" w:cstheme="majorHAnsi"/>
        </w:rPr>
        <w:t>with</w:t>
      </w:r>
      <w:r w:rsidR="00667E8A">
        <w:rPr>
          <w:rFonts w:asciiTheme="majorHAnsi" w:hAnsiTheme="majorHAnsi" w:cstheme="majorHAnsi"/>
        </w:rPr>
        <w:t xml:space="preserve"> high</w:t>
      </w:r>
      <w:r w:rsidR="00AB58AC" w:rsidRPr="00AB58AC">
        <w:rPr>
          <w:rFonts w:asciiTheme="majorHAnsi" w:hAnsiTheme="majorHAnsi" w:cstheme="majorHAnsi"/>
        </w:rPr>
        <w:t xml:space="preserve"> </w:t>
      </w:r>
      <w:r w:rsidR="00AB58AC">
        <w:rPr>
          <w:rFonts w:asciiTheme="majorHAnsi" w:hAnsiTheme="majorHAnsi" w:cstheme="majorHAnsi"/>
        </w:rPr>
        <w:t>chemoprophylaxis uptake and completion for IGRA-positive patients</w:t>
      </w:r>
      <w:r w:rsidR="00667E8A">
        <w:rPr>
          <w:rFonts w:asciiTheme="majorHAnsi" w:hAnsiTheme="majorHAnsi" w:cstheme="majorHAnsi"/>
        </w:rPr>
        <w:t xml:space="preserve">. It is therefore </w:t>
      </w:r>
      <w:r w:rsidR="00566B98" w:rsidRPr="00AB06D7">
        <w:rPr>
          <w:rFonts w:asciiTheme="majorHAnsi" w:hAnsiTheme="majorHAnsi" w:cstheme="majorHAnsi"/>
        </w:rPr>
        <w:t>feasible to achieve high levels of retention at each stage of the cascade of care</w:t>
      </w:r>
      <w:r w:rsidR="00667E8A">
        <w:rPr>
          <w:rFonts w:asciiTheme="majorHAnsi" w:hAnsiTheme="majorHAnsi" w:cstheme="majorHAnsi"/>
        </w:rPr>
        <w:t>.</w:t>
      </w:r>
    </w:p>
    <w:p w14:paraId="16CDDB93" w14:textId="1BD9C6F0" w:rsidR="007A6A2F" w:rsidRDefault="000F11D0" w:rsidP="008C6451">
      <w:pPr>
        <w:spacing w:after="240" w:line="480" w:lineRule="auto"/>
        <w:jc w:val="both"/>
        <w:rPr>
          <w:rFonts w:asciiTheme="majorHAnsi" w:hAnsiTheme="majorHAnsi" w:cstheme="majorHAnsi"/>
        </w:rPr>
      </w:pPr>
      <w:r>
        <w:rPr>
          <w:rFonts w:asciiTheme="majorHAnsi" w:hAnsiTheme="majorHAnsi" w:cstheme="majorHAnsi"/>
        </w:rPr>
        <w:t>O</w:t>
      </w:r>
      <w:r w:rsidR="00101B5B">
        <w:rPr>
          <w:rFonts w:asciiTheme="majorHAnsi" w:hAnsiTheme="majorHAnsi" w:cstheme="majorHAnsi"/>
        </w:rPr>
        <w:t>ur assessment of the outcomes of IGRA screening at difference incidence thresholds and using different testing guidelines showed</w:t>
      </w:r>
      <w:r w:rsidR="00667E8A">
        <w:rPr>
          <w:rFonts w:asciiTheme="majorHAnsi" w:hAnsiTheme="majorHAnsi" w:cstheme="majorHAnsi"/>
        </w:rPr>
        <w:t xml:space="preserve"> that an alternative </w:t>
      </w:r>
      <w:r w:rsidR="00667E8A" w:rsidRPr="00667E8A">
        <w:rPr>
          <w:rFonts w:asciiTheme="majorHAnsi" w:hAnsiTheme="majorHAnsi" w:cstheme="majorHAnsi"/>
        </w:rPr>
        <w:t>to current NICE</w:t>
      </w:r>
      <w:r w:rsidR="00667E8A" w:rsidRPr="00667E8A">
        <w:rPr>
          <w:rFonts w:asciiTheme="majorHAnsi" w:hAnsiTheme="majorHAnsi" w:cstheme="majorHAnsi"/>
        </w:rPr>
      </w:r>
      <w:r w:rsidR="004E5082">
        <w:rPr>
          <w:rFonts w:asciiTheme="majorHAnsi" w:hAnsiTheme="majorHAnsi" w:cstheme="majorHAnsi"/>
        </w:rPr>
        <w:instrText xml:space="preserve"/>
      </w:r>
      <w:r w:rsidR="00667E8A" w:rsidRPr="00667E8A">
        <w:rPr>
          <w:rFonts w:asciiTheme="majorHAnsi" w:hAnsiTheme="majorHAnsi" w:cstheme="majorHAnsi"/>
        </w:rPr>
      </w:r>
      <w:r w:rsidR="004E5082" w:rsidRPr="004E5082">
        <w:rPr>
          <w:rFonts w:asciiTheme="majorHAnsi" w:hAnsiTheme="majorHAnsi" w:cstheme="majorHAnsi"/>
          <w:noProof/>
          <w:vertAlign w:val="superscript"/>
        </w:rPr>
        <w:t>[13]</w:t>
      </w:r>
      <w:r w:rsidR="00667E8A" w:rsidRPr="00667E8A">
        <w:rPr>
          <w:rFonts w:asciiTheme="majorHAnsi" w:hAnsiTheme="majorHAnsi" w:cstheme="majorHAnsi"/>
        </w:rPr>
      </w:r>
      <w:r w:rsidR="00667E8A" w:rsidRPr="00667E8A">
        <w:rPr>
          <w:rFonts w:asciiTheme="majorHAnsi" w:hAnsiTheme="majorHAnsi" w:cstheme="majorHAnsi"/>
        </w:rPr>
        <w:t xml:space="preserve"> and</w:t>
      </w:r>
      <w:r w:rsidR="00667E8A">
        <w:rPr>
          <w:rFonts w:asciiTheme="majorHAnsi" w:hAnsiTheme="majorHAnsi" w:cstheme="majorHAnsi"/>
        </w:rPr>
        <w:t xml:space="preserve"> BHIVA</w:t>
      </w:r>
      <w:r w:rsidR="009F451A">
        <w:rPr>
          <w:rFonts w:asciiTheme="majorHAnsi" w:hAnsiTheme="majorHAnsi" w:cstheme="majorHAnsi"/>
        </w:rPr>
      </w:r>
      <w:r w:rsidR="004E5082">
        <w:rPr>
          <w:rFonts w:asciiTheme="majorHAnsi" w:hAnsiTheme="majorHAnsi" w:cstheme="majorHAnsi"/>
        </w:rPr>
        <w:instrText xml:space="preserve"/>
      </w:r>
      <w:r w:rsidR="009F451A">
        <w:rPr>
          <w:rFonts w:asciiTheme="majorHAnsi" w:hAnsiTheme="majorHAnsi" w:cstheme="majorHAnsi"/>
        </w:rPr>
      </w:r>
      <w:r w:rsidR="004E5082" w:rsidRPr="004E5082">
        <w:rPr>
          <w:rFonts w:asciiTheme="majorHAnsi" w:hAnsiTheme="majorHAnsi" w:cstheme="majorHAnsi"/>
          <w:noProof/>
          <w:vertAlign w:val="superscript"/>
        </w:rPr>
        <w:t>[14]</w:t>
      </w:r>
      <w:r w:rsidR="009F451A">
        <w:rPr>
          <w:rFonts w:asciiTheme="majorHAnsi" w:hAnsiTheme="majorHAnsi" w:cstheme="majorHAnsi"/>
        </w:rPr>
      </w:r>
      <w:r w:rsidR="00667E8A">
        <w:rPr>
          <w:rFonts w:asciiTheme="majorHAnsi" w:hAnsiTheme="majorHAnsi" w:cstheme="majorHAnsi"/>
        </w:rPr>
        <w:t xml:space="preserve"> guidelines, the </w:t>
      </w:r>
      <w:r w:rsidR="00431A40" w:rsidRPr="00246685">
        <w:rPr>
          <w:rFonts w:asciiTheme="majorHAnsi" w:hAnsiTheme="majorHAnsi" w:cstheme="majorHAnsi"/>
          <w:bCs/>
        </w:rPr>
        <w:t>‘</w:t>
      </w:r>
      <w:r w:rsidR="00431A40" w:rsidRPr="005521C3">
        <w:rPr>
          <w:rFonts w:asciiTheme="majorHAnsi" w:hAnsiTheme="majorHAnsi" w:cstheme="majorHAnsi"/>
          <w:bCs/>
        </w:rPr>
        <w:t>PLWH-LTBI streamlined guidance</w:t>
      </w:r>
      <w:r w:rsidR="00431A40" w:rsidRPr="00246685">
        <w:rPr>
          <w:rFonts w:asciiTheme="majorHAnsi" w:hAnsiTheme="majorHAnsi" w:cstheme="majorHAnsi"/>
          <w:bCs/>
        </w:rPr>
        <w:t>’</w:t>
      </w:r>
      <w:r w:rsidR="00CA1C6F">
        <w:rPr>
          <w:rFonts w:asciiTheme="majorHAnsi" w:hAnsiTheme="majorHAnsi" w:cstheme="majorHAnsi"/>
        </w:rPr>
        <w:t>,</w:t>
      </w:r>
      <w:r w:rsidR="00667E8A">
        <w:rPr>
          <w:rFonts w:asciiTheme="majorHAnsi" w:hAnsiTheme="majorHAnsi" w:cstheme="majorHAnsi"/>
        </w:rPr>
        <w:t xml:space="preserve"> performed statistically significantly as well as BHIVA guidelines in reducing number of IGRA tests performed and </w:t>
      </w:r>
      <w:r w:rsidR="00D87CA4">
        <w:rPr>
          <w:rFonts w:asciiTheme="majorHAnsi" w:hAnsiTheme="majorHAnsi" w:cstheme="majorHAnsi"/>
        </w:rPr>
        <w:t xml:space="preserve">increasing </w:t>
      </w:r>
      <w:r w:rsidR="00667E8A">
        <w:rPr>
          <w:rFonts w:asciiTheme="majorHAnsi" w:hAnsiTheme="majorHAnsi" w:cstheme="majorHAnsi"/>
        </w:rPr>
        <w:t xml:space="preserve">yield of </w:t>
      </w:r>
      <w:r w:rsidR="00CA1C6F">
        <w:rPr>
          <w:rFonts w:asciiTheme="majorHAnsi" w:hAnsiTheme="majorHAnsi" w:cstheme="majorHAnsi"/>
        </w:rPr>
        <w:t>LTBI</w:t>
      </w:r>
      <w:r w:rsidR="00667E8A">
        <w:rPr>
          <w:rFonts w:asciiTheme="majorHAnsi" w:hAnsiTheme="majorHAnsi" w:cstheme="majorHAnsi"/>
        </w:rPr>
        <w:t xml:space="preserve"> identified</w:t>
      </w:r>
      <w:r w:rsidR="00D87CA4">
        <w:rPr>
          <w:rFonts w:asciiTheme="majorHAnsi" w:hAnsiTheme="majorHAnsi" w:cstheme="majorHAnsi"/>
        </w:rPr>
        <w:t>. Additionally, it</w:t>
      </w:r>
      <w:r w:rsidR="005812DB">
        <w:rPr>
          <w:rFonts w:asciiTheme="majorHAnsi" w:hAnsiTheme="majorHAnsi" w:cstheme="majorHAnsi"/>
        </w:rPr>
        <w:t xml:space="preserve"> offered a simpler, more streamlined approach to testing </w:t>
      </w:r>
      <w:r w:rsidR="00D87CA4">
        <w:rPr>
          <w:rFonts w:asciiTheme="majorHAnsi" w:hAnsiTheme="majorHAnsi" w:cstheme="majorHAnsi"/>
        </w:rPr>
        <w:t xml:space="preserve">than BHIVA </w:t>
      </w:r>
      <w:r w:rsidR="005812DB">
        <w:rPr>
          <w:rFonts w:asciiTheme="majorHAnsi" w:hAnsiTheme="majorHAnsi" w:cstheme="majorHAnsi"/>
        </w:rPr>
        <w:t xml:space="preserve">guidance, </w:t>
      </w:r>
      <w:r w:rsidR="00667E8A">
        <w:rPr>
          <w:rFonts w:asciiTheme="majorHAnsi" w:hAnsiTheme="majorHAnsi" w:cstheme="majorHAnsi"/>
        </w:rPr>
        <w:t>without the need to consult a complex set of TB risk factor</w:t>
      </w:r>
      <w:r w:rsidR="00667E8A" w:rsidRPr="00104587">
        <w:rPr>
          <w:rFonts w:asciiTheme="majorHAnsi" w:hAnsiTheme="majorHAnsi" w:cstheme="majorHAnsi"/>
        </w:rPr>
        <w:t>s to determine test eligibility</w:t>
      </w:r>
      <w:r w:rsidR="007A6A2F" w:rsidRPr="00104587">
        <w:rPr>
          <w:rFonts w:asciiTheme="majorHAnsi" w:hAnsiTheme="majorHAnsi" w:cstheme="majorHAnsi"/>
        </w:rPr>
        <w:t xml:space="preserve"> that may constitute a barrier to effective implementation</w:t>
      </w:r>
      <w:r w:rsidR="00667E8A" w:rsidRPr="00104587">
        <w:rPr>
          <w:rFonts w:asciiTheme="majorHAnsi" w:hAnsiTheme="majorHAnsi" w:cstheme="majorHAnsi"/>
        </w:rPr>
        <w:t>.</w:t>
      </w:r>
      <w:r w:rsidR="00F6783A" w:rsidRPr="00104587">
        <w:rPr>
          <w:rFonts w:asciiTheme="majorHAnsi" w:hAnsiTheme="majorHAnsi" w:cstheme="majorHAnsi"/>
        </w:rPr>
        <w:t xml:space="preserve"> 8</w:t>
      </w:r>
      <w:r w:rsidR="00104587" w:rsidRPr="0082666E">
        <w:rPr>
          <w:rFonts w:asciiTheme="majorHAnsi" w:hAnsiTheme="majorHAnsi" w:cstheme="majorHAnsi"/>
        </w:rPr>
        <w:t>9.</w:t>
      </w:r>
      <w:r w:rsidR="00F6783A" w:rsidRPr="00104587">
        <w:rPr>
          <w:rFonts w:asciiTheme="majorHAnsi" w:hAnsiTheme="majorHAnsi" w:cstheme="majorHAnsi"/>
        </w:rPr>
        <w:t>8% of IGRA positive cases could have been identified by restricting screening to those from countries with TB &gt;150/100,000 or any sub-Saharan African country. This strategy led to a significantly higher yield (LTBI positivity rate) in those tested than if all patients were screened, as is currently proposed in the ECDC, WHO and 2016 NICE guidelines.</w:t>
      </w:r>
      <w:r w:rsidR="00F6783A" w:rsidRPr="00566666">
        <w:rPr>
          <w:rFonts w:asciiTheme="majorHAnsi" w:hAnsiTheme="majorHAnsi" w:cstheme="majorHAnsi"/>
        </w:rPr>
      </w:r>
      <w:r w:rsidR="004E5082" w:rsidRPr="00104587">
        <w:rPr>
          <w:rFonts w:asciiTheme="majorHAnsi" w:hAnsiTheme="majorHAnsi" w:cstheme="majorHAnsi"/>
        </w:rPr>
        <w:instrText xml:space="preserve"/>
      </w:r>
      <w:r w:rsidR="004E5082" w:rsidRPr="0082666E">
        <w:rPr>
          <w:rFonts w:asciiTheme="majorHAnsi" w:hAnsiTheme="majorHAnsi" w:cstheme="majorHAnsi"/>
        </w:rPr>
      </w:r>
      <w:r w:rsidR="004E5082" w:rsidRPr="00104587">
        <w:rPr>
          <w:rFonts w:asciiTheme="majorHAnsi" w:hAnsiTheme="majorHAnsi" w:cstheme="majorHAnsi"/>
        </w:rPr>
        <w:instrText xml:space="preserve"/>
      </w:r>
      <w:r w:rsidR="004E5082" w:rsidRPr="0082666E">
        <w:rPr>
          <w:rFonts w:asciiTheme="majorHAnsi" w:hAnsiTheme="majorHAnsi" w:cstheme="majorHAnsi"/>
        </w:rPr>
      </w:r>
      <w:r w:rsidR="004E5082" w:rsidRPr="0082666E">
        <w:rPr>
          <w:rFonts w:asciiTheme="majorHAnsi" w:hAnsiTheme="majorHAnsi" w:cstheme="majorHAnsi"/>
        </w:rPr>
      </w:r>
      <w:r w:rsidR="00F6783A" w:rsidRPr="0082666E">
        <w:rPr>
          <w:rFonts w:asciiTheme="majorHAnsi" w:hAnsiTheme="majorHAnsi" w:cstheme="majorHAnsi"/>
        </w:rPr>
      </w:r>
      <w:r w:rsidR="00F6783A" w:rsidRPr="0082666E">
        <w:rPr>
          <w:rFonts w:asciiTheme="majorHAnsi" w:hAnsiTheme="majorHAnsi" w:cstheme="majorHAnsi"/>
        </w:rPr>
      </w:r>
      <w:r w:rsidR="004E5082" w:rsidRPr="00104587">
        <w:rPr>
          <w:rFonts w:asciiTheme="majorHAnsi" w:hAnsiTheme="majorHAnsi" w:cstheme="majorHAnsi"/>
          <w:noProof/>
          <w:vertAlign w:val="superscript"/>
        </w:rPr>
        <w:t>[11-13]</w:t>
      </w:r>
      <w:r w:rsidR="00F6783A" w:rsidRPr="00566666">
        <w:rPr>
          <w:rFonts w:asciiTheme="majorHAnsi" w:hAnsiTheme="majorHAnsi" w:cstheme="majorHAnsi"/>
        </w:rPr>
      </w:r>
      <w:r w:rsidR="0029003C">
        <w:rPr>
          <w:rFonts w:asciiTheme="majorHAnsi" w:hAnsiTheme="majorHAnsi" w:cstheme="majorHAnsi"/>
        </w:rPr>
        <w:t xml:space="preserve"> </w:t>
      </w:r>
    </w:p>
    <w:p w14:paraId="7E9F1E53" w14:textId="41B2B9F6" w:rsidR="004D480B" w:rsidRPr="00AB06D7" w:rsidRDefault="003D4954" w:rsidP="008C6451">
      <w:pPr>
        <w:spacing w:after="240" w:line="480" w:lineRule="auto"/>
        <w:jc w:val="both"/>
        <w:rPr>
          <w:rFonts w:asciiTheme="majorHAnsi" w:hAnsiTheme="majorHAnsi" w:cstheme="majorHAnsi"/>
        </w:rPr>
      </w:pPr>
      <w:r>
        <w:rPr>
          <w:rFonts w:asciiTheme="majorHAnsi" w:hAnsiTheme="majorHAnsi" w:cstheme="majorHAnsi"/>
        </w:rPr>
        <w:t>E</w:t>
      </w:r>
      <w:r w:rsidR="004D480B" w:rsidRPr="00AB06D7">
        <w:rPr>
          <w:rFonts w:asciiTheme="majorHAnsi" w:hAnsiTheme="majorHAnsi" w:cstheme="majorHAnsi"/>
        </w:rPr>
        <w:t xml:space="preserve">xtremely </w:t>
      </w:r>
      <w:r>
        <w:rPr>
          <w:rFonts w:asciiTheme="majorHAnsi" w:hAnsiTheme="majorHAnsi" w:cstheme="majorHAnsi"/>
        </w:rPr>
        <w:t>few</w:t>
      </w:r>
      <w:r w:rsidR="004D480B" w:rsidRPr="00AB06D7">
        <w:rPr>
          <w:rFonts w:asciiTheme="majorHAnsi" w:hAnsiTheme="majorHAnsi" w:cstheme="majorHAnsi"/>
        </w:rPr>
        <w:t xml:space="preserve"> patients declined IGRA </w:t>
      </w:r>
      <w:r w:rsidR="004D480B" w:rsidRPr="00BB16A3">
        <w:rPr>
          <w:rFonts w:asciiTheme="majorHAnsi" w:hAnsiTheme="majorHAnsi" w:cstheme="majorHAnsi"/>
        </w:rPr>
        <w:t>testing (</w:t>
      </w:r>
      <w:r w:rsidR="00332B71" w:rsidRPr="0082666E">
        <w:rPr>
          <w:rFonts w:asciiTheme="majorHAnsi" w:hAnsiTheme="majorHAnsi" w:cstheme="majorHAnsi"/>
        </w:rPr>
        <w:t>0.6%</w:t>
      </w:r>
      <w:r w:rsidR="004D480B" w:rsidRPr="00BB16A3">
        <w:rPr>
          <w:rFonts w:asciiTheme="majorHAnsi" w:hAnsiTheme="majorHAnsi" w:cstheme="majorHAnsi"/>
        </w:rPr>
        <w:t>),</w:t>
      </w:r>
      <w:r w:rsidR="004D480B" w:rsidRPr="00AB06D7">
        <w:rPr>
          <w:rFonts w:asciiTheme="majorHAnsi" w:hAnsiTheme="majorHAnsi" w:cstheme="majorHAnsi"/>
        </w:rPr>
        <w:t xml:space="preserve"> although a higher proportion of </w:t>
      </w:r>
      <w:proofErr w:type="gramStart"/>
      <w:r w:rsidR="004D480B" w:rsidRPr="00AB06D7">
        <w:rPr>
          <w:rFonts w:asciiTheme="majorHAnsi" w:hAnsiTheme="majorHAnsi" w:cstheme="majorHAnsi"/>
        </w:rPr>
        <w:t>those</w:t>
      </w:r>
      <w:r w:rsidR="00CA1C6F">
        <w:rPr>
          <w:rFonts w:asciiTheme="majorHAnsi" w:hAnsiTheme="majorHAnsi" w:cstheme="majorHAnsi"/>
        </w:rPr>
        <w:t xml:space="preserve"> IGRA-</w:t>
      </w:r>
      <w:r w:rsidR="004D480B" w:rsidRPr="00AB06D7">
        <w:rPr>
          <w:rFonts w:asciiTheme="majorHAnsi" w:hAnsiTheme="majorHAnsi" w:cstheme="majorHAnsi"/>
        </w:rPr>
        <w:t>positive</w:t>
      </w:r>
      <w:proofErr w:type="gramEnd"/>
      <w:r w:rsidR="004D480B" w:rsidRPr="00AB06D7">
        <w:rPr>
          <w:rFonts w:asciiTheme="majorHAnsi" w:hAnsiTheme="majorHAnsi" w:cstheme="majorHAnsi"/>
        </w:rPr>
        <w:t xml:space="preserve"> declined chemoprophylaxis (</w:t>
      </w:r>
      <w:r w:rsidR="00993991">
        <w:rPr>
          <w:rFonts w:asciiTheme="majorHAnsi" w:hAnsiTheme="majorHAnsi" w:cstheme="majorHAnsi"/>
        </w:rPr>
        <w:t>7</w:t>
      </w:r>
      <w:r w:rsidR="003958B3">
        <w:rPr>
          <w:rFonts w:asciiTheme="majorHAnsi" w:hAnsiTheme="majorHAnsi" w:cstheme="majorHAnsi"/>
        </w:rPr>
        <w:t>.</w:t>
      </w:r>
      <w:r w:rsidR="008D72FD">
        <w:rPr>
          <w:rFonts w:asciiTheme="majorHAnsi" w:hAnsiTheme="majorHAnsi" w:cstheme="majorHAnsi"/>
        </w:rPr>
        <w:t>7</w:t>
      </w:r>
      <w:r w:rsidR="00993991">
        <w:rPr>
          <w:rFonts w:asciiTheme="majorHAnsi" w:hAnsiTheme="majorHAnsi" w:cstheme="majorHAnsi"/>
        </w:rPr>
        <w:t>%</w:t>
      </w:r>
      <w:r w:rsidR="004D480B" w:rsidRPr="00AB06D7">
        <w:rPr>
          <w:rFonts w:asciiTheme="majorHAnsi" w:hAnsiTheme="majorHAnsi" w:cstheme="majorHAnsi"/>
        </w:rPr>
        <w:t>).</w:t>
      </w:r>
      <w:r w:rsidR="00EC12EA">
        <w:rPr>
          <w:rFonts w:asciiTheme="majorHAnsi" w:hAnsiTheme="majorHAnsi" w:cstheme="majorHAnsi"/>
        </w:rPr>
        <w:t xml:space="preserve"> </w:t>
      </w:r>
      <w:r w:rsidR="00AF5863">
        <w:rPr>
          <w:rFonts w:asciiTheme="majorHAnsi" w:hAnsiTheme="majorHAnsi" w:cstheme="majorHAnsi"/>
        </w:rPr>
        <w:t xml:space="preserve">Over </w:t>
      </w:r>
      <w:r w:rsidR="007717BE">
        <w:rPr>
          <w:rFonts w:asciiTheme="majorHAnsi" w:hAnsiTheme="majorHAnsi" w:cstheme="majorHAnsi"/>
        </w:rPr>
        <w:t>8</w:t>
      </w:r>
      <w:r w:rsidR="00505FFF">
        <w:rPr>
          <w:rFonts w:asciiTheme="majorHAnsi" w:hAnsiTheme="majorHAnsi" w:cstheme="majorHAnsi"/>
        </w:rPr>
        <w:t>5</w:t>
      </w:r>
      <w:r w:rsidR="007717BE">
        <w:rPr>
          <w:rFonts w:asciiTheme="majorHAnsi" w:hAnsiTheme="majorHAnsi" w:cstheme="majorHAnsi"/>
        </w:rPr>
        <w:t>%</w:t>
      </w:r>
      <w:r w:rsidR="004D480B" w:rsidRPr="00AB06D7">
        <w:rPr>
          <w:rFonts w:asciiTheme="majorHAnsi" w:hAnsiTheme="majorHAnsi" w:cstheme="majorHAnsi"/>
        </w:rPr>
        <w:t xml:space="preserve"> of </w:t>
      </w:r>
      <w:r w:rsidR="00715D71">
        <w:rPr>
          <w:rFonts w:asciiTheme="majorHAnsi" w:hAnsiTheme="majorHAnsi" w:cstheme="majorHAnsi"/>
        </w:rPr>
        <w:t xml:space="preserve">IGRA-positive </w:t>
      </w:r>
      <w:r w:rsidR="004D480B" w:rsidRPr="00AB06D7">
        <w:rPr>
          <w:rFonts w:asciiTheme="majorHAnsi" w:hAnsiTheme="majorHAnsi" w:cstheme="majorHAnsi"/>
        </w:rPr>
        <w:t>individuals</w:t>
      </w:r>
      <w:r w:rsidR="00715D71">
        <w:rPr>
          <w:rFonts w:asciiTheme="majorHAnsi" w:hAnsiTheme="majorHAnsi" w:cstheme="majorHAnsi"/>
        </w:rPr>
        <w:t xml:space="preserve"> </w:t>
      </w:r>
      <w:r w:rsidR="002F243F">
        <w:rPr>
          <w:rFonts w:asciiTheme="majorHAnsi" w:hAnsiTheme="majorHAnsi" w:cstheme="majorHAnsi"/>
        </w:rPr>
        <w:t>started</w:t>
      </w:r>
      <w:r w:rsidR="004D480B" w:rsidRPr="00AB06D7">
        <w:rPr>
          <w:rFonts w:asciiTheme="majorHAnsi" w:hAnsiTheme="majorHAnsi" w:cstheme="majorHAnsi"/>
        </w:rPr>
        <w:t xml:space="preserve"> chemoprophylaxis, compar</w:t>
      </w:r>
      <w:r w:rsidR="00EC12EA">
        <w:rPr>
          <w:rFonts w:asciiTheme="majorHAnsi" w:hAnsiTheme="majorHAnsi" w:cstheme="majorHAnsi"/>
        </w:rPr>
        <w:t>ing</w:t>
      </w:r>
      <w:r w:rsidR="004D480B" w:rsidRPr="00AB06D7">
        <w:rPr>
          <w:rFonts w:asciiTheme="majorHAnsi" w:hAnsiTheme="majorHAnsi" w:cstheme="majorHAnsi"/>
        </w:rPr>
        <w:t xml:space="preserve"> favourably with rates of 17</w:t>
      </w:r>
      <w:r w:rsidR="002F243F">
        <w:rPr>
          <w:rFonts w:asciiTheme="majorHAnsi" w:hAnsiTheme="majorHAnsi" w:cstheme="majorHAnsi"/>
        </w:rPr>
        <w:t>–</w:t>
      </w:r>
      <w:r w:rsidR="004D480B" w:rsidRPr="00AB06D7">
        <w:rPr>
          <w:rFonts w:asciiTheme="majorHAnsi" w:hAnsiTheme="majorHAnsi" w:cstheme="majorHAnsi"/>
        </w:rPr>
        <w:t>87% from elsewhere in the UK and other low TB incidence countries.</w:t>
      </w:r>
      <w:r w:rsidR="004D480B" w:rsidRPr="00AB06D7">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4D480B" w:rsidRPr="00AB06D7">
        <w:rPr>
          <w:rFonts w:asciiTheme="majorHAnsi" w:hAnsiTheme="majorHAnsi" w:cstheme="majorHAnsi"/>
        </w:rPr>
      </w:r>
      <w:r w:rsidR="004D480B" w:rsidRPr="00AB06D7">
        <w:rPr>
          <w:rFonts w:asciiTheme="majorHAnsi" w:hAnsiTheme="majorHAnsi" w:cstheme="majorHAnsi"/>
        </w:rPr>
      </w:r>
      <w:r w:rsidR="004E5082" w:rsidRPr="004E5082">
        <w:rPr>
          <w:rFonts w:asciiTheme="majorHAnsi" w:hAnsiTheme="majorHAnsi" w:cstheme="majorHAnsi"/>
          <w:noProof/>
          <w:vertAlign w:val="superscript"/>
        </w:rPr>
        <w:t>[18, 20, 28]</w:t>
      </w:r>
      <w:r w:rsidR="004D480B" w:rsidRPr="00AB06D7">
        <w:rPr>
          <w:rFonts w:asciiTheme="majorHAnsi" w:hAnsiTheme="majorHAnsi" w:cstheme="majorHAnsi"/>
        </w:rPr>
      </w:r>
      <w:r w:rsidR="004D480B" w:rsidRPr="00AB06D7">
        <w:rPr>
          <w:rFonts w:asciiTheme="majorHAnsi" w:hAnsiTheme="majorHAnsi" w:cstheme="majorHAnsi"/>
        </w:rPr>
        <w:t xml:space="preserve"> </w:t>
      </w:r>
      <w:r w:rsidR="007717BE">
        <w:rPr>
          <w:rFonts w:asciiTheme="majorHAnsi" w:hAnsiTheme="majorHAnsi" w:cstheme="majorHAnsi"/>
        </w:rPr>
        <w:t>96%</w:t>
      </w:r>
      <w:r w:rsidR="004D480B" w:rsidRPr="00AB06D7">
        <w:rPr>
          <w:rFonts w:asciiTheme="majorHAnsi" w:hAnsiTheme="majorHAnsi" w:cstheme="majorHAnsi"/>
        </w:rPr>
        <w:t xml:space="preserve"> successfully completed treatment and adverse drug effects from chemoprophylaxis </w:t>
      </w:r>
      <w:r w:rsidR="00EC12EA">
        <w:rPr>
          <w:rFonts w:asciiTheme="majorHAnsi" w:hAnsiTheme="majorHAnsi" w:cstheme="majorHAnsi"/>
        </w:rPr>
        <w:t xml:space="preserve">led to </w:t>
      </w:r>
      <w:r w:rsidR="00EC12EA" w:rsidRPr="00AB06D7">
        <w:rPr>
          <w:rFonts w:asciiTheme="majorHAnsi" w:hAnsiTheme="majorHAnsi" w:cstheme="majorHAnsi"/>
        </w:rPr>
        <w:t xml:space="preserve">cessation of therapy </w:t>
      </w:r>
      <w:r w:rsidR="00EC12EA">
        <w:rPr>
          <w:rFonts w:asciiTheme="majorHAnsi" w:hAnsiTheme="majorHAnsi" w:cstheme="majorHAnsi"/>
        </w:rPr>
        <w:t>i</w:t>
      </w:r>
      <w:r w:rsidR="004D480B" w:rsidRPr="00AB06D7">
        <w:rPr>
          <w:rFonts w:asciiTheme="majorHAnsi" w:hAnsiTheme="majorHAnsi" w:cstheme="majorHAnsi"/>
        </w:rPr>
        <w:t xml:space="preserve">n only </w:t>
      </w:r>
      <w:r w:rsidR="00254989">
        <w:rPr>
          <w:rFonts w:asciiTheme="majorHAnsi" w:hAnsiTheme="majorHAnsi" w:cstheme="majorHAnsi"/>
        </w:rPr>
        <w:t>2</w:t>
      </w:r>
      <w:r w:rsidR="004D480B" w:rsidRPr="00AB06D7">
        <w:rPr>
          <w:rFonts w:asciiTheme="majorHAnsi" w:hAnsiTheme="majorHAnsi" w:cstheme="majorHAnsi"/>
        </w:rPr>
        <w:t>/1</w:t>
      </w:r>
      <w:r w:rsidR="00254989">
        <w:rPr>
          <w:rFonts w:asciiTheme="majorHAnsi" w:hAnsiTheme="majorHAnsi" w:cstheme="majorHAnsi"/>
        </w:rPr>
        <w:t>00</w:t>
      </w:r>
      <w:r w:rsidR="004D480B" w:rsidRPr="00AB06D7">
        <w:rPr>
          <w:rFonts w:asciiTheme="majorHAnsi" w:hAnsiTheme="majorHAnsi" w:cstheme="majorHAnsi"/>
        </w:rPr>
        <w:t xml:space="preserve"> (2%) </w:t>
      </w:r>
      <w:r w:rsidR="00EC12EA">
        <w:rPr>
          <w:rFonts w:asciiTheme="majorHAnsi" w:hAnsiTheme="majorHAnsi" w:cstheme="majorHAnsi"/>
        </w:rPr>
        <w:t>cases</w:t>
      </w:r>
      <w:r w:rsidR="004D480B" w:rsidRPr="00AB06D7">
        <w:rPr>
          <w:rFonts w:asciiTheme="majorHAnsi" w:hAnsiTheme="majorHAnsi" w:cstheme="majorHAnsi"/>
        </w:rPr>
        <w:t xml:space="preserve">, supporting previous evidence showing that chemoprophylaxis regimens, and </w:t>
      </w:r>
      <w:r w:rsidR="004D480B" w:rsidRPr="00AB06D7">
        <w:rPr>
          <w:rFonts w:asciiTheme="majorHAnsi" w:hAnsiTheme="majorHAnsi" w:cstheme="majorHAnsi"/>
        </w:rPr>
        <w:lastRenderedPageBreak/>
        <w:t>particularly isoniazid monotherapy regimens, are safe in PLWH.</w:t>
      </w:r>
      <w:r w:rsidR="004D480B" w:rsidRPr="00AB06D7">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4D480B" w:rsidRPr="00AB06D7">
        <w:rPr>
          <w:rFonts w:asciiTheme="majorHAnsi" w:hAnsiTheme="majorHAnsi" w:cstheme="majorHAnsi"/>
        </w:rPr>
      </w:r>
      <w:r w:rsidR="004D480B" w:rsidRPr="00AB06D7">
        <w:rPr>
          <w:rFonts w:asciiTheme="majorHAnsi" w:hAnsiTheme="majorHAnsi" w:cstheme="majorHAnsi"/>
        </w:rPr>
      </w:r>
      <w:r w:rsidR="004E5082" w:rsidRPr="004E5082">
        <w:rPr>
          <w:rFonts w:asciiTheme="majorHAnsi" w:hAnsiTheme="majorHAnsi" w:cstheme="majorHAnsi"/>
          <w:noProof/>
          <w:vertAlign w:val="superscript"/>
        </w:rPr>
        <w:t>[10, 29]</w:t>
      </w:r>
      <w:r w:rsidR="004D480B" w:rsidRPr="00AB06D7">
        <w:rPr>
          <w:rFonts w:asciiTheme="majorHAnsi" w:hAnsiTheme="majorHAnsi" w:cstheme="majorHAnsi"/>
        </w:rPr>
      </w:r>
      <w:r w:rsidR="005A2DEF">
        <w:rPr>
          <w:rFonts w:asciiTheme="majorHAnsi" w:hAnsiTheme="majorHAnsi" w:cstheme="majorHAnsi"/>
        </w:rPr>
        <w:t xml:space="preserve"> Although there was high retention at each stage of the cascade of care, small drop-ou</w:t>
      </w:r>
      <w:r w:rsidR="00DB0F6E">
        <w:rPr>
          <w:rFonts w:asciiTheme="majorHAnsi" w:hAnsiTheme="majorHAnsi" w:cstheme="majorHAnsi"/>
        </w:rPr>
        <w:t>ts at each stage still led to 14.5</w:t>
      </w:r>
      <w:r w:rsidR="005A2DEF">
        <w:rPr>
          <w:rFonts w:asciiTheme="majorHAnsi" w:hAnsiTheme="majorHAnsi" w:cstheme="majorHAnsi"/>
        </w:rPr>
        <w:t>% of IGRA positive cases not being treated. Further research to identify barriers and facilitators to improve uptake are required in order to avert reactivation to active TB cases as far as possible.</w:t>
      </w:r>
    </w:p>
    <w:p w14:paraId="20C40D75" w14:textId="77777777" w:rsidR="00DB689F" w:rsidRDefault="00DB689F" w:rsidP="005E7BF1">
      <w:pPr>
        <w:spacing w:after="240" w:line="480" w:lineRule="auto"/>
        <w:jc w:val="both"/>
        <w:rPr>
          <w:rFonts w:asciiTheme="majorHAnsi" w:hAnsiTheme="majorHAnsi" w:cstheme="majorHAnsi"/>
        </w:rPr>
      </w:pPr>
      <w:r>
        <w:rPr>
          <w:rFonts w:asciiTheme="majorHAnsi" w:hAnsiTheme="majorHAnsi" w:cstheme="majorHAnsi"/>
        </w:rPr>
        <w:t xml:space="preserve">We were fortunate to have all data available on the country of birth for patients in our cohort, which made analysis straightforward. Encouraging the recording of </w:t>
      </w:r>
      <w:r w:rsidRPr="008C2537">
        <w:rPr>
          <w:rFonts w:asciiTheme="majorHAnsi" w:hAnsiTheme="majorHAnsi" w:cstheme="majorHAnsi"/>
        </w:rPr>
        <w:t>country</w:t>
      </w:r>
      <w:r>
        <w:rPr>
          <w:rFonts w:asciiTheme="majorHAnsi" w:hAnsiTheme="majorHAnsi" w:cstheme="majorHAnsi"/>
        </w:rPr>
        <w:t>-</w:t>
      </w:r>
      <w:r w:rsidRPr="008C2537">
        <w:rPr>
          <w:rFonts w:asciiTheme="majorHAnsi" w:hAnsiTheme="majorHAnsi" w:cstheme="majorHAnsi"/>
        </w:rPr>
        <w:t>of</w:t>
      </w:r>
      <w:r>
        <w:rPr>
          <w:rFonts w:asciiTheme="majorHAnsi" w:hAnsiTheme="majorHAnsi" w:cstheme="majorHAnsi"/>
        </w:rPr>
        <w:t>-</w:t>
      </w:r>
      <w:r w:rsidRPr="008C2537">
        <w:rPr>
          <w:rFonts w:asciiTheme="majorHAnsi" w:hAnsiTheme="majorHAnsi" w:cstheme="majorHAnsi"/>
        </w:rPr>
        <w:t>birth</w:t>
      </w:r>
      <w:r>
        <w:rPr>
          <w:rFonts w:asciiTheme="majorHAnsi" w:hAnsiTheme="majorHAnsi" w:cstheme="majorHAnsi"/>
        </w:rPr>
        <w:t xml:space="preserve"> without stigma or discrimination</w:t>
      </w:r>
      <w:r w:rsidRPr="008C2537">
        <w:rPr>
          <w:rFonts w:asciiTheme="majorHAnsi" w:hAnsiTheme="majorHAnsi" w:cstheme="majorHAnsi"/>
        </w:rPr>
        <w:t xml:space="preserve"> </w:t>
      </w:r>
      <w:r>
        <w:rPr>
          <w:rFonts w:asciiTheme="majorHAnsi" w:hAnsiTheme="majorHAnsi" w:cstheme="majorHAnsi"/>
        </w:rPr>
        <w:t xml:space="preserve">is helpful in health systems, so that any targeted testing based on country-of-birth can be </w:t>
      </w:r>
      <w:r w:rsidRPr="002B47CE">
        <w:rPr>
          <w:rFonts w:asciiTheme="majorHAnsi" w:hAnsiTheme="majorHAnsi" w:cstheme="majorHAnsi"/>
        </w:rPr>
        <w:t>implemented effectively UK-wide.</w:t>
      </w:r>
      <w:r w:rsidRPr="003E6A9D">
        <w:rPr>
          <w:rFonts w:asciiTheme="majorHAnsi" w:hAnsiTheme="majorHAnsi" w:cstheme="majorHAnsi"/>
        </w:rPr>
        <w:t xml:space="preserve"> </w:t>
      </w:r>
    </w:p>
    <w:p w14:paraId="5CB28D82" w14:textId="27B82B9C" w:rsidR="00957ED3" w:rsidRDefault="00C859A4" w:rsidP="0082666E">
      <w:pPr>
        <w:spacing w:line="480" w:lineRule="auto"/>
        <w:rPr>
          <w:rFonts w:asciiTheme="majorHAnsi" w:hAnsiTheme="majorHAnsi" w:cstheme="majorHAnsi"/>
        </w:rPr>
      </w:pPr>
      <w:r w:rsidRPr="00C859A4">
        <w:rPr>
          <w:rFonts w:asciiTheme="majorHAnsi" w:hAnsiTheme="majorHAnsi" w:cstheme="majorHAnsi"/>
        </w:rPr>
        <w:t>Our work ha</w:t>
      </w:r>
      <w:r w:rsidR="00715D71">
        <w:rPr>
          <w:rFonts w:asciiTheme="majorHAnsi" w:hAnsiTheme="majorHAnsi" w:cstheme="majorHAnsi"/>
        </w:rPr>
        <w:t>s</w:t>
      </w:r>
      <w:r w:rsidRPr="00C859A4">
        <w:rPr>
          <w:rFonts w:asciiTheme="majorHAnsi" w:hAnsiTheme="majorHAnsi" w:cstheme="majorHAnsi"/>
        </w:rPr>
        <w:t xml:space="preserve"> several limitations.</w:t>
      </w:r>
      <w:r w:rsidR="004952F3">
        <w:rPr>
          <w:rFonts w:asciiTheme="majorHAnsi" w:hAnsiTheme="majorHAnsi" w:cstheme="majorHAnsi"/>
        </w:rPr>
        <w:t xml:space="preserve"> Most notable of these is generating testing </w:t>
      </w:r>
      <w:r w:rsidR="001B4D46">
        <w:rPr>
          <w:rFonts w:asciiTheme="majorHAnsi" w:hAnsiTheme="majorHAnsi" w:cstheme="majorHAnsi"/>
        </w:rPr>
        <w:t>eligibility</w:t>
      </w:r>
      <w:r w:rsidR="004952F3">
        <w:rPr>
          <w:rFonts w:asciiTheme="majorHAnsi" w:hAnsiTheme="majorHAnsi" w:cstheme="majorHAnsi"/>
        </w:rPr>
        <w:t xml:space="preserve"> estimates according to th</w:t>
      </w:r>
      <w:r w:rsidR="004952F3" w:rsidRPr="00AB06D7">
        <w:rPr>
          <w:rFonts w:asciiTheme="majorHAnsi" w:hAnsiTheme="majorHAnsi" w:cstheme="majorHAnsi"/>
        </w:rPr>
        <w:t>e 2018 BHIVA guidance</w:t>
      </w:r>
      <w:r w:rsidR="004952F3">
        <w:rPr>
          <w:rFonts w:asciiTheme="majorHAnsi" w:hAnsiTheme="majorHAnsi" w:cstheme="majorHAnsi"/>
        </w:rPr>
        <w:t xml:space="preserve"> testing criteria, which</w:t>
      </w:r>
      <w:r w:rsidR="004952F3" w:rsidRPr="00AB06D7">
        <w:rPr>
          <w:rFonts w:asciiTheme="majorHAnsi" w:hAnsiTheme="majorHAnsi" w:cstheme="majorHAnsi"/>
        </w:rPr>
        <w:t xml:space="preserve"> recommends offering IGRA testing to PLWH from low TB burden countries (&lt;40/100,000 population) only if additional risk factors for TB are present</w:t>
      </w:r>
      <w:r w:rsidR="004952F3">
        <w:rPr>
          <w:rFonts w:asciiTheme="majorHAnsi" w:hAnsiTheme="majorHAnsi" w:cstheme="majorHAnsi"/>
        </w:rPr>
        <w:t xml:space="preserve"> (see details in table 3 footnotes)</w:t>
      </w:r>
      <w:r w:rsidR="004952F3" w:rsidRPr="00AB06D7">
        <w:rPr>
          <w:rFonts w:asciiTheme="majorHAnsi" w:hAnsiTheme="majorHAnsi" w:cstheme="majorHAnsi"/>
        </w:rPr>
        <w:t>.</w:t>
      </w:r>
      <w:r w:rsidR="004952F3" w:rsidRPr="00AB06D7">
        <w:rPr>
          <w:rFonts w:asciiTheme="majorHAnsi" w:hAnsiTheme="majorHAnsi" w:cstheme="majorHAnsi"/>
        </w:rPr>
      </w:r>
      <w:r w:rsidR="004E5082">
        <w:rPr>
          <w:rFonts w:asciiTheme="majorHAnsi" w:hAnsiTheme="majorHAnsi" w:cstheme="majorHAnsi"/>
        </w:rPr>
        <w:instrText xml:space="preserve"/>
      </w:r>
      <w:r w:rsidR="004952F3" w:rsidRPr="00AB06D7">
        <w:rPr>
          <w:rFonts w:asciiTheme="majorHAnsi" w:hAnsiTheme="majorHAnsi" w:cstheme="majorHAnsi"/>
        </w:rPr>
      </w:r>
      <w:r w:rsidR="004E5082" w:rsidRPr="004E5082">
        <w:rPr>
          <w:rFonts w:asciiTheme="majorHAnsi" w:hAnsiTheme="majorHAnsi" w:cstheme="majorHAnsi"/>
          <w:noProof/>
          <w:vertAlign w:val="superscript"/>
        </w:rPr>
        <w:t>[14]</w:t>
      </w:r>
      <w:r w:rsidR="004952F3" w:rsidRPr="00AB06D7">
        <w:rPr>
          <w:rFonts w:asciiTheme="majorHAnsi" w:hAnsiTheme="majorHAnsi" w:cstheme="majorHAnsi"/>
        </w:rPr>
      </w:r>
      <w:r w:rsidR="004952F3">
        <w:rPr>
          <w:rFonts w:asciiTheme="majorHAnsi" w:hAnsiTheme="majorHAnsi" w:cstheme="majorHAnsi"/>
        </w:rPr>
        <w:t xml:space="preserve"> </w:t>
      </w:r>
      <w:r w:rsidR="004952F3" w:rsidRPr="008719BC">
        <w:rPr>
          <w:rFonts w:asciiTheme="majorHAnsi" w:hAnsiTheme="majorHAnsi" w:cstheme="majorHAnsi"/>
        </w:rPr>
        <w:t>TB risk factor</w:t>
      </w:r>
      <w:r w:rsidR="004952F3">
        <w:rPr>
          <w:rFonts w:asciiTheme="majorHAnsi" w:hAnsiTheme="majorHAnsi" w:cstheme="majorHAnsi"/>
        </w:rPr>
        <w:t xml:space="preserve"> data</w:t>
      </w:r>
      <w:r w:rsidR="004952F3" w:rsidRPr="008719BC">
        <w:rPr>
          <w:rFonts w:asciiTheme="majorHAnsi" w:hAnsiTheme="majorHAnsi" w:cstheme="majorHAnsi"/>
        </w:rPr>
        <w:t xml:space="preserve"> were not collected prospectively for IGRA tests performed pre-2018 (date of BHIVA guidance</w:t>
      </w:r>
      <w:r w:rsidR="004952F3" w:rsidRPr="008719BC">
        <w:rPr>
          <w:rFonts w:asciiTheme="majorHAnsi" w:hAnsiTheme="majorHAnsi" w:cstheme="majorHAnsi"/>
        </w:rPr>
      </w:r>
      <w:r w:rsidR="004E5082">
        <w:rPr>
          <w:rFonts w:asciiTheme="majorHAnsi" w:hAnsiTheme="majorHAnsi" w:cstheme="majorHAnsi"/>
        </w:rPr>
        <w:instrText xml:space="preserve"/>
      </w:r>
      <w:r w:rsidR="004952F3" w:rsidRPr="008719BC">
        <w:rPr>
          <w:rFonts w:asciiTheme="majorHAnsi" w:hAnsiTheme="majorHAnsi" w:cstheme="majorHAnsi"/>
        </w:rPr>
      </w:r>
      <w:r w:rsidR="004E5082" w:rsidRPr="004E5082">
        <w:rPr>
          <w:rFonts w:asciiTheme="majorHAnsi" w:hAnsiTheme="majorHAnsi" w:cstheme="majorHAnsi"/>
          <w:noProof/>
          <w:vertAlign w:val="superscript"/>
        </w:rPr>
        <w:t>[14]</w:t>
      </w:r>
      <w:r w:rsidR="004952F3" w:rsidRPr="008719BC">
        <w:rPr>
          <w:rFonts w:asciiTheme="majorHAnsi" w:hAnsiTheme="majorHAnsi" w:cstheme="majorHAnsi"/>
        </w:rPr>
      </w:r>
      <w:r w:rsidR="004952F3" w:rsidRPr="008719BC">
        <w:rPr>
          <w:rFonts w:asciiTheme="majorHAnsi" w:hAnsiTheme="majorHAnsi" w:cstheme="majorHAnsi"/>
        </w:rPr>
        <w:t xml:space="preserve"> publication). </w:t>
      </w:r>
      <w:r w:rsidR="000A18A5">
        <w:rPr>
          <w:rFonts w:asciiTheme="majorHAnsi" w:hAnsiTheme="majorHAnsi" w:cstheme="majorHAnsi"/>
        </w:rPr>
        <w:t>I</w:t>
      </w:r>
      <w:r w:rsidR="004952F3">
        <w:rPr>
          <w:rFonts w:asciiTheme="majorHAnsi" w:hAnsiTheme="majorHAnsi" w:cstheme="majorHAnsi"/>
        </w:rPr>
        <w:t>nformation on risk factors was retrieved from medical records</w:t>
      </w:r>
      <w:r w:rsidR="000A18A5">
        <w:rPr>
          <w:rFonts w:asciiTheme="majorHAnsi" w:hAnsiTheme="majorHAnsi" w:cstheme="majorHAnsi"/>
        </w:rPr>
        <w:t xml:space="preserve"> only for IGRA positive cases from low TB burden countrie</w:t>
      </w:r>
      <w:r w:rsidR="00927A65">
        <w:rPr>
          <w:rFonts w:asciiTheme="majorHAnsi" w:hAnsiTheme="majorHAnsi" w:cstheme="majorHAnsi"/>
        </w:rPr>
        <w:t>s</w:t>
      </w:r>
      <w:r w:rsidR="004952F3" w:rsidRPr="008719BC">
        <w:rPr>
          <w:rFonts w:asciiTheme="majorHAnsi" w:hAnsiTheme="majorHAnsi" w:cstheme="majorHAnsi"/>
        </w:rPr>
        <w:t xml:space="preserve">. Therefore our estimate of IGRA </w:t>
      </w:r>
      <w:r w:rsidR="00637B4B">
        <w:rPr>
          <w:rFonts w:asciiTheme="majorHAnsi" w:hAnsiTheme="majorHAnsi" w:cstheme="majorHAnsi"/>
        </w:rPr>
        <w:t>eligibility</w:t>
      </w:r>
      <w:r w:rsidR="004952F3" w:rsidRPr="008719BC">
        <w:rPr>
          <w:rFonts w:asciiTheme="majorHAnsi" w:hAnsiTheme="majorHAnsi" w:cstheme="majorHAnsi"/>
        </w:rPr>
        <w:t xml:space="preserve"> under BHIVA guidance</w:t>
      </w:r>
      <w:r w:rsidR="004952F3" w:rsidRPr="008719BC">
        <w:rPr>
          <w:rFonts w:asciiTheme="majorHAnsi" w:hAnsiTheme="majorHAnsi" w:cstheme="majorHAnsi"/>
        </w:rPr>
      </w:r>
      <w:r w:rsidR="004E5082">
        <w:rPr>
          <w:rFonts w:asciiTheme="majorHAnsi" w:hAnsiTheme="majorHAnsi" w:cstheme="majorHAnsi"/>
        </w:rPr>
        <w:instrText xml:space="preserve"/>
      </w:r>
      <w:r w:rsidR="004952F3" w:rsidRPr="008719BC">
        <w:rPr>
          <w:rFonts w:asciiTheme="majorHAnsi" w:hAnsiTheme="majorHAnsi" w:cstheme="majorHAnsi"/>
        </w:rPr>
      </w:r>
      <w:r w:rsidR="004E5082" w:rsidRPr="004E5082">
        <w:rPr>
          <w:rFonts w:asciiTheme="majorHAnsi" w:hAnsiTheme="majorHAnsi" w:cstheme="majorHAnsi"/>
          <w:noProof/>
          <w:vertAlign w:val="superscript"/>
        </w:rPr>
        <w:t>[14]</w:t>
      </w:r>
      <w:r w:rsidR="004952F3" w:rsidRPr="008719BC">
        <w:rPr>
          <w:rFonts w:asciiTheme="majorHAnsi" w:hAnsiTheme="majorHAnsi" w:cstheme="majorHAnsi"/>
        </w:rPr>
      </w:r>
      <w:r w:rsidR="004952F3" w:rsidRPr="008719BC">
        <w:rPr>
          <w:rFonts w:asciiTheme="majorHAnsi" w:hAnsiTheme="majorHAnsi" w:cstheme="majorHAnsi"/>
        </w:rPr>
        <w:t xml:space="preserve"> </w:t>
      </w:r>
      <w:r w:rsidR="000A18A5">
        <w:rPr>
          <w:rFonts w:asciiTheme="majorHAnsi" w:hAnsiTheme="majorHAnsi" w:cstheme="majorHAnsi"/>
        </w:rPr>
        <w:t xml:space="preserve">is likely to </w:t>
      </w:r>
      <w:r w:rsidR="004952F3">
        <w:rPr>
          <w:rFonts w:asciiTheme="majorHAnsi" w:hAnsiTheme="majorHAnsi" w:cstheme="majorHAnsi"/>
        </w:rPr>
        <w:t>be</w:t>
      </w:r>
      <w:r w:rsidR="004952F3" w:rsidRPr="008719BC">
        <w:rPr>
          <w:rFonts w:asciiTheme="majorHAnsi" w:hAnsiTheme="majorHAnsi" w:cstheme="majorHAnsi"/>
        </w:rPr>
        <w:t xml:space="preserve"> an underestimate</w:t>
      </w:r>
      <w:r w:rsidR="004952F3">
        <w:rPr>
          <w:rFonts w:asciiTheme="majorHAnsi" w:hAnsiTheme="majorHAnsi" w:cstheme="majorHAnsi"/>
        </w:rPr>
        <w:t xml:space="preserve">. </w:t>
      </w:r>
      <w:r w:rsidR="00DE1BB0">
        <w:rPr>
          <w:rFonts w:asciiTheme="majorHAnsi" w:hAnsiTheme="majorHAnsi" w:cstheme="majorHAnsi"/>
        </w:rPr>
        <w:t xml:space="preserve">This would make our proposed </w:t>
      </w:r>
      <w:r w:rsidR="00431A40" w:rsidRPr="00246685">
        <w:rPr>
          <w:rFonts w:asciiTheme="majorHAnsi" w:hAnsiTheme="majorHAnsi" w:cstheme="majorHAnsi"/>
          <w:bCs/>
        </w:rPr>
        <w:t>‘</w:t>
      </w:r>
      <w:r w:rsidR="00431A40" w:rsidRPr="005521C3">
        <w:rPr>
          <w:rFonts w:asciiTheme="majorHAnsi" w:hAnsiTheme="majorHAnsi" w:cstheme="majorHAnsi"/>
          <w:bCs/>
        </w:rPr>
        <w:t>PLWH-LTBI streamlined guidance</w:t>
      </w:r>
      <w:r w:rsidR="00431A40" w:rsidRPr="00246685">
        <w:rPr>
          <w:rFonts w:asciiTheme="majorHAnsi" w:hAnsiTheme="majorHAnsi" w:cstheme="majorHAnsi"/>
          <w:bCs/>
        </w:rPr>
        <w:t>’</w:t>
      </w:r>
      <w:r w:rsidR="00DE1BB0">
        <w:rPr>
          <w:rFonts w:asciiTheme="majorHAnsi" w:hAnsiTheme="majorHAnsi" w:cstheme="majorHAnsi"/>
        </w:rPr>
        <w:t xml:space="preserve"> even more efficient than BHIVA 2018 g</w:t>
      </w:r>
      <w:r w:rsidR="00DE1BB0" w:rsidRPr="008719BC">
        <w:rPr>
          <w:rFonts w:asciiTheme="majorHAnsi" w:hAnsiTheme="majorHAnsi" w:cstheme="majorHAnsi"/>
        </w:rPr>
        <w:t>uidance</w:t>
      </w:r>
      <w:r w:rsidR="00DE1BB0" w:rsidRPr="008719BC">
        <w:rPr>
          <w:rFonts w:asciiTheme="majorHAnsi" w:hAnsiTheme="majorHAnsi" w:cstheme="majorHAnsi"/>
        </w:rPr>
      </w:r>
      <w:r w:rsidR="004E5082">
        <w:rPr>
          <w:rFonts w:asciiTheme="majorHAnsi" w:hAnsiTheme="majorHAnsi" w:cstheme="majorHAnsi"/>
        </w:rPr>
        <w:instrText xml:space="preserve"/>
      </w:r>
      <w:r w:rsidR="00DE1BB0" w:rsidRPr="008719BC">
        <w:rPr>
          <w:rFonts w:asciiTheme="majorHAnsi" w:hAnsiTheme="majorHAnsi" w:cstheme="majorHAnsi"/>
        </w:rPr>
      </w:r>
      <w:r w:rsidR="004E5082" w:rsidRPr="004E5082">
        <w:rPr>
          <w:rFonts w:asciiTheme="majorHAnsi" w:hAnsiTheme="majorHAnsi" w:cstheme="majorHAnsi"/>
          <w:noProof/>
          <w:vertAlign w:val="superscript"/>
        </w:rPr>
        <w:t>[14]</w:t>
      </w:r>
      <w:r w:rsidR="00DE1BB0" w:rsidRPr="008719BC">
        <w:rPr>
          <w:rFonts w:asciiTheme="majorHAnsi" w:hAnsiTheme="majorHAnsi" w:cstheme="majorHAnsi"/>
        </w:rPr>
      </w:r>
      <w:r w:rsidR="00DE1BB0">
        <w:rPr>
          <w:rFonts w:asciiTheme="majorHAnsi" w:hAnsiTheme="majorHAnsi" w:cstheme="majorHAnsi"/>
        </w:rPr>
        <w:t xml:space="preserve"> in reducing IGRA tests required.</w:t>
      </w:r>
    </w:p>
    <w:p w14:paraId="0F965546" w14:textId="77777777" w:rsidR="00957ED3" w:rsidRDefault="00957ED3" w:rsidP="00EF4972">
      <w:pPr>
        <w:spacing w:line="360" w:lineRule="auto"/>
        <w:rPr>
          <w:rFonts w:asciiTheme="majorHAnsi" w:hAnsiTheme="majorHAnsi" w:cstheme="majorHAnsi"/>
        </w:rPr>
      </w:pPr>
    </w:p>
    <w:p w14:paraId="0148CBFF" w14:textId="27CEACA6" w:rsidR="008C2537" w:rsidRDefault="000A7766" w:rsidP="0082666E">
      <w:pPr>
        <w:spacing w:line="480" w:lineRule="auto"/>
        <w:jc w:val="both"/>
        <w:rPr>
          <w:rFonts w:asciiTheme="majorHAnsi" w:hAnsiTheme="majorHAnsi" w:cstheme="majorHAnsi"/>
        </w:rPr>
      </w:pPr>
      <w:r>
        <w:rPr>
          <w:rFonts w:asciiTheme="majorHAnsi" w:hAnsiTheme="majorHAnsi" w:cstheme="majorHAnsi"/>
        </w:rPr>
        <w:t>Secondly, we included indeterminate results in the denominator which will lead to a</w:t>
      </w:r>
      <w:r w:rsidR="003B75A8">
        <w:rPr>
          <w:rFonts w:asciiTheme="majorHAnsi" w:hAnsiTheme="majorHAnsi" w:cstheme="majorHAnsi"/>
        </w:rPr>
        <w:t>n</w:t>
      </w:r>
      <w:r>
        <w:rPr>
          <w:rFonts w:asciiTheme="majorHAnsi" w:hAnsiTheme="majorHAnsi" w:cstheme="majorHAnsi"/>
        </w:rPr>
        <w:t xml:space="preserve"> under-estimation of the overall IGRA positivity rate. Since there were only two cases of indeterminate results, however, this effect will be marginal. </w:t>
      </w:r>
      <w:r w:rsidR="00957ED3" w:rsidRPr="0082666E">
        <w:rPr>
          <w:rFonts w:asciiTheme="majorHAnsi" w:hAnsiTheme="majorHAnsi" w:cstheme="majorHAnsi"/>
        </w:rPr>
        <w:t xml:space="preserve">A further limitation was that we </w:t>
      </w:r>
      <w:r w:rsidR="00957ED3" w:rsidRPr="0082666E">
        <w:rPr>
          <w:rFonts w:asciiTheme="majorHAnsi" w:hAnsiTheme="majorHAnsi" w:cstheme="majorHAnsi"/>
        </w:rPr>
        <w:lastRenderedPageBreak/>
        <w:t>used country-specific TB incidence data available at a single time-point in our analysis, rather than using incidence estimates corresponding to year of entry to the UK for non-UK-born PLWH</w:t>
      </w:r>
      <w:r w:rsidR="00BB16A3" w:rsidRPr="0082666E">
        <w:rPr>
          <w:rFonts w:asciiTheme="majorHAnsi" w:hAnsiTheme="majorHAnsi" w:cstheme="majorHAnsi"/>
        </w:rPr>
        <w:t>.</w:t>
      </w:r>
      <w:r w:rsidR="00957ED3" w:rsidRPr="0082666E">
        <w:rPr>
          <w:rFonts w:asciiTheme="majorHAnsi" w:hAnsiTheme="majorHAnsi" w:cstheme="majorHAnsi"/>
        </w:rPr>
        <w:t xml:space="preserve"> TB incidence may have changed in individual countries over time; however, date of UK entry was incomplete in our dataset and may not be routinely available, and an accessible, risk-based testing approach requires a simplified approach. </w:t>
      </w:r>
    </w:p>
    <w:p w14:paraId="7EA8D72B" w14:textId="77777777" w:rsidR="00BB16A3" w:rsidRDefault="00BB16A3" w:rsidP="0082666E">
      <w:pPr>
        <w:spacing w:line="480" w:lineRule="auto"/>
        <w:jc w:val="both"/>
        <w:rPr>
          <w:rFonts w:asciiTheme="majorHAnsi" w:hAnsiTheme="majorHAnsi" w:cstheme="majorHAnsi"/>
        </w:rPr>
      </w:pPr>
    </w:p>
    <w:p w14:paraId="320D2298" w14:textId="38F3F049" w:rsidR="00EC6653" w:rsidRDefault="003B211F" w:rsidP="008C6451">
      <w:pPr>
        <w:spacing w:after="240" w:line="480" w:lineRule="auto"/>
        <w:jc w:val="both"/>
        <w:rPr>
          <w:rFonts w:asciiTheme="majorHAnsi" w:hAnsiTheme="majorHAnsi" w:cstheme="majorHAnsi"/>
        </w:rPr>
      </w:pPr>
      <w:r w:rsidRPr="00775F83">
        <w:rPr>
          <w:rFonts w:asciiTheme="majorHAnsi" w:hAnsiTheme="majorHAnsi" w:cstheme="majorHAnsi"/>
        </w:rPr>
        <w:t>LTBI prevalence was moderately high at 1</w:t>
      </w:r>
      <w:r w:rsidR="00FC4C45">
        <w:rPr>
          <w:rFonts w:asciiTheme="majorHAnsi" w:hAnsiTheme="majorHAnsi" w:cstheme="majorHAnsi"/>
        </w:rPr>
        <w:t>1.1</w:t>
      </w:r>
      <w:r w:rsidRPr="00775F83">
        <w:rPr>
          <w:rFonts w:asciiTheme="majorHAnsi" w:hAnsiTheme="majorHAnsi" w:cstheme="majorHAnsi"/>
        </w:rPr>
        <w:t>% for the whole cohort compared to 7–10% in other settings.</w:t>
      </w:r>
      <w:r w:rsidRPr="00775F83">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Pr="00775F83">
        <w:rPr>
          <w:rFonts w:asciiTheme="majorHAnsi" w:hAnsiTheme="majorHAnsi" w:cstheme="majorHAnsi"/>
        </w:rPr>
      </w:r>
      <w:r w:rsidRPr="00775F83">
        <w:rPr>
          <w:rFonts w:asciiTheme="majorHAnsi" w:hAnsiTheme="majorHAnsi" w:cstheme="majorHAnsi"/>
        </w:rPr>
      </w:r>
      <w:r w:rsidR="004E5082" w:rsidRPr="004E5082">
        <w:rPr>
          <w:rFonts w:asciiTheme="majorHAnsi" w:hAnsiTheme="majorHAnsi" w:cstheme="majorHAnsi"/>
          <w:noProof/>
          <w:vertAlign w:val="superscript"/>
        </w:rPr>
        <w:t>[18-20]</w:t>
      </w:r>
      <w:r w:rsidRPr="00775F83">
        <w:rPr>
          <w:rFonts w:asciiTheme="majorHAnsi" w:hAnsiTheme="majorHAnsi" w:cstheme="majorHAnsi"/>
        </w:rPr>
      </w:r>
      <w:r>
        <w:rPr>
          <w:rFonts w:asciiTheme="majorHAnsi" w:hAnsiTheme="majorHAnsi" w:cstheme="majorHAnsi"/>
        </w:rPr>
        <w:t xml:space="preserve"> IGRA positivity for PLWH from low TB incidence countries was comparable: 3</w:t>
      </w:r>
      <w:r w:rsidR="003958B3">
        <w:rPr>
          <w:rFonts w:asciiTheme="majorHAnsi" w:hAnsiTheme="majorHAnsi" w:cstheme="majorHAnsi"/>
        </w:rPr>
        <w:t>.</w:t>
      </w:r>
      <w:r>
        <w:rPr>
          <w:rFonts w:asciiTheme="majorHAnsi" w:hAnsiTheme="majorHAnsi" w:cstheme="majorHAnsi"/>
        </w:rPr>
        <w:t>1% among PLWH born in countries with TB incidence &lt;30/100,000 in London</w:t>
      </w:r>
      <w:r w:rsidR="00F376B7">
        <w:rPr>
          <w:rFonts w:asciiTheme="majorHAnsi" w:hAnsiTheme="majorHAnsi" w:cstheme="majorHAnsi"/>
        </w:rPr>
      </w:r>
      <w:r w:rsidR="004E5082">
        <w:rPr>
          <w:rFonts w:asciiTheme="majorHAnsi" w:hAnsiTheme="majorHAnsi" w:cstheme="majorHAnsi"/>
        </w:rPr>
        <w:instrText xml:space="preserve"/>
      </w:r>
      <w:r w:rsidR="00F376B7">
        <w:rPr>
          <w:rFonts w:asciiTheme="majorHAnsi" w:hAnsiTheme="majorHAnsi" w:cstheme="majorHAnsi"/>
        </w:rPr>
      </w:r>
      <w:r w:rsidR="004E5082" w:rsidRPr="004E5082">
        <w:rPr>
          <w:rFonts w:asciiTheme="majorHAnsi" w:hAnsiTheme="majorHAnsi" w:cstheme="majorHAnsi"/>
          <w:noProof/>
          <w:vertAlign w:val="superscript"/>
        </w:rPr>
        <w:t>[20]</w:t>
      </w:r>
      <w:r w:rsidR="00F376B7">
        <w:rPr>
          <w:rFonts w:asciiTheme="majorHAnsi" w:hAnsiTheme="majorHAnsi" w:cstheme="majorHAnsi"/>
        </w:rPr>
      </w:r>
      <w:r>
        <w:rPr>
          <w:rFonts w:asciiTheme="majorHAnsi" w:hAnsiTheme="majorHAnsi" w:cstheme="majorHAnsi"/>
        </w:rPr>
        <w:t xml:space="preserve"> compared to </w:t>
      </w:r>
      <w:r w:rsidR="00FC4C45">
        <w:rPr>
          <w:rFonts w:asciiTheme="majorHAnsi" w:hAnsiTheme="majorHAnsi" w:cstheme="majorHAnsi"/>
        </w:rPr>
        <w:t>2.7</w:t>
      </w:r>
      <w:r>
        <w:rPr>
          <w:rFonts w:asciiTheme="majorHAnsi" w:hAnsiTheme="majorHAnsi" w:cstheme="majorHAnsi"/>
        </w:rPr>
        <w:t>% for those from &lt;50/100,000 in our study. Key to the performance of screening criteria dependent on TB incidence in country</w:t>
      </w:r>
      <w:r w:rsidR="00431A40">
        <w:rPr>
          <w:rFonts w:asciiTheme="majorHAnsi" w:hAnsiTheme="majorHAnsi" w:cstheme="majorHAnsi"/>
        </w:rPr>
        <w:t>-</w:t>
      </w:r>
      <w:r>
        <w:rPr>
          <w:rFonts w:asciiTheme="majorHAnsi" w:hAnsiTheme="majorHAnsi" w:cstheme="majorHAnsi"/>
        </w:rPr>
        <w:t>of</w:t>
      </w:r>
      <w:r w:rsidR="00431A40">
        <w:rPr>
          <w:rFonts w:asciiTheme="majorHAnsi" w:hAnsiTheme="majorHAnsi" w:cstheme="majorHAnsi"/>
        </w:rPr>
        <w:t>-</w:t>
      </w:r>
      <w:r>
        <w:rPr>
          <w:rFonts w:asciiTheme="majorHAnsi" w:hAnsiTheme="majorHAnsi" w:cstheme="majorHAnsi"/>
        </w:rPr>
        <w:t>birth is LTBI prevalence amongst those from countries bel</w:t>
      </w:r>
      <w:r w:rsidRPr="00183E99">
        <w:rPr>
          <w:rFonts w:asciiTheme="majorHAnsi" w:hAnsiTheme="majorHAnsi" w:cstheme="majorHAnsi"/>
        </w:rPr>
        <w:t>ow the determined threshold. It is reassuring to observe a similar prevalence from a contrasting UK region, but more evidence on IGRA positivity rates by TB incidence in country</w:t>
      </w:r>
      <w:r w:rsidR="00431A40">
        <w:rPr>
          <w:rFonts w:asciiTheme="majorHAnsi" w:hAnsiTheme="majorHAnsi" w:cstheme="majorHAnsi"/>
        </w:rPr>
        <w:t>-</w:t>
      </w:r>
      <w:r w:rsidRPr="00183E99">
        <w:rPr>
          <w:rFonts w:asciiTheme="majorHAnsi" w:hAnsiTheme="majorHAnsi" w:cstheme="majorHAnsi"/>
        </w:rPr>
        <w:t>of</w:t>
      </w:r>
      <w:r w:rsidR="00431A40">
        <w:rPr>
          <w:rFonts w:asciiTheme="majorHAnsi" w:hAnsiTheme="majorHAnsi" w:cstheme="majorHAnsi"/>
        </w:rPr>
        <w:t>-</w:t>
      </w:r>
      <w:r w:rsidRPr="00183E99">
        <w:rPr>
          <w:rFonts w:asciiTheme="majorHAnsi" w:hAnsiTheme="majorHAnsi" w:cstheme="majorHAnsi"/>
        </w:rPr>
        <w:t xml:space="preserve">birth for other PLWH populations in the UK </w:t>
      </w:r>
      <w:r w:rsidR="00DE1BB0">
        <w:rPr>
          <w:rFonts w:asciiTheme="majorHAnsi" w:hAnsiTheme="majorHAnsi" w:cstheme="majorHAnsi"/>
        </w:rPr>
        <w:t>would be useful</w:t>
      </w:r>
      <w:r w:rsidRPr="00183E99">
        <w:rPr>
          <w:rFonts w:asciiTheme="majorHAnsi" w:hAnsiTheme="majorHAnsi" w:cstheme="majorHAnsi"/>
        </w:rPr>
        <w:t xml:space="preserve"> to validate our proposed testing strategy</w:t>
      </w:r>
      <w:r w:rsidR="0029003C">
        <w:rPr>
          <w:rFonts w:asciiTheme="majorHAnsi" w:hAnsiTheme="majorHAnsi" w:cstheme="majorHAnsi"/>
        </w:rPr>
        <w:t xml:space="preserve"> and determine the generalisability of the results</w:t>
      </w:r>
      <w:r w:rsidRPr="00183E99">
        <w:rPr>
          <w:rFonts w:asciiTheme="majorHAnsi" w:hAnsiTheme="majorHAnsi" w:cstheme="majorHAnsi"/>
        </w:rPr>
        <w:t>.</w:t>
      </w:r>
    </w:p>
    <w:p w14:paraId="7C77612C" w14:textId="71659B78" w:rsidR="00566B98" w:rsidRPr="00183E99" w:rsidRDefault="003B211F" w:rsidP="008C6451">
      <w:pPr>
        <w:spacing w:after="240" w:line="480" w:lineRule="auto"/>
        <w:jc w:val="both"/>
        <w:rPr>
          <w:rFonts w:asciiTheme="majorHAnsi" w:hAnsiTheme="majorHAnsi" w:cstheme="majorHAnsi"/>
        </w:rPr>
      </w:pPr>
      <w:r w:rsidRPr="00DB689F">
        <w:rPr>
          <w:rFonts w:asciiTheme="majorHAnsi" w:hAnsiTheme="majorHAnsi" w:cstheme="majorHAnsi"/>
        </w:rPr>
        <w:t xml:space="preserve">Our proposed </w:t>
      </w:r>
      <w:r w:rsidR="00431A40" w:rsidRPr="00DB689F">
        <w:rPr>
          <w:rFonts w:asciiTheme="majorHAnsi" w:hAnsiTheme="majorHAnsi" w:cstheme="majorHAnsi"/>
          <w:bCs/>
        </w:rPr>
        <w:t>‘PLWH-LTBI streamlined guidance’</w:t>
      </w:r>
      <w:r w:rsidRPr="00DB689F">
        <w:rPr>
          <w:rFonts w:asciiTheme="majorHAnsi" w:hAnsiTheme="majorHAnsi" w:cstheme="majorHAnsi"/>
        </w:rPr>
        <w:t xml:space="preserve"> performed statistically significantly as well as BHIVA 2018 guidance in terms of yield, number screened and proportion of latent infections identified.</w:t>
      </w:r>
      <w:r w:rsidRPr="00183E99">
        <w:rPr>
          <w:rFonts w:asciiTheme="majorHAnsi" w:hAnsiTheme="majorHAnsi" w:cstheme="majorHAnsi"/>
        </w:rPr>
        <w:t xml:space="preserve"> </w:t>
      </w:r>
      <w:r w:rsidR="00E964AE" w:rsidRPr="00183E99">
        <w:rPr>
          <w:rFonts w:asciiTheme="majorHAnsi" w:hAnsiTheme="majorHAnsi" w:cstheme="majorHAnsi"/>
        </w:rPr>
        <w:t>The next step is</w:t>
      </w:r>
      <w:r w:rsidR="00533B49" w:rsidRPr="00183E99">
        <w:rPr>
          <w:rFonts w:asciiTheme="majorHAnsi" w:hAnsiTheme="majorHAnsi" w:cstheme="majorHAnsi"/>
        </w:rPr>
        <w:t xml:space="preserve"> to </w:t>
      </w:r>
      <w:r w:rsidR="005A0766">
        <w:rPr>
          <w:rFonts w:asciiTheme="majorHAnsi" w:hAnsiTheme="majorHAnsi" w:cstheme="majorHAnsi"/>
        </w:rPr>
        <w:t xml:space="preserve">undertake a full </w:t>
      </w:r>
      <w:r w:rsidR="00533B49" w:rsidRPr="00183E99">
        <w:rPr>
          <w:rFonts w:asciiTheme="majorHAnsi" w:hAnsiTheme="majorHAnsi" w:cstheme="majorHAnsi"/>
        </w:rPr>
        <w:t xml:space="preserve">cost-effectiveness </w:t>
      </w:r>
      <w:r w:rsidR="005A0766">
        <w:rPr>
          <w:rFonts w:asciiTheme="majorHAnsi" w:hAnsiTheme="majorHAnsi" w:cstheme="majorHAnsi"/>
        </w:rPr>
        <w:t xml:space="preserve">analysis </w:t>
      </w:r>
      <w:r w:rsidR="00F6180E" w:rsidRPr="00183E99">
        <w:rPr>
          <w:rFonts w:asciiTheme="majorHAnsi" w:hAnsiTheme="majorHAnsi" w:cstheme="majorHAnsi"/>
        </w:rPr>
        <w:t>of th</w:t>
      </w:r>
      <w:r w:rsidR="00E964AE" w:rsidRPr="00183E99">
        <w:rPr>
          <w:rFonts w:asciiTheme="majorHAnsi" w:hAnsiTheme="majorHAnsi" w:cstheme="majorHAnsi"/>
        </w:rPr>
        <w:t>is and other</w:t>
      </w:r>
      <w:r w:rsidR="00F6180E" w:rsidRPr="00183E99">
        <w:rPr>
          <w:rFonts w:asciiTheme="majorHAnsi" w:hAnsiTheme="majorHAnsi" w:cstheme="majorHAnsi"/>
        </w:rPr>
        <w:t xml:space="preserve"> LTBI testing strategies</w:t>
      </w:r>
      <w:r w:rsidR="00E964AE" w:rsidRPr="00183E99">
        <w:rPr>
          <w:rFonts w:asciiTheme="majorHAnsi" w:hAnsiTheme="majorHAnsi" w:cstheme="majorHAnsi"/>
        </w:rPr>
        <w:t xml:space="preserve"> for PLWH, both for the Leicester cohort</w:t>
      </w:r>
      <w:r w:rsidR="00FE5CE1">
        <w:rPr>
          <w:rFonts w:asciiTheme="majorHAnsi" w:hAnsiTheme="majorHAnsi" w:cstheme="majorHAnsi"/>
        </w:rPr>
        <w:t xml:space="preserve"> and </w:t>
      </w:r>
      <w:r w:rsidR="00E964AE" w:rsidRPr="00183E99">
        <w:rPr>
          <w:rFonts w:asciiTheme="majorHAnsi" w:hAnsiTheme="majorHAnsi" w:cstheme="majorHAnsi"/>
        </w:rPr>
        <w:t>more generally</w:t>
      </w:r>
      <w:r w:rsidR="00F6180E" w:rsidRPr="00183E99">
        <w:rPr>
          <w:rFonts w:asciiTheme="majorHAnsi" w:hAnsiTheme="majorHAnsi" w:cstheme="majorHAnsi"/>
        </w:rPr>
        <w:t xml:space="preserve"> across the UK</w:t>
      </w:r>
      <w:r w:rsidR="00FE5CE1">
        <w:rPr>
          <w:rFonts w:asciiTheme="majorHAnsi" w:hAnsiTheme="majorHAnsi" w:cstheme="majorHAnsi"/>
        </w:rPr>
        <w:t>.</w:t>
      </w:r>
      <w:r w:rsidR="00E964AE" w:rsidRPr="00183E99">
        <w:rPr>
          <w:rFonts w:asciiTheme="majorHAnsi" w:hAnsiTheme="majorHAnsi" w:cstheme="majorHAnsi"/>
        </w:rPr>
        <w:t xml:space="preserve"> This would bring together the costs of the intervention, not only in terms of IGRA tests and chemoprophylaxis but also costs saved by averting cases of active</w:t>
      </w:r>
      <w:r w:rsidR="00A97CC8">
        <w:rPr>
          <w:rFonts w:asciiTheme="majorHAnsi" w:hAnsiTheme="majorHAnsi" w:cstheme="majorHAnsi"/>
        </w:rPr>
        <w:t xml:space="preserve"> TB</w:t>
      </w:r>
      <w:r w:rsidR="00E964AE" w:rsidRPr="00183E99">
        <w:rPr>
          <w:rFonts w:asciiTheme="majorHAnsi" w:hAnsiTheme="majorHAnsi" w:cstheme="majorHAnsi"/>
        </w:rPr>
        <w:t xml:space="preserve"> and </w:t>
      </w:r>
      <w:r w:rsidR="00A97CC8">
        <w:rPr>
          <w:rFonts w:asciiTheme="majorHAnsi" w:hAnsiTheme="majorHAnsi" w:cstheme="majorHAnsi"/>
        </w:rPr>
        <w:t>associated</w:t>
      </w:r>
      <w:r w:rsidR="00E964AE" w:rsidRPr="00183E99">
        <w:rPr>
          <w:rFonts w:asciiTheme="majorHAnsi" w:hAnsiTheme="majorHAnsi" w:cstheme="majorHAnsi"/>
        </w:rPr>
        <w:t xml:space="preserve"> health benefits of reducing active TB morbidity and mortality, under a single </w:t>
      </w:r>
      <w:r w:rsidR="00E964AE" w:rsidRPr="00183E99">
        <w:rPr>
          <w:rFonts w:asciiTheme="majorHAnsi" w:hAnsiTheme="majorHAnsi" w:cstheme="majorHAnsi"/>
        </w:rPr>
        <w:lastRenderedPageBreak/>
        <w:t xml:space="preserve">framework, to inform formation of the next round of UK guidance. </w:t>
      </w:r>
      <w:r w:rsidR="00FA2B5B" w:rsidRPr="00183E99">
        <w:rPr>
          <w:rFonts w:asciiTheme="majorHAnsi" w:hAnsiTheme="majorHAnsi" w:cstheme="majorHAnsi"/>
        </w:rPr>
        <w:t>A previous cost-effectiveness analysis</w:t>
      </w:r>
      <w:r w:rsidR="00D9631A" w:rsidRPr="00183E99">
        <w:rPr>
          <w:rFonts w:asciiTheme="majorHAnsi" w:hAnsiTheme="majorHAnsi" w:cstheme="majorHAnsi"/>
        </w:rPr>
        <w:t xml:space="preserve"> of LTBI screening among PLWH based in </w:t>
      </w:r>
      <w:r w:rsidR="00FA2B5B" w:rsidRPr="00183E99">
        <w:rPr>
          <w:rFonts w:asciiTheme="majorHAnsi" w:hAnsiTheme="majorHAnsi" w:cstheme="majorHAnsi"/>
        </w:rPr>
        <w:t xml:space="preserve">London </w:t>
      </w:r>
      <w:r w:rsidR="00E964AE" w:rsidRPr="00183E99">
        <w:rPr>
          <w:rFonts w:asciiTheme="majorHAnsi" w:hAnsiTheme="majorHAnsi" w:cstheme="majorHAnsi"/>
        </w:rPr>
        <w:t>found that a targeted approach to screening was more cost-effective than universal testing, but at the expense of missing some cases.</w:t>
      </w:r>
      <w:r w:rsidR="00E964AE" w:rsidRPr="00183E99">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instrText xml:space="preserve"/>
      </w:r>
      <w:r w:rsidR="004E5082">
        <w:rPr>
          <w:rFonts w:asciiTheme="majorHAnsi" w:hAnsiTheme="majorHAnsi" w:cstheme="majorHAnsi"/>
        </w:rPr>
      </w:r>
      <w:r w:rsidR="004E5082">
        <w:rPr>
          <w:rFonts w:asciiTheme="majorHAnsi" w:hAnsiTheme="majorHAnsi" w:cstheme="majorHAnsi"/>
        </w:rPr>
      </w:r>
      <w:r w:rsidR="00E964AE" w:rsidRPr="00183E99">
        <w:rPr>
          <w:rFonts w:asciiTheme="majorHAnsi" w:hAnsiTheme="majorHAnsi" w:cstheme="majorHAnsi"/>
        </w:rPr>
      </w:r>
      <w:r w:rsidR="00E964AE" w:rsidRPr="00183E99">
        <w:rPr>
          <w:rFonts w:asciiTheme="majorHAnsi" w:hAnsiTheme="majorHAnsi" w:cstheme="majorHAnsi"/>
        </w:rPr>
      </w:r>
      <w:r w:rsidR="004E5082" w:rsidRPr="004E5082">
        <w:rPr>
          <w:rFonts w:asciiTheme="majorHAnsi" w:hAnsiTheme="majorHAnsi" w:cstheme="majorHAnsi"/>
          <w:noProof/>
          <w:vertAlign w:val="superscript"/>
        </w:rPr>
        <w:t>[31]</w:t>
      </w:r>
      <w:r w:rsidR="00E964AE" w:rsidRPr="00183E99">
        <w:rPr>
          <w:rFonts w:asciiTheme="majorHAnsi" w:hAnsiTheme="majorHAnsi" w:cstheme="majorHAnsi"/>
        </w:rPr>
      </w:r>
      <w:r w:rsidR="00E964AE" w:rsidRPr="00183E99">
        <w:rPr>
          <w:rFonts w:asciiTheme="majorHAnsi" w:hAnsiTheme="majorHAnsi" w:cstheme="majorHAnsi"/>
        </w:rPr>
        <w:t xml:space="preserve"> We now have the empirical data to inform new health economic analyses with realistic assumptions regarding IGRA </w:t>
      </w:r>
      <w:r w:rsidR="00FA2B5B" w:rsidRPr="00183E99">
        <w:rPr>
          <w:rFonts w:asciiTheme="majorHAnsi" w:hAnsiTheme="majorHAnsi" w:cstheme="majorHAnsi"/>
        </w:rPr>
        <w:t>positivity rates</w:t>
      </w:r>
      <w:r w:rsidR="00E964AE" w:rsidRPr="00183E99">
        <w:rPr>
          <w:rFonts w:asciiTheme="majorHAnsi" w:hAnsiTheme="majorHAnsi" w:cstheme="majorHAnsi"/>
        </w:rPr>
        <w:t xml:space="preserve"> by risk group</w:t>
      </w:r>
      <w:r w:rsidR="00FA2B5B" w:rsidRPr="00183E99">
        <w:rPr>
          <w:rFonts w:asciiTheme="majorHAnsi" w:hAnsiTheme="majorHAnsi" w:cstheme="majorHAnsi"/>
        </w:rPr>
        <w:t>, chemoprophylaxis uptake and treatment</w:t>
      </w:r>
      <w:r w:rsidR="00C22ED6" w:rsidRPr="00183E99">
        <w:rPr>
          <w:rFonts w:asciiTheme="majorHAnsi" w:hAnsiTheme="majorHAnsi" w:cstheme="majorHAnsi"/>
        </w:rPr>
        <w:t>.</w:t>
      </w:r>
      <w:r w:rsidR="003447AC" w:rsidRPr="00183E99">
        <w:rPr>
          <w:rFonts w:asciiTheme="majorHAnsi" w:hAnsiTheme="majorHAnsi" w:cstheme="majorHAnsi"/>
        </w:rPr>
        <w:t xml:space="preserve"> </w:t>
      </w:r>
    </w:p>
    <w:p w14:paraId="29F4CA9A" w14:textId="407F7EDF" w:rsidR="004014FA" w:rsidRDefault="00566B98" w:rsidP="008C6451">
      <w:pPr>
        <w:spacing w:line="480" w:lineRule="auto"/>
        <w:jc w:val="both"/>
        <w:rPr>
          <w:rFonts w:asciiTheme="majorHAnsi" w:hAnsiTheme="majorHAnsi" w:cstheme="majorHAnsi"/>
        </w:rPr>
      </w:pPr>
      <w:r w:rsidRPr="00183E99">
        <w:rPr>
          <w:rFonts w:asciiTheme="majorHAnsi" w:hAnsiTheme="majorHAnsi" w:cstheme="majorHAnsi"/>
        </w:rPr>
        <w:t>This large, prospective screening cohort show</w:t>
      </w:r>
      <w:r w:rsidR="00026A36" w:rsidRPr="00183E99">
        <w:rPr>
          <w:rFonts w:asciiTheme="majorHAnsi" w:hAnsiTheme="majorHAnsi" w:cstheme="majorHAnsi"/>
        </w:rPr>
        <w:t>ed</w:t>
      </w:r>
      <w:r w:rsidRPr="00183E99">
        <w:rPr>
          <w:rFonts w:asciiTheme="majorHAnsi" w:hAnsiTheme="majorHAnsi" w:cstheme="majorHAnsi"/>
        </w:rPr>
        <w:t xml:space="preserve"> that PLWH from high TB burden countries are at highest risk of having LTBI but </w:t>
      </w:r>
      <w:r w:rsidR="00D9631A" w:rsidRPr="00183E99">
        <w:rPr>
          <w:rFonts w:asciiTheme="majorHAnsi" w:hAnsiTheme="majorHAnsi" w:cstheme="majorHAnsi"/>
        </w:rPr>
        <w:t xml:space="preserve">also </w:t>
      </w:r>
      <w:r w:rsidRPr="00183E99">
        <w:rPr>
          <w:rFonts w:asciiTheme="majorHAnsi" w:hAnsiTheme="majorHAnsi" w:cstheme="majorHAnsi"/>
        </w:rPr>
        <w:t xml:space="preserve">that programmatic </w:t>
      </w:r>
      <w:r w:rsidR="00026A36" w:rsidRPr="00183E99">
        <w:rPr>
          <w:rFonts w:asciiTheme="majorHAnsi" w:hAnsiTheme="majorHAnsi" w:cstheme="majorHAnsi"/>
        </w:rPr>
        <w:t xml:space="preserve">LTBI </w:t>
      </w:r>
      <w:r w:rsidRPr="00183E99">
        <w:rPr>
          <w:rFonts w:asciiTheme="majorHAnsi" w:hAnsiTheme="majorHAnsi" w:cstheme="majorHAnsi"/>
        </w:rPr>
        <w:t>screening is achievable and can lead to impressive outcomes in terms of chemoprophylaxis completion</w:t>
      </w:r>
      <w:r w:rsidR="00E964AE" w:rsidRPr="00183E99">
        <w:rPr>
          <w:rFonts w:asciiTheme="majorHAnsi" w:hAnsiTheme="majorHAnsi" w:cstheme="majorHAnsi"/>
        </w:rPr>
        <w:t>. We now</w:t>
      </w:r>
      <w:r w:rsidR="005A0766">
        <w:rPr>
          <w:rFonts w:asciiTheme="majorHAnsi" w:hAnsiTheme="majorHAnsi" w:cstheme="majorHAnsi"/>
        </w:rPr>
        <w:t xml:space="preserve"> recommend that a full</w:t>
      </w:r>
      <w:r w:rsidR="009B49CC">
        <w:rPr>
          <w:rFonts w:asciiTheme="majorHAnsi" w:hAnsiTheme="majorHAnsi" w:cstheme="majorHAnsi"/>
        </w:rPr>
        <w:t xml:space="preserve"> cost-effectiveness analysis </w:t>
      </w:r>
      <w:r w:rsidR="005A0766">
        <w:rPr>
          <w:rFonts w:asciiTheme="majorHAnsi" w:hAnsiTheme="majorHAnsi" w:cstheme="majorHAnsi"/>
        </w:rPr>
        <w:t xml:space="preserve">is undertaken </w:t>
      </w:r>
      <w:r w:rsidR="009B49CC">
        <w:rPr>
          <w:rFonts w:asciiTheme="majorHAnsi" w:hAnsiTheme="majorHAnsi" w:cstheme="majorHAnsi"/>
        </w:rPr>
        <w:t xml:space="preserve">in order to produce </w:t>
      </w:r>
      <w:r w:rsidR="00E964AE" w:rsidRPr="00183E99">
        <w:rPr>
          <w:rFonts w:asciiTheme="majorHAnsi" w:hAnsiTheme="majorHAnsi" w:cstheme="majorHAnsi"/>
        </w:rPr>
        <w:t xml:space="preserve">the most </w:t>
      </w:r>
      <w:r w:rsidR="00E30AE7">
        <w:rPr>
          <w:rFonts w:asciiTheme="majorHAnsi" w:hAnsiTheme="majorHAnsi" w:cstheme="majorHAnsi"/>
        </w:rPr>
        <w:t>user-friendly</w:t>
      </w:r>
      <w:r w:rsidR="00E964AE" w:rsidRPr="00183E99">
        <w:rPr>
          <w:rFonts w:asciiTheme="majorHAnsi" w:hAnsiTheme="majorHAnsi" w:cstheme="majorHAnsi"/>
        </w:rPr>
        <w:t>, evidence-based guidelines for</w:t>
      </w:r>
      <w:r w:rsidR="00183E99" w:rsidRPr="00183E99">
        <w:rPr>
          <w:rFonts w:asciiTheme="majorHAnsi" w:hAnsiTheme="majorHAnsi" w:cstheme="majorHAnsi"/>
        </w:rPr>
        <w:t xml:space="preserve"> screening</w:t>
      </w:r>
      <w:r w:rsidR="0029003C">
        <w:rPr>
          <w:rFonts w:asciiTheme="majorHAnsi" w:hAnsiTheme="majorHAnsi" w:cstheme="majorHAnsi"/>
        </w:rPr>
        <w:t xml:space="preserve"> in the UK and other low TB incidence settings</w:t>
      </w:r>
      <w:r w:rsidR="009B49CC">
        <w:rPr>
          <w:rFonts w:asciiTheme="majorHAnsi" w:hAnsiTheme="majorHAnsi" w:cstheme="majorHAnsi"/>
        </w:rPr>
        <w:t>, to enable consistent implementation</w:t>
      </w:r>
      <w:r w:rsidR="00AB58AC">
        <w:rPr>
          <w:rFonts w:asciiTheme="majorHAnsi" w:hAnsiTheme="majorHAnsi" w:cstheme="majorHAnsi"/>
        </w:rPr>
        <w:t>.</w:t>
      </w:r>
      <w:r w:rsidR="0024562D" w:rsidRPr="00AB06D7">
        <w:rPr>
          <w:rFonts w:asciiTheme="majorHAnsi" w:hAnsiTheme="majorHAnsi" w:cstheme="majorHAnsi"/>
        </w:rPr>
        <w:t xml:space="preserve"> </w:t>
      </w:r>
    </w:p>
    <w:p w14:paraId="17FEDFC5" w14:textId="77777777" w:rsidR="005E3A05" w:rsidRDefault="005E3A05" w:rsidP="008C6451">
      <w:pPr>
        <w:spacing w:line="480" w:lineRule="auto"/>
        <w:jc w:val="both"/>
        <w:rPr>
          <w:rFonts w:asciiTheme="majorHAnsi" w:hAnsiTheme="majorHAnsi" w:cstheme="majorHAnsi"/>
        </w:rPr>
      </w:pPr>
    </w:p>
    <w:p w14:paraId="303BB1FE" w14:textId="181274DC" w:rsidR="00786D28" w:rsidRDefault="00786D28" w:rsidP="008C6451">
      <w:pPr>
        <w:spacing w:line="480" w:lineRule="auto"/>
        <w:jc w:val="both"/>
        <w:rPr>
          <w:rFonts w:asciiTheme="majorHAnsi" w:hAnsiTheme="majorHAnsi" w:cstheme="majorHAnsi"/>
        </w:rPr>
      </w:pPr>
    </w:p>
    <w:p w14:paraId="3191C9FF" w14:textId="77777777" w:rsidR="0099699E" w:rsidRDefault="0099699E" w:rsidP="008C6451">
      <w:pPr>
        <w:autoSpaceDE w:val="0"/>
        <w:autoSpaceDN w:val="0"/>
        <w:adjustRightInd w:val="0"/>
        <w:spacing w:line="480" w:lineRule="auto"/>
        <w:jc w:val="both"/>
        <w:rPr>
          <w:rFonts w:asciiTheme="majorHAnsi" w:hAnsiTheme="majorHAnsi" w:cstheme="majorHAnsi"/>
        </w:rPr>
        <w:sectPr w:rsidR="0099699E" w:rsidSect="0081765D">
          <w:pgSz w:w="11900" w:h="16840"/>
          <w:pgMar w:top="1440" w:right="1440" w:bottom="1440" w:left="1440" w:header="708" w:footer="708" w:gutter="0"/>
          <w:cols w:space="708"/>
          <w:docGrid w:linePitch="360"/>
        </w:sectPr>
      </w:pPr>
    </w:p>
    <w:p w14:paraId="15521636" w14:textId="21915022" w:rsidR="0099699E" w:rsidRPr="008C6451" w:rsidRDefault="0099699E" w:rsidP="0099699E">
      <w:pPr>
        <w:autoSpaceDE w:val="0"/>
        <w:autoSpaceDN w:val="0"/>
        <w:adjustRightInd w:val="0"/>
        <w:spacing w:line="360" w:lineRule="auto"/>
        <w:jc w:val="both"/>
        <w:rPr>
          <w:rFonts w:asciiTheme="majorHAnsi" w:hAnsiTheme="majorHAnsi" w:cstheme="majorHAnsi"/>
          <w:b/>
          <w:bCs/>
          <w:sz w:val="28"/>
          <w:szCs w:val="28"/>
        </w:rPr>
      </w:pPr>
      <w:r>
        <w:rPr>
          <w:rFonts w:asciiTheme="majorHAnsi" w:hAnsiTheme="majorHAnsi" w:cstheme="majorHAnsi"/>
          <w:b/>
          <w:bCs/>
          <w:sz w:val="28"/>
          <w:szCs w:val="28"/>
        </w:rPr>
        <w:lastRenderedPageBreak/>
        <w:t>Acknowledgements</w:t>
      </w:r>
    </w:p>
    <w:p w14:paraId="789B53DD" w14:textId="65F16DFC" w:rsidR="00877E3B" w:rsidRPr="00AB06D7" w:rsidRDefault="00877E3B" w:rsidP="008C6451">
      <w:pPr>
        <w:autoSpaceDE w:val="0"/>
        <w:autoSpaceDN w:val="0"/>
        <w:adjustRightInd w:val="0"/>
        <w:spacing w:line="480" w:lineRule="auto"/>
        <w:jc w:val="both"/>
        <w:rPr>
          <w:rFonts w:asciiTheme="majorHAnsi" w:hAnsiTheme="majorHAnsi" w:cstheme="majorHAnsi"/>
        </w:rPr>
      </w:pPr>
      <w:r w:rsidRPr="00AB06D7">
        <w:rPr>
          <w:rFonts w:asciiTheme="majorHAnsi" w:hAnsiTheme="majorHAnsi" w:cstheme="majorHAnsi"/>
          <w:b/>
          <w:bCs/>
        </w:rPr>
        <w:t xml:space="preserve">Author contributions: </w:t>
      </w:r>
      <w:r w:rsidRPr="00AB06D7">
        <w:rPr>
          <w:rFonts w:asciiTheme="majorHAnsi" w:hAnsiTheme="majorHAnsi" w:cstheme="majorHAnsi"/>
        </w:rPr>
        <w:t>HA</w:t>
      </w:r>
      <w:r w:rsidR="006B1E74" w:rsidRPr="00AB06D7">
        <w:rPr>
          <w:rFonts w:asciiTheme="majorHAnsi" w:hAnsiTheme="majorHAnsi" w:cstheme="majorHAnsi"/>
        </w:rPr>
        <w:t>W</w:t>
      </w:r>
      <w:r w:rsidRPr="00AB06D7">
        <w:rPr>
          <w:rFonts w:asciiTheme="majorHAnsi" w:hAnsiTheme="majorHAnsi" w:cstheme="majorHAnsi"/>
        </w:rPr>
        <w:t xml:space="preserve"> and MP conceived the study and wrote the study protocol. HAW</w:t>
      </w:r>
      <w:r w:rsidR="000A18A5">
        <w:rPr>
          <w:rFonts w:asciiTheme="majorHAnsi" w:hAnsiTheme="majorHAnsi" w:cstheme="majorHAnsi"/>
        </w:rPr>
        <w:t>, HP and CB</w:t>
      </w:r>
      <w:r w:rsidRPr="00AB06D7">
        <w:rPr>
          <w:rFonts w:asciiTheme="majorHAnsi" w:hAnsiTheme="majorHAnsi" w:cstheme="majorHAnsi"/>
        </w:rPr>
        <w:t xml:space="preserve"> undertook data collection and prepared the dataset,</w:t>
      </w:r>
      <w:r w:rsidR="006B1E74" w:rsidRPr="00AB06D7">
        <w:rPr>
          <w:rFonts w:asciiTheme="majorHAnsi" w:hAnsiTheme="majorHAnsi" w:cstheme="majorHAnsi"/>
        </w:rPr>
        <w:t xml:space="preserve"> with data verification undertaken by HAW and MP.</w:t>
      </w:r>
      <w:r w:rsidRPr="00AB06D7">
        <w:rPr>
          <w:rFonts w:asciiTheme="majorHAnsi" w:hAnsiTheme="majorHAnsi" w:cstheme="majorHAnsi"/>
        </w:rPr>
        <w:t xml:space="preserve"> </w:t>
      </w:r>
      <w:r w:rsidR="00780D3D" w:rsidRPr="00AB06D7">
        <w:rPr>
          <w:rFonts w:asciiTheme="majorHAnsi" w:hAnsiTheme="majorHAnsi" w:cstheme="majorHAnsi"/>
        </w:rPr>
        <w:t>A</w:t>
      </w:r>
      <w:r w:rsidRPr="00AB06D7">
        <w:rPr>
          <w:rFonts w:asciiTheme="majorHAnsi" w:hAnsiTheme="majorHAnsi" w:cstheme="majorHAnsi"/>
        </w:rPr>
        <w:t>nalys</w:t>
      </w:r>
      <w:r w:rsidR="00780D3D" w:rsidRPr="00AB06D7">
        <w:rPr>
          <w:rFonts w:asciiTheme="majorHAnsi" w:hAnsiTheme="majorHAnsi" w:cstheme="majorHAnsi"/>
        </w:rPr>
        <w:t>is was conducted</w:t>
      </w:r>
      <w:r w:rsidRPr="00AB06D7">
        <w:rPr>
          <w:rFonts w:asciiTheme="majorHAnsi" w:hAnsiTheme="majorHAnsi" w:cstheme="majorHAnsi"/>
        </w:rPr>
        <w:t xml:space="preserve"> by HAW and HO. HAW</w:t>
      </w:r>
      <w:r w:rsidR="00D166CE">
        <w:rPr>
          <w:rFonts w:asciiTheme="majorHAnsi" w:hAnsiTheme="majorHAnsi" w:cstheme="majorHAnsi"/>
        </w:rPr>
        <w:t xml:space="preserve"> and RFB</w:t>
      </w:r>
      <w:r w:rsidRPr="00AB06D7">
        <w:rPr>
          <w:rFonts w:asciiTheme="majorHAnsi" w:hAnsiTheme="majorHAnsi" w:cstheme="majorHAnsi"/>
        </w:rPr>
        <w:t xml:space="preserve"> drafted the manuscript, with MP and RFB providing ongoing advice and consultation on the analysis plan and manuscript preparation. All authors contributed to manuscript writing and approved the final, submitted version.</w:t>
      </w:r>
    </w:p>
    <w:p w14:paraId="30E606A5" w14:textId="2F6F5D3E" w:rsidR="001C787A" w:rsidRPr="00AB06D7" w:rsidRDefault="001C787A" w:rsidP="008C6451">
      <w:pPr>
        <w:autoSpaceDE w:val="0"/>
        <w:autoSpaceDN w:val="0"/>
        <w:adjustRightInd w:val="0"/>
        <w:spacing w:line="480" w:lineRule="auto"/>
        <w:jc w:val="both"/>
        <w:rPr>
          <w:rFonts w:asciiTheme="majorHAnsi" w:hAnsiTheme="majorHAnsi" w:cstheme="majorHAnsi"/>
        </w:rPr>
      </w:pPr>
    </w:p>
    <w:p w14:paraId="34A1996F" w14:textId="5C2F815B" w:rsidR="00966CB5" w:rsidRPr="00AB06D7" w:rsidRDefault="001C787A" w:rsidP="008C6451">
      <w:pPr>
        <w:autoSpaceDE w:val="0"/>
        <w:autoSpaceDN w:val="0"/>
        <w:adjustRightInd w:val="0"/>
        <w:spacing w:line="480" w:lineRule="auto"/>
        <w:jc w:val="both"/>
        <w:rPr>
          <w:rFonts w:asciiTheme="majorHAnsi" w:hAnsiTheme="majorHAnsi" w:cstheme="majorHAnsi"/>
        </w:rPr>
      </w:pPr>
      <w:r w:rsidRPr="00AB06D7">
        <w:rPr>
          <w:rFonts w:asciiTheme="majorHAnsi" w:hAnsiTheme="majorHAnsi" w:cstheme="majorHAnsi"/>
          <w:b/>
          <w:bCs/>
        </w:rPr>
        <w:t xml:space="preserve">Data sharing: </w:t>
      </w:r>
      <w:r w:rsidR="00966CB5" w:rsidRPr="00AB06D7">
        <w:rPr>
          <w:rFonts w:asciiTheme="majorHAnsi" w:hAnsiTheme="majorHAnsi" w:cstheme="majorHAnsi"/>
        </w:rPr>
        <w:t xml:space="preserve">The patient cohort was extracted under </w:t>
      </w:r>
      <w:proofErr w:type="spellStart"/>
      <w:r w:rsidR="00966CB5" w:rsidRPr="00AB06D7">
        <w:rPr>
          <w:rFonts w:asciiTheme="majorHAnsi" w:hAnsiTheme="majorHAnsi" w:cstheme="majorHAnsi"/>
        </w:rPr>
        <w:t>Caldicott</w:t>
      </w:r>
      <w:proofErr w:type="spellEnd"/>
      <w:r w:rsidR="00966CB5" w:rsidRPr="00AB06D7">
        <w:rPr>
          <w:rFonts w:asciiTheme="majorHAnsi" w:hAnsiTheme="majorHAnsi" w:cstheme="majorHAnsi"/>
        </w:rPr>
        <w:t xml:space="preserve"> Guardian approval for a specific purpose and as part of our undertaking with them we are not to further routinely share the data presented here. The data are held </w:t>
      </w:r>
      <w:r w:rsidR="00C83ECE">
        <w:rPr>
          <w:rFonts w:asciiTheme="majorHAnsi" w:hAnsiTheme="majorHAnsi" w:cstheme="majorHAnsi"/>
        </w:rPr>
        <w:t xml:space="preserve">in </w:t>
      </w:r>
      <w:r w:rsidR="00966CB5" w:rsidRPr="00AB06D7">
        <w:rPr>
          <w:rFonts w:asciiTheme="majorHAnsi" w:hAnsiTheme="majorHAnsi" w:cstheme="majorHAnsi"/>
        </w:rPr>
        <w:t xml:space="preserve">an institutional repository and interested parties, with appropriate approvals, can apply for data access through the Corresponding author. Reasonable requests will be assessed on a case-by-case basis in discussion with the </w:t>
      </w:r>
      <w:proofErr w:type="spellStart"/>
      <w:r w:rsidR="00966CB5" w:rsidRPr="00AB06D7">
        <w:rPr>
          <w:rFonts w:asciiTheme="majorHAnsi" w:hAnsiTheme="majorHAnsi" w:cstheme="majorHAnsi"/>
        </w:rPr>
        <w:t>Caldicott</w:t>
      </w:r>
      <w:proofErr w:type="spellEnd"/>
      <w:r w:rsidR="00966CB5" w:rsidRPr="00AB06D7">
        <w:rPr>
          <w:rFonts w:asciiTheme="majorHAnsi" w:hAnsiTheme="majorHAnsi" w:cstheme="majorHAnsi"/>
        </w:rPr>
        <w:t xml:space="preserve"> Guardian.</w:t>
      </w:r>
    </w:p>
    <w:p w14:paraId="6698EABD" w14:textId="77777777" w:rsidR="00966CB5" w:rsidRPr="00B74824" w:rsidRDefault="00966CB5" w:rsidP="008C6451">
      <w:pPr>
        <w:spacing w:line="480" w:lineRule="auto"/>
        <w:jc w:val="both"/>
        <w:rPr>
          <w:rFonts w:asciiTheme="majorHAnsi" w:hAnsiTheme="majorHAnsi" w:cstheme="majorHAnsi"/>
          <w:color w:val="DA846B"/>
          <w:sz w:val="20"/>
          <w:szCs w:val="20"/>
          <w:shd w:val="clear" w:color="auto" w:fill="292929"/>
        </w:rPr>
      </w:pPr>
    </w:p>
    <w:p w14:paraId="0374E9BE" w14:textId="77777777" w:rsidR="008C6451" w:rsidRDefault="008C6451" w:rsidP="0096408F">
      <w:pPr>
        <w:autoSpaceDE w:val="0"/>
        <w:autoSpaceDN w:val="0"/>
        <w:adjustRightInd w:val="0"/>
        <w:spacing w:line="360" w:lineRule="auto"/>
        <w:jc w:val="both"/>
        <w:rPr>
          <w:rFonts w:asciiTheme="majorHAnsi" w:hAnsiTheme="majorHAnsi" w:cstheme="majorHAnsi"/>
          <w:b/>
          <w:bCs/>
        </w:rPr>
        <w:sectPr w:rsidR="008C6451" w:rsidSect="0081765D">
          <w:pgSz w:w="11900" w:h="16840"/>
          <w:pgMar w:top="1440" w:right="1440" w:bottom="1440" w:left="1440" w:header="708" w:footer="708" w:gutter="0"/>
          <w:cols w:space="708"/>
          <w:docGrid w:linePitch="360"/>
        </w:sectPr>
      </w:pPr>
    </w:p>
    <w:p w14:paraId="468FBDF9" w14:textId="042F8B9C" w:rsidR="00361EF9" w:rsidRPr="008C6451" w:rsidRDefault="00BE2944" w:rsidP="0096408F">
      <w:pPr>
        <w:autoSpaceDE w:val="0"/>
        <w:autoSpaceDN w:val="0"/>
        <w:adjustRightInd w:val="0"/>
        <w:spacing w:line="360" w:lineRule="auto"/>
        <w:jc w:val="both"/>
        <w:rPr>
          <w:rFonts w:asciiTheme="majorHAnsi" w:hAnsiTheme="majorHAnsi" w:cstheme="majorHAnsi"/>
          <w:b/>
          <w:bCs/>
          <w:sz w:val="28"/>
          <w:szCs w:val="28"/>
        </w:rPr>
      </w:pPr>
      <w:r w:rsidRPr="008C6451">
        <w:rPr>
          <w:rFonts w:asciiTheme="majorHAnsi" w:hAnsiTheme="majorHAnsi" w:cstheme="majorHAnsi"/>
          <w:b/>
          <w:bCs/>
          <w:sz w:val="28"/>
          <w:szCs w:val="28"/>
        </w:rPr>
        <w:lastRenderedPageBreak/>
        <w:t>References</w:t>
      </w:r>
    </w:p>
    <w:p w14:paraId="2140EB93" w14:textId="65774B40" w:rsidR="004E5082" w:rsidRPr="004E5082" w:rsidRDefault="00361EF9" w:rsidP="004E5082">
      <w:pPr>
        <w:pStyle w:val="EndNoteBibliography"/>
      </w:pPr>
      <w:r w:rsidRPr="0052175F">
        <w:rPr>
          <w:rFonts w:asciiTheme="majorHAnsi" w:eastAsia="Times New Roman" w:hAnsiTheme="majorHAnsi" w:cstheme="majorHAnsi"/>
          <w:bCs/>
          <w:sz w:val="20"/>
          <w:szCs w:val="20"/>
        </w:rPr>
      </w:r>
      <w:r w:rsidRPr="0052175F">
        <w:rPr>
          <w:rFonts w:asciiTheme="majorHAnsi" w:eastAsia="Times New Roman" w:hAnsiTheme="majorHAnsi" w:cstheme="majorHAnsi"/>
          <w:bCs/>
          <w:sz w:val="20"/>
          <w:szCs w:val="20"/>
        </w:rPr>
        <w:instrText xml:space="preserve"/>
      </w:r>
      <w:r w:rsidRPr="0052175F">
        <w:rPr>
          <w:rFonts w:asciiTheme="majorHAnsi" w:eastAsia="Times New Roman" w:hAnsiTheme="majorHAnsi" w:cstheme="majorHAnsi"/>
          <w:bCs/>
          <w:sz w:val="20"/>
          <w:szCs w:val="20"/>
        </w:rPr>
      </w:r>
      <w:r w:rsidR="004E5082" w:rsidRPr="004E5082">
        <w:t xml:space="preserve">1. PHE. </w:t>
      </w:r>
      <w:r w:rsidR="004E5082" w:rsidRPr="004E5082">
        <w:rPr>
          <w:b/>
        </w:rPr>
        <w:t xml:space="preserve">Public Health England. Tuberculosis in England. 2020 report (presenting data to end of 2019). November 2020. Available from: </w:t>
      </w:r>
      <w:hyperlink r:id="rId14" w:history="1">
        <w:r w:rsidR="004E5082" w:rsidRPr="004E5082">
          <w:rPr>
            <w:rStyle w:val="Hyperlink"/>
            <w:b/>
          </w:rPr>
          <w:t>https://assets.publishing.service.gov.uk/government/uploads/system/uploads/attachment_data/file/943356/TB_Annual_Report_2020.pdf</w:t>
        </w:r>
      </w:hyperlink>
      <w:r w:rsidR="004E5082" w:rsidRPr="004E5082">
        <w:rPr>
          <w:b/>
        </w:rPr>
        <w:t xml:space="preserve"> Accessed 21st June 2021.</w:t>
      </w:r>
      <w:r w:rsidR="004E5082" w:rsidRPr="004E5082">
        <w:t xml:space="preserve"> 2020.</w:t>
      </w:r>
    </w:p>
    <w:p w14:paraId="6BECA2FC" w14:textId="39BB81BA" w:rsidR="004E5082" w:rsidRPr="004E5082" w:rsidRDefault="004E5082" w:rsidP="004E5082">
      <w:pPr>
        <w:pStyle w:val="EndNoteBibliography"/>
      </w:pPr>
      <w:r w:rsidRPr="004E5082">
        <w:t xml:space="preserve">2. WHO Ea. </w:t>
      </w:r>
      <w:r w:rsidRPr="004E5082">
        <w:rPr>
          <w:b/>
        </w:rPr>
        <w:t xml:space="preserve">European Centre for Disease Prevention and Control and World Health Organization Regional Office for Europe. Tuberculosis surveillance and monitoring in Europe 2021 (2019 data). Available from: </w:t>
      </w:r>
      <w:hyperlink r:id="rId15" w:history="1">
        <w:r w:rsidRPr="004E5082">
          <w:rPr>
            <w:rStyle w:val="Hyperlink"/>
            <w:b/>
          </w:rPr>
          <w:t>https://www.ecdc.europa.eu/sites/default/files/documents/tuberculosis-surveillance-monitoring-Europe-2021.pdf</w:t>
        </w:r>
      </w:hyperlink>
      <w:r w:rsidRPr="004E5082">
        <w:rPr>
          <w:b/>
        </w:rPr>
        <w:t xml:space="preserve"> Accessed 21st June 2021</w:t>
      </w:r>
      <w:r w:rsidRPr="004E5082">
        <w:t>. 2021.</w:t>
      </w:r>
    </w:p>
    <w:p w14:paraId="4DC68902" w14:textId="5CDD75AA" w:rsidR="004E5082" w:rsidRPr="004E5082" w:rsidRDefault="004E5082" w:rsidP="004E5082">
      <w:pPr>
        <w:pStyle w:val="EndNoteBibliography"/>
      </w:pPr>
      <w:r w:rsidRPr="004E5082">
        <w:t xml:space="preserve">3. WHO. </w:t>
      </w:r>
      <w:r w:rsidRPr="004E5082">
        <w:rPr>
          <w:b/>
        </w:rPr>
        <w:t xml:space="preserve">Global Tuberculosis Report 2020. ISBN 978-92-4-001313-1. (Available from: </w:t>
      </w:r>
      <w:hyperlink r:id="rId16" w:history="1">
        <w:r w:rsidRPr="004E5082">
          <w:rPr>
            <w:rStyle w:val="Hyperlink"/>
            <w:b/>
          </w:rPr>
          <w:t>https://apps.who.int/iris/bitstream/handle/10665/336069/9789240013131-eng.pdf</w:t>
        </w:r>
      </w:hyperlink>
      <w:r w:rsidRPr="004E5082">
        <w:rPr>
          <w:b/>
        </w:rPr>
        <w:t xml:space="preserve"> Accessed: 21st June 2021.</w:t>
      </w:r>
      <w:r w:rsidRPr="004E5082">
        <w:t xml:space="preserve"> 2020.</w:t>
      </w:r>
    </w:p>
    <w:p w14:paraId="62F1DF04" w14:textId="77777777" w:rsidR="004E5082" w:rsidRPr="004E5082" w:rsidRDefault="004E5082" w:rsidP="004E5082">
      <w:pPr>
        <w:pStyle w:val="EndNoteBibliography"/>
      </w:pPr>
      <w:r w:rsidRPr="004E5082">
        <w:t xml:space="preserve">4. Lillebaek T, Dirksen A, Baess I, Strunge B, Thomsen VO, Andersen AB. </w:t>
      </w:r>
      <w:r w:rsidRPr="004E5082">
        <w:rPr>
          <w:b/>
        </w:rPr>
        <w:t>Molecular evidence of endogenous reactivation of Mycobacterium tuberculosis after 33 years of latent infection</w:t>
      </w:r>
      <w:r w:rsidRPr="004E5082">
        <w:t xml:space="preserve">. </w:t>
      </w:r>
      <w:r w:rsidRPr="004E5082">
        <w:rPr>
          <w:i/>
        </w:rPr>
        <w:t xml:space="preserve">J Infect Dis </w:t>
      </w:r>
      <w:r w:rsidRPr="004E5082">
        <w:t>2002; 185(3):401-404.</w:t>
      </w:r>
    </w:p>
    <w:p w14:paraId="3CB9095C" w14:textId="209C6B09" w:rsidR="004E5082" w:rsidRPr="004E5082" w:rsidRDefault="004E5082" w:rsidP="004E5082">
      <w:pPr>
        <w:pStyle w:val="EndNoteBibliography"/>
      </w:pPr>
      <w:r w:rsidRPr="004E5082">
        <w:t xml:space="preserve">5. WHO. </w:t>
      </w:r>
      <w:r w:rsidRPr="004E5082">
        <w:rPr>
          <w:b/>
        </w:rPr>
        <w:t xml:space="preserve">World Health Organization. Framework towards tuberculosis elimination in low-incidence countries. Geneva: The Organization. Available from: </w:t>
      </w:r>
      <w:hyperlink r:id="rId17" w:history="1">
        <w:r w:rsidRPr="004E5082">
          <w:rPr>
            <w:rStyle w:val="Hyperlink"/>
            <w:b/>
          </w:rPr>
          <w:t>http://www.who.int/tb/publications/elimination_framework/en</w:t>
        </w:r>
      </w:hyperlink>
      <w:r w:rsidRPr="004E5082">
        <w:rPr>
          <w:b/>
        </w:rPr>
        <w:t xml:space="preserve"> Accessed 21st June 2021.</w:t>
      </w:r>
      <w:r w:rsidRPr="004E5082">
        <w:t xml:space="preserve"> 2014.</w:t>
      </w:r>
    </w:p>
    <w:p w14:paraId="6522E3B2" w14:textId="3EFF0D09" w:rsidR="004E5082" w:rsidRPr="004E5082" w:rsidRDefault="004E5082" w:rsidP="004E5082">
      <w:pPr>
        <w:pStyle w:val="EndNoteBibliography"/>
      </w:pPr>
      <w:r w:rsidRPr="004E5082">
        <w:t xml:space="preserve">6. WHO. </w:t>
      </w:r>
      <w:r w:rsidRPr="004E5082">
        <w:rPr>
          <w:b/>
        </w:rPr>
        <w:t xml:space="preserve">World Health Organization. The End TB Strategy. Geneva. Available from: </w:t>
      </w:r>
      <w:hyperlink r:id="rId18" w:history="1">
        <w:r w:rsidRPr="004E5082">
          <w:rPr>
            <w:rStyle w:val="Hyperlink"/>
            <w:b/>
          </w:rPr>
          <w:t>https://www.who.int/tb/strategy/End_TB_Strategy.pdf</w:t>
        </w:r>
      </w:hyperlink>
      <w:r w:rsidRPr="004E5082">
        <w:rPr>
          <w:b/>
        </w:rPr>
        <w:t>. Accessed 26th August 2021.</w:t>
      </w:r>
      <w:r w:rsidRPr="004E5082">
        <w:t xml:space="preserve"> 2015.</w:t>
      </w:r>
    </w:p>
    <w:p w14:paraId="2A9EC4FF" w14:textId="77777777" w:rsidR="004E5082" w:rsidRPr="004E5082" w:rsidRDefault="004E5082" w:rsidP="004E5082">
      <w:pPr>
        <w:pStyle w:val="EndNoteBibliography"/>
      </w:pPr>
      <w:r w:rsidRPr="004E5082">
        <w:t xml:space="preserve">7. Diedrich CR, Flynn JL. </w:t>
      </w:r>
      <w:r w:rsidRPr="004E5082">
        <w:rPr>
          <w:b/>
        </w:rPr>
        <w:t>HIV-1/mycobacterium tuberculosis coinfection immunology: how does HIV-1 exacerbate tuberculosis?</w:t>
      </w:r>
      <w:r w:rsidRPr="004E5082">
        <w:t xml:space="preserve"> </w:t>
      </w:r>
      <w:r w:rsidRPr="004E5082">
        <w:rPr>
          <w:i/>
        </w:rPr>
        <w:t xml:space="preserve">Infect Immun </w:t>
      </w:r>
      <w:r w:rsidRPr="004E5082">
        <w:t>2011; 79(4):1407-1417.</w:t>
      </w:r>
    </w:p>
    <w:p w14:paraId="42F769BE" w14:textId="77777777" w:rsidR="004E5082" w:rsidRPr="004E5082" w:rsidRDefault="004E5082" w:rsidP="004E5082">
      <w:pPr>
        <w:pStyle w:val="EndNoteBibliography"/>
      </w:pPr>
      <w:r w:rsidRPr="004E5082">
        <w:t xml:space="preserve">8. Lawn SD, Harries AD, Williams BG, Chaisson RE, Losina E, De Cock KM, et al. </w:t>
      </w:r>
      <w:r w:rsidRPr="004E5082">
        <w:rPr>
          <w:b/>
        </w:rPr>
        <w:t>Antiretroviral therapy and the control of HIV-associated tuberculosis. Will ART do it?</w:t>
      </w:r>
      <w:r w:rsidRPr="004E5082">
        <w:t xml:space="preserve"> </w:t>
      </w:r>
      <w:r w:rsidRPr="004E5082">
        <w:rPr>
          <w:i/>
        </w:rPr>
        <w:t xml:space="preserve">Int J Tuberc Lung Dis </w:t>
      </w:r>
      <w:r w:rsidRPr="004E5082">
        <w:t>2011; 15(5):571-581.</w:t>
      </w:r>
    </w:p>
    <w:p w14:paraId="364C62B4" w14:textId="77777777" w:rsidR="004E5082" w:rsidRPr="004E5082" w:rsidRDefault="004E5082" w:rsidP="004E5082">
      <w:pPr>
        <w:pStyle w:val="EndNoteBibliography"/>
      </w:pPr>
      <w:r w:rsidRPr="004E5082">
        <w:t xml:space="preserve">9. Gupta RK, Rice B, Brown AE, Thomas HL, Zenner D, Anderson L, et al. </w:t>
      </w:r>
      <w:r w:rsidRPr="004E5082">
        <w:rPr>
          <w:b/>
        </w:rPr>
        <w:t>Does antiretroviral therapy reduce HIV-associated tuberculosis incidence to background rates? A national observational cohort study from England, Wales, and Northern Ireland</w:t>
      </w:r>
      <w:r w:rsidRPr="004E5082">
        <w:t xml:space="preserve">. </w:t>
      </w:r>
      <w:r w:rsidRPr="004E5082">
        <w:rPr>
          <w:i/>
        </w:rPr>
        <w:t xml:space="preserve">Lancet HIV </w:t>
      </w:r>
      <w:r w:rsidRPr="004E5082">
        <w:t>2015; 2(6):e243-251.</w:t>
      </w:r>
    </w:p>
    <w:p w14:paraId="05F02515" w14:textId="77777777" w:rsidR="004E5082" w:rsidRPr="004E5082" w:rsidRDefault="004E5082" w:rsidP="004E5082">
      <w:pPr>
        <w:pStyle w:val="EndNoteBibliography"/>
      </w:pPr>
      <w:r w:rsidRPr="004E5082">
        <w:t xml:space="preserve">10. Akolo C, Adetifa I, Shepperd S, Volmink J. </w:t>
      </w:r>
      <w:r w:rsidRPr="004E5082">
        <w:rPr>
          <w:b/>
        </w:rPr>
        <w:t>Treatment of latent tuberculosis infection in HIV infected persons</w:t>
      </w:r>
      <w:r w:rsidRPr="004E5082">
        <w:t xml:space="preserve">. </w:t>
      </w:r>
      <w:r w:rsidRPr="004E5082">
        <w:rPr>
          <w:i/>
        </w:rPr>
        <w:t xml:space="preserve">Cochrane Database Syst Rev </w:t>
      </w:r>
      <w:r w:rsidRPr="004E5082">
        <w:t>2010; (1):CD000171.</w:t>
      </w:r>
    </w:p>
    <w:p w14:paraId="3EEFDF61" w14:textId="77777777" w:rsidR="004E5082" w:rsidRPr="004E5082" w:rsidRDefault="004E5082" w:rsidP="004E5082">
      <w:pPr>
        <w:pStyle w:val="EndNoteBibliography"/>
      </w:pPr>
      <w:r w:rsidRPr="004E5082">
        <w:t xml:space="preserve">11. Rosales-Klintz S, Bruchfeld J, Haas W, Heldal E, Houben R, van Kessel F, et al. </w:t>
      </w:r>
      <w:r w:rsidRPr="004E5082">
        <w:rPr>
          <w:b/>
        </w:rPr>
        <w:t>Guidance for programmatic management of latent tuberculosis infection in the European Union/European Economic Area</w:t>
      </w:r>
      <w:r w:rsidRPr="004E5082">
        <w:t xml:space="preserve">. </w:t>
      </w:r>
      <w:r w:rsidRPr="004E5082">
        <w:rPr>
          <w:i/>
        </w:rPr>
        <w:t xml:space="preserve">Eur Respir J </w:t>
      </w:r>
      <w:r w:rsidRPr="004E5082">
        <w:t>2019; 53(1).</w:t>
      </w:r>
    </w:p>
    <w:p w14:paraId="5B34CF03" w14:textId="77777777" w:rsidR="004E5082" w:rsidRPr="004E5082" w:rsidRDefault="004E5082" w:rsidP="004E5082">
      <w:pPr>
        <w:pStyle w:val="EndNoteBibliography"/>
      </w:pPr>
      <w:r w:rsidRPr="004E5082">
        <w:t xml:space="preserve">12. Getahun H, Matteelli A, Abubakar I, Aziz MA, Baddeley A, Barreira D, et al. </w:t>
      </w:r>
      <w:r w:rsidRPr="004E5082">
        <w:rPr>
          <w:b/>
        </w:rPr>
        <w:t>Management of latent Mycobacterium tuberculosis infection: WHO guidelines for low tuberculosis burden countries</w:t>
      </w:r>
      <w:r w:rsidRPr="004E5082">
        <w:t xml:space="preserve">. </w:t>
      </w:r>
      <w:r w:rsidRPr="004E5082">
        <w:rPr>
          <w:i/>
        </w:rPr>
        <w:t xml:space="preserve">Eur Respir J </w:t>
      </w:r>
      <w:r w:rsidRPr="004E5082">
        <w:t>2015; 46(6):1563-1576.</w:t>
      </w:r>
    </w:p>
    <w:p w14:paraId="421519E5" w14:textId="387327D6" w:rsidR="004E5082" w:rsidRPr="004E5082" w:rsidRDefault="004E5082" w:rsidP="004E5082">
      <w:pPr>
        <w:pStyle w:val="EndNoteBibliography"/>
      </w:pPr>
      <w:r w:rsidRPr="004E5082">
        <w:lastRenderedPageBreak/>
        <w:t xml:space="preserve">13. NICE. </w:t>
      </w:r>
      <w:r w:rsidRPr="004E5082">
        <w:rPr>
          <w:b/>
        </w:rPr>
        <w:t xml:space="preserve">National Institute for Health and Care Excellence. Tuberculosis NICE Guideline NG33 London. Published: 13 January 2016. Last updated: 12 September 2019. Available from: </w:t>
      </w:r>
      <w:hyperlink r:id="rId19" w:history="1">
        <w:r w:rsidRPr="004E5082">
          <w:rPr>
            <w:rStyle w:val="Hyperlink"/>
            <w:b/>
          </w:rPr>
          <w:t>https://www.nice.org.uk/guidance/ng33</w:t>
        </w:r>
      </w:hyperlink>
      <w:r w:rsidRPr="004E5082">
        <w:rPr>
          <w:b/>
        </w:rPr>
        <w:t xml:space="preserve"> Accessed 14th May 2021</w:t>
      </w:r>
      <w:r w:rsidRPr="004E5082">
        <w:t>. 2016.</w:t>
      </w:r>
    </w:p>
    <w:p w14:paraId="6B721397" w14:textId="23397965" w:rsidR="004E5082" w:rsidRPr="004E5082" w:rsidRDefault="004E5082" w:rsidP="004E5082">
      <w:pPr>
        <w:pStyle w:val="EndNoteBibliography"/>
      </w:pPr>
      <w:r w:rsidRPr="004E5082">
        <w:t xml:space="preserve">14. BHIVA. </w:t>
      </w:r>
      <w:r w:rsidRPr="004E5082">
        <w:rPr>
          <w:b/>
        </w:rPr>
        <w:t xml:space="preserve">British HIV Association. British HIV Association guidelines for the management of tuberculosis in adults living with HIV 2018 (interim update 2019). Available from: </w:t>
      </w:r>
      <w:hyperlink r:id="rId20" w:history="1">
        <w:r w:rsidRPr="004E5082">
          <w:rPr>
            <w:rStyle w:val="Hyperlink"/>
            <w:b/>
          </w:rPr>
          <w:t>https://www.bhiva.org/TB-guidelines</w:t>
        </w:r>
      </w:hyperlink>
      <w:r w:rsidRPr="004E5082">
        <w:rPr>
          <w:b/>
        </w:rPr>
        <w:t xml:space="preserve"> Accessed 14th May 2021</w:t>
      </w:r>
      <w:r w:rsidRPr="004E5082">
        <w:t>. 2018.</w:t>
      </w:r>
    </w:p>
    <w:p w14:paraId="66D710C8" w14:textId="77777777" w:rsidR="004E5082" w:rsidRPr="004E5082" w:rsidRDefault="004E5082" w:rsidP="004E5082">
      <w:pPr>
        <w:pStyle w:val="EndNoteBibliography"/>
      </w:pPr>
      <w:r w:rsidRPr="004E5082">
        <w:t xml:space="preserve">15. White HA, Miller RF, Pozniak AL, Lipman MC, Stephenson I, Wiselka MJ, et al. </w:t>
      </w:r>
      <w:r w:rsidRPr="004E5082">
        <w:rPr>
          <w:b/>
        </w:rPr>
        <w:t>Latent tuberculosis infection screening and treatment in HIV: insights from evaluation of UK practice</w:t>
      </w:r>
      <w:r w:rsidRPr="004E5082">
        <w:t xml:space="preserve">. </w:t>
      </w:r>
      <w:r w:rsidRPr="004E5082">
        <w:rPr>
          <w:i/>
        </w:rPr>
        <w:t xml:space="preserve">Thorax </w:t>
      </w:r>
      <w:r w:rsidRPr="004E5082">
        <w:t>2017; 72(2):180-182.</w:t>
      </w:r>
    </w:p>
    <w:p w14:paraId="7F34FE79" w14:textId="54727763" w:rsidR="004E5082" w:rsidRPr="004E5082" w:rsidRDefault="004E5082" w:rsidP="004E5082">
      <w:pPr>
        <w:pStyle w:val="EndNoteBibliography"/>
      </w:pPr>
      <w:r w:rsidRPr="004E5082">
        <w:t xml:space="preserve">16. White HA, Okhai H, Sahota A, Maltby J, Stephenson I, Patel H, et al. </w:t>
      </w:r>
      <w:r w:rsidRPr="004E5082">
        <w:rPr>
          <w:b/>
        </w:rPr>
        <w:t>Latent tuberculosis screening and treatment in HIV: highly acceptable in a prospective cohort study. ERJ Open Res 2021 in press: (</w:t>
      </w:r>
      <w:hyperlink r:id="rId21" w:history="1">
        <w:r w:rsidRPr="004E5082">
          <w:rPr>
            <w:rStyle w:val="Hyperlink"/>
            <w:b/>
          </w:rPr>
          <w:t>https://DOI</w:t>
        </w:r>
      </w:hyperlink>
      <w:r w:rsidRPr="004E5082">
        <w:rPr>
          <w:b/>
        </w:rPr>
        <w:t>: 10.1183/23120541.00442-2021)</w:t>
      </w:r>
      <w:r w:rsidRPr="004E5082">
        <w:t>.</w:t>
      </w:r>
    </w:p>
    <w:p w14:paraId="702C7E90" w14:textId="77777777" w:rsidR="004E5082" w:rsidRPr="004E5082" w:rsidRDefault="004E5082" w:rsidP="004E5082">
      <w:pPr>
        <w:pStyle w:val="EndNoteBibliography"/>
      </w:pPr>
      <w:r w:rsidRPr="004E5082">
        <w:t xml:space="preserve">17. Cheallaigh CN, Fitzgerald I, Grace J, Singh GJ, El-Eraki N, Gibbons N, et al. </w:t>
      </w:r>
      <w:r w:rsidRPr="004E5082">
        <w:rPr>
          <w:b/>
        </w:rPr>
        <w:t>Interferon gamma release assays for the diagnosis of latent TB infection in HIV-infected individuals in a low TB burden country</w:t>
      </w:r>
      <w:r w:rsidRPr="004E5082">
        <w:t xml:space="preserve">. </w:t>
      </w:r>
      <w:r w:rsidRPr="004E5082">
        <w:rPr>
          <w:i/>
        </w:rPr>
        <w:t xml:space="preserve">PLoS One </w:t>
      </w:r>
      <w:r w:rsidRPr="004E5082">
        <w:t>2013; 8(1):e53330.</w:t>
      </w:r>
    </w:p>
    <w:p w14:paraId="57DE648C" w14:textId="77777777" w:rsidR="004E5082" w:rsidRPr="004E5082" w:rsidRDefault="004E5082" w:rsidP="004E5082">
      <w:pPr>
        <w:pStyle w:val="EndNoteBibliography"/>
      </w:pPr>
      <w:r w:rsidRPr="004E5082">
        <w:t xml:space="preserve">18. Gow N, Briggs S, Nisbet M. </w:t>
      </w:r>
      <w:r w:rsidRPr="004E5082">
        <w:rPr>
          <w:b/>
        </w:rPr>
        <w:t>Screening for latent tuberculous infection in people living with HIV infection in Auckland, New Zealand</w:t>
      </w:r>
      <w:r w:rsidRPr="004E5082">
        <w:t xml:space="preserve">. </w:t>
      </w:r>
      <w:r w:rsidRPr="004E5082">
        <w:rPr>
          <w:i/>
        </w:rPr>
        <w:t xml:space="preserve">Int J Tuberc Lung Dis </w:t>
      </w:r>
      <w:r w:rsidRPr="004E5082">
        <w:t>2017; 21(9):1008-1012.</w:t>
      </w:r>
    </w:p>
    <w:p w14:paraId="511D0DAE" w14:textId="77777777" w:rsidR="004E5082" w:rsidRPr="004E5082" w:rsidRDefault="004E5082" w:rsidP="004E5082">
      <w:pPr>
        <w:pStyle w:val="EndNoteBibliography"/>
      </w:pPr>
      <w:r w:rsidRPr="004E5082">
        <w:t xml:space="preserve">19. Ramos JM, Robledano C, Masia M, Belda S, Padilla S, Rodriguez JC, et al. </w:t>
      </w:r>
      <w:r w:rsidRPr="004E5082">
        <w:rPr>
          <w:b/>
        </w:rPr>
        <w:t>Contribution of interferon gamma release assays testing to the diagnosis of latent tuberculosis infection in HIV-infected patients: a comparison of QuantiFERON-TB Gold In Tube, T-SPOT.TB and tuberculin skin test</w:t>
      </w:r>
      <w:r w:rsidRPr="004E5082">
        <w:t xml:space="preserve">. </w:t>
      </w:r>
      <w:r w:rsidRPr="004E5082">
        <w:rPr>
          <w:i/>
        </w:rPr>
        <w:t xml:space="preserve">BMC Infect Dis </w:t>
      </w:r>
      <w:r w:rsidRPr="004E5082">
        <w:t>2012; 12:169.</w:t>
      </w:r>
    </w:p>
    <w:p w14:paraId="715E2B5A" w14:textId="77777777" w:rsidR="004E5082" w:rsidRPr="004E5082" w:rsidRDefault="004E5082" w:rsidP="004E5082">
      <w:pPr>
        <w:pStyle w:val="EndNoteBibliography"/>
      </w:pPr>
      <w:r w:rsidRPr="004E5082">
        <w:t xml:space="preserve">20. Kall MM, Coyne KM, Garrett NJ, Boyd AE, Ashcroft AT, Reeves I, et al. </w:t>
      </w:r>
      <w:r w:rsidRPr="004E5082">
        <w:rPr>
          <w:b/>
        </w:rPr>
        <w:t>Latent and subclinical tuberculosis in HIV infected patients: a cross-sectional study</w:t>
      </w:r>
      <w:r w:rsidRPr="004E5082">
        <w:t xml:space="preserve">. </w:t>
      </w:r>
      <w:r w:rsidRPr="004E5082">
        <w:rPr>
          <w:i/>
        </w:rPr>
        <w:t xml:space="preserve">BMC Infect Dis </w:t>
      </w:r>
      <w:r w:rsidRPr="004E5082">
        <w:t>2012; 12:107.</w:t>
      </w:r>
    </w:p>
    <w:p w14:paraId="1A9FAF91" w14:textId="30625A47" w:rsidR="004E5082" w:rsidRPr="004E5082" w:rsidRDefault="004E5082" w:rsidP="004E5082">
      <w:pPr>
        <w:pStyle w:val="EndNoteBibliography"/>
      </w:pPr>
      <w:r w:rsidRPr="004E5082">
        <w:t xml:space="preserve">21. PHE. </w:t>
      </w:r>
      <w:r w:rsidRPr="004E5082">
        <w:rPr>
          <w:b/>
        </w:rPr>
        <w:t xml:space="preserve">Public Health England. Tuberculosis in the East Midlands: Annual review. Data from 2000 to 2018. Available from: </w:t>
      </w:r>
      <w:hyperlink r:id="rId22" w:history="1">
        <w:r w:rsidRPr="004E5082">
          <w:rPr>
            <w:rStyle w:val="Hyperlink"/>
            <w:b/>
          </w:rPr>
          <w:t>https://assets.publishing.service.gov.uk/government/uploads/system/uploads/attachment_data/file/833893/TB_2018_East_Midlands.pdf</w:t>
        </w:r>
      </w:hyperlink>
      <w:r w:rsidRPr="004E5082">
        <w:rPr>
          <w:b/>
        </w:rPr>
        <w:t xml:space="preserve"> Accessed 21st June 2021.</w:t>
      </w:r>
      <w:r w:rsidRPr="004E5082">
        <w:t xml:space="preserve"> 2019.</w:t>
      </w:r>
    </w:p>
    <w:p w14:paraId="09CE61F4" w14:textId="46E080CD" w:rsidR="004E5082" w:rsidRPr="004E5082" w:rsidRDefault="004E5082" w:rsidP="004E5082">
      <w:pPr>
        <w:pStyle w:val="EndNoteBibliography"/>
      </w:pPr>
      <w:r w:rsidRPr="004E5082">
        <w:t xml:space="preserve">22. O’Halloran C, Sun S, Nash S, Brown A, Croxford S, Connor N, et al. </w:t>
      </w:r>
      <w:r w:rsidRPr="004E5082">
        <w:rPr>
          <w:b/>
        </w:rPr>
        <w:t xml:space="preserve">Public Health England. HIV in the United Kingdom: Towards Zero HIV transmissions by 2030. 2019 report: appendices. Data to end of December 2018. December 2019,Public Health England, London. Available from: </w:t>
      </w:r>
      <w:hyperlink r:id="rId23" w:history="1">
        <w:r w:rsidRPr="004E5082">
          <w:rPr>
            <w:rStyle w:val="Hyperlink"/>
            <w:b/>
          </w:rPr>
          <w:t>https://assets.publishing.service.gov.uk/government/uploads/system/uploads/attachment_data/file/965766/HIV_in_the_UK_2019_towards_zero_HIV_transmissions_by_2030_appendix.pdf</w:t>
        </w:r>
      </w:hyperlink>
      <w:r w:rsidRPr="004E5082">
        <w:rPr>
          <w:b/>
        </w:rPr>
        <w:t xml:space="preserve"> Accessed 21st June 2021.</w:t>
      </w:r>
      <w:r w:rsidRPr="004E5082">
        <w:t xml:space="preserve"> 2019.</w:t>
      </w:r>
    </w:p>
    <w:p w14:paraId="3AB65915" w14:textId="77777777" w:rsidR="004E5082" w:rsidRPr="004E5082" w:rsidRDefault="004E5082" w:rsidP="004E5082">
      <w:pPr>
        <w:pStyle w:val="EndNoteBibliography"/>
      </w:pPr>
      <w:r w:rsidRPr="004E5082">
        <w:t xml:space="preserve">23. Lalvani A, Pareek M. </w:t>
      </w:r>
      <w:r w:rsidRPr="004E5082">
        <w:rPr>
          <w:b/>
        </w:rPr>
        <w:t>A 100 year update on diagnosis of tuberculosis infection</w:t>
      </w:r>
      <w:r w:rsidRPr="004E5082">
        <w:t xml:space="preserve">. </w:t>
      </w:r>
      <w:r w:rsidRPr="004E5082">
        <w:rPr>
          <w:i/>
        </w:rPr>
        <w:t xml:space="preserve">Br Med Bull </w:t>
      </w:r>
      <w:r w:rsidRPr="004E5082">
        <w:t>2010; 93:69-84.</w:t>
      </w:r>
    </w:p>
    <w:p w14:paraId="4C15EA5A" w14:textId="0AC9B5F0" w:rsidR="004E5082" w:rsidRPr="004E5082" w:rsidRDefault="004E5082" w:rsidP="004E5082">
      <w:pPr>
        <w:pStyle w:val="EndNoteBibliography"/>
      </w:pPr>
      <w:r w:rsidRPr="004E5082">
        <w:t xml:space="preserve">24. </w:t>
      </w:r>
      <w:r w:rsidRPr="004E5082">
        <w:rPr>
          <w:b/>
        </w:rPr>
        <w:t xml:space="preserve">NHS Data Model and Dictionary Services. Ethnic category code. [Internet].; 2019 [updated 04/25; cited 27th May 2019]. Available from: </w:t>
      </w:r>
      <w:hyperlink r:id="rId24" w:history="1">
        <w:r w:rsidRPr="004E5082">
          <w:rPr>
            <w:rStyle w:val="Hyperlink"/>
            <w:b/>
          </w:rPr>
          <w:t>http://www.datadictionary.nhs.uk/data_dictionary/attributes/e/end/ethnic_category_code_de.asp?shownav=1</w:t>
        </w:r>
      </w:hyperlink>
      <w:r w:rsidRPr="004E5082">
        <w:rPr>
          <w:b/>
        </w:rPr>
        <w:t>.</w:t>
      </w:r>
      <w:r w:rsidRPr="004E5082">
        <w:t xml:space="preserve"> 2019.</w:t>
      </w:r>
    </w:p>
    <w:p w14:paraId="698B9C05" w14:textId="04DCC09B" w:rsidR="004E5082" w:rsidRPr="004E5082" w:rsidRDefault="004E5082" w:rsidP="004E5082">
      <w:pPr>
        <w:pStyle w:val="EndNoteBibliography"/>
      </w:pPr>
      <w:r w:rsidRPr="004E5082">
        <w:t xml:space="preserve">25. Bank TW. </w:t>
      </w:r>
      <w:r w:rsidRPr="004E5082">
        <w:rPr>
          <w:b/>
        </w:rPr>
        <w:t xml:space="preserve">How does the World Bank classify countries? [Internet].; 2018 [cited 27th May 2019]. Available from: </w:t>
      </w:r>
      <w:hyperlink r:id="rId25" w:history="1">
        <w:r w:rsidRPr="004E5082">
          <w:rPr>
            <w:rStyle w:val="Hyperlink"/>
            <w:b/>
          </w:rPr>
          <w:t>https://datahelpdesk.worldbank.org/knowledgebase/articles/378834-how-does-the-world-bank-classify-countries</w:t>
        </w:r>
      </w:hyperlink>
      <w:r w:rsidRPr="004E5082">
        <w:rPr>
          <w:b/>
        </w:rPr>
        <w:t>.</w:t>
      </w:r>
      <w:r w:rsidRPr="004E5082">
        <w:t xml:space="preserve"> 2018.</w:t>
      </w:r>
    </w:p>
    <w:p w14:paraId="668AA897" w14:textId="2FF2FE39" w:rsidR="004E5082" w:rsidRPr="004E5082" w:rsidRDefault="004E5082" w:rsidP="004E5082">
      <w:pPr>
        <w:pStyle w:val="EndNoteBibliography"/>
        <w:rPr>
          <w:b/>
        </w:rPr>
      </w:pPr>
      <w:r w:rsidRPr="004E5082">
        <w:t xml:space="preserve">26. WHO. </w:t>
      </w:r>
      <w:r w:rsidRPr="004E5082">
        <w:rPr>
          <w:b/>
        </w:rPr>
        <w:t xml:space="preserve">World Health Organization. The Global Health Observatory. Incidence of tuberculosis (per 100 000 population per year). Data accessed January 2019. Available from: </w:t>
      </w:r>
      <w:hyperlink r:id="rId26" w:history="1">
        <w:r w:rsidRPr="004E5082">
          <w:rPr>
            <w:rStyle w:val="Hyperlink"/>
            <w:b/>
          </w:rPr>
          <w:t>https://www.who.int/data/gho/data/themes/topics/topic-details/GHO/cases-and-deaths</w:t>
        </w:r>
      </w:hyperlink>
      <w:r w:rsidRPr="004E5082">
        <w:rPr>
          <w:b/>
        </w:rPr>
        <w:t xml:space="preserve"> Accessed 13th September 2021.</w:t>
      </w:r>
    </w:p>
    <w:p w14:paraId="7D260DBA" w14:textId="77777777" w:rsidR="004E5082" w:rsidRPr="004E5082" w:rsidRDefault="004E5082" w:rsidP="004E5082">
      <w:pPr>
        <w:pStyle w:val="EndNoteBibliography"/>
      </w:pPr>
      <w:r w:rsidRPr="004E5082">
        <w:t xml:space="preserve">27. White HA, Okhai H, Kirwan P, Rafeeq SH, Dillon H, Hefford P, et al. </w:t>
      </w:r>
      <w:r w:rsidRPr="004E5082">
        <w:rPr>
          <w:b/>
        </w:rPr>
        <w:t>Tuberculosis incidence in country of origin is a key determinant of the risk of active tuberculosis in people living with HIV: Data from a 30-year observational cohort study</w:t>
      </w:r>
      <w:r w:rsidRPr="004E5082">
        <w:t xml:space="preserve">. </w:t>
      </w:r>
      <w:r w:rsidRPr="004E5082">
        <w:rPr>
          <w:i/>
        </w:rPr>
        <w:t xml:space="preserve">HIV Med </w:t>
      </w:r>
      <w:r w:rsidRPr="004E5082">
        <w:t>2021.</w:t>
      </w:r>
    </w:p>
    <w:p w14:paraId="5CA9CF63" w14:textId="77777777" w:rsidR="004E5082" w:rsidRPr="004E5082" w:rsidRDefault="004E5082" w:rsidP="004E5082">
      <w:pPr>
        <w:pStyle w:val="EndNoteBibliography"/>
      </w:pPr>
      <w:r w:rsidRPr="004E5082">
        <w:t xml:space="preserve">28. Sultan B, Benn P, Mahungu T, Young M, Mercey D, Morris-Jones S, et al. </w:t>
      </w:r>
      <w:r w:rsidRPr="004E5082">
        <w:rPr>
          <w:b/>
        </w:rPr>
        <w:t>Comparison of two interferon-gamma release assays (QuantiFERON-TB Gold In-Tube and T-SPOT.TB) in testing for latent tuberculosis infection among HIV-infected adults</w:t>
      </w:r>
      <w:r w:rsidRPr="004E5082">
        <w:t xml:space="preserve">. </w:t>
      </w:r>
      <w:r w:rsidRPr="004E5082">
        <w:rPr>
          <w:i/>
        </w:rPr>
        <w:t xml:space="preserve">Int J STD AIDS </w:t>
      </w:r>
      <w:r w:rsidRPr="004E5082">
        <w:t>2013; 24(10):775-779.</w:t>
      </w:r>
    </w:p>
    <w:p w14:paraId="0E76AF8A" w14:textId="77777777" w:rsidR="004E5082" w:rsidRPr="004E5082" w:rsidRDefault="004E5082" w:rsidP="004E5082">
      <w:pPr>
        <w:pStyle w:val="EndNoteBibliography"/>
      </w:pPr>
      <w:r w:rsidRPr="004E5082">
        <w:t xml:space="preserve">29. Zenner D, Beer N, Harris RJ, Lipman MC, Stagg HR, van der Werf MJ. </w:t>
      </w:r>
      <w:r w:rsidRPr="004E5082">
        <w:rPr>
          <w:b/>
        </w:rPr>
        <w:t>Treatment of Latent Tuberculosis Infection: An Updated Network Meta-analysis</w:t>
      </w:r>
      <w:r w:rsidRPr="004E5082">
        <w:t xml:space="preserve">. </w:t>
      </w:r>
      <w:r w:rsidRPr="004E5082">
        <w:rPr>
          <w:i/>
        </w:rPr>
        <w:t xml:space="preserve">Ann Intern Med </w:t>
      </w:r>
      <w:r w:rsidRPr="004E5082">
        <w:t>2017; 167(4):248-255.</w:t>
      </w:r>
    </w:p>
    <w:p w14:paraId="14452EEE" w14:textId="77777777" w:rsidR="004E5082" w:rsidRPr="004E5082" w:rsidRDefault="004E5082" w:rsidP="004E5082">
      <w:pPr>
        <w:pStyle w:val="EndNoteBibliography"/>
      </w:pPr>
      <w:r w:rsidRPr="004E5082">
        <w:t xml:space="preserve">30. van Halsema CL, Okhai H, Hill T, Sabin CA, Study UKCHC. </w:t>
      </w:r>
      <w:r w:rsidRPr="004E5082">
        <w:rPr>
          <w:b/>
        </w:rPr>
        <w:t>Incidence of and risk factors for tuberculosis among people with HIV on antiretroviral therapy in the United Kingdom</w:t>
      </w:r>
      <w:r w:rsidRPr="004E5082">
        <w:t xml:space="preserve">. </w:t>
      </w:r>
      <w:r w:rsidRPr="004E5082">
        <w:rPr>
          <w:i/>
        </w:rPr>
        <w:t xml:space="preserve">AIDS </w:t>
      </w:r>
      <w:r w:rsidRPr="004E5082">
        <w:t>2020; 34(12):1813-1821.</w:t>
      </w:r>
    </w:p>
    <w:p w14:paraId="7C52C7C4" w14:textId="77777777" w:rsidR="004E5082" w:rsidRPr="004E5082" w:rsidRDefault="004E5082" w:rsidP="004E5082">
      <w:pPr>
        <w:pStyle w:val="EndNoteBibliography"/>
      </w:pPr>
      <w:r w:rsidRPr="004E5082">
        <w:t xml:space="preserve">31. Capocci S, Smith C, Morris S, Bhagani S, Cropley I, Abubakar I, et al. </w:t>
      </w:r>
      <w:r w:rsidRPr="004E5082">
        <w:rPr>
          <w:b/>
        </w:rPr>
        <w:t>Decreasing cost effectiveness of testing for latent TB in HIV in a low TB incidence area</w:t>
      </w:r>
      <w:r w:rsidRPr="004E5082">
        <w:t xml:space="preserve">. </w:t>
      </w:r>
      <w:r w:rsidRPr="004E5082">
        <w:rPr>
          <w:i/>
        </w:rPr>
        <w:t xml:space="preserve">Eur Respir J </w:t>
      </w:r>
      <w:r w:rsidRPr="004E5082">
        <w:t>2015; 46(1):165-174.</w:t>
      </w:r>
    </w:p>
    <w:p w14:paraId="0916CDCD" w14:textId="3D262B2A" w:rsidR="00B212A4" w:rsidRPr="00C506DD" w:rsidRDefault="00361EF9" w:rsidP="00C506DD">
      <w:pPr>
        <w:spacing w:line="276" w:lineRule="auto"/>
        <w:jc w:val="both"/>
        <w:rPr>
          <w:rFonts w:asciiTheme="majorHAnsi" w:eastAsia="Times New Roman" w:hAnsiTheme="majorHAnsi" w:cstheme="majorHAnsi"/>
          <w:bCs/>
          <w:sz w:val="20"/>
          <w:szCs w:val="20"/>
        </w:rPr>
        <w:sectPr w:rsidR="00B212A4" w:rsidRPr="00C506DD" w:rsidSect="003D4954">
          <w:pgSz w:w="11900" w:h="16840"/>
          <w:pgMar w:top="1701" w:right="1701" w:bottom="1701" w:left="1701" w:header="709" w:footer="709" w:gutter="0"/>
          <w:cols w:space="708"/>
          <w:docGrid w:linePitch="360"/>
        </w:sectPr>
      </w:pPr>
      <w:r w:rsidRPr="0052175F">
        <w:rPr>
          <w:rFonts w:asciiTheme="majorHAnsi" w:eastAsia="Times New Roman" w:hAnsiTheme="majorHAnsi" w:cstheme="majorHAnsi"/>
          <w:bCs/>
          <w:sz w:val="20"/>
          <w:szCs w:val="20"/>
        </w:rPr>
      </w:r>
    </w:p>
    <w:p w14:paraId="29075570" w14:textId="43FA7114" w:rsidR="00241D74" w:rsidRDefault="00241D74" w:rsidP="009F57B3">
      <w:pPr>
        <w:rPr>
          <w:rFonts w:asciiTheme="majorHAnsi" w:hAnsiTheme="majorHAnsi" w:cstheme="majorHAnsi"/>
          <w:b/>
        </w:rPr>
      </w:pPr>
      <w:r w:rsidRPr="00AB06D7">
        <w:rPr>
          <w:rFonts w:asciiTheme="majorHAnsi" w:hAnsiTheme="majorHAnsi" w:cstheme="majorHAnsi"/>
          <w:b/>
        </w:rPr>
        <w:lastRenderedPageBreak/>
        <w:t>TABLES</w:t>
      </w:r>
    </w:p>
    <w:p w14:paraId="0633D805" w14:textId="77777777" w:rsidR="00C506DD" w:rsidRPr="00AB06D7" w:rsidRDefault="00C506DD" w:rsidP="009F57B3">
      <w:pPr>
        <w:rPr>
          <w:rFonts w:asciiTheme="majorHAnsi" w:hAnsiTheme="majorHAnsi" w:cstheme="majorHAnsi"/>
          <w:b/>
        </w:rPr>
      </w:pPr>
    </w:p>
    <w:p w14:paraId="533799F4" w14:textId="3F882C34" w:rsidR="002259C9" w:rsidRPr="0082666E" w:rsidRDefault="00241D74" w:rsidP="0082666E">
      <w:pPr>
        <w:rPr>
          <w:rFonts w:asciiTheme="majorHAnsi" w:hAnsiTheme="majorHAnsi" w:cstheme="majorHAnsi"/>
          <w:b/>
        </w:rPr>
      </w:pPr>
      <w:proofErr w:type="gramStart"/>
      <w:r w:rsidRPr="00AB06D7">
        <w:rPr>
          <w:rFonts w:asciiTheme="majorHAnsi" w:hAnsiTheme="majorHAnsi" w:cstheme="majorHAnsi"/>
          <w:b/>
        </w:rPr>
        <w:t>Table 1.</w:t>
      </w:r>
      <w:proofErr w:type="gramEnd"/>
      <w:r w:rsidRPr="00AB06D7">
        <w:rPr>
          <w:rFonts w:asciiTheme="majorHAnsi" w:hAnsiTheme="majorHAnsi" w:cstheme="majorHAnsi"/>
          <w:b/>
        </w:rPr>
        <w:t xml:space="preserve"> Description of total cohort and those </w:t>
      </w:r>
      <w:r w:rsidR="006373EE" w:rsidRPr="00AB06D7">
        <w:rPr>
          <w:rFonts w:asciiTheme="majorHAnsi" w:hAnsiTheme="majorHAnsi" w:cstheme="majorHAnsi"/>
          <w:b/>
        </w:rPr>
        <w:t>testing</w:t>
      </w:r>
      <w:r w:rsidRPr="00AB06D7">
        <w:rPr>
          <w:rFonts w:asciiTheme="majorHAnsi" w:hAnsiTheme="majorHAnsi" w:cstheme="majorHAnsi"/>
          <w:b/>
        </w:rPr>
        <w:t xml:space="preserve"> IGRA positive</w:t>
      </w:r>
    </w:p>
    <w:p w14:paraId="171A0B9F" w14:textId="77777777" w:rsidR="002259C9" w:rsidRDefault="002259C9" w:rsidP="003B0558">
      <w:pPr>
        <w:spacing w:line="480" w:lineRule="auto"/>
        <w:rPr>
          <w:rFonts w:asciiTheme="majorHAnsi" w:hAnsiTheme="majorHAnsi" w:cstheme="majorHAnsi"/>
          <w:sz w:val="16"/>
          <w:szCs w:val="16"/>
        </w:rPr>
      </w:pPr>
    </w:p>
    <w:tbl>
      <w:tblPr>
        <w:tblStyle w:val="TableGrid"/>
        <w:tblW w:w="95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4"/>
        <w:gridCol w:w="1610"/>
        <w:gridCol w:w="1363"/>
        <w:gridCol w:w="1351"/>
        <w:gridCol w:w="1253"/>
      </w:tblGrid>
      <w:tr w:rsidR="002259C9" w:rsidRPr="00DF3492" w14:paraId="142156A5" w14:textId="77777777" w:rsidTr="0082666E">
        <w:trPr>
          <w:tblHeader/>
        </w:trPr>
        <w:tc>
          <w:tcPr>
            <w:tcW w:w="4004" w:type="dxa"/>
            <w:tcBorders>
              <w:top w:val="single" w:sz="4" w:space="0" w:color="auto"/>
              <w:bottom w:val="single" w:sz="4" w:space="0" w:color="auto"/>
            </w:tcBorders>
          </w:tcPr>
          <w:p w14:paraId="4F7D67EA" w14:textId="77777777" w:rsidR="002259C9" w:rsidRPr="00DF3492" w:rsidRDefault="002259C9" w:rsidP="000C0460">
            <w:pPr>
              <w:spacing w:line="480" w:lineRule="auto"/>
              <w:rPr>
                <w:rFonts w:asciiTheme="majorHAnsi" w:hAnsiTheme="majorHAnsi" w:cstheme="majorHAnsi"/>
                <w:b/>
                <w:sz w:val="18"/>
                <w:szCs w:val="18"/>
              </w:rPr>
            </w:pPr>
            <w:r w:rsidRPr="00DF3492">
              <w:rPr>
                <w:rFonts w:asciiTheme="majorHAnsi" w:hAnsiTheme="majorHAnsi" w:cstheme="majorHAnsi"/>
                <w:b/>
                <w:sz w:val="18"/>
                <w:szCs w:val="18"/>
              </w:rPr>
              <w:t>Variable</w:t>
            </w:r>
          </w:p>
        </w:tc>
        <w:tc>
          <w:tcPr>
            <w:tcW w:w="2973" w:type="dxa"/>
            <w:gridSpan w:val="2"/>
            <w:tcBorders>
              <w:top w:val="single" w:sz="4" w:space="0" w:color="auto"/>
              <w:bottom w:val="single" w:sz="4" w:space="0" w:color="auto"/>
            </w:tcBorders>
          </w:tcPr>
          <w:p w14:paraId="19085387" w14:textId="77777777" w:rsidR="002259C9" w:rsidRPr="00DF3492" w:rsidRDefault="002259C9" w:rsidP="000C0460">
            <w:pPr>
              <w:spacing w:line="480" w:lineRule="auto"/>
              <w:jc w:val="center"/>
              <w:rPr>
                <w:rFonts w:asciiTheme="majorHAnsi" w:hAnsiTheme="majorHAnsi" w:cstheme="majorHAnsi"/>
                <w:b/>
                <w:sz w:val="18"/>
                <w:szCs w:val="18"/>
              </w:rPr>
            </w:pPr>
            <w:r w:rsidRPr="00DF3492">
              <w:rPr>
                <w:rFonts w:asciiTheme="majorHAnsi" w:hAnsiTheme="majorHAnsi" w:cstheme="majorHAnsi"/>
                <w:b/>
                <w:sz w:val="18"/>
                <w:szCs w:val="18"/>
              </w:rPr>
              <w:t>Total screened cohort, n (%)</w:t>
            </w:r>
          </w:p>
        </w:tc>
        <w:tc>
          <w:tcPr>
            <w:tcW w:w="2604" w:type="dxa"/>
            <w:gridSpan w:val="2"/>
            <w:tcBorders>
              <w:top w:val="single" w:sz="4" w:space="0" w:color="auto"/>
              <w:bottom w:val="single" w:sz="4" w:space="0" w:color="auto"/>
            </w:tcBorders>
          </w:tcPr>
          <w:p w14:paraId="6F791B83" w14:textId="77777777" w:rsidR="002259C9" w:rsidRPr="00DF3492" w:rsidRDefault="002259C9" w:rsidP="000C0460">
            <w:pPr>
              <w:spacing w:line="480" w:lineRule="auto"/>
              <w:jc w:val="center"/>
              <w:rPr>
                <w:rFonts w:asciiTheme="majorHAnsi" w:hAnsiTheme="majorHAnsi" w:cstheme="majorHAnsi"/>
                <w:b/>
                <w:sz w:val="18"/>
                <w:szCs w:val="18"/>
              </w:rPr>
            </w:pPr>
            <w:r w:rsidRPr="00DF3492">
              <w:rPr>
                <w:rFonts w:asciiTheme="majorHAnsi" w:hAnsiTheme="majorHAnsi" w:cstheme="majorHAnsi"/>
                <w:b/>
                <w:sz w:val="18"/>
                <w:szCs w:val="18"/>
              </w:rPr>
              <w:t>Proportion IGRA positive, x/n (%)</w:t>
            </w:r>
          </w:p>
        </w:tc>
      </w:tr>
      <w:tr w:rsidR="002259C9" w:rsidRPr="00DF3492" w14:paraId="71B58BF9" w14:textId="77777777" w:rsidTr="0082666E">
        <w:tc>
          <w:tcPr>
            <w:tcW w:w="4004" w:type="dxa"/>
            <w:tcBorders>
              <w:top w:val="single" w:sz="4" w:space="0" w:color="auto"/>
              <w:bottom w:val="single" w:sz="4" w:space="0" w:color="auto"/>
            </w:tcBorders>
          </w:tcPr>
          <w:p w14:paraId="5E05BAB3"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Total</w:t>
            </w:r>
          </w:p>
        </w:tc>
        <w:tc>
          <w:tcPr>
            <w:tcW w:w="1610" w:type="dxa"/>
            <w:tcBorders>
              <w:top w:val="single" w:sz="4" w:space="0" w:color="auto"/>
              <w:bottom w:val="single" w:sz="4" w:space="0" w:color="000000"/>
            </w:tcBorders>
          </w:tcPr>
          <w:p w14:paraId="1CD85F2A" w14:textId="77777777" w:rsidR="002259C9" w:rsidRPr="00DF3492"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1053</w:t>
            </w:r>
          </w:p>
        </w:tc>
        <w:tc>
          <w:tcPr>
            <w:tcW w:w="1363" w:type="dxa"/>
            <w:tcBorders>
              <w:top w:val="single" w:sz="4" w:space="0" w:color="auto"/>
              <w:bottom w:val="single" w:sz="4" w:space="0" w:color="auto"/>
            </w:tcBorders>
          </w:tcPr>
          <w:p w14:paraId="33C78495" w14:textId="77777777" w:rsidR="002259C9" w:rsidRPr="00DF3492" w:rsidRDefault="002259C9" w:rsidP="000C0460">
            <w:pPr>
              <w:spacing w:line="480" w:lineRule="auto"/>
              <w:rPr>
                <w:rFonts w:asciiTheme="majorHAnsi" w:hAnsiTheme="majorHAnsi" w:cstheme="majorHAnsi"/>
                <w:sz w:val="18"/>
                <w:szCs w:val="18"/>
              </w:rPr>
            </w:pPr>
            <w:r w:rsidRPr="00DF3492">
              <w:rPr>
                <w:rFonts w:asciiTheme="majorHAnsi" w:hAnsiTheme="majorHAnsi" w:cstheme="majorHAnsi"/>
                <w:sz w:val="18"/>
                <w:szCs w:val="18"/>
              </w:rPr>
              <w:t>(100)</w:t>
            </w:r>
          </w:p>
        </w:tc>
        <w:tc>
          <w:tcPr>
            <w:tcW w:w="1351" w:type="dxa"/>
            <w:tcBorders>
              <w:top w:val="single" w:sz="4" w:space="0" w:color="auto"/>
              <w:bottom w:val="single" w:sz="4" w:space="0" w:color="auto"/>
            </w:tcBorders>
          </w:tcPr>
          <w:p w14:paraId="0836160F" w14:textId="77777777" w:rsidR="002259C9" w:rsidRPr="00DF3492"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118/1053</w:t>
            </w:r>
          </w:p>
        </w:tc>
        <w:tc>
          <w:tcPr>
            <w:tcW w:w="1253" w:type="dxa"/>
            <w:tcBorders>
              <w:top w:val="single" w:sz="4" w:space="0" w:color="auto"/>
              <w:bottom w:val="single" w:sz="4" w:space="0" w:color="auto"/>
            </w:tcBorders>
          </w:tcPr>
          <w:p w14:paraId="1DF8ED55" w14:textId="77777777" w:rsidR="002259C9" w:rsidRPr="002B558E" w:rsidRDefault="002259C9" w:rsidP="000C0460">
            <w:pPr>
              <w:spacing w:line="480" w:lineRule="auto"/>
              <w:rPr>
                <w:rFonts w:asciiTheme="majorHAnsi" w:hAnsiTheme="majorHAnsi" w:cstheme="majorHAnsi"/>
                <w:sz w:val="18"/>
                <w:szCs w:val="18"/>
                <w:highlight w:val="yellow"/>
              </w:rPr>
            </w:pPr>
            <w:r>
              <w:rPr>
                <w:rFonts w:asciiTheme="majorHAnsi" w:hAnsiTheme="majorHAnsi" w:cstheme="majorHAnsi"/>
                <w:sz w:val="18"/>
                <w:szCs w:val="18"/>
              </w:rPr>
              <w:t>(11</w:t>
            </w:r>
            <w:r w:rsidRPr="00B56DA1">
              <w:rPr>
                <w:rFonts w:asciiTheme="majorHAnsi" w:hAnsiTheme="majorHAnsi" w:cstheme="majorHAnsi"/>
                <w:sz w:val="18"/>
                <w:szCs w:val="18"/>
              </w:rPr>
              <w:t>·</w:t>
            </w:r>
            <w:r>
              <w:rPr>
                <w:rFonts w:asciiTheme="majorHAnsi" w:hAnsiTheme="majorHAnsi" w:cstheme="majorHAnsi"/>
                <w:sz w:val="18"/>
                <w:szCs w:val="18"/>
              </w:rPr>
              <w:t>2</w:t>
            </w:r>
            <w:r w:rsidRPr="00B56DA1">
              <w:rPr>
                <w:rFonts w:asciiTheme="majorHAnsi" w:hAnsiTheme="majorHAnsi" w:cstheme="majorHAnsi"/>
                <w:sz w:val="18"/>
                <w:szCs w:val="18"/>
              </w:rPr>
              <w:t>)</w:t>
            </w:r>
          </w:p>
        </w:tc>
      </w:tr>
      <w:tr w:rsidR="002259C9" w:rsidRPr="00DF3492" w14:paraId="00E57EE9" w14:textId="77777777" w:rsidTr="0082666E">
        <w:tc>
          <w:tcPr>
            <w:tcW w:w="4004" w:type="dxa"/>
            <w:tcBorders>
              <w:top w:val="single" w:sz="4" w:space="0" w:color="auto"/>
              <w:bottom w:val="single" w:sz="4" w:space="0" w:color="auto"/>
            </w:tcBorders>
          </w:tcPr>
          <w:p w14:paraId="5CC7D534" w14:textId="77777777" w:rsidR="002259C9" w:rsidRPr="00DF3492" w:rsidRDefault="002259C9" w:rsidP="000C0460">
            <w:pPr>
              <w:spacing w:line="480" w:lineRule="auto"/>
              <w:jc w:val="both"/>
              <w:rPr>
                <w:rFonts w:asciiTheme="majorHAnsi" w:hAnsiTheme="majorHAnsi" w:cstheme="majorHAnsi"/>
                <w:b/>
                <w:sz w:val="18"/>
                <w:szCs w:val="18"/>
              </w:rPr>
            </w:pPr>
            <w:r>
              <w:rPr>
                <w:rFonts w:asciiTheme="majorHAnsi" w:hAnsiTheme="majorHAnsi" w:cstheme="majorHAnsi"/>
                <w:b/>
                <w:sz w:val="18"/>
                <w:szCs w:val="18"/>
              </w:rPr>
              <w:t>Median a</w:t>
            </w:r>
            <w:r w:rsidRPr="00DF3492">
              <w:rPr>
                <w:rFonts w:asciiTheme="majorHAnsi" w:hAnsiTheme="majorHAnsi" w:cstheme="majorHAnsi"/>
                <w:b/>
                <w:sz w:val="18"/>
                <w:szCs w:val="18"/>
              </w:rPr>
              <w:t>ge at IGRA test</w:t>
            </w:r>
            <w:r>
              <w:rPr>
                <w:rFonts w:asciiTheme="majorHAnsi" w:hAnsiTheme="majorHAnsi" w:cstheme="majorHAnsi"/>
                <w:b/>
                <w:sz w:val="18"/>
                <w:szCs w:val="18"/>
              </w:rPr>
              <w:t>, years</w:t>
            </w:r>
            <w:r w:rsidRPr="00DF3492">
              <w:rPr>
                <w:rFonts w:asciiTheme="majorHAnsi" w:hAnsiTheme="majorHAnsi" w:cstheme="majorHAnsi"/>
                <w:b/>
                <w:sz w:val="18"/>
                <w:szCs w:val="18"/>
              </w:rPr>
              <w:t xml:space="preserve"> (</w:t>
            </w:r>
            <w:r>
              <w:rPr>
                <w:rFonts w:asciiTheme="majorHAnsi" w:hAnsiTheme="majorHAnsi" w:cstheme="majorHAnsi"/>
                <w:b/>
                <w:sz w:val="18"/>
                <w:szCs w:val="18"/>
              </w:rPr>
              <w:t>IQR</w:t>
            </w:r>
            <w:r w:rsidRPr="00DF3492">
              <w:rPr>
                <w:rFonts w:asciiTheme="majorHAnsi" w:hAnsiTheme="majorHAnsi" w:cstheme="majorHAnsi"/>
                <w:b/>
                <w:sz w:val="18"/>
                <w:szCs w:val="18"/>
              </w:rPr>
              <w:t>)</w:t>
            </w:r>
          </w:p>
        </w:tc>
        <w:tc>
          <w:tcPr>
            <w:tcW w:w="1610" w:type="dxa"/>
            <w:tcBorders>
              <w:top w:val="single" w:sz="4" w:space="0" w:color="auto"/>
              <w:bottom w:val="single" w:sz="4" w:space="0" w:color="000000"/>
            </w:tcBorders>
          </w:tcPr>
          <w:p w14:paraId="794B0E91" w14:textId="77777777" w:rsidR="002259C9" w:rsidRPr="0053178B"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42</w:t>
            </w:r>
          </w:p>
        </w:tc>
        <w:tc>
          <w:tcPr>
            <w:tcW w:w="1363" w:type="dxa"/>
            <w:tcBorders>
              <w:top w:val="single" w:sz="4" w:space="0" w:color="auto"/>
              <w:bottom w:val="single" w:sz="4" w:space="0" w:color="auto"/>
            </w:tcBorders>
          </w:tcPr>
          <w:p w14:paraId="4F7AD958" w14:textId="77777777" w:rsidR="002259C9" w:rsidRPr="0053178B" w:rsidRDefault="002259C9" w:rsidP="000C0460">
            <w:pPr>
              <w:spacing w:line="480" w:lineRule="auto"/>
              <w:rPr>
                <w:rFonts w:asciiTheme="majorHAnsi" w:hAnsiTheme="majorHAnsi" w:cstheme="majorHAnsi"/>
                <w:sz w:val="18"/>
                <w:szCs w:val="18"/>
              </w:rPr>
            </w:pPr>
            <w:r w:rsidRPr="0053178B">
              <w:rPr>
                <w:rFonts w:asciiTheme="majorHAnsi" w:hAnsiTheme="majorHAnsi" w:cstheme="majorHAnsi"/>
                <w:sz w:val="18"/>
                <w:szCs w:val="18"/>
              </w:rPr>
              <w:t>(</w:t>
            </w:r>
            <w:r>
              <w:rPr>
                <w:rFonts w:asciiTheme="majorHAnsi" w:hAnsiTheme="majorHAnsi" w:cstheme="majorHAnsi"/>
                <w:sz w:val="18"/>
                <w:szCs w:val="18"/>
              </w:rPr>
              <w:t>36</w:t>
            </w:r>
            <w:r w:rsidRPr="0053178B">
              <w:rPr>
                <w:rFonts w:asciiTheme="majorHAnsi" w:hAnsiTheme="majorHAnsi" w:cstheme="majorHAnsi"/>
                <w:sz w:val="18"/>
                <w:szCs w:val="18"/>
              </w:rPr>
              <w:t>–4</w:t>
            </w:r>
            <w:r>
              <w:rPr>
                <w:rFonts w:asciiTheme="majorHAnsi" w:hAnsiTheme="majorHAnsi" w:cstheme="majorHAnsi"/>
                <w:sz w:val="18"/>
                <w:szCs w:val="18"/>
              </w:rPr>
              <w:t>9</w:t>
            </w:r>
            <w:r w:rsidRPr="0053178B">
              <w:rPr>
                <w:rFonts w:asciiTheme="majorHAnsi" w:hAnsiTheme="majorHAnsi" w:cstheme="majorHAnsi"/>
                <w:sz w:val="18"/>
                <w:szCs w:val="18"/>
              </w:rPr>
              <w:t>)</w:t>
            </w:r>
          </w:p>
        </w:tc>
        <w:tc>
          <w:tcPr>
            <w:tcW w:w="1351" w:type="dxa"/>
            <w:tcBorders>
              <w:top w:val="single" w:sz="4" w:space="0" w:color="auto"/>
              <w:bottom w:val="single" w:sz="4" w:space="0" w:color="auto"/>
            </w:tcBorders>
          </w:tcPr>
          <w:p w14:paraId="36F0EACC" w14:textId="77777777" w:rsidR="002259C9" w:rsidRPr="009F6370" w:rsidRDefault="002259C9" w:rsidP="000C0460">
            <w:pPr>
              <w:spacing w:line="480" w:lineRule="auto"/>
              <w:jc w:val="right"/>
              <w:rPr>
                <w:rFonts w:asciiTheme="majorHAnsi" w:hAnsiTheme="majorHAnsi" w:cstheme="majorHAnsi"/>
                <w:sz w:val="18"/>
                <w:szCs w:val="18"/>
              </w:rPr>
            </w:pPr>
            <w:r w:rsidRPr="009F6370">
              <w:rPr>
                <w:rFonts w:asciiTheme="majorHAnsi" w:hAnsiTheme="majorHAnsi" w:cstheme="majorHAnsi"/>
                <w:sz w:val="18"/>
                <w:szCs w:val="18"/>
              </w:rPr>
              <w:t>42</w:t>
            </w:r>
          </w:p>
        </w:tc>
        <w:tc>
          <w:tcPr>
            <w:tcW w:w="1253" w:type="dxa"/>
            <w:tcBorders>
              <w:top w:val="single" w:sz="4" w:space="0" w:color="auto"/>
              <w:bottom w:val="single" w:sz="4" w:space="0" w:color="auto"/>
            </w:tcBorders>
          </w:tcPr>
          <w:p w14:paraId="536C682E" w14:textId="77777777" w:rsidR="002259C9" w:rsidRPr="009F6370" w:rsidRDefault="002259C9" w:rsidP="000C0460">
            <w:pPr>
              <w:spacing w:line="480" w:lineRule="auto"/>
              <w:rPr>
                <w:rFonts w:asciiTheme="majorHAnsi" w:hAnsiTheme="majorHAnsi" w:cstheme="majorHAnsi"/>
                <w:sz w:val="18"/>
                <w:szCs w:val="18"/>
              </w:rPr>
            </w:pPr>
            <w:r w:rsidRPr="009F6370">
              <w:rPr>
                <w:rFonts w:asciiTheme="majorHAnsi" w:hAnsiTheme="majorHAnsi" w:cstheme="majorHAnsi"/>
                <w:sz w:val="18"/>
                <w:szCs w:val="18"/>
              </w:rPr>
              <w:t>(38–48)</w:t>
            </w:r>
          </w:p>
        </w:tc>
      </w:tr>
      <w:tr w:rsidR="002259C9" w:rsidRPr="00DF3492" w14:paraId="57CAE685" w14:textId="77777777" w:rsidTr="0082666E">
        <w:trPr>
          <w:trHeight w:val="1028"/>
        </w:trPr>
        <w:tc>
          <w:tcPr>
            <w:tcW w:w="4004" w:type="dxa"/>
            <w:tcBorders>
              <w:top w:val="single" w:sz="4" w:space="0" w:color="auto"/>
              <w:bottom w:val="single" w:sz="4" w:space="0" w:color="auto"/>
            </w:tcBorders>
          </w:tcPr>
          <w:p w14:paraId="7F426E15"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Year of HIV diagnosis</w:t>
            </w:r>
          </w:p>
          <w:p w14:paraId="328619BC"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1985 – 1989</w:t>
            </w:r>
          </w:p>
          <w:p w14:paraId="5D961B49"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1990 – 1999</w:t>
            </w:r>
          </w:p>
          <w:p w14:paraId="62A19F20"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2000 – 2009</w:t>
            </w:r>
          </w:p>
          <w:p w14:paraId="6D628622" w14:textId="77777777" w:rsidR="002259C9" w:rsidRPr="00DF3492" w:rsidRDefault="002259C9" w:rsidP="000C0460">
            <w:pPr>
              <w:spacing w:line="480" w:lineRule="auto"/>
              <w:jc w:val="both"/>
              <w:rPr>
                <w:rFonts w:asciiTheme="majorHAnsi" w:hAnsiTheme="majorHAnsi" w:cstheme="majorHAnsi"/>
                <w:sz w:val="18"/>
                <w:szCs w:val="18"/>
                <w:vertAlign w:val="superscript"/>
              </w:rPr>
            </w:pPr>
            <w:r w:rsidRPr="00DF3492">
              <w:rPr>
                <w:rFonts w:asciiTheme="majorHAnsi" w:hAnsiTheme="majorHAnsi" w:cstheme="majorHAnsi"/>
                <w:sz w:val="18"/>
                <w:szCs w:val="18"/>
              </w:rPr>
              <w:t>2010 – 201</w:t>
            </w:r>
            <w:r>
              <w:rPr>
                <w:rFonts w:asciiTheme="majorHAnsi" w:hAnsiTheme="majorHAnsi" w:cstheme="majorHAnsi"/>
                <w:sz w:val="18"/>
                <w:szCs w:val="18"/>
              </w:rPr>
              <w:t>7*</w:t>
            </w:r>
          </w:p>
        </w:tc>
        <w:tc>
          <w:tcPr>
            <w:tcW w:w="1610" w:type="dxa"/>
            <w:tcBorders>
              <w:top w:val="single" w:sz="4" w:space="0" w:color="000000"/>
              <w:bottom w:val="single" w:sz="4" w:space="0" w:color="auto"/>
            </w:tcBorders>
          </w:tcPr>
          <w:p w14:paraId="77C0BBB0" w14:textId="77777777" w:rsidR="002259C9" w:rsidRPr="00995622" w:rsidRDefault="002259C9" w:rsidP="000C0460">
            <w:pPr>
              <w:spacing w:line="480" w:lineRule="auto"/>
              <w:rPr>
                <w:rFonts w:asciiTheme="majorHAnsi" w:hAnsiTheme="majorHAnsi" w:cstheme="majorHAnsi"/>
                <w:sz w:val="18"/>
                <w:szCs w:val="18"/>
              </w:rPr>
            </w:pPr>
          </w:p>
          <w:p w14:paraId="37ED3A29" w14:textId="77777777" w:rsidR="002259C9" w:rsidRDefault="002259C9" w:rsidP="000C0460">
            <w:pPr>
              <w:spacing w:line="480" w:lineRule="auto"/>
              <w:jc w:val="right"/>
              <w:rPr>
                <w:rFonts w:asciiTheme="majorHAnsi" w:hAnsiTheme="majorHAnsi" w:cstheme="majorHAnsi"/>
                <w:sz w:val="18"/>
                <w:szCs w:val="18"/>
              </w:rPr>
            </w:pPr>
            <w:r w:rsidRPr="00995622">
              <w:rPr>
                <w:rFonts w:asciiTheme="majorHAnsi" w:hAnsiTheme="majorHAnsi" w:cstheme="majorHAnsi"/>
                <w:sz w:val="18"/>
                <w:szCs w:val="18"/>
              </w:rPr>
              <w:t xml:space="preserve">          </w:t>
            </w:r>
            <w:r>
              <w:rPr>
                <w:rFonts w:asciiTheme="majorHAnsi" w:hAnsiTheme="majorHAnsi" w:cstheme="majorHAnsi"/>
                <w:sz w:val="18"/>
                <w:szCs w:val="18"/>
              </w:rPr>
              <w:t>8</w:t>
            </w:r>
            <w:r w:rsidRPr="00995622">
              <w:rPr>
                <w:rFonts w:asciiTheme="majorHAnsi" w:hAnsiTheme="majorHAnsi" w:cstheme="majorHAnsi"/>
                <w:sz w:val="18"/>
                <w:szCs w:val="18"/>
              </w:rPr>
              <w:t xml:space="preserve">                </w:t>
            </w:r>
          </w:p>
          <w:p w14:paraId="22DD0E0A"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68</w:t>
            </w:r>
            <w:r w:rsidRPr="00995622">
              <w:rPr>
                <w:rFonts w:asciiTheme="majorHAnsi" w:hAnsiTheme="majorHAnsi" w:cstheme="majorHAnsi"/>
                <w:sz w:val="18"/>
                <w:szCs w:val="18"/>
              </w:rPr>
              <w:t xml:space="preserve">                      </w:t>
            </w:r>
          </w:p>
          <w:p w14:paraId="157052A1"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604</w:t>
            </w:r>
            <w:r w:rsidRPr="00995622">
              <w:rPr>
                <w:rFonts w:asciiTheme="majorHAnsi" w:hAnsiTheme="majorHAnsi" w:cstheme="majorHAnsi"/>
                <w:sz w:val="18"/>
                <w:szCs w:val="18"/>
              </w:rPr>
              <w:t xml:space="preserve">              </w:t>
            </w:r>
          </w:p>
          <w:p w14:paraId="111E986C" w14:textId="77777777" w:rsidR="002259C9" w:rsidRPr="00995622" w:rsidRDefault="002259C9" w:rsidP="000C0460">
            <w:pPr>
              <w:spacing w:line="480" w:lineRule="auto"/>
              <w:jc w:val="right"/>
              <w:rPr>
                <w:rFonts w:asciiTheme="majorHAnsi" w:hAnsiTheme="majorHAnsi" w:cstheme="majorHAnsi"/>
                <w:sz w:val="18"/>
                <w:szCs w:val="18"/>
              </w:rPr>
            </w:pPr>
            <w:r w:rsidRPr="00995622">
              <w:rPr>
                <w:rFonts w:asciiTheme="majorHAnsi" w:hAnsiTheme="majorHAnsi" w:cstheme="majorHAnsi"/>
                <w:sz w:val="18"/>
                <w:szCs w:val="18"/>
              </w:rPr>
              <w:t>3</w:t>
            </w:r>
            <w:r>
              <w:rPr>
                <w:rFonts w:asciiTheme="majorHAnsi" w:hAnsiTheme="majorHAnsi" w:cstheme="majorHAnsi"/>
                <w:sz w:val="18"/>
                <w:szCs w:val="18"/>
              </w:rPr>
              <w:t>73</w:t>
            </w:r>
            <w:r w:rsidRPr="00995622">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5DCA27F9" w14:textId="77777777" w:rsidR="002259C9" w:rsidRPr="00995622" w:rsidRDefault="002259C9" w:rsidP="000C0460">
            <w:pPr>
              <w:spacing w:line="480" w:lineRule="auto"/>
              <w:rPr>
                <w:rFonts w:asciiTheme="majorHAnsi" w:hAnsiTheme="majorHAnsi" w:cstheme="majorHAnsi"/>
                <w:sz w:val="18"/>
                <w:szCs w:val="18"/>
              </w:rPr>
            </w:pPr>
          </w:p>
          <w:p w14:paraId="2F6C52E6" w14:textId="77777777" w:rsidR="002259C9" w:rsidRPr="00995622" w:rsidRDefault="002259C9" w:rsidP="000C0460">
            <w:pPr>
              <w:spacing w:line="480" w:lineRule="auto"/>
              <w:rPr>
                <w:rFonts w:asciiTheme="majorHAnsi" w:hAnsiTheme="majorHAnsi" w:cstheme="majorHAnsi"/>
                <w:sz w:val="18"/>
                <w:szCs w:val="18"/>
              </w:rPr>
            </w:pPr>
            <w:r w:rsidRPr="00995622">
              <w:rPr>
                <w:rFonts w:asciiTheme="majorHAnsi" w:hAnsiTheme="majorHAnsi" w:cstheme="majorHAnsi"/>
                <w:sz w:val="18"/>
                <w:szCs w:val="18"/>
              </w:rPr>
              <w:t>(</w:t>
            </w:r>
            <w:r>
              <w:rPr>
                <w:rFonts w:asciiTheme="majorHAnsi" w:hAnsiTheme="majorHAnsi" w:cstheme="majorHAnsi"/>
                <w:sz w:val="18"/>
                <w:szCs w:val="18"/>
              </w:rPr>
              <w:t>0</w:t>
            </w:r>
            <w:r w:rsidRPr="00995622">
              <w:rPr>
                <w:rFonts w:asciiTheme="majorHAnsi" w:hAnsiTheme="majorHAnsi" w:cstheme="majorHAnsi"/>
                <w:sz w:val="18"/>
                <w:szCs w:val="18"/>
              </w:rPr>
              <w:t>·</w:t>
            </w:r>
            <w:r>
              <w:rPr>
                <w:rFonts w:asciiTheme="majorHAnsi" w:hAnsiTheme="majorHAnsi" w:cstheme="majorHAnsi"/>
                <w:sz w:val="18"/>
                <w:szCs w:val="18"/>
              </w:rPr>
              <w:t>8</w:t>
            </w:r>
            <w:r w:rsidRPr="00995622">
              <w:rPr>
                <w:rFonts w:asciiTheme="majorHAnsi" w:hAnsiTheme="majorHAnsi" w:cstheme="majorHAnsi"/>
                <w:sz w:val="18"/>
                <w:szCs w:val="18"/>
              </w:rPr>
              <w:t>)</w:t>
            </w:r>
          </w:p>
          <w:p w14:paraId="69B51A6B" w14:textId="3153D868" w:rsidR="002259C9" w:rsidRPr="00995622" w:rsidRDefault="0089224D" w:rsidP="000C0460">
            <w:pPr>
              <w:spacing w:line="480" w:lineRule="auto"/>
              <w:rPr>
                <w:rFonts w:asciiTheme="majorHAnsi" w:hAnsiTheme="majorHAnsi" w:cstheme="majorHAnsi"/>
                <w:sz w:val="18"/>
                <w:szCs w:val="18"/>
              </w:rPr>
            </w:pPr>
            <w:r>
              <w:rPr>
                <w:rFonts w:asciiTheme="majorHAnsi" w:hAnsiTheme="majorHAnsi" w:cstheme="majorHAnsi"/>
                <w:sz w:val="18"/>
                <w:szCs w:val="18"/>
              </w:rPr>
              <w:t>(6·5</w:t>
            </w:r>
            <w:r w:rsidR="002259C9" w:rsidRPr="00995622">
              <w:rPr>
                <w:rFonts w:asciiTheme="majorHAnsi" w:hAnsiTheme="majorHAnsi" w:cstheme="majorHAnsi"/>
                <w:sz w:val="18"/>
                <w:szCs w:val="18"/>
              </w:rPr>
              <w:t>)</w:t>
            </w:r>
          </w:p>
          <w:p w14:paraId="63C3650B" w14:textId="77777777" w:rsidR="002259C9" w:rsidRPr="0099562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(57</w:t>
            </w:r>
            <w:r w:rsidRPr="00995622">
              <w:rPr>
                <w:rFonts w:asciiTheme="majorHAnsi" w:hAnsiTheme="majorHAnsi" w:cstheme="majorHAnsi"/>
                <w:sz w:val="18"/>
                <w:szCs w:val="18"/>
              </w:rPr>
              <w:t>·</w:t>
            </w:r>
            <w:r>
              <w:rPr>
                <w:rFonts w:asciiTheme="majorHAnsi" w:hAnsiTheme="majorHAnsi" w:cstheme="majorHAnsi"/>
                <w:sz w:val="18"/>
                <w:szCs w:val="18"/>
              </w:rPr>
              <w:t>4</w:t>
            </w:r>
            <w:r w:rsidRPr="00995622">
              <w:rPr>
                <w:rFonts w:asciiTheme="majorHAnsi" w:hAnsiTheme="majorHAnsi" w:cstheme="majorHAnsi"/>
                <w:sz w:val="18"/>
                <w:szCs w:val="18"/>
              </w:rPr>
              <w:t xml:space="preserve">) </w:t>
            </w:r>
          </w:p>
          <w:p w14:paraId="5A083F98" w14:textId="77777777" w:rsidR="002259C9" w:rsidRPr="0099562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(35</w:t>
            </w:r>
            <w:r w:rsidRPr="00995622">
              <w:rPr>
                <w:rFonts w:asciiTheme="majorHAnsi" w:hAnsiTheme="majorHAnsi" w:cstheme="majorHAnsi"/>
                <w:sz w:val="18"/>
                <w:szCs w:val="18"/>
              </w:rPr>
              <w:t>·</w:t>
            </w:r>
            <w:r>
              <w:rPr>
                <w:rFonts w:asciiTheme="majorHAnsi" w:hAnsiTheme="majorHAnsi" w:cstheme="majorHAnsi"/>
                <w:sz w:val="18"/>
                <w:szCs w:val="18"/>
              </w:rPr>
              <w:t>4</w:t>
            </w:r>
            <w:r w:rsidRPr="00995622">
              <w:rPr>
                <w:rFonts w:asciiTheme="majorHAnsi" w:hAnsiTheme="majorHAnsi" w:cstheme="majorHAnsi"/>
                <w:sz w:val="18"/>
                <w:szCs w:val="18"/>
              </w:rPr>
              <w:t>)</w:t>
            </w:r>
          </w:p>
        </w:tc>
        <w:tc>
          <w:tcPr>
            <w:tcW w:w="1351" w:type="dxa"/>
            <w:tcBorders>
              <w:top w:val="single" w:sz="4" w:space="0" w:color="auto"/>
              <w:bottom w:val="single" w:sz="4" w:space="0" w:color="auto"/>
            </w:tcBorders>
          </w:tcPr>
          <w:p w14:paraId="097C99F1" w14:textId="77777777" w:rsidR="002259C9" w:rsidRPr="00A17FDC" w:rsidRDefault="002259C9" w:rsidP="000C0460">
            <w:pPr>
              <w:spacing w:line="480" w:lineRule="auto"/>
              <w:rPr>
                <w:rFonts w:asciiTheme="majorHAnsi" w:hAnsiTheme="majorHAnsi" w:cstheme="majorHAnsi"/>
                <w:sz w:val="18"/>
                <w:szCs w:val="18"/>
              </w:rPr>
            </w:pPr>
          </w:p>
          <w:p w14:paraId="0C2A5F5D" w14:textId="77777777" w:rsidR="002259C9" w:rsidRPr="00A17FDC" w:rsidRDefault="002259C9" w:rsidP="000C0460">
            <w:pPr>
              <w:spacing w:line="480" w:lineRule="auto"/>
              <w:ind w:left="360"/>
              <w:jc w:val="right"/>
              <w:rPr>
                <w:rFonts w:asciiTheme="majorHAnsi" w:hAnsiTheme="majorHAnsi" w:cstheme="majorHAnsi"/>
                <w:sz w:val="18"/>
                <w:szCs w:val="18"/>
              </w:rPr>
            </w:pPr>
            <w:r w:rsidRPr="00A17FDC">
              <w:rPr>
                <w:rFonts w:asciiTheme="majorHAnsi" w:hAnsiTheme="majorHAnsi" w:cstheme="majorHAnsi"/>
                <w:sz w:val="18"/>
                <w:szCs w:val="18"/>
              </w:rPr>
              <w:t xml:space="preserve">       </w:t>
            </w:r>
            <w:r>
              <w:rPr>
                <w:rFonts w:asciiTheme="majorHAnsi" w:hAnsiTheme="majorHAnsi" w:cstheme="majorHAnsi"/>
                <w:sz w:val="18"/>
                <w:szCs w:val="18"/>
              </w:rPr>
              <w:t>2/8</w:t>
            </w:r>
            <w:r w:rsidRPr="00A17FDC">
              <w:rPr>
                <w:rFonts w:asciiTheme="majorHAnsi" w:hAnsiTheme="majorHAnsi" w:cstheme="majorHAnsi"/>
                <w:sz w:val="18"/>
                <w:szCs w:val="18"/>
              </w:rPr>
              <w:t xml:space="preserve">       </w:t>
            </w:r>
          </w:p>
          <w:p w14:paraId="509917B9" w14:textId="77777777" w:rsidR="002259C9" w:rsidRPr="00A17FDC" w:rsidRDefault="002259C9" w:rsidP="000C0460">
            <w:pPr>
              <w:spacing w:line="480" w:lineRule="auto"/>
              <w:ind w:left="360"/>
              <w:jc w:val="right"/>
              <w:rPr>
                <w:rFonts w:asciiTheme="majorHAnsi" w:hAnsiTheme="majorHAnsi" w:cstheme="majorHAnsi"/>
                <w:sz w:val="18"/>
                <w:szCs w:val="18"/>
              </w:rPr>
            </w:pPr>
            <w:r w:rsidRPr="00A17FDC">
              <w:rPr>
                <w:rFonts w:asciiTheme="majorHAnsi" w:hAnsiTheme="majorHAnsi" w:cstheme="majorHAnsi"/>
                <w:sz w:val="18"/>
                <w:szCs w:val="18"/>
              </w:rPr>
              <w:t xml:space="preserve">      </w:t>
            </w:r>
            <w:r>
              <w:rPr>
                <w:rFonts w:asciiTheme="majorHAnsi" w:hAnsiTheme="majorHAnsi" w:cstheme="majorHAnsi"/>
                <w:sz w:val="18"/>
                <w:szCs w:val="18"/>
              </w:rPr>
              <w:t>3/68</w:t>
            </w:r>
            <w:r w:rsidRPr="00A17FDC">
              <w:rPr>
                <w:rFonts w:asciiTheme="majorHAnsi" w:hAnsiTheme="majorHAnsi" w:cstheme="majorHAnsi"/>
                <w:sz w:val="18"/>
                <w:szCs w:val="18"/>
              </w:rPr>
              <w:t xml:space="preserve">         </w:t>
            </w:r>
          </w:p>
          <w:p w14:paraId="1C30031A" w14:textId="77777777" w:rsidR="002259C9" w:rsidRPr="00A17FDC" w:rsidRDefault="002259C9" w:rsidP="000C0460">
            <w:pPr>
              <w:spacing w:line="480" w:lineRule="auto"/>
              <w:jc w:val="right"/>
              <w:rPr>
                <w:rFonts w:asciiTheme="majorHAnsi" w:hAnsiTheme="majorHAnsi" w:cstheme="majorHAnsi"/>
                <w:sz w:val="18"/>
                <w:szCs w:val="18"/>
              </w:rPr>
            </w:pPr>
            <w:r w:rsidRPr="00A17FDC">
              <w:rPr>
                <w:rFonts w:asciiTheme="majorHAnsi" w:hAnsiTheme="majorHAnsi" w:cstheme="majorHAnsi"/>
                <w:sz w:val="18"/>
                <w:szCs w:val="18"/>
              </w:rPr>
              <w:t xml:space="preserve">            </w:t>
            </w:r>
            <w:r>
              <w:rPr>
                <w:rFonts w:asciiTheme="majorHAnsi" w:hAnsiTheme="majorHAnsi" w:cstheme="majorHAnsi"/>
                <w:sz w:val="18"/>
                <w:szCs w:val="18"/>
              </w:rPr>
              <w:t>74/604</w:t>
            </w:r>
            <w:r w:rsidRPr="00A17FDC">
              <w:rPr>
                <w:rFonts w:asciiTheme="majorHAnsi" w:hAnsiTheme="majorHAnsi" w:cstheme="majorHAnsi"/>
                <w:sz w:val="18"/>
                <w:szCs w:val="18"/>
              </w:rPr>
              <w:t xml:space="preserve">      </w:t>
            </w:r>
          </w:p>
          <w:p w14:paraId="78F3CFB0" w14:textId="77777777" w:rsidR="002259C9" w:rsidRPr="00A17FDC" w:rsidRDefault="002259C9" w:rsidP="000C0460">
            <w:pPr>
              <w:spacing w:line="480" w:lineRule="auto"/>
              <w:jc w:val="right"/>
              <w:rPr>
                <w:rFonts w:asciiTheme="majorHAnsi" w:hAnsiTheme="majorHAnsi" w:cstheme="majorHAnsi"/>
                <w:sz w:val="18"/>
                <w:szCs w:val="18"/>
              </w:rPr>
            </w:pPr>
            <w:r w:rsidRPr="00A17FDC">
              <w:rPr>
                <w:rFonts w:asciiTheme="majorHAnsi" w:hAnsiTheme="majorHAnsi" w:cstheme="majorHAnsi"/>
                <w:sz w:val="18"/>
                <w:szCs w:val="18"/>
              </w:rPr>
              <w:t xml:space="preserve">            </w:t>
            </w:r>
            <w:r>
              <w:rPr>
                <w:rFonts w:asciiTheme="majorHAnsi" w:hAnsiTheme="majorHAnsi" w:cstheme="majorHAnsi"/>
                <w:sz w:val="18"/>
                <w:szCs w:val="18"/>
              </w:rPr>
              <w:t>39</w:t>
            </w:r>
            <w:r w:rsidRPr="00A17FDC">
              <w:rPr>
                <w:rFonts w:asciiTheme="majorHAnsi" w:hAnsiTheme="majorHAnsi" w:cstheme="majorHAnsi"/>
                <w:sz w:val="18"/>
                <w:szCs w:val="18"/>
              </w:rPr>
              <w:t>/3</w:t>
            </w:r>
            <w:r>
              <w:rPr>
                <w:rFonts w:asciiTheme="majorHAnsi" w:hAnsiTheme="majorHAnsi" w:cstheme="majorHAnsi"/>
                <w:sz w:val="18"/>
                <w:szCs w:val="18"/>
              </w:rPr>
              <w:t>73</w:t>
            </w:r>
            <w:r w:rsidRPr="00A17FDC">
              <w:rPr>
                <w:rFonts w:asciiTheme="majorHAnsi" w:hAnsiTheme="majorHAnsi" w:cstheme="majorHAnsi"/>
                <w:sz w:val="18"/>
                <w:szCs w:val="18"/>
              </w:rPr>
              <w:t xml:space="preserve">      </w:t>
            </w:r>
          </w:p>
        </w:tc>
        <w:tc>
          <w:tcPr>
            <w:tcW w:w="1253" w:type="dxa"/>
            <w:tcBorders>
              <w:top w:val="single" w:sz="4" w:space="0" w:color="auto"/>
              <w:bottom w:val="single" w:sz="4" w:space="0" w:color="auto"/>
            </w:tcBorders>
          </w:tcPr>
          <w:p w14:paraId="3C738B93" w14:textId="77777777" w:rsidR="002259C9" w:rsidRPr="00A17FDC" w:rsidRDefault="002259C9" w:rsidP="000C0460">
            <w:pPr>
              <w:spacing w:line="480" w:lineRule="auto"/>
              <w:rPr>
                <w:rFonts w:asciiTheme="majorHAnsi" w:hAnsiTheme="majorHAnsi" w:cstheme="majorHAnsi"/>
                <w:sz w:val="18"/>
                <w:szCs w:val="18"/>
              </w:rPr>
            </w:pPr>
          </w:p>
          <w:p w14:paraId="37BE4AF6" w14:textId="77777777" w:rsidR="002259C9" w:rsidRPr="00A17FDC"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(25</w:t>
            </w:r>
            <w:r w:rsidRPr="00A17FDC">
              <w:rPr>
                <w:rFonts w:asciiTheme="majorHAnsi" w:hAnsiTheme="majorHAnsi" w:cstheme="majorHAnsi"/>
                <w:sz w:val="18"/>
                <w:szCs w:val="18"/>
              </w:rPr>
              <w:t>·0)</w:t>
            </w:r>
          </w:p>
          <w:p w14:paraId="1A4EA0ED" w14:textId="77777777" w:rsidR="002259C9" w:rsidRPr="00A17FDC" w:rsidRDefault="002259C9" w:rsidP="000C0460">
            <w:pPr>
              <w:spacing w:line="480" w:lineRule="auto"/>
              <w:rPr>
                <w:rFonts w:asciiTheme="majorHAnsi" w:hAnsiTheme="majorHAnsi" w:cstheme="majorHAnsi"/>
                <w:sz w:val="18"/>
                <w:szCs w:val="18"/>
              </w:rPr>
            </w:pPr>
            <w:r w:rsidRPr="00A17FDC">
              <w:rPr>
                <w:rFonts w:asciiTheme="majorHAnsi" w:hAnsiTheme="majorHAnsi" w:cstheme="majorHAnsi"/>
                <w:sz w:val="18"/>
                <w:szCs w:val="18"/>
              </w:rPr>
              <w:t>(4·</w:t>
            </w:r>
            <w:r>
              <w:rPr>
                <w:rFonts w:asciiTheme="majorHAnsi" w:hAnsiTheme="majorHAnsi" w:cstheme="majorHAnsi"/>
                <w:sz w:val="18"/>
                <w:szCs w:val="18"/>
              </w:rPr>
              <w:t>4</w:t>
            </w:r>
            <w:r w:rsidRPr="00A17FDC">
              <w:rPr>
                <w:rFonts w:asciiTheme="majorHAnsi" w:hAnsiTheme="majorHAnsi" w:cstheme="majorHAnsi"/>
                <w:sz w:val="18"/>
                <w:szCs w:val="18"/>
              </w:rPr>
              <w:t>)</w:t>
            </w:r>
          </w:p>
          <w:p w14:paraId="55806A9B" w14:textId="77777777" w:rsidR="002259C9" w:rsidRPr="00A17FDC"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(12</w:t>
            </w:r>
            <w:r w:rsidRPr="00A17FDC">
              <w:rPr>
                <w:rFonts w:asciiTheme="majorHAnsi" w:hAnsiTheme="majorHAnsi" w:cstheme="majorHAnsi"/>
                <w:sz w:val="18"/>
                <w:szCs w:val="18"/>
              </w:rPr>
              <w:t>·</w:t>
            </w:r>
            <w:r>
              <w:rPr>
                <w:rFonts w:asciiTheme="majorHAnsi" w:hAnsiTheme="majorHAnsi" w:cstheme="majorHAnsi"/>
                <w:sz w:val="18"/>
                <w:szCs w:val="18"/>
              </w:rPr>
              <w:t>3</w:t>
            </w:r>
            <w:r w:rsidRPr="00A17FDC">
              <w:rPr>
                <w:rFonts w:asciiTheme="majorHAnsi" w:hAnsiTheme="majorHAnsi" w:cstheme="majorHAnsi"/>
                <w:sz w:val="18"/>
                <w:szCs w:val="18"/>
              </w:rPr>
              <w:t>)</w:t>
            </w:r>
          </w:p>
          <w:p w14:paraId="3A86933A" w14:textId="77777777" w:rsidR="002259C9" w:rsidRPr="00A17FDC"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(10.5</w:t>
            </w:r>
            <w:r w:rsidRPr="00A17FDC">
              <w:rPr>
                <w:rFonts w:asciiTheme="majorHAnsi" w:hAnsiTheme="majorHAnsi" w:cstheme="majorHAnsi"/>
                <w:sz w:val="18"/>
                <w:szCs w:val="18"/>
              </w:rPr>
              <w:t>)</w:t>
            </w:r>
          </w:p>
        </w:tc>
      </w:tr>
      <w:tr w:rsidR="002259C9" w:rsidRPr="00DF3492" w14:paraId="414A16EC" w14:textId="77777777" w:rsidTr="0082666E">
        <w:tc>
          <w:tcPr>
            <w:tcW w:w="4004" w:type="dxa"/>
            <w:tcBorders>
              <w:top w:val="single" w:sz="4" w:space="0" w:color="auto"/>
            </w:tcBorders>
          </w:tcPr>
          <w:p w14:paraId="1DFA5CFA"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Year of IGRA test</w:t>
            </w:r>
          </w:p>
          <w:p w14:paraId="28CDA270" w14:textId="77777777" w:rsidR="002259C9" w:rsidRPr="00DF3492"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2014</w:t>
            </w:r>
          </w:p>
          <w:p w14:paraId="73DD5E54" w14:textId="77777777" w:rsidR="002259C9" w:rsidRPr="00DF3492"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2015</w:t>
            </w:r>
          </w:p>
          <w:p w14:paraId="0E78ACD6" w14:textId="77777777" w:rsidR="002259C9" w:rsidRPr="00DF3492"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2016</w:t>
            </w:r>
          </w:p>
          <w:p w14:paraId="468B4C02"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2017</w:t>
            </w:r>
          </w:p>
          <w:p w14:paraId="68EFC064"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2018</w:t>
            </w:r>
          </w:p>
          <w:p w14:paraId="50B4AA19"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2019</w:t>
            </w:r>
          </w:p>
          <w:p w14:paraId="3DEE5EE5"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220</w:t>
            </w:r>
          </w:p>
          <w:p w14:paraId="7CBB3A8C" w14:textId="77777777" w:rsidR="002259C9" w:rsidRPr="00DF3492" w:rsidRDefault="002259C9" w:rsidP="000C0460">
            <w:pPr>
              <w:spacing w:line="480" w:lineRule="auto"/>
              <w:jc w:val="both"/>
              <w:rPr>
                <w:rFonts w:asciiTheme="majorHAnsi" w:hAnsiTheme="majorHAnsi" w:cstheme="majorHAnsi"/>
                <w:sz w:val="18"/>
                <w:szCs w:val="18"/>
                <w:vertAlign w:val="superscript"/>
              </w:rPr>
            </w:pPr>
            <w:r>
              <w:rPr>
                <w:rFonts w:asciiTheme="majorHAnsi" w:hAnsiTheme="majorHAnsi" w:cstheme="majorHAnsi"/>
                <w:sz w:val="18"/>
                <w:szCs w:val="18"/>
              </w:rPr>
              <w:t xml:space="preserve"> </w:t>
            </w:r>
            <w:r w:rsidRPr="00DF3492">
              <w:rPr>
                <w:rFonts w:asciiTheme="majorHAnsi" w:hAnsiTheme="majorHAnsi" w:cstheme="majorHAnsi"/>
                <w:sz w:val="18"/>
                <w:szCs w:val="18"/>
              </w:rPr>
              <w:t>20</w:t>
            </w:r>
            <w:r>
              <w:rPr>
                <w:rFonts w:asciiTheme="majorHAnsi" w:hAnsiTheme="majorHAnsi" w:cstheme="majorHAnsi"/>
                <w:sz w:val="18"/>
                <w:szCs w:val="18"/>
              </w:rPr>
              <w:t>21</w:t>
            </w:r>
            <w:r>
              <w:rPr>
                <w:rFonts w:asciiTheme="majorHAnsi" w:hAnsiTheme="majorHAnsi" w:cstheme="majorHAnsi"/>
                <w:sz w:val="16"/>
                <w:szCs w:val="16"/>
              </w:rPr>
              <w:t>†</w:t>
            </w:r>
          </w:p>
        </w:tc>
        <w:tc>
          <w:tcPr>
            <w:tcW w:w="1610" w:type="dxa"/>
            <w:tcBorders>
              <w:top w:val="single" w:sz="4" w:space="0" w:color="auto"/>
            </w:tcBorders>
          </w:tcPr>
          <w:p w14:paraId="35C21860" w14:textId="77777777" w:rsidR="002259C9" w:rsidRDefault="002259C9" w:rsidP="000C0460">
            <w:pPr>
              <w:spacing w:line="480" w:lineRule="auto"/>
              <w:ind w:left="360"/>
              <w:jc w:val="right"/>
              <w:rPr>
                <w:rFonts w:asciiTheme="majorHAnsi" w:hAnsiTheme="majorHAnsi" w:cstheme="majorHAnsi"/>
                <w:sz w:val="18"/>
                <w:szCs w:val="18"/>
              </w:rPr>
            </w:pPr>
            <w:r w:rsidRPr="0066413B">
              <w:rPr>
                <w:rFonts w:asciiTheme="majorHAnsi" w:hAnsiTheme="majorHAnsi" w:cstheme="majorHAnsi"/>
                <w:sz w:val="18"/>
                <w:szCs w:val="18"/>
              </w:rPr>
              <w:t xml:space="preserve">            </w:t>
            </w:r>
          </w:p>
          <w:p w14:paraId="722DFD1A"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393</w:t>
            </w:r>
            <w:r w:rsidRPr="0066413B">
              <w:rPr>
                <w:rFonts w:asciiTheme="majorHAnsi" w:hAnsiTheme="majorHAnsi" w:cstheme="majorHAnsi"/>
                <w:sz w:val="18"/>
                <w:szCs w:val="18"/>
              </w:rPr>
              <w:t xml:space="preserve">                   </w:t>
            </w:r>
            <w:r>
              <w:rPr>
                <w:rFonts w:asciiTheme="majorHAnsi" w:hAnsiTheme="majorHAnsi" w:cstheme="majorHAnsi"/>
                <w:sz w:val="18"/>
                <w:szCs w:val="18"/>
              </w:rPr>
              <w:t>358</w:t>
            </w:r>
            <w:r w:rsidRPr="0066413B">
              <w:rPr>
                <w:rFonts w:asciiTheme="majorHAnsi" w:hAnsiTheme="majorHAnsi" w:cstheme="majorHAnsi"/>
                <w:sz w:val="18"/>
                <w:szCs w:val="18"/>
              </w:rPr>
              <w:t xml:space="preserve">                 </w:t>
            </w:r>
            <w:r>
              <w:rPr>
                <w:rFonts w:asciiTheme="majorHAnsi" w:hAnsiTheme="majorHAnsi" w:cstheme="majorHAnsi"/>
                <w:sz w:val="18"/>
                <w:szCs w:val="18"/>
              </w:rPr>
              <w:t>147</w:t>
            </w:r>
            <w:r w:rsidRPr="0066413B">
              <w:rPr>
                <w:rFonts w:asciiTheme="majorHAnsi" w:hAnsiTheme="majorHAnsi" w:cstheme="majorHAnsi"/>
                <w:sz w:val="18"/>
                <w:szCs w:val="18"/>
              </w:rPr>
              <w:t xml:space="preserve">              </w:t>
            </w:r>
            <w:r>
              <w:rPr>
                <w:rFonts w:asciiTheme="majorHAnsi" w:hAnsiTheme="majorHAnsi" w:cstheme="majorHAnsi"/>
                <w:sz w:val="18"/>
                <w:szCs w:val="18"/>
              </w:rPr>
              <w:t>125</w:t>
            </w:r>
          </w:p>
          <w:p w14:paraId="6953D3AA"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 xml:space="preserve">24    </w:t>
            </w:r>
          </w:p>
          <w:p w14:paraId="4FEC1F76"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3</w:t>
            </w:r>
          </w:p>
          <w:p w14:paraId="307FD1A0"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1</w:t>
            </w:r>
          </w:p>
          <w:p w14:paraId="3299C636" w14:textId="77777777" w:rsidR="002259C9" w:rsidRPr="0066413B"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2</w:t>
            </w:r>
            <w:r w:rsidRPr="0066413B">
              <w:rPr>
                <w:rFonts w:asciiTheme="majorHAnsi" w:hAnsiTheme="majorHAnsi" w:cstheme="majorHAnsi"/>
                <w:sz w:val="18"/>
                <w:szCs w:val="18"/>
              </w:rPr>
              <w:t xml:space="preserve">   </w:t>
            </w:r>
          </w:p>
        </w:tc>
        <w:tc>
          <w:tcPr>
            <w:tcW w:w="1363" w:type="dxa"/>
            <w:tcBorders>
              <w:top w:val="single" w:sz="4" w:space="0" w:color="auto"/>
            </w:tcBorders>
          </w:tcPr>
          <w:p w14:paraId="5055CC59" w14:textId="77777777" w:rsidR="002259C9" w:rsidRPr="0066413B" w:rsidRDefault="002259C9" w:rsidP="000C0460">
            <w:pPr>
              <w:spacing w:line="480" w:lineRule="auto"/>
              <w:jc w:val="both"/>
              <w:rPr>
                <w:rFonts w:asciiTheme="majorHAnsi" w:hAnsiTheme="majorHAnsi" w:cstheme="majorHAnsi"/>
                <w:sz w:val="18"/>
                <w:szCs w:val="18"/>
              </w:rPr>
            </w:pPr>
          </w:p>
          <w:p w14:paraId="068D5E28" w14:textId="77777777" w:rsidR="002259C9" w:rsidRPr="0066413B"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(37.3</w:t>
            </w:r>
            <w:r w:rsidRPr="0066413B">
              <w:rPr>
                <w:rFonts w:asciiTheme="majorHAnsi" w:hAnsiTheme="majorHAnsi" w:cstheme="majorHAnsi"/>
                <w:sz w:val="18"/>
                <w:szCs w:val="18"/>
              </w:rPr>
              <w:t>)</w:t>
            </w:r>
          </w:p>
          <w:p w14:paraId="7861E69D" w14:textId="77777777" w:rsidR="002259C9" w:rsidRPr="0066413B"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(34.0</w:t>
            </w:r>
            <w:r w:rsidRPr="0066413B">
              <w:rPr>
                <w:rFonts w:asciiTheme="majorHAnsi" w:hAnsiTheme="majorHAnsi" w:cstheme="majorHAnsi"/>
                <w:sz w:val="18"/>
                <w:szCs w:val="18"/>
              </w:rPr>
              <w:t>)</w:t>
            </w:r>
          </w:p>
          <w:p w14:paraId="5ED91D2E" w14:textId="77777777" w:rsidR="002259C9" w:rsidRPr="0066413B"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(14.0</w:t>
            </w:r>
            <w:r w:rsidRPr="0066413B">
              <w:rPr>
                <w:rFonts w:asciiTheme="majorHAnsi" w:hAnsiTheme="majorHAnsi" w:cstheme="majorHAnsi"/>
                <w:sz w:val="18"/>
                <w:szCs w:val="18"/>
              </w:rPr>
              <w:t>)</w:t>
            </w:r>
          </w:p>
          <w:p w14:paraId="4A414933"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(11.9</w:t>
            </w:r>
            <w:r w:rsidRPr="0066413B">
              <w:rPr>
                <w:rFonts w:asciiTheme="majorHAnsi" w:hAnsiTheme="majorHAnsi" w:cstheme="majorHAnsi"/>
                <w:sz w:val="18"/>
                <w:szCs w:val="18"/>
              </w:rPr>
              <w:t>)</w:t>
            </w:r>
          </w:p>
          <w:p w14:paraId="45A1FB0D"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(2.3)</w:t>
            </w:r>
          </w:p>
          <w:p w14:paraId="7228ED2C"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(0.3)</w:t>
            </w:r>
          </w:p>
          <w:p w14:paraId="271FADD1"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(0.1)</w:t>
            </w:r>
          </w:p>
          <w:p w14:paraId="055BF615" w14:textId="77777777" w:rsidR="002259C9" w:rsidRPr="0066413B"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(0.2)</w:t>
            </w:r>
          </w:p>
        </w:tc>
        <w:tc>
          <w:tcPr>
            <w:tcW w:w="1351" w:type="dxa"/>
            <w:tcBorders>
              <w:top w:val="single" w:sz="4" w:space="0" w:color="auto"/>
            </w:tcBorders>
          </w:tcPr>
          <w:p w14:paraId="33FC3E39" w14:textId="77777777" w:rsidR="002259C9" w:rsidRPr="00391333" w:rsidRDefault="002259C9" w:rsidP="000C0460">
            <w:pPr>
              <w:spacing w:line="480" w:lineRule="auto"/>
              <w:ind w:left="360"/>
              <w:jc w:val="right"/>
              <w:rPr>
                <w:rFonts w:asciiTheme="majorHAnsi" w:hAnsiTheme="majorHAnsi" w:cstheme="majorHAnsi"/>
                <w:sz w:val="18"/>
                <w:szCs w:val="18"/>
              </w:rPr>
            </w:pPr>
            <w:r w:rsidRPr="00391333">
              <w:rPr>
                <w:rFonts w:asciiTheme="majorHAnsi" w:hAnsiTheme="majorHAnsi" w:cstheme="majorHAnsi"/>
                <w:sz w:val="18"/>
                <w:szCs w:val="18"/>
              </w:rPr>
              <w:t xml:space="preserve">     </w:t>
            </w:r>
          </w:p>
          <w:p w14:paraId="6EEBEC31" w14:textId="77777777" w:rsidR="002259C9" w:rsidRPr="00391333" w:rsidRDefault="002259C9" w:rsidP="000C0460">
            <w:pPr>
              <w:spacing w:line="480" w:lineRule="auto"/>
              <w:ind w:left="360"/>
              <w:jc w:val="right"/>
              <w:rPr>
                <w:rFonts w:asciiTheme="majorHAnsi" w:hAnsiTheme="majorHAnsi" w:cstheme="majorHAnsi"/>
                <w:sz w:val="18"/>
                <w:szCs w:val="18"/>
              </w:rPr>
            </w:pPr>
            <w:r w:rsidRPr="00391333">
              <w:rPr>
                <w:rFonts w:asciiTheme="majorHAnsi" w:hAnsiTheme="majorHAnsi" w:cstheme="majorHAnsi"/>
                <w:sz w:val="18"/>
                <w:szCs w:val="18"/>
              </w:rPr>
              <w:t xml:space="preserve"> </w:t>
            </w:r>
            <w:r>
              <w:rPr>
                <w:rFonts w:asciiTheme="majorHAnsi" w:hAnsiTheme="majorHAnsi" w:cstheme="majorHAnsi"/>
                <w:sz w:val="18"/>
                <w:szCs w:val="18"/>
              </w:rPr>
              <w:t>43/393</w:t>
            </w:r>
            <w:r w:rsidRPr="00391333">
              <w:rPr>
                <w:rFonts w:asciiTheme="majorHAnsi" w:hAnsiTheme="majorHAnsi" w:cstheme="majorHAnsi"/>
                <w:sz w:val="18"/>
                <w:szCs w:val="18"/>
              </w:rPr>
              <w:t xml:space="preserve">           </w:t>
            </w:r>
          </w:p>
          <w:p w14:paraId="6BD10BAF" w14:textId="77777777" w:rsidR="002259C9" w:rsidRPr="00391333" w:rsidRDefault="002259C9" w:rsidP="000C0460">
            <w:pPr>
              <w:spacing w:line="480" w:lineRule="auto"/>
              <w:ind w:left="360"/>
              <w:jc w:val="right"/>
              <w:rPr>
                <w:rFonts w:asciiTheme="majorHAnsi" w:hAnsiTheme="majorHAnsi" w:cstheme="majorHAnsi"/>
                <w:sz w:val="18"/>
                <w:szCs w:val="18"/>
              </w:rPr>
            </w:pPr>
            <w:r w:rsidRPr="00391333">
              <w:rPr>
                <w:rFonts w:asciiTheme="majorHAnsi" w:hAnsiTheme="majorHAnsi" w:cstheme="majorHAnsi"/>
                <w:sz w:val="18"/>
                <w:szCs w:val="18"/>
              </w:rPr>
              <w:t xml:space="preserve">    </w:t>
            </w:r>
            <w:r>
              <w:rPr>
                <w:rFonts w:asciiTheme="majorHAnsi" w:hAnsiTheme="majorHAnsi" w:cstheme="majorHAnsi"/>
                <w:sz w:val="18"/>
                <w:szCs w:val="18"/>
              </w:rPr>
              <w:t>47/358</w:t>
            </w:r>
            <w:r w:rsidRPr="00391333">
              <w:rPr>
                <w:rFonts w:asciiTheme="majorHAnsi" w:hAnsiTheme="majorHAnsi" w:cstheme="majorHAnsi"/>
                <w:sz w:val="18"/>
                <w:szCs w:val="18"/>
              </w:rPr>
              <w:t xml:space="preserve">      </w:t>
            </w:r>
          </w:p>
          <w:p w14:paraId="4DBA2A64" w14:textId="77777777" w:rsidR="002259C9" w:rsidRPr="00391333"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18/147</w:t>
            </w:r>
            <w:r w:rsidRPr="00391333">
              <w:rPr>
                <w:rFonts w:asciiTheme="majorHAnsi" w:hAnsiTheme="majorHAnsi" w:cstheme="majorHAnsi"/>
                <w:sz w:val="18"/>
                <w:szCs w:val="18"/>
              </w:rPr>
              <w:t xml:space="preserve">      </w:t>
            </w:r>
            <w:r>
              <w:rPr>
                <w:rFonts w:asciiTheme="majorHAnsi" w:hAnsiTheme="majorHAnsi" w:cstheme="majorHAnsi"/>
                <w:sz w:val="18"/>
                <w:szCs w:val="18"/>
              </w:rPr>
              <w:t>8/125</w:t>
            </w:r>
            <w:r w:rsidRPr="00391333">
              <w:rPr>
                <w:rFonts w:asciiTheme="majorHAnsi" w:hAnsiTheme="majorHAnsi" w:cstheme="majorHAnsi"/>
                <w:sz w:val="18"/>
                <w:szCs w:val="18"/>
              </w:rPr>
              <w:t xml:space="preserve">     </w:t>
            </w:r>
          </w:p>
          <w:p w14:paraId="79F914DE" w14:textId="77777777" w:rsidR="002259C9" w:rsidRDefault="002259C9" w:rsidP="000C0460">
            <w:pPr>
              <w:spacing w:line="480" w:lineRule="auto"/>
              <w:jc w:val="right"/>
              <w:rPr>
                <w:rFonts w:asciiTheme="majorHAnsi" w:hAnsiTheme="majorHAnsi" w:cstheme="majorHAnsi"/>
                <w:sz w:val="18"/>
                <w:szCs w:val="18"/>
              </w:rPr>
            </w:pPr>
            <w:r w:rsidRPr="00391333">
              <w:rPr>
                <w:rFonts w:asciiTheme="majorHAnsi" w:hAnsiTheme="majorHAnsi" w:cstheme="majorHAnsi"/>
                <w:sz w:val="18"/>
                <w:szCs w:val="18"/>
              </w:rPr>
              <w:t xml:space="preserve">      </w:t>
            </w:r>
            <w:r>
              <w:rPr>
                <w:rFonts w:asciiTheme="majorHAnsi" w:hAnsiTheme="majorHAnsi" w:cstheme="majorHAnsi"/>
                <w:sz w:val="18"/>
                <w:szCs w:val="18"/>
              </w:rPr>
              <w:t>2/24</w:t>
            </w:r>
          </w:p>
          <w:p w14:paraId="63A280FB"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0/3</w:t>
            </w:r>
          </w:p>
          <w:p w14:paraId="6C3B1298"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0/1</w:t>
            </w:r>
          </w:p>
          <w:p w14:paraId="31454343" w14:textId="77777777" w:rsidR="002259C9" w:rsidRPr="00391333"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0/2</w:t>
            </w:r>
            <w:r w:rsidRPr="00391333">
              <w:rPr>
                <w:rFonts w:asciiTheme="majorHAnsi" w:hAnsiTheme="majorHAnsi" w:cstheme="majorHAnsi"/>
                <w:sz w:val="18"/>
                <w:szCs w:val="18"/>
              </w:rPr>
              <w:t xml:space="preserve">     </w:t>
            </w:r>
          </w:p>
        </w:tc>
        <w:tc>
          <w:tcPr>
            <w:tcW w:w="1253" w:type="dxa"/>
            <w:tcBorders>
              <w:top w:val="single" w:sz="4" w:space="0" w:color="auto"/>
            </w:tcBorders>
          </w:tcPr>
          <w:p w14:paraId="49322680" w14:textId="77777777" w:rsidR="002259C9" w:rsidRPr="00391333" w:rsidRDefault="002259C9" w:rsidP="000C0460">
            <w:pPr>
              <w:spacing w:line="480" w:lineRule="auto"/>
              <w:jc w:val="both"/>
              <w:rPr>
                <w:rFonts w:asciiTheme="majorHAnsi" w:hAnsiTheme="majorHAnsi" w:cstheme="majorHAnsi"/>
                <w:sz w:val="18"/>
                <w:szCs w:val="18"/>
              </w:rPr>
            </w:pPr>
          </w:p>
          <w:p w14:paraId="23FBC914" w14:textId="77777777" w:rsidR="002259C9" w:rsidRPr="00391333"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(10.9</w:t>
            </w:r>
            <w:r w:rsidRPr="00391333">
              <w:rPr>
                <w:rFonts w:asciiTheme="majorHAnsi" w:hAnsiTheme="majorHAnsi" w:cstheme="majorHAnsi"/>
                <w:sz w:val="18"/>
                <w:szCs w:val="18"/>
              </w:rPr>
              <w:t>)</w:t>
            </w:r>
          </w:p>
          <w:p w14:paraId="0D5DD02C" w14:textId="77777777" w:rsidR="002259C9" w:rsidRPr="00391333"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(13·1</w:t>
            </w:r>
            <w:r w:rsidRPr="00391333">
              <w:rPr>
                <w:rFonts w:asciiTheme="majorHAnsi" w:hAnsiTheme="majorHAnsi" w:cstheme="majorHAnsi"/>
                <w:sz w:val="18"/>
                <w:szCs w:val="18"/>
              </w:rPr>
              <w:t>)</w:t>
            </w:r>
          </w:p>
          <w:p w14:paraId="6307DB89" w14:textId="77777777" w:rsidR="002259C9" w:rsidRPr="00391333" w:rsidRDefault="002259C9" w:rsidP="000C0460">
            <w:pPr>
              <w:spacing w:line="480" w:lineRule="auto"/>
              <w:jc w:val="both"/>
              <w:rPr>
                <w:rFonts w:asciiTheme="majorHAnsi" w:hAnsiTheme="majorHAnsi" w:cstheme="majorHAnsi"/>
                <w:sz w:val="18"/>
                <w:szCs w:val="18"/>
              </w:rPr>
            </w:pPr>
            <w:r w:rsidRPr="00391333">
              <w:rPr>
                <w:rFonts w:asciiTheme="majorHAnsi" w:hAnsiTheme="majorHAnsi" w:cstheme="majorHAnsi"/>
                <w:sz w:val="18"/>
                <w:szCs w:val="18"/>
              </w:rPr>
              <w:t>(12·</w:t>
            </w:r>
            <w:r>
              <w:rPr>
                <w:rFonts w:asciiTheme="majorHAnsi" w:hAnsiTheme="majorHAnsi" w:cstheme="majorHAnsi"/>
                <w:sz w:val="18"/>
                <w:szCs w:val="18"/>
              </w:rPr>
              <w:t>2</w:t>
            </w:r>
            <w:r w:rsidRPr="00391333">
              <w:rPr>
                <w:rFonts w:asciiTheme="majorHAnsi" w:hAnsiTheme="majorHAnsi" w:cstheme="majorHAnsi"/>
                <w:sz w:val="18"/>
                <w:szCs w:val="18"/>
              </w:rPr>
              <w:t>)</w:t>
            </w:r>
          </w:p>
          <w:p w14:paraId="3F7DEF69"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(6.4</w:t>
            </w:r>
            <w:r w:rsidRPr="00391333">
              <w:rPr>
                <w:rFonts w:asciiTheme="majorHAnsi" w:hAnsiTheme="majorHAnsi" w:cstheme="majorHAnsi"/>
                <w:sz w:val="18"/>
                <w:szCs w:val="18"/>
              </w:rPr>
              <w:t>)</w:t>
            </w:r>
          </w:p>
          <w:p w14:paraId="5D566469"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(8.3)</w:t>
            </w:r>
          </w:p>
          <w:p w14:paraId="5657051B"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(0.0)</w:t>
            </w:r>
          </w:p>
          <w:p w14:paraId="636BCB67" w14:textId="77777777" w:rsidR="002259C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(0.0)</w:t>
            </w:r>
          </w:p>
          <w:p w14:paraId="39670C27" w14:textId="77777777" w:rsidR="002259C9" w:rsidRPr="00391333"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(0.0)</w:t>
            </w:r>
          </w:p>
        </w:tc>
      </w:tr>
      <w:tr w:rsidR="002259C9" w:rsidRPr="00DF3492" w14:paraId="7BFF060B" w14:textId="77777777" w:rsidTr="0082666E">
        <w:tc>
          <w:tcPr>
            <w:tcW w:w="4004" w:type="dxa"/>
          </w:tcPr>
          <w:p w14:paraId="525E4502" w14:textId="77777777" w:rsidR="002259C9" w:rsidRPr="00DF3492" w:rsidRDefault="002259C9" w:rsidP="000C0460">
            <w:pPr>
              <w:spacing w:line="480" w:lineRule="auto"/>
              <w:jc w:val="both"/>
              <w:rPr>
                <w:rFonts w:asciiTheme="majorHAnsi" w:hAnsiTheme="majorHAnsi" w:cstheme="majorHAnsi"/>
                <w:b/>
                <w:bCs/>
                <w:sz w:val="18"/>
                <w:szCs w:val="18"/>
              </w:rPr>
            </w:pPr>
            <w:r>
              <w:rPr>
                <w:rFonts w:asciiTheme="majorHAnsi" w:hAnsiTheme="majorHAnsi" w:cstheme="majorHAnsi"/>
                <w:b/>
                <w:bCs/>
                <w:sz w:val="18"/>
                <w:szCs w:val="18"/>
              </w:rPr>
              <w:t>Sex</w:t>
            </w:r>
          </w:p>
          <w:p w14:paraId="058A3F70"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 xml:space="preserve">Male </w:t>
            </w:r>
          </w:p>
          <w:p w14:paraId="23B059C5"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 xml:space="preserve">Female </w:t>
            </w:r>
          </w:p>
        </w:tc>
        <w:tc>
          <w:tcPr>
            <w:tcW w:w="1610" w:type="dxa"/>
          </w:tcPr>
          <w:p w14:paraId="3F70A93E" w14:textId="77777777" w:rsidR="002259C9" w:rsidRDefault="002259C9" w:rsidP="000C0460">
            <w:pPr>
              <w:spacing w:line="480" w:lineRule="auto"/>
              <w:rPr>
                <w:rFonts w:asciiTheme="majorHAnsi" w:hAnsiTheme="majorHAnsi" w:cstheme="majorHAnsi"/>
                <w:sz w:val="18"/>
                <w:szCs w:val="18"/>
              </w:rPr>
            </w:pPr>
            <w:r w:rsidRPr="00095896">
              <w:rPr>
                <w:rFonts w:asciiTheme="majorHAnsi" w:hAnsiTheme="majorHAnsi" w:cstheme="majorHAnsi"/>
                <w:sz w:val="18"/>
                <w:szCs w:val="18"/>
              </w:rPr>
              <w:t xml:space="preserve">                 </w:t>
            </w:r>
          </w:p>
          <w:p w14:paraId="60197EB9"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597</w:t>
            </w:r>
          </w:p>
          <w:p w14:paraId="4D1F58D2" w14:textId="77777777" w:rsidR="002259C9" w:rsidRPr="00095896" w:rsidRDefault="002259C9" w:rsidP="000C0460">
            <w:pPr>
              <w:spacing w:line="480" w:lineRule="auto"/>
              <w:rPr>
                <w:rFonts w:asciiTheme="majorHAnsi" w:hAnsiTheme="majorHAnsi" w:cstheme="majorHAnsi"/>
                <w:sz w:val="18"/>
                <w:szCs w:val="18"/>
              </w:rPr>
            </w:pPr>
            <w:r w:rsidRPr="00095896">
              <w:rPr>
                <w:rFonts w:asciiTheme="majorHAnsi" w:hAnsiTheme="majorHAnsi" w:cstheme="majorHAnsi"/>
                <w:sz w:val="18"/>
                <w:szCs w:val="18"/>
              </w:rPr>
              <w:t xml:space="preserve"> </w:t>
            </w:r>
            <w:r>
              <w:rPr>
                <w:rFonts w:asciiTheme="majorHAnsi" w:hAnsiTheme="majorHAnsi" w:cstheme="majorHAnsi"/>
                <w:sz w:val="18"/>
                <w:szCs w:val="18"/>
              </w:rPr>
              <w:t xml:space="preserve">                          456</w:t>
            </w:r>
            <w:r w:rsidRPr="00095896">
              <w:rPr>
                <w:rFonts w:asciiTheme="majorHAnsi" w:hAnsiTheme="majorHAnsi" w:cstheme="majorHAnsi"/>
                <w:sz w:val="18"/>
                <w:szCs w:val="18"/>
              </w:rPr>
              <w:t xml:space="preserve">                      </w:t>
            </w:r>
          </w:p>
        </w:tc>
        <w:tc>
          <w:tcPr>
            <w:tcW w:w="1363" w:type="dxa"/>
          </w:tcPr>
          <w:p w14:paraId="469F536B" w14:textId="77777777" w:rsidR="002259C9" w:rsidRPr="00095896" w:rsidRDefault="002259C9" w:rsidP="000C0460">
            <w:pPr>
              <w:spacing w:line="480" w:lineRule="auto"/>
              <w:rPr>
                <w:rFonts w:asciiTheme="majorHAnsi" w:hAnsiTheme="majorHAnsi" w:cstheme="majorHAnsi"/>
                <w:sz w:val="18"/>
                <w:szCs w:val="18"/>
              </w:rPr>
            </w:pPr>
          </w:p>
          <w:p w14:paraId="6950159F" w14:textId="4B4ED05A" w:rsidR="002259C9" w:rsidRPr="00095896" w:rsidRDefault="002259C9" w:rsidP="000C0460">
            <w:pPr>
              <w:spacing w:line="480" w:lineRule="auto"/>
              <w:rPr>
                <w:rFonts w:asciiTheme="majorHAnsi" w:hAnsiTheme="majorHAnsi" w:cstheme="majorHAnsi"/>
                <w:sz w:val="18"/>
                <w:szCs w:val="18"/>
              </w:rPr>
            </w:pPr>
            <w:r w:rsidRPr="00095896">
              <w:rPr>
                <w:rFonts w:asciiTheme="majorHAnsi" w:hAnsiTheme="majorHAnsi" w:cstheme="majorHAnsi"/>
                <w:sz w:val="18"/>
                <w:szCs w:val="18"/>
              </w:rPr>
              <w:t>(5</w:t>
            </w:r>
            <w:r w:rsidR="00E43EAA">
              <w:rPr>
                <w:rFonts w:asciiTheme="majorHAnsi" w:hAnsiTheme="majorHAnsi" w:cstheme="majorHAnsi"/>
                <w:sz w:val="18"/>
                <w:szCs w:val="18"/>
              </w:rPr>
              <w:t>6·7</w:t>
            </w:r>
            <w:r w:rsidRPr="00095896">
              <w:rPr>
                <w:rFonts w:asciiTheme="majorHAnsi" w:hAnsiTheme="majorHAnsi" w:cstheme="majorHAnsi"/>
                <w:sz w:val="18"/>
                <w:szCs w:val="18"/>
              </w:rPr>
              <w:t>)</w:t>
            </w:r>
          </w:p>
          <w:p w14:paraId="405A683A" w14:textId="28714EFC" w:rsidR="002259C9" w:rsidRPr="00095896" w:rsidRDefault="00E43EAA" w:rsidP="000C0460">
            <w:pPr>
              <w:spacing w:line="480" w:lineRule="auto"/>
              <w:rPr>
                <w:rFonts w:asciiTheme="majorHAnsi" w:hAnsiTheme="majorHAnsi" w:cstheme="majorHAnsi"/>
                <w:sz w:val="18"/>
                <w:szCs w:val="18"/>
              </w:rPr>
            </w:pPr>
            <w:r>
              <w:rPr>
                <w:rFonts w:asciiTheme="majorHAnsi" w:hAnsiTheme="majorHAnsi" w:cstheme="majorHAnsi"/>
                <w:sz w:val="18"/>
                <w:szCs w:val="18"/>
              </w:rPr>
              <w:t>(43·3</w:t>
            </w:r>
            <w:r w:rsidR="002259C9" w:rsidRPr="00095896">
              <w:rPr>
                <w:rFonts w:asciiTheme="majorHAnsi" w:hAnsiTheme="majorHAnsi" w:cstheme="majorHAnsi"/>
                <w:sz w:val="18"/>
                <w:szCs w:val="18"/>
              </w:rPr>
              <w:t>)</w:t>
            </w:r>
          </w:p>
        </w:tc>
        <w:tc>
          <w:tcPr>
            <w:tcW w:w="1351" w:type="dxa"/>
          </w:tcPr>
          <w:p w14:paraId="675D4F63" w14:textId="77777777" w:rsidR="002259C9" w:rsidRPr="002B558E" w:rsidRDefault="002259C9" w:rsidP="000C0460">
            <w:pPr>
              <w:spacing w:line="480" w:lineRule="auto"/>
              <w:rPr>
                <w:rFonts w:asciiTheme="majorHAnsi" w:hAnsiTheme="majorHAnsi" w:cstheme="majorHAnsi"/>
                <w:sz w:val="18"/>
                <w:szCs w:val="18"/>
                <w:highlight w:val="yellow"/>
              </w:rPr>
            </w:pPr>
            <w:r w:rsidRPr="002B558E">
              <w:rPr>
                <w:rFonts w:asciiTheme="majorHAnsi" w:hAnsiTheme="majorHAnsi" w:cstheme="majorHAnsi"/>
                <w:sz w:val="18"/>
                <w:szCs w:val="18"/>
                <w:highlight w:val="yellow"/>
              </w:rPr>
              <w:t xml:space="preserve">     </w:t>
            </w:r>
          </w:p>
          <w:p w14:paraId="01BB6C66" w14:textId="77777777" w:rsidR="002259C9" w:rsidRPr="007A00D0"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53/597</w:t>
            </w:r>
            <w:r w:rsidRPr="007A00D0">
              <w:rPr>
                <w:rFonts w:asciiTheme="majorHAnsi" w:hAnsiTheme="majorHAnsi" w:cstheme="majorHAnsi"/>
                <w:sz w:val="18"/>
                <w:szCs w:val="18"/>
              </w:rPr>
              <w:t xml:space="preserve">        </w:t>
            </w:r>
          </w:p>
          <w:p w14:paraId="0E3A39F5" w14:textId="77777777" w:rsidR="002259C9" w:rsidRPr="002B558E" w:rsidRDefault="002259C9" w:rsidP="000C0460">
            <w:pPr>
              <w:spacing w:line="480" w:lineRule="auto"/>
              <w:jc w:val="right"/>
              <w:rPr>
                <w:rFonts w:asciiTheme="majorHAnsi" w:hAnsiTheme="majorHAnsi" w:cstheme="majorHAnsi"/>
                <w:sz w:val="18"/>
                <w:szCs w:val="18"/>
                <w:highlight w:val="yellow"/>
              </w:rPr>
            </w:pPr>
            <w:r w:rsidRPr="007A00D0">
              <w:rPr>
                <w:rFonts w:asciiTheme="majorHAnsi" w:hAnsiTheme="majorHAnsi" w:cstheme="majorHAnsi"/>
                <w:sz w:val="18"/>
                <w:szCs w:val="18"/>
              </w:rPr>
              <w:t xml:space="preserve">          </w:t>
            </w:r>
            <w:r>
              <w:rPr>
                <w:rFonts w:asciiTheme="majorHAnsi" w:hAnsiTheme="majorHAnsi" w:cstheme="majorHAnsi"/>
                <w:sz w:val="18"/>
                <w:szCs w:val="18"/>
              </w:rPr>
              <w:t>65</w:t>
            </w:r>
            <w:r w:rsidRPr="007A00D0">
              <w:rPr>
                <w:rFonts w:asciiTheme="majorHAnsi" w:hAnsiTheme="majorHAnsi" w:cstheme="majorHAnsi"/>
                <w:sz w:val="18"/>
                <w:szCs w:val="18"/>
              </w:rPr>
              <w:t>/</w:t>
            </w:r>
            <w:r>
              <w:rPr>
                <w:rFonts w:asciiTheme="majorHAnsi" w:hAnsiTheme="majorHAnsi" w:cstheme="majorHAnsi"/>
                <w:sz w:val="18"/>
                <w:szCs w:val="18"/>
              </w:rPr>
              <w:t>456</w:t>
            </w:r>
            <w:r w:rsidRPr="007A00D0">
              <w:rPr>
                <w:rFonts w:asciiTheme="majorHAnsi" w:hAnsiTheme="majorHAnsi" w:cstheme="majorHAnsi"/>
                <w:sz w:val="18"/>
                <w:szCs w:val="18"/>
              </w:rPr>
              <w:t xml:space="preserve">                            </w:t>
            </w:r>
          </w:p>
        </w:tc>
        <w:tc>
          <w:tcPr>
            <w:tcW w:w="1253" w:type="dxa"/>
          </w:tcPr>
          <w:p w14:paraId="6ACE289F" w14:textId="77777777" w:rsidR="002259C9" w:rsidRPr="00F47D1D" w:rsidRDefault="002259C9" w:rsidP="000C0460">
            <w:pPr>
              <w:spacing w:line="480" w:lineRule="auto"/>
              <w:rPr>
                <w:rFonts w:asciiTheme="majorHAnsi" w:hAnsiTheme="majorHAnsi" w:cstheme="majorHAnsi"/>
                <w:sz w:val="18"/>
                <w:szCs w:val="18"/>
              </w:rPr>
            </w:pPr>
          </w:p>
          <w:p w14:paraId="01F94A96" w14:textId="77777777" w:rsidR="002259C9" w:rsidRPr="00F47D1D"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(8.9</w:t>
            </w:r>
            <w:r w:rsidRPr="00F47D1D">
              <w:rPr>
                <w:rFonts w:asciiTheme="majorHAnsi" w:hAnsiTheme="majorHAnsi" w:cstheme="majorHAnsi"/>
                <w:sz w:val="18"/>
                <w:szCs w:val="18"/>
              </w:rPr>
              <w:t>)</w:t>
            </w:r>
          </w:p>
          <w:p w14:paraId="53AF027B" w14:textId="4C5E98F4" w:rsidR="002259C9" w:rsidRPr="00F47D1D" w:rsidRDefault="002259C9" w:rsidP="000C0460">
            <w:pPr>
              <w:spacing w:line="480" w:lineRule="auto"/>
              <w:rPr>
                <w:rFonts w:asciiTheme="majorHAnsi" w:hAnsiTheme="majorHAnsi" w:cstheme="majorHAnsi"/>
                <w:sz w:val="18"/>
                <w:szCs w:val="18"/>
              </w:rPr>
            </w:pPr>
            <w:r w:rsidRPr="00F47D1D">
              <w:rPr>
                <w:rFonts w:asciiTheme="majorHAnsi" w:hAnsiTheme="majorHAnsi" w:cstheme="majorHAnsi"/>
                <w:sz w:val="18"/>
                <w:szCs w:val="18"/>
              </w:rPr>
              <w:t>(14·</w:t>
            </w:r>
            <w:r w:rsidR="00521F5A">
              <w:rPr>
                <w:rFonts w:asciiTheme="majorHAnsi" w:hAnsiTheme="majorHAnsi" w:cstheme="majorHAnsi"/>
                <w:sz w:val="18"/>
                <w:szCs w:val="18"/>
              </w:rPr>
              <w:t>3</w:t>
            </w:r>
            <w:r w:rsidRPr="00F47D1D">
              <w:rPr>
                <w:rFonts w:asciiTheme="majorHAnsi" w:hAnsiTheme="majorHAnsi" w:cstheme="majorHAnsi"/>
                <w:sz w:val="18"/>
                <w:szCs w:val="18"/>
              </w:rPr>
              <w:t>)</w:t>
            </w:r>
          </w:p>
        </w:tc>
      </w:tr>
      <w:tr w:rsidR="002259C9" w:rsidRPr="00DF3492" w14:paraId="111E73AB" w14:textId="77777777" w:rsidTr="0082666E">
        <w:tc>
          <w:tcPr>
            <w:tcW w:w="4004" w:type="dxa"/>
            <w:tcBorders>
              <w:top w:val="single" w:sz="4" w:space="0" w:color="auto"/>
              <w:bottom w:val="single" w:sz="4" w:space="0" w:color="auto"/>
            </w:tcBorders>
          </w:tcPr>
          <w:p w14:paraId="0197D148" w14:textId="77777777" w:rsidR="002259C9" w:rsidRPr="00DF3492" w:rsidRDefault="002259C9" w:rsidP="000C0460">
            <w:pPr>
              <w:spacing w:line="480" w:lineRule="auto"/>
              <w:rPr>
                <w:rFonts w:asciiTheme="majorHAnsi" w:hAnsiTheme="majorHAnsi" w:cstheme="majorHAnsi"/>
                <w:b/>
                <w:sz w:val="18"/>
                <w:szCs w:val="18"/>
              </w:rPr>
            </w:pPr>
            <w:r>
              <w:rPr>
                <w:rFonts w:asciiTheme="majorHAnsi" w:hAnsiTheme="majorHAnsi" w:cstheme="majorHAnsi"/>
                <w:b/>
                <w:sz w:val="18"/>
                <w:szCs w:val="18"/>
              </w:rPr>
              <w:t>CD4 count at IGRA testing (</w:t>
            </w:r>
            <w:r w:rsidRPr="00DF3492">
              <w:rPr>
                <w:rFonts w:asciiTheme="majorHAnsi" w:hAnsiTheme="majorHAnsi" w:cstheme="majorHAnsi"/>
                <w:b/>
                <w:sz w:val="18"/>
                <w:szCs w:val="18"/>
              </w:rPr>
              <w:t>cells/mm</w:t>
            </w:r>
            <w:r w:rsidRPr="00DF3492">
              <w:rPr>
                <w:rFonts w:asciiTheme="majorHAnsi" w:hAnsiTheme="majorHAnsi" w:cstheme="majorHAnsi"/>
                <w:b/>
                <w:sz w:val="18"/>
                <w:szCs w:val="18"/>
                <w:vertAlign w:val="superscript"/>
              </w:rPr>
              <w:t>3</w:t>
            </w:r>
            <w:r w:rsidRPr="00DF3492">
              <w:rPr>
                <w:rFonts w:asciiTheme="majorHAnsi" w:hAnsiTheme="majorHAnsi" w:cstheme="majorHAnsi"/>
                <w:b/>
                <w:sz w:val="18"/>
                <w:szCs w:val="18"/>
              </w:rPr>
              <w:t>)</w:t>
            </w:r>
          </w:p>
          <w:p w14:paraId="38445F3E" w14:textId="77777777" w:rsidR="002259C9" w:rsidRPr="00DF3492" w:rsidRDefault="002259C9" w:rsidP="000C0460">
            <w:pPr>
              <w:spacing w:line="480" w:lineRule="auto"/>
              <w:rPr>
                <w:rFonts w:asciiTheme="majorHAnsi" w:hAnsiTheme="majorHAnsi" w:cstheme="majorHAnsi"/>
                <w:sz w:val="18"/>
                <w:szCs w:val="18"/>
              </w:rPr>
            </w:pPr>
            <w:r w:rsidRPr="00DF3492">
              <w:rPr>
                <w:rFonts w:asciiTheme="majorHAnsi" w:hAnsiTheme="majorHAnsi" w:cstheme="majorHAnsi"/>
                <w:sz w:val="18"/>
                <w:szCs w:val="18"/>
              </w:rPr>
              <w:t>Median (IQR)</w:t>
            </w:r>
          </w:p>
          <w:p w14:paraId="3206AE2F" w14:textId="77777777" w:rsidR="002259C9" w:rsidRPr="00DF3492" w:rsidRDefault="002259C9" w:rsidP="000C0460">
            <w:pPr>
              <w:spacing w:line="480" w:lineRule="auto"/>
              <w:rPr>
                <w:rFonts w:asciiTheme="majorHAnsi" w:hAnsiTheme="majorHAnsi" w:cstheme="majorHAnsi"/>
                <w:sz w:val="18"/>
                <w:szCs w:val="18"/>
              </w:rPr>
            </w:pPr>
            <w:r w:rsidRPr="00DF3492">
              <w:rPr>
                <w:rFonts w:asciiTheme="majorHAnsi" w:hAnsiTheme="majorHAnsi" w:cstheme="majorHAnsi"/>
                <w:sz w:val="18"/>
                <w:szCs w:val="18"/>
              </w:rPr>
              <w:t>Range</w:t>
            </w:r>
          </w:p>
          <w:p w14:paraId="45550C27" w14:textId="77777777" w:rsidR="002259C9" w:rsidRDefault="002259C9" w:rsidP="000C0460">
            <w:pPr>
              <w:spacing w:line="480" w:lineRule="auto"/>
              <w:rPr>
                <w:rFonts w:asciiTheme="majorHAnsi" w:hAnsiTheme="majorHAnsi" w:cstheme="majorHAnsi"/>
                <w:sz w:val="18"/>
                <w:szCs w:val="18"/>
              </w:rPr>
            </w:pPr>
            <w:r w:rsidRPr="00E662EF">
              <w:rPr>
                <w:rFonts w:asciiTheme="majorHAnsi" w:hAnsiTheme="majorHAnsi" w:cstheme="majorHAnsi"/>
                <w:sz w:val="18"/>
                <w:szCs w:val="18"/>
                <w:u w:val="single"/>
              </w:rPr>
              <w:t>&lt;</w:t>
            </w:r>
            <w:r>
              <w:rPr>
                <w:rFonts w:asciiTheme="majorHAnsi" w:hAnsiTheme="majorHAnsi" w:cstheme="majorHAnsi"/>
                <w:sz w:val="18"/>
                <w:szCs w:val="18"/>
              </w:rPr>
              <w:t>200</w:t>
            </w:r>
          </w:p>
          <w:p w14:paraId="6AC00E28" w14:textId="77777777" w:rsidR="002259C9" w:rsidRPr="00DF3492" w:rsidRDefault="002259C9" w:rsidP="000C0460">
            <w:pPr>
              <w:spacing w:line="480" w:lineRule="auto"/>
              <w:rPr>
                <w:rFonts w:asciiTheme="majorHAnsi" w:hAnsiTheme="majorHAnsi" w:cstheme="majorHAnsi"/>
                <w:sz w:val="18"/>
                <w:szCs w:val="18"/>
              </w:rPr>
            </w:pPr>
            <w:r w:rsidRPr="00DF3492">
              <w:rPr>
                <w:rFonts w:asciiTheme="majorHAnsi" w:hAnsiTheme="majorHAnsi" w:cstheme="majorHAnsi"/>
                <w:sz w:val="18"/>
                <w:szCs w:val="18"/>
              </w:rPr>
              <w:t>20</w:t>
            </w:r>
            <w:r>
              <w:rPr>
                <w:rFonts w:asciiTheme="majorHAnsi" w:hAnsiTheme="majorHAnsi" w:cstheme="majorHAnsi"/>
                <w:sz w:val="18"/>
                <w:szCs w:val="18"/>
              </w:rPr>
              <w:t>1</w:t>
            </w:r>
            <w:r w:rsidRPr="00DF3492">
              <w:rPr>
                <w:rFonts w:asciiTheme="majorHAnsi" w:hAnsiTheme="majorHAnsi" w:cstheme="majorHAnsi"/>
                <w:sz w:val="18"/>
                <w:szCs w:val="18"/>
              </w:rPr>
              <w:t>-3</w:t>
            </w:r>
            <w:r>
              <w:rPr>
                <w:rFonts w:asciiTheme="majorHAnsi" w:hAnsiTheme="majorHAnsi" w:cstheme="majorHAnsi"/>
                <w:sz w:val="18"/>
                <w:szCs w:val="18"/>
              </w:rPr>
              <w:t>50</w:t>
            </w:r>
          </w:p>
          <w:p w14:paraId="64EBF423" w14:textId="77777777" w:rsidR="002259C9" w:rsidRPr="00DF3492" w:rsidRDefault="002259C9" w:rsidP="000C0460">
            <w:pPr>
              <w:spacing w:line="480" w:lineRule="auto"/>
              <w:rPr>
                <w:rFonts w:asciiTheme="majorHAnsi" w:hAnsiTheme="majorHAnsi" w:cstheme="majorHAnsi"/>
                <w:sz w:val="18"/>
                <w:szCs w:val="18"/>
              </w:rPr>
            </w:pPr>
            <w:r w:rsidRPr="00DF3492">
              <w:rPr>
                <w:rFonts w:asciiTheme="majorHAnsi" w:hAnsiTheme="majorHAnsi" w:cstheme="majorHAnsi"/>
                <w:sz w:val="18"/>
                <w:szCs w:val="18"/>
              </w:rPr>
              <w:t>35</w:t>
            </w:r>
            <w:r>
              <w:rPr>
                <w:rFonts w:asciiTheme="majorHAnsi" w:hAnsiTheme="majorHAnsi" w:cstheme="majorHAnsi"/>
                <w:sz w:val="18"/>
                <w:szCs w:val="18"/>
              </w:rPr>
              <w:t>1</w:t>
            </w:r>
            <w:r w:rsidRPr="00DF3492">
              <w:rPr>
                <w:rFonts w:asciiTheme="majorHAnsi" w:hAnsiTheme="majorHAnsi" w:cstheme="majorHAnsi"/>
                <w:sz w:val="18"/>
                <w:szCs w:val="18"/>
              </w:rPr>
              <w:t>-</w:t>
            </w:r>
            <w:r>
              <w:rPr>
                <w:rFonts w:asciiTheme="majorHAnsi" w:hAnsiTheme="majorHAnsi" w:cstheme="majorHAnsi"/>
                <w:sz w:val="18"/>
                <w:szCs w:val="18"/>
              </w:rPr>
              <w:t>500</w:t>
            </w:r>
          </w:p>
          <w:p w14:paraId="4B01DA3A" w14:textId="77777777" w:rsidR="002259C9" w:rsidRPr="00DF349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&gt;500</w:t>
            </w:r>
          </w:p>
        </w:tc>
        <w:tc>
          <w:tcPr>
            <w:tcW w:w="1610" w:type="dxa"/>
            <w:tcBorders>
              <w:top w:val="single" w:sz="4" w:space="0" w:color="auto"/>
              <w:bottom w:val="single" w:sz="4" w:space="0" w:color="auto"/>
            </w:tcBorders>
          </w:tcPr>
          <w:p w14:paraId="211DB20C" w14:textId="77777777" w:rsidR="002259C9" w:rsidRDefault="002259C9" w:rsidP="000C0460">
            <w:pPr>
              <w:spacing w:line="480" w:lineRule="auto"/>
              <w:jc w:val="right"/>
              <w:rPr>
                <w:rFonts w:asciiTheme="majorHAnsi" w:hAnsiTheme="majorHAnsi" w:cstheme="majorHAnsi"/>
                <w:sz w:val="18"/>
                <w:szCs w:val="18"/>
              </w:rPr>
            </w:pPr>
            <w:r w:rsidRPr="0057198F">
              <w:rPr>
                <w:rFonts w:asciiTheme="majorHAnsi" w:hAnsiTheme="majorHAnsi" w:cstheme="majorHAnsi"/>
                <w:sz w:val="18"/>
                <w:szCs w:val="18"/>
              </w:rPr>
              <w:t xml:space="preserve">                   </w:t>
            </w:r>
          </w:p>
          <w:p w14:paraId="0B443B12"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530</w:t>
            </w:r>
            <w:r w:rsidRPr="0057198F">
              <w:rPr>
                <w:rFonts w:asciiTheme="majorHAnsi" w:hAnsiTheme="majorHAnsi" w:cstheme="majorHAnsi"/>
                <w:sz w:val="18"/>
                <w:szCs w:val="18"/>
              </w:rPr>
              <w:t xml:space="preserve">                      </w:t>
            </w:r>
          </w:p>
          <w:p w14:paraId="539AEAAB"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w:t>
            </w:r>
            <w:r w:rsidRPr="0057198F">
              <w:rPr>
                <w:rFonts w:asciiTheme="majorHAnsi" w:hAnsiTheme="majorHAnsi" w:cstheme="majorHAnsi"/>
                <w:sz w:val="18"/>
                <w:szCs w:val="18"/>
              </w:rPr>
              <w:t xml:space="preserve">0–2260            </w:t>
            </w:r>
          </w:p>
          <w:p w14:paraId="792986BF"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48</w:t>
            </w:r>
            <w:r w:rsidRPr="0057198F">
              <w:rPr>
                <w:rFonts w:asciiTheme="majorHAnsi" w:hAnsiTheme="majorHAnsi" w:cstheme="majorHAnsi"/>
                <w:sz w:val="18"/>
                <w:szCs w:val="18"/>
              </w:rPr>
              <w:t xml:space="preserve">                  </w:t>
            </w:r>
          </w:p>
          <w:p w14:paraId="49234B6A"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181</w:t>
            </w:r>
            <w:r w:rsidRPr="0057198F">
              <w:rPr>
                <w:rFonts w:asciiTheme="majorHAnsi" w:hAnsiTheme="majorHAnsi" w:cstheme="majorHAnsi"/>
                <w:sz w:val="18"/>
                <w:szCs w:val="18"/>
              </w:rPr>
              <w:t xml:space="preserve">               </w:t>
            </w:r>
          </w:p>
          <w:p w14:paraId="6A110F6D"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250</w:t>
            </w:r>
            <w:r w:rsidRPr="0057198F">
              <w:rPr>
                <w:rFonts w:asciiTheme="majorHAnsi" w:hAnsiTheme="majorHAnsi" w:cstheme="majorHAnsi"/>
                <w:sz w:val="18"/>
                <w:szCs w:val="18"/>
              </w:rPr>
              <w:t xml:space="preserve">                </w:t>
            </w:r>
          </w:p>
          <w:p w14:paraId="2B89B459" w14:textId="77777777" w:rsidR="002259C9" w:rsidRPr="0057198F"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574</w:t>
            </w:r>
            <w:r w:rsidRPr="0057198F">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5CD87573" w14:textId="77777777" w:rsidR="002259C9" w:rsidRPr="0057198F" w:rsidRDefault="002259C9" w:rsidP="000C0460">
            <w:pPr>
              <w:spacing w:line="480" w:lineRule="auto"/>
              <w:rPr>
                <w:rFonts w:asciiTheme="majorHAnsi" w:hAnsiTheme="majorHAnsi" w:cstheme="majorHAnsi"/>
                <w:sz w:val="18"/>
                <w:szCs w:val="18"/>
              </w:rPr>
            </w:pPr>
          </w:p>
          <w:p w14:paraId="771EA2AD" w14:textId="77777777" w:rsidR="002259C9" w:rsidRPr="0057198F"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(380–700</w:t>
            </w:r>
            <w:r w:rsidRPr="0057198F">
              <w:rPr>
                <w:rFonts w:asciiTheme="majorHAnsi" w:hAnsiTheme="majorHAnsi" w:cstheme="majorHAnsi"/>
                <w:sz w:val="18"/>
                <w:szCs w:val="18"/>
              </w:rPr>
              <w:t>)</w:t>
            </w:r>
          </w:p>
          <w:p w14:paraId="6D53C83F" w14:textId="77777777" w:rsidR="002259C9" w:rsidRPr="0057198F" w:rsidRDefault="002259C9" w:rsidP="000C0460">
            <w:pPr>
              <w:spacing w:line="480" w:lineRule="auto"/>
              <w:rPr>
                <w:rFonts w:asciiTheme="majorHAnsi" w:hAnsiTheme="majorHAnsi" w:cstheme="majorHAnsi"/>
                <w:sz w:val="18"/>
                <w:szCs w:val="18"/>
              </w:rPr>
            </w:pPr>
          </w:p>
          <w:p w14:paraId="42360D67" w14:textId="77777777" w:rsidR="002259C9" w:rsidRPr="0057198F" w:rsidRDefault="002259C9" w:rsidP="000C0460">
            <w:pPr>
              <w:spacing w:line="480" w:lineRule="auto"/>
              <w:rPr>
                <w:rFonts w:asciiTheme="majorHAnsi" w:hAnsiTheme="majorHAnsi" w:cstheme="majorHAnsi"/>
                <w:sz w:val="18"/>
                <w:szCs w:val="18"/>
              </w:rPr>
            </w:pPr>
            <w:r w:rsidRPr="0057198F">
              <w:rPr>
                <w:rFonts w:asciiTheme="majorHAnsi" w:hAnsiTheme="majorHAnsi" w:cstheme="majorHAnsi"/>
                <w:sz w:val="18"/>
                <w:szCs w:val="18"/>
              </w:rPr>
              <w:t>(</w:t>
            </w:r>
            <w:r>
              <w:rPr>
                <w:rFonts w:asciiTheme="majorHAnsi" w:hAnsiTheme="majorHAnsi" w:cstheme="majorHAnsi"/>
                <w:sz w:val="18"/>
                <w:szCs w:val="18"/>
              </w:rPr>
              <w:t>4.6</w:t>
            </w:r>
            <w:r w:rsidRPr="0057198F">
              <w:rPr>
                <w:rFonts w:asciiTheme="majorHAnsi" w:hAnsiTheme="majorHAnsi" w:cstheme="majorHAnsi"/>
                <w:sz w:val="18"/>
                <w:szCs w:val="18"/>
              </w:rPr>
              <w:t>)</w:t>
            </w:r>
          </w:p>
          <w:p w14:paraId="2EACED47" w14:textId="77777777" w:rsidR="002259C9" w:rsidRPr="0057198F"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(17.2</w:t>
            </w:r>
            <w:r w:rsidRPr="0057198F">
              <w:rPr>
                <w:rFonts w:asciiTheme="majorHAnsi" w:hAnsiTheme="majorHAnsi" w:cstheme="majorHAnsi"/>
                <w:sz w:val="18"/>
                <w:szCs w:val="18"/>
              </w:rPr>
              <w:t>)</w:t>
            </w:r>
          </w:p>
          <w:p w14:paraId="3B1793DC" w14:textId="77777777" w:rsidR="002259C9" w:rsidRPr="0057198F"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(23</w:t>
            </w:r>
            <w:r w:rsidRPr="0057198F">
              <w:rPr>
                <w:rFonts w:asciiTheme="majorHAnsi" w:hAnsiTheme="majorHAnsi" w:cstheme="majorHAnsi"/>
                <w:sz w:val="18"/>
                <w:szCs w:val="18"/>
              </w:rPr>
              <w:t>·7)</w:t>
            </w:r>
          </w:p>
          <w:p w14:paraId="12903B50" w14:textId="77777777" w:rsidR="002259C9" w:rsidRPr="0057198F" w:rsidRDefault="002259C9" w:rsidP="000C0460">
            <w:pPr>
              <w:spacing w:line="480" w:lineRule="auto"/>
              <w:rPr>
                <w:rFonts w:asciiTheme="majorHAnsi" w:hAnsiTheme="majorHAnsi" w:cstheme="majorHAnsi"/>
                <w:sz w:val="18"/>
                <w:szCs w:val="18"/>
              </w:rPr>
            </w:pPr>
            <w:r w:rsidRPr="0057198F">
              <w:rPr>
                <w:rFonts w:asciiTheme="majorHAnsi" w:hAnsiTheme="majorHAnsi" w:cstheme="majorHAnsi"/>
                <w:sz w:val="18"/>
                <w:szCs w:val="18"/>
              </w:rPr>
              <w:t>(5</w:t>
            </w:r>
            <w:r>
              <w:rPr>
                <w:rFonts w:asciiTheme="majorHAnsi" w:hAnsiTheme="majorHAnsi" w:cstheme="majorHAnsi"/>
                <w:sz w:val="18"/>
                <w:szCs w:val="18"/>
              </w:rPr>
              <w:t>4.5)</w:t>
            </w:r>
          </w:p>
        </w:tc>
        <w:tc>
          <w:tcPr>
            <w:tcW w:w="1351" w:type="dxa"/>
            <w:tcBorders>
              <w:top w:val="single" w:sz="4" w:space="0" w:color="auto"/>
              <w:bottom w:val="single" w:sz="4" w:space="0" w:color="auto"/>
            </w:tcBorders>
          </w:tcPr>
          <w:p w14:paraId="42401E1D" w14:textId="77777777" w:rsidR="002259C9" w:rsidRPr="005E1459" w:rsidRDefault="002259C9" w:rsidP="000C0460">
            <w:pPr>
              <w:spacing w:line="480" w:lineRule="auto"/>
              <w:jc w:val="right"/>
              <w:rPr>
                <w:rFonts w:asciiTheme="majorHAnsi" w:hAnsiTheme="majorHAnsi" w:cstheme="majorHAnsi"/>
                <w:sz w:val="18"/>
                <w:szCs w:val="18"/>
              </w:rPr>
            </w:pPr>
          </w:p>
          <w:p w14:paraId="30D02543" w14:textId="77777777" w:rsidR="002259C9" w:rsidRPr="005E1459" w:rsidRDefault="002259C9" w:rsidP="000C0460">
            <w:pPr>
              <w:spacing w:line="480" w:lineRule="auto"/>
              <w:jc w:val="right"/>
              <w:rPr>
                <w:rFonts w:asciiTheme="majorHAnsi" w:hAnsiTheme="majorHAnsi" w:cstheme="majorHAnsi"/>
                <w:sz w:val="18"/>
                <w:szCs w:val="18"/>
              </w:rPr>
            </w:pPr>
            <w:r w:rsidRPr="005E1459">
              <w:rPr>
                <w:rFonts w:asciiTheme="majorHAnsi" w:hAnsiTheme="majorHAnsi" w:cstheme="majorHAnsi"/>
                <w:sz w:val="18"/>
                <w:szCs w:val="18"/>
              </w:rPr>
              <w:t xml:space="preserve">              </w:t>
            </w:r>
            <w:r>
              <w:rPr>
                <w:rFonts w:asciiTheme="majorHAnsi" w:hAnsiTheme="majorHAnsi" w:cstheme="majorHAnsi"/>
                <w:sz w:val="18"/>
                <w:szCs w:val="18"/>
              </w:rPr>
              <w:t>545</w:t>
            </w:r>
            <w:r w:rsidRPr="005E1459">
              <w:rPr>
                <w:rFonts w:asciiTheme="majorHAnsi" w:hAnsiTheme="majorHAnsi" w:cstheme="majorHAnsi"/>
                <w:sz w:val="18"/>
                <w:szCs w:val="18"/>
              </w:rPr>
              <w:t xml:space="preserve">           </w:t>
            </w:r>
          </w:p>
          <w:p w14:paraId="3C32564E" w14:textId="77777777" w:rsidR="002259C9" w:rsidRPr="005E1459" w:rsidRDefault="002259C9" w:rsidP="000C0460">
            <w:pPr>
              <w:spacing w:line="480" w:lineRule="auto"/>
              <w:jc w:val="right"/>
              <w:rPr>
                <w:rFonts w:asciiTheme="majorHAnsi" w:hAnsiTheme="majorHAnsi" w:cstheme="majorHAnsi"/>
                <w:sz w:val="18"/>
                <w:szCs w:val="18"/>
              </w:rPr>
            </w:pPr>
            <w:r w:rsidRPr="005E1459">
              <w:rPr>
                <w:rFonts w:asciiTheme="majorHAnsi" w:hAnsiTheme="majorHAnsi" w:cstheme="majorHAnsi"/>
                <w:sz w:val="18"/>
                <w:szCs w:val="18"/>
              </w:rPr>
              <w:t xml:space="preserve">           90–1350     </w:t>
            </w:r>
          </w:p>
          <w:p w14:paraId="7225B571" w14:textId="77777777" w:rsidR="002259C9" w:rsidRPr="005E1459" w:rsidRDefault="002259C9" w:rsidP="000C0460">
            <w:pPr>
              <w:spacing w:line="480" w:lineRule="auto"/>
              <w:jc w:val="right"/>
              <w:rPr>
                <w:rFonts w:asciiTheme="majorHAnsi" w:hAnsiTheme="majorHAnsi" w:cstheme="majorHAnsi"/>
                <w:sz w:val="18"/>
                <w:szCs w:val="18"/>
              </w:rPr>
            </w:pPr>
            <w:r w:rsidRPr="005E1459">
              <w:rPr>
                <w:rFonts w:asciiTheme="majorHAnsi" w:hAnsiTheme="majorHAnsi" w:cstheme="majorHAnsi"/>
                <w:sz w:val="18"/>
                <w:szCs w:val="18"/>
              </w:rPr>
              <w:t xml:space="preserve">              </w:t>
            </w:r>
            <w:r>
              <w:rPr>
                <w:rFonts w:asciiTheme="majorHAnsi" w:hAnsiTheme="majorHAnsi" w:cstheme="majorHAnsi"/>
                <w:sz w:val="18"/>
                <w:szCs w:val="18"/>
              </w:rPr>
              <w:t>2/48</w:t>
            </w:r>
            <w:r w:rsidRPr="005E1459">
              <w:rPr>
                <w:rFonts w:asciiTheme="majorHAnsi" w:hAnsiTheme="majorHAnsi" w:cstheme="majorHAnsi"/>
                <w:sz w:val="18"/>
                <w:szCs w:val="18"/>
              </w:rPr>
              <w:t xml:space="preserve">                </w:t>
            </w:r>
          </w:p>
          <w:p w14:paraId="2BAE985A" w14:textId="77777777" w:rsidR="002259C9" w:rsidRPr="005E145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12/181</w:t>
            </w:r>
            <w:r w:rsidRPr="005E1459">
              <w:rPr>
                <w:rFonts w:asciiTheme="majorHAnsi" w:hAnsiTheme="majorHAnsi" w:cstheme="majorHAnsi"/>
                <w:sz w:val="18"/>
                <w:szCs w:val="18"/>
              </w:rPr>
              <w:t xml:space="preserve">              </w:t>
            </w:r>
            <w:r>
              <w:rPr>
                <w:rFonts w:asciiTheme="majorHAnsi" w:hAnsiTheme="majorHAnsi" w:cstheme="majorHAnsi"/>
                <w:sz w:val="18"/>
                <w:szCs w:val="18"/>
              </w:rPr>
              <w:t>36/250</w:t>
            </w:r>
            <w:r w:rsidRPr="005E1459">
              <w:rPr>
                <w:rFonts w:asciiTheme="majorHAnsi" w:hAnsiTheme="majorHAnsi" w:cstheme="majorHAnsi"/>
                <w:sz w:val="18"/>
                <w:szCs w:val="18"/>
              </w:rPr>
              <w:t xml:space="preserve">     </w:t>
            </w:r>
          </w:p>
          <w:p w14:paraId="6417888A" w14:textId="77777777" w:rsidR="002259C9" w:rsidRPr="005E145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68/574</w:t>
            </w:r>
            <w:r w:rsidRPr="005E1459">
              <w:rPr>
                <w:rFonts w:asciiTheme="majorHAnsi" w:hAnsiTheme="majorHAnsi" w:cstheme="majorHAnsi"/>
                <w:sz w:val="18"/>
                <w:szCs w:val="18"/>
              </w:rPr>
              <w:t xml:space="preserve">              </w:t>
            </w:r>
            <w:r>
              <w:rPr>
                <w:rFonts w:asciiTheme="majorHAnsi" w:hAnsiTheme="majorHAnsi" w:cstheme="majorHAnsi"/>
                <w:sz w:val="18"/>
                <w:szCs w:val="18"/>
              </w:rPr>
              <w:t xml:space="preserve">   </w:t>
            </w:r>
            <w:r w:rsidRPr="005E1459">
              <w:rPr>
                <w:rFonts w:asciiTheme="majorHAnsi" w:hAnsiTheme="majorHAnsi" w:cstheme="majorHAnsi"/>
                <w:sz w:val="18"/>
                <w:szCs w:val="18"/>
              </w:rPr>
              <w:t xml:space="preserve">           </w:t>
            </w:r>
          </w:p>
        </w:tc>
        <w:tc>
          <w:tcPr>
            <w:tcW w:w="1253" w:type="dxa"/>
            <w:tcBorders>
              <w:top w:val="single" w:sz="4" w:space="0" w:color="auto"/>
              <w:bottom w:val="single" w:sz="4" w:space="0" w:color="auto"/>
            </w:tcBorders>
          </w:tcPr>
          <w:p w14:paraId="75DDF9C9" w14:textId="77777777" w:rsidR="002259C9" w:rsidRPr="005E1459" w:rsidRDefault="002259C9" w:rsidP="000C0460">
            <w:pPr>
              <w:spacing w:line="480" w:lineRule="auto"/>
              <w:jc w:val="both"/>
              <w:rPr>
                <w:rFonts w:asciiTheme="majorHAnsi" w:hAnsiTheme="majorHAnsi" w:cstheme="majorHAnsi"/>
                <w:sz w:val="18"/>
                <w:szCs w:val="18"/>
              </w:rPr>
            </w:pPr>
          </w:p>
          <w:p w14:paraId="5FC48430" w14:textId="77777777" w:rsidR="002259C9" w:rsidRPr="005E145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(440</w:t>
            </w:r>
            <w:r w:rsidRPr="005E1459">
              <w:rPr>
                <w:rFonts w:asciiTheme="majorHAnsi" w:hAnsiTheme="majorHAnsi" w:cstheme="majorHAnsi"/>
                <w:sz w:val="18"/>
                <w:szCs w:val="18"/>
              </w:rPr>
              <w:t>–720)</w:t>
            </w:r>
          </w:p>
          <w:p w14:paraId="110FFC22" w14:textId="77777777" w:rsidR="002259C9" w:rsidRPr="005E1459" w:rsidRDefault="002259C9" w:rsidP="000C0460">
            <w:pPr>
              <w:spacing w:line="480" w:lineRule="auto"/>
              <w:jc w:val="both"/>
              <w:rPr>
                <w:rFonts w:asciiTheme="majorHAnsi" w:hAnsiTheme="majorHAnsi" w:cstheme="majorHAnsi"/>
                <w:sz w:val="18"/>
                <w:szCs w:val="18"/>
              </w:rPr>
            </w:pPr>
          </w:p>
          <w:p w14:paraId="2D485DE6" w14:textId="77777777" w:rsidR="002259C9" w:rsidRPr="005E1459" w:rsidRDefault="002259C9" w:rsidP="000C0460">
            <w:pPr>
              <w:spacing w:line="480" w:lineRule="auto"/>
              <w:jc w:val="both"/>
              <w:rPr>
                <w:rFonts w:asciiTheme="majorHAnsi" w:hAnsiTheme="majorHAnsi" w:cstheme="majorHAnsi"/>
                <w:sz w:val="18"/>
                <w:szCs w:val="18"/>
              </w:rPr>
            </w:pPr>
            <w:r w:rsidRPr="005E1459">
              <w:rPr>
                <w:rFonts w:asciiTheme="majorHAnsi" w:hAnsiTheme="majorHAnsi" w:cstheme="majorHAnsi"/>
                <w:sz w:val="18"/>
                <w:szCs w:val="18"/>
              </w:rPr>
              <w:t>(4·2)</w:t>
            </w:r>
          </w:p>
          <w:p w14:paraId="4C470736" w14:textId="77777777" w:rsidR="002259C9" w:rsidRPr="005E145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(6.6</w:t>
            </w:r>
            <w:r w:rsidRPr="005E1459">
              <w:rPr>
                <w:rFonts w:asciiTheme="majorHAnsi" w:hAnsiTheme="majorHAnsi" w:cstheme="majorHAnsi"/>
                <w:sz w:val="18"/>
                <w:szCs w:val="18"/>
              </w:rPr>
              <w:t>)</w:t>
            </w:r>
          </w:p>
          <w:p w14:paraId="5BEC8778" w14:textId="77777777" w:rsidR="002259C9" w:rsidRPr="005E1459"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(14</w:t>
            </w:r>
            <w:r w:rsidRPr="005E1459">
              <w:rPr>
                <w:rFonts w:asciiTheme="majorHAnsi" w:hAnsiTheme="majorHAnsi" w:cstheme="majorHAnsi"/>
                <w:sz w:val="18"/>
                <w:szCs w:val="18"/>
              </w:rPr>
              <w:t>·4)</w:t>
            </w:r>
          </w:p>
          <w:p w14:paraId="1C15F32B" w14:textId="77777777" w:rsidR="002259C9" w:rsidRPr="005E1459" w:rsidRDefault="002259C9" w:rsidP="000C0460">
            <w:pPr>
              <w:spacing w:line="480" w:lineRule="auto"/>
              <w:jc w:val="both"/>
              <w:rPr>
                <w:rFonts w:asciiTheme="majorHAnsi" w:hAnsiTheme="majorHAnsi" w:cstheme="majorHAnsi"/>
                <w:sz w:val="18"/>
                <w:szCs w:val="18"/>
              </w:rPr>
            </w:pPr>
            <w:r w:rsidRPr="005E1459">
              <w:rPr>
                <w:rFonts w:asciiTheme="majorHAnsi" w:hAnsiTheme="majorHAnsi" w:cstheme="majorHAnsi"/>
                <w:sz w:val="18"/>
                <w:szCs w:val="18"/>
              </w:rPr>
              <w:t>(1</w:t>
            </w:r>
            <w:r>
              <w:rPr>
                <w:rFonts w:asciiTheme="majorHAnsi" w:hAnsiTheme="majorHAnsi" w:cstheme="majorHAnsi"/>
                <w:sz w:val="18"/>
                <w:szCs w:val="18"/>
              </w:rPr>
              <w:t>1</w:t>
            </w:r>
            <w:r w:rsidRPr="005E1459">
              <w:rPr>
                <w:rFonts w:asciiTheme="majorHAnsi" w:hAnsiTheme="majorHAnsi" w:cstheme="majorHAnsi"/>
                <w:sz w:val="18"/>
                <w:szCs w:val="18"/>
              </w:rPr>
              <w:t>·</w:t>
            </w:r>
            <w:r>
              <w:rPr>
                <w:rFonts w:asciiTheme="majorHAnsi" w:hAnsiTheme="majorHAnsi" w:cstheme="majorHAnsi"/>
                <w:sz w:val="18"/>
                <w:szCs w:val="18"/>
              </w:rPr>
              <w:t>8)</w:t>
            </w:r>
          </w:p>
        </w:tc>
      </w:tr>
      <w:tr w:rsidR="002259C9" w:rsidRPr="00DF3492" w14:paraId="3D7287FA" w14:textId="77777777" w:rsidTr="0082666E">
        <w:tc>
          <w:tcPr>
            <w:tcW w:w="4004" w:type="dxa"/>
            <w:tcBorders>
              <w:top w:val="single" w:sz="4" w:space="0" w:color="auto"/>
              <w:bottom w:val="single" w:sz="4" w:space="0" w:color="auto"/>
            </w:tcBorders>
          </w:tcPr>
          <w:p w14:paraId="58481FB1"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lastRenderedPageBreak/>
              <w:t>Ethnicity</w:t>
            </w:r>
          </w:p>
          <w:p w14:paraId="61F4A875"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Black African</w:t>
            </w:r>
          </w:p>
          <w:p w14:paraId="01EF8492"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South Asian</w:t>
            </w:r>
          </w:p>
          <w:p w14:paraId="5CBD9660"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White</w:t>
            </w:r>
          </w:p>
          <w:p w14:paraId="703EC9B3"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Mixed</w:t>
            </w:r>
          </w:p>
          <w:p w14:paraId="33CCCD4B"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Black Caribbean</w:t>
            </w:r>
          </w:p>
          <w:p w14:paraId="52EC7410"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Black Other</w:t>
            </w:r>
          </w:p>
          <w:p w14:paraId="542D5E08"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Other</w:t>
            </w:r>
          </w:p>
          <w:p w14:paraId="6B7D3909"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Unknown</w:t>
            </w:r>
          </w:p>
        </w:tc>
        <w:tc>
          <w:tcPr>
            <w:tcW w:w="1610" w:type="dxa"/>
            <w:tcBorders>
              <w:top w:val="single" w:sz="4" w:space="0" w:color="auto"/>
              <w:bottom w:val="single" w:sz="4" w:space="0" w:color="auto"/>
            </w:tcBorders>
          </w:tcPr>
          <w:p w14:paraId="3E021032" w14:textId="77777777" w:rsidR="002259C9" w:rsidRPr="005E7AE9" w:rsidRDefault="002259C9" w:rsidP="000C0460">
            <w:pPr>
              <w:spacing w:line="480" w:lineRule="auto"/>
              <w:jc w:val="right"/>
              <w:rPr>
                <w:rFonts w:asciiTheme="majorHAnsi" w:hAnsiTheme="majorHAnsi" w:cstheme="majorHAnsi"/>
                <w:sz w:val="18"/>
                <w:szCs w:val="18"/>
              </w:rPr>
            </w:pPr>
            <w:r w:rsidRPr="005E7AE9">
              <w:rPr>
                <w:rFonts w:asciiTheme="majorHAnsi" w:hAnsiTheme="majorHAnsi" w:cstheme="majorHAnsi"/>
                <w:sz w:val="18"/>
                <w:szCs w:val="18"/>
              </w:rPr>
              <w:t xml:space="preserve">                                          </w:t>
            </w:r>
            <w:r>
              <w:rPr>
                <w:rFonts w:asciiTheme="majorHAnsi" w:hAnsiTheme="majorHAnsi" w:cstheme="majorHAnsi"/>
                <w:sz w:val="18"/>
                <w:szCs w:val="18"/>
              </w:rPr>
              <w:t>498</w:t>
            </w:r>
            <w:r w:rsidRPr="005E7AE9">
              <w:rPr>
                <w:rFonts w:asciiTheme="majorHAnsi" w:hAnsiTheme="majorHAnsi" w:cstheme="majorHAnsi"/>
                <w:sz w:val="18"/>
                <w:szCs w:val="18"/>
              </w:rPr>
              <w:t xml:space="preserve">             </w:t>
            </w:r>
          </w:p>
          <w:p w14:paraId="703426CD" w14:textId="77777777" w:rsidR="002259C9" w:rsidRPr="005E7AE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94</w:t>
            </w:r>
            <w:r w:rsidRPr="005E7AE9">
              <w:rPr>
                <w:rFonts w:asciiTheme="majorHAnsi" w:hAnsiTheme="majorHAnsi" w:cstheme="majorHAnsi"/>
                <w:sz w:val="18"/>
                <w:szCs w:val="18"/>
              </w:rPr>
              <w:t xml:space="preserve">                    </w:t>
            </w:r>
          </w:p>
          <w:p w14:paraId="1BC1821B" w14:textId="77777777" w:rsidR="002259C9" w:rsidRPr="005E7AE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388</w:t>
            </w:r>
            <w:r w:rsidRPr="005E7AE9">
              <w:rPr>
                <w:rFonts w:asciiTheme="majorHAnsi" w:hAnsiTheme="majorHAnsi" w:cstheme="majorHAnsi"/>
                <w:sz w:val="18"/>
                <w:szCs w:val="18"/>
              </w:rPr>
              <w:t xml:space="preserve">             </w:t>
            </w:r>
          </w:p>
          <w:p w14:paraId="69A9148E" w14:textId="77777777" w:rsidR="002259C9" w:rsidRPr="005E7AE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16</w:t>
            </w:r>
            <w:r w:rsidRPr="005E7AE9">
              <w:rPr>
                <w:rFonts w:asciiTheme="majorHAnsi" w:hAnsiTheme="majorHAnsi" w:cstheme="majorHAnsi"/>
                <w:sz w:val="18"/>
                <w:szCs w:val="18"/>
              </w:rPr>
              <w:t xml:space="preserve">               </w:t>
            </w:r>
          </w:p>
          <w:p w14:paraId="1686881F" w14:textId="77777777" w:rsidR="002259C9" w:rsidRPr="005E7AE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14</w:t>
            </w:r>
            <w:r w:rsidRPr="005E7AE9">
              <w:rPr>
                <w:rFonts w:asciiTheme="majorHAnsi" w:hAnsiTheme="majorHAnsi" w:cstheme="majorHAnsi"/>
                <w:sz w:val="18"/>
                <w:szCs w:val="18"/>
              </w:rPr>
              <w:t xml:space="preserve">               </w:t>
            </w:r>
          </w:p>
          <w:p w14:paraId="4220BC64" w14:textId="77777777" w:rsidR="002259C9" w:rsidRPr="005E7AE9" w:rsidRDefault="002259C9" w:rsidP="000C0460">
            <w:pPr>
              <w:spacing w:line="480" w:lineRule="auto"/>
              <w:jc w:val="right"/>
              <w:rPr>
                <w:rFonts w:asciiTheme="majorHAnsi" w:hAnsiTheme="majorHAnsi" w:cstheme="majorHAnsi"/>
                <w:sz w:val="18"/>
                <w:szCs w:val="18"/>
              </w:rPr>
            </w:pPr>
            <w:r w:rsidRPr="005E7AE9">
              <w:rPr>
                <w:rFonts w:asciiTheme="majorHAnsi" w:hAnsiTheme="majorHAnsi" w:cstheme="majorHAnsi"/>
                <w:sz w:val="18"/>
                <w:szCs w:val="18"/>
              </w:rPr>
              <w:t xml:space="preserve">10               </w:t>
            </w:r>
          </w:p>
          <w:p w14:paraId="7CE82BD4" w14:textId="77777777" w:rsidR="002259C9" w:rsidRPr="005E7AE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32</w:t>
            </w:r>
          </w:p>
          <w:p w14:paraId="71E66C9B" w14:textId="77777777" w:rsidR="002259C9" w:rsidRPr="005E7AE9" w:rsidRDefault="002259C9" w:rsidP="000C0460">
            <w:pPr>
              <w:spacing w:line="480" w:lineRule="auto"/>
              <w:jc w:val="right"/>
              <w:rPr>
                <w:rFonts w:asciiTheme="majorHAnsi" w:hAnsiTheme="majorHAnsi" w:cstheme="majorHAnsi"/>
                <w:sz w:val="18"/>
                <w:szCs w:val="18"/>
              </w:rPr>
            </w:pPr>
            <w:r w:rsidRPr="005E7AE9">
              <w:rPr>
                <w:rFonts w:asciiTheme="majorHAnsi" w:hAnsiTheme="majorHAnsi" w:cstheme="majorHAnsi"/>
                <w:sz w:val="18"/>
                <w:szCs w:val="18"/>
              </w:rPr>
              <w:t xml:space="preserve">1       </w:t>
            </w:r>
          </w:p>
        </w:tc>
        <w:tc>
          <w:tcPr>
            <w:tcW w:w="1363" w:type="dxa"/>
            <w:tcBorders>
              <w:top w:val="single" w:sz="4" w:space="0" w:color="auto"/>
              <w:bottom w:val="single" w:sz="4" w:space="0" w:color="auto"/>
            </w:tcBorders>
          </w:tcPr>
          <w:p w14:paraId="2FE17B9B" w14:textId="77777777" w:rsidR="002259C9" w:rsidRPr="005E7AE9" w:rsidRDefault="002259C9" w:rsidP="000C0460">
            <w:pPr>
              <w:spacing w:line="480" w:lineRule="auto"/>
              <w:rPr>
                <w:rFonts w:asciiTheme="majorHAnsi" w:hAnsiTheme="majorHAnsi" w:cstheme="majorHAnsi"/>
                <w:sz w:val="18"/>
                <w:szCs w:val="18"/>
              </w:rPr>
            </w:pPr>
          </w:p>
          <w:p w14:paraId="784FC88A" w14:textId="77777777" w:rsidR="002259C9" w:rsidRPr="005E7AE9"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(47.3</w:t>
            </w:r>
            <w:r w:rsidRPr="005E7AE9">
              <w:rPr>
                <w:rFonts w:asciiTheme="majorHAnsi" w:hAnsiTheme="majorHAnsi" w:cstheme="majorHAnsi"/>
                <w:sz w:val="18"/>
                <w:szCs w:val="18"/>
              </w:rPr>
              <w:t>)</w:t>
            </w:r>
          </w:p>
          <w:p w14:paraId="27CD512B" w14:textId="77777777" w:rsidR="002259C9" w:rsidRPr="005E7AE9" w:rsidRDefault="002259C9" w:rsidP="000C0460">
            <w:pPr>
              <w:spacing w:line="480" w:lineRule="auto"/>
              <w:rPr>
                <w:rFonts w:asciiTheme="majorHAnsi" w:hAnsiTheme="majorHAnsi" w:cstheme="majorHAnsi"/>
                <w:sz w:val="18"/>
                <w:szCs w:val="18"/>
              </w:rPr>
            </w:pPr>
            <w:r w:rsidRPr="005E7AE9">
              <w:rPr>
                <w:rFonts w:asciiTheme="majorHAnsi" w:hAnsiTheme="majorHAnsi" w:cstheme="majorHAnsi"/>
                <w:sz w:val="18"/>
                <w:szCs w:val="18"/>
              </w:rPr>
              <w:t>(</w:t>
            </w:r>
            <w:r>
              <w:rPr>
                <w:rFonts w:asciiTheme="majorHAnsi" w:hAnsiTheme="majorHAnsi" w:cstheme="majorHAnsi"/>
                <w:sz w:val="18"/>
                <w:szCs w:val="18"/>
              </w:rPr>
              <w:t>8.9</w:t>
            </w:r>
            <w:r w:rsidRPr="005E7AE9">
              <w:rPr>
                <w:rFonts w:asciiTheme="majorHAnsi" w:hAnsiTheme="majorHAnsi" w:cstheme="majorHAnsi"/>
                <w:sz w:val="18"/>
                <w:szCs w:val="18"/>
              </w:rPr>
              <w:t>)</w:t>
            </w:r>
          </w:p>
          <w:p w14:paraId="0AAF9BFE" w14:textId="77777777" w:rsidR="002259C9" w:rsidRPr="005E7AE9"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(36.8</w:t>
            </w:r>
            <w:r w:rsidRPr="005E7AE9">
              <w:rPr>
                <w:rFonts w:asciiTheme="majorHAnsi" w:hAnsiTheme="majorHAnsi" w:cstheme="majorHAnsi"/>
                <w:sz w:val="18"/>
                <w:szCs w:val="18"/>
              </w:rPr>
              <w:t>)</w:t>
            </w:r>
          </w:p>
          <w:p w14:paraId="0E0009B0" w14:textId="77777777" w:rsidR="002259C9" w:rsidRPr="005E7AE9" w:rsidRDefault="002259C9" w:rsidP="000C0460">
            <w:pPr>
              <w:spacing w:line="480" w:lineRule="auto"/>
              <w:rPr>
                <w:rFonts w:asciiTheme="majorHAnsi" w:hAnsiTheme="majorHAnsi" w:cstheme="majorHAnsi"/>
                <w:sz w:val="18"/>
                <w:szCs w:val="18"/>
              </w:rPr>
            </w:pPr>
            <w:r w:rsidRPr="005E7AE9">
              <w:rPr>
                <w:rFonts w:asciiTheme="majorHAnsi" w:hAnsiTheme="majorHAnsi" w:cstheme="majorHAnsi"/>
                <w:sz w:val="18"/>
                <w:szCs w:val="18"/>
              </w:rPr>
              <w:t>(1·</w:t>
            </w:r>
            <w:r>
              <w:rPr>
                <w:rFonts w:asciiTheme="majorHAnsi" w:hAnsiTheme="majorHAnsi" w:cstheme="majorHAnsi"/>
                <w:sz w:val="18"/>
                <w:szCs w:val="18"/>
              </w:rPr>
              <w:t>5</w:t>
            </w:r>
            <w:r w:rsidRPr="005E7AE9">
              <w:rPr>
                <w:rFonts w:asciiTheme="majorHAnsi" w:hAnsiTheme="majorHAnsi" w:cstheme="majorHAnsi"/>
                <w:sz w:val="18"/>
                <w:szCs w:val="18"/>
              </w:rPr>
              <w:t>)</w:t>
            </w:r>
          </w:p>
          <w:p w14:paraId="32805112" w14:textId="77777777" w:rsidR="002259C9" w:rsidRPr="005E7AE9"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(1·3</w:t>
            </w:r>
            <w:r w:rsidRPr="005E7AE9">
              <w:rPr>
                <w:rFonts w:asciiTheme="majorHAnsi" w:hAnsiTheme="majorHAnsi" w:cstheme="majorHAnsi"/>
                <w:sz w:val="18"/>
                <w:szCs w:val="18"/>
              </w:rPr>
              <w:t>)</w:t>
            </w:r>
          </w:p>
          <w:p w14:paraId="7FB2F8DA" w14:textId="77777777" w:rsidR="002259C9" w:rsidRPr="005E7AE9" w:rsidRDefault="002259C9" w:rsidP="000C0460">
            <w:pPr>
              <w:spacing w:line="480" w:lineRule="auto"/>
              <w:rPr>
                <w:rFonts w:asciiTheme="majorHAnsi" w:hAnsiTheme="majorHAnsi" w:cstheme="majorHAnsi"/>
                <w:sz w:val="18"/>
                <w:szCs w:val="18"/>
              </w:rPr>
            </w:pPr>
            <w:r w:rsidRPr="005E7AE9">
              <w:rPr>
                <w:rFonts w:asciiTheme="majorHAnsi" w:hAnsiTheme="majorHAnsi" w:cstheme="majorHAnsi"/>
                <w:sz w:val="18"/>
                <w:szCs w:val="18"/>
              </w:rPr>
              <w:t>(0·9)</w:t>
            </w:r>
          </w:p>
          <w:p w14:paraId="1001B0D2" w14:textId="77777777" w:rsidR="002259C9" w:rsidRPr="005E7AE9"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(3·0</w:t>
            </w:r>
            <w:r w:rsidRPr="005E7AE9">
              <w:rPr>
                <w:rFonts w:asciiTheme="majorHAnsi" w:hAnsiTheme="majorHAnsi" w:cstheme="majorHAnsi"/>
                <w:sz w:val="18"/>
                <w:szCs w:val="18"/>
              </w:rPr>
              <w:t>)</w:t>
            </w:r>
          </w:p>
          <w:p w14:paraId="2BE911E0" w14:textId="77777777" w:rsidR="002259C9" w:rsidRPr="005E7AE9" w:rsidRDefault="002259C9" w:rsidP="000C0460">
            <w:pPr>
              <w:spacing w:line="480" w:lineRule="auto"/>
              <w:rPr>
                <w:rFonts w:asciiTheme="majorHAnsi" w:hAnsiTheme="majorHAnsi" w:cstheme="majorHAnsi"/>
                <w:sz w:val="18"/>
                <w:szCs w:val="18"/>
              </w:rPr>
            </w:pPr>
            <w:r w:rsidRPr="005E7AE9">
              <w:rPr>
                <w:rFonts w:asciiTheme="majorHAnsi" w:hAnsiTheme="majorHAnsi" w:cstheme="majorHAnsi"/>
                <w:sz w:val="18"/>
                <w:szCs w:val="18"/>
              </w:rPr>
              <w:t>(0·1)</w:t>
            </w:r>
          </w:p>
        </w:tc>
        <w:tc>
          <w:tcPr>
            <w:tcW w:w="1351" w:type="dxa"/>
            <w:tcBorders>
              <w:top w:val="single" w:sz="4" w:space="0" w:color="auto"/>
              <w:bottom w:val="single" w:sz="4" w:space="0" w:color="auto"/>
            </w:tcBorders>
          </w:tcPr>
          <w:p w14:paraId="275F90F3" w14:textId="77777777" w:rsidR="002259C9" w:rsidRPr="00B21D0A" w:rsidRDefault="002259C9" w:rsidP="000C0460">
            <w:pPr>
              <w:spacing w:line="480" w:lineRule="auto"/>
              <w:jc w:val="right"/>
              <w:rPr>
                <w:rFonts w:asciiTheme="majorHAnsi" w:hAnsiTheme="majorHAnsi" w:cstheme="majorHAnsi"/>
                <w:sz w:val="18"/>
                <w:szCs w:val="18"/>
              </w:rPr>
            </w:pPr>
          </w:p>
          <w:p w14:paraId="18487433" w14:textId="77777777" w:rsidR="002259C9" w:rsidRPr="00B21D0A"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90/498</w:t>
            </w:r>
            <w:r w:rsidRPr="00B21D0A">
              <w:rPr>
                <w:rFonts w:asciiTheme="majorHAnsi" w:hAnsiTheme="majorHAnsi" w:cstheme="majorHAnsi"/>
                <w:sz w:val="18"/>
                <w:szCs w:val="18"/>
              </w:rPr>
              <w:t xml:space="preserve">      </w:t>
            </w:r>
          </w:p>
          <w:p w14:paraId="2E9E8BAA" w14:textId="77777777" w:rsidR="002259C9" w:rsidRPr="00B21D0A" w:rsidRDefault="002259C9" w:rsidP="000C0460">
            <w:pPr>
              <w:spacing w:line="480" w:lineRule="auto"/>
              <w:ind w:left="360"/>
              <w:jc w:val="right"/>
              <w:rPr>
                <w:rFonts w:asciiTheme="majorHAnsi" w:hAnsiTheme="majorHAnsi" w:cstheme="majorHAnsi"/>
                <w:sz w:val="18"/>
                <w:szCs w:val="18"/>
              </w:rPr>
            </w:pPr>
            <w:r w:rsidRPr="00B21D0A">
              <w:rPr>
                <w:rFonts w:asciiTheme="majorHAnsi" w:hAnsiTheme="majorHAnsi" w:cstheme="majorHAnsi"/>
                <w:sz w:val="18"/>
                <w:szCs w:val="18"/>
              </w:rPr>
              <w:t xml:space="preserve">   </w:t>
            </w:r>
            <w:r>
              <w:rPr>
                <w:rFonts w:asciiTheme="majorHAnsi" w:hAnsiTheme="majorHAnsi" w:cstheme="majorHAnsi"/>
                <w:sz w:val="18"/>
                <w:szCs w:val="18"/>
              </w:rPr>
              <w:t>17/94</w:t>
            </w:r>
            <w:r w:rsidRPr="00B21D0A">
              <w:rPr>
                <w:rFonts w:asciiTheme="majorHAnsi" w:hAnsiTheme="majorHAnsi" w:cstheme="majorHAnsi"/>
                <w:sz w:val="18"/>
                <w:szCs w:val="18"/>
              </w:rPr>
              <w:t xml:space="preserve">        </w:t>
            </w:r>
          </w:p>
          <w:p w14:paraId="1360C902" w14:textId="77777777" w:rsidR="002259C9" w:rsidRPr="00B21D0A" w:rsidRDefault="002259C9" w:rsidP="000C0460">
            <w:pPr>
              <w:spacing w:line="480" w:lineRule="auto"/>
              <w:ind w:left="360"/>
              <w:jc w:val="right"/>
              <w:rPr>
                <w:rFonts w:asciiTheme="majorHAnsi" w:hAnsiTheme="majorHAnsi" w:cstheme="majorHAnsi"/>
                <w:sz w:val="18"/>
                <w:szCs w:val="18"/>
              </w:rPr>
            </w:pPr>
            <w:r w:rsidRPr="00B21D0A">
              <w:rPr>
                <w:rFonts w:asciiTheme="majorHAnsi" w:hAnsiTheme="majorHAnsi" w:cstheme="majorHAnsi"/>
                <w:sz w:val="18"/>
                <w:szCs w:val="18"/>
              </w:rPr>
              <w:t xml:space="preserve">   </w:t>
            </w:r>
            <w:r>
              <w:rPr>
                <w:rFonts w:asciiTheme="majorHAnsi" w:hAnsiTheme="majorHAnsi" w:cstheme="majorHAnsi"/>
                <w:sz w:val="18"/>
                <w:szCs w:val="18"/>
              </w:rPr>
              <w:t>9/388</w:t>
            </w:r>
            <w:r w:rsidRPr="00B21D0A">
              <w:rPr>
                <w:rFonts w:asciiTheme="majorHAnsi" w:hAnsiTheme="majorHAnsi" w:cstheme="majorHAnsi"/>
                <w:sz w:val="18"/>
                <w:szCs w:val="18"/>
              </w:rPr>
              <w:t xml:space="preserve">        </w:t>
            </w:r>
          </w:p>
          <w:p w14:paraId="030C19D0" w14:textId="77777777" w:rsidR="002259C9" w:rsidRPr="00B21D0A" w:rsidRDefault="002259C9" w:rsidP="000C0460">
            <w:pPr>
              <w:spacing w:line="480" w:lineRule="auto"/>
              <w:jc w:val="right"/>
              <w:rPr>
                <w:rFonts w:asciiTheme="majorHAnsi" w:hAnsiTheme="majorHAnsi" w:cstheme="majorHAnsi"/>
                <w:sz w:val="18"/>
                <w:szCs w:val="18"/>
              </w:rPr>
            </w:pPr>
            <w:r w:rsidRPr="00B21D0A">
              <w:rPr>
                <w:rFonts w:asciiTheme="majorHAnsi" w:hAnsiTheme="majorHAnsi" w:cstheme="majorHAnsi"/>
                <w:sz w:val="18"/>
                <w:szCs w:val="18"/>
              </w:rPr>
              <w:t xml:space="preserve">           0</w:t>
            </w:r>
            <w:r>
              <w:rPr>
                <w:rFonts w:asciiTheme="majorHAnsi" w:hAnsiTheme="majorHAnsi" w:cstheme="majorHAnsi"/>
                <w:sz w:val="18"/>
                <w:szCs w:val="18"/>
              </w:rPr>
              <w:t>/16</w:t>
            </w:r>
            <w:r w:rsidRPr="00B21D0A">
              <w:rPr>
                <w:rFonts w:asciiTheme="majorHAnsi" w:hAnsiTheme="majorHAnsi" w:cstheme="majorHAnsi"/>
                <w:sz w:val="18"/>
                <w:szCs w:val="18"/>
              </w:rPr>
              <w:t xml:space="preserve">                  </w:t>
            </w:r>
          </w:p>
          <w:p w14:paraId="0246EA00" w14:textId="77777777" w:rsidR="002259C9" w:rsidRPr="00B21D0A" w:rsidRDefault="002259C9" w:rsidP="000C0460">
            <w:pPr>
              <w:spacing w:line="480" w:lineRule="auto"/>
              <w:jc w:val="right"/>
              <w:rPr>
                <w:rFonts w:asciiTheme="majorHAnsi" w:hAnsiTheme="majorHAnsi" w:cstheme="majorHAnsi"/>
                <w:sz w:val="18"/>
                <w:szCs w:val="18"/>
              </w:rPr>
            </w:pPr>
            <w:r w:rsidRPr="00B21D0A">
              <w:rPr>
                <w:rFonts w:asciiTheme="majorHAnsi" w:hAnsiTheme="majorHAnsi" w:cstheme="majorHAnsi"/>
                <w:sz w:val="18"/>
                <w:szCs w:val="18"/>
              </w:rPr>
              <w:t xml:space="preserve">           </w:t>
            </w:r>
            <w:r>
              <w:rPr>
                <w:rFonts w:asciiTheme="majorHAnsi" w:hAnsiTheme="majorHAnsi" w:cstheme="majorHAnsi"/>
                <w:sz w:val="18"/>
                <w:szCs w:val="18"/>
              </w:rPr>
              <w:t>0/14</w:t>
            </w:r>
            <w:r w:rsidRPr="00B21D0A">
              <w:rPr>
                <w:rFonts w:asciiTheme="majorHAnsi" w:hAnsiTheme="majorHAnsi" w:cstheme="majorHAnsi"/>
                <w:sz w:val="18"/>
                <w:szCs w:val="18"/>
              </w:rPr>
              <w:t xml:space="preserve">            </w:t>
            </w:r>
          </w:p>
          <w:p w14:paraId="758BC6A2" w14:textId="77777777" w:rsidR="002259C9" w:rsidRPr="00B21D0A" w:rsidRDefault="002259C9" w:rsidP="000C0460">
            <w:pPr>
              <w:spacing w:line="480" w:lineRule="auto"/>
              <w:jc w:val="right"/>
              <w:rPr>
                <w:rFonts w:asciiTheme="majorHAnsi" w:hAnsiTheme="majorHAnsi" w:cstheme="majorHAnsi"/>
                <w:sz w:val="18"/>
                <w:szCs w:val="18"/>
              </w:rPr>
            </w:pPr>
            <w:r w:rsidRPr="00B21D0A">
              <w:rPr>
                <w:rFonts w:asciiTheme="majorHAnsi" w:hAnsiTheme="majorHAnsi" w:cstheme="majorHAnsi"/>
                <w:sz w:val="18"/>
                <w:szCs w:val="18"/>
              </w:rPr>
              <w:t xml:space="preserve">           0/10                  </w:t>
            </w:r>
          </w:p>
          <w:p w14:paraId="0E503461" w14:textId="77777777" w:rsidR="002259C9" w:rsidRPr="00B21D0A" w:rsidRDefault="002259C9" w:rsidP="000C0460">
            <w:pPr>
              <w:spacing w:line="480" w:lineRule="auto"/>
              <w:jc w:val="right"/>
              <w:rPr>
                <w:rFonts w:asciiTheme="majorHAnsi" w:hAnsiTheme="majorHAnsi" w:cstheme="majorHAnsi"/>
                <w:sz w:val="18"/>
                <w:szCs w:val="18"/>
              </w:rPr>
            </w:pPr>
            <w:r w:rsidRPr="00B21D0A">
              <w:rPr>
                <w:rFonts w:asciiTheme="majorHAnsi" w:hAnsiTheme="majorHAnsi" w:cstheme="majorHAnsi"/>
                <w:sz w:val="18"/>
                <w:szCs w:val="18"/>
              </w:rPr>
              <w:t xml:space="preserve">           </w:t>
            </w:r>
            <w:r>
              <w:rPr>
                <w:rFonts w:asciiTheme="majorHAnsi" w:hAnsiTheme="majorHAnsi" w:cstheme="majorHAnsi"/>
                <w:sz w:val="18"/>
                <w:szCs w:val="18"/>
              </w:rPr>
              <w:t>2/32</w:t>
            </w:r>
            <w:r w:rsidRPr="00B21D0A">
              <w:rPr>
                <w:rFonts w:asciiTheme="majorHAnsi" w:hAnsiTheme="majorHAnsi" w:cstheme="majorHAnsi"/>
                <w:sz w:val="18"/>
                <w:szCs w:val="18"/>
              </w:rPr>
              <w:t xml:space="preserve">            </w:t>
            </w:r>
          </w:p>
          <w:p w14:paraId="35F61F11" w14:textId="77777777" w:rsidR="002259C9" w:rsidRPr="00B21D0A" w:rsidRDefault="002259C9" w:rsidP="000C0460">
            <w:pPr>
              <w:spacing w:line="480" w:lineRule="auto"/>
              <w:jc w:val="right"/>
              <w:rPr>
                <w:rFonts w:asciiTheme="majorHAnsi" w:hAnsiTheme="majorHAnsi" w:cstheme="majorHAnsi"/>
                <w:sz w:val="18"/>
                <w:szCs w:val="18"/>
              </w:rPr>
            </w:pPr>
            <w:r w:rsidRPr="00B21D0A">
              <w:rPr>
                <w:rFonts w:asciiTheme="majorHAnsi" w:hAnsiTheme="majorHAnsi" w:cstheme="majorHAnsi"/>
                <w:sz w:val="18"/>
                <w:szCs w:val="18"/>
              </w:rPr>
              <w:t xml:space="preserve">           0/1                  </w:t>
            </w:r>
          </w:p>
        </w:tc>
        <w:tc>
          <w:tcPr>
            <w:tcW w:w="1253" w:type="dxa"/>
            <w:tcBorders>
              <w:top w:val="single" w:sz="4" w:space="0" w:color="auto"/>
              <w:bottom w:val="single" w:sz="4" w:space="0" w:color="auto"/>
            </w:tcBorders>
          </w:tcPr>
          <w:p w14:paraId="3E12A0FF" w14:textId="77777777" w:rsidR="002259C9" w:rsidRPr="00B21D0A" w:rsidRDefault="002259C9" w:rsidP="000C0460">
            <w:pPr>
              <w:spacing w:line="480" w:lineRule="auto"/>
              <w:rPr>
                <w:rFonts w:asciiTheme="majorHAnsi" w:hAnsiTheme="majorHAnsi" w:cstheme="majorHAnsi"/>
                <w:sz w:val="18"/>
                <w:szCs w:val="18"/>
              </w:rPr>
            </w:pPr>
          </w:p>
          <w:p w14:paraId="6BB73DF6"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(18·</w:t>
            </w:r>
            <w:r>
              <w:rPr>
                <w:rFonts w:asciiTheme="majorHAnsi" w:hAnsiTheme="majorHAnsi" w:cstheme="majorHAnsi"/>
                <w:sz w:val="18"/>
                <w:szCs w:val="18"/>
              </w:rPr>
              <w:t>1</w:t>
            </w:r>
            <w:r w:rsidRPr="00B21D0A">
              <w:rPr>
                <w:rFonts w:asciiTheme="majorHAnsi" w:hAnsiTheme="majorHAnsi" w:cstheme="majorHAnsi"/>
                <w:sz w:val="18"/>
                <w:szCs w:val="18"/>
              </w:rPr>
              <w:t>)</w:t>
            </w:r>
          </w:p>
          <w:p w14:paraId="6FD0F2B6"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(18·</w:t>
            </w:r>
            <w:r>
              <w:rPr>
                <w:rFonts w:asciiTheme="majorHAnsi" w:hAnsiTheme="majorHAnsi" w:cstheme="majorHAnsi"/>
                <w:sz w:val="18"/>
                <w:szCs w:val="18"/>
              </w:rPr>
              <w:t>1</w:t>
            </w:r>
            <w:r w:rsidRPr="00B21D0A">
              <w:rPr>
                <w:rFonts w:asciiTheme="majorHAnsi" w:hAnsiTheme="majorHAnsi" w:cstheme="majorHAnsi"/>
                <w:sz w:val="18"/>
                <w:szCs w:val="18"/>
              </w:rPr>
              <w:t>)</w:t>
            </w:r>
          </w:p>
          <w:p w14:paraId="3DFC2322"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(2·</w:t>
            </w:r>
            <w:r>
              <w:rPr>
                <w:rFonts w:asciiTheme="majorHAnsi" w:hAnsiTheme="majorHAnsi" w:cstheme="majorHAnsi"/>
                <w:sz w:val="18"/>
                <w:szCs w:val="18"/>
              </w:rPr>
              <w:t>3</w:t>
            </w:r>
            <w:r w:rsidRPr="00B21D0A">
              <w:rPr>
                <w:rFonts w:asciiTheme="majorHAnsi" w:hAnsiTheme="majorHAnsi" w:cstheme="majorHAnsi"/>
                <w:sz w:val="18"/>
                <w:szCs w:val="18"/>
              </w:rPr>
              <w:t>)</w:t>
            </w:r>
          </w:p>
          <w:p w14:paraId="0CDCA24D"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(0·0)</w:t>
            </w:r>
          </w:p>
          <w:p w14:paraId="074B1A60" w14:textId="77777777" w:rsidR="002259C9" w:rsidRPr="00B21D0A"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(0.0</w:t>
            </w:r>
            <w:r w:rsidRPr="00B21D0A">
              <w:rPr>
                <w:rFonts w:asciiTheme="majorHAnsi" w:hAnsiTheme="majorHAnsi" w:cstheme="majorHAnsi"/>
                <w:sz w:val="18"/>
                <w:szCs w:val="18"/>
              </w:rPr>
              <w:t>)</w:t>
            </w:r>
          </w:p>
          <w:p w14:paraId="673F8367"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(0·0)</w:t>
            </w:r>
          </w:p>
          <w:p w14:paraId="0AA0FEE8" w14:textId="65D614F6" w:rsidR="002259C9" w:rsidRPr="00B21D0A" w:rsidRDefault="006A6252" w:rsidP="000C0460">
            <w:pPr>
              <w:spacing w:line="480" w:lineRule="auto"/>
              <w:rPr>
                <w:rFonts w:asciiTheme="majorHAnsi" w:hAnsiTheme="majorHAnsi" w:cstheme="majorHAnsi"/>
                <w:sz w:val="18"/>
                <w:szCs w:val="18"/>
              </w:rPr>
            </w:pPr>
            <w:r>
              <w:rPr>
                <w:rFonts w:asciiTheme="majorHAnsi" w:hAnsiTheme="majorHAnsi" w:cstheme="majorHAnsi"/>
                <w:sz w:val="18"/>
                <w:szCs w:val="18"/>
              </w:rPr>
              <w:t>(6.3</w:t>
            </w:r>
            <w:r w:rsidR="002259C9" w:rsidRPr="00B21D0A">
              <w:rPr>
                <w:rFonts w:asciiTheme="majorHAnsi" w:hAnsiTheme="majorHAnsi" w:cstheme="majorHAnsi"/>
                <w:sz w:val="18"/>
                <w:szCs w:val="18"/>
              </w:rPr>
              <w:t>)</w:t>
            </w:r>
          </w:p>
          <w:p w14:paraId="5D5FC0C1" w14:textId="77777777" w:rsidR="002259C9" w:rsidRPr="00B21D0A" w:rsidRDefault="002259C9" w:rsidP="000C0460">
            <w:pPr>
              <w:spacing w:line="480" w:lineRule="auto"/>
              <w:rPr>
                <w:rFonts w:asciiTheme="majorHAnsi" w:hAnsiTheme="majorHAnsi" w:cstheme="majorHAnsi"/>
                <w:sz w:val="18"/>
                <w:szCs w:val="18"/>
              </w:rPr>
            </w:pPr>
            <w:r w:rsidRPr="00B21D0A">
              <w:rPr>
                <w:rFonts w:asciiTheme="majorHAnsi" w:hAnsiTheme="majorHAnsi" w:cstheme="majorHAnsi"/>
                <w:sz w:val="18"/>
                <w:szCs w:val="18"/>
              </w:rPr>
              <w:t>(0·0)</w:t>
            </w:r>
          </w:p>
        </w:tc>
      </w:tr>
      <w:tr w:rsidR="002259C9" w:rsidRPr="00DF3492" w14:paraId="36CF9E82" w14:textId="77777777" w:rsidTr="0082666E">
        <w:tc>
          <w:tcPr>
            <w:tcW w:w="4004" w:type="dxa"/>
            <w:tcBorders>
              <w:top w:val="single" w:sz="4" w:space="0" w:color="auto"/>
              <w:bottom w:val="single" w:sz="4" w:space="0" w:color="auto"/>
            </w:tcBorders>
          </w:tcPr>
          <w:p w14:paraId="6DD74FD1"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UK birth status</w:t>
            </w:r>
          </w:p>
          <w:p w14:paraId="781E087F"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UK born</w:t>
            </w:r>
          </w:p>
          <w:p w14:paraId="3338EED7"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Non-</w:t>
            </w:r>
            <w:r>
              <w:rPr>
                <w:rFonts w:asciiTheme="majorHAnsi" w:hAnsiTheme="majorHAnsi" w:cstheme="majorHAnsi"/>
                <w:sz w:val="18"/>
                <w:szCs w:val="18"/>
              </w:rPr>
              <w:t>UK born</w:t>
            </w:r>
          </w:p>
        </w:tc>
        <w:tc>
          <w:tcPr>
            <w:tcW w:w="1610" w:type="dxa"/>
            <w:tcBorders>
              <w:top w:val="single" w:sz="4" w:space="0" w:color="auto"/>
              <w:bottom w:val="single" w:sz="4" w:space="0" w:color="auto"/>
            </w:tcBorders>
          </w:tcPr>
          <w:p w14:paraId="2A2F8DF1" w14:textId="77777777" w:rsidR="002259C9" w:rsidRPr="00DD1BB0" w:rsidRDefault="002259C9" w:rsidP="000C0460">
            <w:pPr>
              <w:spacing w:line="480" w:lineRule="auto"/>
              <w:rPr>
                <w:rFonts w:asciiTheme="majorHAnsi" w:hAnsiTheme="majorHAnsi" w:cstheme="majorHAnsi"/>
                <w:sz w:val="18"/>
                <w:szCs w:val="18"/>
              </w:rPr>
            </w:pPr>
          </w:p>
          <w:p w14:paraId="7D65163D" w14:textId="77777777" w:rsidR="002259C9" w:rsidRPr="00DD1BB0"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361</w:t>
            </w:r>
            <w:r w:rsidRPr="00DD1BB0">
              <w:rPr>
                <w:rFonts w:asciiTheme="majorHAnsi" w:hAnsiTheme="majorHAnsi" w:cstheme="majorHAnsi"/>
                <w:sz w:val="18"/>
                <w:szCs w:val="18"/>
              </w:rPr>
              <w:t xml:space="preserve">                      </w:t>
            </w:r>
            <w:r>
              <w:rPr>
                <w:rFonts w:asciiTheme="majorHAnsi" w:hAnsiTheme="majorHAnsi" w:cstheme="majorHAnsi"/>
                <w:sz w:val="18"/>
                <w:szCs w:val="18"/>
              </w:rPr>
              <w:t>692</w:t>
            </w:r>
            <w:r w:rsidRPr="00DD1BB0">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2A130B23" w14:textId="77777777" w:rsidR="002259C9" w:rsidRPr="00DD1BB0" w:rsidRDefault="002259C9" w:rsidP="000C0460">
            <w:pPr>
              <w:spacing w:line="480" w:lineRule="auto"/>
              <w:rPr>
                <w:rFonts w:asciiTheme="majorHAnsi" w:hAnsiTheme="majorHAnsi" w:cstheme="majorHAnsi"/>
                <w:sz w:val="18"/>
                <w:szCs w:val="18"/>
              </w:rPr>
            </w:pPr>
          </w:p>
          <w:p w14:paraId="379F03A0" w14:textId="77777777" w:rsidR="002259C9" w:rsidRPr="00DD1BB0" w:rsidRDefault="002259C9" w:rsidP="000C0460">
            <w:pPr>
              <w:spacing w:line="480" w:lineRule="auto"/>
              <w:rPr>
                <w:rFonts w:asciiTheme="majorHAnsi" w:hAnsiTheme="majorHAnsi" w:cstheme="majorHAnsi"/>
                <w:sz w:val="18"/>
                <w:szCs w:val="18"/>
              </w:rPr>
            </w:pPr>
            <w:r w:rsidRPr="00DD1BB0">
              <w:rPr>
                <w:rFonts w:asciiTheme="majorHAnsi" w:hAnsiTheme="majorHAnsi" w:cstheme="majorHAnsi"/>
                <w:sz w:val="18"/>
                <w:szCs w:val="18"/>
              </w:rPr>
              <w:t>(3</w:t>
            </w:r>
            <w:r>
              <w:rPr>
                <w:rFonts w:asciiTheme="majorHAnsi" w:hAnsiTheme="majorHAnsi" w:cstheme="majorHAnsi"/>
                <w:sz w:val="18"/>
                <w:szCs w:val="18"/>
              </w:rPr>
              <w:t>4·3</w:t>
            </w:r>
            <w:r w:rsidRPr="00DD1BB0">
              <w:rPr>
                <w:rFonts w:asciiTheme="majorHAnsi" w:hAnsiTheme="majorHAnsi" w:cstheme="majorHAnsi"/>
                <w:sz w:val="18"/>
                <w:szCs w:val="18"/>
              </w:rPr>
              <w:t>)</w:t>
            </w:r>
          </w:p>
          <w:p w14:paraId="6A5AD6A8" w14:textId="77777777" w:rsidR="002259C9" w:rsidRPr="00DD1BB0"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(65.7)</w:t>
            </w:r>
          </w:p>
        </w:tc>
        <w:tc>
          <w:tcPr>
            <w:tcW w:w="1351" w:type="dxa"/>
            <w:tcBorders>
              <w:top w:val="single" w:sz="4" w:space="0" w:color="auto"/>
              <w:bottom w:val="single" w:sz="4" w:space="0" w:color="auto"/>
            </w:tcBorders>
          </w:tcPr>
          <w:p w14:paraId="39E9DA73" w14:textId="77777777" w:rsidR="002259C9" w:rsidRPr="0024543A" w:rsidRDefault="002259C9" w:rsidP="000C0460">
            <w:pPr>
              <w:spacing w:line="480" w:lineRule="auto"/>
              <w:jc w:val="right"/>
              <w:rPr>
                <w:rFonts w:asciiTheme="majorHAnsi" w:hAnsiTheme="majorHAnsi" w:cstheme="majorHAnsi"/>
                <w:sz w:val="18"/>
                <w:szCs w:val="18"/>
              </w:rPr>
            </w:pPr>
          </w:p>
          <w:p w14:paraId="5B6E4B70" w14:textId="77777777" w:rsidR="002259C9" w:rsidRPr="0024543A"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10/361</w:t>
            </w:r>
            <w:r w:rsidRPr="0024543A">
              <w:rPr>
                <w:rFonts w:asciiTheme="majorHAnsi" w:hAnsiTheme="majorHAnsi" w:cstheme="majorHAnsi"/>
                <w:sz w:val="18"/>
                <w:szCs w:val="18"/>
              </w:rPr>
              <w:t xml:space="preserve">                </w:t>
            </w:r>
          </w:p>
          <w:p w14:paraId="3150E37A" w14:textId="77777777" w:rsidR="002259C9" w:rsidRPr="0024543A" w:rsidRDefault="002259C9" w:rsidP="000C0460">
            <w:pPr>
              <w:spacing w:line="480" w:lineRule="auto"/>
              <w:jc w:val="right"/>
              <w:rPr>
                <w:rFonts w:asciiTheme="majorHAnsi" w:hAnsiTheme="majorHAnsi" w:cstheme="majorHAnsi"/>
                <w:sz w:val="18"/>
                <w:szCs w:val="18"/>
              </w:rPr>
            </w:pPr>
            <w:r w:rsidRPr="0024543A">
              <w:rPr>
                <w:rFonts w:asciiTheme="majorHAnsi" w:hAnsiTheme="majorHAnsi" w:cstheme="majorHAnsi"/>
                <w:sz w:val="18"/>
                <w:szCs w:val="18"/>
              </w:rPr>
              <w:t xml:space="preserve">           </w:t>
            </w:r>
            <w:r>
              <w:rPr>
                <w:rFonts w:asciiTheme="majorHAnsi" w:hAnsiTheme="majorHAnsi" w:cstheme="majorHAnsi"/>
                <w:sz w:val="18"/>
                <w:szCs w:val="18"/>
              </w:rPr>
              <w:t xml:space="preserve">108/692              </w:t>
            </w:r>
            <w:r w:rsidRPr="0024543A">
              <w:rPr>
                <w:rFonts w:asciiTheme="majorHAnsi" w:hAnsiTheme="majorHAnsi" w:cstheme="majorHAnsi"/>
                <w:sz w:val="18"/>
                <w:szCs w:val="18"/>
              </w:rPr>
              <w:t xml:space="preserve">                            </w:t>
            </w:r>
          </w:p>
        </w:tc>
        <w:tc>
          <w:tcPr>
            <w:tcW w:w="1253" w:type="dxa"/>
            <w:tcBorders>
              <w:top w:val="single" w:sz="4" w:space="0" w:color="auto"/>
              <w:bottom w:val="single" w:sz="4" w:space="0" w:color="auto"/>
            </w:tcBorders>
          </w:tcPr>
          <w:p w14:paraId="0733865B" w14:textId="77777777" w:rsidR="002259C9" w:rsidRPr="0024543A" w:rsidRDefault="002259C9" w:rsidP="000C0460">
            <w:pPr>
              <w:spacing w:line="480" w:lineRule="auto"/>
              <w:rPr>
                <w:rFonts w:asciiTheme="majorHAnsi" w:hAnsiTheme="majorHAnsi" w:cstheme="majorHAnsi"/>
                <w:sz w:val="18"/>
                <w:szCs w:val="18"/>
              </w:rPr>
            </w:pPr>
          </w:p>
          <w:p w14:paraId="5EB60C07" w14:textId="77777777" w:rsidR="002259C9" w:rsidRPr="0024543A"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(2·8</w:t>
            </w:r>
            <w:r w:rsidRPr="0024543A">
              <w:rPr>
                <w:rFonts w:asciiTheme="majorHAnsi" w:hAnsiTheme="majorHAnsi" w:cstheme="majorHAnsi"/>
                <w:sz w:val="18"/>
                <w:szCs w:val="18"/>
              </w:rPr>
              <w:t>)</w:t>
            </w:r>
          </w:p>
          <w:p w14:paraId="08F84083" w14:textId="77777777" w:rsidR="002259C9" w:rsidRPr="0024543A"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(15.6)</w:t>
            </w:r>
          </w:p>
        </w:tc>
      </w:tr>
      <w:tr w:rsidR="002259C9" w:rsidRPr="00DF3492" w14:paraId="5DEA20AD" w14:textId="77777777" w:rsidTr="0082666E">
        <w:trPr>
          <w:cantSplit/>
        </w:trPr>
        <w:tc>
          <w:tcPr>
            <w:tcW w:w="4004" w:type="dxa"/>
            <w:tcBorders>
              <w:top w:val="single" w:sz="4" w:space="0" w:color="auto"/>
              <w:bottom w:val="single" w:sz="4" w:space="0" w:color="auto"/>
            </w:tcBorders>
          </w:tcPr>
          <w:p w14:paraId="5600AE8D"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Region of birth</w:t>
            </w:r>
          </w:p>
          <w:p w14:paraId="73354271"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Sub-Saharan Africa</w:t>
            </w:r>
          </w:p>
          <w:p w14:paraId="5D42E67B"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South Asia</w:t>
            </w:r>
          </w:p>
          <w:p w14:paraId="6A90D938"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Europe &amp; Central Asia</w:t>
            </w:r>
          </w:p>
          <w:p w14:paraId="51EA1FB2"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 xml:space="preserve">East Asia &amp; Pacific </w:t>
            </w:r>
          </w:p>
          <w:p w14:paraId="1DCECE27"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Latin America &amp; Caribbean</w:t>
            </w:r>
          </w:p>
          <w:p w14:paraId="21C76385"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Middle East &amp; North Africa</w:t>
            </w:r>
          </w:p>
          <w:p w14:paraId="7941A560" w14:textId="77777777" w:rsidR="002259C9" w:rsidRPr="00DF3492"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North America</w:t>
            </w:r>
          </w:p>
        </w:tc>
        <w:tc>
          <w:tcPr>
            <w:tcW w:w="1610" w:type="dxa"/>
            <w:tcBorders>
              <w:top w:val="single" w:sz="4" w:space="0" w:color="auto"/>
              <w:bottom w:val="single" w:sz="4" w:space="0" w:color="auto"/>
            </w:tcBorders>
          </w:tcPr>
          <w:p w14:paraId="66725FB0" w14:textId="77777777" w:rsidR="002259C9" w:rsidRDefault="002259C9" w:rsidP="000C0460">
            <w:pPr>
              <w:spacing w:line="480" w:lineRule="auto"/>
              <w:jc w:val="right"/>
              <w:rPr>
                <w:rFonts w:asciiTheme="majorHAnsi" w:hAnsiTheme="majorHAnsi" w:cstheme="majorHAnsi"/>
                <w:sz w:val="18"/>
                <w:szCs w:val="18"/>
              </w:rPr>
            </w:pPr>
            <w:r w:rsidRPr="00A60EE2">
              <w:rPr>
                <w:rFonts w:asciiTheme="majorHAnsi" w:hAnsiTheme="majorHAnsi" w:cstheme="majorHAnsi"/>
                <w:sz w:val="18"/>
                <w:szCs w:val="18"/>
              </w:rPr>
              <w:t xml:space="preserve">                </w:t>
            </w:r>
          </w:p>
          <w:p w14:paraId="4CCDE10B"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538</w:t>
            </w:r>
            <w:r w:rsidRPr="00A60EE2">
              <w:rPr>
                <w:rFonts w:asciiTheme="majorHAnsi" w:hAnsiTheme="majorHAnsi" w:cstheme="majorHAnsi"/>
                <w:sz w:val="18"/>
                <w:szCs w:val="18"/>
              </w:rPr>
              <w:t xml:space="preserve">              </w:t>
            </w:r>
          </w:p>
          <w:p w14:paraId="113F3160" w14:textId="77777777" w:rsidR="002259C9" w:rsidRDefault="002259C9" w:rsidP="000C0460">
            <w:pPr>
              <w:spacing w:line="480" w:lineRule="auto"/>
              <w:jc w:val="right"/>
              <w:rPr>
                <w:rFonts w:asciiTheme="majorHAnsi" w:hAnsiTheme="majorHAnsi" w:cstheme="majorHAnsi"/>
                <w:sz w:val="18"/>
                <w:szCs w:val="18"/>
              </w:rPr>
            </w:pPr>
            <w:r w:rsidRPr="00A60EE2">
              <w:rPr>
                <w:rFonts w:asciiTheme="majorHAnsi" w:hAnsiTheme="majorHAnsi" w:cstheme="majorHAnsi"/>
                <w:sz w:val="18"/>
                <w:szCs w:val="18"/>
              </w:rPr>
              <w:t>5</w:t>
            </w:r>
            <w:r>
              <w:rPr>
                <w:rFonts w:asciiTheme="majorHAnsi" w:hAnsiTheme="majorHAnsi" w:cstheme="majorHAnsi"/>
                <w:sz w:val="18"/>
                <w:szCs w:val="18"/>
              </w:rPr>
              <w:t>0</w:t>
            </w:r>
            <w:r w:rsidRPr="00A60EE2">
              <w:rPr>
                <w:rFonts w:asciiTheme="majorHAnsi" w:hAnsiTheme="majorHAnsi" w:cstheme="majorHAnsi"/>
                <w:sz w:val="18"/>
                <w:szCs w:val="18"/>
              </w:rPr>
              <w:t xml:space="preserve">                      </w:t>
            </w:r>
          </w:p>
          <w:p w14:paraId="4055E334"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42</w:t>
            </w:r>
            <w:r w:rsidRPr="00A60EE2">
              <w:rPr>
                <w:rFonts w:asciiTheme="majorHAnsi" w:hAnsiTheme="majorHAnsi" w:cstheme="majorHAnsi"/>
                <w:sz w:val="18"/>
                <w:szCs w:val="18"/>
              </w:rPr>
              <w:t xml:space="preserve">1              </w:t>
            </w:r>
          </w:p>
          <w:p w14:paraId="39FA05A0"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22</w:t>
            </w:r>
            <w:r w:rsidRPr="00A60EE2">
              <w:rPr>
                <w:rFonts w:asciiTheme="majorHAnsi" w:hAnsiTheme="majorHAnsi" w:cstheme="majorHAnsi"/>
                <w:sz w:val="18"/>
                <w:szCs w:val="18"/>
              </w:rPr>
              <w:t xml:space="preserve">               </w:t>
            </w:r>
          </w:p>
          <w:p w14:paraId="47B6ACC2" w14:textId="77777777" w:rsidR="002259C9"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13</w:t>
            </w:r>
            <w:r w:rsidRPr="00A60EE2">
              <w:rPr>
                <w:rFonts w:asciiTheme="majorHAnsi" w:hAnsiTheme="majorHAnsi" w:cstheme="majorHAnsi"/>
                <w:sz w:val="18"/>
                <w:szCs w:val="18"/>
              </w:rPr>
              <w:t xml:space="preserve">                                </w:t>
            </w:r>
            <w:r>
              <w:rPr>
                <w:rFonts w:asciiTheme="majorHAnsi" w:hAnsiTheme="majorHAnsi" w:cstheme="majorHAnsi"/>
                <w:sz w:val="18"/>
                <w:szCs w:val="18"/>
              </w:rPr>
              <w:t>5</w:t>
            </w:r>
            <w:r w:rsidRPr="00A60EE2">
              <w:rPr>
                <w:rFonts w:asciiTheme="majorHAnsi" w:hAnsiTheme="majorHAnsi" w:cstheme="majorHAnsi"/>
                <w:sz w:val="18"/>
                <w:szCs w:val="18"/>
              </w:rPr>
              <w:t xml:space="preserve">                  </w:t>
            </w:r>
          </w:p>
          <w:p w14:paraId="460E5BF4" w14:textId="77777777" w:rsidR="002259C9" w:rsidRPr="00A60EE2"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t>4</w:t>
            </w:r>
            <w:r w:rsidRPr="00A60EE2">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2FEA7270" w14:textId="77777777" w:rsidR="002259C9" w:rsidRPr="00A60EE2" w:rsidRDefault="002259C9" w:rsidP="000C0460">
            <w:pPr>
              <w:spacing w:line="480" w:lineRule="auto"/>
              <w:rPr>
                <w:rFonts w:asciiTheme="majorHAnsi" w:hAnsiTheme="majorHAnsi" w:cstheme="majorHAnsi"/>
                <w:sz w:val="18"/>
                <w:szCs w:val="18"/>
              </w:rPr>
            </w:pPr>
          </w:p>
          <w:p w14:paraId="50350183" w14:textId="77777777" w:rsidR="002259C9" w:rsidRPr="00A60EE2" w:rsidRDefault="002259C9" w:rsidP="000C0460">
            <w:pPr>
              <w:spacing w:line="480" w:lineRule="auto"/>
              <w:rPr>
                <w:rFonts w:asciiTheme="majorHAnsi" w:hAnsiTheme="majorHAnsi" w:cstheme="majorHAnsi"/>
                <w:sz w:val="18"/>
                <w:szCs w:val="18"/>
              </w:rPr>
            </w:pPr>
            <w:r w:rsidRPr="00A60EE2">
              <w:rPr>
                <w:rFonts w:asciiTheme="majorHAnsi" w:hAnsiTheme="majorHAnsi" w:cstheme="majorHAnsi"/>
                <w:sz w:val="18"/>
                <w:szCs w:val="18"/>
              </w:rPr>
              <w:t>(5</w:t>
            </w:r>
            <w:r>
              <w:rPr>
                <w:rFonts w:asciiTheme="majorHAnsi" w:hAnsiTheme="majorHAnsi" w:cstheme="majorHAnsi"/>
                <w:sz w:val="18"/>
                <w:szCs w:val="18"/>
              </w:rPr>
              <w:t>1</w:t>
            </w:r>
            <w:r w:rsidRPr="00A60EE2">
              <w:rPr>
                <w:rFonts w:asciiTheme="majorHAnsi" w:hAnsiTheme="majorHAnsi" w:cstheme="majorHAnsi"/>
                <w:sz w:val="18"/>
                <w:szCs w:val="18"/>
              </w:rPr>
              <w:t>·</w:t>
            </w:r>
            <w:r>
              <w:rPr>
                <w:rFonts w:asciiTheme="majorHAnsi" w:hAnsiTheme="majorHAnsi" w:cstheme="majorHAnsi"/>
                <w:sz w:val="18"/>
                <w:szCs w:val="18"/>
              </w:rPr>
              <w:t>1</w:t>
            </w:r>
            <w:r w:rsidRPr="00A60EE2">
              <w:rPr>
                <w:rFonts w:asciiTheme="majorHAnsi" w:hAnsiTheme="majorHAnsi" w:cstheme="majorHAnsi"/>
                <w:sz w:val="18"/>
                <w:szCs w:val="18"/>
              </w:rPr>
              <w:t>)</w:t>
            </w:r>
          </w:p>
          <w:p w14:paraId="1C87DBBA" w14:textId="77777777" w:rsidR="002259C9" w:rsidRPr="00A60EE2" w:rsidRDefault="002259C9" w:rsidP="000C0460">
            <w:pPr>
              <w:spacing w:line="480" w:lineRule="auto"/>
              <w:rPr>
                <w:rFonts w:asciiTheme="majorHAnsi" w:hAnsiTheme="majorHAnsi" w:cstheme="majorHAnsi"/>
                <w:sz w:val="18"/>
                <w:szCs w:val="18"/>
              </w:rPr>
            </w:pPr>
            <w:r w:rsidRPr="00A60EE2">
              <w:rPr>
                <w:rFonts w:asciiTheme="majorHAnsi" w:hAnsiTheme="majorHAnsi" w:cstheme="majorHAnsi"/>
                <w:sz w:val="18"/>
                <w:szCs w:val="18"/>
              </w:rPr>
              <w:t>(4·</w:t>
            </w:r>
            <w:r>
              <w:rPr>
                <w:rFonts w:asciiTheme="majorHAnsi" w:hAnsiTheme="majorHAnsi" w:cstheme="majorHAnsi"/>
                <w:sz w:val="18"/>
                <w:szCs w:val="18"/>
              </w:rPr>
              <w:t>7</w:t>
            </w:r>
            <w:r w:rsidRPr="00A60EE2">
              <w:rPr>
                <w:rFonts w:asciiTheme="majorHAnsi" w:hAnsiTheme="majorHAnsi" w:cstheme="majorHAnsi"/>
                <w:sz w:val="18"/>
                <w:szCs w:val="18"/>
              </w:rPr>
              <w:t>)</w:t>
            </w:r>
          </w:p>
          <w:p w14:paraId="23053FF2" w14:textId="77777777" w:rsidR="002259C9" w:rsidRPr="00A60EE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(40</w:t>
            </w:r>
            <w:r w:rsidRPr="00A60EE2">
              <w:rPr>
                <w:rFonts w:asciiTheme="majorHAnsi" w:hAnsiTheme="majorHAnsi" w:cstheme="majorHAnsi"/>
                <w:sz w:val="18"/>
                <w:szCs w:val="18"/>
              </w:rPr>
              <w:t>·</w:t>
            </w:r>
            <w:r>
              <w:rPr>
                <w:rFonts w:asciiTheme="majorHAnsi" w:hAnsiTheme="majorHAnsi" w:cstheme="majorHAnsi"/>
                <w:sz w:val="18"/>
                <w:szCs w:val="18"/>
              </w:rPr>
              <w:t>0</w:t>
            </w:r>
            <w:r w:rsidRPr="00A60EE2">
              <w:rPr>
                <w:rFonts w:asciiTheme="majorHAnsi" w:hAnsiTheme="majorHAnsi" w:cstheme="majorHAnsi"/>
                <w:sz w:val="18"/>
                <w:szCs w:val="18"/>
              </w:rPr>
              <w:t>)</w:t>
            </w:r>
          </w:p>
          <w:p w14:paraId="1B72E46F" w14:textId="77777777" w:rsidR="002259C9" w:rsidRPr="00A60EE2" w:rsidRDefault="002259C9" w:rsidP="000C0460">
            <w:pPr>
              <w:spacing w:line="480" w:lineRule="auto"/>
              <w:rPr>
                <w:rFonts w:asciiTheme="majorHAnsi" w:hAnsiTheme="majorHAnsi" w:cstheme="majorHAnsi"/>
                <w:sz w:val="18"/>
                <w:szCs w:val="18"/>
              </w:rPr>
            </w:pPr>
            <w:r w:rsidRPr="00A60EE2">
              <w:rPr>
                <w:rFonts w:asciiTheme="majorHAnsi" w:hAnsiTheme="majorHAnsi" w:cstheme="majorHAnsi"/>
                <w:sz w:val="18"/>
                <w:szCs w:val="18"/>
              </w:rPr>
              <w:t>(2·1)</w:t>
            </w:r>
          </w:p>
          <w:p w14:paraId="21B22EAC" w14:textId="77777777" w:rsidR="002259C9" w:rsidRPr="00A60EE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(1·2</w:t>
            </w:r>
            <w:r w:rsidRPr="00A60EE2">
              <w:rPr>
                <w:rFonts w:asciiTheme="majorHAnsi" w:hAnsiTheme="majorHAnsi" w:cstheme="majorHAnsi"/>
                <w:sz w:val="18"/>
                <w:szCs w:val="18"/>
              </w:rPr>
              <w:t>)</w:t>
            </w:r>
          </w:p>
          <w:p w14:paraId="4BB546BD" w14:textId="77777777" w:rsidR="002259C9" w:rsidRPr="00A60EE2" w:rsidRDefault="002259C9" w:rsidP="000C0460">
            <w:pPr>
              <w:spacing w:line="480" w:lineRule="auto"/>
              <w:rPr>
                <w:rFonts w:asciiTheme="majorHAnsi" w:hAnsiTheme="majorHAnsi" w:cstheme="majorHAnsi"/>
                <w:sz w:val="18"/>
                <w:szCs w:val="18"/>
              </w:rPr>
            </w:pPr>
            <w:r w:rsidRPr="00A60EE2">
              <w:rPr>
                <w:rFonts w:asciiTheme="majorHAnsi" w:hAnsiTheme="majorHAnsi" w:cstheme="majorHAnsi"/>
                <w:sz w:val="18"/>
                <w:szCs w:val="18"/>
              </w:rPr>
              <w:t>(0·5)</w:t>
            </w:r>
          </w:p>
          <w:p w14:paraId="04679ABA" w14:textId="77777777" w:rsidR="002259C9" w:rsidRPr="00A60EE2"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(0·4)</w:t>
            </w:r>
          </w:p>
        </w:tc>
        <w:tc>
          <w:tcPr>
            <w:tcW w:w="1351" w:type="dxa"/>
            <w:tcBorders>
              <w:top w:val="single" w:sz="4" w:space="0" w:color="auto"/>
              <w:bottom w:val="single" w:sz="4" w:space="0" w:color="auto"/>
            </w:tcBorders>
          </w:tcPr>
          <w:p w14:paraId="15A791C9" w14:textId="77777777" w:rsidR="002259C9" w:rsidRPr="003A5EFD" w:rsidRDefault="002259C9" w:rsidP="000C0460">
            <w:pPr>
              <w:spacing w:line="480" w:lineRule="auto"/>
              <w:rPr>
                <w:rFonts w:asciiTheme="majorHAnsi" w:hAnsiTheme="majorHAnsi" w:cstheme="majorHAnsi"/>
                <w:sz w:val="18"/>
                <w:szCs w:val="18"/>
              </w:rPr>
            </w:pPr>
          </w:p>
          <w:p w14:paraId="5890990B"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w:t>
            </w:r>
            <w:r>
              <w:rPr>
                <w:rFonts w:asciiTheme="majorHAnsi" w:hAnsiTheme="majorHAnsi" w:cstheme="majorHAnsi"/>
                <w:sz w:val="18"/>
                <w:szCs w:val="18"/>
              </w:rPr>
              <w:t>96/538</w:t>
            </w:r>
            <w:r w:rsidRPr="003A5EFD">
              <w:rPr>
                <w:rFonts w:asciiTheme="majorHAnsi" w:hAnsiTheme="majorHAnsi" w:cstheme="majorHAnsi"/>
                <w:sz w:val="18"/>
                <w:szCs w:val="18"/>
              </w:rPr>
              <w:t xml:space="preserve">     </w:t>
            </w:r>
          </w:p>
          <w:p w14:paraId="3E4C30B5"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8/5</w:t>
            </w:r>
            <w:r>
              <w:rPr>
                <w:rFonts w:asciiTheme="majorHAnsi" w:hAnsiTheme="majorHAnsi" w:cstheme="majorHAnsi"/>
                <w:sz w:val="18"/>
                <w:szCs w:val="18"/>
              </w:rPr>
              <w:t>0</w:t>
            </w:r>
            <w:r w:rsidRPr="003A5EFD">
              <w:rPr>
                <w:rFonts w:asciiTheme="majorHAnsi" w:hAnsiTheme="majorHAnsi" w:cstheme="majorHAnsi"/>
                <w:sz w:val="18"/>
                <w:szCs w:val="18"/>
              </w:rPr>
              <w:t xml:space="preserve">           </w:t>
            </w:r>
          </w:p>
          <w:p w14:paraId="0BF5774F"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1</w:t>
            </w:r>
            <w:r>
              <w:rPr>
                <w:rFonts w:asciiTheme="majorHAnsi" w:hAnsiTheme="majorHAnsi" w:cstheme="majorHAnsi"/>
                <w:sz w:val="18"/>
                <w:szCs w:val="18"/>
              </w:rPr>
              <w:t>2/42</w:t>
            </w:r>
            <w:r w:rsidRPr="003A5EFD">
              <w:rPr>
                <w:rFonts w:asciiTheme="majorHAnsi" w:hAnsiTheme="majorHAnsi" w:cstheme="majorHAnsi"/>
                <w:sz w:val="18"/>
                <w:szCs w:val="18"/>
              </w:rPr>
              <w:t xml:space="preserve">1       </w:t>
            </w:r>
          </w:p>
          <w:p w14:paraId="62EEC639"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w:t>
            </w:r>
            <w:r>
              <w:rPr>
                <w:rFonts w:asciiTheme="majorHAnsi" w:hAnsiTheme="majorHAnsi" w:cstheme="majorHAnsi"/>
                <w:sz w:val="18"/>
                <w:szCs w:val="18"/>
              </w:rPr>
              <w:t>2/22</w:t>
            </w:r>
            <w:r w:rsidRPr="003A5EFD">
              <w:rPr>
                <w:rFonts w:asciiTheme="majorHAnsi" w:hAnsiTheme="majorHAnsi" w:cstheme="majorHAnsi"/>
                <w:sz w:val="18"/>
                <w:szCs w:val="18"/>
              </w:rPr>
              <w:t xml:space="preserve">           </w:t>
            </w:r>
          </w:p>
          <w:p w14:paraId="7D375F35"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w:t>
            </w:r>
            <w:r>
              <w:rPr>
                <w:rFonts w:asciiTheme="majorHAnsi" w:hAnsiTheme="majorHAnsi" w:cstheme="majorHAnsi"/>
                <w:sz w:val="18"/>
                <w:szCs w:val="18"/>
              </w:rPr>
              <w:t>0/13</w:t>
            </w:r>
            <w:r w:rsidRPr="003A5EFD">
              <w:rPr>
                <w:rFonts w:asciiTheme="majorHAnsi" w:hAnsiTheme="majorHAnsi" w:cstheme="majorHAnsi"/>
                <w:sz w:val="18"/>
                <w:szCs w:val="18"/>
              </w:rPr>
              <w:t xml:space="preserve">          </w:t>
            </w:r>
          </w:p>
          <w:p w14:paraId="504C60AD"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0</w:t>
            </w:r>
            <w:r>
              <w:rPr>
                <w:rFonts w:asciiTheme="majorHAnsi" w:hAnsiTheme="majorHAnsi" w:cstheme="majorHAnsi"/>
                <w:sz w:val="18"/>
                <w:szCs w:val="18"/>
              </w:rPr>
              <w:t>/5</w:t>
            </w:r>
            <w:r w:rsidRPr="003A5EFD">
              <w:rPr>
                <w:rFonts w:asciiTheme="majorHAnsi" w:hAnsiTheme="majorHAnsi" w:cstheme="majorHAnsi"/>
                <w:sz w:val="18"/>
                <w:szCs w:val="18"/>
              </w:rPr>
              <w:t xml:space="preserve">                  </w:t>
            </w:r>
          </w:p>
          <w:p w14:paraId="1D25A065" w14:textId="77777777" w:rsidR="002259C9" w:rsidRPr="003A5EFD" w:rsidRDefault="002259C9" w:rsidP="000C0460">
            <w:pPr>
              <w:spacing w:line="480" w:lineRule="auto"/>
              <w:jc w:val="right"/>
              <w:rPr>
                <w:rFonts w:asciiTheme="majorHAnsi" w:hAnsiTheme="majorHAnsi" w:cstheme="majorHAnsi"/>
                <w:sz w:val="18"/>
                <w:szCs w:val="18"/>
              </w:rPr>
            </w:pPr>
            <w:r w:rsidRPr="003A5EFD">
              <w:rPr>
                <w:rFonts w:asciiTheme="majorHAnsi" w:hAnsiTheme="majorHAnsi" w:cstheme="majorHAnsi"/>
                <w:sz w:val="18"/>
                <w:szCs w:val="18"/>
              </w:rPr>
              <w:t xml:space="preserve">           0/4                              </w:t>
            </w:r>
          </w:p>
        </w:tc>
        <w:tc>
          <w:tcPr>
            <w:tcW w:w="1253" w:type="dxa"/>
            <w:tcBorders>
              <w:top w:val="single" w:sz="4" w:space="0" w:color="auto"/>
              <w:bottom w:val="single" w:sz="4" w:space="0" w:color="auto"/>
            </w:tcBorders>
          </w:tcPr>
          <w:p w14:paraId="47870A79" w14:textId="77777777" w:rsidR="002259C9" w:rsidRPr="003A5EFD" w:rsidRDefault="002259C9" w:rsidP="000C0460">
            <w:pPr>
              <w:spacing w:line="480" w:lineRule="auto"/>
              <w:rPr>
                <w:rFonts w:asciiTheme="majorHAnsi" w:hAnsiTheme="majorHAnsi" w:cstheme="majorHAnsi"/>
                <w:sz w:val="18"/>
                <w:szCs w:val="18"/>
              </w:rPr>
            </w:pPr>
          </w:p>
          <w:p w14:paraId="22A99E3F" w14:textId="77777777" w:rsidR="002259C9" w:rsidRPr="003A5EFD"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(17·8</w:t>
            </w:r>
            <w:r w:rsidRPr="003A5EFD">
              <w:rPr>
                <w:rFonts w:asciiTheme="majorHAnsi" w:hAnsiTheme="majorHAnsi" w:cstheme="majorHAnsi"/>
                <w:sz w:val="18"/>
                <w:szCs w:val="18"/>
              </w:rPr>
              <w:t>)</w:t>
            </w:r>
          </w:p>
          <w:p w14:paraId="6028AC01" w14:textId="77777777" w:rsidR="002259C9" w:rsidRPr="003A5EFD" w:rsidRDefault="002259C9" w:rsidP="000C0460">
            <w:pPr>
              <w:spacing w:line="480" w:lineRule="auto"/>
              <w:rPr>
                <w:rFonts w:asciiTheme="majorHAnsi" w:hAnsiTheme="majorHAnsi" w:cstheme="majorHAnsi"/>
                <w:sz w:val="18"/>
                <w:szCs w:val="18"/>
              </w:rPr>
            </w:pPr>
            <w:r w:rsidRPr="003A5EFD">
              <w:rPr>
                <w:rFonts w:asciiTheme="majorHAnsi" w:hAnsiTheme="majorHAnsi" w:cstheme="majorHAnsi"/>
                <w:sz w:val="18"/>
                <w:szCs w:val="18"/>
              </w:rPr>
              <w:t>(1</w:t>
            </w:r>
            <w:r>
              <w:rPr>
                <w:rFonts w:asciiTheme="majorHAnsi" w:hAnsiTheme="majorHAnsi" w:cstheme="majorHAnsi"/>
                <w:sz w:val="18"/>
                <w:szCs w:val="18"/>
              </w:rPr>
              <w:t>6</w:t>
            </w:r>
            <w:r w:rsidRPr="003A5EFD">
              <w:rPr>
                <w:rFonts w:asciiTheme="majorHAnsi" w:hAnsiTheme="majorHAnsi" w:cstheme="majorHAnsi"/>
                <w:sz w:val="18"/>
                <w:szCs w:val="18"/>
              </w:rPr>
              <w:t>)</w:t>
            </w:r>
          </w:p>
          <w:p w14:paraId="135B8965" w14:textId="77777777" w:rsidR="002259C9" w:rsidRPr="003A5EFD"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(2.9</w:t>
            </w:r>
            <w:r w:rsidRPr="003A5EFD">
              <w:rPr>
                <w:rFonts w:asciiTheme="majorHAnsi" w:hAnsiTheme="majorHAnsi" w:cstheme="majorHAnsi"/>
                <w:sz w:val="18"/>
                <w:szCs w:val="18"/>
              </w:rPr>
              <w:t>)</w:t>
            </w:r>
          </w:p>
          <w:p w14:paraId="39B291CD" w14:textId="77777777" w:rsidR="002259C9" w:rsidRPr="003A5EFD"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(9.1</w:t>
            </w:r>
            <w:r w:rsidRPr="003A5EFD">
              <w:rPr>
                <w:rFonts w:asciiTheme="majorHAnsi" w:hAnsiTheme="majorHAnsi" w:cstheme="majorHAnsi"/>
                <w:sz w:val="18"/>
                <w:szCs w:val="18"/>
              </w:rPr>
              <w:t>)</w:t>
            </w:r>
          </w:p>
          <w:p w14:paraId="12904276" w14:textId="77777777" w:rsidR="002259C9" w:rsidRPr="003A5EFD" w:rsidRDefault="002259C9" w:rsidP="000C0460">
            <w:pPr>
              <w:spacing w:line="480" w:lineRule="auto"/>
              <w:rPr>
                <w:rFonts w:asciiTheme="majorHAnsi" w:hAnsiTheme="majorHAnsi" w:cstheme="majorHAnsi"/>
                <w:sz w:val="18"/>
                <w:szCs w:val="18"/>
              </w:rPr>
            </w:pPr>
            <w:r>
              <w:rPr>
                <w:rFonts w:asciiTheme="majorHAnsi" w:hAnsiTheme="majorHAnsi" w:cstheme="majorHAnsi"/>
                <w:sz w:val="18"/>
                <w:szCs w:val="18"/>
              </w:rPr>
              <w:t>(0.0</w:t>
            </w:r>
            <w:r w:rsidRPr="003A5EFD">
              <w:rPr>
                <w:rFonts w:asciiTheme="majorHAnsi" w:hAnsiTheme="majorHAnsi" w:cstheme="majorHAnsi"/>
                <w:sz w:val="18"/>
                <w:szCs w:val="18"/>
              </w:rPr>
              <w:t xml:space="preserve">)   </w:t>
            </w:r>
          </w:p>
          <w:p w14:paraId="43526C4E" w14:textId="77777777" w:rsidR="002259C9" w:rsidRPr="003A5EFD" w:rsidRDefault="002259C9" w:rsidP="000C0460">
            <w:pPr>
              <w:spacing w:line="480" w:lineRule="auto"/>
              <w:rPr>
                <w:rFonts w:asciiTheme="majorHAnsi" w:hAnsiTheme="majorHAnsi" w:cstheme="majorHAnsi"/>
                <w:sz w:val="18"/>
                <w:szCs w:val="18"/>
              </w:rPr>
            </w:pPr>
            <w:r w:rsidRPr="003A5EFD">
              <w:rPr>
                <w:rFonts w:asciiTheme="majorHAnsi" w:hAnsiTheme="majorHAnsi" w:cstheme="majorHAnsi"/>
                <w:sz w:val="18"/>
                <w:szCs w:val="18"/>
              </w:rPr>
              <w:t>(0·0)</w:t>
            </w:r>
          </w:p>
          <w:p w14:paraId="4C11B218" w14:textId="77777777" w:rsidR="002259C9" w:rsidRPr="003A5EFD" w:rsidRDefault="002259C9" w:rsidP="000C0460">
            <w:pPr>
              <w:spacing w:line="480" w:lineRule="auto"/>
              <w:rPr>
                <w:rFonts w:asciiTheme="majorHAnsi" w:hAnsiTheme="majorHAnsi" w:cstheme="majorHAnsi"/>
                <w:sz w:val="18"/>
                <w:szCs w:val="18"/>
              </w:rPr>
            </w:pPr>
            <w:r w:rsidRPr="003A5EFD">
              <w:rPr>
                <w:rFonts w:asciiTheme="majorHAnsi" w:hAnsiTheme="majorHAnsi" w:cstheme="majorHAnsi"/>
                <w:sz w:val="18"/>
                <w:szCs w:val="18"/>
              </w:rPr>
              <w:t xml:space="preserve">(0·0)                                          </w:t>
            </w:r>
          </w:p>
        </w:tc>
      </w:tr>
      <w:tr w:rsidR="002259C9" w:rsidRPr="00DF3492" w14:paraId="58361B30" w14:textId="77777777" w:rsidTr="0082666E">
        <w:trPr>
          <w:cantSplit/>
        </w:trPr>
        <w:tc>
          <w:tcPr>
            <w:tcW w:w="4004" w:type="dxa"/>
            <w:tcBorders>
              <w:top w:val="single" w:sz="4" w:space="0" w:color="auto"/>
              <w:bottom w:val="single" w:sz="4" w:space="0" w:color="auto"/>
            </w:tcBorders>
          </w:tcPr>
          <w:p w14:paraId="79F48481" w14:textId="77777777" w:rsidR="002259C9" w:rsidRPr="00DF3492" w:rsidRDefault="002259C9" w:rsidP="000C0460">
            <w:pPr>
              <w:spacing w:line="480" w:lineRule="auto"/>
              <w:jc w:val="both"/>
              <w:rPr>
                <w:rFonts w:asciiTheme="majorHAnsi" w:hAnsiTheme="majorHAnsi" w:cstheme="majorHAnsi"/>
                <w:b/>
                <w:sz w:val="18"/>
                <w:szCs w:val="18"/>
              </w:rPr>
            </w:pPr>
            <w:r w:rsidRPr="00DF3492">
              <w:rPr>
                <w:rFonts w:asciiTheme="majorHAnsi" w:hAnsiTheme="majorHAnsi" w:cstheme="majorHAnsi"/>
                <w:b/>
                <w:sz w:val="18"/>
                <w:szCs w:val="18"/>
              </w:rPr>
              <w:t>TB incidence in country</w:t>
            </w:r>
            <w:r>
              <w:rPr>
                <w:rFonts w:asciiTheme="majorHAnsi" w:hAnsiTheme="majorHAnsi" w:cstheme="majorHAnsi"/>
                <w:b/>
                <w:sz w:val="18"/>
                <w:szCs w:val="18"/>
              </w:rPr>
              <w:t>-</w:t>
            </w:r>
            <w:r w:rsidRPr="00DF3492">
              <w:rPr>
                <w:rFonts w:asciiTheme="majorHAnsi" w:hAnsiTheme="majorHAnsi" w:cstheme="majorHAnsi"/>
                <w:b/>
                <w:sz w:val="18"/>
                <w:szCs w:val="18"/>
              </w:rPr>
              <w:t>of</w:t>
            </w:r>
            <w:r>
              <w:rPr>
                <w:rFonts w:asciiTheme="majorHAnsi" w:hAnsiTheme="majorHAnsi" w:cstheme="majorHAnsi"/>
                <w:b/>
                <w:sz w:val="18"/>
                <w:szCs w:val="18"/>
              </w:rPr>
              <w:t>-</w:t>
            </w:r>
            <w:r w:rsidRPr="00DF3492">
              <w:rPr>
                <w:rFonts w:asciiTheme="majorHAnsi" w:hAnsiTheme="majorHAnsi" w:cstheme="majorHAnsi"/>
                <w:b/>
                <w:sz w:val="18"/>
                <w:szCs w:val="18"/>
              </w:rPr>
              <w:t>birth</w:t>
            </w:r>
          </w:p>
          <w:p w14:paraId="348C4C23"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&lt;50/100,000 population</w:t>
            </w:r>
          </w:p>
          <w:p w14:paraId="0551BD8D"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50 - 149/100,000 population</w:t>
            </w:r>
          </w:p>
          <w:p w14:paraId="2BE16DBD"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150 – 249/100,000 population</w:t>
            </w:r>
          </w:p>
          <w:p w14:paraId="023BC940"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sz w:val="18"/>
                <w:szCs w:val="18"/>
              </w:rPr>
              <w:t>250-349/100,000 population</w:t>
            </w:r>
          </w:p>
          <w:p w14:paraId="4AA44AB5" w14:textId="77777777" w:rsidR="002259C9" w:rsidRPr="00DF3492" w:rsidRDefault="002259C9" w:rsidP="000C0460">
            <w:pPr>
              <w:spacing w:line="480" w:lineRule="auto"/>
              <w:jc w:val="both"/>
              <w:rPr>
                <w:rFonts w:asciiTheme="majorHAnsi" w:hAnsiTheme="majorHAnsi" w:cstheme="majorHAnsi"/>
                <w:sz w:val="18"/>
                <w:szCs w:val="18"/>
              </w:rPr>
            </w:pPr>
            <w:r w:rsidRPr="00DF3492">
              <w:rPr>
                <w:rFonts w:asciiTheme="majorHAnsi" w:hAnsiTheme="majorHAnsi" w:cstheme="majorHAnsi"/>
                <w:color w:val="000000"/>
                <w:sz w:val="18"/>
                <w:szCs w:val="18"/>
              </w:rPr>
              <w:t>≥</w:t>
            </w:r>
            <w:r>
              <w:rPr>
                <w:rFonts w:asciiTheme="majorHAnsi" w:hAnsiTheme="majorHAnsi" w:cstheme="majorHAnsi"/>
                <w:sz w:val="18"/>
                <w:szCs w:val="18"/>
              </w:rPr>
              <w:t>350/100,000 population</w:t>
            </w:r>
          </w:p>
        </w:tc>
        <w:tc>
          <w:tcPr>
            <w:tcW w:w="1610" w:type="dxa"/>
            <w:tcBorders>
              <w:top w:val="single" w:sz="4" w:space="0" w:color="auto"/>
              <w:bottom w:val="single" w:sz="4" w:space="0" w:color="auto"/>
            </w:tcBorders>
          </w:tcPr>
          <w:p w14:paraId="1BD2CCE9" w14:textId="77777777" w:rsidR="002259C9" w:rsidRDefault="002259C9" w:rsidP="000C0460">
            <w:pPr>
              <w:spacing w:line="480" w:lineRule="auto"/>
              <w:ind w:left="360"/>
              <w:jc w:val="right"/>
              <w:rPr>
                <w:rFonts w:asciiTheme="majorHAnsi" w:hAnsiTheme="majorHAnsi" w:cstheme="majorHAnsi"/>
                <w:sz w:val="18"/>
                <w:szCs w:val="18"/>
              </w:rPr>
            </w:pPr>
            <w:r w:rsidRPr="00D87CF5">
              <w:rPr>
                <w:rFonts w:asciiTheme="majorHAnsi" w:hAnsiTheme="majorHAnsi" w:cstheme="majorHAnsi"/>
                <w:sz w:val="18"/>
                <w:szCs w:val="18"/>
              </w:rPr>
              <w:t xml:space="preserve">                         </w:t>
            </w:r>
            <w:r>
              <w:rPr>
                <w:rFonts w:asciiTheme="majorHAnsi" w:hAnsiTheme="majorHAnsi" w:cstheme="majorHAnsi"/>
                <w:sz w:val="18"/>
                <w:szCs w:val="18"/>
              </w:rPr>
              <w:t>439</w:t>
            </w:r>
            <w:r w:rsidRPr="00D87CF5">
              <w:rPr>
                <w:rFonts w:asciiTheme="majorHAnsi" w:hAnsiTheme="majorHAnsi" w:cstheme="majorHAnsi"/>
                <w:sz w:val="18"/>
                <w:szCs w:val="18"/>
              </w:rPr>
              <w:t xml:space="preserve">              </w:t>
            </w:r>
          </w:p>
          <w:p w14:paraId="010BD83F"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58</w:t>
            </w:r>
            <w:r w:rsidRPr="00D87CF5">
              <w:rPr>
                <w:rFonts w:asciiTheme="majorHAnsi" w:hAnsiTheme="majorHAnsi" w:cstheme="majorHAnsi"/>
                <w:sz w:val="18"/>
                <w:szCs w:val="18"/>
              </w:rPr>
              <w:t xml:space="preserve">                </w:t>
            </w:r>
            <w:r>
              <w:rPr>
                <w:rFonts w:asciiTheme="majorHAnsi" w:hAnsiTheme="majorHAnsi" w:cstheme="majorHAnsi"/>
                <w:sz w:val="18"/>
                <w:szCs w:val="18"/>
              </w:rPr>
              <w:t>427</w:t>
            </w:r>
            <w:r w:rsidRPr="00D87CF5">
              <w:rPr>
                <w:rFonts w:asciiTheme="majorHAnsi" w:hAnsiTheme="majorHAnsi" w:cstheme="majorHAnsi"/>
                <w:sz w:val="18"/>
                <w:szCs w:val="18"/>
              </w:rPr>
              <w:t xml:space="preserve">              </w:t>
            </w:r>
          </w:p>
          <w:p w14:paraId="3E7394F2" w14:textId="77777777" w:rsidR="002259C9"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63</w:t>
            </w:r>
            <w:r w:rsidRPr="00D87CF5">
              <w:rPr>
                <w:rFonts w:asciiTheme="majorHAnsi" w:hAnsiTheme="majorHAnsi" w:cstheme="majorHAnsi"/>
                <w:sz w:val="18"/>
                <w:szCs w:val="18"/>
              </w:rPr>
              <w:t xml:space="preserve">               </w:t>
            </w:r>
          </w:p>
          <w:p w14:paraId="7325DA42" w14:textId="77777777" w:rsidR="002259C9" w:rsidRPr="00D87CF5"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66</w:t>
            </w:r>
            <w:r w:rsidRPr="00D87CF5">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0E33132F" w14:textId="77777777" w:rsidR="002259C9" w:rsidRPr="002B558E" w:rsidRDefault="002259C9" w:rsidP="000C0460">
            <w:pPr>
              <w:spacing w:line="480" w:lineRule="auto"/>
              <w:jc w:val="both"/>
              <w:rPr>
                <w:rFonts w:asciiTheme="majorHAnsi" w:hAnsiTheme="majorHAnsi" w:cstheme="majorHAnsi"/>
                <w:sz w:val="18"/>
                <w:szCs w:val="18"/>
                <w:highlight w:val="yellow"/>
              </w:rPr>
            </w:pPr>
          </w:p>
          <w:p w14:paraId="5873B9A1" w14:textId="77777777" w:rsidR="002259C9" w:rsidRPr="006C62B4"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(41</w:t>
            </w:r>
            <w:r w:rsidRPr="006C62B4">
              <w:rPr>
                <w:rFonts w:asciiTheme="majorHAnsi" w:hAnsiTheme="majorHAnsi" w:cstheme="majorHAnsi"/>
                <w:sz w:val="18"/>
                <w:szCs w:val="18"/>
              </w:rPr>
              <w:t>·</w:t>
            </w:r>
            <w:r>
              <w:rPr>
                <w:rFonts w:asciiTheme="majorHAnsi" w:hAnsiTheme="majorHAnsi" w:cstheme="majorHAnsi"/>
                <w:sz w:val="18"/>
                <w:szCs w:val="18"/>
              </w:rPr>
              <w:t>7</w:t>
            </w:r>
            <w:r w:rsidRPr="006C62B4">
              <w:rPr>
                <w:rFonts w:asciiTheme="majorHAnsi" w:hAnsiTheme="majorHAnsi" w:cstheme="majorHAnsi"/>
                <w:sz w:val="18"/>
                <w:szCs w:val="18"/>
              </w:rPr>
              <w:t>)</w:t>
            </w:r>
          </w:p>
          <w:p w14:paraId="6AA5413C" w14:textId="77777777" w:rsidR="002259C9" w:rsidRPr="006C62B4" w:rsidRDefault="002259C9" w:rsidP="000C0460">
            <w:pPr>
              <w:spacing w:line="480" w:lineRule="auto"/>
              <w:jc w:val="both"/>
              <w:rPr>
                <w:rFonts w:asciiTheme="majorHAnsi" w:hAnsiTheme="majorHAnsi" w:cstheme="majorHAnsi"/>
                <w:sz w:val="18"/>
                <w:szCs w:val="18"/>
              </w:rPr>
            </w:pPr>
            <w:r w:rsidRPr="006C62B4">
              <w:rPr>
                <w:rFonts w:asciiTheme="majorHAnsi" w:hAnsiTheme="majorHAnsi" w:cstheme="majorHAnsi"/>
                <w:sz w:val="18"/>
                <w:szCs w:val="18"/>
              </w:rPr>
              <w:t>(5·5)</w:t>
            </w:r>
          </w:p>
          <w:p w14:paraId="60C47C47" w14:textId="77777777" w:rsidR="002259C9" w:rsidRPr="006C62B4"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(40.6</w:t>
            </w:r>
            <w:r w:rsidRPr="006C62B4">
              <w:rPr>
                <w:rFonts w:asciiTheme="majorHAnsi" w:hAnsiTheme="majorHAnsi" w:cstheme="majorHAnsi"/>
                <w:sz w:val="18"/>
                <w:szCs w:val="18"/>
              </w:rPr>
              <w:t>)</w:t>
            </w:r>
          </w:p>
          <w:p w14:paraId="6CE095B1" w14:textId="77777777" w:rsidR="002259C9" w:rsidRPr="006C62B4" w:rsidRDefault="002259C9" w:rsidP="000C0460">
            <w:pPr>
              <w:spacing w:line="480" w:lineRule="auto"/>
              <w:jc w:val="both"/>
              <w:rPr>
                <w:rFonts w:asciiTheme="majorHAnsi" w:hAnsiTheme="majorHAnsi" w:cstheme="majorHAnsi"/>
                <w:sz w:val="18"/>
                <w:szCs w:val="18"/>
              </w:rPr>
            </w:pPr>
            <w:r w:rsidRPr="006C62B4">
              <w:rPr>
                <w:rFonts w:asciiTheme="majorHAnsi" w:hAnsiTheme="majorHAnsi" w:cstheme="majorHAnsi"/>
                <w:sz w:val="18"/>
                <w:szCs w:val="18"/>
              </w:rPr>
              <w:t>(6·0)</w:t>
            </w:r>
          </w:p>
          <w:p w14:paraId="7EDBA8B3" w14:textId="77777777" w:rsidR="002259C9" w:rsidRPr="00963EB6" w:rsidRDefault="002259C9" w:rsidP="000C0460">
            <w:pPr>
              <w:spacing w:line="480" w:lineRule="auto"/>
              <w:jc w:val="both"/>
              <w:rPr>
                <w:rFonts w:asciiTheme="majorHAnsi" w:hAnsiTheme="majorHAnsi" w:cstheme="majorHAnsi"/>
                <w:sz w:val="18"/>
                <w:szCs w:val="18"/>
              </w:rPr>
            </w:pPr>
            <w:r w:rsidRPr="006C62B4">
              <w:rPr>
                <w:rFonts w:asciiTheme="majorHAnsi" w:hAnsiTheme="majorHAnsi" w:cstheme="majorHAnsi"/>
                <w:sz w:val="18"/>
                <w:szCs w:val="18"/>
              </w:rPr>
              <w:t>(6·</w:t>
            </w:r>
            <w:r>
              <w:rPr>
                <w:rFonts w:asciiTheme="majorHAnsi" w:hAnsiTheme="majorHAnsi" w:cstheme="majorHAnsi"/>
                <w:sz w:val="18"/>
                <w:szCs w:val="18"/>
              </w:rPr>
              <w:t>3)</w:t>
            </w:r>
          </w:p>
        </w:tc>
        <w:tc>
          <w:tcPr>
            <w:tcW w:w="1351" w:type="dxa"/>
            <w:tcBorders>
              <w:top w:val="single" w:sz="4" w:space="0" w:color="auto"/>
              <w:bottom w:val="single" w:sz="4" w:space="0" w:color="auto"/>
            </w:tcBorders>
          </w:tcPr>
          <w:p w14:paraId="4BE3CF8A" w14:textId="77777777" w:rsidR="002259C9" w:rsidRPr="00F63C01" w:rsidRDefault="002259C9" w:rsidP="000C0460">
            <w:pPr>
              <w:spacing w:line="480" w:lineRule="auto"/>
              <w:ind w:left="360"/>
              <w:rPr>
                <w:rFonts w:asciiTheme="majorHAnsi" w:hAnsiTheme="majorHAnsi" w:cstheme="majorHAnsi"/>
                <w:sz w:val="18"/>
                <w:szCs w:val="18"/>
              </w:rPr>
            </w:pPr>
          </w:p>
          <w:p w14:paraId="7D9DCC5A" w14:textId="77777777" w:rsidR="002259C9" w:rsidRPr="00F63C01" w:rsidRDefault="002259C9" w:rsidP="000C0460">
            <w:pPr>
              <w:spacing w:line="480" w:lineRule="auto"/>
              <w:ind w:left="360"/>
              <w:jc w:val="right"/>
              <w:rPr>
                <w:rFonts w:asciiTheme="majorHAnsi" w:hAnsiTheme="majorHAnsi" w:cstheme="majorHAnsi"/>
                <w:sz w:val="18"/>
                <w:szCs w:val="18"/>
              </w:rPr>
            </w:pPr>
            <w:r w:rsidRPr="00F63C01">
              <w:rPr>
                <w:rFonts w:asciiTheme="majorHAnsi" w:hAnsiTheme="majorHAnsi" w:cstheme="majorHAnsi"/>
                <w:sz w:val="18"/>
                <w:szCs w:val="18"/>
              </w:rPr>
              <w:t>1</w:t>
            </w:r>
            <w:r>
              <w:rPr>
                <w:rFonts w:asciiTheme="majorHAnsi" w:hAnsiTheme="majorHAnsi" w:cstheme="majorHAnsi"/>
                <w:sz w:val="18"/>
                <w:szCs w:val="18"/>
              </w:rPr>
              <w:t>2/439</w:t>
            </w:r>
            <w:r w:rsidRPr="00F63C01">
              <w:rPr>
                <w:rFonts w:asciiTheme="majorHAnsi" w:hAnsiTheme="majorHAnsi" w:cstheme="majorHAnsi"/>
                <w:sz w:val="18"/>
                <w:szCs w:val="18"/>
              </w:rPr>
              <w:t xml:space="preserve">      </w:t>
            </w:r>
          </w:p>
          <w:p w14:paraId="29B59621" w14:textId="77777777" w:rsidR="002259C9" w:rsidRPr="00F63C01" w:rsidRDefault="002259C9" w:rsidP="000C0460">
            <w:pPr>
              <w:spacing w:line="480" w:lineRule="auto"/>
              <w:ind w:left="360"/>
              <w:jc w:val="right"/>
              <w:rPr>
                <w:rFonts w:asciiTheme="majorHAnsi" w:hAnsiTheme="majorHAnsi" w:cstheme="majorHAnsi"/>
                <w:sz w:val="18"/>
                <w:szCs w:val="18"/>
              </w:rPr>
            </w:pPr>
            <w:r w:rsidRPr="00F63C01">
              <w:rPr>
                <w:rFonts w:asciiTheme="majorHAnsi" w:hAnsiTheme="majorHAnsi" w:cstheme="majorHAnsi"/>
                <w:sz w:val="18"/>
                <w:szCs w:val="18"/>
              </w:rPr>
              <w:t xml:space="preserve">     </w:t>
            </w:r>
            <w:r>
              <w:rPr>
                <w:rFonts w:asciiTheme="majorHAnsi" w:hAnsiTheme="majorHAnsi" w:cstheme="majorHAnsi"/>
                <w:sz w:val="18"/>
                <w:szCs w:val="18"/>
              </w:rPr>
              <w:t>12/58</w:t>
            </w:r>
            <w:r w:rsidRPr="00F63C01">
              <w:rPr>
                <w:rFonts w:asciiTheme="majorHAnsi" w:hAnsiTheme="majorHAnsi" w:cstheme="majorHAnsi"/>
                <w:sz w:val="18"/>
                <w:szCs w:val="18"/>
              </w:rPr>
              <w:t xml:space="preserve">        </w:t>
            </w:r>
          </w:p>
          <w:p w14:paraId="364D262A" w14:textId="77777777" w:rsidR="002259C9" w:rsidRPr="00F63C01" w:rsidRDefault="002259C9" w:rsidP="000C0460">
            <w:pPr>
              <w:spacing w:line="480" w:lineRule="auto"/>
              <w:ind w:left="360"/>
              <w:jc w:val="right"/>
              <w:rPr>
                <w:rFonts w:asciiTheme="majorHAnsi" w:hAnsiTheme="majorHAnsi" w:cstheme="majorHAnsi"/>
                <w:sz w:val="18"/>
                <w:szCs w:val="18"/>
              </w:rPr>
            </w:pPr>
            <w:r>
              <w:rPr>
                <w:rFonts w:asciiTheme="majorHAnsi" w:hAnsiTheme="majorHAnsi" w:cstheme="majorHAnsi"/>
                <w:sz w:val="18"/>
                <w:szCs w:val="18"/>
              </w:rPr>
              <w:t>74/427</w:t>
            </w:r>
            <w:r w:rsidRPr="00F63C01">
              <w:rPr>
                <w:rFonts w:asciiTheme="majorHAnsi" w:hAnsiTheme="majorHAnsi" w:cstheme="majorHAnsi"/>
                <w:sz w:val="18"/>
                <w:szCs w:val="18"/>
              </w:rPr>
              <w:t xml:space="preserve">     </w:t>
            </w:r>
            <w:r>
              <w:rPr>
                <w:rFonts w:asciiTheme="majorHAnsi" w:hAnsiTheme="majorHAnsi" w:cstheme="majorHAnsi"/>
                <w:sz w:val="18"/>
                <w:szCs w:val="18"/>
              </w:rPr>
              <w:t>11/63</w:t>
            </w:r>
            <w:r w:rsidRPr="00F63C01">
              <w:rPr>
                <w:rFonts w:asciiTheme="majorHAnsi" w:hAnsiTheme="majorHAnsi" w:cstheme="majorHAnsi"/>
                <w:sz w:val="18"/>
                <w:szCs w:val="18"/>
              </w:rPr>
              <w:t xml:space="preserve">      </w:t>
            </w:r>
          </w:p>
          <w:p w14:paraId="48BDD93F" w14:textId="77777777" w:rsidR="002259C9" w:rsidRPr="00F63C01" w:rsidRDefault="002259C9" w:rsidP="000C0460">
            <w:pPr>
              <w:spacing w:line="480" w:lineRule="auto"/>
              <w:ind w:left="360"/>
              <w:jc w:val="right"/>
              <w:rPr>
                <w:rFonts w:asciiTheme="majorHAnsi" w:hAnsiTheme="majorHAnsi" w:cstheme="majorHAnsi"/>
                <w:sz w:val="18"/>
                <w:szCs w:val="18"/>
              </w:rPr>
            </w:pPr>
            <w:r w:rsidRPr="00F63C01">
              <w:rPr>
                <w:rFonts w:asciiTheme="majorHAnsi" w:hAnsiTheme="majorHAnsi" w:cstheme="majorHAnsi"/>
                <w:sz w:val="18"/>
                <w:szCs w:val="18"/>
              </w:rPr>
              <w:t xml:space="preserve">     </w:t>
            </w:r>
            <w:r>
              <w:rPr>
                <w:rFonts w:asciiTheme="majorHAnsi" w:hAnsiTheme="majorHAnsi" w:cstheme="majorHAnsi"/>
                <w:sz w:val="18"/>
                <w:szCs w:val="18"/>
              </w:rPr>
              <w:t xml:space="preserve">9/66        </w:t>
            </w:r>
            <w:r w:rsidRPr="00F63C01">
              <w:rPr>
                <w:rFonts w:asciiTheme="majorHAnsi" w:hAnsiTheme="majorHAnsi" w:cstheme="majorHAnsi"/>
                <w:sz w:val="18"/>
                <w:szCs w:val="18"/>
              </w:rPr>
              <w:t xml:space="preserve">    </w:t>
            </w:r>
            <w:r>
              <w:rPr>
                <w:rFonts w:asciiTheme="majorHAnsi" w:hAnsiTheme="majorHAnsi" w:cstheme="majorHAnsi"/>
                <w:sz w:val="18"/>
                <w:szCs w:val="18"/>
              </w:rPr>
              <w:t xml:space="preserve">        </w:t>
            </w:r>
            <w:r w:rsidRPr="00F63C01">
              <w:rPr>
                <w:rFonts w:asciiTheme="majorHAnsi" w:hAnsiTheme="majorHAnsi" w:cstheme="majorHAnsi"/>
                <w:sz w:val="18"/>
                <w:szCs w:val="18"/>
              </w:rPr>
              <w:t xml:space="preserve">                     </w:t>
            </w:r>
          </w:p>
        </w:tc>
        <w:tc>
          <w:tcPr>
            <w:tcW w:w="1253" w:type="dxa"/>
            <w:tcBorders>
              <w:top w:val="single" w:sz="4" w:space="0" w:color="auto"/>
              <w:bottom w:val="single" w:sz="4" w:space="0" w:color="auto"/>
            </w:tcBorders>
          </w:tcPr>
          <w:p w14:paraId="3644245F" w14:textId="77777777" w:rsidR="002259C9" w:rsidRPr="00F63C01" w:rsidRDefault="002259C9" w:rsidP="000C0460">
            <w:pPr>
              <w:spacing w:line="480" w:lineRule="auto"/>
              <w:ind w:left="360"/>
              <w:jc w:val="both"/>
              <w:rPr>
                <w:rFonts w:asciiTheme="majorHAnsi" w:hAnsiTheme="majorHAnsi" w:cstheme="majorHAnsi"/>
                <w:sz w:val="18"/>
                <w:szCs w:val="18"/>
              </w:rPr>
            </w:pPr>
          </w:p>
          <w:p w14:paraId="6F342C39" w14:textId="77777777" w:rsidR="002259C9" w:rsidRPr="00F63C01"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(2.7</w:t>
            </w:r>
            <w:r w:rsidRPr="00F63C01">
              <w:rPr>
                <w:rFonts w:asciiTheme="majorHAnsi" w:hAnsiTheme="majorHAnsi" w:cstheme="majorHAnsi"/>
                <w:sz w:val="18"/>
                <w:szCs w:val="18"/>
              </w:rPr>
              <w:t>)</w:t>
            </w:r>
          </w:p>
          <w:p w14:paraId="3F916D22" w14:textId="77777777" w:rsidR="002259C9" w:rsidRPr="00F63C01"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(20.7</w:t>
            </w:r>
            <w:r w:rsidRPr="00F63C01">
              <w:rPr>
                <w:rFonts w:asciiTheme="majorHAnsi" w:hAnsiTheme="majorHAnsi" w:cstheme="majorHAnsi"/>
                <w:sz w:val="18"/>
                <w:szCs w:val="18"/>
              </w:rPr>
              <w:t>)</w:t>
            </w:r>
          </w:p>
          <w:p w14:paraId="491496E1" w14:textId="77777777" w:rsidR="002259C9" w:rsidRPr="00F63C01"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(17.3</w:t>
            </w:r>
            <w:r w:rsidRPr="00F63C01">
              <w:rPr>
                <w:rFonts w:asciiTheme="majorHAnsi" w:hAnsiTheme="majorHAnsi" w:cstheme="majorHAnsi"/>
                <w:sz w:val="18"/>
                <w:szCs w:val="18"/>
              </w:rPr>
              <w:t>)</w:t>
            </w:r>
          </w:p>
          <w:p w14:paraId="35ED144C" w14:textId="77777777" w:rsidR="002259C9" w:rsidRPr="00F63C01" w:rsidRDefault="002259C9" w:rsidP="000C0460">
            <w:pPr>
              <w:spacing w:line="480" w:lineRule="auto"/>
              <w:jc w:val="both"/>
              <w:rPr>
                <w:rFonts w:asciiTheme="majorHAnsi" w:hAnsiTheme="majorHAnsi" w:cstheme="majorHAnsi"/>
                <w:sz w:val="18"/>
                <w:szCs w:val="18"/>
              </w:rPr>
            </w:pPr>
            <w:r w:rsidRPr="00F63C01">
              <w:rPr>
                <w:rFonts w:asciiTheme="majorHAnsi" w:hAnsiTheme="majorHAnsi" w:cstheme="majorHAnsi"/>
                <w:sz w:val="18"/>
                <w:szCs w:val="18"/>
              </w:rPr>
              <w:t>(1</w:t>
            </w:r>
            <w:r>
              <w:rPr>
                <w:rFonts w:asciiTheme="majorHAnsi" w:hAnsiTheme="majorHAnsi" w:cstheme="majorHAnsi"/>
                <w:sz w:val="18"/>
                <w:szCs w:val="18"/>
              </w:rPr>
              <w:t>7.5</w:t>
            </w:r>
          </w:p>
          <w:p w14:paraId="63308A4A" w14:textId="77777777" w:rsidR="002259C9" w:rsidRPr="00F63C01" w:rsidRDefault="002259C9" w:rsidP="000C0460">
            <w:pPr>
              <w:spacing w:line="480" w:lineRule="auto"/>
              <w:jc w:val="both"/>
              <w:rPr>
                <w:rFonts w:asciiTheme="majorHAnsi" w:hAnsiTheme="majorHAnsi" w:cstheme="majorHAnsi"/>
                <w:sz w:val="18"/>
                <w:szCs w:val="18"/>
              </w:rPr>
            </w:pPr>
            <w:r w:rsidRPr="00F63C01">
              <w:rPr>
                <w:rFonts w:asciiTheme="majorHAnsi" w:hAnsiTheme="majorHAnsi" w:cstheme="majorHAnsi"/>
                <w:sz w:val="18"/>
                <w:szCs w:val="18"/>
              </w:rPr>
              <w:t>(13·</w:t>
            </w:r>
            <w:r>
              <w:rPr>
                <w:rFonts w:asciiTheme="majorHAnsi" w:hAnsiTheme="majorHAnsi" w:cstheme="majorHAnsi"/>
                <w:sz w:val="18"/>
                <w:szCs w:val="18"/>
              </w:rPr>
              <w:t>6)</w:t>
            </w:r>
          </w:p>
        </w:tc>
      </w:tr>
      <w:tr w:rsidR="002259C9" w:rsidRPr="00DF3492" w14:paraId="57DAA3E7" w14:textId="77777777" w:rsidTr="0082666E">
        <w:tc>
          <w:tcPr>
            <w:tcW w:w="4004" w:type="dxa"/>
            <w:tcBorders>
              <w:top w:val="single" w:sz="4" w:space="0" w:color="auto"/>
              <w:bottom w:val="single" w:sz="4" w:space="0" w:color="auto"/>
            </w:tcBorders>
          </w:tcPr>
          <w:p w14:paraId="2EBDE644" w14:textId="77777777" w:rsidR="002259C9" w:rsidRPr="00DF3492" w:rsidRDefault="002259C9" w:rsidP="000C0460">
            <w:pPr>
              <w:spacing w:line="480" w:lineRule="auto"/>
              <w:rPr>
                <w:rFonts w:asciiTheme="majorHAnsi" w:hAnsiTheme="majorHAnsi" w:cstheme="majorHAnsi"/>
                <w:b/>
                <w:sz w:val="18"/>
                <w:szCs w:val="18"/>
              </w:rPr>
            </w:pPr>
            <w:r w:rsidRPr="00DF3492">
              <w:rPr>
                <w:rFonts w:asciiTheme="majorHAnsi" w:hAnsiTheme="majorHAnsi" w:cstheme="majorHAnsi"/>
                <w:b/>
                <w:sz w:val="18"/>
                <w:szCs w:val="18"/>
              </w:rPr>
              <w:t>Type of IGRA performed</w:t>
            </w:r>
          </w:p>
          <w:p w14:paraId="463792C6" w14:textId="77777777" w:rsidR="002259C9" w:rsidRPr="00D34F17" w:rsidRDefault="002259C9" w:rsidP="000C0460">
            <w:pPr>
              <w:spacing w:line="480" w:lineRule="auto"/>
              <w:rPr>
                <w:rFonts w:asciiTheme="majorHAnsi" w:hAnsiTheme="majorHAnsi" w:cstheme="majorHAnsi"/>
                <w:color w:val="222222"/>
                <w:sz w:val="18"/>
                <w:szCs w:val="18"/>
                <w:shd w:val="clear" w:color="auto" w:fill="FFFFFF"/>
              </w:rPr>
            </w:pPr>
            <w:proofErr w:type="spellStart"/>
            <w:r w:rsidRPr="00D34F17">
              <w:rPr>
                <w:rFonts w:asciiTheme="majorHAnsi" w:hAnsiTheme="majorHAnsi" w:cstheme="majorHAnsi"/>
                <w:color w:val="222222"/>
                <w:sz w:val="18"/>
                <w:szCs w:val="18"/>
                <w:shd w:val="clear" w:color="auto" w:fill="FFFFFF"/>
              </w:rPr>
              <w:t>QuantiFERON</w:t>
            </w:r>
            <w:proofErr w:type="spellEnd"/>
            <w:r w:rsidRPr="00D34F17">
              <w:rPr>
                <w:rFonts w:asciiTheme="majorHAnsi" w:hAnsiTheme="majorHAnsi" w:cstheme="majorHAnsi"/>
                <w:color w:val="222222"/>
                <w:sz w:val="18"/>
                <w:szCs w:val="18"/>
                <w:shd w:val="clear" w:color="auto" w:fill="FFFFFF"/>
              </w:rPr>
              <w:t>-TB</w:t>
            </w:r>
            <w:r w:rsidRPr="00D34F17">
              <w:rPr>
                <w:rFonts w:asciiTheme="majorHAnsi" w:hAnsiTheme="majorHAnsi" w:cstheme="majorHAnsi"/>
                <w:color w:val="222222"/>
                <w:sz w:val="18"/>
                <w:szCs w:val="18"/>
                <w:shd w:val="clear" w:color="auto" w:fill="FFFFFF"/>
                <w:vertAlign w:val="superscript"/>
              </w:rPr>
              <w:t>®</w:t>
            </w:r>
            <w:r w:rsidRPr="00D34F17">
              <w:rPr>
                <w:rFonts w:asciiTheme="majorHAnsi" w:hAnsiTheme="majorHAnsi" w:cstheme="majorHAnsi"/>
                <w:color w:val="222222"/>
                <w:sz w:val="18"/>
                <w:szCs w:val="18"/>
                <w:shd w:val="clear" w:color="auto" w:fill="FFFFFF"/>
              </w:rPr>
              <w:t xml:space="preserve"> test</w:t>
            </w:r>
            <w:r w:rsidRPr="00D34F17">
              <w:rPr>
                <w:rFonts w:asciiTheme="majorHAnsi" w:hAnsiTheme="majorHAnsi" w:cstheme="majorHAnsi"/>
                <w:sz w:val="16"/>
                <w:szCs w:val="16"/>
              </w:rPr>
              <w:t>‡</w:t>
            </w:r>
            <w:r w:rsidRPr="00D34F17">
              <w:rPr>
                <w:rFonts w:asciiTheme="majorHAnsi" w:hAnsiTheme="majorHAnsi" w:cstheme="majorHAnsi"/>
                <w:color w:val="222222"/>
                <w:sz w:val="18"/>
                <w:szCs w:val="18"/>
                <w:shd w:val="clear" w:color="auto" w:fill="FFFFFF"/>
              </w:rPr>
              <w:t xml:space="preserve"> only</w:t>
            </w:r>
          </w:p>
          <w:p w14:paraId="5D068820" w14:textId="77777777" w:rsidR="002259C9" w:rsidRPr="00DF3492" w:rsidRDefault="002259C9" w:rsidP="000C0460">
            <w:pPr>
              <w:spacing w:line="480" w:lineRule="auto"/>
              <w:rPr>
                <w:rFonts w:asciiTheme="majorHAnsi" w:hAnsiTheme="majorHAnsi" w:cstheme="majorHAnsi"/>
                <w:i/>
                <w:sz w:val="18"/>
                <w:szCs w:val="18"/>
              </w:rPr>
            </w:pPr>
            <w:proofErr w:type="spellStart"/>
            <w:r w:rsidRPr="00D34F17">
              <w:rPr>
                <w:rFonts w:asciiTheme="majorHAnsi" w:hAnsiTheme="majorHAnsi" w:cstheme="majorHAnsi"/>
                <w:color w:val="222222"/>
                <w:sz w:val="18"/>
                <w:szCs w:val="18"/>
                <w:shd w:val="clear" w:color="auto" w:fill="FFFFFF"/>
              </w:rPr>
              <w:t>QuantiFERON</w:t>
            </w:r>
            <w:proofErr w:type="spellEnd"/>
            <w:r w:rsidRPr="00D34F17">
              <w:rPr>
                <w:rFonts w:asciiTheme="majorHAnsi" w:hAnsiTheme="majorHAnsi" w:cstheme="majorHAnsi"/>
                <w:color w:val="222222"/>
                <w:sz w:val="18"/>
                <w:szCs w:val="18"/>
                <w:shd w:val="clear" w:color="auto" w:fill="FFFFFF"/>
              </w:rPr>
              <w:t>-TB</w:t>
            </w:r>
            <w:r w:rsidRPr="00D34F17">
              <w:rPr>
                <w:rFonts w:asciiTheme="majorHAnsi" w:hAnsiTheme="majorHAnsi" w:cstheme="majorHAnsi"/>
                <w:color w:val="222222"/>
                <w:sz w:val="18"/>
                <w:szCs w:val="18"/>
                <w:shd w:val="clear" w:color="auto" w:fill="FFFFFF"/>
                <w:vertAlign w:val="superscript"/>
              </w:rPr>
              <w:t>®</w:t>
            </w:r>
            <w:r w:rsidRPr="00D34F17">
              <w:rPr>
                <w:rFonts w:asciiTheme="majorHAnsi" w:hAnsiTheme="majorHAnsi" w:cstheme="majorHAnsi"/>
                <w:color w:val="222222"/>
                <w:sz w:val="18"/>
                <w:szCs w:val="18"/>
                <w:shd w:val="clear" w:color="auto" w:fill="FFFFFF"/>
              </w:rPr>
              <w:t xml:space="preserve"> tests</w:t>
            </w:r>
            <w:r w:rsidRPr="00D34F17">
              <w:rPr>
                <w:rFonts w:asciiTheme="majorHAnsi" w:hAnsiTheme="majorHAnsi" w:cstheme="majorHAnsi"/>
                <w:sz w:val="16"/>
                <w:szCs w:val="16"/>
              </w:rPr>
              <w:t>‡</w:t>
            </w:r>
            <w:r w:rsidRPr="00D34F17">
              <w:rPr>
                <w:rFonts w:asciiTheme="majorHAnsi" w:hAnsiTheme="majorHAnsi" w:cstheme="majorHAnsi"/>
                <w:color w:val="222222"/>
                <w:sz w:val="18"/>
                <w:szCs w:val="18"/>
                <w:shd w:val="clear" w:color="auto" w:fill="FFFFFF"/>
              </w:rPr>
              <w:t xml:space="preserve"> &amp;</w:t>
            </w:r>
            <w:r w:rsidRPr="00DF3492">
              <w:rPr>
                <w:rFonts w:asciiTheme="majorHAnsi" w:hAnsiTheme="majorHAnsi" w:cstheme="majorHAnsi"/>
                <w:color w:val="222222"/>
                <w:sz w:val="18"/>
                <w:szCs w:val="18"/>
                <w:shd w:val="clear" w:color="auto" w:fill="FFFFFF"/>
              </w:rPr>
              <w:t xml:space="preserve"> </w:t>
            </w:r>
            <w:r w:rsidRPr="00DF3492">
              <w:rPr>
                <w:rFonts w:asciiTheme="majorHAnsi" w:hAnsiTheme="majorHAnsi" w:cstheme="majorHAnsi"/>
                <w:sz w:val="18"/>
                <w:szCs w:val="18"/>
              </w:rPr>
              <w:t>T-SPOT</w:t>
            </w:r>
            <w:r w:rsidRPr="00DF3492">
              <w:rPr>
                <w:rFonts w:asciiTheme="majorHAnsi" w:hAnsiTheme="majorHAnsi" w:cstheme="majorHAnsi"/>
                <w:sz w:val="18"/>
                <w:szCs w:val="18"/>
                <w:vertAlign w:val="superscript"/>
              </w:rPr>
              <w:t>®</w:t>
            </w:r>
            <w:r w:rsidRPr="00DF3492">
              <w:rPr>
                <w:rFonts w:asciiTheme="majorHAnsi" w:hAnsiTheme="majorHAnsi" w:cstheme="majorHAnsi"/>
                <w:sz w:val="18"/>
                <w:szCs w:val="18"/>
              </w:rPr>
              <w:t>.</w:t>
            </w:r>
            <w:r w:rsidRPr="00DF3492">
              <w:rPr>
                <w:rFonts w:asciiTheme="majorHAnsi" w:hAnsiTheme="majorHAnsi" w:cstheme="majorHAnsi"/>
                <w:i/>
                <w:sz w:val="18"/>
                <w:szCs w:val="18"/>
              </w:rPr>
              <w:t>TB</w:t>
            </w:r>
          </w:p>
          <w:p w14:paraId="5EA1176E" w14:textId="77777777" w:rsidR="002259C9" w:rsidRPr="00DF3492" w:rsidRDefault="002259C9" w:rsidP="000C0460">
            <w:pPr>
              <w:spacing w:line="480" w:lineRule="auto"/>
              <w:rPr>
                <w:rFonts w:asciiTheme="majorHAnsi" w:hAnsiTheme="majorHAnsi" w:cstheme="majorHAnsi"/>
                <w:color w:val="222222"/>
                <w:sz w:val="18"/>
                <w:szCs w:val="18"/>
                <w:shd w:val="clear" w:color="auto" w:fill="FFFFFF"/>
              </w:rPr>
            </w:pPr>
            <w:r w:rsidRPr="00DF3492">
              <w:rPr>
                <w:rFonts w:asciiTheme="majorHAnsi" w:hAnsiTheme="majorHAnsi" w:cstheme="majorHAnsi"/>
                <w:sz w:val="18"/>
                <w:szCs w:val="18"/>
              </w:rPr>
              <w:lastRenderedPageBreak/>
              <w:t>T-SPOT</w:t>
            </w:r>
            <w:r w:rsidRPr="00DF3492">
              <w:rPr>
                <w:rFonts w:asciiTheme="majorHAnsi" w:hAnsiTheme="majorHAnsi" w:cstheme="majorHAnsi"/>
                <w:sz w:val="18"/>
                <w:szCs w:val="18"/>
                <w:vertAlign w:val="superscript"/>
              </w:rPr>
              <w:t>®</w:t>
            </w:r>
            <w:r w:rsidRPr="00DF3492">
              <w:rPr>
                <w:rFonts w:asciiTheme="majorHAnsi" w:hAnsiTheme="majorHAnsi" w:cstheme="majorHAnsi"/>
                <w:sz w:val="18"/>
                <w:szCs w:val="18"/>
              </w:rPr>
              <w:t>.</w:t>
            </w:r>
            <w:r w:rsidRPr="00DF3492">
              <w:rPr>
                <w:rFonts w:asciiTheme="majorHAnsi" w:hAnsiTheme="majorHAnsi" w:cstheme="majorHAnsi"/>
                <w:i/>
                <w:sz w:val="18"/>
                <w:szCs w:val="18"/>
              </w:rPr>
              <w:t xml:space="preserve">TB </w:t>
            </w:r>
            <w:r>
              <w:rPr>
                <w:rFonts w:asciiTheme="majorHAnsi" w:hAnsiTheme="majorHAnsi" w:cstheme="majorHAnsi"/>
                <w:sz w:val="18"/>
                <w:szCs w:val="18"/>
              </w:rPr>
              <w:t>only</w:t>
            </w:r>
          </w:p>
        </w:tc>
        <w:tc>
          <w:tcPr>
            <w:tcW w:w="1610" w:type="dxa"/>
            <w:tcBorders>
              <w:top w:val="single" w:sz="4" w:space="0" w:color="auto"/>
              <w:bottom w:val="single" w:sz="4" w:space="0" w:color="auto"/>
            </w:tcBorders>
          </w:tcPr>
          <w:p w14:paraId="650CAEB3" w14:textId="77777777" w:rsidR="002259C9" w:rsidRDefault="002259C9" w:rsidP="000C0460">
            <w:pPr>
              <w:spacing w:line="480" w:lineRule="auto"/>
              <w:jc w:val="right"/>
              <w:rPr>
                <w:rFonts w:asciiTheme="majorHAnsi" w:hAnsiTheme="majorHAnsi" w:cstheme="majorHAnsi"/>
                <w:sz w:val="18"/>
                <w:szCs w:val="18"/>
              </w:rPr>
            </w:pPr>
            <w:r w:rsidRPr="00B06A0D">
              <w:rPr>
                <w:rFonts w:asciiTheme="majorHAnsi" w:hAnsiTheme="majorHAnsi" w:cstheme="majorHAnsi"/>
                <w:sz w:val="18"/>
                <w:szCs w:val="18"/>
              </w:rPr>
              <w:lastRenderedPageBreak/>
              <w:t xml:space="preserve">                   </w:t>
            </w:r>
          </w:p>
          <w:p w14:paraId="3296FDC4" w14:textId="77777777" w:rsidR="002259C9" w:rsidRPr="00B06A0D" w:rsidRDefault="002259C9" w:rsidP="000C0460">
            <w:pPr>
              <w:spacing w:line="480" w:lineRule="auto"/>
              <w:jc w:val="right"/>
              <w:rPr>
                <w:rFonts w:asciiTheme="majorHAnsi" w:hAnsiTheme="majorHAnsi" w:cstheme="majorHAnsi"/>
                <w:sz w:val="18"/>
                <w:szCs w:val="18"/>
              </w:rPr>
            </w:pPr>
            <w:r w:rsidRPr="00B06A0D">
              <w:rPr>
                <w:rFonts w:asciiTheme="majorHAnsi" w:hAnsiTheme="majorHAnsi" w:cstheme="majorHAnsi"/>
                <w:sz w:val="18"/>
                <w:szCs w:val="18"/>
              </w:rPr>
              <w:t>10</w:t>
            </w:r>
            <w:r>
              <w:rPr>
                <w:rFonts w:asciiTheme="majorHAnsi" w:hAnsiTheme="majorHAnsi" w:cstheme="majorHAnsi"/>
                <w:sz w:val="18"/>
                <w:szCs w:val="18"/>
              </w:rPr>
              <w:t>13</w:t>
            </w:r>
          </w:p>
          <w:p w14:paraId="659221E4" w14:textId="77777777" w:rsidR="002259C9" w:rsidRPr="00B06A0D" w:rsidRDefault="002259C9" w:rsidP="000C0460">
            <w:pPr>
              <w:spacing w:line="480" w:lineRule="auto"/>
              <w:jc w:val="right"/>
              <w:rPr>
                <w:rFonts w:asciiTheme="majorHAnsi" w:hAnsiTheme="majorHAnsi" w:cstheme="majorHAnsi"/>
                <w:sz w:val="18"/>
                <w:szCs w:val="18"/>
              </w:rPr>
            </w:pPr>
            <w:r w:rsidRPr="00B06A0D">
              <w:rPr>
                <w:rFonts w:asciiTheme="majorHAnsi" w:hAnsiTheme="majorHAnsi" w:cstheme="majorHAnsi"/>
                <w:sz w:val="18"/>
                <w:szCs w:val="18"/>
              </w:rPr>
              <w:t>2</w:t>
            </w:r>
            <w:r>
              <w:rPr>
                <w:rFonts w:asciiTheme="majorHAnsi" w:hAnsiTheme="majorHAnsi" w:cstheme="majorHAnsi"/>
                <w:sz w:val="18"/>
                <w:szCs w:val="18"/>
              </w:rPr>
              <w:t>5</w:t>
            </w:r>
          </w:p>
          <w:p w14:paraId="322B11EE" w14:textId="77777777" w:rsidR="002259C9" w:rsidRPr="00B06A0D" w:rsidRDefault="002259C9" w:rsidP="000C0460">
            <w:pPr>
              <w:spacing w:line="480" w:lineRule="auto"/>
              <w:jc w:val="right"/>
              <w:rPr>
                <w:rFonts w:asciiTheme="majorHAnsi" w:hAnsiTheme="majorHAnsi" w:cstheme="majorHAnsi"/>
                <w:sz w:val="18"/>
                <w:szCs w:val="18"/>
              </w:rPr>
            </w:pPr>
            <w:r>
              <w:rPr>
                <w:rFonts w:asciiTheme="majorHAnsi" w:hAnsiTheme="majorHAnsi" w:cstheme="majorHAnsi"/>
                <w:sz w:val="18"/>
                <w:szCs w:val="18"/>
              </w:rPr>
              <w:lastRenderedPageBreak/>
              <w:t>15</w:t>
            </w:r>
            <w:r w:rsidRPr="00B06A0D">
              <w:rPr>
                <w:rFonts w:asciiTheme="majorHAnsi" w:hAnsiTheme="majorHAnsi" w:cstheme="majorHAnsi"/>
                <w:sz w:val="18"/>
                <w:szCs w:val="18"/>
              </w:rPr>
              <w:t xml:space="preserve">      </w:t>
            </w:r>
          </w:p>
        </w:tc>
        <w:tc>
          <w:tcPr>
            <w:tcW w:w="1363" w:type="dxa"/>
            <w:tcBorders>
              <w:top w:val="single" w:sz="4" w:space="0" w:color="auto"/>
              <w:bottom w:val="single" w:sz="4" w:space="0" w:color="auto"/>
            </w:tcBorders>
          </w:tcPr>
          <w:p w14:paraId="395B92BB" w14:textId="77777777" w:rsidR="002259C9" w:rsidRPr="00B06A0D" w:rsidRDefault="002259C9" w:rsidP="000C0460">
            <w:pPr>
              <w:spacing w:line="480" w:lineRule="auto"/>
              <w:jc w:val="both"/>
              <w:rPr>
                <w:rFonts w:asciiTheme="majorHAnsi" w:hAnsiTheme="majorHAnsi" w:cstheme="majorHAnsi"/>
                <w:sz w:val="18"/>
                <w:szCs w:val="18"/>
              </w:rPr>
            </w:pPr>
          </w:p>
          <w:p w14:paraId="0918DD6A" w14:textId="77777777" w:rsidR="002259C9" w:rsidRPr="00B06A0D"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t>(96·2</w:t>
            </w:r>
            <w:r w:rsidRPr="00B06A0D">
              <w:rPr>
                <w:rFonts w:asciiTheme="majorHAnsi" w:hAnsiTheme="majorHAnsi" w:cstheme="majorHAnsi"/>
                <w:sz w:val="18"/>
                <w:szCs w:val="18"/>
              </w:rPr>
              <w:t>)</w:t>
            </w:r>
          </w:p>
          <w:p w14:paraId="19F2D7F1" w14:textId="77777777" w:rsidR="002259C9" w:rsidRPr="00B06A0D" w:rsidRDefault="002259C9" w:rsidP="000C0460">
            <w:pPr>
              <w:spacing w:line="480" w:lineRule="auto"/>
              <w:jc w:val="both"/>
              <w:rPr>
                <w:rFonts w:asciiTheme="majorHAnsi" w:hAnsiTheme="majorHAnsi" w:cstheme="majorHAnsi"/>
                <w:sz w:val="18"/>
                <w:szCs w:val="18"/>
              </w:rPr>
            </w:pPr>
            <w:r w:rsidRPr="00B06A0D">
              <w:rPr>
                <w:rFonts w:asciiTheme="majorHAnsi" w:hAnsiTheme="majorHAnsi" w:cstheme="majorHAnsi"/>
                <w:sz w:val="18"/>
                <w:szCs w:val="18"/>
              </w:rPr>
              <w:t>(2·4)</w:t>
            </w:r>
          </w:p>
          <w:p w14:paraId="14530761" w14:textId="77777777" w:rsidR="002259C9" w:rsidRPr="00B06A0D" w:rsidRDefault="002259C9" w:rsidP="000C0460">
            <w:pPr>
              <w:spacing w:line="480" w:lineRule="auto"/>
              <w:jc w:val="both"/>
              <w:rPr>
                <w:rFonts w:asciiTheme="majorHAnsi" w:hAnsiTheme="majorHAnsi" w:cstheme="majorHAnsi"/>
                <w:sz w:val="18"/>
                <w:szCs w:val="18"/>
              </w:rPr>
            </w:pPr>
            <w:r>
              <w:rPr>
                <w:rFonts w:asciiTheme="majorHAnsi" w:hAnsiTheme="majorHAnsi" w:cstheme="majorHAnsi"/>
                <w:sz w:val="18"/>
                <w:szCs w:val="18"/>
              </w:rPr>
              <w:lastRenderedPageBreak/>
              <w:t>(1.4</w:t>
            </w:r>
            <w:r w:rsidRPr="00B06A0D">
              <w:rPr>
                <w:rFonts w:asciiTheme="majorHAnsi" w:hAnsiTheme="majorHAnsi" w:cstheme="majorHAnsi"/>
                <w:sz w:val="18"/>
                <w:szCs w:val="18"/>
              </w:rPr>
              <w:t>)</w:t>
            </w:r>
          </w:p>
        </w:tc>
        <w:tc>
          <w:tcPr>
            <w:tcW w:w="1351" w:type="dxa"/>
            <w:tcBorders>
              <w:top w:val="single" w:sz="4" w:space="0" w:color="auto"/>
              <w:bottom w:val="single" w:sz="4" w:space="0" w:color="auto"/>
            </w:tcBorders>
          </w:tcPr>
          <w:p w14:paraId="504ECB03" w14:textId="77777777" w:rsidR="002259C9" w:rsidRPr="00560F9A" w:rsidRDefault="002259C9" w:rsidP="000C0460">
            <w:pPr>
              <w:spacing w:line="480" w:lineRule="auto"/>
              <w:jc w:val="right"/>
              <w:rPr>
                <w:rFonts w:asciiTheme="majorHAnsi" w:hAnsiTheme="majorHAnsi" w:cstheme="majorHAnsi"/>
                <w:sz w:val="18"/>
                <w:szCs w:val="18"/>
              </w:rPr>
            </w:pPr>
            <w:r w:rsidRPr="00560F9A">
              <w:rPr>
                <w:rFonts w:asciiTheme="majorHAnsi" w:hAnsiTheme="majorHAnsi" w:cstheme="majorHAnsi"/>
                <w:sz w:val="18"/>
                <w:szCs w:val="18"/>
              </w:rPr>
              <w:lastRenderedPageBreak/>
              <w:t xml:space="preserve">              </w:t>
            </w:r>
            <w:r>
              <w:rPr>
                <w:rFonts w:asciiTheme="majorHAnsi" w:hAnsiTheme="majorHAnsi" w:cstheme="majorHAnsi"/>
                <w:sz w:val="18"/>
                <w:szCs w:val="18"/>
              </w:rPr>
              <w:t>115</w:t>
            </w:r>
            <w:r w:rsidRPr="00560F9A">
              <w:rPr>
                <w:rFonts w:asciiTheme="majorHAnsi" w:hAnsiTheme="majorHAnsi" w:cstheme="majorHAnsi"/>
                <w:sz w:val="18"/>
                <w:szCs w:val="18"/>
              </w:rPr>
              <w:t>/10</w:t>
            </w:r>
            <w:r>
              <w:rPr>
                <w:rFonts w:asciiTheme="majorHAnsi" w:hAnsiTheme="majorHAnsi" w:cstheme="majorHAnsi"/>
                <w:sz w:val="18"/>
                <w:szCs w:val="18"/>
              </w:rPr>
              <w:t>13</w:t>
            </w:r>
            <w:r w:rsidRPr="00560F9A">
              <w:rPr>
                <w:rFonts w:asciiTheme="majorHAnsi" w:hAnsiTheme="majorHAnsi" w:cstheme="majorHAnsi"/>
                <w:sz w:val="18"/>
                <w:szCs w:val="18"/>
              </w:rPr>
              <w:t xml:space="preserve"> </w:t>
            </w:r>
          </w:p>
          <w:p w14:paraId="79CF0375" w14:textId="77777777" w:rsidR="002259C9" w:rsidRPr="00560F9A" w:rsidRDefault="002259C9" w:rsidP="000C0460">
            <w:pPr>
              <w:spacing w:line="480" w:lineRule="auto"/>
              <w:jc w:val="right"/>
              <w:rPr>
                <w:rFonts w:asciiTheme="majorHAnsi" w:hAnsiTheme="majorHAnsi" w:cstheme="majorHAnsi"/>
                <w:sz w:val="18"/>
                <w:szCs w:val="18"/>
              </w:rPr>
            </w:pPr>
            <w:r w:rsidRPr="00560F9A">
              <w:rPr>
                <w:rFonts w:asciiTheme="majorHAnsi" w:hAnsiTheme="majorHAnsi" w:cstheme="majorHAnsi"/>
                <w:sz w:val="18"/>
                <w:szCs w:val="18"/>
              </w:rPr>
              <w:t xml:space="preserve">               </w:t>
            </w:r>
            <w:r>
              <w:rPr>
                <w:rFonts w:asciiTheme="majorHAnsi" w:hAnsiTheme="majorHAnsi" w:cstheme="majorHAnsi"/>
                <w:sz w:val="18"/>
                <w:szCs w:val="18"/>
              </w:rPr>
              <w:t>2</w:t>
            </w:r>
            <w:r w:rsidRPr="00560F9A">
              <w:rPr>
                <w:rFonts w:asciiTheme="majorHAnsi" w:hAnsiTheme="majorHAnsi" w:cstheme="majorHAnsi"/>
                <w:sz w:val="18"/>
                <w:szCs w:val="18"/>
              </w:rPr>
              <w:t>/2</w:t>
            </w:r>
            <w:r>
              <w:rPr>
                <w:rFonts w:asciiTheme="majorHAnsi" w:hAnsiTheme="majorHAnsi" w:cstheme="majorHAnsi"/>
                <w:sz w:val="18"/>
                <w:szCs w:val="18"/>
              </w:rPr>
              <w:t>5</w:t>
            </w:r>
            <w:r w:rsidRPr="00560F9A">
              <w:rPr>
                <w:rFonts w:asciiTheme="majorHAnsi" w:hAnsiTheme="majorHAnsi" w:cstheme="majorHAnsi"/>
                <w:sz w:val="18"/>
                <w:szCs w:val="18"/>
              </w:rPr>
              <w:t xml:space="preserve">        </w:t>
            </w:r>
          </w:p>
          <w:p w14:paraId="15C4A9C0" w14:textId="77777777" w:rsidR="002259C9" w:rsidRPr="00560F9A" w:rsidRDefault="002259C9" w:rsidP="000C0460">
            <w:pPr>
              <w:spacing w:line="480" w:lineRule="auto"/>
              <w:jc w:val="right"/>
              <w:rPr>
                <w:rFonts w:asciiTheme="majorHAnsi" w:hAnsiTheme="majorHAnsi" w:cstheme="majorHAnsi"/>
                <w:sz w:val="18"/>
                <w:szCs w:val="18"/>
              </w:rPr>
            </w:pPr>
            <w:r w:rsidRPr="00560F9A">
              <w:rPr>
                <w:rFonts w:asciiTheme="majorHAnsi" w:hAnsiTheme="majorHAnsi" w:cstheme="majorHAnsi"/>
                <w:sz w:val="18"/>
                <w:szCs w:val="18"/>
              </w:rPr>
              <w:lastRenderedPageBreak/>
              <w:t xml:space="preserve">              1</w:t>
            </w:r>
            <w:r>
              <w:rPr>
                <w:rFonts w:asciiTheme="majorHAnsi" w:hAnsiTheme="majorHAnsi" w:cstheme="majorHAnsi"/>
                <w:sz w:val="18"/>
                <w:szCs w:val="18"/>
              </w:rPr>
              <w:t>/15</w:t>
            </w:r>
            <w:r w:rsidRPr="00560F9A">
              <w:rPr>
                <w:rFonts w:asciiTheme="majorHAnsi" w:hAnsiTheme="majorHAnsi" w:cstheme="majorHAnsi"/>
                <w:sz w:val="18"/>
                <w:szCs w:val="18"/>
              </w:rPr>
              <w:t xml:space="preserve">       </w:t>
            </w:r>
          </w:p>
        </w:tc>
        <w:tc>
          <w:tcPr>
            <w:tcW w:w="1253" w:type="dxa"/>
            <w:tcBorders>
              <w:top w:val="single" w:sz="4" w:space="0" w:color="auto"/>
              <w:bottom w:val="single" w:sz="4" w:space="0" w:color="auto"/>
            </w:tcBorders>
          </w:tcPr>
          <w:p w14:paraId="34B0E32C" w14:textId="77777777" w:rsidR="002259C9" w:rsidRPr="00560F9A" w:rsidRDefault="002259C9" w:rsidP="000C0460">
            <w:pPr>
              <w:spacing w:line="480" w:lineRule="auto"/>
              <w:jc w:val="both"/>
              <w:rPr>
                <w:rFonts w:asciiTheme="majorHAnsi" w:hAnsiTheme="majorHAnsi" w:cstheme="majorHAnsi"/>
                <w:sz w:val="18"/>
                <w:szCs w:val="18"/>
              </w:rPr>
            </w:pPr>
          </w:p>
          <w:p w14:paraId="0107E036" w14:textId="77777777" w:rsidR="002259C9" w:rsidRPr="00560F9A" w:rsidRDefault="002259C9" w:rsidP="000C0460">
            <w:pPr>
              <w:spacing w:line="480" w:lineRule="auto"/>
              <w:jc w:val="both"/>
              <w:rPr>
                <w:rFonts w:asciiTheme="majorHAnsi" w:hAnsiTheme="majorHAnsi" w:cstheme="majorHAnsi"/>
                <w:sz w:val="18"/>
                <w:szCs w:val="18"/>
              </w:rPr>
            </w:pPr>
            <w:r w:rsidRPr="00560F9A">
              <w:rPr>
                <w:rFonts w:asciiTheme="majorHAnsi" w:hAnsiTheme="majorHAnsi" w:cstheme="majorHAnsi"/>
                <w:sz w:val="18"/>
                <w:szCs w:val="18"/>
              </w:rPr>
              <w:t>(11·</w:t>
            </w:r>
            <w:r>
              <w:rPr>
                <w:rFonts w:asciiTheme="majorHAnsi" w:hAnsiTheme="majorHAnsi" w:cstheme="majorHAnsi"/>
                <w:sz w:val="18"/>
                <w:szCs w:val="18"/>
              </w:rPr>
              <w:t>4</w:t>
            </w:r>
            <w:r w:rsidRPr="00560F9A">
              <w:rPr>
                <w:rFonts w:asciiTheme="majorHAnsi" w:hAnsiTheme="majorHAnsi" w:cstheme="majorHAnsi"/>
                <w:sz w:val="18"/>
                <w:szCs w:val="18"/>
              </w:rPr>
              <w:t>)</w:t>
            </w:r>
          </w:p>
          <w:p w14:paraId="26312733" w14:textId="77777777" w:rsidR="002259C9" w:rsidRPr="00560F9A" w:rsidRDefault="002259C9" w:rsidP="000C0460">
            <w:pPr>
              <w:spacing w:line="480" w:lineRule="auto"/>
              <w:jc w:val="both"/>
              <w:rPr>
                <w:rFonts w:asciiTheme="majorHAnsi" w:hAnsiTheme="majorHAnsi" w:cstheme="majorHAnsi"/>
                <w:sz w:val="18"/>
                <w:szCs w:val="18"/>
              </w:rPr>
            </w:pPr>
            <w:r w:rsidRPr="00560F9A">
              <w:rPr>
                <w:rFonts w:asciiTheme="majorHAnsi" w:hAnsiTheme="majorHAnsi" w:cstheme="majorHAnsi"/>
                <w:sz w:val="18"/>
                <w:szCs w:val="18"/>
              </w:rPr>
              <w:t>(</w:t>
            </w:r>
            <w:r>
              <w:rPr>
                <w:rFonts w:asciiTheme="majorHAnsi" w:hAnsiTheme="majorHAnsi" w:cstheme="majorHAnsi"/>
                <w:sz w:val="18"/>
                <w:szCs w:val="18"/>
              </w:rPr>
              <w:t>8</w:t>
            </w:r>
            <w:r w:rsidRPr="00560F9A">
              <w:rPr>
                <w:rFonts w:asciiTheme="majorHAnsi" w:hAnsiTheme="majorHAnsi" w:cstheme="majorHAnsi"/>
                <w:sz w:val="18"/>
                <w:szCs w:val="18"/>
              </w:rPr>
              <w:t>)</w:t>
            </w:r>
          </w:p>
          <w:p w14:paraId="46B9901E" w14:textId="77777777" w:rsidR="002259C9" w:rsidRPr="00560F9A" w:rsidRDefault="002259C9" w:rsidP="000C0460">
            <w:pPr>
              <w:spacing w:line="480" w:lineRule="auto"/>
              <w:jc w:val="both"/>
              <w:rPr>
                <w:rFonts w:asciiTheme="majorHAnsi" w:hAnsiTheme="majorHAnsi" w:cstheme="majorHAnsi"/>
                <w:sz w:val="18"/>
                <w:szCs w:val="18"/>
              </w:rPr>
            </w:pPr>
            <w:r w:rsidRPr="00560F9A">
              <w:rPr>
                <w:rFonts w:asciiTheme="majorHAnsi" w:hAnsiTheme="majorHAnsi" w:cstheme="majorHAnsi"/>
                <w:sz w:val="18"/>
                <w:szCs w:val="18"/>
              </w:rPr>
              <w:lastRenderedPageBreak/>
              <w:t>(</w:t>
            </w:r>
            <w:r>
              <w:rPr>
                <w:rFonts w:asciiTheme="majorHAnsi" w:hAnsiTheme="majorHAnsi" w:cstheme="majorHAnsi"/>
                <w:sz w:val="18"/>
                <w:szCs w:val="18"/>
              </w:rPr>
              <w:t>6.7</w:t>
            </w:r>
            <w:r w:rsidRPr="00560F9A">
              <w:rPr>
                <w:rFonts w:asciiTheme="majorHAnsi" w:hAnsiTheme="majorHAnsi" w:cstheme="majorHAnsi"/>
                <w:sz w:val="18"/>
                <w:szCs w:val="18"/>
              </w:rPr>
              <w:t>)</w:t>
            </w:r>
          </w:p>
        </w:tc>
      </w:tr>
    </w:tbl>
    <w:p w14:paraId="0B865810" w14:textId="77777777" w:rsidR="002259C9" w:rsidRDefault="002259C9" w:rsidP="003B0558">
      <w:pPr>
        <w:spacing w:line="480" w:lineRule="auto"/>
        <w:rPr>
          <w:rFonts w:asciiTheme="majorHAnsi" w:hAnsiTheme="majorHAnsi" w:cstheme="majorHAnsi"/>
          <w:sz w:val="16"/>
          <w:szCs w:val="16"/>
        </w:rPr>
      </w:pPr>
    </w:p>
    <w:p w14:paraId="0055A9E0" w14:textId="20960B72" w:rsidR="00241D74" w:rsidRPr="00AB06D7" w:rsidRDefault="004F5014" w:rsidP="003B0558">
      <w:pPr>
        <w:spacing w:line="480" w:lineRule="auto"/>
        <w:rPr>
          <w:rFonts w:asciiTheme="majorHAnsi" w:hAnsiTheme="majorHAnsi" w:cstheme="majorHAnsi"/>
          <w:sz w:val="16"/>
          <w:szCs w:val="16"/>
        </w:rPr>
      </w:pPr>
      <w:r w:rsidRPr="00AB06D7">
        <w:rPr>
          <w:rFonts w:asciiTheme="majorHAnsi" w:hAnsiTheme="majorHAnsi" w:cstheme="majorHAnsi"/>
          <w:sz w:val="16"/>
          <w:szCs w:val="16"/>
        </w:rPr>
        <w:t xml:space="preserve">IGRA = interferon gamma release assay; </w:t>
      </w:r>
      <w:r w:rsidR="00241D74" w:rsidRPr="00AB06D7">
        <w:rPr>
          <w:rFonts w:asciiTheme="majorHAnsi" w:hAnsiTheme="majorHAnsi" w:cstheme="majorHAnsi"/>
          <w:sz w:val="16"/>
          <w:szCs w:val="16"/>
        </w:rPr>
        <w:t xml:space="preserve">IQR = </w:t>
      </w:r>
      <w:r w:rsidRPr="00AB06D7">
        <w:rPr>
          <w:rFonts w:asciiTheme="majorHAnsi" w:hAnsiTheme="majorHAnsi" w:cstheme="majorHAnsi"/>
          <w:sz w:val="16"/>
          <w:szCs w:val="16"/>
        </w:rPr>
        <w:t>i</w:t>
      </w:r>
      <w:r w:rsidR="00241D74" w:rsidRPr="00AB06D7">
        <w:rPr>
          <w:rFonts w:asciiTheme="majorHAnsi" w:hAnsiTheme="majorHAnsi" w:cstheme="majorHAnsi"/>
          <w:sz w:val="16"/>
          <w:szCs w:val="16"/>
        </w:rPr>
        <w:t>nterquartile range</w:t>
      </w:r>
      <w:r w:rsidRPr="00AB06D7">
        <w:rPr>
          <w:rFonts w:asciiTheme="majorHAnsi" w:hAnsiTheme="majorHAnsi" w:cstheme="majorHAnsi"/>
          <w:sz w:val="16"/>
          <w:szCs w:val="16"/>
        </w:rPr>
        <w:t>.</w:t>
      </w:r>
    </w:p>
    <w:p w14:paraId="7176DDBA" w14:textId="18041981" w:rsidR="00241D74" w:rsidRPr="00AB06D7" w:rsidRDefault="003E0609" w:rsidP="003B0558">
      <w:pPr>
        <w:spacing w:line="480" w:lineRule="auto"/>
        <w:rPr>
          <w:rFonts w:asciiTheme="majorHAnsi" w:hAnsiTheme="majorHAnsi" w:cstheme="majorHAnsi"/>
          <w:sz w:val="16"/>
          <w:szCs w:val="16"/>
        </w:rPr>
      </w:pPr>
      <w:r>
        <w:rPr>
          <w:rFonts w:asciiTheme="majorHAnsi" w:hAnsiTheme="majorHAnsi" w:cstheme="majorHAnsi"/>
          <w:sz w:val="16"/>
          <w:szCs w:val="16"/>
        </w:rPr>
        <w:t>* I</w:t>
      </w:r>
      <w:r w:rsidR="00241D74" w:rsidRPr="00AB06D7">
        <w:rPr>
          <w:rFonts w:asciiTheme="majorHAnsi" w:hAnsiTheme="majorHAnsi" w:cstheme="majorHAnsi"/>
          <w:sz w:val="16"/>
          <w:szCs w:val="16"/>
        </w:rPr>
        <w:t>ndividuals were included up and including to 30</w:t>
      </w:r>
      <w:r w:rsidR="00241D74" w:rsidRPr="00AB06D7">
        <w:rPr>
          <w:rFonts w:asciiTheme="majorHAnsi" w:hAnsiTheme="majorHAnsi" w:cstheme="majorHAnsi"/>
          <w:sz w:val="16"/>
          <w:szCs w:val="16"/>
          <w:vertAlign w:val="superscript"/>
        </w:rPr>
        <w:t>th</w:t>
      </w:r>
      <w:r w:rsidR="00241D74" w:rsidRPr="00AB06D7">
        <w:rPr>
          <w:rFonts w:asciiTheme="majorHAnsi" w:hAnsiTheme="majorHAnsi" w:cstheme="majorHAnsi"/>
          <w:sz w:val="16"/>
          <w:szCs w:val="16"/>
        </w:rPr>
        <w:t xml:space="preserve"> June 2017.  </w:t>
      </w:r>
    </w:p>
    <w:p w14:paraId="442CCA97" w14:textId="4FF9A081" w:rsidR="00241D74" w:rsidRPr="00AB06D7" w:rsidRDefault="003E0609" w:rsidP="003B0558">
      <w:pPr>
        <w:spacing w:line="480" w:lineRule="auto"/>
        <w:rPr>
          <w:rFonts w:asciiTheme="majorHAnsi" w:hAnsiTheme="majorHAnsi" w:cstheme="majorHAnsi"/>
          <w:sz w:val="16"/>
          <w:szCs w:val="16"/>
        </w:rPr>
      </w:pPr>
      <w:r>
        <w:rPr>
          <w:rFonts w:asciiTheme="majorHAnsi" w:hAnsiTheme="majorHAnsi" w:cstheme="majorHAnsi"/>
          <w:sz w:val="16"/>
          <w:szCs w:val="16"/>
        </w:rPr>
        <w:t>†</w:t>
      </w:r>
      <w:r>
        <w:rPr>
          <w:rFonts w:asciiTheme="majorHAnsi" w:hAnsiTheme="majorHAnsi" w:cstheme="majorHAnsi"/>
          <w:sz w:val="16"/>
          <w:szCs w:val="16"/>
          <w:vertAlign w:val="superscript"/>
        </w:rPr>
        <w:t xml:space="preserve"> </w:t>
      </w:r>
      <w:r>
        <w:rPr>
          <w:rFonts w:asciiTheme="majorHAnsi" w:hAnsiTheme="majorHAnsi" w:cstheme="majorHAnsi"/>
          <w:sz w:val="16"/>
          <w:szCs w:val="16"/>
        </w:rPr>
        <w:t>30</w:t>
      </w:r>
      <w:r w:rsidR="00605098" w:rsidRPr="00605098">
        <w:rPr>
          <w:rFonts w:asciiTheme="majorHAnsi" w:hAnsiTheme="majorHAnsi" w:cstheme="majorHAnsi"/>
          <w:sz w:val="16"/>
          <w:szCs w:val="16"/>
          <w:vertAlign w:val="superscript"/>
        </w:rPr>
        <w:t>th</w:t>
      </w:r>
      <w:r w:rsidR="00605098">
        <w:rPr>
          <w:rFonts w:asciiTheme="majorHAnsi" w:hAnsiTheme="majorHAnsi" w:cstheme="majorHAnsi"/>
          <w:sz w:val="16"/>
          <w:szCs w:val="16"/>
        </w:rPr>
        <w:t xml:space="preserve"> June</w:t>
      </w:r>
      <w:r w:rsidR="00241D74" w:rsidRPr="007D77A4">
        <w:rPr>
          <w:rFonts w:asciiTheme="majorHAnsi" w:hAnsiTheme="majorHAnsi" w:cstheme="majorHAnsi"/>
          <w:sz w:val="16"/>
          <w:szCs w:val="16"/>
        </w:rPr>
        <w:t xml:space="preserve"> 20</w:t>
      </w:r>
      <w:r w:rsidR="007D77A4" w:rsidRPr="007D77A4">
        <w:rPr>
          <w:rFonts w:asciiTheme="majorHAnsi" w:hAnsiTheme="majorHAnsi" w:cstheme="majorHAnsi"/>
          <w:sz w:val="16"/>
          <w:szCs w:val="16"/>
        </w:rPr>
        <w:t>21</w:t>
      </w:r>
      <w:r w:rsidR="00241D74" w:rsidRPr="007D77A4">
        <w:rPr>
          <w:rFonts w:asciiTheme="majorHAnsi" w:hAnsiTheme="majorHAnsi" w:cstheme="majorHAnsi"/>
          <w:sz w:val="16"/>
          <w:szCs w:val="16"/>
        </w:rPr>
        <w:t xml:space="preserve"> was used as the cut-off for</w:t>
      </w:r>
      <w:r w:rsidR="007D77A4" w:rsidRPr="007D77A4">
        <w:rPr>
          <w:rFonts w:asciiTheme="majorHAnsi" w:hAnsiTheme="majorHAnsi" w:cstheme="majorHAnsi"/>
          <w:sz w:val="16"/>
          <w:szCs w:val="16"/>
        </w:rPr>
        <w:t xml:space="preserve"> following up patients for</w:t>
      </w:r>
      <w:r w:rsidR="00241D74" w:rsidRPr="007D77A4">
        <w:rPr>
          <w:rFonts w:asciiTheme="majorHAnsi" w:hAnsiTheme="majorHAnsi" w:cstheme="majorHAnsi"/>
          <w:sz w:val="16"/>
          <w:szCs w:val="16"/>
        </w:rPr>
        <w:t xml:space="preserve"> IGRA testing.</w:t>
      </w:r>
    </w:p>
    <w:p w14:paraId="0564E670" w14:textId="0F1CEEAA" w:rsidR="00241D74" w:rsidRPr="00AB06D7" w:rsidRDefault="003E0609" w:rsidP="003B0558">
      <w:pPr>
        <w:spacing w:line="480" w:lineRule="auto"/>
        <w:rPr>
          <w:rFonts w:asciiTheme="majorHAnsi" w:hAnsiTheme="majorHAnsi" w:cstheme="majorHAnsi"/>
        </w:rPr>
      </w:pPr>
      <w:r>
        <w:rPr>
          <w:rFonts w:asciiTheme="majorHAnsi" w:hAnsiTheme="majorHAnsi" w:cstheme="majorHAnsi"/>
          <w:sz w:val="16"/>
          <w:szCs w:val="16"/>
        </w:rPr>
        <w:t>‡</w:t>
      </w:r>
      <w:r>
        <w:rPr>
          <w:rFonts w:asciiTheme="majorHAnsi" w:hAnsiTheme="majorHAnsi" w:cstheme="majorHAnsi"/>
          <w:color w:val="222222"/>
          <w:sz w:val="16"/>
          <w:szCs w:val="16"/>
          <w:shd w:val="clear" w:color="auto" w:fill="FFFFFF"/>
        </w:rPr>
        <w:t xml:space="preserve"> </w:t>
      </w:r>
      <w:proofErr w:type="spellStart"/>
      <w:r>
        <w:rPr>
          <w:rFonts w:asciiTheme="majorHAnsi" w:hAnsiTheme="majorHAnsi" w:cstheme="majorHAnsi"/>
          <w:color w:val="222222"/>
          <w:sz w:val="16"/>
          <w:szCs w:val="16"/>
          <w:shd w:val="clear" w:color="auto" w:fill="FFFFFF"/>
        </w:rPr>
        <w:t>Q</w:t>
      </w:r>
      <w:r w:rsidR="00241D74" w:rsidRPr="00AB06D7">
        <w:rPr>
          <w:rFonts w:asciiTheme="majorHAnsi" w:hAnsiTheme="majorHAnsi" w:cstheme="majorHAnsi"/>
          <w:color w:val="222222"/>
          <w:sz w:val="16"/>
          <w:szCs w:val="16"/>
          <w:shd w:val="clear" w:color="auto" w:fill="FFFFFF"/>
        </w:rPr>
        <w:t>uantiFERON</w:t>
      </w:r>
      <w:proofErr w:type="spellEnd"/>
      <w:r w:rsidR="00241D74" w:rsidRPr="00AB06D7">
        <w:rPr>
          <w:rFonts w:asciiTheme="majorHAnsi" w:hAnsiTheme="majorHAnsi" w:cstheme="majorHAnsi"/>
          <w:color w:val="222222"/>
          <w:sz w:val="16"/>
          <w:szCs w:val="16"/>
          <w:shd w:val="clear" w:color="auto" w:fill="FFFFFF"/>
        </w:rPr>
        <w:t>-TB</w:t>
      </w:r>
      <w:r w:rsidR="00241D74" w:rsidRPr="00AB06D7">
        <w:rPr>
          <w:rFonts w:asciiTheme="majorHAnsi" w:hAnsiTheme="majorHAnsi" w:cstheme="majorHAnsi"/>
          <w:color w:val="222222"/>
          <w:sz w:val="16"/>
          <w:szCs w:val="16"/>
          <w:shd w:val="clear" w:color="auto" w:fill="FFFFFF"/>
          <w:vertAlign w:val="superscript"/>
        </w:rPr>
        <w:t>®</w:t>
      </w:r>
      <w:r w:rsidR="00241D74" w:rsidRPr="00AB06D7">
        <w:rPr>
          <w:rFonts w:asciiTheme="majorHAnsi" w:hAnsiTheme="majorHAnsi" w:cstheme="majorHAnsi"/>
          <w:color w:val="222222"/>
          <w:sz w:val="16"/>
          <w:szCs w:val="16"/>
          <w:shd w:val="clear" w:color="auto" w:fill="FFFFFF"/>
        </w:rPr>
        <w:t xml:space="preserve"> GIT or </w:t>
      </w:r>
      <w:proofErr w:type="spellStart"/>
      <w:r w:rsidR="00241D74" w:rsidRPr="00AB06D7">
        <w:rPr>
          <w:rFonts w:asciiTheme="majorHAnsi" w:hAnsiTheme="majorHAnsi" w:cstheme="majorHAnsi"/>
          <w:color w:val="222222"/>
          <w:sz w:val="16"/>
          <w:szCs w:val="16"/>
          <w:shd w:val="clear" w:color="auto" w:fill="FFFFFF"/>
        </w:rPr>
        <w:t>QuantiFERON</w:t>
      </w:r>
      <w:proofErr w:type="spellEnd"/>
      <w:r w:rsidR="00241D74" w:rsidRPr="00AB06D7">
        <w:rPr>
          <w:rFonts w:asciiTheme="majorHAnsi" w:hAnsiTheme="majorHAnsi" w:cstheme="majorHAnsi"/>
          <w:color w:val="222222"/>
          <w:sz w:val="16"/>
          <w:szCs w:val="16"/>
          <w:shd w:val="clear" w:color="auto" w:fill="FFFFFF"/>
        </w:rPr>
        <w:t>-TB</w:t>
      </w:r>
      <w:r w:rsidR="00241D74" w:rsidRPr="00AB06D7">
        <w:rPr>
          <w:rFonts w:asciiTheme="majorHAnsi" w:hAnsiTheme="majorHAnsi" w:cstheme="majorHAnsi"/>
          <w:color w:val="222222"/>
          <w:sz w:val="16"/>
          <w:szCs w:val="16"/>
          <w:shd w:val="clear" w:color="auto" w:fill="FFFFFF"/>
          <w:vertAlign w:val="superscript"/>
        </w:rPr>
        <w:t>®</w:t>
      </w:r>
      <w:r w:rsidR="00241D74" w:rsidRPr="00AB06D7">
        <w:rPr>
          <w:rFonts w:asciiTheme="majorHAnsi" w:hAnsiTheme="majorHAnsi" w:cstheme="majorHAnsi"/>
          <w:color w:val="222222"/>
          <w:sz w:val="16"/>
          <w:szCs w:val="16"/>
          <w:shd w:val="clear" w:color="auto" w:fill="FFFFFF"/>
        </w:rPr>
        <w:t xml:space="preserve"> Plus</w:t>
      </w:r>
      <w:r w:rsidR="004F5014" w:rsidRPr="00AB06D7">
        <w:rPr>
          <w:rFonts w:asciiTheme="majorHAnsi" w:hAnsiTheme="majorHAnsi" w:cstheme="majorHAnsi"/>
          <w:color w:val="222222"/>
          <w:sz w:val="16"/>
          <w:szCs w:val="16"/>
          <w:shd w:val="clear" w:color="auto" w:fill="FFFFFF"/>
        </w:rPr>
        <w:t>.</w:t>
      </w:r>
      <w:r w:rsidR="00241D74" w:rsidRPr="00AB06D7">
        <w:rPr>
          <w:rFonts w:asciiTheme="majorHAnsi" w:hAnsiTheme="majorHAnsi" w:cstheme="majorHAnsi"/>
          <w:color w:val="222222"/>
          <w:sz w:val="16"/>
          <w:szCs w:val="16"/>
          <w:shd w:val="clear" w:color="auto" w:fill="FFFFFF"/>
        </w:rPr>
        <w:t xml:space="preserve"> </w:t>
      </w:r>
    </w:p>
    <w:p w14:paraId="0AE91987" w14:textId="77777777" w:rsidR="00241D74" w:rsidRPr="00AB06D7" w:rsidRDefault="00241D74" w:rsidP="00241D74">
      <w:pPr>
        <w:spacing w:line="360" w:lineRule="auto"/>
        <w:rPr>
          <w:rFonts w:asciiTheme="majorHAnsi" w:hAnsiTheme="majorHAnsi" w:cstheme="majorHAnsi"/>
          <w:b/>
          <w:i/>
        </w:rPr>
      </w:pPr>
    </w:p>
    <w:p w14:paraId="5C4C1AA2" w14:textId="6B433E4E" w:rsidR="00B212A4" w:rsidRPr="00AB06D7" w:rsidRDefault="00B212A4" w:rsidP="00641F2E">
      <w:pPr>
        <w:spacing w:line="360" w:lineRule="auto"/>
        <w:jc w:val="both"/>
        <w:rPr>
          <w:rFonts w:asciiTheme="majorHAnsi" w:eastAsia="Times New Roman" w:hAnsiTheme="majorHAnsi" w:cstheme="majorHAnsi"/>
          <w:b/>
          <w:sz w:val="22"/>
          <w:szCs w:val="22"/>
        </w:rPr>
      </w:pPr>
    </w:p>
    <w:p w14:paraId="0DBA1BCB" w14:textId="37C8EC20" w:rsidR="00241D74" w:rsidRPr="00AB06D7" w:rsidRDefault="00241D74" w:rsidP="00641F2E">
      <w:pPr>
        <w:spacing w:line="360" w:lineRule="auto"/>
        <w:jc w:val="both"/>
        <w:rPr>
          <w:rFonts w:asciiTheme="majorHAnsi" w:eastAsia="Times New Roman" w:hAnsiTheme="majorHAnsi" w:cstheme="majorHAnsi"/>
          <w:b/>
          <w:sz w:val="22"/>
          <w:szCs w:val="22"/>
        </w:rPr>
      </w:pPr>
    </w:p>
    <w:p w14:paraId="0FD8A50A" w14:textId="77777777" w:rsidR="00241D74" w:rsidRPr="00AB06D7" w:rsidRDefault="00241D74" w:rsidP="00641F2E">
      <w:pPr>
        <w:spacing w:line="360" w:lineRule="auto"/>
        <w:jc w:val="both"/>
        <w:rPr>
          <w:rFonts w:asciiTheme="majorHAnsi" w:eastAsia="Times New Roman" w:hAnsiTheme="majorHAnsi" w:cstheme="majorHAnsi"/>
          <w:b/>
          <w:sz w:val="22"/>
          <w:szCs w:val="22"/>
        </w:rPr>
        <w:sectPr w:rsidR="00241D74" w:rsidRPr="00AB06D7" w:rsidSect="00241D74">
          <w:pgSz w:w="11900" w:h="16840"/>
          <w:pgMar w:top="1440" w:right="1440" w:bottom="1440" w:left="1440" w:header="708" w:footer="708" w:gutter="0"/>
          <w:cols w:space="708"/>
          <w:docGrid w:linePitch="360"/>
        </w:sectPr>
      </w:pPr>
    </w:p>
    <w:p w14:paraId="19070AB5" w14:textId="5F4B8870" w:rsidR="002C2DDD" w:rsidRPr="0082666E" w:rsidRDefault="00241D74" w:rsidP="0082666E">
      <w:pPr>
        <w:spacing w:line="360" w:lineRule="auto"/>
        <w:rPr>
          <w:rFonts w:asciiTheme="majorHAnsi" w:hAnsiTheme="majorHAnsi" w:cstheme="majorHAnsi"/>
          <w:b/>
        </w:rPr>
      </w:pPr>
      <w:proofErr w:type="gramStart"/>
      <w:r w:rsidRPr="00AB06D7">
        <w:rPr>
          <w:rFonts w:asciiTheme="majorHAnsi" w:hAnsiTheme="majorHAnsi" w:cstheme="majorHAnsi"/>
          <w:b/>
        </w:rPr>
        <w:lastRenderedPageBreak/>
        <w:t>Table 2.</w:t>
      </w:r>
      <w:proofErr w:type="gramEnd"/>
      <w:r w:rsidRPr="00AB06D7">
        <w:rPr>
          <w:rFonts w:asciiTheme="majorHAnsi" w:hAnsiTheme="majorHAnsi" w:cstheme="majorHAnsi"/>
          <w:b/>
        </w:rPr>
        <w:t xml:space="preserve"> Univariate and multivariable logistic regression for having a posit</w:t>
      </w:r>
      <w:r w:rsidR="0082666E">
        <w:rPr>
          <w:rFonts w:asciiTheme="majorHAnsi" w:hAnsiTheme="majorHAnsi" w:cstheme="majorHAnsi"/>
          <w:b/>
        </w:rPr>
        <w:t>ive IGRA test at LTBI screening</w:t>
      </w:r>
    </w:p>
    <w:tbl>
      <w:tblPr>
        <w:tblStyle w:val="PlainTable11"/>
        <w:tblpPr w:leftFromText="180" w:rightFromText="180" w:vertAnchor="text" w:horzAnchor="margin" w:tblpXSpec="center" w:tblpY="506"/>
        <w:tblW w:w="15133" w:type="dxa"/>
        <w:tblLayout w:type="fixed"/>
        <w:tblLook w:val="04A0" w:firstRow="1" w:lastRow="0" w:firstColumn="1" w:lastColumn="0" w:noHBand="0" w:noVBand="1"/>
      </w:tblPr>
      <w:tblGrid>
        <w:gridCol w:w="3137"/>
        <w:gridCol w:w="2828"/>
        <w:gridCol w:w="1906"/>
        <w:gridCol w:w="2302"/>
        <w:gridCol w:w="992"/>
        <w:gridCol w:w="2835"/>
        <w:gridCol w:w="1133"/>
      </w:tblGrid>
      <w:tr w:rsidR="0035511A" w:rsidRPr="00AB06D7" w14:paraId="22E59D4E" w14:textId="77777777" w:rsidTr="000C046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65" w:type="dxa"/>
            <w:gridSpan w:val="2"/>
            <w:tcBorders>
              <w:top w:val="single" w:sz="4" w:space="0" w:color="auto"/>
              <w:bottom w:val="single" w:sz="4" w:space="0" w:color="auto"/>
            </w:tcBorders>
            <w:shd w:val="clear" w:color="auto" w:fill="auto"/>
            <w:noWrap/>
            <w:hideMark/>
          </w:tcPr>
          <w:p w14:paraId="24DAFEA8" w14:textId="77777777" w:rsidR="0035511A" w:rsidRPr="00AB06D7" w:rsidRDefault="0035511A" w:rsidP="000C0460">
            <w:pPr>
              <w:rPr>
                <w:rFonts w:asciiTheme="majorHAnsi" w:hAnsiTheme="majorHAnsi" w:cstheme="majorHAnsi"/>
                <w:b w:val="0"/>
                <w:color w:val="000000"/>
                <w:sz w:val="20"/>
                <w:szCs w:val="20"/>
              </w:rPr>
            </w:pPr>
            <w:r w:rsidRPr="00AB06D7">
              <w:rPr>
                <w:rFonts w:asciiTheme="majorHAnsi" w:hAnsiTheme="majorHAnsi" w:cstheme="majorHAnsi"/>
                <w:color w:val="000000"/>
                <w:sz w:val="20"/>
                <w:szCs w:val="20"/>
              </w:rPr>
              <w:t>Variable</w:t>
            </w:r>
          </w:p>
        </w:tc>
        <w:tc>
          <w:tcPr>
            <w:tcW w:w="1906" w:type="dxa"/>
            <w:tcBorders>
              <w:top w:val="single" w:sz="4" w:space="0" w:color="auto"/>
              <w:bottom w:val="single" w:sz="4" w:space="0" w:color="auto"/>
            </w:tcBorders>
            <w:shd w:val="clear" w:color="auto" w:fill="auto"/>
            <w:noWrap/>
            <w:hideMark/>
          </w:tcPr>
          <w:p w14:paraId="00683D4A" w14:textId="77777777" w:rsidR="0035511A" w:rsidRPr="00AB06D7"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AB06D7">
              <w:rPr>
                <w:rFonts w:asciiTheme="majorHAnsi" w:hAnsiTheme="majorHAnsi" w:cstheme="majorHAnsi"/>
                <w:color w:val="000000"/>
                <w:sz w:val="20"/>
                <w:szCs w:val="20"/>
              </w:rPr>
              <w:t>Observation (%)</w:t>
            </w:r>
          </w:p>
        </w:tc>
        <w:tc>
          <w:tcPr>
            <w:tcW w:w="2302" w:type="dxa"/>
            <w:tcBorders>
              <w:top w:val="single" w:sz="4" w:space="0" w:color="auto"/>
              <w:bottom w:val="single" w:sz="4" w:space="0" w:color="auto"/>
            </w:tcBorders>
            <w:shd w:val="clear" w:color="auto" w:fill="auto"/>
            <w:noWrap/>
            <w:hideMark/>
          </w:tcPr>
          <w:p w14:paraId="3A03F396" w14:textId="77777777" w:rsidR="0035511A" w:rsidRPr="00AB06D7"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AB06D7">
              <w:rPr>
                <w:rFonts w:asciiTheme="majorHAnsi" w:hAnsiTheme="majorHAnsi" w:cstheme="majorHAnsi"/>
                <w:color w:val="000000"/>
                <w:sz w:val="20"/>
                <w:szCs w:val="20"/>
              </w:rPr>
              <w:t>Unadjusted OR</w:t>
            </w:r>
          </w:p>
          <w:p w14:paraId="44A481B5" w14:textId="77777777" w:rsidR="0035511A" w:rsidRPr="00AB06D7"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AB06D7">
              <w:rPr>
                <w:rFonts w:asciiTheme="majorHAnsi" w:hAnsiTheme="majorHAnsi" w:cstheme="majorHAnsi"/>
                <w:color w:val="000000"/>
                <w:sz w:val="20"/>
                <w:szCs w:val="20"/>
              </w:rPr>
              <w:t>(univariate analysis)</w:t>
            </w:r>
          </w:p>
        </w:tc>
        <w:tc>
          <w:tcPr>
            <w:tcW w:w="992" w:type="dxa"/>
            <w:tcBorders>
              <w:top w:val="single" w:sz="4" w:space="0" w:color="auto"/>
              <w:bottom w:val="single" w:sz="4" w:space="0" w:color="auto"/>
            </w:tcBorders>
            <w:shd w:val="clear" w:color="auto" w:fill="auto"/>
          </w:tcPr>
          <w:p w14:paraId="7610D82A" w14:textId="77777777" w:rsidR="0035511A" w:rsidRPr="00AB06D7"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AB06D7">
              <w:rPr>
                <w:rFonts w:asciiTheme="majorHAnsi" w:hAnsiTheme="majorHAnsi" w:cstheme="majorHAnsi"/>
                <w:color w:val="000000"/>
                <w:sz w:val="20"/>
                <w:szCs w:val="20"/>
              </w:rPr>
              <w:t>p value</w:t>
            </w:r>
          </w:p>
        </w:tc>
        <w:tc>
          <w:tcPr>
            <w:tcW w:w="2835" w:type="dxa"/>
            <w:tcBorders>
              <w:top w:val="single" w:sz="4" w:space="0" w:color="auto"/>
              <w:bottom w:val="single" w:sz="4" w:space="0" w:color="auto"/>
            </w:tcBorders>
            <w:shd w:val="clear" w:color="auto" w:fill="auto"/>
            <w:noWrap/>
            <w:hideMark/>
          </w:tcPr>
          <w:p w14:paraId="7F41B42C" w14:textId="77777777" w:rsidR="0035511A" w:rsidRPr="009860A2"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9860A2">
              <w:rPr>
                <w:rFonts w:asciiTheme="majorHAnsi" w:hAnsiTheme="majorHAnsi" w:cstheme="majorHAnsi"/>
                <w:color w:val="000000"/>
                <w:sz w:val="20"/>
                <w:szCs w:val="20"/>
              </w:rPr>
              <w:t>Adjusted OR</w:t>
            </w:r>
          </w:p>
          <w:p w14:paraId="16A9F200" w14:textId="77777777" w:rsidR="0035511A" w:rsidRPr="009860A2"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9860A2">
              <w:rPr>
                <w:rFonts w:asciiTheme="majorHAnsi" w:hAnsiTheme="majorHAnsi" w:cstheme="majorHAnsi"/>
                <w:color w:val="000000"/>
                <w:sz w:val="20"/>
                <w:szCs w:val="20"/>
              </w:rPr>
              <w:t>(multivariable analysis)</w:t>
            </w:r>
          </w:p>
        </w:tc>
        <w:tc>
          <w:tcPr>
            <w:tcW w:w="1133" w:type="dxa"/>
            <w:tcBorders>
              <w:top w:val="single" w:sz="4" w:space="0" w:color="auto"/>
              <w:bottom w:val="single" w:sz="4" w:space="0" w:color="auto"/>
            </w:tcBorders>
            <w:shd w:val="clear" w:color="auto" w:fill="auto"/>
            <w:noWrap/>
            <w:hideMark/>
          </w:tcPr>
          <w:p w14:paraId="10B5A0C7" w14:textId="77777777" w:rsidR="0035511A" w:rsidRPr="009860A2" w:rsidRDefault="0035511A" w:rsidP="000C0460">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000000"/>
                <w:sz w:val="20"/>
                <w:szCs w:val="20"/>
              </w:rPr>
            </w:pPr>
            <w:r w:rsidRPr="009860A2">
              <w:rPr>
                <w:rFonts w:asciiTheme="majorHAnsi" w:hAnsiTheme="majorHAnsi" w:cstheme="majorHAnsi"/>
                <w:color w:val="000000"/>
                <w:sz w:val="20"/>
                <w:szCs w:val="20"/>
              </w:rPr>
              <w:t>p value</w:t>
            </w:r>
          </w:p>
        </w:tc>
      </w:tr>
      <w:tr w:rsidR="0035511A" w:rsidRPr="00AB06D7" w14:paraId="62833D41"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65" w:type="dxa"/>
            <w:gridSpan w:val="2"/>
            <w:tcBorders>
              <w:top w:val="single" w:sz="4" w:space="0" w:color="auto"/>
              <w:bottom w:val="single" w:sz="4" w:space="0" w:color="auto"/>
            </w:tcBorders>
            <w:shd w:val="clear" w:color="auto" w:fill="auto"/>
            <w:noWrap/>
            <w:hideMark/>
          </w:tcPr>
          <w:p w14:paraId="5DD076DA"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Age at IGRA test</w:t>
            </w:r>
            <w:r>
              <w:rPr>
                <w:rFonts w:asciiTheme="majorHAnsi" w:hAnsiTheme="majorHAnsi" w:cstheme="majorHAnsi"/>
                <w:color w:val="000000"/>
                <w:sz w:val="16"/>
                <w:szCs w:val="16"/>
              </w:rPr>
              <w:t xml:space="preserve"> (years)</w:t>
            </w:r>
          </w:p>
        </w:tc>
        <w:tc>
          <w:tcPr>
            <w:tcW w:w="1906" w:type="dxa"/>
            <w:tcBorders>
              <w:top w:val="single" w:sz="4" w:space="0" w:color="auto"/>
              <w:bottom w:val="single" w:sz="4" w:space="0" w:color="auto"/>
            </w:tcBorders>
            <w:shd w:val="clear" w:color="auto" w:fill="auto"/>
            <w:noWrap/>
            <w:hideMark/>
          </w:tcPr>
          <w:p w14:paraId="216C67E8"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p>
        </w:tc>
        <w:tc>
          <w:tcPr>
            <w:tcW w:w="2302" w:type="dxa"/>
            <w:tcBorders>
              <w:top w:val="single" w:sz="4" w:space="0" w:color="auto"/>
              <w:bottom w:val="single" w:sz="4" w:space="0" w:color="auto"/>
            </w:tcBorders>
            <w:shd w:val="clear" w:color="auto" w:fill="auto"/>
            <w:noWrap/>
          </w:tcPr>
          <w:p w14:paraId="56DAF989"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1·01 (0·9</w:t>
            </w:r>
            <w:r>
              <w:rPr>
                <w:rFonts w:asciiTheme="majorHAnsi" w:hAnsiTheme="majorHAnsi" w:cstheme="majorHAnsi"/>
                <w:color w:val="000000"/>
                <w:sz w:val="16"/>
                <w:szCs w:val="16"/>
              </w:rPr>
              <w:t>92</w:t>
            </w:r>
            <w:r w:rsidRPr="00AB06D7">
              <w:rPr>
                <w:rFonts w:asciiTheme="majorHAnsi" w:hAnsiTheme="majorHAnsi" w:cstheme="majorHAnsi"/>
                <w:color w:val="000000"/>
                <w:sz w:val="16"/>
                <w:szCs w:val="16"/>
              </w:rPr>
              <w:t xml:space="preserve"> – 1·</w:t>
            </w:r>
            <w:r>
              <w:rPr>
                <w:rFonts w:asciiTheme="majorHAnsi" w:hAnsiTheme="majorHAnsi" w:cstheme="majorHAnsi"/>
                <w:color w:val="000000"/>
                <w:sz w:val="16"/>
                <w:szCs w:val="16"/>
              </w:rPr>
              <w:t>028</w:t>
            </w:r>
            <w:r w:rsidRPr="00AB06D7">
              <w:rPr>
                <w:rFonts w:asciiTheme="majorHAnsi" w:hAnsiTheme="majorHAnsi" w:cstheme="majorHAnsi"/>
                <w:color w:val="000000"/>
                <w:sz w:val="16"/>
                <w:szCs w:val="16"/>
              </w:rPr>
              <w:t>)</w:t>
            </w:r>
          </w:p>
        </w:tc>
        <w:tc>
          <w:tcPr>
            <w:tcW w:w="992" w:type="dxa"/>
            <w:tcBorders>
              <w:top w:val="single" w:sz="4" w:space="0" w:color="auto"/>
              <w:bottom w:val="single" w:sz="4" w:space="0" w:color="auto"/>
            </w:tcBorders>
            <w:shd w:val="clear" w:color="auto" w:fill="auto"/>
          </w:tcPr>
          <w:p w14:paraId="29A3D6D6"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26</w:t>
            </w:r>
          </w:p>
        </w:tc>
        <w:tc>
          <w:tcPr>
            <w:tcW w:w="2835" w:type="dxa"/>
            <w:tcBorders>
              <w:top w:val="single" w:sz="4" w:space="0" w:color="auto"/>
              <w:bottom w:val="single" w:sz="4" w:space="0" w:color="auto"/>
            </w:tcBorders>
            <w:shd w:val="clear" w:color="auto" w:fill="auto"/>
            <w:noWrap/>
          </w:tcPr>
          <w:p w14:paraId="0D758FF6" w14:textId="77777777" w:rsidR="0035511A" w:rsidRPr="00A94CAE"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94CAE">
              <w:rPr>
                <w:rFonts w:asciiTheme="majorHAnsi" w:hAnsiTheme="majorHAnsi" w:cstheme="majorHAnsi"/>
                <w:color w:val="000000"/>
                <w:sz w:val="16"/>
                <w:szCs w:val="16"/>
              </w:rPr>
              <w:t>1·</w:t>
            </w:r>
            <w:r>
              <w:rPr>
                <w:rFonts w:asciiTheme="majorHAnsi" w:hAnsiTheme="majorHAnsi" w:cstheme="majorHAnsi"/>
                <w:color w:val="000000"/>
                <w:sz w:val="16"/>
                <w:szCs w:val="16"/>
              </w:rPr>
              <w:t>022 (1.0</w:t>
            </w:r>
            <w:r w:rsidRPr="00A94CAE">
              <w:rPr>
                <w:rFonts w:asciiTheme="majorHAnsi" w:hAnsiTheme="majorHAnsi" w:cstheme="majorHAnsi"/>
                <w:color w:val="000000"/>
                <w:sz w:val="16"/>
                <w:szCs w:val="16"/>
              </w:rPr>
              <w:t xml:space="preserve"> – 1·0</w:t>
            </w:r>
            <w:r>
              <w:rPr>
                <w:rFonts w:asciiTheme="majorHAnsi" w:hAnsiTheme="majorHAnsi" w:cstheme="majorHAnsi"/>
                <w:color w:val="000000"/>
                <w:sz w:val="16"/>
                <w:szCs w:val="16"/>
              </w:rPr>
              <w:t>5</w:t>
            </w:r>
            <w:r w:rsidRPr="00A94CAE">
              <w:rPr>
                <w:rFonts w:asciiTheme="majorHAnsi" w:hAnsiTheme="majorHAnsi" w:cstheme="majorHAnsi"/>
                <w:color w:val="000000"/>
                <w:sz w:val="16"/>
                <w:szCs w:val="16"/>
              </w:rPr>
              <w:t>)</w:t>
            </w:r>
          </w:p>
        </w:tc>
        <w:tc>
          <w:tcPr>
            <w:tcW w:w="1133" w:type="dxa"/>
            <w:tcBorders>
              <w:top w:val="single" w:sz="4" w:space="0" w:color="auto"/>
              <w:bottom w:val="single" w:sz="4" w:space="0" w:color="auto"/>
            </w:tcBorders>
            <w:shd w:val="clear" w:color="auto" w:fill="auto"/>
            <w:noWrap/>
            <w:hideMark/>
          </w:tcPr>
          <w:p w14:paraId="72207707" w14:textId="77777777" w:rsidR="0035511A" w:rsidRPr="00A94CAE"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94CAE">
              <w:rPr>
                <w:rFonts w:asciiTheme="majorHAnsi" w:hAnsiTheme="majorHAnsi" w:cstheme="majorHAnsi"/>
                <w:color w:val="000000"/>
                <w:sz w:val="16"/>
                <w:szCs w:val="16"/>
              </w:rPr>
              <w:t>0·</w:t>
            </w:r>
            <w:r>
              <w:rPr>
                <w:rFonts w:asciiTheme="majorHAnsi" w:hAnsiTheme="majorHAnsi" w:cstheme="majorHAnsi"/>
                <w:color w:val="000000"/>
                <w:sz w:val="16"/>
                <w:szCs w:val="16"/>
              </w:rPr>
              <w:t>05</w:t>
            </w:r>
          </w:p>
        </w:tc>
      </w:tr>
      <w:tr w:rsidR="0035511A" w:rsidRPr="00AB06D7" w14:paraId="56DB46FF"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5965" w:type="dxa"/>
            <w:gridSpan w:val="2"/>
            <w:tcBorders>
              <w:top w:val="single" w:sz="4" w:space="0" w:color="auto"/>
              <w:bottom w:val="single" w:sz="4" w:space="0" w:color="auto"/>
            </w:tcBorders>
            <w:shd w:val="clear" w:color="auto" w:fill="auto"/>
            <w:noWrap/>
          </w:tcPr>
          <w:p w14:paraId="5FD1CE3D"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Year of HIV diagnosis</w:t>
            </w:r>
          </w:p>
        </w:tc>
        <w:tc>
          <w:tcPr>
            <w:tcW w:w="1906" w:type="dxa"/>
            <w:tcBorders>
              <w:top w:val="single" w:sz="4" w:space="0" w:color="auto"/>
              <w:bottom w:val="single" w:sz="4" w:space="0" w:color="auto"/>
            </w:tcBorders>
            <w:shd w:val="clear" w:color="auto" w:fill="auto"/>
            <w:noWrap/>
          </w:tcPr>
          <w:p w14:paraId="0EE1DC05"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p>
        </w:tc>
        <w:tc>
          <w:tcPr>
            <w:tcW w:w="2302" w:type="dxa"/>
            <w:tcBorders>
              <w:top w:val="single" w:sz="4" w:space="0" w:color="auto"/>
              <w:bottom w:val="single" w:sz="4" w:space="0" w:color="auto"/>
            </w:tcBorders>
            <w:shd w:val="clear" w:color="auto" w:fill="auto"/>
            <w:noWrap/>
          </w:tcPr>
          <w:p w14:paraId="09C267D6"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0·99 (0·96 – 1·02)</w:t>
            </w:r>
          </w:p>
        </w:tc>
        <w:tc>
          <w:tcPr>
            <w:tcW w:w="992" w:type="dxa"/>
            <w:tcBorders>
              <w:top w:val="single" w:sz="4" w:space="0" w:color="auto"/>
              <w:bottom w:val="single" w:sz="4" w:space="0" w:color="auto"/>
            </w:tcBorders>
            <w:shd w:val="clear" w:color="auto" w:fill="auto"/>
          </w:tcPr>
          <w:p w14:paraId="0216432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0·53</w:t>
            </w:r>
          </w:p>
        </w:tc>
        <w:tc>
          <w:tcPr>
            <w:tcW w:w="2835" w:type="dxa"/>
            <w:tcBorders>
              <w:top w:val="single" w:sz="4" w:space="0" w:color="auto"/>
              <w:bottom w:val="single" w:sz="4" w:space="0" w:color="auto"/>
            </w:tcBorders>
            <w:shd w:val="clear" w:color="auto" w:fill="auto"/>
            <w:noWrap/>
          </w:tcPr>
          <w:p w14:paraId="2B1BE54C" w14:textId="77777777" w:rsidR="0035511A" w:rsidRPr="00A94CAE"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94CAE">
              <w:rPr>
                <w:rFonts w:asciiTheme="majorHAnsi" w:hAnsiTheme="majorHAnsi" w:cstheme="majorHAnsi"/>
                <w:color w:val="000000"/>
                <w:sz w:val="16"/>
                <w:szCs w:val="16"/>
              </w:rPr>
              <w:t>1·03 (0·99 –</w:t>
            </w:r>
            <w:r>
              <w:rPr>
                <w:rFonts w:asciiTheme="majorHAnsi" w:hAnsiTheme="majorHAnsi" w:cstheme="majorHAnsi"/>
                <w:color w:val="000000"/>
                <w:sz w:val="16"/>
                <w:szCs w:val="16"/>
              </w:rPr>
              <w:t xml:space="preserve"> 1·07</w:t>
            </w:r>
            <w:r w:rsidRPr="00A94CAE">
              <w:rPr>
                <w:rFonts w:asciiTheme="majorHAnsi" w:hAnsiTheme="majorHAnsi" w:cstheme="majorHAnsi"/>
                <w:color w:val="000000"/>
                <w:sz w:val="16"/>
                <w:szCs w:val="16"/>
              </w:rPr>
              <w:t>)</w:t>
            </w:r>
          </w:p>
        </w:tc>
        <w:tc>
          <w:tcPr>
            <w:tcW w:w="1133" w:type="dxa"/>
            <w:tcBorders>
              <w:top w:val="single" w:sz="4" w:space="0" w:color="auto"/>
              <w:bottom w:val="single" w:sz="4" w:space="0" w:color="auto"/>
            </w:tcBorders>
            <w:shd w:val="clear" w:color="auto" w:fill="auto"/>
            <w:noWrap/>
          </w:tcPr>
          <w:p w14:paraId="6838672E" w14:textId="77777777" w:rsidR="0035511A" w:rsidRPr="00A94CAE"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0·23</w:t>
            </w:r>
          </w:p>
        </w:tc>
      </w:tr>
      <w:tr w:rsidR="0035511A" w:rsidRPr="00AB06D7" w14:paraId="6490A4A5" w14:textId="77777777" w:rsidTr="000C046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tcBorders>
            <w:shd w:val="clear" w:color="auto" w:fill="auto"/>
            <w:noWrap/>
            <w:hideMark/>
          </w:tcPr>
          <w:p w14:paraId="353F8512" w14:textId="77777777" w:rsidR="0035511A" w:rsidRPr="00AB06D7" w:rsidRDefault="0035511A" w:rsidP="000C0460">
            <w:pPr>
              <w:rPr>
                <w:rFonts w:asciiTheme="majorHAnsi" w:hAnsiTheme="majorHAnsi" w:cstheme="majorHAnsi"/>
                <w:color w:val="000000"/>
                <w:sz w:val="16"/>
                <w:szCs w:val="16"/>
              </w:rPr>
            </w:pPr>
            <w:r>
              <w:rPr>
                <w:rFonts w:asciiTheme="majorHAnsi" w:hAnsiTheme="majorHAnsi" w:cstheme="majorHAnsi"/>
                <w:color w:val="000000"/>
                <w:sz w:val="16"/>
                <w:szCs w:val="16"/>
              </w:rPr>
              <w:t>Sex</w:t>
            </w:r>
          </w:p>
        </w:tc>
        <w:tc>
          <w:tcPr>
            <w:tcW w:w="2828" w:type="dxa"/>
            <w:tcBorders>
              <w:top w:val="single" w:sz="4" w:space="0" w:color="auto"/>
            </w:tcBorders>
            <w:shd w:val="clear" w:color="auto" w:fill="auto"/>
            <w:noWrap/>
            <w:hideMark/>
          </w:tcPr>
          <w:p w14:paraId="60E0D49C"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Male</w:t>
            </w:r>
          </w:p>
        </w:tc>
        <w:tc>
          <w:tcPr>
            <w:tcW w:w="1906" w:type="dxa"/>
            <w:tcBorders>
              <w:top w:val="single" w:sz="4" w:space="0" w:color="auto"/>
            </w:tcBorders>
            <w:shd w:val="clear" w:color="auto" w:fill="auto"/>
            <w:noWrap/>
          </w:tcPr>
          <w:p w14:paraId="2C49530B"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53/118 (44</w:t>
            </w:r>
            <w:r w:rsidRPr="00AB06D7">
              <w:rPr>
                <w:rFonts w:asciiTheme="majorHAnsi" w:hAnsiTheme="majorHAnsi" w:cstheme="majorHAnsi"/>
                <w:color w:val="000000"/>
                <w:sz w:val="16"/>
                <w:szCs w:val="16"/>
              </w:rPr>
              <w:t>·9)</w:t>
            </w:r>
          </w:p>
        </w:tc>
        <w:tc>
          <w:tcPr>
            <w:tcW w:w="2302" w:type="dxa"/>
            <w:tcBorders>
              <w:top w:val="single" w:sz="4" w:space="0" w:color="auto"/>
            </w:tcBorders>
            <w:shd w:val="clear" w:color="auto" w:fill="auto"/>
            <w:noWrap/>
          </w:tcPr>
          <w:p w14:paraId="140395D4"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p>
        </w:tc>
        <w:tc>
          <w:tcPr>
            <w:tcW w:w="992" w:type="dxa"/>
            <w:tcBorders>
              <w:top w:val="single" w:sz="4" w:space="0" w:color="auto"/>
            </w:tcBorders>
            <w:shd w:val="clear" w:color="auto" w:fill="auto"/>
          </w:tcPr>
          <w:p w14:paraId="6897AEC5"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p>
        </w:tc>
        <w:tc>
          <w:tcPr>
            <w:tcW w:w="2835" w:type="dxa"/>
            <w:tcBorders>
              <w:top w:val="single" w:sz="4" w:space="0" w:color="auto"/>
            </w:tcBorders>
            <w:shd w:val="clear" w:color="auto" w:fill="auto"/>
            <w:noWrap/>
          </w:tcPr>
          <w:p w14:paraId="1E18A3B8" w14:textId="77777777" w:rsidR="0035511A" w:rsidRPr="00D461EF"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1</w:t>
            </w:r>
          </w:p>
        </w:tc>
        <w:tc>
          <w:tcPr>
            <w:tcW w:w="1133" w:type="dxa"/>
            <w:tcBorders>
              <w:top w:val="single" w:sz="4" w:space="0" w:color="auto"/>
            </w:tcBorders>
            <w:shd w:val="clear" w:color="auto" w:fill="auto"/>
            <w:noWrap/>
            <w:hideMark/>
          </w:tcPr>
          <w:p w14:paraId="324D8FC1" w14:textId="77777777" w:rsidR="0035511A" w:rsidRPr="00D461EF"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 </w:t>
            </w:r>
          </w:p>
        </w:tc>
      </w:tr>
      <w:tr w:rsidR="0035511A" w:rsidRPr="00AB06D7" w14:paraId="5799B2AA"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hideMark/>
          </w:tcPr>
          <w:p w14:paraId="1C093D5D"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auto"/>
            </w:tcBorders>
            <w:shd w:val="clear" w:color="auto" w:fill="auto"/>
            <w:noWrap/>
            <w:hideMark/>
          </w:tcPr>
          <w:p w14:paraId="2983D015"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Female</w:t>
            </w:r>
          </w:p>
        </w:tc>
        <w:tc>
          <w:tcPr>
            <w:tcW w:w="1906" w:type="dxa"/>
            <w:tcBorders>
              <w:bottom w:val="single" w:sz="4" w:space="0" w:color="auto"/>
            </w:tcBorders>
            <w:shd w:val="clear" w:color="auto" w:fill="auto"/>
            <w:noWrap/>
          </w:tcPr>
          <w:p w14:paraId="40D2916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65/118 (55</w:t>
            </w:r>
            <w:r w:rsidRPr="00AB06D7">
              <w:rPr>
                <w:rFonts w:asciiTheme="majorHAnsi" w:hAnsiTheme="majorHAnsi" w:cstheme="majorHAnsi"/>
                <w:color w:val="000000"/>
                <w:sz w:val="16"/>
                <w:szCs w:val="16"/>
              </w:rPr>
              <w:t>·1)</w:t>
            </w:r>
          </w:p>
        </w:tc>
        <w:tc>
          <w:tcPr>
            <w:tcW w:w="2302" w:type="dxa"/>
            <w:tcBorders>
              <w:bottom w:val="single" w:sz="4" w:space="0" w:color="auto"/>
            </w:tcBorders>
            <w:shd w:val="clear" w:color="auto" w:fill="auto"/>
            <w:noWrap/>
          </w:tcPr>
          <w:p w14:paraId="69217CE7"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1·71 (1·16</w:t>
            </w:r>
            <w:r w:rsidRPr="00AB06D7">
              <w:rPr>
                <w:rFonts w:asciiTheme="majorHAnsi" w:hAnsiTheme="majorHAnsi" w:cstheme="majorHAnsi"/>
                <w:color w:val="000000"/>
                <w:sz w:val="16"/>
                <w:szCs w:val="16"/>
              </w:rPr>
              <w:t xml:space="preserve"> – 2·</w:t>
            </w:r>
            <w:r>
              <w:rPr>
                <w:rFonts w:asciiTheme="majorHAnsi" w:hAnsiTheme="majorHAnsi" w:cstheme="majorHAnsi"/>
                <w:color w:val="000000"/>
                <w:sz w:val="16"/>
                <w:szCs w:val="16"/>
              </w:rPr>
              <w:t>51</w:t>
            </w:r>
            <w:r w:rsidRPr="00AB06D7">
              <w:rPr>
                <w:rFonts w:asciiTheme="majorHAnsi" w:hAnsiTheme="majorHAnsi" w:cstheme="majorHAnsi"/>
                <w:color w:val="000000"/>
                <w:sz w:val="16"/>
                <w:szCs w:val="16"/>
              </w:rPr>
              <w:t>)</w:t>
            </w:r>
          </w:p>
        </w:tc>
        <w:tc>
          <w:tcPr>
            <w:tcW w:w="992" w:type="dxa"/>
            <w:tcBorders>
              <w:bottom w:val="single" w:sz="4" w:space="0" w:color="auto"/>
            </w:tcBorders>
            <w:shd w:val="clear" w:color="auto" w:fill="auto"/>
          </w:tcPr>
          <w:p w14:paraId="44C18B40"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0·01</w:t>
            </w:r>
          </w:p>
        </w:tc>
        <w:tc>
          <w:tcPr>
            <w:tcW w:w="2835" w:type="dxa"/>
            <w:tcBorders>
              <w:bottom w:val="single" w:sz="4" w:space="0" w:color="auto"/>
            </w:tcBorders>
            <w:shd w:val="clear" w:color="auto" w:fill="auto"/>
            <w:noWrap/>
          </w:tcPr>
          <w:p w14:paraId="5007EE37" w14:textId="77777777" w:rsidR="0035511A" w:rsidRPr="00D461EF"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0·95 (0·62- 1·45</w:t>
            </w:r>
            <w:r w:rsidRPr="00D461EF">
              <w:rPr>
                <w:rFonts w:asciiTheme="majorHAnsi" w:hAnsiTheme="majorHAnsi" w:cstheme="majorHAnsi"/>
                <w:color w:val="000000"/>
                <w:sz w:val="16"/>
                <w:szCs w:val="16"/>
              </w:rPr>
              <w:t>)</w:t>
            </w:r>
          </w:p>
        </w:tc>
        <w:tc>
          <w:tcPr>
            <w:tcW w:w="1133" w:type="dxa"/>
            <w:tcBorders>
              <w:bottom w:val="single" w:sz="4" w:space="0" w:color="auto"/>
            </w:tcBorders>
            <w:shd w:val="clear" w:color="auto" w:fill="auto"/>
            <w:noWrap/>
            <w:hideMark/>
          </w:tcPr>
          <w:p w14:paraId="5B4A9742" w14:textId="77777777" w:rsidR="0035511A" w:rsidRPr="00D461EF"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0·79</w:t>
            </w:r>
          </w:p>
        </w:tc>
      </w:tr>
      <w:tr w:rsidR="0035511A" w:rsidRPr="00AB06D7" w14:paraId="51B55202" w14:textId="77777777" w:rsidTr="000C046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tcBorders>
            <w:shd w:val="clear" w:color="auto" w:fill="auto"/>
            <w:noWrap/>
          </w:tcPr>
          <w:p w14:paraId="3E680EFB"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CD4 count at IGRA test</w:t>
            </w:r>
            <w:r>
              <w:rPr>
                <w:rFonts w:asciiTheme="majorHAnsi" w:hAnsiTheme="majorHAnsi" w:cstheme="majorHAnsi"/>
                <w:color w:val="000000"/>
                <w:sz w:val="16"/>
                <w:szCs w:val="16"/>
              </w:rPr>
              <w:t xml:space="preserve"> (cells/mm</w:t>
            </w:r>
            <w:r w:rsidRPr="00816998">
              <w:rPr>
                <w:rFonts w:asciiTheme="majorHAnsi" w:hAnsiTheme="majorHAnsi" w:cstheme="majorHAnsi"/>
                <w:color w:val="000000"/>
                <w:sz w:val="16"/>
                <w:szCs w:val="16"/>
                <w:vertAlign w:val="superscript"/>
              </w:rPr>
              <w:t>3</w:t>
            </w:r>
            <w:r>
              <w:rPr>
                <w:rFonts w:asciiTheme="majorHAnsi" w:hAnsiTheme="majorHAnsi" w:cstheme="majorHAnsi"/>
                <w:color w:val="000000"/>
                <w:sz w:val="16"/>
                <w:szCs w:val="16"/>
              </w:rPr>
              <w:t>)</w:t>
            </w:r>
          </w:p>
        </w:tc>
        <w:tc>
          <w:tcPr>
            <w:tcW w:w="2828" w:type="dxa"/>
            <w:tcBorders>
              <w:top w:val="single" w:sz="4" w:space="0" w:color="auto"/>
              <w:bottom w:val="single" w:sz="4" w:space="0" w:color="BFBFBF" w:themeColor="background1" w:themeShade="BF"/>
            </w:tcBorders>
            <w:shd w:val="clear" w:color="auto" w:fill="auto"/>
            <w:noWrap/>
          </w:tcPr>
          <w:p w14:paraId="39138A40" w14:textId="77777777" w:rsidR="0035511A" w:rsidRPr="003C45C2"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3C45C2">
              <w:rPr>
                <w:rFonts w:asciiTheme="majorHAnsi" w:hAnsiTheme="majorHAnsi" w:cstheme="majorHAnsi"/>
                <w:color w:val="000000"/>
                <w:sz w:val="16"/>
                <w:szCs w:val="16"/>
              </w:rPr>
              <w:t>&lt;200</w:t>
            </w:r>
          </w:p>
        </w:tc>
        <w:tc>
          <w:tcPr>
            <w:tcW w:w="1906" w:type="dxa"/>
            <w:tcBorders>
              <w:top w:val="single" w:sz="4" w:space="0" w:color="auto"/>
              <w:bottom w:val="single" w:sz="4" w:space="0" w:color="BFBFBF" w:themeColor="background1" w:themeShade="BF"/>
            </w:tcBorders>
            <w:shd w:val="clear" w:color="auto" w:fill="auto"/>
            <w:noWrap/>
          </w:tcPr>
          <w:p w14:paraId="3DAB95A3"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2/118 (1.7</w:t>
            </w:r>
            <w:r w:rsidRPr="00AB06D7">
              <w:rPr>
                <w:rFonts w:asciiTheme="majorHAnsi" w:hAnsiTheme="majorHAnsi" w:cstheme="majorHAnsi"/>
                <w:color w:val="000000"/>
                <w:sz w:val="16"/>
                <w:szCs w:val="16"/>
              </w:rPr>
              <w:t>)</w:t>
            </w:r>
          </w:p>
        </w:tc>
        <w:tc>
          <w:tcPr>
            <w:tcW w:w="2302" w:type="dxa"/>
            <w:tcBorders>
              <w:top w:val="single" w:sz="4" w:space="0" w:color="auto"/>
              <w:bottom w:val="single" w:sz="4" w:space="0" w:color="BFBFBF" w:themeColor="background1" w:themeShade="BF"/>
            </w:tcBorders>
            <w:shd w:val="clear" w:color="auto" w:fill="auto"/>
            <w:noWrap/>
          </w:tcPr>
          <w:p w14:paraId="7A9866A1"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w:t>
            </w:r>
          </w:p>
        </w:tc>
        <w:tc>
          <w:tcPr>
            <w:tcW w:w="992" w:type="dxa"/>
            <w:tcBorders>
              <w:top w:val="single" w:sz="4" w:space="0" w:color="auto"/>
              <w:bottom w:val="single" w:sz="4" w:space="0" w:color="BFBFBF" w:themeColor="background1" w:themeShade="BF"/>
            </w:tcBorders>
            <w:shd w:val="clear" w:color="auto" w:fill="auto"/>
          </w:tcPr>
          <w:p w14:paraId="43A61537"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 </w:t>
            </w:r>
          </w:p>
        </w:tc>
        <w:tc>
          <w:tcPr>
            <w:tcW w:w="2835" w:type="dxa"/>
            <w:tcBorders>
              <w:top w:val="single" w:sz="4" w:space="0" w:color="auto"/>
              <w:bottom w:val="single" w:sz="4" w:space="0" w:color="BFBFBF" w:themeColor="background1" w:themeShade="BF"/>
            </w:tcBorders>
            <w:shd w:val="clear" w:color="auto" w:fill="auto"/>
            <w:noWrap/>
          </w:tcPr>
          <w:p w14:paraId="5588BA04" w14:textId="77777777" w:rsidR="0035511A"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w:t>
            </w:r>
          </w:p>
        </w:tc>
        <w:tc>
          <w:tcPr>
            <w:tcW w:w="1133" w:type="dxa"/>
            <w:tcBorders>
              <w:top w:val="single" w:sz="4" w:space="0" w:color="auto"/>
              <w:bottom w:val="single" w:sz="4" w:space="0" w:color="BFBFBF" w:themeColor="background1" w:themeShade="BF"/>
            </w:tcBorders>
            <w:shd w:val="clear" w:color="auto" w:fill="auto"/>
            <w:noWrap/>
          </w:tcPr>
          <w:p w14:paraId="79551FE3"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 </w:t>
            </w:r>
          </w:p>
        </w:tc>
      </w:tr>
      <w:tr w:rsidR="0035511A" w:rsidRPr="00AB06D7" w14:paraId="521BABFD" w14:textId="77777777" w:rsidTr="000C0460">
        <w:trPr>
          <w:trHeight w:val="280"/>
        </w:trPr>
        <w:tc>
          <w:tcPr>
            <w:cnfStyle w:val="001000000000" w:firstRow="0" w:lastRow="0" w:firstColumn="1" w:lastColumn="0" w:oddVBand="0" w:evenVBand="0" w:oddHBand="0" w:evenHBand="0" w:firstRowFirstColumn="0" w:firstRowLastColumn="0" w:lastRowFirstColumn="0" w:lastRowLastColumn="0"/>
            <w:tcW w:w="3137" w:type="dxa"/>
            <w:vMerge/>
            <w:shd w:val="clear" w:color="auto" w:fill="auto"/>
            <w:noWrap/>
          </w:tcPr>
          <w:p w14:paraId="3417EB06" w14:textId="77777777" w:rsidR="0035511A" w:rsidRPr="00AB06D7" w:rsidRDefault="0035511A" w:rsidP="000C0460">
            <w:pPr>
              <w:rPr>
                <w:rFonts w:asciiTheme="majorHAnsi" w:hAnsiTheme="majorHAnsi" w:cstheme="majorHAnsi"/>
                <w:color w:val="000000"/>
                <w:sz w:val="16"/>
                <w:szCs w:val="16"/>
              </w:rPr>
            </w:pPr>
          </w:p>
        </w:tc>
        <w:tc>
          <w:tcPr>
            <w:tcW w:w="2828" w:type="dxa"/>
            <w:tcBorders>
              <w:top w:val="single" w:sz="4" w:space="0" w:color="BFBFBF" w:themeColor="background1" w:themeShade="BF"/>
            </w:tcBorders>
            <w:shd w:val="clear" w:color="auto" w:fill="auto"/>
            <w:noWrap/>
          </w:tcPr>
          <w:p w14:paraId="14A005EC" w14:textId="77777777" w:rsidR="0035511A" w:rsidRPr="003C45C2"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3C45C2">
              <w:rPr>
                <w:rFonts w:asciiTheme="majorHAnsi" w:hAnsiTheme="majorHAnsi" w:cstheme="majorHAnsi"/>
                <w:color w:val="000000"/>
                <w:sz w:val="16"/>
                <w:szCs w:val="16"/>
              </w:rPr>
              <w:t>200-349</w:t>
            </w:r>
          </w:p>
        </w:tc>
        <w:tc>
          <w:tcPr>
            <w:tcW w:w="1906" w:type="dxa"/>
            <w:tcBorders>
              <w:top w:val="single" w:sz="4" w:space="0" w:color="BFBFBF" w:themeColor="background1" w:themeShade="BF"/>
            </w:tcBorders>
            <w:shd w:val="clear" w:color="auto" w:fill="auto"/>
            <w:noWrap/>
          </w:tcPr>
          <w:p w14:paraId="5A0FDFD0"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12/118</w:t>
            </w:r>
            <w:r w:rsidRPr="00AB06D7">
              <w:rPr>
                <w:rFonts w:asciiTheme="majorHAnsi" w:hAnsiTheme="majorHAnsi" w:cstheme="majorHAnsi"/>
                <w:color w:val="000000"/>
                <w:sz w:val="16"/>
                <w:szCs w:val="16"/>
              </w:rPr>
              <w:t xml:space="preserve"> (</w:t>
            </w:r>
            <w:r>
              <w:rPr>
                <w:rFonts w:asciiTheme="majorHAnsi" w:hAnsiTheme="majorHAnsi" w:cstheme="majorHAnsi"/>
                <w:color w:val="000000"/>
                <w:sz w:val="16"/>
                <w:szCs w:val="16"/>
              </w:rPr>
              <w:t>10</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2</w:t>
            </w:r>
            <w:r w:rsidRPr="00AB06D7">
              <w:rPr>
                <w:rFonts w:asciiTheme="majorHAnsi" w:hAnsiTheme="majorHAnsi" w:cstheme="majorHAnsi"/>
                <w:color w:val="000000"/>
                <w:sz w:val="16"/>
                <w:szCs w:val="16"/>
              </w:rPr>
              <w:t>)</w:t>
            </w:r>
          </w:p>
        </w:tc>
        <w:tc>
          <w:tcPr>
            <w:tcW w:w="2302" w:type="dxa"/>
            <w:tcBorders>
              <w:top w:val="single" w:sz="4" w:space="0" w:color="BFBFBF" w:themeColor="background1" w:themeShade="BF"/>
            </w:tcBorders>
            <w:shd w:val="clear" w:color="auto" w:fill="auto"/>
            <w:noWrap/>
          </w:tcPr>
          <w:p w14:paraId="2E0A076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1.63</w:t>
            </w:r>
            <w:r w:rsidRPr="00AB06D7">
              <w:rPr>
                <w:rFonts w:asciiTheme="majorHAnsi" w:hAnsiTheme="majorHAnsi" w:cstheme="majorHAnsi"/>
                <w:color w:val="000000"/>
                <w:sz w:val="16"/>
                <w:szCs w:val="16"/>
              </w:rPr>
              <w:t xml:space="preserve"> (</w:t>
            </w:r>
            <w:r>
              <w:rPr>
                <w:rFonts w:asciiTheme="majorHAnsi" w:hAnsiTheme="majorHAnsi" w:cstheme="majorHAnsi"/>
                <w:color w:val="000000"/>
                <w:sz w:val="16"/>
                <w:szCs w:val="16"/>
              </w:rPr>
              <w:t>0</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36</w:t>
            </w:r>
            <w:r w:rsidRPr="00AB06D7">
              <w:rPr>
                <w:rFonts w:asciiTheme="majorHAnsi" w:hAnsiTheme="majorHAnsi" w:cstheme="majorHAnsi"/>
                <w:color w:val="000000"/>
                <w:sz w:val="16"/>
                <w:szCs w:val="16"/>
              </w:rPr>
              <w:t xml:space="preserve"> – </w:t>
            </w:r>
            <w:r>
              <w:rPr>
                <w:rFonts w:asciiTheme="majorHAnsi" w:hAnsiTheme="majorHAnsi" w:cstheme="majorHAnsi"/>
                <w:color w:val="000000"/>
                <w:sz w:val="16"/>
                <w:szCs w:val="16"/>
              </w:rPr>
              <w:t>7.56</w:t>
            </w:r>
            <w:r w:rsidRPr="00AB06D7">
              <w:rPr>
                <w:rFonts w:asciiTheme="majorHAnsi" w:hAnsiTheme="majorHAnsi" w:cstheme="majorHAnsi"/>
                <w:color w:val="000000"/>
                <w:sz w:val="16"/>
                <w:szCs w:val="16"/>
              </w:rPr>
              <w:t>)</w:t>
            </w:r>
          </w:p>
        </w:tc>
        <w:tc>
          <w:tcPr>
            <w:tcW w:w="992" w:type="dxa"/>
            <w:tcBorders>
              <w:top w:val="single" w:sz="4" w:space="0" w:color="BFBFBF" w:themeColor="background1" w:themeShade="BF"/>
            </w:tcBorders>
            <w:shd w:val="clear" w:color="auto" w:fill="auto"/>
          </w:tcPr>
          <w:p w14:paraId="51CBCAC5"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53</w:t>
            </w:r>
          </w:p>
        </w:tc>
        <w:tc>
          <w:tcPr>
            <w:tcW w:w="2835" w:type="dxa"/>
            <w:tcBorders>
              <w:top w:val="single" w:sz="4" w:space="0" w:color="BFBFBF" w:themeColor="background1" w:themeShade="BF"/>
            </w:tcBorders>
            <w:shd w:val="clear" w:color="auto" w:fill="auto"/>
            <w:noWrap/>
          </w:tcPr>
          <w:p w14:paraId="122ED02B" w14:textId="77777777" w:rsidR="0035511A" w:rsidRPr="003C45C2"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1.67 (0·35 – 7.97</w:t>
            </w:r>
            <w:r w:rsidRPr="003C45C2">
              <w:rPr>
                <w:rFonts w:asciiTheme="majorHAnsi" w:hAnsiTheme="majorHAnsi" w:cstheme="majorHAnsi"/>
                <w:color w:val="000000"/>
                <w:sz w:val="16"/>
                <w:szCs w:val="16"/>
              </w:rPr>
              <w:t>)</w:t>
            </w:r>
          </w:p>
        </w:tc>
        <w:tc>
          <w:tcPr>
            <w:tcW w:w="1133" w:type="dxa"/>
            <w:tcBorders>
              <w:top w:val="single" w:sz="4" w:space="0" w:color="BFBFBF" w:themeColor="background1" w:themeShade="BF"/>
            </w:tcBorders>
            <w:shd w:val="clear" w:color="auto" w:fill="auto"/>
            <w:noWrap/>
          </w:tcPr>
          <w:p w14:paraId="28F4CAFA"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0·</w:t>
            </w:r>
            <w:r>
              <w:rPr>
                <w:rFonts w:asciiTheme="majorHAnsi" w:hAnsiTheme="majorHAnsi" w:cstheme="majorHAnsi"/>
                <w:color w:val="000000"/>
                <w:sz w:val="16"/>
                <w:szCs w:val="16"/>
              </w:rPr>
              <w:t>52</w:t>
            </w:r>
          </w:p>
        </w:tc>
      </w:tr>
      <w:tr w:rsidR="0035511A" w:rsidRPr="00AB06D7" w14:paraId="01E5CF2B" w14:textId="77777777" w:rsidTr="000C046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7" w:type="dxa"/>
            <w:vMerge/>
            <w:shd w:val="clear" w:color="auto" w:fill="auto"/>
            <w:noWrap/>
          </w:tcPr>
          <w:p w14:paraId="0AA1FA94" w14:textId="77777777" w:rsidR="0035511A" w:rsidRPr="00AB06D7" w:rsidRDefault="0035511A" w:rsidP="000C0460">
            <w:pPr>
              <w:rPr>
                <w:rFonts w:asciiTheme="majorHAnsi" w:hAnsiTheme="majorHAnsi" w:cstheme="majorHAnsi"/>
                <w:color w:val="000000"/>
                <w:sz w:val="16"/>
                <w:szCs w:val="16"/>
              </w:rPr>
            </w:pPr>
          </w:p>
        </w:tc>
        <w:tc>
          <w:tcPr>
            <w:tcW w:w="2828" w:type="dxa"/>
            <w:tcBorders>
              <w:top w:val="single" w:sz="4" w:space="0" w:color="BFBFBF" w:themeColor="background1" w:themeShade="BF"/>
            </w:tcBorders>
            <w:shd w:val="clear" w:color="auto" w:fill="auto"/>
            <w:noWrap/>
          </w:tcPr>
          <w:p w14:paraId="0316C84D" w14:textId="77777777" w:rsidR="0035511A" w:rsidRPr="003C45C2"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3C45C2">
              <w:rPr>
                <w:rFonts w:asciiTheme="majorHAnsi" w:hAnsiTheme="majorHAnsi" w:cstheme="majorHAnsi"/>
                <w:color w:val="000000"/>
                <w:sz w:val="16"/>
                <w:szCs w:val="16"/>
              </w:rPr>
              <w:t>350-499</w:t>
            </w:r>
          </w:p>
        </w:tc>
        <w:tc>
          <w:tcPr>
            <w:tcW w:w="1906" w:type="dxa"/>
            <w:tcBorders>
              <w:top w:val="single" w:sz="4" w:space="0" w:color="BFBFBF" w:themeColor="background1" w:themeShade="BF"/>
            </w:tcBorders>
            <w:shd w:val="clear" w:color="auto" w:fill="auto"/>
            <w:noWrap/>
          </w:tcPr>
          <w:p w14:paraId="1C0EDEDB"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36/118 (30.5</w:t>
            </w:r>
            <w:r w:rsidRPr="00AB06D7">
              <w:rPr>
                <w:rFonts w:asciiTheme="majorHAnsi" w:hAnsiTheme="majorHAnsi" w:cstheme="majorHAnsi"/>
                <w:color w:val="000000"/>
                <w:sz w:val="16"/>
                <w:szCs w:val="16"/>
              </w:rPr>
              <w:t>)</w:t>
            </w:r>
          </w:p>
        </w:tc>
        <w:tc>
          <w:tcPr>
            <w:tcW w:w="2302" w:type="dxa"/>
            <w:tcBorders>
              <w:top w:val="single" w:sz="4" w:space="0" w:color="BFBFBF" w:themeColor="background1" w:themeShade="BF"/>
            </w:tcBorders>
            <w:shd w:val="clear" w:color="auto" w:fill="auto"/>
            <w:noWrap/>
          </w:tcPr>
          <w:p w14:paraId="018849D6"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3.87 (0.90</w:t>
            </w:r>
            <w:r w:rsidRPr="00AB06D7">
              <w:rPr>
                <w:rFonts w:asciiTheme="majorHAnsi" w:hAnsiTheme="majorHAnsi" w:cstheme="majorHAnsi"/>
                <w:color w:val="000000"/>
                <w:sz w:val="16"/>
                <w:szCs w:val="16"/>
              </w:rPr>
              <w:t xml:space="preserve"> – </w:t>
            </w:r>
            <w:r>
              <w:rPr>
                <w:rFonts w:asciiTheme="majorHAnsi" w:hAnsiTheme="majorHAnsi" w:cstheme="majorHAnsi"/>
                <w:color w:val="000000"/>
                <w:sz w:val="16"/>
                <w:szCs w:val="16"/>
              </w:rPr>
              <w:t>16.65</w:t>
            </w:r>
            <w:r w:rsidRPr="00AB06D7">
              <w:rPr>
                <w:rFonts w:asciiTheme="majorHAnsi" w:hAnsiTheme="majorHAnsi" w:cstheme="majorHAnsi"/>
                <w:color w:val="000000"/>
                <w:sz w:val="16"/>
                <w:szCs w:val="16"/>
              </w:rPr>
              <w:t>)</w:t>
            </w:r>
          </w:p>
        </w:tc>
        <w:tc>
          <w:tcPr>
            <w:tcW w:w="992" w:type="dxa"/>
            <w:tcBorders>
              <w:top w:val="single" w:sz="4" w:space="0" w:color="BFBFBF" w:themeColor="background1" w:themeShade="BF"/>
            </w:tcBorders>
            <w:shd w:val="clear" w:color="auto" w:fill="auto"/>
          </w:tcPr>
          <w:p w14:paraId="64854BCA"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008</w:t>
            </w:r>
          </w:p>
        </w:tc>
        <w:tc>
          <w:tcPr>
            <w:tcW w:w="2835" w:type="dxa"/>
            <w:tcBorders>
              <w:top w:val="single" w:sz="4" w:space="0" w:color="BFBFBF" w:themeColor="background1" w:themeShade="BF"/>
            </w:tcBorders>
            <w:shd w:val="clear" w:color="auto" w:fill="auto"/>
            <w:noWrap/>
          </w:tcPr>
          <w:p w14:paraId="68B9754C" w14:textId="77777777" w:rsidR="0035511A" w:rsidRPr="003C45C2"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4·39 (0.99 – 19.53</w:t>
            </w:r>
            <w:r w:rsidRPr="003C45C2">
              <w:rPr>
                <w:rFonts w:asciiTheme="majorHAnsi" w:hAnsiTheme="majorHAnsi" w:cstheme="majorHAnsi"/>
                <w:color w:val="000000"/>
                <w:sz w:val="16"/>
                <w:szCs w:val="16"/>
              </w:rPr>
              <w:t>)</w:t>
            </w:r>
          </w:p>
        </w:tc>
        <w:tc>
          <w:tcPr>
            <w:tcW w:w="1133" w:type="dxa"/>
            <w:tcBorders>
              <w:top w:val="single" w:sz="4" w:space="0" w:color="BFBFBF" w:themeColor="background1" w:themeShade="BF"/>
            </w:tcBorders>
            <w:shd w:val="clear" w:color="auto" w:fill="auto"/>
            <w:noWrap/>
          </w:tcPr>
          <w:p w14:paraId="2DD5E603"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0·</w:t>
            </w:r>
            <w:r>
              <w:rPr>
                <w:rFonts w:asciiTheme="majorHAnsi" w:hAnsiTheme="majorHAnsi" w:cstheme="majorHAnsi"/>
                <w:color w:val="000000"/>
                <w:sz w:val="16"/>
                <w:szCs w:val="16"/>
              </w:rPr>
              <w:t>05</w:t>
            </w:r>
          </w:p>
        </w:tc>
      </w:tr>
      <w:tr w:rsidR="0035511A" w:rsidRPr="00AB06D7" w14:paraId="60BC7211" w14:textId="77777777" w:rsidTr="000C0460">
        <w:trPr>
          <w:trHeight w:val="28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noWrap/>
          </w:tcPr>
          <w:p w14:paraId="6849626F" w14:textId="77777777" w:rsidR="0035511A" w:rsidRPr="00AB06D7" w:rsidRDefault="0035511A" w:rsidP="000C0460">
            <w:pPr>
              <w:rPr>
                <w:rFonts w:asciiTheme="majorHAnsi" w:hAnsiTheme="majorHAnsi" w:cstheme="majorHAnsi"/>
                <w:color w:val="000000"/>
                <w:sz w:val="16"/>
                <w:szCs w:val="16"/>
              </w:rPr>
            </w:pPr>
          </w:p>
        </w:tc>
        <w:tc>
          <w:tcPr>
            <w:tcW w:w="2828" w:type="dxa"/>
            <w:tcBorders>
              <w:top w:val="single" w:sz="4" w:space="0" w:color="BFBFBF" w:themeColor="background1" w:themeShade="BF"/>
            </w:tcBorders>
            <w:shd w:val="clear" w:color="auto" w:fill="auto"/>
            <w:noWrap/>
          </w:tcPr>
          <w:p w14:paraId="625236E8" w14:textId="77777777" w:rsidR="0035511A" w:rsidRPr="003C45C2"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3C45C2">
              <w:rPr>
                <w:rFonts w:asciiTheme="majorHAnsi" w:hAnsiTheme="majorHAnsi" w:cstheme="majorHAnsi"/>
                <w:color w:val="000000"/>
                <w:sz w:val="16"/>
                <w:szCs w:val="16"/>
              </w:rPr>
              <w:t>≥500</w:t>
            </w:r>
          </w:p>
        </w:tc>
        <w:tc>
          <w:tcPr>
            <w:tcW w:w="1906" w:type="dxa"/>
            <w:tcBorders>
              <w:top w:val="single" w:sz="4" w:space="0" w:color="BFBFBF" w:themeColor="background1" w:themeShade="BF"/>
            </w:tcBorders>
            <w:shd w:val="clear" w:color="auto" w:fill="auto"/>
            <w:noWrap/>
          </w:tcPr>
          <w:p w14:paraId="0711596C"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68/118</w:t>
            </w:r>
            <w:r w:rsidRPr="00AB06D7">
              <w:rPr>
                <w:rFonts w:asciiTheme="majorHAnsi" w:hAnsiTheme="majorHAnsi" w:cstheme="majorHAnsi"/>
                <w:color w:val="000000"/>
                <w:sz w:val="16"/>
                <w:szCs w:val="16"/>
              </w:rPr>
              <w:t xml:space="preserve"> (</w:t>
            </w:r>
            <w:r>
              <w:rPr>
                <w:rFonts w:asciiTheme="majorHAnsi" w:hAnsiTheme="majorHAnsi" w:cstheme="majorHAnsi"/>
                <w:color w:val="000000"/>
                <w:sz w:val="16"/>
                <w:szCs w:val="16"/>
              </w:rPr>
              <w:t>57</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6</w:t>
            </w:r>
            <w:r w:rsidRPr="00AB06D7">
              <w:rPr>
                <w:rFonts w:asciiTheme="majorHAnsi" w:hAnsiTheme="majorHAnsi" w:cstheme="majorHAnsi"/>
                <w:color w:val="000000"/>
                <w:sz w:val="16"/>
                <w:szCs w:val="16"/>
              </w:rPr>
              <w:t>)</w:t>
            </w:r>
          </w:p>
        </w:tc>
        <w:tc>
          <w:tcPr>
            <w:tcW w:w="2302" w:type="dxa"/>
            <w:tcBorders>
              <w:top w:val="single" w:sz="4" w:space="0" w:color="BFBFBF" w:themeColor="background1" w:themeShade="BF"/>
            </w:tcBorders>
            <w:shd w:val="clear" w:color="auto" w:fill="auto"/>
            <w:noWrap/>
          </w:tcPr>
          <w:p w14:paraId="3FA0305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3</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09 (0.73</w:t>
            </w:r>
            <w:r w:rsidRPr="00AB06D7">
              <w:rPr>
                <w:rFonts w:asciiTheme="majorHAnsi" w:hAnsiTheme="majorHAnsi" w:cstheme="majorHAnsi"/>
                <w:color w:val="000000"/>
                <w:sz w:val="16"/>
                <w:szCs w:val="16"/>
              </w:rPr>
              <w:t xml:space="preserve"> – </w:t>
            </w:r>
            <w:r>
              <w:rPr>
                <w:rFonts w:asciiTheme="majorHAnsi" w:hAnsiTheme="majorHAnsi" w:cstheme="majorHAnsi"/>
                <w:color w:val="000000"/>
                <w:sz w:val="16"/>
                <w:szCs w:val="16"/>
              </w:rPr>
              <w:t>13.02</w:t>
            </w:r>
            <w:r w:rsidRPr="00AB06D7">
              <w:rPr>
                <w:rFonts w:asciiTheme="majorHAnsi" w:hAnsiTheme="majorHAnsi" w:cstheme="majorHAnsi"/>
                <w:color w:val="000000"/>
                <w:sz w:val="16"/>
                <w:szCs w:val="16"/>
              </w:rPr>
              <w:t>)</w:t>
            </w:r>
          </w:p>
        </w:tc>
        <w:tc>
          <w:tcPr>
            <w:tcW w:w="992" w:type="dxa"/>
            <w:tcBorders>
              <w:top w:val="single" w:sz="4" w:space="0" w:color="BFBFBF" w:themeColor="background1" w:themeShade="BF"/>
            </w:tcBorders>
            <w:shd w:val="clear" w:color="auto" w:fill="auto"/>
          </w:tcPr>
          <w:p w14:paraId="7F6C5F76"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12</w:t>
            </w:r>
          </w:p>
        </w:tc>
        <w:tc>
          <w:tcPr>
            <w:tcW w:w="2835" w:type="dxa"/>
            <w:tcBorders>
              <w:top w:val="single" w:sz="4" w:space="0" w:color="BFBFBF" w:themeColor="background1" w:themeShade="BF"/>
            </w:tcBorders>
            <w:shd w:val="clear" w:color="auto" w:fill="auto"/>
            <w:noWrap/>
          </w:tcPr>
          <w:p w14:paraId="7B971F7C" w14:textId="77777777" w:rsidR="0035511A" w:rsidRPr="003C45C2"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3.92 (0.89 – 17.12</w:t>
            </w:r>
            <w:r w:rsidRPr="003C45C2">
              <w:rPr>
                <w:rFonts w:asciiTheme="majorHAnsi" w:hAnsiTheme="majorHAnsi" w:cstheme="majorHAnsi"/>
                <w:color w:val="000000"/>
                <w:sz w:val="16"/>
                <w:szCs w:val="16"/>
              </w:rPr>
              <w:t>)</w:t>
            </w:r>
          </w:p>
        </w:tc>
        <w:tc>
          <w:tcPr>
            <w:tcW w:w="1133" w:type="dxa"/>
            <w:tcBorders>
              <w:top w:val="single" w:sz="4" w:space="0" w:color="BFBFBF" w:themeColor="background1" w:themeShade="BF"/>
            </w:tcBorders>
            <w:shd w:val="clear" w:color="auto" w:fill="auto"/>
            <w:noWrap/>
          </w:tcPr>
          <w:p w14:paraId="6F9FCE5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D461EF">
              <w:rPr>
                <w:rFonts w:asciiTheme="majorHAnsi" w:hAnsiTheme="majorHAnsi" w:cstheme="majorHAnsi"/>
                <w:color w:val="000000"/>
                <w:sz w:val="16"/>
                <w:szCs w:val="16"/>
              </w:rPr>
              <w:t>0·</w:t>
            </w:r>
            <w:r>
              <w:rPr>
                <w:rFonts w:asciiTheme="majorHAnsi" w:hAnsiTheme="majorHAnsi" w:cstheme="majorHAnsi"/>
                <w:color w:val="000000"/>
                <w:sz w:val="16"/>
                <w:szCs w:val="16"/>
              </w:rPr>
              <w:t>07</w:t>
            </w:r>
          </w:p>
        </w:tc>
      </w:tr>
      <w:tr w:rsidR="0035511A" w:rsidRPr="00AB06D7" w14:paraId="38680FE5" w14:textId="77777777" w:rsidTr="000C046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bottom w:val="single" w:sz="4" w:space="0" w:color="auto"/>
            </w:tcBorders>
            <w:shd w:val="clear" w:color="auto" w:fill="auto"/>
            <w:noWrap/>
            <w:hideMark/>
          </w:tcPr>
          <w:p w14:paraId="3870DD81"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Ethnicity</w:t>
            </w:r>
          </w:p>
        </w:tc>
        <w:tc>
          <w:tcPr>
            <w:tcW w:w="2828" w:type="dxa"/>
            <w:tcBorders>
              <w:top w:val="single" w:sz="4" w:space="0" w:color="auto"/>
            </w:tcBorders>
            <w:shd w:val="clear" w:color="auto" w:fill="auto"/>
            <w:noWrap/>
            <w:hideMark/>
          </w:tcPr>
          <w:p w14:paraId="5CEE63D8" w14:textId="77777777" w:rsidR="0035511A" w:rsidRPr="003C45C2"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vertAlign w:val="superscript"/>
              </w:rPr>
            </w:pPr>
            <w:r w:rsidRPr="003C45C2">
              <w:rPr>
                <w:rFonts w:asciiTheme="majorHAnsi" w:hAnsiTheme="majorHAnsi" w:cstheme="majorHAnsi"/>
                <w:color w:val="000000"/>
                <w:sz w:val="16"/>
                <w:szCs w:val="16"/>
              </w:rPr>
              <w:t>Blac</w:t>
            </w:r>
            <w:r>
              <w:rPr>
                <w:rFonts w:asciiTheme="majorHAnsi" w:hAnsiTheme="majorHAnsi" w:cstheme="majorHAnsi"/>
                <w:color w:val="000000"/>
                <w:sz w:val="16"/>
                <w:szCs w:val="16"/>
              </w:rPr>
              <w:t>k</w:t>
            </w:r>
            <w:r>
              <w:rPr>
                <w:rFonts w:asciiTheme="majorHAnsi" w:hAnsiTheme="majorHAnsi" w:cstheme="majorHAnsi"/>
                <w:sz w:val="16"/>
                <w:szCs w:val="16"/>
              </w:rPr>
              <w:t>†</w:t>
            </w:r>
          </w:p>
        </w:tc>
        <w:tc>
          <w:tcPr>
            <w:tcW w:w="1906" w:type="dxa"/>
            <w:tcBorders>
              <w:top w:val="single" w:sz="4" w:space="0" w:color="auto"/>
            </w:tcBorders>
            <w:shd w:val="clear" w:color="auto" w:fill="auto"/>
            <w:noWrap/>
          </w:tcPr>
          <w:p w14:paraId="40794856"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90/118 (76·3</w:t>
            </w:r>
            <w:r w:rsidRPr="00AB06D7">
              <w:rPr>
                <w:rFonts w:asciiTheme="majorHAnsi" w:hAnsiTheme="majorHAnsi" w:cstheme="majorHAnsi"/>
                <w:color w:val="000000"/>
                <w:sz w:val="16"/>
                <w:szCs w:val="16"/>
              </w:rPr>
              <w:t>)</w:t>
            </w:r>
          </w:p>
        </w:tc>
        <w:tc>
          <w:tcPr>
            <w:tcW w:w="2302" w:type="dxa"/>
            <w:tcBorders>
              <w:top w:val="single" w:sz="4" w:space="0" w:color="auto"/>
            </w:tcBorders>
            <w:shd w:val="clear" w:color="auto" w:fill="auto"/>
            <w:noWrap/>
          </w:tcPr>
          <w:p w14:paraId="07D8D02E"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p>
        </w:tc>
        <w:tc>
          <w:tcPr>
            <w:tcW w:w="992" w:type="dxa"/>
            <w:tcBorders>
              <w:top w:val="single" w:sz="4" w:space="0" w:color="auto"/>
            </w:tcBorders>
            <w:shd w:val="clear" w:color="auto" w:fill="auto"/>
          </w:tcPr>
          <w:p w14:paraId="23B72C62"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p>
        </w:tc>
        <w:tc>
          <w:tcPr>
            <w:tcW w:w="2835" w:type="dxa"/>
            <w:tcBorders>
              <w:top w:val="single" w:sz="4" w:space="0" w:color="auto"/>
            </w:tcBorders>
            <w:shd w:val="clear" w:color="auto" w:fill="auto"/>
            <w:noWrap/>
          </w:tcPr>
          <w:p w14:paraId="452E83DE" w14:textId="77777777" w:rsidR="0035511A" w:rsidRPr="00B420B6"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sz w:val="16"/>
                <w:szCs w:val="16"/>
              </w:rPr>
              <w:t xml:space="preserve">- </w:t>
            </w:r>
            <w:r w:rsidRPr="00B420B6">
              <w:rPr>
                <w:rFonts w:asciiTheme="majorHAnsi" w:hAnsiTheme="majorHAnsi" w:cstheme="majorHAnsi"/>
                <w:sz w:val="16"/>
                <w:szCs w:val="16"/>
              </w:rPr>
              <w:t>#</w:t>
            </w:r>
          </w:p>
        </w:tc>
        <w:tc>
          <w:tcPr>
            <w:tcW w:w="1133" w:type="dxa"/>
            <w:tcBorders>
              <w:top w:val="single" w:sz="4" w:space="0" w:color="auto"/>
            </w:tcBorders>
            <w:shd w:val="clear" w:color="auto" w:fill="auto"/>
            <w:noWrap/>
            <w:hideMark/>
          </w:tcPr>
          <w:p w14:paraId="2485B471"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31FD383E" w14:textId="77777777" w:rsidTr="000C0460">
        <w:trPr>
          <w:trHeight w:val="28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hideMark/>
          </w:tcPr>
          <w:p w14:paraId="0B368A8D" w14:textId="77777777" w:rsidR="0035511A" w:rsidRPr="00AB06D7" w:rsidRDefault="0035511A" w:rsidP="000C0460">
            <w:pPr>
              <w:rPr>
                <w:rFonts w:asciiTheme="majorHAnsi" w:hAnsiTheme="majorHAnsi" w:cstheme="majorHAnsi"/>
                <w:color w:val="000000"/>
                <w:sz w:val="16"/>
                <w:szCs w:val="16"/>
              </w:rPr>
            </w:pPr>
          </w:p>
        </w:tc>
        <w:tc>
          <w:tcPr>
            <w:tcW w:w="2828" w:type="dxa"/>
            <w:shd w:val="clear" w:color="auto" w:fill="auto"/>
            <w:noWrap/>
            <w:hideMark/>
          </w:tcPr>
          <w:p w14:paraId="466E0C34"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South Asian</w:t>
            </w:r>
          </w:p>
        </w:tc>
        <w:tc>
          <w:tcPr>
            <w:tcW w:w="1906" w:type="dxa"/>
            <w:shd w:val="clear" w:color="auto" w:fill="auto"/>
            <w:noWrap/>
          </w:tcPr>
          <w:p w14:paraId="06D6FD96"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17/118 (14·4</w:t>
            </w:r>
            <w:r w:rsidRPr="00AB06D7">
              <w:rPr>
                <w:rFonts w:asciiTheme="majorHAnsi" w:hAnsiTheme="majorHAnsi" w:cstheme="majorHAnsi"/>
                <w:color w:val="000000"/>
                <w:sz w:val="16"/>
                <w:szCs w:val="16"/>
              </w:rPr>
              <w:t>)</w:t>
            </w:r>
          </w:p>
        </w:tc>
        <w:tc>
          <w:tcPr>
            <w:tcW w:w="2302" w:type="dxa"/>
            <w:shd w:val="clear" w:color="auto" w:fill="auto"/>
            <w:noWrap/>
          </w:tcPr>
          <w:p w14:paraId="00CB1D0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1·0</w:t>
            </w:r>
            <w:r>
              <w:rPr>
                <w:rFonts w:asciiTheme="majorHAnsi" w:hAnsiTheme="majorHAnsi" w:cstheme="majorHAnsi"/>
                <w:color w:val="000000"/>
                <w:sz w:val="16"/>
                <w:szCs w:val="16"/>
              </w:rPr>
              <w:t>6</w:t>
            </w:r>
            <w:r w:rsidRPr="00AB06D7">
              <w:rPr>
                <w:rFonts w:asciiTheme="majorHAnsi" w:hAnsiTheme="majorHAnsi" w:cstheme="majorHAnsi"/>
                <w:color w:val="000000"/>
                <w:sz w:val="16"/>
                <w:szCs w:val="16"/>
              </w:rPr>
              <w:t xml:space="preserve"> (0·6</w:t>
            </w:r>
            <w:r>
              <w:rPr>
                <w:rFonts w:asciiTheme="majorHAnsi" w:hAnsiTheme="majorHAnsi" w:cstheme="majorHAnsi"/>
                <w:color w:val="000000"/>
                <w:sz w:val="16"/>
                <w:szCs w:val="16"/>
              </w:rPr>
              <w:t>0 – 1.88</w:t>
            </w:r>
            <w:r w:rsidRPr="00AB06D7">
              <w:rPr>
                <w:rFonts w:asciiTheme="majorHAnsi" w:hAnsiTheme="majorHAnsi" w:cstheme="majorHAnsi"/>
                <w:color w:val="000000"/>
                <w:sz w:val="16"/>
                <w:szCs w:val="16"/>
              </w:rPr>
              <w:t>)</w:t>
            </w:r>
          </w:p>
        </w:tc>
        <w:tc>
          <w:tcPr>
            <w:tcW w:w="992" w:type="dxa"/>
            <w:shd w:val="clear" w:color="auto" w:fill="auto"/>
          </w:tcPr>
          <w:p w14:paraId="0B25CF4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84</w:t>
            </w:r>
          </w:p>
        </w:tc>
        <w:tc>
          <w:tcPr>
            <w:tcW w:w="2835" w:type="dxa"/>
            <w:shd w:val="clear" w:color="auto" w:fill="auto"/>
            <w:noWrap/>
          </w:tcPr>
          <w:p w14:paraId="448E2EBD"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shd w:val="clear" w:color="auto" w:fill="auto"/>
            <w:noWrap/>
            <w:hideMark/>
          </w:tcPr>
          <w:p w14:paraId="1DA3DA5F"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18ECA063"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hideMark/>
          </w:tcPr>
          <w:p w14:paraId="5A63722C"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BFBFBF" w:themeColor="background1" w:themeShade="BF"/>
            </w:tcBorders>
            <w:shd w:val="clear" w:color="auto" w:fill="auto"/>
            <w:noWrap/>
            <w:hideMark/>
          </w:tcPr>
          <w:p w14:paraId="341FDF0C"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White</w:t>
            </w:r>
          </w:p>
        </w:tc>
        <w:tc>
          <w:tcPr>
            <w:tcW w:w="1906" w:type="dxa"/>
            <w:tcBorders>
              <w:bottom w:val="single" w:sz="4" w:space="0" w:color="BFBFBF" w:themeColor="background1" w:themeShade="BF"/>
            </w:tcBorders>
            <w:shd w:val="clear" w:color="auto" w:fill="auto"/>
            <w:noWrap/>
          </w:tcPr>
          <w:p w14:paraId="45BC99C3"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9/118 (7·6</w:t>
            </w:r>
            <w:r w:rsidRPr="00AB06D7">
              <w:rPr>
                <w:rFonts w:asciiTheme="majorHAnsi" w:hAnsiTheme="majorHAnsi" w:cstheme="majorHAnsi"/>
                <w:color w:val="000000"/>
                <w:sz w:val="16"/>
                <w:szCs w:val="16"/>
              </w:rPr>
              <w:t>)</w:t>
            </w:r>
          </w:p>
        </w:tc>
        <w:tc>
          <w:tcPr>
            <w:tcW w:w="2302" w:type="dxa"/>
            <w:tcBorders>
              <w:bottom w:val="single" w:sz="4" w:space="0" w:color="BFBFBF" w:themeColor="background1" w:themeShade="BF"/>
            </w:tcBorders>
            <w:shd w:val="clear" w:color="auto" w:fill="auto"/>
            <w:noWrap/>
          </w:tcPr>
          <w:p w14:paraId="6F63B5D6"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 xml:space="preserve">0·11 </w:t>
            </w:r>
            <w:r w:rsidRPr="00AB06D7">
              <w:rPr>
                <w:rFonts w:asciiTheme="majorHAnsi" w:hAnsiTheme="majorHAnsi" w:cstheme="majorHAnsi"/>
                <w:color w:val="000000"/>
                <w:sz w:val="16"/>
                <w:szCs w:val="16"/>
              </w:rPr>
              <w:t>(0·0</w:t>
            </w:r>
            <w:r>
              <w:rPr>
                <w:rFonts w:asciiTheme="majorHAnsi" w:hAnsiTheme="majorHAnsi" w:cstheme="majorHAnsi"/>
                <w:color w:val="000000"/>
                <w:sz w:val="16"/>
                <w:szCs w:val="16"/>
              </w:rPr>
              <w:t>6</w:t>
            </w:r>
            <w:r w:rsidRPr="00AB06D7">
              <w:rPr>
                <w:rFonts w:asciiTheme="majorHAnsi" w:hAnsiTheme="majorHAnsi" w:cstheme="majorHAnsi"/>
                <w:color w:val="000000"/>
                <w:sz w:val="16"/>
                <w:szCs w:val="16"/>
              </w:rPr>
              <w:t xml:space="preserve"> – 0·23)</w:t>
            </w:r>
          </w:p>
        </w:tc>
        <w:tc>
          <w:tcPr>
            <w:tcW w:w="992" w:type="dxa"/>
            <w:tcBorders>
              <w:bottom w:val="single" w:sz="4" w:space="0" w:color="BFBFBF" w:themeColor="background1" w:themeShade="BF"/>
            </w:tcBorders>
            <w:shd w:val="clear" w:color="auto" w:fill="auto"/>
          </w:tcPr>
          <w:p w14:paraId="5F43D770"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&lt;</w:t>
            </w: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0001</w:t>
            </w:r>
          </w:p>
        </w:tc>
        <w:tc>
          <w:tcPr>
            <w:tcW w:w="2835" w:type="dxa"/>
            <w:tcBorders>
              <w:bottom w:val="single" w:sz="4" w:space="0" w:color="BFBFBF" w:themeColor="background1" w:themeShade="BF"/>
            </w:tcBorders>
            <w:shd w:val="clear" w:color="auto" w:fill="auto"/>
            <w:noWrap/>
          </w:tcPr>
          <w:p w14:paraId="48ACD7E7"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tcBorders>
              <w:bottom w:val="single" w:sz="4" w:space="0" w:color="BFBFBF" w:themeColor="background1" w:themeShade="BF"/>
            </w:tcBorders>
            <w:shd w:val="clear" w:color="auto" w:fill="auto"/>
            <w:noWrap/>
            <w:hideMark/>
          </w:tcPr>
          <w:p w14:paraId="29E38832"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13268E5F"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48D1AE9C"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auto"/>
            </w:tcBorders>
            <w:shd w:val="clear" w:color="auto" w:fill="auto"/>
            <w:noWrap/>
          </w:tcPr>
          <w:p w14:paraId="2F247CCD"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vertAlign w:val="superscript"/>
              </w:rPr>
            </w:pPr>
            <w:r>
              <w:rPr>
                <w:rFonts w:asciiTheme="majorHAnsi" w:hAnsiTheme="majorHAnsi" w:cstheme="majorHAnsi"/>
                <w:color w:val="000000"/>
                <w:sz w:val="16"/>
                <w:szCs w:val="16"/>
              </w:rPr>
              <w:t>Mixed/</w:t>
            </w:r>
            <w:r w:rsidRPr="00AB06D7">
              <w:rPr>
                <w:rFonts w:asciiTheme="majorHAnsi" w:hAnsiTheme="majorHAnsi" w:cstheme="majorHAnsi"/>
                <w:color w:val="000000"/>
                <w:sz w:val="16"/>
                <w:szCs w:val="16"/>
              </w:rPr>
              <w:t>Other</w:t>
            </w:r>
          </w:p>
        </w:tc>
        <w:tc>
          <w:tcPr>
            <w:tcW w:w="1906" w:type="dxa"/>
            <w:tcBorders>
              <w:bottom w:val="single" w:sz="4" w:space="0" w:color="auto"/>
            </w:tcBorders>
            <w:shd w:val="clear" w:color="auto" w:fill="auto"/>
            <w:noWrap/>
          </w:tcPr>
          <w:p w14:paraId="25D48E0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2/118 (1.7</w:t>
            </w:r>
            <w:r w:rsidRPr="00AB06D7">
              <w:rPr>
                <w:rFonts w:asciiTheme="majorHAnsi" w:hAnsiTheme="majorHAnsi" w:cstheme="majorHAnsi"/>
                <w:color w:val="000000"/>
                <w:sz w:val="16"/>
                <w:szCs w:val="16"/>
              </w:rPr>
              <w:t>)</w:t>
            </w:r>
          </w:p>
        </w:tc>
        <w:tc>
          <w:tcPr>
            <w:tcW w:w="2302" w:type="dxa"/>
            <w:tcBorders>
              <w:bottom w:val="single" w:sz="4" w:space="0" w:color="auto"/>
            </w:tcBorders>
            <w:shd w:val="clear" w:color="auto" w:fill="auto"/>
            <w:noWrap/>
          </w:tcPr>
          <w:p w14:paraId="665A70CC" w14:textId="58E533CA"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0·2</w:t>
            </w:r>
            <w:r>
              <w:rPr>
                <w:rFonts w:asciiTheme="majorHAnsi" w:hAnsiTheme="majorHAnsi" w:cstheme="majorHAnsi"/>
                <w:color w:val="000000"/>
                <w:sz w:val="16"/>
                <w:szCs w:val="16"/>
              </w:rPr>
              <w:t>0 (0·05</w:t>
            </w:r>
            <w:r w:rsidRPr="00AB06D7">
              <w:rPr>
                <w:rFonts w:asciiTheme="majorHAnsi" w:hAnsiTheme="majorHAnsi" w:cstheme="majorHAnsi"/>
                <w:color w:val="000000"/>
                <w:sz w:val="16"/>
                <w:szCs w:val="16"/>
              </w:rPr>
              <w:t xml:space="preserve"> – 0·8</w:t>
            </w:r>
            <w:r w:rsidR="00544A61">
              <w:rPr>
                <w:rFonts w:asciiTheme="majorHAnsi" w:hAnsiTheme="majorHAnsi" w:cstheme="majorHAnsi"/>
                <w:color w:val="000000"/>
                <w:sz w:val="16"/>
                <w:szCs w:val="16"/>
              </w:rPr>
              <w:t>6</w:t>
            </w:r>
            <w:r w:rsidRPr="00AB06D7">
              <w:rPr>
                <w:rFonts w:asciiTheme="majorHAnsi" w:hAnsiTheme="majorHAnsi" w:cstheme="majorHAnsi"/>
                <w:color w:val="000000"/>
                <w:sz w:val="16"/>
                <w:szCs w:val="16"/>
              </w:rPr>
              <w:t>)</w:t>
            </w:r>
          </w:p>
        </w:tc>
        <w:tc>
          <w:tcPr>
            <w:tcW w:w="992" w:type="dxa"/>
            <w:tcBorders>
              <w:bottom w:val="single" w:sz="4" w:space="0" w:color="auto"/>
            </w:tcBorders>
            <w:shd w:val="clear" w:color="auto" w:fill="auto"/>
          </w:tcPr>
          <w:p w14:paraId="36A6276A"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0·</w:t>
            </w:r>
            <w:r>
              <w:rPr>
                <w:rFonts w:asciiTheme="majorHAnsi" w:hAnsiTheme="majorHAnsi" w:cstheme="majorHAnsi"/>
                <w:color w:val="000000"/>
                <w:sz w:val="16"/>
                <w:szCs w:val="16"/>
              </w:rPr>
              <w:t>03</w:t>
            </w:r>
          </w:p>
        </w:tc>
        <w:tc>
          <w:tcPr>
            <w:tcW w:w="2835" w:type="dxa"/>
            <w:tcBorders>
              <w:bottom w:val="single" w:sz="4" w:space="0" w:color="auto"/>
            </w:tcBorders>
            <w:shd w:val="clear" w:color="auto" w:fill="auto"/>
            <w:noWrap/>
          </w:tcPr>
          <w:p w14:paraId="1F42D72A"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tcBorders>
              <w:bottom w:val="single" w:sz="4" w:space="0" w:color="auto"/>
            </w:tcBorders>
            <w:shd w:val="clear" w:color="auto" w:fill="auto"/>
            <w:noWrap/>
          </w:tcPr>
          <w:p w14:paraId="62452EF0"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19329004"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bottom w:val="single" w:sz="4" w:space="0" w:color="auto"/>
            </w:tcBorders>
            <w:shd w:val="clear" w:color="auto" w:fill="auto"/>
          </w:tcPr>
          <w:p w14:paraId="49309C8A"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UK birth status</w:t>
            </w:r>
          </w:p>
        </w:tc>
        <w:tc>
          <w:tcPr>
            <w:tcW w:w="2828" w:type="dxa"/>
            <w:tcBorders>
              <w:top w:val="single" w:sz="4" w:space="0" w:color="auto"/>
            </w:tcBorders>
            <w:shd w:val="clear" w:color="auto" w:fill="auto"/>
            <w:noWrap/>
          </w:tcPr>
          <w:p w14:paraId="68F245A7"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Non-UK born</w:t>
            </w:r>
          </w:p>
        </w:tc>
        <w:tc>
          <w:tcPr>
            <w:tcW w:w="1906" w:type="dxa"/>
            <w:tcBorders>
              <w:top w:val="single" w:sz="4" w:space="0" w:color="auto"/>
            </w:tcBorders>
            <w:shd w:val="clear" w:color="auto" w:fill="auto"/>
            <w:noWrap/>
          </w:tcPr>
          <w:p w14:paraId="31670A9C"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108/118</w:t>
            </w:r>
            <w:r w:rsidRPr="00AB06D7">
              <w:rPr>
                <w:rFonts w:asciiTheme="majorHAnsi" w:hAnsiTheme="majorHAnsi" w:cstheme="majorHAnsi"/>
                <w:color w:val="000000"/>
                <w:sz w:val="16"/>
                <w:szCs w:val="16"/>
              </w:rPr>
              <w:t xml:space="preserve"> (91·5)</w:t>
            </w:r>
          </w:p>
        </w:tc>
        <w:tc>
          <w:tcPr>
            <w:tcW w:w="2302" w:type="dxa"/>
            <w:tcBorders>
              <w:top w:val="single" w:sz="4" w:space="0" w:color="auto"/>
            </w:tcBorders>
            <w:shd w:val="clear" w:color="auto" w:fill="auto"/>
            <w:noWrap/>
          </w:tcPr>
          <w:p w14:paraId="590ECE93"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p>
        </w:tc>
        <w:tc>
          <w:tcPr>
            <w:tcW w:w="992" w:type="dxa"/>
            <w:tcBorders>
              <w:top w:val="single" w:sz="4" w:space="0" w:color="auto"/>
            </w:tcBorders>
            <w:shd w:val="clear" w:color="auto" w:fill="auto"/>
          </w:tcPr>
          <w:p w14:paraId="2817B751"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p>
        </w:tc>
        <w:tc>
          <w:tcPr>
            <w:tcW w:w="2835" w:type="dxa"/>
            <w:tcBorders>
              <w:top w:val="single" w:sz="4" w:space="0" w:color="auto"/>
            </w:tcBorders>
            <w:shd w:val="clear" w:color="auto" w:fill="auto"/>
            <w:noWrap/>
          </w:tcPr>
          <w:p w14:paraId="30E07711"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sz w:val="16"/>
                <w:szCs w:val="16"/>
              </w:rPr>
              <w:t xml:space="preserve">- </w:t>
            </w:r>
            <w:r w:rsidRPr="00B420B6">
              <w:rPr>
                <w:rFonts w:asciiTheme="majorHAnsi" w:hAnsiTheme="majorHAnsi" w:cstheme="majorHAnsi"/>
                <w:sz w:val="16"/>
                <w:szCs w:val="16"/>
              </w:rPr>
              <w:t>#</w:t>
            </w:r>
          </w:p>
        </w:tc>
        <w:tc>
          <w:tcPr>
            <w:tcW w:w="1133" w:type="dxa"/>
            <w:tcBorders>
              <w:top w:val="single" w:sz="4" w:space="0" w:color="auto"/>
            </w:tcBorders>
            <w:shd w:val="clear" w:color="auto" w:fill="auto"/>
            <w:noWrap/>
          </w:tcPr>
          <w:p w14:paraId="2E449C72"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1C9B5963"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43CBB1AF"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BFBFBF" w:themeColor="background1" w:themeShade="BF"/>
            </w:tcBorders>
            <w:shd w:val="clear" w:color="auto" w:fill="auto"/>
            <w:noWrap/>
          </w:tcPr>
          <w:p w14:paraId="786C644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UK born</w:t>
            </w:r>
          </w:p>
        </w:tc>
        <w:tc>
          <w:tcPr>
            <w:tcW w:w="1906" w:type="dxa"/>
            <w:tcBorders>
              <w:bottom w:val="single" w:sz="4" w:space="0" w:color="BFBFBF" w:themeColor="background1" w:themeShade="BF"/>
            </w:tcBorders>
            <w:shd w:val="clear" w:color="auto" w:fill="auto"/>
            <w:noWrap/>
          </w:tcPr>
          <w:p w14:paraId="71510D74"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10/118 (8.5</w:t>
            </w:r>
            <w:r w:rsidRPr="00AB06D7">
              <w:rPr>
                <w:rFonts w:asciiTheme="majorHAnsi" w:hAnsiTheme="majorHAnsi" w:cstheme="majorHAnsi"/>
                <w:color w:val="000000"/>
                <w:sz w:val="16"/>
                <w:szCs w:val="16"/>
              </w:rPr>
              <w:t>)</w:t>
            </w:r>
          </w:p>
        </w:tc>
        <w:tc>
          <w:tcPr>
            <w:tcW w:w="2302" w:type="dxa"/>
            <w:tcBorders>
              <w:bottom w:val="single" w:sz="4" w:space="0" w:color="BFBFBF" w:themeColor="background1" w:themeShade="BF"/>
            </w:tcBorders>
            <w:shd w:val="clear" w:color="auto" w:fill="auto"/>
            <w:noWrap/>
          </w:tcPr>
          <w:p w14:paraId="4D7E0490"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0·15 (0·08 – 0·30</w:t>
            </w:r>
            <w:r w:rsidRPr="00AB06D7">
              <w:rPr>
                <w:rFonts w:asciiTheme="majorHAnsi" w:hAnsiTheme="majorHAnsi" w:cstheme="majorHAnsi"/>
                <w:color w:val="000000"/>
                <w:sz w:val="16"/>
                <w:szCs w:val="16"/>
              </w:rPr>
              <w:t>)</w:t>
            </w:r>
          </w:p>
        </w:tc>
        <w:tc>
          <w:tcPr>
            <w:tcW w:w="992" w:type="dxa"/>
            <w:tcBorders>
              <w:bottom w:val="single" w:sz="4" w:space="0" w:color="BFBFBF" w:themeColor="background1" w:themeShade="BF"/>
            </w:tcBorders>
            <w:shd w:val="clear" w:color="auto" w:fill="auto"/>
          </w:tcPr>
          <w:p w14:paraId="7681F807"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&lt;0·0001</w:t>
            </w:r>
          </w:p>
        </w:tc>
        <w:tc>
          <w:tcPr>
            <w:tcW w:w="2835" w:type="dxa"/>
            <w:tcBorders>
              <w:bottom w:val="single" w:sz="4" w:space="0" w:color="BFBFBF" w:themeColor="background1" w:themeShade="BF"/>
            </w:tcBorders>
            <w:shd w:val="clear" w:color="auto" w:fill="auto"/>
            <w:noWrap/>
          </w:tcPr>
          <w:p w14:paraId="73151E13"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tcBorders>
              <w:bottom w:val="single" w:sz="4" w:space="0" w:color="BFBFBF" w:themeColor="background1" w:themeShade="BF"/>
            </w:tcBorders>
            <w:shd w:val="clear" w:color="auto" w:fill="auto"/>
            <w:noWrap/>
          </w:tcPr>
          <w:p w14:paraId="0C2FB0B9"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3BD61740" w14:textId="77777777" w:rsidTr="000C046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bottom w:val="single" w:sz="4" w:space="0" w:color="auto"/>
            </w:tcBorders>
            <w:shd w:val="clear" w:color="auto" w:fill="auto"/>
            <w:noWrap/>
            <w:hideMark/>
          </w:tcPr>
          <w:p w14:paraId="0EC0FCF1"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World Bank region of birth</w:t>
            </w:r>
          </w:p>
        </w:tc>
        <w:tc>
          <w:tcPr>
            <w:tcW w:w="2828" w:type="dxa"/>
            <w:tcBorders>
              <w:top w:val="single" w:sz="4" w:space="0" w:color="auto"/>
            </w:tcBorders>
            <w:shd w:val="clear" w:color="auto" w:fill="auto"/>
            <w:noWrap/>
            <w:hideMark/>
          </w:tcPr>
          <w:p w14:paraId="1CB45217"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Europe &amp; Central Asia, North America and Latin America &amp; Caribbean and Middle East &amp; North Afric</w:t>
            </w:r>
            <w:r>
              <w:rPr>
                <w:rFonts w:asciiTheme="majorHAnsi" w:hAnsiTheme="majorHAnsi" w:cstheme="majorHAnsi"/>
                <w:color w:val="000000"/>
                <w:sz w:val="16"/>
                <w:szCs w:val="16"/>
              </w:rPr>
              <w:t>a</w:t>
            </w:r>
            <w:r>
              <w:rPr>
                <w:rFonts w:asciiTheme="majorHAnsi" w:hAnsiTheme="majorHAnsi" w:cstheme="majorHAnsi"/>
                <w:sz w:val="16"/>
                <w:szCs w:val="16"/>
              </w:rPr>
              <w:t>‡</w:t>
            </w:r>
          </w:p>
        </w:tc>
        <w:tc>
          <w:tcPr>
            <w:tcW w:w="1906" w:type="dxa"/>
            <w:tcBorders>
              <w:top w:val="single" w:sz="4" w:space="0" w:color="auto"/>
            </w:tcBorders>
            <w:shd w:val="clear" w:color="auto" w:fill="auto"/>
            <w:noWrap/>
          </w:tcPr>
          <w:p w14:paraId="4CBDFA19"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r>
              <w:rPr>
                <w:rFonts w:asciiTheme="majorHAnsi" w:hAnsiTheme="majorHAnsi" w:cstheme="majorHAnsi"/>
                <w:color w:val="000000"/>
                <w:sz w:val="16"/>
                <w:szCs w:val="16"/>
              </w:rPr>
              <w:t>2/118 (10.2</w:t>
            </w:r>
            <w:r w:rsidRPr="00AB06D7">
              <w:rPr>
                <w:rFonts w:asciiTheme="majorHAnsi" w:hAnsiTheme="majorHAnsi" w:cstheme="majorHAnsi"/>
                <w:color w:val="000000"/>
                <w:sz w:val="16"/>
                <w:szCs w:val="16"/>
              </w:rPr>
              <w:t>)</w:t>
            </w:r>
          </w:p>
        </w:tc>
        <w:tc>
          <w:tcPr>
            <w:tcW w:w="2302" w:type="dxa"/>
            <w:tcBorders>
              <w:top w:val="single" w:sz="4" w:space="0" w:color="auto"/>
            </w:tcBorders>
            <w:shd w:val="clear" w:color="auto" w:fill="auto"/>
            <w:noWrap/>
          </w:tcPr>
          <w:p w14:paraId="2F305E56"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p>
        </w:tc>
        <w:tc>
          <w:tcPr>
            <w:tcW w:w="992" w:type="dxa"/>
            <w:tcBorders>
              <w:top w:val="single" w:sz="4" w:space="0" w:color="auto"/>
            </w:tcBorders>
            <w:shd w:val="clear" w:color="auto" w:fill="auto"/>
          </w:tcPr>
          <w:p w14:paraId="6D9FC721"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p>
        </w:tc>
        <w:tc>
          <w:tcPr>
            <w:tcW w:w="2835" w:type="dxa"/>
            <w:tcBorders>
              <w:top w:val="single" w:sz="4" w:space="0" w:color="auto"/>
            </w:tcBorders>
            <w:shd w:val="clear" w:color="auto" w:fill="auto"/>
            <w:noWrap/>
          </w:tcPr>
          <w:p w14:paraId="25A73E8B"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sz w:val="16"/>
                <w:szCs w:val="16"/>
              </w:rPr>
              <w:t xml:space="preserve">- </w:t>
            </w:r>
            <w:r w:rsidRPr="00B420B6">
              <w:rPr>
                <w:rFonts w:asciiTheme="majorHAnsi" w:hAnsiTheme="majorHAnsi" w:cstheme="majorHAnsi"/>
                <w:sz w:val="16"/>
                <w:szCs w:val="16"/>
              </w:rPr>
              <w:t>#</w:t>
            </w:r>
          </w:p>
        </w:tc>
        <w:tc>
          <w:tcPr>
            <w:tcW w:w="1133" w:type="dxa"/>
            <w:tcBorders>
              <w:top w:val="single" w:sz="4" w:space="0" w:color="auto"/>
            </w:tcBorders>
            <w:shd w:val="clear" w:color="auto" w:fill="auto"/>
            <w:noWrap/>
            <w:hideMark/>
          </w:tcPr>
          <w:p w14:paraId="1C171039"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5739991A"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hideMark/>
          </w:tcPr>
          <w:p w14:paraId="1F46C31A" w14:textId="77777777" w:rsidR="0035511A" w:rsidRPr="00AB06D7" w:rsidRDefault="0035511A" w:rsidP="000C0460">
            <w:pPr>
              <w:rPr>
                <w:rFonts w:asciiTheme="majorHAnsi" w:hAnsiTheme="majorHAnsi" w:cstheme="majorHAnsi"/>
                <w:color w:val="000000"/>
                <w:sz w:val="16"/>
                <w:szCs w:val="16"/>
              </w:rPr>
            </w:pPr>
          </w:p>
        </w:tc>
        <w:tc>
          <w:tcPr>
            <w:tcW w:w="2828" w:type="dxa"/>
            <w:shd w:val="clear" w:color="auto" w:fill="auto"/>
            <w:noWrap/>
            <w:hideMark/>
          </w:tcPr>
          <w:p w14:paraId="78B76F8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vertAlign w:val="superscript"/>
              </w:rPr>
            </w:pPr>
            <w:r w:rsidRPr="00AB06D7">
              <w:rPr>
                <w:rFonts w:asciiTheme="majorHAnsi" w:hAnsiTheme="majorHAnsi" w:cstheme="majorHAnsi"/>
                <w:color w:val="000000"/>
                <w:sz w:val="16"/>
                <w:szCs w:val="16"/>
              </w:rPr>
              <w:t>South Asia and East Asia &amp; Pacifi</w:t>
            </w:r>
            <w:r>
              <w:rPr>
                <w:rFonts w:asciiTheme="majorHAnsi" w:hAnsiTheme="majorHAnsi" w:cstheme="majorHAnsi"/>
                <w:color w:val="000000"/>
                <w:sz w:val="16"/>
                <w:szCs w:val="16"/>
              </w:rPr>
              <w:t>c</w:t>
            </w:r>
            <w:r>
              <w:rPr>
                <w:rFonts w:asciiTheme="majorHAnsi" w:hAnsiTheme="majorHAnsi" w:cstheme="majorHAnsi"/>
                <w:sz w:val="16"/>
                <w:szCs w:val="16"/>
              </w:rPr>
              <w:t>§</w:t>
            </w:r>
          </w:p>
        </w:tc>
        <w:tc>
          <w:tcPr>
            <w:tcW w:w="1906" w:type="dxa"/>
            <w:shd w:val="clear" w:color="auto" w:fill="auto"/>
            <w:noWrap/>
          </w:tcPr>
          <w:p w14:paraId="303F230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10/118 (8.5</w:t>
            </w:r>
            <w:r w:rsidRPr="00AB06D7">
              <w:rPr>
                <w:rFonts w:asciiTheme="majorHAnsi" w:hAnsiTheme="majorHAnsi" w:cstheme="majorHAnsi"/>
                <w:color w:val="000000"/>
                <w:sz w:val="16"/>
                <w:szCs w:val="16"/>
              </w:rPr>
              <w:t>)</w:t>
            </w:r>
          </w:p>
        </w:tc>
        <w:tc>
          <w:tcPr>
            <w:tcW w:w="2302" w:type="dxa"/>
            <w:shd w:val="clear" w:color="auto" w:fill="auto"/>
            <w:noWrap/>
          </w:tcPr>
          <w:p w14:paraId="013097CC"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5.79 (2·40 – 13·97</w:t>
            </w:r>
            <w:r w:rsidRPr="003F500A">
              <w:rPr>
                <w:rFonts w:asciiTheme="majorHAnsi" w:hAnsiTheme="majorHAnsi" w:cstheme="majorHAnsi"/>
                <w:color w:val="000000"/>
                <w:sz w:val="16"/>
                <w:szCs w:val="16"/>
              </w:rPr>
              <w:t>)</w:t>
            </w:r>
          </w:p>
        </w:tc>
        <w:tc>
          <w:tcPr>
            <w:tcW w:w="992" w:type="dxa"/>
            <w:shd w:val="clear" w:color="auto" w:fill="auto"/>
          </w:tcPr>
          <w:p w14:paraId="403C1A11"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&lt;</w:t>
            </w:r>
            <w:r w:rsidRPr="00AB06D7">
              <w:rPr>
                <w:rFonts w:asciiTheme="majorHAnsi" w:hAnsiTheme="majorHAnsi" w:cstheme="majorHAnsi"/>
                <w:color w:val="000000"/>
                <w:sz w:val="16"/>
                <w:szCs w:val="16"/>
              </w:rPr>
              <w:t>0·000</w:t>
            </w:r>
            <w:r>
              <w:rPr>
                <w:rFonts w:asciiTheme="majorHAnsi" w:hAnsiTheme="majorHAnsi" w:cstheme="majorHAnsi"/>
                <w:color w:val="000000"/>
                <w:sz w:val="16"/>
                <w:szCs w:val="16"/>
              </w:rPr>
              <w:t>1</w:t>
            </w:r>
          </w:p>
        </w:tc>
        <w:tc>
          <w:tcPr>
            <w:tcW w:w="2835" w:type="dxa"/>
            <w:shd w:val="clear" w:color="auto" w:fill="auto"/>
            <w:noWrap/>
          </w:tcPr>
          <w:p w14:paraId="5CC0D76A"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shd w:val="clear" w:color="auto" w:fill="auto"/>
            <w:noWrap/>
            <w:hideMark/>
          </w:tcPr>
          <w:p w14:paraId="6D14EF9F"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5E097703"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57B35B7A"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BFBFBF" w:themeColor="background1" w:themeShade="BF"/>
            </w:tcBorders>
            <w:shd w:val="clear" w:color="auto" w:fill="auto"/>
            <w:noWrap/>
          </w:tcPr>
          <w:p w14:paraId="16C939C7"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Sub-Saharan Africa</w:t>
            </w:r>
          </w:p>
        </w:tc>
        <w:tc>
          <w:tcPr>
            <w:tcW w:w="1906" w:type="dxa"/>
            <w:tcBorders>
              <w:bottom w:val="single" w:sz="4" w:space="0" w:color="BFBFBF" w:themeColor="background1" w:themeShade="BF"/>
            </w:tcBorders>
            <w:shd w:val="clear" w:color="auto" w:fill="auto"/>
            <w:noWrap/>
          </w:tcPr>
          <w:p w14:paraId="40BA54B2"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96/118</w:t>
            </w:r>
            <w:r w:rsidRPr="00AB06D7">
              <w:rPr>
                <w:rFonts w:asciiTheme="majorHAnsi" w:hAnsiTheme="majorHAnsi" w:cstheme="majorHAnsi"/>
                <w:color w:val="000000"/>
                <w:sz w:val="16"/>
                <w:szCs w:val="16"/>
              </w:rPr>
              <w:t xml:space="preserve"> (</w:t>
            </w:r>
            <w:r>
              <w:rPr>
                <w:rFonts w:asciiTheme="majorHAnsi" w:hAnsiTheme="majorHAnsi" w:cstheme="majorHAnsi"/>
                <w:color w:val="000000"/>
                <w:sz w:val="16"/>
                <w:szCs w:val="16"/>
              </w:rPr>
              <w:t>81</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4</w:t>
            </w:r>
            <w:r w:rsidRPr="00AB06D7">
              <w:rPr>
                <w:rFonts w:asciiTheme="majorHAnsi" w:hAnsiTheme="majorHAnsi" w:cstheme="majorHAnsi"/>
                <w:color w:val="000000"/>
                <w:sz w:val="16"/>
                <w:szCs w:val="16"/>
              </w:rPr>
              <w:t>)</w:t>
            </w:r>
          </w:p>
        </w:tc>
        <w:tc>
          <w:tcPr>
            <w:tcW w:w="2302" w:type="dxa"/>
            <w:tcBorders>
              <w:bottom w:val="single" w:sz="4" w:space="0" w:color="BFBFBF" w:themeColor="background1" w:themeShade="BF"/>
            </w:tcBorders>
            <w:shd w:val="clear" w:color="auto" w:fill="auto"/>
            <w:noWrap/>
          </w:tcPr>
          <w:p w14:paraId="474FFC7E" w14:textId="77777777" w:rsidR="0035511A" w:rsidRPr="00395860"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7.80 (4.22– 14·42</w:t>
            </w:r>
            <w:r w:rsidRPr="00AF5F83">
              <w:rPr>
                <w:rFonts w:asciiTheme="majorHAnsi" w:hAnsiTheme="majorHAnsi" w:cstheme="majorHAnsi"/>
                <w:color w:val="000000"/>
                <w:sz w:val="16"/>
                <w:szCs w:val="16"/>
              </w:rPr>
              <w:t>)</w:t>
            </w:r>
          </w:p>
        </w:tc>
        <w:tc>
          <w:tcPr>
            <w:tcW w:w="992" w:type="dxa"/>
            <w:tcBorders>
              <w:bottom w:val="single" w:sz="4" w:space="0" w:color="BFBFBF" w:themeColor="background1" w:themeShade="BF"/>
            </w:tcBorders>
            <w:shd w:val="clear" w:color="auto" w:fill="auto"/>
          </w:tcPr>
          <w:p w14:paraId="629640B8"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&lt;0·0001</w:t>
            </w:r>
          </w:p>
        </w:tc>
        <w:tc>
          <w:tcPr>
            <w:tcW w:w="2835" w:type="dxa"/>
            <w:tcBorders>
              <w:bottom w:val="single" w:sz="4" w:space="0" w:color="BFBFBF" w:themeColor="background1" w:themeShade="BF"/>
            </w:tcBorders>
            <w:shd w:val="clear" w:color="auto" w:fill="auto"/>
            <w:noWrap/>
          </w:tcPr>
          <w:p w14:paraId="393DAF9B"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c>
          <w:tcPr>
            <w:tcW w:w="1133" w:type="dxa"/>
            <w:tcBorders>
              <w:bottom w:val="single" w:sz="4" w:space="0" w:color="BFBFBF" w:themeColor="background1" w:themeShade="BF"/>
            </w:tcBorders>
            <w:shd w:val="clear" w:color="auto" w:fill="auto"/>
            <w:noWrap/>
          </w:tcPr>
          <w:p w14:paraId="0E86A235"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w:t>
            </w:r>
          </w:p>
        </w:tc>
      </w:tr>
      <w:tr w:rsidR="0035511A" w:rsidRPr="00AB06D7" w14:paraId="7B93CADA"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val="restart"/>
            <w:tcBorders>
              <w:top w:val="single" w:sz="4" w:space="0" w:color="auto"/>
              <w:bottom w:val="single" w:sz="4" w:space="0" w:color="auto"/>
            </w:tcBorders>
            <w:shd w:val="clear" w:color="auto" w:fill="auto"/>
          </w:tcPr>
          <w:p w14:paraId="2C278AED" w14:textId="77777777" w:rsidR="0035511A" w:rsidRPr="00AB06D7" w:rsidRDefault="0035511A" w:rsidP="000C0460">
            <w:pPr>
              <w:rPr>
                <w:rFonts w:asciiTheme="majorHAnsi" w:hAnsiTheme="majorHAnsi" w:cstheme="majorHAnsi"/>
                <w:color w:val="000000"/>
                <w:sz w:val="16"/>
                <w:szCs w:val="16"/>
              </w:rPr>
            </w:pPr>
            <w:r w:rsidRPr="00AB06D7">
              <w:rPr>
                <w:rFonts w:asciiTheme="majorHAnsi" w:hAnsiTheme="majorHAnsi" w:cstheme="majorHAnsi"/>
                <w:color w:val="000000"/>
                <w:sz w:val="16"/>
                <w:szCs w:val="16"/>
              </w:rPr>
              <w:t>TB incidence in country</w:t>
            </w:r>
            <w:r>
              <w:rPr>
                <w:rFonts w:asciiTheme="majorHAnsi" w:hAnsiTheme="majorHAnsi" w:cstheme="majorHAnsi"/>
                <w:color w:val="000000"/>
                <w:sz w:val="16"/>
                <w:szCs w:val="16"/>
              </w:rPr>
              <w:t>-</w:t>
            </w:r>
            <w:r w:rsidRPr="00AB06D7">
              <w:rPr>
                <w:rFonts w:asciiTheme="majorHAnsi" w:hAnsiTheme="majorHAnsi" w:cstheme="majorHAnsi"/>
                <w:color w:val="000000"/>
                <w:sz w:val="16"/>
                <w:szCs w:val="16"/>
              </w:rPr>
              <w:t>of</w:t>
            </w:r>
            <w:r>
              <w:rPr>
                <w:rFonts w:asciiTheme="majorHAnsi" w:hAnsiTheme="majorHAnsi" w:cstheme="majorHAnsi"/>
                <w:color w:val="000000"/>
                <w:sz w:val="16"/>
                <w:szCs w:val="16"/>
              </w:rPr>
              <w:t>-</w:t>
            </w:r>
            <w:r w:rsidRPr="00AB06D7">
              <w:rPr>
                <w:rFonts w:asciiTheme="majorHAnsi" w:hAnsiTheme="majorHAnsi" w:cstheme="majorHAnsi"/>
                <w:color w:val="000000"/>
                <w:sz w:val="16"/>
                <w:szCs w:val="16"/>
              </w:rPr>
              <w:t>birth</w:t>
            </w:r>
            <w:r w:rsidRPr="005508B8">
              <w:rPr>
                <w:rFonts w:asciiTheme="majorHAnsi" w:hAnsiTheme="majorHAnsi" w:cstheme="majorHAnsi"/>
                <w:color w:val="000000"/>
                <w:sz w:val="16"/>
                <w:szCs w:val="16"/>
              </w:rPr>
            </w:r>
            <w:r>
              <w:rPr>
                <w:rFonts w:asciiTheme="majorHAnsi" w:hAnsiTheme="majorHAnsi" w:cstheme="majorHAnsi"/>
                <w:color w:val="000000"/>
                <w:sz w:val="16"/>
                <w:szCs w:val="16"/>
              </w:rPr>
              <w:instrText xml:space="preserve"/>
            </w:r>
            <w:r w:rsidRPr="005508B8">
              <w:rPr>
                <w:rFonts w:asciiTheme="majorHAnsi" w:hAnsiTheme="majorHAnsi" w:cstheme="majorHAnsi"/>
                <w:color w:val="000000"/>
                <w:sz w:val="16"/>
                <w:szCs w:val="16"/>
              </w:rPr>
            </w:r>
            <w:r w:rsidRPr="004E5082">
              <w:rPr>
                <w:rFonts w:asciiTheme="majorHAnsi" w:hAnsiTheme="majorHAnsi" w:cstheme="majorHAnsi"/>
                <w:noProof/>
                <w:color w:val="000000"/>
                <w:sz w:val="16"/>
                <w:szCs w:val="16"/>
                <w:vertAlign w:val="superscript"/>
              </w:rPr>
              <w:t>[26]</w:t>
            </w:r>
            <w:r w:rsidRPr="005508B8">
              <w:rPr>
                <w:rFonts w:asciiTheme="majorHAnsi" w:hAnsiTheme="majorHAnsi" w:cstheme="majorHAnsi"/>
                <w:color w:val="000000"/>
                <w:sz w:val="16"/>
                <w:szCs w:val="16"/>
              </w:rPr>
            </w:r>
            <w:r w:rsidRPr="005508B8">
              <w:rPr>
                <w:rFonts w:asciiTheme="majorHAnsi" w:hAnsiTheme="majorHAnsi" w:cstheme="majorHAnsi"/>
                <w:b w:val="0"/>
                <w:bCs w:val="0"/>
                <w:color w:val="000000"/>
                <w:sz w:val="16"/>
                <w:szCs w:val="16"/>
                <w:vertAlign w:val="superscript"/>
              </w:rPr>
              <w:t>,</w:t>
            </w:r>
          </w:p>
        </w:tc>
        <w:tc>
          <w:tcPr>
            <w:tcW w:w="2828" w:type="dxa"/>
            <w:tcBorders>
              <w:top w:val="single" w:sz="4" w:space="0" w:color="auto"/>
            </w:tcBorders>
            <w:shd w:val="clear" w:color="auto" w:fill="auto"/>
            <w:noWrap/>
          </w:tcPr>
          <w:p w14:paraId="040981F7"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&lt;50/100,000 population</w:t>
            </w:r>
          </w:p>
        </w:tc>
        <w:tc>
          <w:tcPr>
            <w:tcW w:w="1906" w:type="dxa"/>
            <w:tcBorders>
              <w:top w:val="single" w:sz="4" w:space="0" w:color="auto"/>
            </w:tcBorders>
            <w:shd w:val="clear" w:color="auto" w:fill="auto"/>
            <w:noWrap/>
          </w:tcPr>
          <w:p w14:paraId="7BCB885D"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r>
              <w:rPr>
                <w:rFonts w:asciiTheme="majorHAnsi" w:hAnsiTheme="majorHAnsi" w:cstheme="majorHAnsi"/>
                <w:color w:val="000000"/>
                <w:sz w:val="16"/>
                <w:szCs w:val="16"/>
              </w:rPr>
              <w:t>2/118</w:t>
            </w:r>
            <w:r w:rsidRPr="00AB06D7">
              <w:rPr>
                <w:rFonts w:asciiTheme="majorHAnsi" w:hAnsiTheme="majorHAnsi" w:cstheme="majorHAnsi"/>
                <w:color w:val="000000"/>
                <w:sz w:val="16"/>
                <w:szCs w:val="16"/>
              </w:rPr>
              <w:t xml:space="preserve"> (1</w:t>
            </w:r>
            <w:r>
              <w:rPr>
                <w:rFonts w:asciiTheme="majorHAnsi" w:hAnsiTheme="majorHAnsi" w:cstheme="majorHAnsi"/>
                <w:color w:val="000000"/>
                <w:sz w:val="16"/>
                <w:szCs w:val="16"/>
              </w:rPr>
              <w:t>0.2</w:t>
            </w:r>
            <w:r w:rsidRPr="00AB06D7">
              <w:rPr>
                <w:rFonts w:asciiTheme="majorHAnsi" w:hAnsiTheme="majorHAnsi" w:cstheme="majorHAnsi"/>
                <w:color w:val="000000"/>
                <w:sz w:val="16"/>
                <w:szCs w:val="16"/>
              </w:rPr>
              <w:t>)</w:t>
            </w:r>
            <w:r>
              <w:rPr>
                <w:rFonts w:asciiTheme="majorHAnsi" w:hAnsiTheme="majorHAnsi" w:cstheme="majorHAnsi"/>
                <w:sz w:val="16"/>
                <w:szCs w:val="16"/>
              </w:rPr>
              <w:t>¶</w:t>
            </w:r>
          </w:p>
        </w:tc>
        <w:tc>
          <w:tcPr>
            <w:tcW w:w="2302" w:type="dxa"/>
            <w:tcBorders>
              <w:top w:val="single" w:sz="4" w:space="0" w:color="auto"/>
            </w:tcBorders>
            <w:shd w:val="clear" w:color="auto" w:fill="auto"/>
            <w:noWrap/>
          </w:tcPr>
          <w:p w14:paraId="4A3B5B5C"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sidRPr="00031ACF">
              <w:rPr>
                <w:rFonts w:asciiTheme="majorHAnsi" w:hAnsiTheme="majorHAnsi" w:cstheme="majorHAnsi"/>
                <w:color w:val="000000"/>
                <w:sz w:val="16"/>
                <w:szCs w:val="16"/>
              </w:rPr>
              <w:t>1</w:t>
            </w:r>
          </w:p>
        </w:tc>
        <w:tc>
          <w:tcPr>
            <w:tcW w:w="992" w:type="dxa"/>
            <w:tcBorders>
              <w:top w:val="single" w:sz="4" w:space="0" w:color="auto"/>
            </w:tcBorders>
            <w:shd w:val="clear" w:color="auto" w:fill="auto"/>
          </w:tcPr>
          <w:p w14:paraId="622CB0C3"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p>
        </w:tc>
        <w:tc>
          <w:tcPr>
            <w:tcW w:w="2835" w:type="dxa"/>
            <w:tcBorders>
              <w:top w:val="single" w:sz="4" w:space="0" w:color="auto"/>
            </w:tcBorders>
            <w:shd w:val="clear" w:color="auto" w:fill="auto"/>
            <w:noWrap/>
          </w:tcPr>
          <w:p w14:paraId="67860899"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w:t>
            </w:r>
          </w:p>
        </w:tc>
        <w:tc>
          <w:tcPr>
            <w:tcW w:w="1133" w:type="dxa"/>
            <w:tcBorders>
              <w:top w:val="single" w:sz="4" w:space="0" w:color="auto"/>
            </w:tcBorders>
            <w:shd w:val="clear" w:color="auto" w:fill="auto"/>
            <w:noWrap/>
          </w:tcPr>
          <w:p w14:paraId="1C04B4AB"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p>
        </w:tc>
      </w:tr>
      <w:tr w:rsidR="0035511A" w:rsidRPr="00AB06D7" w14:paraId="6361C028"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6FD9F904" w14:textId="77777777" w:rsidR="0035511A" w:rsidRPr="00AB06D7" w:rsidRDefault="0035511A" w:rsidP="000C0460">
            <w:pPr>
              <w:rPr>
                <w:rFonts w:asciiTheme="majorHAnsi" w:hAnsiTheme="majorHAnsi" w:cstheme="majorHAnsi"/>
                <w:color w:val="000000"/>
                <w:sz w:val="16"/>
                <w:szCs w:val="16"/>
              </w:rPr>
            </w:pPr>
          </w:p>
        </w:tc>
        <w:tc>
          <w:tcPr>
            <w:tcW w:w="2828" w:type="dxa"/>
            <w:shd w:val="clear" w:color="auto" w:fill="auto"/>
            <w:noWrap/>
          </w:tcPr>
          <w:p w14:paraId="1832F6FB"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 xml:space="preserve">50 </w:t>
            </w:r>
            <w:r>
              <w:rPr>
                <w:rFonts w:asciiTheme="majorHAnsi" w:hAnsiTheme="majorHAnsi" w:cstheme="majorHAnsi"/>
                <w:color w:val="000000"/>
                <w:sz w:val="16"/>
                <w:szCs w:val="16"/>
              </w:rPr>
              <w:t>–</w:t>
            </w:r>
            <w:r w:rsidRPr="00AB06D7">
              <w:rPr>
                <w:rFonts w:asciiTheme="majorHAnsi" w:hAnsiTheme="majorHAnsi" w:cstheme="majorHAnsi"/>
                <w:color w:val="000000"/>
                <w:sz w:val="16"/>
                <w:szCs w:val="16"/>
              </w:rPr>
              <w:t xml:space="preserve"> 149/100,000 population</w:t>
            </w:r>
          </w:p>
        </w:tc>
        <w:tc>
          <w:tcPr>
            <w:tcW w:w="1906" w:type="dxa"/>
            <w:shd w:val="clear" w:color="auto" w:fill="auto"/>
            <w:noWrap/>
          </w:tcPr>
          <w:p w14:paraId="7639BDA4"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12/118 (10.2</w:t>
            </w:r>
            <w:r w:rsidRPr="00AB06D7">
              <w:rPr>
                <w:rFonts w:asciiTheme="majorHAnsi" w:hAnsiTheme="majorHAnsi" w:cstheme="majorHAnsi"/>
                <w:color w:val="000000"/>
                <w:sz w:val="16"/>
                <w:szCs w:val="16"/>
              </w:rPr>
              <w:t>)</w:t>
            </w:r>
          </w:p>
        </w:tc>
        <w:tc>
          <w:tcPr>
            <w:tcW w:w="2302" w:type="dxa"/>
            <w:shd w:val="clear" w:color="auto" w:fill="auto"/>
            <w:noWrap/>
          </w:tcPr>
          <w:p w14:paraId="202D4134" w14:textId="77777777" w:rsidR="0035511A" w:rsidRPr="00395860"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9.28 (3·94</w:t>
            </w:r>
            <w:r w:rsidRPr="00031ACF">
              <w:rPr>
                <w:rFonts w:asciiTheme="majorHAnsi" w:hAnsiTheme="majorHAnsi" w:cstheme="majorHAnsi"/>
                <w:color w:val="000000"/>
                <w:sz w:val="16"/>
                <w:szCs w:val="16"/>
              </w:rPr>
              <w:t xml:space="preserve"> – </w:t>
            </w:r>
            <w:r>
              <w:rPr>
                <w:rFonts w:asciiTheme="majorHAnsi" w:hAnsiTheme="majorHAnsi" w:cstheme="majorHAnsi"/>
                <w:color w:val="000000"/>
                <w:sz w:val="16"/>
                <w:szCs w:val="16"/>
              </w:rPr>
              <w:t>21·85</w:t>
            </w:r>
            <w:r w:rsidRPr="00031ACF">
              <w:rPr>
                <w:rFonts w:asciiTheme="majorHAnsi" w:hAnsiTheme="majorHAnsi" w:cstheme="majorHAnsi"/>
                <w:color w:val="000000"/>
                <w:sz w:val="16"/>
                <w:szCs w:val="16"/>
              </w:rPr>
              <w:t>)</w:t>
            </w:r>
          </w:p>
        </w:tc>
        <w:tc>
          <w:tcPr>
            <w:tcW w:w="992" w:type="dxa"/>
            <w:shd w:val="clear" w:color="auto" w:fill="auto"/>
          </w:tcPr>
          <w:p w14:paraId="032B2EDA"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&lt;0·0001</w:t>
            </w:r>
          </w:p>
        </w:tc>
        <w:tc>
          <w:tcPr>
            <w:tcW w:w="2835" w:type="dxa"/>
            <w:shd w:val="clear" w:color="auto" w:fill="auto"/>
            <w:noWrap/>
          </w:tcPr>
          <w:p w14:paraId="2AB11532" w14:textId="77777777" w:rsidR="0035511A" w:rsidRPr="00FB5AB8"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11.6 (4·79 – 28·10</w:t>
            </w:r>
            <w:r w:rsidRPr="00FB5AB8">
              <w:rPr>
                <w:rFonts w:asciiTheme="majorHAnsi" w:hAnsiTheme="majorHAnsi" w:cstheme="majorHAnsi"/>
                <w:color w:val="000000"/>
                <w:sz w:val="16"/>
                <w:szCs w:val="16"/>
              </w:rPr>
              <w:t>)</w:t>
            </w:r>
          </w:p>
        </w:tc>
        <w:tc>
          <w:tcPr>
            <w:tcW w:w="1133" w:type="dxa"/>
            <w:shd w:val="clear" w:color="auto" w:fill="auto"/>
            <w:noWrap/>
          </w:tcPr>
          <w:p w14:paraId="6686FB40" w14:textId="77777777" w:rsidR="0035511A" w:rsidRPr="00395860"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highlight w:val="yellow"/>
              </w:rPr>
            </w:pPr>
            <w:r w:rsidRPr="00AB06D7">
              <w:rPr>
                <w:rFonts w:asciiTheme="majorHAnsi" w:hAnsiTheme="majorHAnsi" w:cstheme="majorHAnsi"/>
                <w:color w:val="000000"/>
                <w:sz w:val="16"/>
                <w:szCs w:val="16"/>
              </w:rPr>
              <w:t>&lt;0·0001</w:t>
            </w:r>
          </w:p>
        </w:tc>
      </w:tr>
      <w:tr w:rsidR="0035511A" w:rsidRPr="00AB06D7" w14:paraId="79D30C5B"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3815ACAD" w14:textId="77777777" w:rsidR="0035511A" w:rsidRPr="00AB06D7" w:rsidRDefault="0035511A" w:rsidP="000C0460">
            <w:pPr>
              <w:rPr>
                <w:rFonts w:asciiTheme="majorHAnsi" w:hAnsiTheme="majorHAnsi" w:cstheme="majorHAnsi"/>
                <w:color w:val="000000"/>
                <w:sz w:val="16"/>
                <w:szCs w:val="16"/>
              </w:rPr>
            </w:pPr>
          </w:p>
        </w:tc>
        <w:tc>
          <w:tcPr>
            <w:tcW w:w="2828" w:type="dxa"/>
            <w:shd w:val="clear" w:color="auto" w:fill="auto"/>
            <w:noWrap/>
          </w:tcPr>
          <w:p w14:paraId="328E4323"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150 – 249/100,000 population</w:t>
            </w:r>
          </w:p>
        </w:tc>
        <w:tc>
          <w:tcPr>
            <w:tcW w:w="1906" w:type="dxa"/>
            <w:shd w:val="clear" w:color="auto" w:fill="auto"/>
            <w:noWrap/>
          </w:tcPr>
          <w:p w14:paraId="16B26AD6"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74/118</w:t>
            </w:r>
            <w:r w:rsidRPr="00AB06D7">
              <w:rPr>
                <w:rFonts w:asciiTheme="majorHAnsi" w:hAnsiTheme="majorHAnsi" w:cstheme="majorHAnsi"/>
                <w:color w:val="000000"/>
                <w:sz w:val="16"/>
                <w:szCs w:val="16"/>
              </w:rPr>
              <w:t xml:space="preserve"> (6</w:t>
            </w:r>
            <w:r>
              <w:rPr>
                <w:rFonts w:asciiTheme="majorHAnsi" w:hAnsiTheme="majorHAnsi" w:cstheme="majorHAnsi"/>
                <w:color w:val="000000"/>
                <w:sz w:val="16"/>
                <w:szCs w:val="16"/>
              </w:rPr>
              <w:t>2</w:t>
            </w:r>
            <w:r w:rsidRPr="00AB06D7">
              <w:rPr>
                <w:rFonts w:asciiTheme="majorHAnsi" w:hAnsiTheme="majorHAnsi" w:cstheme="majorHAnsi"/>
                <w:color w:val="000000"/>
                <w:sz w:val="16"/>
                <w:szCs w:val="16"/>
              </w:rPr>
              <w:t>·</w:t>
            </w:r>
            <w:r>
              <w:rPr>
                <w:rFonts w:asciiTheme="majorHAnsi" w:hAnsiTheme="majorHAnsi" w:cstheme="majorHAnsi"/>
                <w:color w:val="000000"/>
                <w:sz w:val="16"/>
                <w:szCs w:val="16"/>
              </w:rPr>
              <w:t>7</w:t>
            </w:r>
            <w:r w:rsidRPr="00AB06D7">
              <w:rPr>
                <w:rFonts w:asciiTheme="majorHAnsi" w:hAnsiTheme="majorHAnsi" w:cstheme="majorHAnsi"/>
                <w:color w:val="000000"/>
                <w:sz w:val="16"/>
                <w:szCs w:val="16"/>
              </w:rPr>
              <w:t>)</w:t>
            </w:r>
          </w:p>
        </w:tc>
        <w:tc>
          <w:tcPr>
            <w:tcW w:w="2302" w:type="dxa"/>
            <w:shd w:val="clear" w:color="auto" w:fill="auto"/>
            <w:noWrap/>
          </w:tcPr>
          <w:p w14:paraId="55B95468"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7.46 (3·99 – 13·95</w:t>
            </w:r>
            <w:r w:rsidRPr="00031ACF">
              <w:rPr>
                <w:rFonts w:asciiTheme="majorHAnsi" w:hAnsiTheme="majorHAnsi" w:cstheme="majorHAnsi"/>
                <w:color w:val="000000"/>
                <w:sz w:val="16"/>
                <w:szCs w:val="16"/>
              </w:rPr>
              <w:t>)</w:t>
            </w:r>
          </w:p>
        </w:tc>
        <w:tc>
          <w:tcPr>
            <w:tcW w:w="992" w:type="dxa"/>
            <w:shd w:val="clear" w:color="auto" w:fill="auto"/>
          </w:tcPr>
          <w:p w14:paraId="41E7EA41"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&lt;0·0001</w:t>
            </w:r>
          </w:p>
        </w:tc>
        <w:tc>
          <w:tcPr>
            <w:tcW w:w="2835" w:type="dxa"/>
            <w:shd w:val="clear" w:color="auto" w:fill="auto"/>
            <w:noWrap/>
          </w:tcPr>
          <w:p w14:paraId="79129C99" w14:textId="28B681D0" w:rsidR="0035511A" w:rsidRPr="00FB5AB8"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8</w:t>
            </w:r>
            <w:r w:rsidRPr="00FB5AB8">
              <w:rPr>
                <w:rFonts w:asciiTheme="majorHAnsi" w:hAnsiTheme="majorHAnsi" w:cstheme="majorHAnsi"/>
                <w:color w:val="000000"/>
                <w:sz w:val="16"/>
                <w:szCs w:val="16"/>
              </w:rPr>
              <w:t>·2</w:t>
            </w:r>
            <w:r w:rsidR="006D2765">
              <w:rPr>
                <w:rFonts w:asciiTheme="majorHAnsi" w:hAnsiTheme="majorHAnsi" w:cstheme="majorHAnsi"/>
                <w:color w:val="000000"/>
                <w:sz w:val="16"/>
                <w:szCs w:val="16"/>
              </w:rPr>
              <w:t>6 (4·27</w:t>
            </w:r>
            <w:r>
              <w:rPr>
                <w:rFonts w:asciiTheme="majorHAnsi" w:hAnsiTheme="majorHAnsi" w:cstheme="majorHAnsi"/>
                <w:color w:val="000000"/>
                <w:sz w:val="16"/>
                <w:szCs w:val="16"/>
              </w:rPr>
              <w:t xml:space="preserve"> – 15·98</w:t>
            </w:r>
            <w:r w:rsidRPr="00FB5AB8">
              <w:rPr>
                <w:rFonts w:asciiTheme="majorHAnsi" w:hAnsiTheme="majorHAnsi" w:cstheme="majorHAnsi"/>
                <w:color w:val="000000"/>
                <w:sz w:val="16"/>
                <w:szCs w:val="16"/>
              </w:rPr>
              <w:t>)</w:t>
            </w:r>
          </w:p>
        </w:tc>
        <w:tc>
          <w:tcPr>
            <w:tcW w:w="1133" w:type="dxa"/>
            <w:shd w:val="clear" w:color="auto" w:fill="auto"/>
            <w:noWrap/>
          </w:tcPr>
          <w:p w14:paraId="5A0E8361"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sidRPr="00AB06D7">
              <w:rPr>
                <w:rFonts w:asciiTheme="majorHAnsi" w:hAnsiTheme="majorHAnsi" w:cstheme="majorHAnsi"/>
                <w:color w:val="000000"/>
                <w:sz w:val="16"/>
                <w:szCs w:val="16"/>
              </w:rPr>
              <w:t>&lt;0·0001</w:t>
            </w:r>
          </w:p>
        </w:tc>
      </w:tr>
      <w:tr w:rsidR="0035511A" w:rsidRPr="00AB06D7" w14:paraId="1A6371FC" w14:textId="77777777" w:rsidTr="000C046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308E0362"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BFBFBF" w:themeColor="background1" w:themeShade="BF"/>
            </w:tcBorders>
            <w:shd w:val="clear" w:color="auto" w:fill="auto"/>
            <w:noWrap/>
          </w:tcPr>
          <w:p w14:paraId="5324980C"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250 – 349/100,000 population</w:t>
            </w:r>
          </w:p>
        </w:tc>
        <w:tc>
          <w:tcPr>
            <w:tcW w:w="1906" w:type="dxa"/>
            <w:tcBorders>
              <w:bottom w:val="single" w:sz="4" w:space="0" w:color="BFBFBF" w:themeColor="background1" w:themeShade="BF"/>
            </w:tcBorders>
            <w:shd w:val="clear" w:color="auto" w:fill="auto"/>
            <w:noWrap/>
          </w:tcPr>
          <w:p w14:paraId="3DE9EF35"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11/118 (9.3</w:t>
            </w:r>
            <w:r w:rsidRPr="00AB06D7">
              <w:rPr>
                <w:rFonts w:asciiTheme="majorHAnsi" w:hAnsiTheme="majorHAnsi" w:cstheme="majorHAnsi"/>
                <w:color w:val="000000"/>
                <w:sz w:val="16"/>
                <w:szCs w:val="16"/>
              </w:rPr>
              <w:t>)</w:t>
            </w:r>
          </w:p>
        </w:tc>
        <w:tc>
          <w:tcPr>
            <w:tcW w:w="2302" w:type="dxa"/>
            <w:tcBorders>
              <w:bottom w:val="single" w:sz="4" w:space="0" w:color="BFBFBF" w:themeColor="background1" w:themeShade="BF"/>
            </w:tcBorders>
            <w:shd w:val="clear" w:color="auto" w:fill="auto"/>
            <w:noWrap/>
          </w:tcPr>
          <w:p w14:paraId="528A9ED7" w14:textId="77777777" w:rsidR="0035511A" w:rsidRPr="00395860"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7·53 (3.16 – 17.92</w:t>
            </w:r>
            <w:r w:rsidRPr="006E5C1E">
              <w:rPr>
                <w:rFonts w:asciiTheme="majorHAnsi" w:hAnsiTheme="majorHAnsi" w:cstheme="majorHAnsi"/>
                <w:color w:val="000000"/>
                <w:sz w:val="16"/>
                <w:szCs w:val="16"/>
              </w:rPr>
              <w:t>)</w:t>
            </w:r>
          </w:p>
        </w:tc>
        <w:tc>
          <w:tcPr>
            <w:tcW w:w="992" w:type="dxa"/>
            <w:tcBorders>
              <w:bottom w:val="single" w:sz="4" w:space="0" w:color="BFBFBF" w:themeColor="background1" w:themeShade="BF"/>
            </w:tcBorders>
            <w:shd w:val="clear" w:color="auto" w:fill="auto"/>
          </w:tcPr>
          <w:p w14:paraId="2AFC8F19" w14:textId="77777777" w:rsidR="0035511A" w:rsidRPr="00AB06D7"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&lt;0·0001</w:t>
            </w:r>
          </w:p>
        </w:tc>
        <w:tc>
          <w:tcPr>
            <w:tcW w:w="2835" w:type="dxa"/>
            <w:tcBorders>
              <w:bottom w:val="single" w:sz="4" w:space="0" w:color="BFBFBF" w:themeColor="background1" w:themeShade="BF"/>
            </w:tcBorders>
            <w:shd w:val="clear" w:color="auto" w:fill="auto"/>
            <w:noWrap/>
          </w:tcPr>
          <w:p w14:paraId="360A88A0" w14:textId="77777777" w:rsidR="0035511A" w:rsidRPr="00FB5AB8"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8·13 (3.33 – 19·86</w:t>
            </w:r>
            <w:r w:rsidRPr="00FB5AB8">
              <w:rPr>
                <w:rFonts w:asciiTheme="majorHAnsi" w:hAnsiTheme="majorHAnsi" w:cstheme="majorHAnsi"/>
                <w:color w:val="000000"/>
                <w:sz w:val="16"/>
                <w:szCs w:val="16"/>
              </w:rPr>
              <w:t>)</w:t>
            </w:r>
          </w:p>
        </w:tc>
        <w:tc>
          <w:tcPr>
            <w:tcW w:w="1133" w:type="dxa"/>
            <w:tcBorders>
              <w:bottom w:val="single" w:sz="4" w:space="0" w:color="BFBFBF" w:themeColor="background1" w:themeShade="BF"/>
            </w:tcBorders>
            <w:shd w:val="clear" w:color="auto" w:fill="auto"/>
            <w:noWrap/>
          </w:tcPr>
          <w:p w14:paraId="4D283419" w14:textId="77777777" w:rsidR="0035511A" w:rsidRPr="00395860" w:rsidRDefault="0035511A" w:rsidP="000C046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 w:val="16"/>
                <w:szCs w:val="16"/>
                <w:highlight w:val="yellow"/>
              </w:rPr>
            </w:pPr>
            <w:r w:rsidRPr="00AB06D7">
              <w:rPr>
                <w:rFonts w:asciiTheme="majorHAnsi" w:hAnsiTheme="majorHAnsi" w:cstheme="majorHAnsi"/>
                <w:color w:val="000000"/>
                <w:sz w:val="16"/>
                <w:szCs w:val="16"/>
              </w:rPr>
              <w:t>&lt;0·0001</w:t>
            </w:r>
          </w:p>
        </w:tc>
      </w:tr>
      <w:tr w:rsidR="0035511A" w:rsidRPr="00AB06D7" w14:paraId="641B80A3" w14:textId="77777777" w:rsidTr="000C0460">
        <w:trPr>
          <w:trHeight w:val="300"/>
        </w:trPr>
        <w:tc>
          <w:tcPr>
            <w:cnfStyle w:val="001000000000" w:firstRow="0" w:lastRow="0" w:firstColumn="1" w:lastColumn="0" w:oddVBand="0" w:evenVBand="0" w:oddHBand="0" w:evenHBand="0" w:firstRowFirstColumn="0" w:firstRowLastColumn="0" w:lastRowFirstColumn="0" w:lastRowLastColumn="0"/>
            <w:tcW w:w="3137" w:type="dxa"/>
            <w:vMerge/>
            <w:tcBorders>
              <w:bottom w:val="single" w:sz="4" w:space="0" w:color="auto"/>
            </w:tcBorders>
            <w:shd w:val="clear" w:color="auto" w:fill="auto"/>
          </w:tcPr>
          <w:p w14:paraId="74188E49" w14:textId="77777777" w:rsidR="0035511A" w:rsidRPr="00AB06D7" w:rsidRDefault="0035511A" w:rsidP="000C0460">
            <w:pPr>
              <w:rPr>
                <w:rFonts w:asciiTheme="majorHAnsi" w:hAnsiTheme="majorHAnsi" w:cstheme="majorHAnsi"/>
                <w:color w:val="000000"/>
                <w:sz w:val="16"/>
                <w:szCs w:val="16"/>
              </w:rPr>
            </w:pPr>
          </w:p>
        </w:tc>
        <w:tc>
          <w:tcPr>
            <w:tcW w:w="2828" w:type="dxa"/>
            <w:tcBorders>
              <w:bottom w:val="single" w:sz="4" w:space="0" w:color="auto"/>
            </w:tcBorders>
            <w:shd w:val="clear" w:color="auto" w:fill="auto"/>
            <w:noWrap/>
          </w:tcPr>
          <w:p w14:paraId="6D177A22"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sidRPr="00AB06D7">
              <w:rPr>
                <w:rFonts w:asciiTheme="majorHAnsi" w:hAnsiTheme="majorHAnsi" w:cstheme="majorHAnsi"/>
                <w:color w:val="000000"/>
                <w:sz w:val="16"/>
                <w:szCs w:val="16"/>
              </w:rPr>
              <w:t>≥350/100,000 population</w:t>
            </w:r>
          </w:p>
        </w:tc>
        <w:tc>
          <w:tcPr>
            <w:tcW w:w="1906" w:type="dxa"/>
            <w:tcBorders>
              <w:bottom w:val="single" w:sz="4" w:space="0" w:color="auto"/>
            </w:tcBorders>
            <w:shd w:val="clear" w:color="auto" w:fill="auto"/>
            <w:noWrap/>
          </w:tcPr>
          <w:p w14:paraId="38B54EAE" w14:textId="77777777" w:rsidR="0035511A" w:rsidRPr="00AB06D7"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9/118 (7·6</w:t>
            </w:r>
            <w:r w:rsidRPr="00AB06D7">
              <w:rPr>
                <w:rFonts w:asciiTheme="majorHAnsi" w:hAnsiTheme="majorHAnsi" w:cstheme="majorHAnsi"/>
                <w:color w:val="000000"/>
                <w:sz w:val="16"/>
                <w:szCs w:val="16"/>
              </w:rPr>
              <w:t>)</w:t>
            </w:r>
          </w:p>
        </w:tc>
        <w:tc>
          <w:tcPr>
            <w:tcW w:w="2302" w:type="dxa"/>
            <w:tcBorders>
              <w:bottom w:val="single" w:sz="4" w:space="0" w:color="auto"/>
            </w:tcBorders>
            <w:shd w:val="clear" w:color="auto" w:fill="auto"/>
            <w:noWrap/>
          </w:tcPr>
          <w:p w14:paraId="1E984B72"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5.62 (2·27 – 13·92</w:t>
            </w:r>
            <w:r w:rsidRPr="006E5C1E">
              <w:rPr>
                <w:rFonts w:asciiTheme="majorHAnsi" w:hAnsiTheme="majorHAnsi" w:cstheme="majorHAnsi"/>
                <w:color w:val="000000"/>
                <w:sz w:val="16"/>
                <w:szCs w:val="16"/>
              </w:rPr>
              <w:t>)</w:t>
            </w:r>
          </w:p>
        </w:tc>
        <w:tc>
          <w:tcPr>
            <w:tcW w:w="992" w:type="dxa"/>
            <w:tcBorders>
              <w:bottom w:val="single" w:sz="4" w:space="0" w:color="auto"/>
            </w:tcBorders>
            <w:shd w:val="clear" w:color="auto" w:fill="auto"/>
          </w:tcPr>
          <w:p w14:paraId="53930CE9" w14:textId="44FD662D" w:rsidR="0035511A" w:rsidRPr="00AB06D7" w:rsidRDefault="006F4F33"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&lt;</w:t>
            </w:r>
            <w:r w:rsidR="0035511A" w:rsidRPr="00AB06D7">
              <w:rPr>
                <w:rFonts w:asciiTheme="majorHAnsi" w:hAnsiTheme="majorHAnsi" w:cstheme="majorHAnsi"/>
                <w:color w:val="000000"/>
                <w:sz w:val="16"/>
                <w:szCs w:val="16"/>
              </w:rPr>
              <w:t>0·000</w:t>
            </w:r>
            <w:r>
              <w:rPr>
                <w:rFonts w:asciiTheme="majorHAnsi" w:hAnsiTheme="majorHAnsi" w:cstheme="majorHAnsi"/>
                <w:color w:val="000000"/>
                <w:sz w:val="16"/>
                <w:szCs w:val="16"/>
              </w:rPr>
              <w:t>1</w:t>
            </w:r>
          </w:p>
        </w:tc>
        <w:tc>
          <w:tcPr>
            <w:tcW w:w="2835" w:type="dxa"/>
            <w:tcBorders>
              <w:bottom w:val="single" w:sz="4" w:space="0" w:color="auto"/>
            </w:tcBorders>
            <w:shd w:val="clear" w:color="auto" w:fill="auto"/>
            <w:noWrap/>
          </w:tcPr>
          <w:p w14:paraId="4B631ED6" w14:textId="29C880CC" w:rsidR="0035511A" w:rsidRPr="00FB5AB8" w:rsidRDefault="006D2765"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rPr>
            </w:pPr>
            <w:r>
              <w:rPr>
                <w:rFonts w:asciiTheme="majorHAnsi" w:hAnsiTheme="majorHAnsi" w:cstheme="majorHAnsi"/>
                <w:color w:val="000000"/>
                <w:sz w:val="16"/>
                <w:szCs w:val="16"/>
              </w:rPr>
              <w:t>6.16</w:t>
            </w:r>
            <w:r w:rsidR="0035511A">
              <w:rPr>
                <w:rFonts w:asciiTheme="majorHAnsi" w:hAnsiTheme="majorHAnsi" w:cstheme="majorHAnsi"/>
                <w:color w:val="000000"/>
                <w:sz w:val="16"/>
                <w:szCs w:val="16"/>
              </w:rPr>
              <w:t xml:space="preserve"> (2.42 – 15·67</w:t>
            </w:r>
            <w:r w:rsidR="0035511A" w:rsidRPr="00FB5AB8">
              <w:rPr>
                <w:rFonts w:asciiTheme="majorHAnsi" w:hAnsiTheme="majorHAnsi" w:cstheme="majorHAnsi"/>
                <w:color w:val="000000"/>
                <w:sz w:val="16"/>
                <w:szCs w:val="16"/>
              </w:rPr>
              <w:t>)</w:t>
            </w:r>
          </w:p>
        </w:tc>
        <w:tc>
          <w:tcPr>
            <w:tcW w:w="1133" w:type="dxa"/>
            <w:tcBorders>
              <w:bottom w:val="single" w:sz="4" w:space="0" w:color="auto"/>
            </w:tcBorders>
            <w:shd w:val="clear" w:color="auto" w:fill="auto"/>
            <w:noWrap/>
          </w:tcPr>
          <w:p w14:paraId="34A2C991" w14:textId="77777777" w:rsidR="0035511A" w:rsidRPr="00395860" w:rsidRDefault="0035511A" w:rsidP="000C0460">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sz w:val="16"/>
                <w:szCs w:val="16"/>
                <w:highlight w:val="yellow"/>
              </w:rPr>
            </w:pPr>
            <w:r>
              <w:rPr>
                <w:rFonts w:asciiTheme="majorHAnsi" w:hAnsiTheme="majorHAnsi" w:cstheme="majorHAnsi"/>
                <w:color w:val="000000"/>
                <w:sz w:val="16"/>
                <w:szCs w:val="16"/>
              </w:rPr>
              <w:t>&lt;0.0001</w:t>
            </w:r>
          </w:p>
        </w:tc>
      </w:tr>
    </w:tbl>
    <w:p w14:paraId="774C2B5D" w14:textId="77777777" w:rsidR="0082666E" w:rsidRDefault="0082666E" w:rsidP="00F3172E">
      <w:pPr>
        <w:jc w:val="both"/>
        <w:rPr>
          <w:rFonts w:asciiTheme="majorHAnsi" w:eastAsia="Times New Roman" w:hAnsiTheme="majorHAnsi" w:cstheme="majorHAnsi"/>
          <w:b/>
          <w:sz w:val="22"/>
          <w:szCs w:val="22"/>
        </w:rPr>
      </w:pPr>
    </w:p>
    <w:p w14:paraId="6FBE1204" w14:textId="77777777" w:rsidR="0082666E" w:rsidRDefault="0082666E" w:rsidP="00F3172E">
      <w:pPr>
        <w:jc w:val="both"/>
        <w:rPr>
          <w:rFonts w:asciiTheme="majorHAnsi" w:eastAsia="Times New Roman" w:hAnsiTheme="majorHAnsi" w:cstheme="majorHAnsi"/>
          <w:b/>
          <w:sz w:val="22"/>
          <w:szCs w:val="22"/>
        </w:rPr>
      </w:pPr>
    </w:p>
    <w:p w14:paraId="31EB12DC" w14:textId="77777777" w:rsidR="0035511A" w:rsidRPr="00AB06D7" w:rsidRDefault="0035511A" w:rsidP="0035511A">
      <w:pPr>
        <w:jc w:val="both"/>
        <w:rPr>
          <w:rFonts w:asciiTheme="majorHAnsi" w:hAnsiTheme="majorHAnsi" w:cstheme="majorHAnsi"/>
          <w:sz w:val="16"/>
          <w:szCs w:val="16"/>
        </w:rPr>
      </w:pPr>
      <w:r>
        <w:rPr>
          <w:rFonts w:asciiTheme="majorHAnsi" w:hAnsiTheme="majorHAnsi" w:cstheme="majorHAnsi"/>
          <w:sz w:val="16"/>
          <w:szCs w:val="16"/>
        </w:rPr>
        <w:t xml:space="preserve">IGRA = interferon gamma release assay; </w:t>
      </w:r>
      <w:r w:rsidRPr="00AB06D7">
        <w:rPr>
          <w:rFonts w:asciiTheme="majorHAnsi" w:hAnsiTheme="majorHAnsi" w:cstheme="majorHAnsi"/>
          <w:sz w:val="16"/>
          <w:szCs w:val="16"/>
        </w:rPr>
        <w:t>OR = odds ratio.</w:t>
      </w:r>
    </w:p>
    <w:p w14:paraId="223F3EC4" w14:textId="77777777" w:rsidR="0035511A" w:rsidRPr="00844962" w:rsidRDefault="0035511A" w:rsidP="0035511A">
      <w:pPr>
        <w:jc w:val="both"/>
        <w:rPr>
          <w:rFonts w:asciiTheme="majorHAnsi" w:hAnsiTheme="majorHAnsi" w:cstheme="majorHAnsi"/>
          <w:sz w:val="16"/>
          <w:szCs w:val="16"/>
        </w:rPr>
      </w:pPr>
    </w:p>
    <w:p w14:paraId="6F57AB8F" w14:textId="77777777" w:rsidR="0035511A" w:rsidRPr="00844962" w:rsidRDefault="0035511A" w:rsidP="0035511A">
      <w:pPr>
        <w:jc w:val="both"/>
        <w:rPr>
          <w:rFonts w:asciiTheme="majorHAnsi" w:hAnsiTheme="majorHAnsi" w:cstheme="majorHAnsi"/>
          <w:sz w:val="16"/>
          <w:szCs w:val="16"/>
        </w:rPr>
      </w:pPr>
      <w:r>
        <w:rPr>
          <w:rFonts w:asciiTheme="majorHAnsi" w:hAnsiTheme="majorHAnsi" w:cstheme="majorHAnsi"/>
          <w:sz w:val="16"/>
          <w:szCs w:val="16"/>
        </w:rPr>
        <w:t>† All</w:t>
      </w:r>
      <w:r w:rsidRPr="00AB06D7">
        <w:rPr>
          <w:rFonts w:asciiTheme="majorHAnsi" w:hAnsiTheme="majorHAnsi" w:cstheme="majorHAnsi"/>
          <w:sz w:val="16"/>
          <w:szCs w:val="16"/>
        </w:rPr>
        <w:t xml:space="preserve"> were Black African</w:t>
      </w:r>
      <w:r>
        <w:rPr>
          <w:rFonts w:asciiTheme="majorHAnsi" w:hAnsiTheme="majorHAnsi" w:cstheme="majorHAnsi"/>
          <w:sz w:val="16"/>
          <w:szCs w:val="16"/>
        </w:rPr>
        <w:t>;</w:t>
      </w:r>
      <w:r w:rsidRPr="00AB06D7">
        <w:rPr>
          <w:rFonts w:asciiTheme="majorHAnsi" w:hAnsiTheme="majorHAnsi" w:cstheme="majorHAnsi"/>
          <w:sz w:val="16"/>
          <w:szCs w:val="16"/>
        </w:rPr>
        <w:t xml:space="preserve"> </w:t>
      </w:r>
      <w:r>
        <w:rPr>
          <w:rFonts w:asciiTheme="majorHAnsi" w:hAnsiTheme="majorHAnsi" w:cstheme="majorHAnsi"/>
          <w:sz w:val="16"/>
          <w:szCs w:val="16"/>
        </w:rPr>
        <w:t>none were</w:t>
      </w:r>
      <w:r w:rsidRPr="00AB06D7">
        <w:rPr>
          <w:rFonts w:asciiTheme="majorHAnsi" w:hAnsiTheme="majorHAnsi" w:cstheme="majorHAnsi"/>
          <w:sz w:val="16"/>
          <w:szCs w:val="16"/>
        </w:rPr>
        <w:t xml:space="preserve"> Black Caribbean</w:t>
      </w:r>
      <w:r>
        <w:rPr>
          <w:rFonts w:asciiTheme="majorHAnsi" w:hAnsiTheme="majorHAnsi" w:cstheme="majorHAnsi"/>
          <w:sz w:val="16"/>
          <w:szCs w:val="16"/>
        </w:rPr>
        <w:t xml:space="preserve"> or Black Other</w:t>
      </w:r>
      <w:r w:rsidRPr="00844962">
        <w:rPr>
          <w:rFonts w:asciiTheme="majorHAnsi" w:hAnsiTheme="majorHAnsi" w:cstheme="majorHAnsi"/>
          <w:sz w:val="16"/>
          <w:szCs w:val="16"/>
        </w:rPr>
        <w:t xml:space="preserve">. </w:t>
      </w:r>
    </w:p>
    <w:p w14:paraId="115D7C4C" w14:textId="77777777" w:rsidR="0035511A" w:rsidRPr="00844962" w:rsidRDefault="0035511A" w:rsidP="0035511A">
      <w:pPr>
        <w:jc w:val="both"/>
        <w:rPr>
          <w:rFonts w:asciiTheme="majorHAnsi" w:hAnsiTheme="majorHAnsi" w:cstheme="majorHAnsi"/>
          <w:sz w:val="16"/>
          <w:szCs w:val="16"/>
        </w:rPr>
      </w:pPr>
      <w:r>
        <w:rPr>
          <w:rFonts w:asciiTheme="majorHAnsi" w:hAnsiTheme="majorHAnsi" w:cstheme="majorHAnsi"/>
          <w:sz w:val="16"/>
          <w:szCs w:val="16"/>
        </w:rPr>
        <w:t>‡ All</w:t>
      </w:r>
      <w:r w:rsidRPr="00844962">
        <w:rPr>
          <w:rFonts w:asciiTheme="majorHAnsi" w:hAnsiTheme="majorHAnsi" w:cstheme="majorHAnsi"/>
          <w:sz w:val="16"/>
          <w:szCs w:val="16"/>
        </w:rPr>
        <w:t xml:space="preserve"> were from Europe &amp; Central Asia; </w:t>
      </w:r>
      <w:r>
        <w:rPr>
          <w:rFonts w:asciiTheme="majorHAnsi" w:hAnsiTheme="majorHAnsi" w:cstheme="majorHAnsi"/>
          <w:sz w:val="16"/>
          <w:szCs w:val="16"/>
        </w:rPr>
        <w:t xml:space="preserve">none were from </w:t>
      </w:r>
      <w:r w:rsidRPr="00844962">
        <w:rPr>
          <w:rFonts w:asciiTheme="majorHAnsi" w:hAnsiTheme="majorHAnsi" w:cstheme="majorHAnsi"/>
          <w:sz w:val="16"/>
          <w:szCs w:val="16"/>
        </w:rPr>
        <w:t>Latin Amer</w:t>
      </w:r>
      <w:r>
        <w:rPr>
          <w:rFonts w:asciiTheme="majorHAnsi" w:hAnsiTheme="majorHAnsi" w:cstheme="majorHAnsi"/>
          <w:sz w:val="16"/>
          <w:szCs w:val="16"/>
        </w:rPr>
        <w:t xml:space="preserve">ica &amp; Caribbean, </w:t>
      </w:r>
      <w:r w:rsidRPr="00844962">
        <w:rPr>
          <w:rFonts w:asciiTheme="majorHAnsi" w:hAnsiTheme="majorHAnsi" w:cstheme="majorHAnsi"/>
          <w:sz w:val="16"/>
          <w:szCs w:val="16"/>
        </w:rPr>
        <w:t xml:space="preserve">North America or the Middle East &amp; North Africa. </w:t>
      </w:r>
    </w:p>
    <w:p w14:paraId="4A762016" w14:textId="77777777" w:rsidR="0035511A" w:rsidRDefault="0035511A" w:rsidP="0035511A">
      <w:pPr>
        <w:jc w:val="both"/>
        <w:rPr>
          <w:rFonts w:asciiTheme="majorHAnsi" w:hAnsiTheme="majorHAnsi" w:cstheme="majorHAnsi"/>
          <w:sz w:val="16"/>
          <w:szCs w:val="16"/>
        </w:rPr>
      </w:pPr>
      <w:r>
        <w:rPr>
          <w:rFonts w:asciiTheme="majorHAnsi" w:hAnsiTheme="majorHAnsi" w:cstheme="majorHAnsi"/>
          <w:sz w:val="16"/>
          <w:szCs w:val="16"/>
        </w:rPr>
        <w:t>§ 8/10 were from South Asia; 2</w:t>
      </w:r>
      <w:r w:rsidRPr="00844962">
        <w:rPr>
          <w:rFonts w:asciiTheme="majorHAnsi" w:hAnsiTheme="majorHAnsi" w:cstheme="majorHAnsi"/>
          <w:sz w:val="16"/>
          <w:szCs w:val="16"/>
        </w:rPr>
        <w:t xml:space="preserve">/11 </w:t>
      </w:r>
      <w:proofErr w:type="gramStart"/>
      <w:r w:rsidRPr="00844962">
        <w:rPr>
          <w:rFonts w:asciiTheme="majorHAnsi" w:hAnsiTheme="majorHAnsi" w:cstheme="majorHAnsi"/>
          <w:sz w:val="16"/>
          <w:szCs w:val="16"/>
        </w:rPr>
        <w:t>were</w:t>
      </w:r>
      <w:proofErr w:type="gramEnd"/>
      <w:r w:rsidRPr="00844962">
        <w:rPr>
          <w:rFonts w:asciiTheme="majorHAnsi" w:hAnsiTheme="majorHAnsi" w:cstheme="majorHAnsi"/>
          <w:sz w:val="16"/>
          <w:szCs w:val="16"/>
        </w:rPr>
        <w:t xml:space="preserve"> from East Asia &amp; Pacific region.</w:t>
      </w:r>
    </w:p>
    <w:p w14:paraId="1E46AA27" w14:textId="77777777" w:rsidR="0035511A" w:rsidRDefault="0035511A" w:rsidP="00F3172E">
      <w:pPr>
        <w:jc w:val="both"/>
        <w:rPr>
          <w:rFonts w:asciiTheme="majorHAnsi" w:eastAsia="Times New Roman" w:hAnsiTheme="majorHAnsi" w:cstheme="majorHAnsi"/>
          <w:b/>
          <w:sz w:val="22"/>
          <w:szCs w:val="22"/>
        </w:rPr>
      </w:pPr>
    </w:p>
    <w:p w14:paraId="3140E4AD" w14:textId="2191869C" w:rsidR="002C2DDD" w:rsidRDefault="002C2DDD" w:rsidP="00F3172E">
      <w:pPr>
        <w:jc w:val="both"/>
        <w:rPr>
          <w:rFonts w:asciiTheme="majorHAnsi" w:eastAsia="Times New Roman" w:hAnsiTheme="majorHAnsi" w:cstheme="majorHAnsi"/>
          <w:b/>
          <w:sz w:val="22"/>
          <w:szCs w:val="22"/>
        </w:rPr>
      </w:pPr>
    </w:p>
    <w:p w14:paraId="66E5C644" w14:textId="77777777" w:rsidR="002C2DDD" w:rsidRDefault="002C2DDD" w:rsidP="00F3172E">
      <w:pPr>
        <w:jc w:val="both"/>
        <w:rPr>
          <w:rFonts w:asciiTheme="majorHAnsi" w:eastAsia="Times New Roman" w:hAnsiTheme="majorHAnsi" w:cstheme="majorHAnsi"/>
          <w:b/>
          <w:sz w:val="22"/>
          <w:szCs w:val="22"/>
        </w:rPr>
      </w:pPr>
    </w:p>
    <w:p w14:paraId="7C6A8B48" w14:textId="77777777" w:rsidR="007A0AB5" w:rsidRDefault="007A0AB5" w:rsidP="00F3172E">
      <w:pPr>
        <w:jc w:val="both"/>
        <w:rPr>
          <w:rFonts w:asciiTheme="majorHAnsi" w:eastAsia="Times New Roman" w:hAnsiTheme="majorHAnsi" w:cstheme="majorHAnsi"/>
          <w:b/>
          <w:sz w:val="22"/>
          <w:szCs w:val="22"/>
        </w:rPr>
      </w:pPr>
    </w:p>
    <w:p w14:paraId="09123F5A" w14:textId="77777777" w:rsidR="007A0AB5" w:rsidRDefault="007A0AB5" w:rsidP="00F3172E">
      <w:pPr>
        <w:jc w:val="both"/>
        <w:rPr>
          <w:rFonts w:asciiTheme="majorHAnsi" w:eastAsia="Times New Roman" w:hAnsiTheme="majorHAnsi" w:cstheme="majorHAnsi"/>
          <w:b/>
          <w:sz w:val="22"/>
          <w:szCs w:val="22"/>
        </w:rPr>
      </w:pPr>
    </w:p>
    <w:p w14:paraId="6E2600D2" w14:textId="77777777" w:rsidR="007A0AB5" w:rsidRDefault="007A0AB5" w:rsidP="00F3172E">
      <w:pPr>
        <w:jc w:val="both"/>
        <w:rPr>
          <w:rFonts w:asciiTheme="majorHAnsi" w:eastAsia="Times New Roman" w:hAnsiTheme="majorHAnsi" w:cstheme="majorHAnsi"/>
          <w:b/>
          <w:sz w:val="22"/>
          <w:szCs w:val="22"/>
        </w:rPr>
      </w:pPr>
    </w:p>
    <w:p w14:paraId="1A91D21E" w14:textId="77777777" w:rsidR="007A0AB5" w:rsidRDefault="007A0AB5" w:rsidP="00F3172E">
      <w:pPr>
        <w:jc w:val="both"/>
        <w:rPr>
          <w:rFonts w:asciiTheme="majorHAnsi" w:eastAsia="Times New Roman" w:hAnsiTheme="majorHAnsi" w:cstheme="majorHAnsi"/>
          <w:b/>
          <w:sz w:val="22"/>
          <w:szCs w:val="22"/>
        </w:rPr>
      </w:pPr>
    </w:p>
    <w:p w14:paraId="30EC596F" w14:textId="77777777" w:rsidR="007A0AB5" w:rsidRDefault="007A0AB5" w:rsidP="00F3172E">
      <w:pPr>
        <w:jc w:val="both"/>
        <w:rPr>
          <w:rFonts w:asciiTheme="majorHAnsi" w:eastAsia="Times New Roman" w:hAnsiTheme="majorHAnsi" w:cstheme="majorHAnsi"/>
          <w:b/>
          <w:sz w:val="22"/>
          <w:szCs w:val="22"/>
        </w:rPr>
      </w:pPr>
    </w:p>
    <w:p w14:paraId="18F7097D" w14:textId="77777777" w:rsidR="008C2537" w:rsidRDefault="008C2537" w:rsidP="008C2537">
      <w:pPr>
        <w:rPr>
          <w:rFonts w:asciiTheme="majorHAnsi" w:eastAsia="Times New Roman" w:hAnsiTheme="majorHAnsi" w:cstheme="majorHAnsi"/>
          <w:b/>
          <w:sz w:val="22"/>
          <w:szCs w:val="22"/>
        </w:rPr>
      </w:pPr>
    </w:p>
    <w:p w14:paraId="55D0375F" w14:textId="77777777" w:rsidR="008C2537" w:rsidRDefault="008C2537" w:rsidP="008C2537">
      <w:pPr>
        <w:rPr>
          <w:rFonts w:asciiTheme="majorHAnsi" w:eastAsia="Times New Roman" w:hAnsiTheme="majorHAnsi" w:cstheme="majorHAnsi"/>
          <w:b/>
          <w:sz w:val="22"/>
          <w:szCs w:val="22"/>
        </w:rPr>
      </w:pPr>
    </w:p>
    <w:p w14:paraId="1EDD923E" w14:textId="77777777" w:rsidR="008C2537" w:rsidRDefault="008C2537" w:rsidP="008C2537">
      <w:pPr>
        <w:rPr>
          <w:rFonts w:asciiTheme="majorHAnsi" w:eastAsia="Times New Roman" w:hAnsiTheme="majorHAnsi" w:cstheme="majorHAnsi"/>
          <w:b/>
          <w:sz w:val="22"/>
          <w:szCs w:val="22"/>
        </w:rPr>
      </w:pPr>
    </w:p>
    <w:p w14:paraId="45F813DE" w14:textId="77777777" w:rsidR="008C2537" w:rsidRDefault="008C2537" w:rsidP="008C2537">
      <w:pPr>
        <w:rPr>
          <w:rFonts w:asciiTheme="majorHAnsi" w:eastAsia="Times New Roman" w:hAnsiTheme="majorHAnsi" w:cstheme="majorHAnsi"/>
          <w:b/>
          <w:sz w:val="22"/>
          <w:szCs w:val="22"/>
        </w:rPr>
      </w:pPr>
    </w:p>
    <w:p w14:paraId="13F1D74E" w14:textId="77777777" w:rsidR="00A04271" w:rsidRDefault="00A04271" w:rsidP="008C2537">
      <w:pPr>
        <w:rPr>
          <w:rFonts w:asciiTheme="majorHAnsi" w:eastAsia="Times New Roman" w:hAnsiTheme="majorHAnsi" w:cstheme="majorHAnsi"/>
          <w:b/>
          <w:sz w:val="22"/>
          <w:szCs w:val="22"/>
        </w:rPr>
      </w:pPr>
    </w:p>
    <w:p w14:paraId="2EF7E781" w14:textId="77777777" w:rsidR="00A04271" w:rsidRDefault="00A04271" w:rsidP="008C2537">
      <w:pPr>
        <w:rPr>
          <w:rFonts w:asciiTheme="majorHAnsi" w:eastAsia="Times New Roman" w:hAnsiTheme="majorHAnsi" w:cstheme="majorHAnsi"/>
          <w:b/>
          <w:sz w:val="22"/>
          <w:szCs w:val="22"/>
        </w:rPr>
      </w:pPr>
    </w:p>
    <w:p w14:paraId="792CDEF8" w14:textId="77777777" w:rsidR="00A04271" w:rsidRDefault="00A04271" w:rsidP="008C2537">
      <w:pPr>
        <w:rPr>
          <w:rFonts w:asciiTheme="majorHAnsi" w:eastAsia="Times New Roman" w:hAnsiTheme="majorHAnsi" w:cstheme="majorHAnsi"/>
          <w:b/>
          <w:sz w:val="22"/>
          <w:szCs w:val="22"/>
        </w:rPr>
      </w:pPr>
    </w:p>
    <w:p w14:paraId="72439F28" w14:textId="777907CB" w:rsidR="00A04271" w:rsidRPr="00AB06D7" w:rsidRDefault="00A04271" w:rsidP="008C2537">
      <w:pPr>
        <w:rPr>
          <w:rFonts w:asciiTheme="majorHAnsi" w:eastAsia="Times New Roman" w:hAnsiTheme="majorHAnsi" w:cstheme="majorHAnsi"/>
          <w:b/>
          <w:sz w:val="22"/>
          <w:szCs w:val="22"/>
        </w:rPr>
        <w:sectPr w:rsidR="00A04271" w:rsidRPr="00AB06D7" w:rsidSect="00241D74">
          <w:pgSz w:w="16840" w:h="11900" w:orient="landscape"/>
          <w:pgMar w:top="1440" w:right="1440" w:bottom="1440" w:left="1440" w:header="708" w:footer="708" w:gutter="0"/>
          <w:cols w:space="708"/>
          <w:docGrid w:linePitch="360"/>
        </w:sectPr>
      </w:pPr>
    </w:p>
    <w:p w14:paraId="299794CD" w14:textId="7E3F5FA7" w:rsidR="00DB689F" w:rsidRDefault="00241D74" w:rsidP="0082666E">
      <w:pPr>
        <w:spacing w:line="360" w:lineRule="auto"/>
        <w:rPr>
          <w:rFonts w:asciiTheme="majorHAnsi" w:hAnsiTheme="majorHAnsi" w:cstheme="majorHAnsi"/>
          <w:b/>
        </w:rPr>
      </w:pPr>
      <w:bookmarkStart w:id="7" w:name="_Hlk82422123"/>
      <w:proofErr w:type="gramStart"/>
      <w:r w:rsidRPr="00DB689F">
        <w:rPr>
          <w:rFonts w:asciiTheme="majorHAnsi" w:hAnsiTheme="majorHAnsi" w:cstheme="majorHAnsi"/>
          <w:b/>
        </w:rPr>
        <w:lastRenderedPageBreak/>
        <w:t xml:space="preserve">Table </w:t>
      </w:r>
      <w:r w:rsidR="008D42BE" w:rsidRPr="00DB689F">
        <w:rPr>
          <w:rFonts w:asciiTheme="majorHAnsi" w:hAnsiTheme="majorHAnsi" w:cstheme="majorHAnsi"/>
          <w:b/>
        </w:rPr>
        <w:t>3</w:t>
      </w:r>
      <w:r w:rsidRPr="00DB689F">
        <w:rPr>
          <w:rFonts w:asciiTheme="majorHAnsi" w:hAnsiTheme="majorHAnsi" w:cstheme="majorHAnsi"/>
          <w:b/>
        </w:rPr>
        <w:t>.</w:t>
      </w:r>
      <w:proofErr w:type="gramEnd"/>
      <w:r w:rsidRPr="00DB689F">
        <w:rPr>
          <w:rFonts w:asciiTheme="majorHAnsi" w:hAnsiTheme="majorHAnsi" w:cstheme="majorHAnsi"/>
          <w:b/>
        </w:rPr>
        <w:t xml:space="preserve"> Yield and percentage of IGRA positive results obtained by implementing LTBI screening at different TB incidence thresholds</w:t>
      </w:r>
      <w:bookmarkEnd w:id="7"/>
    </w:p>
    <w:p w14:paraId="60459389" w14:textId="77777777" w:rsidR="0082666E" w:rsidRPr="0082666E" w:rsidRDefault="0082666E" w:rsidP="0082666E">
      <w:pPr>
        <w:spacing w:line="360" w:lineRule="auto"/>
        <w:rPr>
          <w:rFonts w:asciiTheme="majorHAnsi" w:hAnsiTheme="majorHAnsi" w:cstheme="majorHAnsi"/>
          <w:b/>
        </w:rPr>
      </w:pPr>
    </w:p>
    <w:tbl>
      <w:tblPr>
        <w:tblStyle w:val="TableGrid"/>
        <w:tblpPr w:leftFromText="180" w:rightFromText="180" w:vertAnchor="text" w:horzAnchor="page" w:tblpX="1729" w:tblpY="166"/>
        <w:tblW w:w="10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816"/>
        <w:gridCol w:w="852"/>
        <w:gridCol w:w="992"/>
        <w:gridCol w:w="1560"/>
        <w:gridCol w:w="1842"/>
      </w:tblGrid>
      <w:tr w:rsidR="00DB689F" w:rsidRPr="00AB06D7" w14:paraId="74BAABF2" w14:textId="77777777" w:rsidTr="000C0460">
        <w:tc>
          <w:tcPr>
            <w:tcW w:w="4820" w:type="dxa"/>
            <w:tcBorders>
              <w:top w:val="single" w:sz="4" w:space="0" w:color="auto"/>
              <w:bottom w:val="single" w:sz="4" w:space="0" w:color="auto"/>
            </w:tcBorders>
          </w:tcPr>
          <w:p w14:paraId="3995B41F" w14:textId="77777777" w:rsidR="00DB689F" w:rsidRPr="00AB06D7" w:rsidRDefault="00DB689F" w:rsidP="000C0460">
            <w:pPr>
              <w:spacing w:line="480" w:lineRule="auto"/>
              <w:rPr>
                <w:rFonts w:asciiTheme="majorHAnsi" w:hAnsiTheme="majorHAnsi" w:cstheme="majorHAnsi"/>
                <w:b/>
                <w:sz w:val="20"/>
                <w:szCs w:val="20"/>
              </w:rPr>
            </w:pPr>
            <w:r>
              <w:rPr>
                <w:rFonts w:asciiTheme="majorHAnsi" w:hAnsiTheme="majorHAnsi" w:cstheme="majorHAnsi"/>
                <w:b/>
                <w:sz w:val="20"/>
                <w:szCs w:val="20"/>
              </w:rPr>
              <w:t>Threshold: TB i</w:t>
            </w:r>
            <w:r w:rsidRPr="00AB06D7">
              <w:rPr>
                <w:rFonts w:asciiTheme="majorHAnsi" w:hAnsiTheme="majorHAnsi" w:cstheme="majorHAnsi"/>
                <w:b/>
                <w:sz w:val="20"/>
                <w:szCs w:val="20"/>
              </w:rPr>
              <w:t>ncidence in country</w:t>
            </w:r>
            <w:r>
              <w:rPr>
                <w:rFonts w:asciiTheme="majorHAnsi" w:hAnsiTheme="majorHAnsi" w:cstheme="majorHAnsi"/>
                <w:b/>
                <w:sz w:val="20"/>
                <w:szCs w:val="20"/>
              </w:rPr>
              <w:t>-</w:t>
            </w:r>
            <w:r w:rsidRPr="00AB06D7">
              <w:rPr>
                <w:rFonts w:asciiTheme="majorHAnsi" w:hAnsiTheme="majorHAnsi" w:cstheme="majorHAnsi"/>
                <w:b/>
                <w:sz w:val="20"/>
                <w:szCs w:val="20"/>
              </w:rPr>
              <w:t>of</w:t>
            </w:r>
            <w:r>
              <w:rPr>
                <w:rFonts w:asciiTheme="majorHAnsi" w:hAnsiTheme="majorHAnsi" w:cstheme="majorHAnsi"/>
                <w:b/>
                <w:sz w:val="20"/>
                <w:szCs w:val="20"/>
              </w:rPr>
              <w:t>-</w:t>
            </w:r>
            <w:r w:rsidRPr="00AB06D7">
              <w:rPr>
                <w:rFonts w:asciiTheme="majorHAnsi" w:hAnsiTheme="majorHAnsi" w:cstheme="majorHAnsi"/>
                <w:b/>
                <w:sz w:val="20"/>
                <w:szCs w:val="20"/>
              </w:rPr>
              <w:t>birth</w:t>
            </w:r>
          </w:p>
        </w:tc>
        <w:tc>
          <w:tcPr>
            <w:tcW w:w="1668" w:type="dxa"/>
            <w:gridSpan w:val="2"/>
            <w:tcBorders>
              <w:top w:val="single" w:sz="4" w:space="0" w:color="auto"/>
              <w:bottom w:val="single" w:sz="4" w:space="0" w:color="auto"/>
            </w:tcBorders>
          </w:tcPr>
          <w:p w14:paraId="3F2BEDD1" w14:textId="77777777" w:rsidR="00DB689F" w:rsidRPr="00AB06D7" w:rsidRDefault="00DB689F" w:rsidP="000C0460">
            <w:pPr>
              <w:spacing w:line="480" w:lineRule="auto"/>
              <w:rPr>
                <w:rFonts w:asciiTheme="majorHAnsi" w:hAnsiTheme="majorHAnsi" w:cstheme="majorHAnsi"/>
                <w:b/>
                <w:sz w:val="20"/>
                <w:szCs w:val="20"/>
                <w:vertAlign w:val="superscript"/>
              </w:rPr>
            </w:pPr>
            <w:r w:rsidRPr="00AB06D7">
              <w:rPr>
                <w:rFonts w:asciiTheme="majorHAnsi" w:hAnsiTheme="majorHAnsi" w:cstheme="majorHAnsi"/>
                <w:b/>
                <w:sz w:val="20"/>
                <w:szCs w:val="20"/>
              </w:rPr>
              <w:t>Number screene</w:t>
            </w:r>
            <w:r>
              <w:rPr>
                <w:rFonts w:asciiTheme="majorHAnsi" w:hAnsiTheme="majorHAnsi" w:cstheme="majorHAnsi"/>
                <w:b/>
                <w:sz w:val="20"/>
                <w:szCs w:val="20"/>
              </w:rPr>
              <w:t>d (%)</w:t>
            </w:r>
          </w:p>
          <w:p w14:paraId="134F3BA0" w14:textId="77777777" w:rsidR="00DB689F" w:rsidRPr="00AB06D7" w:rsidRDefault="00DB689F" w:rsidP="000C0460">
            <w:pPr>
              <w:spacing w:line="480" w:lineRule="auto"/>
              <w:rPr>
                <w:rFonts w:asciiTheme="majorHAnsi" w:hAnsiTheme="majorHAnsi" w:cstheme="majorHAnsi"/>
                <w:b/>
                <w:sz w:val="20"/>
                <w:szCs w:val="20"/>
              </w:rPr>
            </w:pPr>
          </w:p>
          <w:p w14:paraId="61AF34A7" w14:textId="77777777" w:rsidR="00DB689F" w:rsidRPr="00AB06D7" w:rsidRDefault="00DB689F" w:rsidP="000C0460">
            <w:pPr>
              <w:spacing w:line="480" w:lineRule="auto"/>
              <w:rPr>
                <w:rFonts w:asciiTheme="majorHAnsi" w:hAnsiTheme="majorHAnsi" w:cstheme="majorHAnsi"/>
                <w:b/>
                <w:sz w:val="20"/>
                <w:szCs w:val="20"/>
              </w:rPr>
            </w:pPr>
          </w:p>
        </w:tc>
        <w:tc>
          <w:tcPr>
            <w:tcW w:w="992" w:type="dxa"/>
            <w:tcBorders>
              <w:top w:val="single" w:sz="4" w:space="0" w:color="auto"/>
              <w:bottom w:val="single" w:sz="4" w:space="0" w:color="auto"/>
            </w:tcBorders>
          </w:tcPr>
          <w:p w14:paraId="1983C81B" w14:textId="77777777" w:rsidR="00DB689F" w:rsidRPr="0093054B" w:rsidRDefault="00DB689F" w:rsidP="000C0460">
            <w:pPr>
              <w:spacing w:line="480" w:lineRule="auto"/>
              <w:rPr>
                <w:rFonts w:asciiTheme="majorHAnsi" w:hAnsiTheme="majorHAnsi" w:cstheme="majorHAnsi"/>
                <w:b/>
                <w:sz w:val="20"/>
                <w:szCs w:val="20"/>
              </w:rPr>
            </w:pPr>
            <w:r w:rsidRPr="00AB06D7">
              <w:rPr>
                <w:rFonts w:asciiTheme="majorHAnsi" w:hAnsiTheme="majorHAnsi" w:cstheme="majorHAnsi"/>
                <w:b/>
                <w:sz w:val="20"/>
                <w:szCs w:val="20"/>
              </w:rPr>
              <w:t>Number IGRA</w:t>
            </w:r>
            <w:r>
              <w:rPr>
                <w:rFonts w:asciiTheme="majorHAnsi" w:hAnsiTheme="majorHAnsi" w:cstheme="majorHAnsi"/>
                <w:b/>
                <w:sz w:val="20"/>
                <w:szCs w:val="20"/>
              </w:rPr>
              <w:t xml:space="preserve"> positive</w:t>
            </w:r>
          </w:p>
        </w:tc>
        <w:tc>
          <w:tcPr>
            <w:tcW w:w="1560" w:type="dxa"/>
            <w:tcBorders>
              <w:top w:val="single" w:sz="4" w:space="0" w:color="auto"/>
              <w:bottom w:val="single" w:sz="4" w:space="0" w:color="auto"/>
            </w:tcBorders>
          </w:tcPr>
          <w:p w14:paraId="6FA07AB0" w14:textId="77777777" w:rsidR="00DB689F" w:rsidRPr="00AB06D7" w:rsidRDefault="00DB689F" w:rsidP="000C0460">
            <w:pPr>
              <w:spacing w:line="480" w:lineRule="auto"/>
              <w:rPr>
                <w:rFonts w:asciiTheme="majorHAnsi" w:hAnsiTheme="majorHAnsi" w:cstheme="majorHAnsi"/>
                <w:b/>
                <w:sz w:val="20"/>
                <w:szCs w:val="20"/>
              </w:rPr>
            </w:pPr>
            <w:r w:rsidRPr="00AB06D7">
              <w:rPr>
                <w:rFonts w:asciiTheme="majorHAnsi" w:hAnsiTheme="majorHAnsi" w:cstheme="majorHAnsi"/>
                <w:b/>
                <w:sz w:val="20"/>
                <w:szCs w:val="20"/>
              </w:rPr>
              <w:t>Yield</w:t>
            </w:r>
            <w:r>
              <w:rPr>
                <w:rFonts w:asciiTheme="majorHAnsi" w:hAnsiTheme="majorHAnsi" w:cstheme="majorHAnsi"/>
                <w:b/>
                <w:sz w:val="20"/>
                <w:szCs w:val="20"/>
              </w:rPr>
              <w:t xml:space="preserve"> </w:t>
            </w:r>
            <w:r w:rsidRPr="00AB06D7">
              <w:rPr>
                <w:rFonts w:asciiTheme="majorHAnsi" w:hAnsiTheme="majorHAnsi" w:cstheme="majorHAnsi"/>
                <w:b/>
                <w:sz w:val="20"/>
                <w:szCs w:val="20"/>
              </w:rPr>
              <w:t>(</w:t>
            </w:r>
            <w:r>
              <w:rPr>
                <w:rFonts w:asciiTheme="majorHAnsi" w:hAnsiTheme="majorHAnsi" w:cstheme="majorHAnsi"/>
                <w:b/>
                <w:sz w:val="20"/>
                <w:szCs w:val="20"/>
              </w:rPr>
              <w:t>% IGRA positive</w:t>
            </w:r>
            <w:r w:rsidRPr="00AB06D7">
              <w:rPr>
                <w:rFonts w:asciiTheme="majorHAnsi" w:hAnsiTheme="majorHAnsi" w:cstheme="majorHAnsi"/>
                <w:b/>
                <w:sz w:val="20"/>
                <w:szCs w:val="20"/>
              </w:rPr>
              <w:t xml:space="preserve"> of those tested)</w:t>
            </w:r>
          </w:p>
        </w:tc>
        <w:tc>
          <w:tcPr>
            <w:tcW w:w="1842" w:type="dxa"/>
            <w:tcBorders>
              <w:top w:val="single" w:sz="4" w:space="0" w:color="auto"/>
              <w:bottom w:val="single" w:sz="4" w:space="0" w:color="auto"/>
            </w:tcBorders>
          </w:tcPr>
          <w:p w14:paraId="7A8FABB1" w14:textId="77777777" w:rsidR="00DB689F" w:rsidRPr="00AB06D7" w:rsidRDefault="00DB689F" w:rsidP="000C0460">
            <w:pPr>
              <w:spacing w:line="480" w:lineRule="auto"/>
              <w:rPr>
                <w:rFonts w:asciiTheme="majorHAnsi" w:hAnsiTheme="majorHAnsi" w:cstheme="majorHAnsi"/>
                <w:b/>
                <w:sz w:val="20"/>
                <w:szCs w:val="20"/>
              </w:rPr>
            </w:pPr>
            <w:r w:rsidRPr="00AB06D7">
              <w:rPr>
                <w:rFonts w:asciiTheme="majorHAnsi" w:hAnsiTheme="majorHAnsi" w:cstheme="majorHAnsi"/>
                <w:b/>
                <w:sz w:val="20"/>
                <w:szCs w:val="20"/>
              </w:rPr>
              <w:t xml:space="preserve">% </w:t>
            </w:r>
            <w:r>
              <w:rPr>
                <w:rFonts w:asciiTheme="majorHAnsi" w:hAnsiTheme="majorHAnsi" w:cstheme="majorHAnsi"/>
                <w:b/>
                <w:sz w:val="20"/>
                <w:szCs w:val="20"/>
              </w:rPr>
              <w:t xml:space="preserve">of all </w:t>
            </w:r>
            <w:r w:rsidRPr="00AB06D7">
              <w:rPr>
                <w:rFonts w:asciiTheme="majorHAnsi" w:hAnsiTheme="majorHAnsi" w:cstheme="majorHAnsi"/>
                <w:b/>
                <w:sz w:val="20"/>
                <w:szCs w:val="20"/>
              </w:rPr>
              <w:t>IGRA positives</w:t>
            </w:r>
            <w:r>
              <w:rPr>
                <w:rFonts w:asciiTheme="majorHAnsi" w:hAnsiTheme="majorHAnsi" w:cstheme="majorHAnsi"/>
                <w:b/>
                <w:sz w:val="20"/>
                <w:szCs w:val="20"/>
              </w:rPr>
              <w:t xml:space="preserve"> correctly</w:t>
            </w:r>
            <w:r w:rsidRPr="00AB06D7">
              <w:rPr>
                <w:rFonts w:asciiTheme="majorHAnsi" w:hAnsiTheme="majorHAnsi" w:cstheme="majorHAnsi"/>
                <w:b/>
                <w:sz w:val="20"/>
                <w:szCs w:val="20"/>
              </w:rPr>
              <w:t xml:space="preserve"> identified </w:t>
            </w:r>
          </w:p>
        </w:tc>
      </w:tr>
      <w:tr w:rsidR="00DB689F" w:rsidRPr="00AB06D7" w14:paraId="58D81453" w14:textId="77777777" w:rsidTr="000C0460">
        <w:tc>
          <w:tcPr>
            <w:tcW w:w="4820" w:type="dxa"/>
            <w:tcBorders>
              <w:top w:val="single" w:sz="4" w:space="0" w:color="auto"/>
              <w:bottom w:val="single" w:sz="4" w:space="0" w:color="auto"/>
            </w:tcBorders>
          </w:tcPr>
          <w:p w14:paraId="38634C7D" w14:textId="77777777" w:rsidR="00DB689F" w:rsidRPr="00AB06D7" w:rsidRDefault="00DB689F" w:rsidP="000C0460">
            <w:pPr>
              <w:spacing w:line="480" w:lineRule="auto"/>
              <w:rPr>
                <w:rFonts w:asciiTheme="majorHAnsi" w:hAnsiTheme="majorHAnsi" w:cstheme="majorHAnsi"/>
                <w:sz w:val="20"/>
                <w:szCs w:val="20"/>
              </w:rPr>
            </w:pPr>
            <w:r w:rsidRPr="00AB06D7">
              <w:rPr>
                <w:rFonts w:asciiTheme="majorHAnsi" w:hAnsiTheme="majorHAnsi" w:cstheme="majorHAnsi"/>
                <w:sz w:val="20"/>
                <w:szCs w:val="20"/>
              </w:rPr>
              <w:t>&gt;350/100,000</w:t>
            </w:r>
          </w:p>
        </w:tc>
        <w:tc>
          <w:tcPr>
            <w:tcW w:w="816" w:type="dxa"/>
            <w:tcBorders>
              <w:top w:val="single" w:sz="4" w:space="0" w:color="auto"/>
              <w:bottom w:val="single" w:sz="4" w:space="0" w:color="auto"/>
            </w:tcBorders>
          </w:tcPr>
          <w:p w14:paraId="547A2EB3" w14:textId="77777777" w:rsidR="00DB689F" w:rsidRPr="00AB06D7" w:rsidRDefault="00DB689F" w:rsidP="000C0460">
            <w:pPr>
              <w:spacing w:line="480" w:lineRule="auto"/>
              <w:jc w:val="right"/>
              <w:rPr>
                <w:rFonts w:asciiTheme="majorHAnsi" w:hAnsiTheme="majorHAnsi" w:cstheme="majorHAnsi"/>
                <w:sz w:val="20"/>
                <w:szCs w:val="20"/>
              </w:rPr>
            </w:pPr>
            <w:r>
              <w:rPr>
                <w:rFonts w:asciiTheme="majorHAnsi" w:hAnsiTheme="majorHAnsi" w:cstheme="majorHAnsi"/>
                <w:sz w:val="20"/>
                <w:szCs w:val="20"/>
              </w:rPr>
              <w:t>66</w:t>
            </w:r>
          </w:p>
        </w:tc>
        <w:tc>
          <w:tcPr>
            <w:tcW w:w="852" w:type="dxa"/>
            <w:tcBorders>
              <w:top w:val="single" w:sz="4" w:space="0" w:color="auto"/>
              <w:bottom w:val="single" w:sz="4" w:space="0" w:color="auto"/>
            </w:tcBorders>
          </w:tcPr>
          <w:p w14:paraId="6E5E7A51" w14:textId="77777777" w:rsidR="00DB689F" w:rsidRPr="00EE279A" w:rsidRDefault="00DB689F" w:rsidP="000C0460">
            <w:pPr>
              <w:spacing w:line="480" w:lineRule="auto"/>
              <w:rPr>
                <w:rFonts w:asciiTheme="majorHAnsi" w:hAnsiTheme="majorHAnsi" w:cstheme="majorHAnsi"/>
                <w:sz w:val="20"/>
                <w:szCs w:val="20"/>
                <w:highlight w:val="yellow"/>
              </w:rPr>
            </w:pPr>
            <w:r w:rsidRPr="00181B91">
              <w:rPr>
                <w:rFonts w:asciiTheme="majorHAnsi" w:hAnsiTheme="majorHAnsi" w:cstheme="majorHAnsi"/>
                <w:sz w:val="20"/>
                <w:szCs w:val="20"/>
              </w:rPr>
              <w:t>(6·</w:t>
            </w:r>
            <w:r>
              <w:rPr>
                <w:rFonts w:asciiTheme="majorHAnsi" w:hAnsiTheme="majorHAnsi" w:cstheme="majorHAnsi"/>
                <w:sz w:val="20"/>
                <w:szCs w:val="20"/>
              </w:rPr>
              <w:t>3</w:t>
            </w:r>
            <w:r w:rsidRPr="00181B91">
              <w:rPr>
                <w:rFonts w:asciiTheme="majorHAnsi" w:hAnsiTheme="majorHAnsi" w:cstheme="majorHAnsi"/>
                <w:sz w:val="20"/>
                <w:szCs w:val="20"/>
              </w:rPr>
              <w:t>)</w:t>
            </w:r>
          </w:p>
        </w:tc>
        <w:tc>
          <w:tcPr>
            <w:tcW w:w="992" w:type="dxa"/>
            <w:tcBorders>
              <w:top w:val="single" w:sz="4" w:space="0" w:color="auto"/>
              <w:bottom w:val="single" w:sz="4" w:space="0" w:color="auto"/>
            </w:tcBorders>
          </w:tcPr>
          <w:p w14:paraId="398767D8" w14:textId="77777777" w:rsidR="00DB689F" w:rsidRPr="00181B91"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9</w:t>
            </w:r>
          </w:p>
        </w:tc>
        <w:tc>
          <w:tcPr>
            <w:tcW w:w="1560" w:type="dxa"/>
            <w:tcBorders>
              <w:top w:val="single" w:sz="4" w:space="0" w:color="auto"/>
              <w:bottom w:val="single" w:sz="4" w:space="0" w:color="auto"/>
            </w:tcBorders>
          </w:tcPr>
          <w:p w14:paraId="1AA78B09" w14:textId="77777777" w:rsidR="00DB689F" w:rsidRPr="00181B91" w:rsidRDefault="00DB689F" w:rsidP="000C0460">
            <w:pPr>
              <w:spacing w:line="480" w:lineRule="auto"/>
              <w:rPr>
                <w:rFonts w:asciiTheme="majorHAnsi" w:hAnsiTheme="majorHAnsi" w:cstheme="majorHAnsi"/>
                <w:sz w:val="20"/>
                <w:szCs w:val="20"/>
              </w:rPr>
            </w:pPr>
            <w:r w:rsidRPr="00181B91">
              <w:rPr>
                <w:rFonts w:asciiTheme="majorHAnsi" w:hAnsiTheme="majorHAnsi" w:cstheme="majorHAnsi"/>
                <w:sz w:val="20"/>
                <w:szCs w:val="20"/>
              </w:rPr>
              <w:t>13·</w:t>
            </w:r>
            <w:r>
              <w:rPr>
                <w:rFonts w:asciiTheme="majorHAnsi" w:hAnsiTheme="majorHAnsi" w:cstheme="majorHAnsi"/>
                <w:sz w:val="20"/>
                <w:szCs w:val="20"/>
              </w:rPr>
              <w:t>6</w:t>
            </w:r>
            <w:r w:rsidRPr="00181B91">
              <w:rPr>
                <w:rFonts w:asciiTheme="majorHAnsi" w:hAnsiTheme="majorHAnsi" w:cstheme="majorHAnsi"/>
                <w:sz w:val="20"/>
                <w:szCs w:val="20"/>
              </w:rPr>
              <w:t>%</w:t>
            </w:r>
          </w:p>
        </w:tc>
        <w:tc>
          <w:tcPr>
            <w:tcW w:w="1842" w:type="dxa"/>
            <w:tcBorders>
              <w:top w:val="single" w:sz="4" w:space="0" w:color="auto"/>
              <w:bottom w:val="single" w:sz="4" w:space="0" w:color="auto"/>
            </w:tcBorders>
          </w:tcPr>
          <w:p w14:paraId="288D8946" w14:textId="77777777" w:rsidR="00DB689F" w:rsidRPr="00EE279A" w:rsidRDefault="00DB689F" w:rsidP="000C0460">
            <w:pPr>
              <w:spacing w:line="480" w:lineRule="auto"/>
              <w:rPr>
                <w:rFonts w:asciiTheme="majorHAnsi" w:hAnsiTheme="majorHAnsi" w:cstheme="majorHAnsi"/>
                <w:sz w:val="20"/>
                <w:szCs w:val="20"/>
                <w:highlight w:val="yellow"/>
              </w:rPr>
            </w:pPr>
            <w:r w:rsidRPr="00181B91">
              <w:rPr>
                <w:rFonts w:asciiTheme="majorHAnsi" w:hAnsiTheme="majorHAnsi" w:cstheme="majorHAnsi"/>
                <w:sz w:val="20"/>
                <w:szCs w:val="20"/>
              </w:rPr>
              <w:t>7·</w:t>
            </w:r>
            <w:r>
              <w:rPr>
                <w:rFonts w:asciiTheme="majorHAnsi" w:hAnsiTheme="majorHAnsi" w:cstheme="majorHAnsi"/>
                <w:sz w:val="20"/>
                <w:szCs w:val="20"/>
              </w:rPr>
              <w:t>6</w:t>
            </w:r>
            <w:r w:rsidRPr="00181B91">
              <w:rPr>
                <w:rFonts w:asciiTheme="majorHAnsi" w:hAnsiTheme="majorHAnsi" w:cstheme="majorHAnsi"/>
                <w:sz w:val="20"/>
                <w:szCs w:val="20"/>
              </w:rPr>
              <w:t>%</w:t>
            </w:r>
          </w:p>
        </w:tc>
      </w:tr>
      <w:tr w:rsidR="00DB689F" w:rsidRPr="00AB06D7" w14:paraId="79536349" w14:textId="77777777" w:rsidTr="000C0460">
        <w:tc>
          <w:tcPr>
            <w:tcW w:w="4820" w:type="dxa"/>
            <w:tcBorders>
              <w:top w:val="single" w:sz="4" w:space="0" w:color="auto"/>
              <w:bottom w:val="single" w:sz="4" w:space="0" w:color="auto"/>
            </w:tcBorders>
          </w:tcPr>
          <w:p w14:paraId="7490A272" w14:textId="77777777" w:rsidR="00DB689F" w:rsidRPr="00AB06D7" w:rsidRDefault="00DB689F" w:rsidP="000C0460">
            <w:pPr>
              <w:spacing w:line="480" w:lineRule="auto"/>
              <w:rPr>
                <w:rFonts w:asciiTheme="majorHAnsi" w:hAnsiTheme="majorHAnsi" w:cstheme="majorHAnsi"/>
                <w:sz w:val="20"/>
                <w:szCs w:val="20"/>
              </w:rPr>
            </w:pPr>
            <w:r w:rsidRPr="00AB06D7">
              <w:rPr>
                <w:rFonts w:asciiTheme="majorHAnsi" w:hAnsiTheme="majorHAnsi" w:cstheme="majorHAnsi"/>
                <w:sz w:val="20"/>
                <w:szCs w:val="20"/>
              </w:rPr>
              <w:t>&gt;250/100,000</w:t>
            </w:r>
          </w:p>
        </w:tc>
        <w:tc>
          <w:tcPr>
            <w:tcW w:w="816" w:type="dxa"/>
            <w:tcBorders>
              <w:top w:val="single" w:sz="4" w:space="0" w:color="auto"/>
              <w:bottom w:val="single" w:sz="4" w:space="0" w:color="auto"/>
            </w:tcBorders>
          </w:tcPr>
          <w:p w14:paraId="6BB4D7A3" w14:textId="77777777" w:rsidR="00DB689F" w:rsidRPr="00AB06D7" w:rsidRDefault="00DB689F" w:rsidP="000C0460">
            <w:pPr>
              <w:spacing w:line="480" w:lineRule="auto"/>
              <w:jc w:val="right"/>
              <w:rPr>
                <w:rFonts w:asciiTheme="majorHAnsi" w:hAnsiTheme="majorHAnsi" w:cstheme="majorHAnsi"/>
                <w:sz w:val="20"/>
                <w:szCs w:val="20"/>
              </w:rPr>
            </w:pPr>
            <w:r>
              <w:rPr>
                <w:rFonts w:asciiTheme="majorHAnsi" w:hAnsiTheme="majorHAnsi" w:cstheme="majorHAnsi"/>
                <w:sz w:val="20"/>
                <w:szCs w:val="20"/>
              </w:rPr>
              <w:t>129</w:t>
            </w:r>
          </w:p>
        </w:tc>
        <w:tc>
          <w:tcPr>
            <w:tcW w:w="852" w:type="dxa"/>
            <w:tcBorders>
              <w:top w:val="single" w:sz="4" w:space="0" w:color="auto"/>
              <w:bottom w:val="single" w:sz="4" w:space="0" w:color="auto"/>
            </w:tcBorders>
          </w:tcPr>
          <w:p w14:paraId="13C17B88" w14:textId="77777777" w:rsidR="00DB689F" w:rsidRPr="00EE279A" w:rsidRDefault="00DB689F" w:rsidP="000C0460">
            <w:pPr>
              <w:spacing w:line="480" w:lineRule="auto"/>
              <w:rPr>
                <w:rFonts w:asciiTheme="majorHAnsi" w:hAnsiTheme="majorHAnsi" w:cstheme="majorHAnsi"/>
                <w:sz w:val="20"/>
                <w:szCs w:val="20"/>
                <w:highlight w:val="yellow"/>
              </w:rPr>
            </w:pPr>
            <w:r w:rsidRPr="009364EA">
              <w:rPr>
                <w:rFonts w:asciiTheme="majorHAnsi" w:hAnsiTheme="majorHAnsi" w:cstheme="majorHAnsi"/>
                <w:sz w:val="20"/>
                <w:szCs w:val="20"/>
              </w:rPr>
              <w:t>(12·3)</w:t>
            </w:r>
          </w:p>
        </w:tc>
        <w:tc>
          <w:tcPr>
            <w:tcW w:w="992" w:type="dxa"/>
            <w:tcBorders>
              <w:top w:val="single" w:sz="4" w:space="0" w:color="auto"/>
              <w:bottom w:val="single" w:sz="4" w:space="0" w:color="auto"/>
            </w:tcBorders>
          </w:tcPr>
          <w:p w14:paraId="00ACD8DE" w14:textId="77777777" w:rsidR="00DB689F" w:rsidRPr="00EE279A" w:rsidRDefault="00DB689F" w:rsidP="000C0460">
            <w:pPr>
              <w:spacing w:line="480" w:lineRule="auto"/>
              <w:rPr>
                <w:rFonts w:asciiTheme="majorHAnsi" w:hAnsiTheme="majorHAnsi" w:cstheme="majorHAnsi"/>
                <w:sz w:val="20"/>
                <w:szCs w:val="20"/>
                <w:highlight w:val="yellow"/>
              </w:rPr>
            </w:pPr>
            <w:r>
              <w:rPr>
                <w:rFonts w:asciiTheme="majorHAnsi" w:hAnsiTheme="majorHAnsi" w:cstheme="majorHAnsi"/>
                <w:sz w:val="20"/>
                <w:szCs w:val="20"/>
              </w:rPr>
              <w:t>20</w:t>
            </w:r>
          </w:p>
        </w:tc>
        <w:tc>
          <w:tcPr>
            <w:tcW w:w="1560" w:type="dxa"/>
            <w:tcBorders>
              <w:top w:val="single" w:sz="4" w:space="0" w:color="auto"/>
              <w:bottom w:val="single" w:sz="4" w:space="0" w:color="auto"/>
            </w:tcBorders>
          </w:tcPr>
          <w:p w14:paraId="02086291" w14:textId="77777777" w:rsidR="00DB689F" w:rsidRPr="00EE279A" w:rsidRDefault="00DB689F" w:rsidP="000C0460">
            <w:pPr>
              <w:spacing w:line="480" w:lineRule="auto"/>
              <w:rPr>
                <w:rFonts w:asciiTheme="majorHAnsi" w:hAnsiTheme="majorHAnsi" w:cstheme="majorHAnsi"/>
                <w:sz w:val="20"/>
                <w:szCs w:val="20"/>
                <w:highlight w:val="yellow"/>
              </w:rPr>
            </w:pPr>
            <w:r>
              <w:rPr>
                <w:rFonts w:asciiTheme="majorHAnsi" w:hAnsiTheme="majorHAnsi" w:cstheme="majorHAnsi"/>
                <w:sz w:val="20"/>
                <w:szCs w:val="20"/>
              </w:rPr>
              <w:t>15.5</w:t>
            </w:r>
            <w:r w:rsidRPr="009364EA">
              <w:rPr>
                <w:rFonts w:asciiTheme="majorHAnsi" w:hAnsiTheme="majorHAnsi" w:cstheme="majorHAnsi"/>
                <w:sz w:val="20"/>
                <w:szCs w:val="20"/>
              </w:rPr>
              <w:t>%</w:t>
            </w:r>
          </w:p>
        </w:tc>
        <w:tc>
          <w:tcPr>
            <w:tcW w:w="1842" w:type="dxa"/>
            <w:tcBorders>
              <w:top w:val="single" w:sz="4" w:space="0" w:color="auto"/>
              <w:bottom w:val="single" w:sz="4" w:space="0" w:color="auto"/>
            </w:tcBorders>
          </w:tcPr>
          <w:p w14:paraId="16BA04B5" w14:textId="77777777" w:rsidR="00DB689F" w:rsidRPr="00EE279A" w:rsidRDefault="00DB689F" w:rsidP="000C0460">
            <w:pPr>
              <w:spacing w:line="480" w:lineRule="auto"/>
              <w:rPr>
                <w:rFonts w:asciiTheme="majorHAnsi" w:hAnsiTheme="majorHAnsi" w:cstheme="majorHAnsi"/>
                <w:sz w:val="20"/>
                <w:szCs w:val="20"/>
                <w:highlight w:val="yellow"/>
              </w:rPr>
            </w:pPr>
            <w:r>
              <w:rPr>
                <w:rFonts w:asciiTheme="majorHAnsi" w:hAnsiTheme="majorHAnsi" w:cstheme="majorHAnsi"/>
                <w:sz w:val="20"/>
                <w:szCs w:val="20"/>
              </w:rPr>
              <w:t>16.9</w:t>
            </w:r>
            <w:r w:rsidRPr="009364EA">
              <w:rPr>
                <w:rFonts w:asciiTheme="majorHAnsi" w:hAnsiTheme="majorHAnsi" w:cstheme="majorHAnsi"/>
                <w:sz w:val="20"/>
                <w:szCs w:val="20"/>
              </w:rPr>
              <w:t>%</w:t>
            </w:r>
          </w:p>
        </w:tc>
      </w:tr>
      <w:tr w:rsidR="00DB689F" w:rsidRPr="00AB06D7" w14:paraId="29FF640F" w14:textId="77777777" w:rsidTr="000C0460">
        <w:tc>
          <w:tcPr>
            <w:tcW w:w="4820" w:type="dxa"/>
            <w:tcBorders>
              <w:top w:val="single" w:sz="4" w:space="0" w:color="auto"/>
              <w:bottom w:val="single" w:sz="4" w:space="0" w:color="auto"/>
            </w:tcBorders>
          </w:tcPr>
          <w:p w14:paraId="0F14DCAC" w14:textId="77777777" w:rsidR="00DB689F" w:rsidRPr="00AB06D7" w:rsidRDefault="00DB689F" w:rsidP="000C0460">
            <w:pPr>
              <w:spacing w:line="480" w:lineRule="auto"/>
              <w:rPr>
                <w:rFonts w:asciiTheme="majorHAnsi" w:hAnsiTheme="majorHAnsi" w:cstheme="majorHAnsi"/>
                <w:sz w:val="20"/>
                <w:szCs w:val="20"/>
              </w:rPr>
            </w:pPr>
            <w:r w:rsidRPr="00AB06D7">
              <w:rPr>
                <w:rFonts w:asciiTheme="majorHAnsi" w:hAnsiTheme="majorHAnsi" w:cstheme="majorHAnsi"/>
                <w:sz w:val="20"/>
                <w:szCs w:val="20"/>
              </w:rPr>
              <w:t>&gt;150/100,000</w:t>
            </w:r>
          </w:p>
        </w:tc>
        <w:tc>
          <w:tcPr>
            <w:tcW w:w="816" w:type="dxa"/>
            <w:tcBorders>
              <w:top w:val="single" w:sz="4" w:space="0" w:color="auto"/>
              <w:bottom w:val="single" w:sz="4" w:space="0" w:color="auto"/>
            </w:tcBorders>
          </w:tcPr>
          <w:p w14:paraId="2E6278FE" w14:textId="77777777" w:rsidR="00DB689F" w:rsidRPr="00AB06D7" w:rsidRDefault="00DB689F" w:rsidP="000C0460">
            <w:pPr>
              <w:spacing w:line="480" w:lineRule="auto"/>
              <w:jc w:val="right"/>
              <w:rPr>
                <w:rFonts w:asciiTheme="majorHAnsi" w:hAnsiTheme="majorHAnsi" w:cstheme="majorHAnsi"/>
                <w:sz w:val="20"/>
                <w:szCs w:val="20"/>
              </w:rPr>
            </w:pPr>
            <w:r>
              <w:rPr>
                <w:rFonts w:asciiTheme="majorHAnsi" w:hAnsiTheme="majorHAnsi" w:cstheme="majorHAnsi"/>
                <w:sz w:val="20"/>
                <w:szCs w:val="20"/>
              </w:rPr>
              <w:t>556</w:t>
            </w:r>
          </w:p>
        </w:tc>
        <w:tc>
          <w:tcPr>
            <w:tcW w:w="852" w:type="dxa"/>
            <w:tcBorders>
              <w:top w:val="single" w:sz="4" w:space="0" w:color="auto"/>
              <w:bottom w:val="single" w:sz="4" w:space="0" w:color="auto"/>
            </w:tcBorders>
          </w:tcPr>
          <w:p w14:paraId="12C87F31" w14:textId="77777777" w:rsidR="00DB689F" w:rsidRPr="00EE279A" w:rsidRDefault="00DB689F" w:rsidP="000C0460">
            <w:pPr>
              <w:spacing w:line="480" w:lineRule="auto"/>
              <w:rPr>
                <w:rFonts w:asciiTheme="majorHAnsi" w:hAnsiTheme="majorHAnsi" w:cstheme="majorHAnsi"/>
                <w:sz w:val="20"/>
                <w:szCs w:val="20"/>
                <w:highlight w:val="yellow"/>
              </w:rPr>
            </w:pPr>
            <w:r w:rsidRPr="009364EA">
              <w:rPr>
                <w:rFonts w:asciiTheme="majorHAnsi" w:hAnsiTheme="majorHAnsi" w:cstheme="majorHAnsi"/>
                <w:sz w:val="20"/>
                <w:szCs w:val="20"/>
              </w:rPr>
              <w:t>(</w:t>
            </w:r>
            <w:r>
              <w:rPr>
                <w:rFonts w:asciiTheme="majorHAnsi" w:hAnsiTheme="majorHAnsi" w:cstheme="majorHAnsi"/>
                <w:sz w:val="20"/>
                <w:szCs w:val="20"/>
              </w:rPr>
              <w:t>52</w:t>
            </w:r>
            <w:r w:rsidRPr="009364EA">
              <w:rPr>
                <w:rFonts w:asciiTheme="majorHAnsi" w:hAnsiTheme="majorHAnsi" w:cstheme="majorHAnsi"/>
                <w:sz w:val="20"/>
                <w:szCs w:val="20"/>
              </w:rPr>
              <w:t>·</w:t>
            </w:r>
            <w:r>
              <w:rPr>
                <w:rFonts w:asciiTheme="majorHAnsi" w:hAnsiTheme="majorHAnsi" w:cstheme="majorHAnsi"/>
                <w:sz w:val="20"/>
                <w:szCs w:val="20"/>
              </w:rPr>
              <w:t>8</w:t>
            </w:r>
            <w:r w:rsidRPr="009364EA">
              <w:rPr>
                <w:rFonts w:asciiTheme="majorHAnsi" w:hAnsiTheme="majorHAnsi" w:cstheme="majorHAnsi"/>
                <w:sz w:val="20"/>
                <w:szCs w:val="20"/>
              </w:rPr>
              <w:t>)</w:t>
            </w:r>
          </w:p>
        </w:tc>
        <w:tc>
          <w:tcPr>
            <w:tcW w:w="992" w:type="dxa"/>
            <w:tcBorders>
              <w:top w:val="single" w:sz="4" w:space="0" w:color="auto"/>
              <w:bottom w:val="single" w:sz="4" w:space="0" w:color="auto"/>
            </w:tcBorders>
          </w:tcPr>
          <w:p w14:paraId="30C44941" w14:textId="77777777" w:rsidR="00DB689F" w:rsidRPr="009364EA"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94</w:t>
            </w:r>
          </w:p>
        </w:tc>
        <w:tc>
          <w:tcPr>
            <w:tcW w:w="1560" w:type="dxa"/>
            <w:tcBorders>
              <w:top w:val="single" w:sz="4" w:space="0" w:color="auto"/>
              <w:bottom w:val="single" w:sz="4" w:space="0" w:color="auto"/>
            </w:tcBorders>
          </w:tcPr>
          <w:p w14:paraId="753AFCE8" w14:textId="77777777" w:rsidR="00DB689F" w:rsidRPr="009364EA"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16</w:t>
            </w:r>
            <w:r w:rsidRPr="009364EA">
              <w:rPr>
                <w:rFonts w:asciiTheme="majorHAnsi" w:hAnsiTheme="majorHAnsi" w:cstheme="majorHAnsi"/>
                <w:sz w:val="20"/>
                <w:szCs w:val="20"/>
              </w:rPr>
              <w:t>·</w:t>
            </w:r>
            <w:r>
              <w:rPr>
                <w:rFonts w:asciiTheme="majorHAnsi" w:hAnsiTheme="majorHAnsi" w:cstheme="majorHAnsi"/>
                <w:sz w:val="20"/>
                <w:szCs w:val="20"/>
              </w:rPr>
              <w:t>9</w:t>
            </w:r>
            <w:r w:rsidRPr="009364EA">
              <w:rPr>
                <w:rFonts w:asciiTheme="majorHAnsi" w:hAnsiTheme="majorHAnsi" w:cstheme="majorHAnsi"/>
                <w:sz w:val="20"/>
                <w:szCs w:val="20"/>
              </w:rPr>
              <w:t>%</w:t>
            </w:r>
          </w:p>
        </w:tc>
        <w:tc>
          <w:tcPr>
            <w:tcW w:w="1842" w:type="dxa"/>
            <w:tcBorders>
              <w:top w:val="single" w:sz="4" w:space="0" w:color="auto"/>
              <w:bottom w:val="single" w:sz="4" w:space="0" w:color="auto"/>
            </w:tcBorders>
          </w:tcPr>
          <w:p w14:paraId="73053642" w14:textId="77777777" w:rsidR="00DB689F" w:rsidRPr="00EE279A" w:rsidRDefault="00DB689F" w:rsidP="000C0460">
            <w:pPr>
              <w:spacing w:line="480" w:lineRule="auto"/>
              <w:rPr>
                <w:rFonts w:asciiTheme="majorHAnsi" w:hAnsiTheme="majorHAnsi" w:cstheme="majorHAnsi"/>
                <w:sz w:val="20"/>
                <w:szCs w:val="20"/>
                <w:highlight w:val="yellow"/>
              </w:rPr>
            </w:pPr>
            <w:r>
              <w:rPr>
                <w:rFonts w:asciiTheme="majorHAnsi" w:hAnsiTheme="majorHAnsi" w:cstheme="majorHAnsi"/>
                <w:sz w:val="20"/>
                <w:szCs w:val="20"/>
              </w:rPr>
              <w:t>79</w:t>
            </w:r>
            <w:r w:rsidRPr="009364EA">
              <w:rPr>
                <w:rFonts w:asciiTheme="majorHAnsi" w:hAnsiTheme="majorHAnsi" w:cstheme="majorHAnsi"/>
                <w:sz w:val="20"/>
                <w:szCs w:val="20"/>
              </w:rPr>
              <w:t>·7%</w:t>
            </w:r>
          </w:p>
        </w:tc>
      </w:tr>
      <w:tr w:rsidR="00DB689F" w:rsidRPr="00AB06D7" w14:paraId="1318F5E7" w14:textId="77777777" w:rsidTr="000C0460">
        <w:tc>
          <w:tcPr>
            <w:tcW w:w="4820" w:type="dxa"/>
            <w:tcBorders>
              <w:top w:val="single" w:sz="4" w:space="0" w:color="auto"/>
              <w:bottom w:val="single" w:sz="4" w:space="0" w:color="auto"/>
            </w:tcBorders>
          </w:tcPr>
          <w:p w14:paraId="45AE6472" w14:textId="77777777" w:rsidR="00DB689F" w:rsidRPr="00AB06D7" w:rsidRDefault="00DB689F" w:rsidP="000C0460">
            <w:pPr>
              <w:spacing w:line="480" w:lineRule="auto"/>
              <w:rPr>
                <w:rFonts w:asciiTheme="majorHAnsi" w:hAnsiTheme="majorHAnsi" w:cstheme="majorHAnsi"/>
                <w:sz w:val="20"/>
                <w:szCs w:val="20"/>
              </w:rPr>
            </w:pPr>
            <w:r w:rsidRPr="00AB06D7">
              <w:rPr>
                <w:rFonts w:asciiTheme="majorHAnsi" w:hAnsiTheme="majorHAnsi" w:cstheme="majorHAnsi"/>
                <w:sz w:val="20"/>
                <w:szCs w:val="20"/>
              </w:rPr>
              <w:t>&gt;150/100,000 plus</w:t>
            </w:r>
            <w:r>
              <w:rPr>
                <w:rFonts w:asciiTheme="majorHAnsi" w:hAnsiTheme="majorHAnsi" w:cstheme="majorHAnsi"/>
                <w:sz w:val="20"/>
                <w:szCs w:val="20"/>
              </w:rPr>
              <w:t xml:space="preserve"> all</w:t>
            </w:r>
            <w:r w:rsidRPr="00AB06D7">
              <w:rPr>
                <w:rFonts w:asciiTheme="majorHAnsi" w:hAnsiTheme="majorHAnsi" w:cstheme="majorHAnsi"/>
                <w:sz w:val="20"/>
                <w:szCs w:val="20"/>
              </w:rPr>
              <w:t xml:space="preserve"> sub-Saharan African countries</w:t>
            </w:r>
            <w:r>
              <w:rPr>
                <w:rFonts w:asciiTheme="majorHAnsi" w:hAnsiTheme="majorHAnsi" w:cstheme="majorHAnsi"/>
                <w:sz w:val="20"/>
                <w:szCs w:val="20"/>
              </w:rPr>
              <w:t>: the proposed ‘PLWH-LTBI streamlined guidance’</w:t>
            </w:r>
          </w:p>
        </w:tc>
        <w:tc>
          <w:tcPr>
            <w:tcW w:w="816" w:type="dxa"/>
            <w:tcBorders>
              <w:top w:val="single" w:sz="4" w:space="0" w:color="auto"/>
              <w:bottom w:val="single" w:sz="4" w:space="0" w:color="auto"/>
            </w:tcBorders>
          </w:tcPr>
          <w:p w14:paraId="4E5050D1" w14:textId="77777777" w:rsidR="00DB689F" w:rsidRPr="007717BE" w:rsidRDefault="00DB689F" w:rsidP="000C0460">
            <w:pPr>
              <w:spacing w:line="480" w:lineRule="auto"/>
              <w:jc w:val="right"/>
              <w:rPr>
                <w:rFonts w:asciiTheme="majorHAnsi" w:hAnsiTheme="majorHAnsi" w:cstheme="majorHAnsi"/>
                <w:sz w:val="20"/>
                <w:szCs w:val="20"/>
              </w:rPr>
            </w:pPr>
            <w:r>
              <w:rPr>
                <w:rFonts w:asciiTheme="majorHAnsi" w:hAnsiTheme="majorHAnsi" w:cstheme="majorHAnsi"/>
                <w:sz w:val="20"/>
                <w:szCs w:val="20"/>
              </w:rPr>
              <w:t>568</w:t>
            </w:r>
          </w:p>
        </w:tc>
        <w:tc>
          <w:tcPr>
            <w:tcW w:w="852" w:type="dxa"/>
            <w:tcBorders>
              <w:top w:val="single" w:sz="4" w:space="0" w:color="auto"/>
              <w:bottom w:val="single" w:sz="4" w:space="0" w:color="auto"/>
            </w:tcBorders>
          </w:tcPr>
          <w:p w14:paraId="7A392EE0" w14:textId="77777777" w:rsidR="00DB689F" w:rsidRPr="007717BE" w:rsidRDefault="00DB689F" w:rsidP="000C0460">
            <w:pPr>
              <w:spacing w:line="480" w:lineRule="auto"/>
              <w:rPr>
                <w:rFonts w:asciiTheme="majorHAnsi" w:hAnsiTheme="majorHAnsi" w:cstheme="majorHAnsi"/>
                <w:sz w:val="20"/>
                <w:szCs w:val="20"/>
              </w:rPr>
            </w:pPr>
            <w:r w:rsidRPr="007717BE">
              <w:rPr>
                <w:rFonts w:asciiTheme="majorHAnsi" w:hAnsiTheme="majorHAnsi" w:cstheme="majorHAnsi"/>
                <w:sz w:val="20"/>
                <w:szCs w:val="20"/>
              </w:rPr>
              <w:t>(5</w:t>
            </w:r>
            <w:r>
              <w:rPr>
                <w:rFonts w:asciiTheme="majorHAnsi" w:hAnsiTheme="majorHAnsi" w:cstheme="majorHAnsi"/>
                <w:sz w:val="20"/>
                <w:szCs w:val="20"/>
              </w:rPr>
              <w:t>3</w:t>
            </w:r>
            <w:r w:rsidRPr="007717BE">
              <w:rPr>
                <w:rFonts w:asciiTheme="majorHAnsi" w:hAnsiTheme="majorHAnsi" w:cstheme="majorHAnsi"/>
                <w:sz w:val="20"/>
                <w:szCs w:val="20"/>
              </w:rPr>
              <w:t>·</w:t>
            </w:r>
            <w:r>
              <w:rPr>
                <w:rFonts w:asciiTheme="majorHAnsi" w:hAnsiTheme="majorHAnsi" w:cstheme="majorHAnsi"/>
                <w:sz w:val="20"/>
                <w:szCs w:val="20"/>
              </w:rPr>
              <w:t>9</w:t>
            </w:r>
            <w:r w:rsidRPr="007717BE">
              <w:rPr>
                <w:rFonts w:asciiTheme="majorHAnsi" w:hAnsiTheme="majorHAnsi" w:cstheme="majorHAnsi"/>
                <w:sz w:val="20"/>
                <w:szCs w:val="20"/>
              </w:rPr>
              <w:t>)</w:t>
            </w:r>
          </w:p>
        </w:tc>
        <w:tc>
          <w:tcPr>
            <w:tcW w:w="992" w:type="dxa"/>
            <w:tcBorders>
              <w:top w:val="single" w:sz="4" w:space="0" w:color="auto"/>
              <w:bottom w:val="single" w:sz="4" w:space="0" w:color="auto"/>
            </w:tcBorders>
          </w:tcPr>
          <w:p w14:paraId="7EC8361E" w14:textId="77777777" w:rsidR="00DB689F" w:rsidRPr="007717BE"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106</w:t>
            </w:r>
          </w:p>
        </w:tc>
        <w:tc>
          <w:tcPr>
            <w:tcW w:w="1560" w:type="dxa"/>
            <w:tcBorders>
              <w:top w:val="single" w:sz="4" w:space="0" w:color="auto"/>
              <w:bottom w:val="single" w:sz="4" w:space="0" w:color="auto"/>
            </w:tcBorders>
          </w:tcPr>
          <w:p w14:paraId="61D108B8" w14:textId="77777777" w:rsidR="00DB689F" w:rsidRPr="007717BE" w:rsidRDefault="00DB689F" w:rsidP="000C0460">
            <w:pPr>
              <w:spacing w:line="480" w:lineRule="auto"/>
              <w:rPr>
                <w:rFonts w:asciiTheme="majorHAnsi" w:hAnsiTheme="majorHAnsi" w:cstheme="majorHAnsi"/>
                <w:sz w:val="20"/>
                <w:szCs w:val="20"/>
              </w:rPr>
            </w:pPr>
            <w:r w:rsidRPr="007717BE">
              <w:rPr>
                <w:rFonts w:asciiTheme="majorHAnsi" w:hAnsiTheme="majorHAnsi" w:cstheme="majorHAnsi"/>
                <w:sz w:val="20"/>
                <w:szCs w:val="20"/>
              </w:rPr>
              <w:t>18·7%</w:t>
            </w:r>
          </w:p>
        </w:tc>
        <w:tc>
          <w:tcPr>
            <w:tcW w:w="1842" w:type="dxa"/>
            <w:tcBorders>
              <w:top w:val="single" w:sz="4" w:space="0" w:color="auto"/>
              <w:bottom w:val="single" w:sz="4" w:space="0" w:color="auto"/>
            </w:tcBorders>
          </w:tcPr>
          <w:p w14:paraId="2B48635F" w14:textId="77777777" w:rsidR="00DB689F" w:rsidRPr="007717BE" w:rsidRDefault="00DB689F" w:rsidP="000C0460">
            <w:pPr>
              <w:spacing w:line="480" w:lineRule="auto"/>
              <w:rPr>
                <w:rFonts w:asciiTheme="majorHAnsi" w:hAnsiTheme="majorHAnsi" w:cstheme="majorHAnsi"/>
                <w:sz w:val="20"/>
                <w:szCs w:val="20"/>
              </w:rPr>
            </w:pPr>
            <w:r w:rsidRPr="007717BE">
              <w:rPr>
                <w:rFonts w:asciiTheme="majorHAnsi" w:hAnsiTheme="majorHAnsi" w:cstheme="majorHAnsi"/>
                <w:sz w:val="20"/>
                <w:szCs w:val="20"/>
              </w:rPr>
              <w:t>8</w:t>
            </w:r>
            <w:r>
              <w:rPr>
                <w:rFonts w:asciiTheme="majorHAnsi" w:hAnsiTheme="majorHAnsi" w:cstheme="majorHAnsi"/>
                <w:sz w:val="20"/>
                <w:szCs w:val="20"/>
              </w:rPr>
              <w:t>9</w:t>
            </w:r>
            <w:r w:rsidRPr="007717BE">
              <w:rPr>
                <w:rFonts w:asciiTheme="majorHAnsi" w:hAnsiTheme="majorHAnsi" w:cstheme="majorHAnsi"/>
                <w:sz w:val="20"/>
                <w:szCs w:val="20"/>
              </w:rPr>
              <w:t>·</w:t>
            </w:r>
            <w:r>
              <w:rPr>
                <w:rFonts w:asciiTheme="majorHAnsi" w:hAnsiTheme="majorHAnsi" w:cstheme="majorHAnsi"/>
                <w:sz w:val="20"/>
                <w:szCs w:val="20"/>
              </w:rPr>
              <w:t>8</w:t>
            </w:r>
            <w:r w:rsidRPr="007717BE">
              <w:rPr>
                <w:rFonts w:asciiTheme="majorHAnsi" w:hAnsiTheme="majorHAnsi" w:cstheme="majorHAnsi"/>
                <w:sz w:val="20"/>
                <w:szCs w:val="20"/>
              </w:rPr>
              <w:t>%</w:t>
            </w:r>
          </w:p>
        </w:tc>
      </w:tr>
      <w:tr w:rsidR="00DB689F" w:rsidRPr="00AB06D7" w14:paraId="53825282" w14:textId="77777777" w:rsidTr="000C0460">
        <w:tc>
          <w:tcPr>
            <w:tcW w:w="4820" w:type="dxa"/>
            <w:tcBorders>
              <w:top w:val="single" w:sz="4" w:space="0" w:color="auto"/>
              <w:bottom w:val="single" w:sz="4" w:space="0" w:color="auto"/>
            </w:tcBorders>
          </w:tcPr>
          <w:p w14:paraId="3F9E4FD9" w14:textId="77777777" w:rsidR="00DB689F" w:rsidRPr="001B0FEB" w:rsidRDefault="00DB689F" w:rsidP="000C0460">
            <w:pPr>
              <w:spacing w:line="480" w:lineRule="auto"/>
              <w:rPr>
                <w:rFonts w:asciiTheme="majorHAnsi" w:hAnsiTheme="majorHAnsi" w:cstheme="majorHAnsi"/>
                <w:sz w:val="20"/>
                <w:szCs w:val="20"/>
              </w:rPr>
            </w:pPr>
            <w:r w:rsidRPr="001B0FEB">
              <w:rPr>
                <w:rFonts w:asciiTheme="majorHAnsi" w:hAnsiTheme="majorHAnsi" w:cstheme="majorHAnsi"/>
                <w:sz w:val="20"/>
                <w:szCs w:val="20"/>
              </w:rPr>
              <w:t>&gt;50/100,000</w:t>
            </w:r>
          </w:p>
        </w:tc>
        <w:tc>
          <w:tcPr>
            <w:tcW w:w="816" w:type="dxa"/>
            <w:tcBorders>
              <w:top w:val="single" w:sz="4" w:space="0" w:color="auto"/>
              <w:bottom w:val="single" w:sz="4" w:space="0" w:color="auto"/>
            </w:tcBorders>
          </w:tcPr>
          <w:p w14:paraId="376A02C3" w14:textId="77777777" w:rsidR="00DB689F" w:rsidRPr="001B0FEB" w:rsidRDefault="00DB689F" w:rsidP="000C0460">
            <w:pPr>
              <w:spacing w:line="480" w:lineRule="auto"/>
              <w:jc w:val="right"/>
              <w:rPr>
                <w:rFonts w:asciiTheme="majorHAnsi" w:hAnsiTheme="majorHAnsi" w:cstheme="majorHAnsi"/>
                <w:sz w:val="20"/>
                <w:szCs w:val="20"/>
              </w:rPr>
            </w:pPr>
            <w:r w:rsidRPr="001B0FEB">
              <w:rPr>
                <w:rFonts w:asciiTheme="majorHAnsi" w:hAnsiTheme="majorHAnsi" w:cstheme="majorHAnsi"/>
                <w:sz w:val="20"/>
                <w:szCs w:val="20"/>
              </w:rPr>
              <w:t>614</w:t>
            </w:r>
          </w:p>
        </w:tc>
        <w:tc>
          <w:tcPr>
            <w:tcW w:w="852" w:type="dxa"/>
            <w:tcBorders>
              <w:top w:val="single" w:sz="4" w:space="0" w:color="auto"/>
              <w:bottom w:val="single" w:sz="4" w:space="0" w:color="auto"/>
            </w:tcBorders>
          </w:tcPr>
          <w:p w14:paraId="78F8BEE4" w14:textId="77777777" w:rsidR="00DB689F" w:rsidRPr="001B0FEB" w:rsidRDefault="00DB689F" w:rsidP="000C0460">
            <w:pPr>
              <w:spacing w:line="480" w:lineRule="auto"/>
              <w:rPr>
                <w:rFonts w:asciiTheme="majorHAnsi" w:hAnsiTheme="majorHAnsi" w:cstheme="majorHAnsi"/>
                <w:sz w:val="20"/>
                <w:szCs w:val="20"/>
              </w:rPr>
            </w:pPr>
            <w:r w:rsidRPr="001B0FEB">
              <w:rPr>
                <w:rFonts w:asciiTheme="majorHAnsi" w:hAnsiTheme="majorHAnsi" w:cstheme="majorHAnsi"/>
                <w:sz w:val="20"/>
                <w:szCs w:val="20"/>
              </w:rPr>
              <w:t>(58·3)</w:t>
            </w:r>
          </w:p>
        </w:tc>
        <w:tc>
          <w:tcPr>
            <w:tcW w:w="992" w:type="dxa"/>
            <w:tcBorders>
              <w:top w:val="single" w:sz="4" w:space="0" w:color="auto"/>
              <w:bottom w:val="single" w:sz="4" w:space="0" w:color="auto"/>
            </w:tcBorders>
          </w:tcPr>
          <w:p w14:paraId="79C018AD" w14:textId="77777777" w:rsidR="00DB689F" w:rsidRPr="001B0FEB" w:rsidRDefault="00DB689F" w:rsidP="000C0460">
            <w:pPr>
              <w:spacing w:line="480" w:lineRule="auto"/>
              <w:rPr>
                <w:rFonts w:asciiTheme="majorHAnsi" w:hAnsiTheme="majorHAnsi" w:cstheme="majorHAnsi"/>
                <w:sz w:val="20"/>
                <w:szCs w:val="20"/>
              </w:rPr>
            </w:pPr>
            <w:r w:rsidRPr="001B0FEB">
              <w:rPr>
                <w:rFonts w:asciiTheme="majorHAnsi" w:hAnsiTheme="majorHAnsi" w:cstheme="majorHAnsi"/>
                <w:sz w:val="20"/>
                <w:szCs w:val="20"/>
              </w:rPr>
              <w:t>106</w:t>
            </w:r>
          </w:p>
        </w:tc>
        <w:tc>
          <w:tcPr>
            <w:tcW w:w="1560" w:type="dxa"/>
            <w:tcBorders>
              <w:top w:val="single" w:sz="4" w:space="0" w:color="auto"/>
              <w:bottom w:val="single" w:sz="4" w:space="0" w:color="auto"/>
            </w:tcBorders>
          </w:tcPr>
          <w:p w14:paraId="597F9BC2" w14:textId="77777777" w:rsidR="00DB689F" w:rsidRPr="001B0FEB" w:rsidRDefault="00DB689F" w:rsidP="000C0460">
            <w:pPr>
              <w:spacing w:line="480" w:lineRule="auto"/>
              <w:rPr>
                <w:rFonts w:asciiTheme="majorHAnsi" w:hAnsiTheme="majorHAnsi" w:cstheme="majorHAnsi"/>
                <w:sz w:val="20"/>
                <w:szCs w:val="20"/>
              </w:rPr>
            </w:pPr>
            <w:r w:rsidRPr="001B0FEB">
              <w:rPr>
                <w:rFonts w:asciiTheme="majorHAnsi" w:hAnsiTheme="majorHAnsi" w:cstheme="majorHAnsi"/>
                <w:sz w:val="20"/>
                <w:szCs w:val="20"/>
              </w:rPr>
              <w:t>17·3%</w:t>
            </w:r>
          </w:p>
        </w:tc>
        <w:tc>
          <w:tcPr>
            <w:tcW w:w="1842" w:type="dxa"/>
            <w:tcBorders>
              <w:top w:val="single" w:sz="4" w:space="0" w:color="auto"/>
              <w:bottom w:val="single" w:sz="4" w:space="0" w:color="auto"/>
            </w:tcBorders>
          </w:tcPr>
          <w:p w14:paraId="0F874582" w14:textId="77777777" w:rsidR="00DB689F" w:rsidRPr="001B0FEB" w:rsidRDefault="00DB689F" w:rsidP="000C0460">
            <w:pPr>
              <w:spacing w:line="480" w:lineRule="auto"/>
              <w:rPr>
                <w:rFonts w:asciiTheme="majorHAnsi" w:hAnsiTheme="majorHAnsi" w:cstheme="majorHAnsi"/>
                <w:sz w:val="20"/>
                <w:szCs w:val="20"/>
              </w:rPr>
            </w:pPr>
            <w:r w:rsidRPr="001B0FEB">
              <w:rPr>
                <w:rFonts w:asciiTheme="majorHAnsi" w:hAnsiTheme="majorHAnsi" w:cstheme="majorHAnsi"/>
                <w:sz w:val="20"/>
                <w:szCs w:val="20"/>
              </w:rPr>
              <w:t>89·8%</w:t>
            </w:r>
          </w:p>
        </w:tc>
      </w:tr>
      <w:tr w:rsidR="00DB689F" w:rsidRPr="00AB06D7" w14:paraId="2BA67EDF" w14:textId="77777777" w:rsidTr="000C0460">
        <w:tc>
          <w:tcPr>
            <w:tcW w:w="4820" w:type="dxa"/>
            <w:tcBorders>
              <w:top w:val="single" w:sz="4" w:space="0" w:color="auto"/>
              <w:bottom w:val="single" w:sz="4" w:space="0" w:color="auto"/>
            </w:tcBorders>
          </w:tcPr>
          <w:p w14:paraId="49A42D9A" w14:textId="77777777" w:rsidR="00DB689F" w:rsidRPr="00EC6704" w:rsidRDefault="00DB689F" w:rsidP="000C0460">
            <w:pPr>
              <w:spacing w:line="480" w:lineRule="auto"/>
              <w:rPr>
                <w:rFonts w:asciiTheme="majorHAnsi" w:hAnsiTheme="majorHAnsi" w:cstheme="majorHAnsi"/>
                <w:sz w:val="20"/>
                <w:szCs w:val="20"/>
              </w:rPr>
            </w:pPr>
            <w:r w:rsidRPr="00EC6704">
              <w:rPr>
                <w:rFonts w:asciiTheme="majorHAnsi" w:hAnsiTheme="majorHAnsi" w:cstheme="majorHAnsi"/>
                <w:sz w:val="20"/>
                <w:szCs w:val="20"/>
              </w:rPr>
              <w:t>≥40/100,000 plus risk factors: BHIVA 2018 guidelines†</w:t>
            </w:r>
            <w:r w:rsidRPr="00EC6704">
              <w:rPr>
                <w:rFonts w:asciiTheme="majorHAnsi" w:hAnsiTheme="majorHAnsi" w:cstheme="majorHAnsi"/>
                <w:sz w:val="20"/>
                <w:szCs w:val="20"/>
              </w:rPr>
            </w:r>
            <w:r w:rsidRPr="00EC6704">
              <w:rPr>
                <w:rFonts w:asciiTheme="majorHAnsi" w:hAnsiTheme="majorHAnsi" w:cstheme="majorHAnsi"/>
                <w:sz w:val="20"/>
                <w:szCs w:val="20"/>
              </w:rPr>
              <w:instrText xml:space="preserve"/>
            </w:r>
            <w:r w:rsidRPr="00EC6704">
              <w:rPr>
                <w:rFonts w:asciiTheme="majorHAnsi" w:hAnsiTheme="majorHAnsi" w:cstheme="majorHAnsi"/>
                <w:sz w:val="20"/>
                <w:szCs w:val="20"/>
              </w:rPr>
            </w:r>
            <w:r w:rsidRPr="00EC6704">
              <w:rPr>
                <w:rFonts w:asciiTheme="majorHAnsi" w:hAnsiTheme="majorHAnsi" w:cstheme="majorHAnsi"/>
                <w:noProof/>
                <w:sz w:val="20"/>
                <w:szCs w:val="20"/>
                <w:vertAlign w:val="superscript"/>
              </w:rPr>
              <w:t>[14]</w:t>
            </w:r>
            <w:r w:rsidRPr="00EC6704">
              <w:rPr>
                <w:rFonts w:asciiTheme="majorHAnsi" w:hAnsiTheme="majorHAnsi" w:cstheme="majorHAnsi"/>
                <w:sz w:val="20"/>
                <w:szCs w:val="20"/>
              </w:rPr>
            </w:r>
          </w:p>
        </w:tc>
        <w:tc>
          <w:tcPr>
            <w:tcW w:w="816" w:type="dxa"/>
            <w:tcBorders>
              <w:top w:val="single" w:sz="4" w:space="0" w:color="auto"/>
              <w:bottom w:val="single" w:sz="4" w:space="0" w:color="auto"/>
            </w:tcBorders>
          </w:tcPr>
          <w:p w14:paraId="3A7647C2" w14:textId="77777777" w:rsidR="00DB689F" w:rsidRPr="00EC6704" w:rsidRDefault="00DB689F" w:rsidP="000C0460">
            <w:pPr>
              <w:spacing w:line="480" w:lineRule="auto"/>
              <w:jc w:val="right"/>
              <w:rPr>
                <w:rFonts w:asciiTheme="majorHAnsi" w:hAnsiTheme="majorHAnsi" w:cstheme="majorHAnsi"/>
                <w:sz w:val="20"/>
                <w:szCs w:val="20"/>
              </w:rPr>
            </w:pPr>
            <w:r w:rsidRPr="00EC6704">
              <w:rPr>
                <w:rFonts w:asciiTheme="majorHAnsi" w:hAnsiTheme="majorHAnsi" w:cstheme="majorHAnsi"/>
                <w:sz w:val="20"/>
                <w:szCs w:val="20"/>
              </w:rPr>
              <w:t>622‡</w:t>
            </w:r>
          </w:p>
        </w:tc>
        <w:tc>
          <w:tcPr>
            <w:tcW w:w="852" w:type="dxa"/>
            <w:tcBorders>
              <w:top w:val="single" w:sz="4" w:space="0" w:color="auto"/>
              <w:bottom w:val="single" w:sz="4" w:space="0" w:color="auto"/>
            </w:tcBorders>
          </w:tcPr>
          <w:p w14:paraId="66ABBD02" w14:textId="77777777" w:rsidR="00DB689F" w:rsidRPr="00EC6704" w:rsidRDefault="00DB689F" w:rsidP="000C0460">
            <w:pPr>
              <w:spacing w:line="480" w:lineRule="auto"/>
              <w:rPr>
                <w:rFonts w:asciiTheme="majorHAnsi" w:hAnsiTheme="majorHAnsi" w:cstheme="majorHAnsi"/>
                <w:sz w:val="20"/>
                <w:szCs w:val="20"/>
              </w:rPr>
            </w:pPr>
            <w:r w:rsidRPr="00EC6704">
              <w:rPr>
                <w:rFonts w:asciiTheme="majorHAnsi" w:hAnsiTheme="majorHAnsi" w:cstheme="majorHAnsi"/>
                <w:sz w:val="20"/>
                <w:szCs w:val="20"/>
              </w:rPr>
              <w:t>(59·1)</w:t>
            </w:r>
          </w:p>
        </w:tc>
        <w:tc>
          <w:tcPr>
            <w:tcW w:w="992" w:type="dxa"/>
            <w:tcBorders>
              <w:top w:val="single" w:sz="4" w:space="0" w:color="auto"/>
              <w:bottom w:val="single" w:sz="4" w:space="0" w:color="auto"/>
            </w:tcBorders>
          </w:tcPr>
          <w:p w14:paraId="657EE644" w14:textId="77777777" w:rsidR="00DB689F" w:rsidRPr="00EC6704" w:rsidRDefault="00DB689F" w:rsidP="000C0460">
            <w:pPr>
              <w:spacing w:line="480" w:lineRule="auto"/>
              <w:rPr>
                <w:rFonts w:asciiTheme="majorHAnsi" w:hAnsiTheme="majorHAnsi" w:cstheme="majorHAnsi"/>
                <w:sz w:val="20"/>
                <w:szCs w:val="20"/>
              </w:rPr>
            </w:pPr>
            <w:r w:rsidRPr="00EC6704">
              <w:rPr>
                <w:rFonts w:asciiTheme="majorHAnsi" w:hAnsiTheme="majorHAnsi" w:cstheme="majorHAnsi"/>
                <w:sz w:val="20"/>
                <w:szCs w:val="20"/>
              </w:rPr>
              <w:t>110</w:t>
            </w:r>
          </w:p>
        </w:tc>
        <w:tc>
          <w:tcPr>
            <w:tcW w:w="1560" w:type="dxa"/>
            <w:tcBorders>
              <w:top w:val="single" w:sz="4" w:space="0" w:color="auto"/>
              <w:bottom w:val="single" w:sz="4" w:space="0" w:color="auto"/>
            </w:tcBorders>
          </w:tcPr>
          <w:p w14:paraId="5054B829" w14:textId="77777777" w:rsidR="00DB689F" w:rsidRPr="00EC6704" w:rsidRDefault="00DB689F" w:rsidP="000C0460">
            <w:pPr>
              <w:spacing w:line="480" w:lineRule="auto"/>
              <w:rPr>
                <w:rFonts w:asciiTheme="majorHAnsi" w:hAnsiTheme="majorHAnsi" w:cstheme="majorHAnsi"/>
                <w:sz w:val="20"/>
                <w:szCs w:val="20"/>
              </w:rPr>
            </w:pPr>
            <w:r w:rsidRPr="00EC6704">
              <w:rPr>
                <w:rFonts w:asciiTheme="majorHAnsi" w:hAnsiTheme="majorHAnsi" w:cstheme="majorHAnsi"/>
                <w:sz w:val="20"/>
                <w:szCs w:val="20"/>
              </w:rPr>
              <w:t>17·7%</w:t>
            </w:r>
          </w:p>
        </w:tc>
        <w:tc>
          <w:tcPr>
            <w:tcW w:w="1842" w:type="dxa"/>
            <w:tcBorders>
              <w:top w:val="single" w:sz="4" w:space="0" w:color="auto"/>
              <w:bottom w:val="single" w:sz="4" w:space="0" w:color="auto"/>
            </w:tcBorders>
          </w:tcPr>
          <w:p w14:paraId="5D29E797" w14:textId="77777777" w:rsidR="00DB689F" w:rsidRPr="00EC6704" w:rsidRDefault="00DB689F" w:rsidP="000C0460">
            <w:pPr>
              <w:spacing w:line="480" w:lineRule="auto"/>
              <w:rPr>
                <w:rFonts w:asciiTheme="majorHAnsi" w:hAnsiTheme="majorHAnsi" w:cstheme="majorHAnsi"/>
                <w:sz w:val="20"/>
                <w:szCs w:val="20"/>
              </w:rPr>
            </w:pPr>
            <w:r w:rsidRPr="00EC6704">
              <w:rPr>
                <w:rFonts w:asciiTheme="majorHAnsi" w:hAnsiTheme="majorHAnsi" w:cstheme="majorHAnsi"/>
                <w:sz w:val="20"/>
                <w:szCs w:val="20"/>
              </w:rPr>
              <w:t>93·2%</w:t>
            </w:r>
          </w:p>
        </w:tc>
      </w:tr>
      <w:tr w:rsidR="00DB689F" w:rsidRPr="00AB06D7" w14:paraId="278B692C" w14:textId="77777777" w:rsidTr="000C0460">
        <w:tc>
          <w:tcPr>
            <w:tcW w:w="4820" w:type="dxa"/>
            <w:tcBorders>
              <w:top w:val="single" w:sz="4" w:space="0" w:color="auto"/>
              <w:bottom w:val="single" w:sz="4" w:space="0" w:color="auto"/>
            </w:tcBorders>
          </w:tcPr>
          <w:p w14:paraId="2D5E03E2" w14:textId="77777777" w:rsidR="00DB689F" w:rsidRPr="00BD71FB" w:rsidRDefault="00DB689F" w:rsidP="000C0460">
            <w:pPr>
              <w:spacing w:line="480" w:lineRule="auto"/>
              <w:rPr>
                <w:rFonts w:asciiTheme="majorHAnsi" w:hAnsiTheme="majorHAnsi" w:cstheme="majorHAnsi"/>
                <w:sz w:val="20"/>
                <w:szCs w:val="20"/>
                <w:vertAlign w:val="superscript"/>
              </w:rPr>
            </w:pPr>
            <w:r w:rsidRPr="00BD71FB">
              <w:rPr>
                <w:rFonts w:asciiTheme="majorHAnsi" w:hAnsiTheme="majorHAnsi" w:cstheme="majorHAnsi"/>
                <w:sz w:val="20"/>
                <w:szCs w:val="20"/>
              </w:rPr>
              <w:t>Screen all PLWH:*</w:t>
            </w:r>
            <w:r w:rsidRPr="00BD71FB">
              <w:rPr>
                <w:rFonts w:asciiTheme="majorHAnsi" w:hAnsiTheme="majorHAnsi" w:cstheme="majorHAnsi"/>
                <w:sz w:val="20"/>
                <w:szCs w:val="20"/>
                <w:vertAlign w:val="superscript"/>
              </w:rPr>
              <w:t xml:space="preserve"> </w:t>
            </w:r>
            <w:r w:rsidRPr="00BD71FB">
              <w:rPr>
                <w:rFonts w:asciiTheme="majorHAnsi" w:hAnsiTheme="majorHAnsi" w:cstheme="majorHAnsi"/>
                <w:sz w:val="20"/>
                <w:szCs w:val="20"/>
              </w:rPr>
              <w:t>2016 NICE guidelines,</w:t>
            </w:r>
            <w:r w:rsidRPr="00BD71FB">
              <w:rPr>
                <w:rFonts w:asciiTheme="majorHAnsi" w:hAnsiTheme="majorHAnsi" w:cstheme="majorHAnsi"/>
                <w:sz w:val="20"/>
                <w:szCs w:val="20"/>
              </w:rPr>
            </w:r>
            <w:r w:rsidRPr="00BD71FB">
              <w:rPr>
                <w:rFonts w:asciiTheme="majorHAnsi" w:hAnsiTheme="majorHAnsi" w:cstheme="majorHAnsi"/>
                <w:sz w:val="20"/>
                <w:szCs w:val="20"/>
              </w:rPr>
              <w:instrText xml:space="preserve"/>
            </w:r>
            <w:r w:rsidRPr="00BD71FB">
              <w:rPr>
                <w:rFonts w:asciiTheme="majorHAnsi" w:hAnsiTheme="majorHAnsi" w:cstheme="majorHAnsi"/>
                <w:sz w:val="20"/>
                <w:szCs w:val="20"/>
              </w:rPr>
            </w:r>
            <w:r w:rsidRPr="00BD71FB">
              <w:rPr>
                <w:rFonts w:asciiTheme="majorHAnsi" w:hAnsiTheme="majorHAnsi" w:cstheme="majorHAnsi"/>
                <w:noProof/>
                <w:sz w:val="20"/>
                <w:szCs w:val="20"/>
                <w:vertAlign w:val="superscript"/>
              </w:rPr>
              <w:t>[13]</w:t>
            </w:r>
            <w:r w:rsidRPr="00BD71FB">
              <w:rPr>
                <w:rFonts w:asciiTheme="majorHAnsi" w:hAnsiTheme="majorHAnsi" w:cstheme="majorHAnsi"/>
                <w:sz w:val="20"/>
                <w:szCs w:val="20"/>
              </w:rPr>
            </w:r>
            <w:r w:rsidRPr="00BD71FB">
              <w:rPr>
                <w:rFonts w:asciiTheme="majorHAnsi" w:hAnsiTheme="majorHAnsi" w:cstheme="majorHAnsi"/>
                <w:sz w:val="20"/>
                <w:szCs w:val="20"/>
              </w:rPr>
              <w:t xml:space="preserve"> ECDC guidelines for the EU/EEA,</w:t>
            </w:r>
            <w:r w:rsidRPr="00BD71FB">
              <w:rPr>
                <w:rFonts w:asciiTheme="majorHAnsi" w:hAnsiTheme="majorHAnsi" w:cstheme="majorHAnsi"/>
                <w:sz w:val="20"/>
                <w:szCs w:val="20"/>
              </w:rPr>
            </w:r>
            <w:r w:rsidRPr="00BD71FB">
              <w:rPr>
                <w:rFonts w:asciiTheme="majorHAnsi" w:hAnsiTheme="majorHAnsi" w:cstheme="majorHAnsi"/>
                <w:sz w:val="20"/>
                <w:szCs w:val="20"/>
              </w:rPr>
              <w:instrText xml:space="preserve"/>
            </w:r>
            <w:r w:rsidRPr="00BD71FB">
              <w:rPr>
                <w:rFonts w:asciiTheme="majorHAnsi" w:hAnsiTheme="majorHAnsi" w:cstheme="majorHAnsi"/>
                <w:sz w:val="20"/>
                <w:szCs w:val="20"/>
              </w:rPr>
            </w:r>
            <w:r w:rsidRPr="00BD71FB">
              <w:rPr>
                <w:rFonts w:asciiTheme="majorHAnsi" w:hAnsiTheme="majorHAnsi" w:cstheme="majorHAnsi"/>
                <w:sz w:val="20"/>
                <w:szCs w:val="20"/>
              </w:rPr>
              <w:instrText xml:space="preserve"/>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noProof/>
                <w:sz w:val="20"/>
                <w:szCs w:val="20"/>
                <w:vertAlign w:val="superscript"/>
              </w:rPr>
              <w:t>[11]</w:t>
            </w:r>
            <w:r w:rsidRPr="00BD71FB">
              <w:rPr>
                <w:rFonts w:asciiTheme="majorHAnsi" w:hAnsiTheme="majorHAnsi" w:cstheme="majorHAnsi"/>
                <w:sz w:val="20"/>
                <w:szCs w:val="20"/>
              </w:rPr>
            </w:r>
            <w:r w:rsidRPr="00BD71FB">
              <w:rPr>
                <w:rFonts w:asciiTheme="majorHAnsi" w:hAnsiTheme="majorHAnsi" w:cstheme="majorHAnsi"/>
                <w:sz w:val="20"/>
                <w:szCs w:val="20"/>
              </w:rPr>
              <w:t xml:space="preserve"> WHO guidelines for low tuberculosis burden countries</w:t>
            </w:r>
            <w:r w:rsidRPr="00BD71FB">
              <w:rPr>
                <w:rFonts w:asciiTheme="majorHAnsi" w:hAnsiTheme="majorHAnsi" w:cstheme="majorHAnsi"/>
                <w:sz w:val="20"/>
                <w:szCs w:val="20"/>
              </w:rPr>
            </w:r>
            <w:r w:rsidRPr="00BD71FB">
              <w:rPr>
                <w:rFonts w:asciiTheme="majorHAnsi" w:hAnsiTheme="majorHAnsi" w:cstheme="majorHAnsi"/>
                <w:sz w:val="20"/>
                <w:szCs w:val="20"/>
              </w:rPr>
              <w:instrText xml:space="preserve"/>
            </w:r>
            <w:r w:rsidRPr="00BD71FB">
              <w:rPr>
                <w:rFonts w:asciiTheme="majorHAnsi" w:hAnsiTheme="majorHAnsi" w:cstheme="majorHAnsi"/>
                <w:sz w:val="20"/>
                <w:szCs w:val="20"/>
              </w:rPr>
            </w:r>
            <w:r w:rsidRPr="00BD71FB">
              <w:rPr>
                <w:rFonts w:asciiTheme="majorHAnsi" w:hAnsiTheme="majorHAnsi" w:cstheme="majorHAnsi"/>
                <w:sz w:val="20"/>
                <w:szCs w:val="20"/>
              </w:rPr>
              <w:instrText xml:space="preserve"/>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sz w:val="20"/>
                <w:szCs w:val="20"/>
              </w:rPr>
            </w:r>
            <w:r w:rsidRPr="00BD71FB">
              <w:rPr>
                <w:rFonts w:asciiTheme="majorHAnsi" w:hAnsiTheme="majorHAnsi" w:cstheme="majorHAnsi"/>
                <w:noProof/>
                <w:sz w:val="20"/>
                <w:szCs w:val="20"/>
                <w:vertAlign w:val="superscript"/>
              </w:rPr>
              <w:t>[12]</w:t>
            </w:r>
            <w:r w:rsidRPr="00BD71FB">
              <w:rPr>
                <w:rFonts w:asciiTheme="majorHAnsi" w:hAnsiTheme="majorHAnsi" w:cstheme="majorHAnsi"/>
                <w:sz w:val="20"/>
                <w:szCs w:val="20"/>
              </w:rPr>
            </w:r>
          </w:p>
        </w:tc>
        <w:tc>
          <w:tcPr>
            <w:tcW w:w="816" w:type="dxa"/>
            <w:tcBorders>
              <w:top w:val="single" w:sz="4" w:space="0" w:color="auto"/>
              <w:bottom w:val="single" w:sz="4" w:space="0" w:color="auto"/>
            </w:tcBorders>
          </w:tcPr>
          <w:p w14:paraId="0AC7CAE6" w14:textId="77777777" w:rsidR="00DB689F" w:rsidRPr="00BD71FB" w:rsidRDefault="00DB689F" w:rsidP="000C0460">
            <w:pPr>
              <w:spacing w:line="480" w:lineRule="auto"/>
              <w:jc w:val="right"/>
              <w:rPr>
                <w:rFonts w:asciiTheme="majorHAnsi" w:hAnsiTheme="majorHAnsi" w:cstheme="majorHAnsi"/>
                <w:sz w:val="20"/>
                <w:szCs w:val="20"/>
              </w:rPr>
            </w:pPr>
            <w:r>
              <w:rPr>
                <w:rFonts w:asciiTheme="majorHAnsi" w:hAnsiTheme="majorHAnsi" w:cstheme="majorHAnsi"/>
                <w:sz w:val="20"/>
                <w:szCs w:val="20"/>
              </w:rPr>
              <w:t>1053</w:t>
            </w:r>
          </w:p>
        </w:tc>
        <w:tc>
          <w:tcPr>
            <w:tcW w:w="852" w:type="dxa"/>
            <w:tcBorders>
              <w:top w:val="single" w:sz="4" w:space="0" w:color="auto"/>
              <w:bottom w:val="single" w:sz="4" w:space="0" w:color="auto"/>
            </w:tcBorders>
          </w:tcPr>
          <w:p w14:paraId="2DBF8C35" w14:textId="77777777" w:rsidR="00DB689F" w:rsidRPr="00BD71FB" w:rsidRDefault="00DB689F" w:rsidP="000C0460">
            <w:pPr>
              <w:spacing w:line="480" w:lineRule="auto"/>
              <w:rPr>
                <w:rFonts w:asciiTheme="majorHAnsi" w:hAnsiTheme="majorHAnsi" w:cstheme="majorHAnsi"/>
                <w:sz w:val="20"/>
                <w:szCs w:val="20"/>
              </w:rPr>
            </w:pPr>
            <w:r w:rsidRPr="00BD71FB">
              <w:rPr>
                <w:rFonts w:asciiTheme="majorHAnsi" w:hAnsiTheme="majorHAnsi" w:cstheme="majorHAnsi"/>
                <w:sz w:val="20"/>
                <w:szCs w:val="20"/>
              </w:rPr>
              <w:t>(100)</w:t>
            </w:r>
          </w:p>
        </w:tc>
        <w:tc>
          <w:tcPr>
            <w:tcW w:w="992" w:type="dxa"/>
            <w:tcBorders>
              <w:top w:val="single" w:sz="4" w:space="0" w:color="auto"/>
              <w:bottom w:val="single" w:sz="4" w:space="0" w:color="auto"/>
            </w:tcBorders>
          </w:tcPr>
          <w:p w14:paraId="28729F01" w14:textId="77777777" w:rsidR="00DB689F" w:rsidRPr="00BD71FB"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118</w:t>
            </w:r>
          </w:p>
        </w:tc>
        <w:tc>
          <w:tcPr>
            <w:tcW w:w="1560" w:type="dxa"/>
            <w:tcBorders>
              <w:top w:val="single" w:sz="4" w:space="0" w:color="auto"/>
              <w:bottom w:val="single" w:sz="4" w:space="0" w:color="auto"/>
            </w:tcBorders>
          </w:tcPr>
          <w:p w14:paraId="504AA35B" w14:textId="77777777" w:rsidR="00DB689F" w:rsidRPr="00BD71FB" w:rsidRDefault="00DB689F" w:rsidP="000C0460">
            <w:pPr>
              <w:spacing w:line="480" w:lineRule="auto"/>
              <w:rPr>
                <w:rFonts w:asciiTheme="majorHAnsi" w:hAnsiTheme="majorHAnsi" w:cstheme="majorHAnsi"/>
                <w:sz w:val="20"/>
                <w:szCs w:val="20"/>
              </w:rPr>
            </w:pPr>
            <w:r>
              <w:rPr>
                <w:rFonts w:asciiTheme="majorHAnsi" w:hAnsiTheme="majorHAnsi" w:cstheme="majorHAnsi"/>
                <w:sz w:val="20"/>
                <w:szCs w:val="20"/>
              </w:rPr>
              <w:t>11</w:t>
            </w:r>
            <w:r w:rsidRPr="00BD71FB">
              <w:rPr>
                <w:rFonts w:asciiTheme="majorHAnsi" w:hAnsiTheme="majorHAnsi" w:cstheme="majorHAnsi"/>
                <w:sz w:val="20"/>
                <w:szCs w:val="20"/>
              </w:rPr>
              <w:t>·</w:t>
            </w:r>
            <w:r>
              <w:rPr>
                <w:rFonts w:asciiTheme="majorHAnsi" w:hAnsiTheme="majorHAnsi" w:cstheme="majorHAnsi"/>
                <w:sz w:val="20"/>
                <w:szCs w:val="20"/>
              </w:rPr>
              <w:t>2</w:t>
            </w:r>
            <w:r w:rsidRPr="00BD71FB">
              <w:rPr>
                <w:rFonts w:asciiTheme="majorHAnsi" w:hAnsiTheme="majorHAnsi" w:cstheme="majorHAnsi"/>
                <w:sz w:val="20"/>
                <w:szCs w:val="20"/>
              </w:rPr>
              <w:t>%</w:t>
            </w:r>
          </w:p>
        </w:tc>
        <w:tc>
          <w:tcPr>
            <w:tcW w:w="1842" w:type="dxa"/>
            <w:tcBorders>
              <w:top w:val="single" w:sz="4" w:space="0" w:color="auto"/>
              <w:bottom w:val="single" w:sz="4" w:space="0" w:color="auto"/>
            </w:tcBorders>
          </w:tcPr>
          <w:p w14:paraId="5A69CA86" w14:textId="77777777" w:rsidR="00DB689F" w:rsidRPr="00BD71FB" w:rsidRDefault="00DB689F" w:rsidP="000C0460">
            <w:pPr>
              <w:spacing w:line="480" w:lineRule="auto"/>
              <w:rPr>
                <w:rFonts w:asciiTheme="majorHAnsi" w:hAnsiTheme="majorHAnsi" w:cstheme="majorHAnsi"/>
                <w:sz w:val="20"/>
                <w:szCs w:val="20"/>
              </w:rPr>
            </w:pPr>
            <w:r w:rsidRPr="00BD71FB">
              <w:rPr>
                <w:rFonts w:asciiTheme="majorHAnsi" w:hAnsiTheme="majorHAnsi" w:cstheme="majorHAnsi"/>
                <w:sz w:val="20"/>
                <w:szCs w:val="20"/>
              </w:rPr>
              <w:t>100%</w:t>
            </w:r>
          </w:p>
        </w:tc>
      </w:tr>
    </w:tbl>
    <w:p w14:paraId="37344DC5" w14:textId="77777777" w:rsidR="00DB689F" w:rsidRDefault="00DB689F" w:rsidP="003B0558">
      <w:pPr>
        <w:spacing w:line="480" w:lineRule="auto"/>
        <w:rPr>
          <w:rFonts w:asciiTheme="majorHAnsi" w:hAnsiTheme="majorHAnsi" w:cstheme="majorHAnsi"/>
          <w:color w:val="000000"/>
          <w:sz w:val="16"/>
          <w:szCs w:val="16"/>
        </w:rPr>
      </w:pPr>
    </w:p>
    <w:p w14:paraId="464B56AE" w14:textId="77777777" w:rsidR="00DB689F" w:rsidRDefault="00DB689F" w:rsidP="003B0558">
      <w:pPr>
        <w:spacing w:line="480" w:lineRule="auto"/>
        <w:rPr>
          <w:rFonts w:asciiTheme="majorHAnsi" w:hAnsiTheme="majorHAnsi" w:cstheme="majorHAnsi"/>
          <w:color w:val="000000"/>
          <w:sz w:val="16"/>
          <w:szCs w:val="16"/>
        </w:rPr>
      </w:pPr>
    </w:p>
    <w:p w14:paraId="5349285A" w14:textId="77777777" w:rsidR="00DB689F" w:rsidRDefault="00DB689F" w:rsidP="003B0558">
      <w:pPr>
        <w:spacing w:line="480" w:lineRule="auto"/>
        <w:rPr>
          <w:rFonts w:asciiTheme="majorHAnsi" w:hAnsiTheme="majorHAnsi" w:cstheme="majorHAnsi"/>
          <w:color w:val="000000"/>
          <w:sz w:val="16"/>
          <w:szCs w:val="16"/>
        </w:rPr>
      </w:pPr>
    </w:p>
    <w:p w14:paraId="389DE80D" w14:textId="77777777" w:rsidR="00DB689F" w:rsidRDefault="00DB689F" w:rsidP="003B0558">
      <w:pPr>
        <w:spacing w:line="480" w:lineRule="auto"/>
        <w:rPr>
          <w:rFonts w:asciiTheme="majorHAnsi" w:hAnsiTheme="majorHAnsi" w:cstheme="majorHAnsi"/>
          <w:color w:val="000000"/>
          <w:sz w:val="16"/>
          <w:szCs w:val="16"/>
        </w:rPr>
      </w:pPr>
    </w:p>
    <w:p w14:paraId="1CDC0F05" w14:textId="77777777" w:rsidR="00DB689F" w:rsidRDefault="00DB689F" w:rsidP="003B0558">
      <w:pPr>
        <w:spacing w:line="480" w:lineRule="auto"/>
        <w:rPr>
          <w:rFonts w:asciiTheme="majorHAnsi" w:hAnsiTheme="majorHAnsi" w:cstheme="majorHAnsi"/>
          <w:color w:val="000000"/>
          <w:sz w:val="16"/>
          <w:szCs w:val="16"/>
        </w:rPr>
      </w:pPr>
    </w:p>
    <w:p w14:paraId="4138F38E" w14:textId="77777777" w:rsidR="00DB689F" w:rsidRDefault="00DB689F" w:rsidP="003B0558">
      <w:pPr>
        <w:spacing w:line="480" w:lineRule="auto"/>
        <w:rPr>
          <w:rFonts w:asciiTheme="majorHAnsi" w:hAnsiTheme="majorHAnsi" w:cstheme="majorHAnsi"/>
          <w:color w:val="000000"/>
          <w:sz w:val="16"/>
          <w:szCs w:val="16"/>
        </w:rPr>
      </w:pPr>
    </w:p>
    <w:p w14:paraId="6839D100" w14:textId="77777777" w:rsidR="0082666E" w:rsidRDefault="0082666E" w:rsidP="00DB689F">
      <w:pPr>
        <w:spacing w:line="480" w:lineRule="auto"/>
        <w:rPr>
          <w:rFonts w:asciiTheme="majorHAnsi" w:hAnsiTheme="majorHAnsi" w:cstheme="majorHAnsi"/>
          <w:sz w:val="16"/>
          <w:szCs w:val="16"/>
        </w:rPr>
      </w:pPr>
    </w:p>
    <w:p w14:paraId="0D13CBDD" w14:textId="77777777" w:rsidR="0082666E" w:rsidRDefault="0082666E" w:rsidP="00DB689F">
      <w:pPr>
        <w:spacing w:line="480" w:lineRule="auto"/>
        <w:rPr>
          <w:rFonts w:asciiTheme="majorHAnsi" w:hAnsiTheme="majorHAnsi" w:cstheme="majorHAnsi"/>
          <w:sz w:val="16"/>
          <w:szCs w:val="16"/>
        </w:rPr>
      </w:pPr>
    </w:p>
    <w:p w14:paraId="4B808F1D" w14:textId="77777777" w:rsidR="0082666E" w:rsidRDefault="0082666E" w:rsidP="00DB689F">
      <w:pPr>
        <w:spacing w:line="480" w:lineRule="auto"/>
        <w:rPr>
          <w:rFonts w:asciiTheme="majorHAnsi" w:hAnsiTheme="majorHAnsi" w:cstheme="majorHAnsi"/>
          <w:sz w:val="16"/>
          <w:szCs w:val="16"/>
        </w:rPr>
      </w:pPr>
    </w:p>
    <w:p w14:paraId="1DFF1D5C" w14:textId="77777777" w:rsidR="0082666E" w:rsidRDefault="0082666E" w:rsidP="00DB689F">
      <w:pPr>
        <w:spacing w:line="480" w:lineRule="auto"/>
        <w:rPr>
          <w:rFonts w:asciiTheme="majorHAnsi" w:hAnsiTheme="majorHAnsi" w:cstheme="majorHAnsi"/>
          <w:sz w:val="16"/>
          <w:szCs w:val="16"/>
        </w:rPr>
      </w:pPr>
    </w:p>
    <w:p w14:paraId="5F161362" w14:textId="77777777" w:rsidR="0082666E" w:rsidRDefault="0082666E" w:rsidP="00DB689F">
      <w:pPr>
        <w:spacing w:line="480" w:lineRule="auto"/>
        <w:rPr>
          <w:rFonts w:asciiTheme="majorHAnsi" w:hAnsiTheme="majorHAnsi" w:cstheme="majorHAnsi"/>
          <w:sz w:val="16"/>
          <w:szCs w:val="16"/>
        </w:rPr>
      </w:pPr>
    </w:p>
    <w:p w14:paraId="6CF282F2" w14:textId="77777777" w:rsidR="0082666E" w:rsidRDefault="0082666E" w:rsidP="00DB689F">
      <w:pPr>
        <w:spacing w:line="480" w:lineRule="auto"/>
        <w:rPr>
          <w:rFonts w:asciiTheme="majorHAnsi" w:hAnsiTheme="majorHAnsi" w:cstheme="majorHAnsi"/>
          <w:sz w:val="16"/>
          <w:szCs w:val="16"/>
        </w:rPr>
      </w:pPr>
    </w:p>
    <w:p w14:paraId="2E9670C8" w14:textId="77777777" w:rsidR="0082666E" w:rsidRDefault="0082666E" w:rsidP="00DB689F">
      <w:pPr>
        <w:spacing w:line="480" w:lineRule="auto"/>
        <w:rPr>
          <w:rFonts w:asciiTheme="majorHAnsi" w:hAnsiTheme="majorHAnsi" w:cstheme="majorHAnsi"/>
          <w:sz w:val="16"/>
          <w:szCs w:val="16"/>
        </w:rPr>
      </w:pPr>
    </w:p>
    <w:p w14:paraId="5C716DAA" w14:textId="77777777" w:rsidR="0082666E" w:rsidRDefault="0082666E" w:rsidP="00DB689F">
      <w:pPr>
        <w:spacing w:line="480" w:lineRule="auto"/>
        <w:rPr>
          <w:rFonts w:asciiTheme="majorHAnsi" w:hAnsiTheme="majorHAnsi" w:cstheme="majorHAnsi"/>
          <w:sz w:val="16"/>
          <w:szCs w:val="16"/>
        </w:rPr>
      </w:pPr>
    </w:p>
    <w:p w14:paraId="0688F7C4" w14:textId="77777777" w:rsidR="0082666E" w:rsidRDefault="0082666E" w:rsidP="00DB689F">
      <w:pPr>
        <w:spacing w:line="480" w:lineRule="auto"/>
        <w:rPr>
          <w:rFonts w:asciiTheme="majorHAnsi" w:hAnsiTheme="majorHAnsi" w:cstheme="majorHAnsi"/>
          <w:sz w:val="16"/>
          <w:szCs w:val="16"/>
        </w:rPr>
      </w:pPr>
    </w:p>
    <w:p w14:paraId="4F95C7FC" w14:textId="77777777" w:rsidR="0082666E" w:rsidRDefault="0082666E" w:rsidP="00DB689F">
      <w:pPr>
        <w:spacing w:line="480" w:lineRule="auto"/>
        <w:rPr>
          <w:rFonts w:asciiTheme="majorHAnsi" w:hAnsiTheme="majorHAnsi" w:cstheme="majorHAnsi"/>
          <w:sz w:val="16"/>
          <w:szCs w:val="16"/>
        </w:rPr>
      </w:pPr>
    </w:p>
    <w:p w14:paraId="4025E7B6" w14:textId="77777777" w:rsidR="0082666E" w:rsidRDefault="0082666E" w:rsidP="00DB689F">
      <w:pPr>
        <w:spacing w:line="480" w:lineRule="auto"/>
        <w:rPr>
          <w:rFonts w:asciiTheme="majorHAnsi" w:hAnsiTheme="majorHAnsi" w:cstheme="majorHAnsi"/>
          <w:sz w:val="16"/>
          <w:szCs w:val="16"/>
        </w:rPr>
      </w:pPr>
    </w:p>
    <w:p w14:paraId="093710CE" w14:textId="77777777" w:rsidR="0082666E" w:rsidRDefault="0082666E" w:rsidP="00DB689F">
      <w:pPr>
        <w:spacing w:line="480" w:lineRule="auto"/>
        <w:rPr>
          <w:rFonts w:asciiTheme="majorHAnsi" w:hAnsiTheme="majorHAnsi" w:cstheme="majorHAnsi"/>
          <w:sz w:val="16"/>
          <w:szCs w:val="16"/>
        </w:rPr>
      </w:pPr>
    </w:p>
    <w:p w14:paraId="208C6097" w14:textId="77777777" w:rsidR="0082666E" w:rsidRDefault="0082666E" w:rsidP="00DB689F">
      <w:pPr>
        <w:spacing w:line="480" w:lineRule="auto"/>
        <w:rPr>
          <w:rFonts w:asciiTheme="majorHAnsi" w:hAnsiTheme="majorHAnsi" w:cstheme="majorHAnsi"/>
          <w:sz w:val="16"/>
          <w:szCs w:val="16"/>
        </w:rPr>
      </w:pPr>
    </w:p>
    <w:p w14:paraId="152AF369" w14:textId="77777777" w:rsidR="00DB689F" w:rsidRPr="00AB06D7" w:rsidRDefault="00DB689F" w:rsidP="00DB689F">
      <w:pPr>
        <w:spacing w:line="480" w:lineRule="auto"/>
        <w:rPr>
          <w:rFonts w:asciiTheme="majorHAnsi" w:hAnsiTheme="majorHAnsi" w:cstheme="majorHAnsi"/>
          <w:sz w:val="16"/>
          <w:szCs w:val="16"/>
        </w:rPr>
      </w:pPr>
      <w:bookmarkStart w:id="8" w:name="_GoBack"/>
      <w:bookmarkEnd w:id="8"/>
      <w:r w:rsidRPr="00AB06D7">
        <w:rPr>
          <w:rFonts w:asciiTheme="majorHAnsi" w:hAnsiTheme="majorHAnsi" w:cstheme="majorHAnsi"/>
          <w:sz w:val="16"/>
          <w:szCs w:val="16"/>
        </w:rPr>
        <w:lastRenderedPageBreak/>
        <w:t xml:space="preserve">BHIVA = British HIV Association; ECDC = European Centre for Disease Prevention and Control; </w:t>
      </w:r>
      <w:r>
        <w:rPr>
          <w:rFonts w:asciiTheme="majorHAnsi" w:hAnsiTheme="majorHAnsi" w:cstheme="majorHAnsi"/>
          <w:sz w:val="16"/>
          <w:szCs w:val="16"/>
        </w:rPr>
        <w:t xml:space="preserve">EEA = </w:t>
      </w:r>
      <w:r w:rsidRPr="00192DB0">
        <w:rPr>
          <w:rFonts w:asciiTheme="majorHAnsi" w:hAnsiTheme="majorHAnsi" w:cstheme="majorHAnsi"/>
          <w:sz w:val="16"/>
          <w:szCs w:val="16"/>
        </w:rPr>
        <w:t>European Economic Area;</w:t>
      </w:r>
      <w:r>
        <w:rPr>
          <w:rFonts w:asciiTheme="majorHAnsi" w:hAnsiTheme="majorHAnsi" w:cstheme="majorHAnsi"/>
          <w:sz w:val="16"/>
          <w:szCs w:val="16"/>
        </w:rPr>
        <w:t xml:space="preserve"> EU = </w:t>
      </w:r>
      <w:r w:rsidRPr="00192DB0">
        <w:rPr>
          <w:rFonts w:asciiTheme="majorHAnsi" w:hAnsiTheme="majorHAnsi" w:cstheme="majorHAnsi"/>
          <w:sz w:val="16"/>
          <w:szCs w:val="16"/>
        </w:rPr>
        <w:t>European Union;</w:t>
      </w:r>
      <w:r w:rsidRPr="00AB06D7">
        <w:rPr>
          <w:rFonts w:asciiTheme="majorHAnsi" w:hAnsiTheme="majorHAnsi" w:cstheme="majorHAnsi"/>
          <w:sz w:val="16"/>
          <w:szCs w:val="16"/>
        </w:rPr>
        <w:t xml:space="preserve"> IGRA = interferon gamma release assay</w:t>
      </w:r>
      <w:r>
        <w:rPr>
          <w:rFonts w:asciiTheme="majorHAnsi" w:hAnsiTheme="majorHAnsi" w:cstheme="majorHAnsi"/>
          <w:sz w:val="16"/>
          <w:szCs w:val="16"/>
        </w:rPr>
        <w:t>;</w:t>
      </w:r>
      <w:r w:rsidRPr="00B3159B">
        <w:rPr>
          <w:rFonts w:asciiTheme="majorHAnsi" w:hAnsiTheme="majorHAnsi" w:cstheme="majorHAnsi"/>
          <w:sz w:val="16"/>
          <w:szCs w:val="16"/>
        </w:rPr>
        <w:t xml:space="preserve"> </w:t>
      </w:r>
      <w:r w:rsidRPr="00AB06D7">
        <w:rPr>
          <w:rFonts w:asciiTheme="majorHAnsi" w:hAnsiTheme="majorHAnsi" w:cstheme="majorHAnsi"/>
          <w:sz w:val="16"/>
          <w:szCs w:val="16"/>
        </w:rPr>
        <w:t xml:space="preserve">NICE = National Institute for Health and Care Excellence; WHO = World Health Organization. </w:t>
      </w:r>
      <w:r>
        <w:rPr>
          <w:rFonts w:asciiTheme="majorHAnsi" w:hAnsiTheme="majorHAnsi" w:cstheme="majorHAnsi"/>
          <w:sz w:val="16"/>
          <w:szCs w:val="16"/>
        </w:rPr>
        <w:t xml:space="preserve">All included </w:t>
      </w:r>
      <w:r w:rsidRPr="00AB06D7">
        <w:rPr>
          <w:rFonts w:asciiTheme="majorHAnsi" w:hAnsiTheme="majorHAnsi" w:cstheme="majorHAnsi"/>
          <w:sz w:val="16"/>
          <w:szCs w:val="16"/>
        </w:rPr>
        <w:t>guidelines mention dual use of IGRA/</w:t>
      </w:r>
      <w:proofErr w:type="spellStart"/>
      <w:r w:rsidRPr="00AB06D7">
        <w:rPr>
          <w:rFonts w:asciiTheme="majorHAnsi" w:hAnsiTheme="majorHAnsi" w:cstheme="majorHAnsi"/>
          <w:sz w:val="16"/>
          <w:szCs w:val="16"/>
        </w:rPr>
        <w:t>Mantoux</w:t>
      </w:r>
      <w:proofErr w:type="spellEnd"/>
      <w:r w:rsidRPr="00AB06D7">
        <w:rPr>
          <w:rFonts w:asciiTheme="majorHAnsi" w:hAnsiTheme="majorHAnsi" w:cstheme="majorHAnsi"/>
          <w:sz w:val="16"/>
          <w:szCs w:val="16"/>
        </w:rPr>
        <w:t xml:space="preserve"> testing in some, or all PLWH. </w:t>
      </w:r>
      <w:r>
        <w:rPr>
          <w:rFonts w:asciiTheme="majorHAnsi" w:hAnsiTheme="majorHAnsi" w:cstheme="majorHAnsi"/>
          <w:sz w:val="16"/>
          <w:szCs w:val="16"/>
        </w:rPr>
        <w:t>We have a</w:t>
      </w:r>
      <w:r w:rsidRPr="00AB06D7">
        <w:rPr>
          <w:rFonts w:asciiTheme="majorHAnsi" w:hAnsiTheme="majorHAnsi" w:cstheme="majorHAnsi"/>
          <w:sz w:val="16"/>
          <w:szCs w:val="16"/>
        </w:rPr>
        <w:t>ssum</w:t>
      </w:r>
      <w:r>
        <w:rPr>
          <w:rFonts w:asciiTheme="majorHAnsi" w:hAnsiTheme="majorHAnsi" w:cstheme="majorHAnsi"/>
          <w:sz w:val="16"/>
          <w:szCs w:val="16"/>
        </w:rPr>
        <w:t>ed</w:t>
      </w:r>
      <w:r w:rsidRPr="00AB06D7">
        <w:rPr>
          <w:rFonts w:asciiTheme="majorHAnsi" w:hAnsiTheme="majorHAnsi" w:cstheme="majorHAnsi"/>
          <w:sz w:val="16"/>
          <w:szCs w:val="16"/>
        </w:rPr>
        <w:t xml:space="preserve"> in this table that IGRA is as effective at diagnosing LTBI </w:t>
      </w:r>
      <w:r>
        <w:rPr>
          <w:rFonts w:asciiTheme="majorHAnsi" w:hAnsiTheme="majorHAnsi" w:cstheme="majorHAnsi"/>
          <w:sz w:val="16"/>
          <w:szCs w:val="16"/>
        </w:rPr>
        <w:t>as</w:t>
      </w:r>
      <w:r w:rsidRPr="00AB06D7">
        <w:rPr>
          <w:rFonts w:asciiTheme="majorHAnsi" w:hAnsiTheme="majorHAnsi" w:cstheme="majorHAnsi"/>
          <w:sz w:val="16"/>
          <w:szCs w:val="16"/>
        </w:rPr>
        <w:t xml:space="preserve"> </w:t>
      </w:r>
      <w:proofErr w:type="spellStart"/>
      <w:r w:rsidRPr="00AB06D7">
        <w:rPr>
          <w:rFonts w:asciiTheme="majorHAnsi" w:hAnsiTheme="majorHAnsi" w:cstheme="majorHAnsi"/>
          <w:sz w:val="16"/>
          <w:szCs w:val="16"/>
        </w:rPr>
        <w:t>Mantoux</w:t>
      </w:r>
      <w:proofErr w:type="spellEnd"/>
      <w:r>
        <w:rPr>
          <w:rFonts w:asciiTheme="majorHAnsi" w:hAnsiTheme="majorHAnsi" w:cstheme="majorHAnsi"/>
          <w:sz w:val="16"/>
          <w:szCs w:val="16"/>
        </w:rPr>
        <w:t>.</w:t>
      </w:r>
    </w:p>
    <w:p w14:paraId="2BC8C6F5" w14:textId="77777777" w:rsidR="00DB689F" w:rsidRPr="00AB06D7" w:rsidRDefault="00DB689F" w:rsidP="00DB689F">
      <w:pPr>
        <w:spacing w:line="480" w:lineRule="auto"/>
        <w:rPr>
          <w:rFonts w:asciiTheme="majorHAnsi" w:hAnsiTheme="majorHAnsi" w:cstheme="majorHAnsi"/>
          <w:sz w:val="16"/>
          <w:szCs w:val="16"/>
        </w:rPr>
      </w:pPr>
      <w:r w:rsidRPr="00431F70">
        <w:rPr>
          <w:rFonts w:asciiTheme="majorHAnsi" w:hAnsiTheme="majorHAnsi" w:cstheme="majorHAnsi"/>
          <w:sz w:val="16"/>
          <w:szCs w:val="16"/>
        </w:rPr>
        <w:t>† R</w:t>
      </w:r>
      <w:r w:rsidRPr="00AB06D7">
        <w:rPr>
          <w:rFonts w:asciiTheme="majorHAnsi" w:hAnsiTheme="majorHAnsi" w:cstheme="majorHAnsi"/>
          <w:sz w:val="16"/>
          <w:szCs w:val="16"/>
        </w:rPr>
        <w:t>ecommends screening all those from high (</w:t>
      </w:r>
      <w:r w:rsidRPr="00AB06D7">
        <w:rPr>
          <w:rFonts w:asciiTheme="majorHAnsi" w:hAnsiTheme="majorHAnsi" w:cstheme="majorHAnsi"/>
          <w:color w:val="000000"/>
          <w:sz w:val="16"/>
          <w:szCs w:val="16"/>
        </w:rPr>
        <w:t>≥</w:t>
      </w:r>
      <w:r w:rsidRPr="00AB06D7">
        <w:rPr>
          <w:rFonts w:asciiTheme="majorHAnsi" w:hAnsiTheme="majorHAnsi" w:cstheme="majorHAnsi"/>
          <w:sz w:val="16"/>
          <w:szCs w:val="16"/>
        </w:rPr>
        <w:t>150/100,000 population) or medium (40-150/100,000 population) TB incidence countries; only screening those from low TB burden countries (&lt;40/100,000 population) if additional risk factors for TB are present</w:t>
      </w:r>
      <w:r>
        <w:rPr>
          <w:rFonts w:asciiTheme="majorHAnsi" w:hAnsiTheme="majorHAnsi" w:cstheme="majorHAnsi"/>
          <w:sz w:val="16"/>
          <w:szCs w:val="16"/>
        </w:rPr>
        <w:t>: CD4 cell count</w:t>
      </w:r>
      <w:r w:rsidRPr="00AB06D7">
        <w:rPr>
          <w:rFonts w:asciiTheme="majorHAnsi" w:hAnsiTheme="majorHAnsi" w:cstheme="majorHAnsi"/>
          <w:sz w:val="16"/>
          <w:szCs w:val="16"/>
        </w:rPr>
        <w:t xml:space="preserve"> </w:t>
      </w:r>
      <w:r>
        <w:rPr>
          <w:rFonts w:asciiTheme="majorHAnsi" w:hAnsiTheme="majorHAnsi" w:cstheme="majorHAnsi"/>
          <w:sz w:val="16"/>
          <w:szCs w:val="16"/>
        </w:rPr>
        <w:t>&lt;200 cells/mm</w:t>
      </w:r>
      <w:r w:rsidRPr="00CB7106">
        <w:rPr>
          <w:rFonts w:asciiTheme="majorHAnsi" w:hAnsiTheme="majorHAnsi" w:cstheme="majorHAnsi"/>
          <w:sz w:val="16"/>
          <w:szCs w:val="16"/>
          <w:vertAlign w:val="superscript"/>
        </w:rPr>
        <w:t>3</w:t>
      </w:r>
      <w:r>
        <w:rPr>
          <w:rFonts w:asciiTheme="majorHAnsi" w:hAnsiTheme="majorHAnsi" w:cstheme="majorHAnsi"/>
          <w:sz w:val="16"/>
          <w:szCs w:val="16"/>
        </w:rPr>
        <w:t xml:space="preserve">; recent exposure to a known TB case; diabetes mellitus; stage 4/5 chronic kidney disease; receipt of chemotherapy for malignancy; immunosuppression following transplantation; biological disease modifiers for inflammatory conditions; prolonged duration of high-dose corticosteroids </w:t>
      </w:r>
      <w:r w:rsidRPr="00CB7106">
        <w:rPr>
          <w:rFonts w:asciiTheme="majorHAnsi" w:hAnsiTheme="majorHAnsi" w:cstheme="majorHAnsi"/>
          <w:sz w:val="16"/>
          <w:szCs w:val="16"/>
        </w:rPr>
        <w:t>(prednisolone 20 mg od, or equivalent, for ≥2 months); travel to or periods of time spent in medium- or high-incidence countries; history of working in medical settings in countries with medium or high TB incidence; injecting drug use</w:t>
      </w:r>
      <w:r>
        <w:rPr>
          <w:rFonts w:asciiTheme="majorHAnsi" w:hAnsiTheme="majorHAnsi" w:cstheme="majorHAnsi"/>
          <w:sz w:val="16"/>
          <w:szCs w:val="16"/>
        </w:rPr>
        <w:t xml:space="preserve"> (detailed in Table 6.1 of guidance</w:t>
      </w:r>
      <w:r w:rsidRPr="00226463">
        <w:rPr>
          <w:rFonts w:asciiTheme="majorHAnsi" w:hAnsiTheme="majorHAnsi" w:cstheme="majorHAnsi"/>
          <w:sz w:val="16"/>
          <w:szCs w:val="16"/>
        </w:rPr>
      </w:r>
      <w:r>
        <w:rPr>
          <w:rFonts w:asciiTheme="majorHAnsi" w:hAnsiTheme="majorHAnsi" w:cstheme="majorHAnsi"/>
          <w:sz w:val="16"/>
          <w:szCs w:val="16"/>
        </w:rPr>
        <w:instrText xml:space="preserve"/>
      </w:r>
      <w:r w:rsidRPr="00226463">
        <w:rPr>
          <w:rFonts w:asciiTheme="majorHAnsi" w:hAnsiTheme="majorHAnsi" w:cstheme="majorHAnsi"/>
          <w:sz w:val="16"/>
          <w:szCs w:val="16"/>
        </w:rPr>
      </w:r>
      <w:r w:rsidRPr="004E5082">
        <w:rPr>
          <w:rFonts w:asciiTheme="majorHAnsi" w:hAnsiTheme="majorHAnsi" w:cstheme="majorHAnsi"/>
          <w:noProof/>
          <w:sz w:val="16"/>
          <w:szCs w:val="16"/>
          <w:vertAlign w:val="superscript"/>
        </w:rPr>
        <w:t>[14]</w:t>
      </w:r>
      <w:r w:rsidRPr="00226463">
        <w:rPr>
          <w:rFonts w:asciiTheme="majorHAnsi" w:hAnsiTheme="majorHAnsi" w:cstheme="majorHAnsi"/>
          <w:sz w:val="16"/>
          <w:szCs w:val="16"/>
        </w:rPr>
      </w:r>
      <w:r>
        <w:rPr>
          <w:rFonts w:asciiTheme="majorHAnsi" w:hAnsiTheme="majorHAnsi" w:cstheme="majorHAnsi"/>
          <w:sz w:val="16"/>
          <w:szCs w:val="16"/>
        </w:rPr>
        <w:t>).</w:t>
      </w:r>
    </w:p>
    <w:p w14:paraId="5085673D" w14:textId="77777777" w:rsidR="00DB689F" w:rsidRPr="003B0558" w:rsidRDefault="00DB689F" w:rsidP="00DB689F">
      <w:pPr>
        <w:spacing w:line="480" w:lineRule="auto"/>
        <w:rPr>
          <w:rFonts w:asciiTheme="majorHAnsi" w:hAnsiTheme="majorHAnsi" w:cstheme="majorHAnsi"/>
          <w:color w:val="000000"/>
          <w:sz w:val="16"/>
          <w:szCs w:val="16"/>
        </w:rPr>
      </w:pPr>
      <w:r>
        <w:rPr>
          <w:rFonts w:asciiTheme="majorHAnsi" w:hAnsiTheme="majorHAnsi" w:cstheme="majorHAnsi"/>
          <w:sz w:val="16"/>
          <w:szCs w:val="16"/>
        </w:rPr>
        <w:t>‡ T</w:t>
      </w:r>
      <w:r w:rsidRPr="00AB06D7">
        <w:rPr>
          <w:rFonts w:asciiTheme="majorHAnsi" w:hAnsiTheme="majorHAnsi" w:cstheme="majorHAnsi"/>
          <w:sz w:val="16"/>
          <w:szCs w:val="16"/>
        </w:rPr>
        <w:t xml:space="preserve">his figure is an underestimate (includes all patients from countries where TB </w:t>
      </w:r>
      <w:r>
        <w:rPr>
          <w:rFonts w:asciiTheme="majorHAnsi" w:hAnsiTheme="majorHAnsi" w:cstheme="majorHAnsi"/>
          <w:color w:val="000000"/>
          <w:sz w:val="16"/>
          <w:szCs w:val="16"/>
        </w:rPr>
        <w:t>≥40/100,000 population; plus 4</w:t>
      </w:r>
      <w:r w:rsidRPr="00AB06D7">
        <w:rPr>
          <w:rFonts w:asciiTheme="majorHAnsi" w:hAnsiTheme="majorHAnsi" w:cstheme="majorHAnsi"/>
          <w:color w:val="000000"/>
          <w:sz w:val="16"/>
          <w:szCs w:val="16"/>
        </w:rPr>
        <w:t xml:space="preserve"> IGRA positive patients from countries where TB incidence &lt;40/100,000 for whom BHIVA cited additional risk factors were evident, but does not include patients with negative IGRA results from countries where TB incidence &lt;40/100,000 because BHIVA</w:t>
      </w:r>
      <w:r>
        <w:rPr>
          <w:rFonts w:asciiTheme="majorHAnsi" w:hAnsiTheme="majorHAnsi" w:cstheme="majorHAnsi"/>
          <w:color w:val="000000"/>
          <w:sz w:val="16"/>
          <w:szCs w:val="16"/>
        </w:rPr>
        <w:t>-</w:t>
      </w:r>
      <w:r w:rsidRPr="00AB06D7">
        <w:rPr>
          <w:rFonts w:asciiTheme="majorHAnsi" w:hAnsiTheme="majorHAnsi" w:cstheme="majorHAnsi"/>
          <w:color w:val="000000"/>
          <w:sz w:val="16"/>
          <w:szCs w:val="16"/>
        </w:rPr>
        <w:t>cited risk factors were not collected prospectivel</w:t>
      </w:r>
      <w:r>
        <w:rPr>
          <w:rFonts w:asciiTheme="majorHAnsi" w:hAnsiTheme="majorHAnsi" w:cstheme="majorHAnsi"/>
          <w:color w:val="000000"/>
          <w:sz w:val="16"/>
          <w:szCs w:val="16"/>
        </w:rPr>
        <w:t>y</w:t>
      </w:r>
    </w:p>
    <w:p w14:paraId="40E46607" w14:textId="77777777" w:rsidR="00DB689F" w:rsidRPr="003B0558" w:rsidRDefault="00DB689F" w:rsidP="003B0558">
      <w:pPr>
        <w:spacing w:line="480" w:lineRule="auto"/>
        <w:rPr>
          <w:rFonts w:asciiTheme="majorHAnsi" w:hAnsiTheme="majorHAnsi" w:cstheme="majorHAnsi"/>
          <w:color w:val="000000"/>
          <w:sz w:val="16"/>
          <w:szCs w:val="16"/>
        </w:rPr>
      </w:pPr>
    </w:p>
    <w:sectPr w:rsidR="00DB689F" w:rsidRPr="003B0558" w:rsidSect="003B0558">
      <w:pgSz w:w="16840" w:h="11900" w:orient="landscape"/>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B69FB" w14:textId="77777777" w:rsidR="000A7766" w:rsidRDefault="000A7766">
      <w:r>
        <w:separator/>
      </w:r>
    </w:p>
  </w:endnote>
  <w:endnote w:type="continuationSeparator" w:id="0">
    <w:p w14:paraId="60C94AF6" w14:textId="77777777" w:rsidR="000A7766" w:rsidRDefault="000A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calaLancetPro-Bold">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7E889" w14:textId="77777777" w:rsidR="000A7766" w:rsidRDefault="000A7766" w:rsidP="00DF023A">
    <w:pPr>
      <w:pStyle w:val="Footer"/>
      <w:framePr w:wrap="around" w:vAnchor="text" w:hAnchor="margin" w:xAlign="right" w:y="1"/>
      <w:rPr>
        <w:rStyle w:val="PageNumber"/>
      </w:rPr>
    </w:pPr>
  </w:p>
  <w:p w14:paraId="6990BE49" w14:textId="77777777" w:rsidR="000A7766" w:rsidRDefault="000A7766" w:rsidP="00DF02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F8F14" w14:textId="53DC7103" w:rsidR="000A7766" w:rsidRDefault="000A7766">
    <w:pPr>
      <w:pStyle w:val="Footer"/>
      <w:jc w:val="right"/>
    </w:pPr>
  </w:p>
  <w:p w14:paraId="145CE3B0" w14:textId="77777777" w:rsidR="000A7766" w:rsidRDefault="000A7766" w:rsidP="00DF023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7D865" w14:textId="77777777" w:rsidR="000A7766" w:rsidRDefault="000A7766">
      <w:r>
        <w:separator/>
      </w:r>
    </w:p>
  </w:footnote>
  <w:footnote w:type="continuationSeparator" w:id="0">
    <w:p w14:paraId="0544A7F3" w14:textId="77777777" w:rsidR="000A7766" w:rsidRDefault="000A7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929203"/>
      <w:docPartObj>
        <w:docPartGallery w:val="Page Numbers (Top of Page)"/>
        <w:docPartUnique/>
      </w:docPartObj>
    </w:sdtPr>
    <w:sdtEndPr>
      <w:rPr>
        <w:noProof/>
      </w:rPr>
    </w:sdtEndPr>
    <w:sdtContent>
      <w:p w14:paraId="3B23E1D4" w14:textId="664D84A6" w:rsidR="000A7766" w:rsidRDefault="000A7766">
        <w:pPr>
          <w:pStyle w:val="Header"/>
          <w:jc w:val="right"/>
        </w:pPr>
        <w:r>
          <w:fldChar w:fldCharType="begin"/>
        </w:r>
        <w:r>
          <w:instrText xml:space="preserve"> PAGE   \* MERGEFORMAT </w:instrText>
        </w:r>
        <w:r>
          <w:fldChar w:fldCharType="separate"/>
        </w:r>
        <w:r w:rsidR="0082666E">
          <w:rPr>
            <w:noProof/>
          </w:rPr>
          <w:t>28</w:t>
        </w:r>
        <w:r>
          <w:rPr>
            <w:noProof/>
          </w:rPr>
          <w:fldChar w:fldCharType="end"/>
        </w:r>
      </w:p>
    </w:sdtContent>
  </w:sdt>
  <w:p w14:paraId="0FD5AC45" w14:textId="77777777" w:rsidR="000A7766" w:rsidRDefault="000A77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0A841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CC71FB"/>
    <w:multiLevelType w:val="multilevel"/>
    <w:tmpl w:val="F33E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3C5545"/>
    <w:multiLevelType w:val="hybridMultilevel"/>
    <w:tmpl w:val="BDCE1270"/>
    <w:lvl w:ilvl="0" w:tplc="611C01C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C725A"/>
    <w:multiLevelType w:val="hybridMultilevel"/>
    <w:tmpl w:val="E564BE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nsid w:val="19FF7F95"/>
    <w:multiLevelType w:val="hybridMultilevel"/>
    <w:tmpl w:val="A7109F1A"/>
    <w:lvl w:ilvl="0" w:tplc="B4CA5B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075912"/>
    <w:multiLevelType w:val="hybridMultilevel"/>
    <w:tmpl w:val="BCEE6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9E683D"/>
    <w:multiLevelType w:val="hybridMultilevel"/>
    <w:tmpl w:val="3D9E57B8"/>
    <w:lvl w:ilvl="0" w:tplc="7D50D21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9D553D"/>
    <w:multiLevelType w:val="hybridMultilevel"/>
    <w:tmpl w:val="B492F54C"/>
    <w:lvl w:ilvl="0" w:tplc="96829474">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130084"/>
    <w:multiLevelType w:val="hybridMultilevel"/>
    <w:tmpl w:val="CDAA7CFA"/>
    <w:lvl w:ilvl="0" w:tplc="31620AA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C23EA1"/>
    <w:multiLevelType w:val="hybridMultilevel"/>
    <w:tmpl w:val="29C49D56"/>
    <w:lvl w:ilvl="0" w:tplc="3A32D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60242A"/>
    <w:multiLevelType w:val="hybridMultilevel"/>
    <w:tmpl w:val="7440604A"/>
    <w:lvl w:ilvl="0" w:tplc="91D8B454">
      <w:start w:val="768"/>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nsid w:val="47AC5ED0"/>
    <w:multiLevelType w:val="multilevel"/>
    <w:tmpl w:val="3F40F420"/>
    <w:lvl w:ilvl="0">
      <w:start w:val="1"/>
      <w:numFmt w:val="decimal"/>
      <w:lvlText w:val="%1"/>
      <w:lvlJc w:val="left"/>
      <w:pPr>
        <w:ind w:left="420" w:hanging="420"/>
      </w:pPr>
      <w:rPr>
        <w:rFonts w:hint="default"/>
      </w:rPr>
    </w:lvl>
    <w:lvl w:ilvl="1">
      <w:start w:val="1"/>
      <w:numFmt w:val="decimal"/>
      <w:pStyle w:val="Heading2"/>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3D13548"/>
    <w:multiLevelType w:val="hybridMultilevel"/>
    <w:tmpl w:val="A2DEC6DE"/>
    <w:lvl w:ilvl="0" w:tplc="E85A47CC">
      <w:start w:val="1"/>
      <w:numFmt w:val="bullet"/>
      <w:lvlText w:val=""/>
      <w:lvlJc w:val="left"/>
      <w:pPr>
        <w:ind w:left="720" w:hanging="360"/>
      </w:pPr>
      <w:rPr>
        <w:rFonts w:ascii="Symbol" w:hAnsi="Symbol"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E610B1"/>
    <w:multiLevelType w:val="hybridMultilevel"/>
    <w:tmpl w:val="2BE0A36A"/>
    <w:lvl w:ilvl="0" w:tplc="9D125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326DF7"/>
    <w:multiLevelType w:val="hybridMultilevel"/>
    <w:tmpl w:val="C794EF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9C2572"/>
    <w:multiLevelType w:val="multilevel"/>
    <w:tmpl w:val="7F10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050C25"/>
    <w:multiLevelType w:val="hybridMultilevel"/>
    <w:tmpl w:val="05CA51DC"/>
    <w:lvl w:ilvl="0" w:tplc="F6CEFE0A">
      <w:start w:val="1"/>
      <w:numFmt w:val="bullet"/>
      <w:lvlText w:val=""/>
      <w:lvlJc w:val="left"/>
      <w:pPr>
        <w:ind w:left="720" w:hanging="360"/>
      </w:pPr>
      <w:rPr>
        <w:rFonts w:ascii="Symbol" w:hAnsi="Symbol" w:hint="default"/>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82186A"/>
    <w:multiLevelType w:val="multilevel"/>
    <w:tmpl w:val="7F0C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867655E"/>
    <w:multiLevelType w:val="multilevel"/>
    <w:tmpl w:val="059C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BCF02DA"/>
    <w:multiLevelType w:val="hybridMultilevel"/>
    <w:tmpl w:val="F97EF0FC"/>
    <w:lvl w:ilvl="0" w:tplc="8AE60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1"/>
  </w:num>
  <w:num w:numId="5">
    <w:abstractNumId w:val="14"/>
  </w:num>
  <w:num w:numId="6">
    <w:abstractNumId w:val="16"/>
  </w:num>
  <w:num w:numId="7">
    <w:abstractNumId w:val="12"/>
  </w:num>
  <w:num w:numId="8">
    <w:abstractNumId w:val="5"/>
  </w:num>
  <w:num w:numId="9">
    <w:abstractNumId w:val="11"/>
  </w:num>
  <w:num w:numId="10">
    <w:abstractNumId w:val="11"/>
    <w:lvlOverride w:ilvl="0">
      <w:startOverride w:val="1"/>
    </w:lvlOverride>
    <w:lvlOverride w:ilvl="1">
      <w:startOverride w:val="5"/>
    </w:lvlOverride>
  </w:num>
  <w:num w:numId="11">
    <w:abstractNumId w:val="11"/>
    <w:lvlOverride w:ilvl="0">
      <w:startOverride w:val="2"/>
    </w:lvlOverride>
    <w:lvlOverride w:ilvl="1">
      <w:startOverride w:val="1"/>
    </w:lvlOverride>
  </w:num>
  <w:num w:numId="12">
    <w:abstractNumId w:val="11"/>
    <w:lvlOverride w:ilvl="0">
      <w:startOverride w:val="2"/>
    </w:lvlOverride>
    <w:lvlOverride w:ilvl="1">
      <w:startOverride w:val="1"/>
    </w:lvlOverride>
  </w:num>
  <w:num w:numId="13">
    <w:abstractNumId w:val="11"/>
    <w:lvlOverride w:ilvl="0">
      <w:startOverride w:val="2"/>
    </w:lvlOverride>
    <w:lvlOverride w:ilvl="1">
      <w:startOverride w:val="2"/>
    </w:lvlOverride>
  </w:num>
  <w:num w:numId="14">
    <w:abstractNumId w:val="11"/>
    <w:lvlOverride w:ilvl="0">
      <w:startOverride w:val="2"/>
    </w:lvlOverride>
    <w:lvlOverride w:ilvl="1">
      <w:startOverride w:val="2"/>
    </w:lvlOverride>
  </w:num>
  <w:num w:numId="15">
    <w:abstractNumId w:val="11"/>
    <w:lvlOverride w:ilvl="0">
      <w:startOverride w:val="2"/>
    </w:lvlOverride>
    <w:lvlOverride w:ilvl="1">
      <w:startOverride w:val="2"/>
    </w:lvlOverride>
  </w:num>
  <w:num w:numId="16">
    <w:abstractNumId w:val="11"/>
    <w:lvlOverride w:ilvl="0">
      <w:startOverride w:val="2"/>
    </w:lvlOverride>
    <w:lvlOverride w:ilvl="1">
      <w:startOverride w:val="2"/>
    </w:lvlOverride>
  </w:num>
  <w:num w:numId="17">
    <w:abstractNumId w:val="11"/>
    <w:lvlOverride w:ilvl="0">
      <w:startOverride w:val="2"/>
    </w:lvlOverride>
    <w:lvlOverride w:ilvl="1">
      <w:startOverride w:val="2"/>
    </w:lvlOverride>
  </w:num>
  <w:num w:numId="18">
    <w:abstractNumId w:val="19"/>
  </w:num>
  <w:num w:numId="19">
    <w:abstractNumId w:val="4"/>
  </w:num>
  <w:num w:numId="20">
    <w:abstractNumId w:val="9"/>
  </w:num>
  <w:num w:numId="21">
    <w:abstractNumId w:val="2"/>
  </w:num>
  <w:num w:numId="22">
    <w:abstractNumId w:val="6"/>
  </w:num>
  <w:num w:numId="23">
    <w:abstractNumId w:val="8"/>
  </w:num>
  <w:num w:numId="24">
    <w:abstractNumId w:val="13"/>
  </w:num>
  <w:num w:numId="25">
    <w:abstractNumId w:val="15"/>
  </w:num>
  <w:num w:numId="26">
    <w:abstractNumId w:val="11"/>
  </w:num>
  <w:num w:numId="27">
    <w:abstractNumId w:val="11"/>
  </w:num>
  <w:num w:numId="28">
    <w:abstractNumId w:val="17"/>
  </w:num>
  <w:num w:numId="29">
    <w:abstractNumId w:val="1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ID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eepva50uzztsje25rb5efeudfz2ea2t5z90&quot;&gt;Helena_paper-Converted&lt;record-ids&gt;&lt;item&gt;1&lt;/item&gt;&lt;item&gt;2&lt;/item&gt;&lt;item&gt;3&lt;/item&gt;&lt;item&gt;4&lt;/item&gt;&lt;item&gt;5&lt;/item&gt;&lt;item&gt;6&lt;/item&gt;&lt;item&gt;7&lt;/item&gt;&lt;item&gt;8&lt;/item&gt;&lt;item&gt;9&lt;/item&gt;&lt;item&gt;13&lt;/item&gt;&lt;item&gt;14&lt;/item&gt;&lt;item&gt;19&lt;/item&gt;&lt;item&gt;22&lt;/item&gt;&lt;item&gt;32&lt;/item&gt;&lt;item&gt;33&lt;/item&gt;&lt;item&gt;34&lt;/item&gt;&lt;item&gt;36&lt;/item&gt;&lt;item&gt;38&lt;/item&gt;&lt;item&gt;39&lt;/item&gt;&lt;item&gt;40&lt;/item&gt;&lt;item&gt;41&lt;/item&gt;&lt;item&gt;42&lt;/item&gt;&lt;item&gt;45&lt;/item&gt;&lt;item&gt;46&lt;/item&gt;&lt;item&gt;49&lt;/item&gt;&lt;item&gt;50&lt;/item&gt;&lt;item&gt;51&lt;/item&gt;&lt;item&gt;52&lt;/item&gt;&lt;item&gt;53&lt;/item&gt;&lt;item&gt;54&lt;/item&gt;&lt;item&gt;55&lt;/item&gt;&lt;/record-ids&gt;&lt;/item&gt;&lt;/Libraries&gt;"/>
  </w:docVars>
  <w:rsids>
    <w:rsidRoot w:val="00E437E5"/>
    <w:rsid w:val="000011B5"/>
    <w:rsid w:val="000017DA"/>
    <w:rsid w:val="000072BF"/>
    <w:rsid w:val="00007481"/>
    <w:rsid w:val="00010006"/>
    <w:rsid w:val="00011B17"/>
    <w:rsid w:val="00013156"/>
    <w:rsid w:val="000135C4"/>
    <w:rsid w:val="00016F77"/>
    <w:rsid w:val="00017C67"/>
    <w:rsid w:val="000208B6"/>
    <w:rsid w:val="00021B36"/>
    <w:rsid w:val="00021F0A"/>
    <w:rsid w:val="0002592F"/>
    <w:rsid w:val="00026A36"/>
    <w:rsid w:val="00026D0A"/>
    <w:rsid w:val="0002726F"/>
    <w:rsid w:val="00031ACF"/>
    <w:rsid w:val="000327C3"/>
    <w:rsid w:val="00033861"/>
    <w:rsid w:val="00033943"/>
    <w:rsid w:val="000360B1"/>
    <w:rsid w:val="00036308"/>
    <w:rsid w:val="00036C40"/>
    <w:rsid w:val="000374F2"/>
    <w:rsid w:val="000406C7"/>
    <w:rsid w:val="000425CA"/>
    <w:rsid w:val="000426AA"/>
    <w:rsid w:val="000427D0"/>
    <w:rsid w:val="00043A01"/>
    <w:rsid w:val="00043A2D"/>
    <w:rsid w:val="00047D41"/>
    <w:rsid w:val="00050B5A"/>
    <w:rsid w:val="00055896"/>
    <w:rsid w:val="00056D4C"/>
    <w:rsid w:val="00057375"/>
    <w:rsid w:val="00060881"/>
    <w:rsid w:val="00062544"/>
    <w:rsid w:val="00067FC5"/>
    <w:rsid w:val="00070C59"/>
    <w:rsid w:val="0007188D"/>
    <w:rsid w:val="00073E07"/>
    <w:rsid w:val="00074D2E"/>
    <w:rsid w:val="00076695"/>
    <w:rsid w:val="0008036B"/>
    <w:rsid w:val="000808B7"/>
    <w:rsid w:val="0008370A"/>
    <w:rsid w:val="000837E1"/>
    <w:rsid w:val="00083A23"/>
    <w:rsid w:val="00084959"/>
    <w:rsid w:val="000859CE"/>
    <w:rsid w:val="00091EA6"/>
    <w:rsid w:val="000936D4"/>
    <w:rsid w:val="00095300"/>
    <w:rsid w:val="00095896"/>
    <w:rsid w:val="00095E51"/>
    <w:rsid w:val="00096051"/>
    <w:rsid w:val="0009794F"/>
    <w:rsid w:val="000A0307"/>
    <w:rsid w:val="000A07AB"/>
    <w:rsid w:val="000A18A5"/>
    <w:rsid w:val="000A18FC"/>
    <w:rsid w:val="000A1C37"/>
    <w:rsid w:val="000A273D"/>
    <w:rsid w:val="000A29A5"/>
    <w:rsid w:val="000A4390"/>
    <w:rsid w:val="000A59A7"/>
    <w:rsid w:val="000A5C55"/>
    <w:rsid w:val="000A67D0"/>
    <w:rsid w:val="000A7766"/>
    <w:rsid w:val="000B027C"/>
    <w:rsid w:val="000B1B1A"/>
    <w:rsid w:val="000B3708"/>
    <w:rsid w:val="000B3F85"/>
    <w:rsid w:val="000B6CC1"/>
    <w:rsid w:val="000C0460"/>
    <w:rsid w:val="000C5523"/>
    <w:rsid w:val="000C73AF"/>
    <w:rsid w:val="000D1FDB"/>
    <w:rsid w:val="000D2211"/>
    <w:rsid w:val="000D25E8"/>
    <w:rsid w:val="000D26BC"/>
    <w:rsid w:val="000D443E"/>
    <w:rsid w:val="000D69DE"/>
    <w:rsid w:val="000D748B"/>
    <w:rsid w:val="000E0704"/>
    <w:rsid w:val="000E0ABD"/>
    <w:rsid w:val="000E1757"/>
    <w:rsid w:val="000E4452"/>
    <w:rsid w:val="000E5909"/>
    <w:rsid w:val="000E72A9"/>
    <w:rsid w:val="000E744C"/>
    <w:rsid w:val="000E7586"/>
    <w:rsid w:val="000F071F"/>
    <w:rsid w:val="000F0C45"/>
    <w:rsid w:val="000F0CC8"/>
    <w:rsid w:val="000F11D0"/>
    <w:rsid w:val="000F35F1"/>
    <w:rsid w:val="000F3DB0"/>
    <w:rsid w:val="000F49FE"/>
    <w:rsid w:val="000F5629"/>
    <w:rsid w:val="000F6003"/>
    <w:rsid w:val="00100C22"/>
    <w:rsid w:val="00101B5B"/>
    <w:rsid w:val="00104587"/>
    <w:rsid w:val="00105883"/>
    <w:rsid w:val="00105C51"/>
    <w:rsid w:val="00110DA2"/>
    <w:rsid w:val="0011126A"/>
    <w:rsid w:val="00113297"/>
    <w:rsid w:val="00113D1A"/>
    <w:rsid w:val="001165C6"/>
    <w:rsid w:val="00117D9A"/>
    <w:rsid w:val="001215CE"/>
    <w:rsid w:val="0012162A"/>
    <w:rsid w:val="0012165B"/>
    <w:rsid w:val="00121D30"/>
    <w:rsid w:val="00126EAE"/>
    <w:rsid w:val="0013002B"/>
    <w:rsid w:val="00132935"/>
    <w:rsid w:val="00134C64"/>
    <w:rsid w:val="00134CA2"/>
    <w:rsid w:val="00136AC6"/>
    <w:rsid w:val="00142B51"/>
    <w:rsid w:val="00142C64"/>
    <w:rsid w:val="00143FCA"/>
    <w:rsid w:val="00146CC9"/>
    <w:rsid w:val="001532DD"/>
    <w:rsid w:val="00154164"/>
    <w:rsid w:val="00154C36"/>
    <w:rsid w:val="0016145A"/>
    <w:rsid w:val="00164C7C"/>
    <w:rsid w:val="001668CE"/>
    <w:rsid w:val="00166DBB"/>
    <w:rsid w:val="001728E2"/>
    <w:rsid w:val="001736E6"/>
    <w:rsid w:val="001760BD"/>
    <w:rsid w:val="001803F5"/>
    <w:rsid w:val="00181B91"/>
    <w:rsid w:val="00181C1C"/>
    <w:rsid w:val="00183030"/>
    <w:rsid w:val="0018317F"/>
    <w:rsid w:val="00183E99"/>
    <w:rsid w:val="00191B3E"/>
    <w:rsid w:val="00191CB2"/>
    <w:rsid w:val="00192206"/>
    <w:rsid w:val="00192DB0"/>
    <w:rsid w:val="0019380A"/>
    <w:rsid w:val="00193B0A"/>
    <w:rsid w:val="00196615"/>
    <w:rsid w:val="00196A82"/>
    <w:rsid w:val="00197CD8"/>
    <w:rsid w:val="00197E87"/>
    <w:rsid w:val="001A1206"/>
    <w:rsid w:val="001A204F"/>
    <w:rsid w:val="001A25C4"/>
    <w:rsid w:val="001A2CE6"/>
    <w:rsid w:val="001A4406"/>
    <w:rsid w:val="001B0A25"/>
    <w:rsid w:val="001B29E9"/>
    <w:rsid w:val="001B329F"/>
    <w:rsid w:val="001B37C2"/>
    <w:rsid w:val="001B41E4"/>
    <w:rsid w:val="001B4527"/>
    <w:rsid w:val="001B4D46"/>
    <w:rsid w:val="001B5B3A"/>
    <w:rsid w:val="001B5CB2"/>
    <w:rsid w:val="001B7159"/>
    <w:rsid w:val="001B7166"/>
    <w:rsid w:val="001C05AC"/>
    <w:rsid w:val="001C2ADE"/>
    <w:rsid w:val="001C3F46"/>
    <w:rsid w:val="001C44CE"/>
    <w:rsid w:val="001C472D"/>
    <w:rsid w:val="001C50BE"/>
    <w:rsid w:val="001C603E"/>
    <w:rsid w:val="001C7185"/>
    <w:rsid w:val="001C787A"/>
    <w:rsid w:val="001D1EAD"/>
    <w:rsid w:val="001D2E28"/>
    <w:rsid w:val="001D40A5"/>
    <w:rsid w:val="001D413A"/>
    <w:rsid w:val="001D4CC8"/>
    <w:rsid w:val="001D4FA1"/>
    <w:rsid w:val="001D7661"/>
    <w:rsid w:val="001E207F"/>
    <w:rsid w:val="001E3D28"/>
    <w:rsid w:val="001E5A99"/>
    <w:rsid w:val="001E66F8"/>
    <w:rsid w:val="001F0276"/>
    <w:rsid w:val="001F16DB"/>
    <w:rsid w:val="001F3D10"/>
    <w:rsid w:val="002012C3"/>
    <w:rsid w:val="00201AEC"/>
    <w:rsid w:val="00201B5E"/>
    <w:rsid w:val="00205EEB"/>
    <w:rsid w:val="002067ED"/>
    <w:rsid w:val="002067F7"/>
    <w:rsid w:val="00207F94"/>
    <w:rsid w:val="00210F32"/>
    <w:rsid w:val="00211BC5"/>
    <w:rsid w:val="00212ED9"/>
    <w:rsid w:val="00214236"/>
    <w:rsid w:val="00216556"/>
    <w:rsid w:val="00221521"/>
    <w:rsid w:val="00221DE8"/>
    <w:rsid w:val="00224216"/>
    <w:rsid w:val="00224595"/>
    <w:rsid w:val="0022584C"/>
    <w:rsid w:val="002259C9"/>
    <w:rsid w:val="00226463"/>
    <w:rsid w:val="00226B04"/>
    <w:rsid w:val="00231356"/>
    <w:rsid w:val="00235283"/>
    <w:rsid w:val="0023770E"/>
    <w:rsid w:val="00237C98"/>
    <w:rsid w:val="00240C44"/>
    <w:rsid w:val="00240D6C"/>
    <w:rsid w:val="00240EAB"/>
    <w:rsid w:val="00241D74"/>
    <w:rsid w:val="002427CA"/>
    <w:rsid w:val="0024506B"/>
    <w:rsid w:val="0024543A"/>
    <w:rsid w:val="0024562D"/>
    <w:rsid w:val="00246685"/>
    <w:rsid w:val="00254989"/>
    <w:rsid w:val="00254C3E"/>
    <w:rsid w:val="002572A0"/>
    <w:rsid w:val="002578E4"/>
    <w:rsid w:val="00262045"/>
    <w:rsid w:val="00266AA5"/>
    <w:rsid w:val="00267D92"/>
    <w:rsid w:val="00270E4C"/>
    <w:rsid w:val="002719A4"/>
    <w:rsid w:val="002730E4"/>
    <w:rsid w:val="00273759"/>
    <w:rsid w:val="002748FC"/>
    <w:rsid w:val="002764D4"/>
    <w:rsid w:val="00276F8B"/>
    <w:rsid w:val="00277DC2"/>
    <w:rsid w:val="00281E53"/>
    <w:rsid w:val="00283A61"/>
    <w:rsid w:val="0028564A"/>
    <w:rsid w:val="002858A6"/>
    <w:rsid w:val="00285A96"/>
    <w:rsid w:val="0028656F"/>
    <w:rsid w:val="002869BE"/>
    <w:rsid w:val="00286BB6"/>
    <w:rsid w:val="00286E55"/>
    <w:rsid w:val="0028771C"/>
    <w:rsid w:val="0029003C"/>
    <w:rsid w:val="00290741"/>
    <w:rsid w:val="0029140A"/>
    <w:rsid w:val="00293442"/>
    <w:rsid w:val="00295FC3"/>
    <w:rsid w:val="002A4AF3"/>
    <w:rsid w:val="002A646C"/>
    <w:rsid w:val="002B001E"/>
    <w:rsid w:val="002B0EA4"/>
    <w:rsid w:val="002B1486"/>
    <w:rsid w:val="002B456E"/>
    <w:rsid w:val="002B46A4"/>
    <w:rsid w:val="002B47CE"/>
    <w:rsid w:val="002B558E"/>
    <w:rsid w:val="002B6034"/>
    <w:rsid w:val="002B66E9"/>
    <w:rsid w:val="002B7FFD"/>
    <w:rsid w:val="002C2DDD"/>
    <w:rsid w:val="002C49B1"/>
    <w:rsid w:val="002C6209"/>
    <w:rsid w:val="002C6DE3"/>
    <w:rsid w:val="002D62CE"/>
    <w:rsid w:val="002D69D3"/>
    <w:rsid w:val="002E0689"/>
    <w:rsid w:val="002E19F8"/>
    <w:rsid w:val="002E1D7F"/>
    <w:rsid w:val="002E2073"/>
    <w:rsid w:val="002E5173"/>
    <w:rsid w:val="002E5567"/>
    <w:rsid w:val="002E6FB6"/>
    <w:rsid w:val="002F0321"/>
    <w:rsid w:val="002F16FD"/>
    <w:rsid w:val="002F21CD"/>
    <w:rsid w:val="002F243F"/>
    <w:rsid w:val="002F27FC"/>
    <w:rsid w:val="002F4F12"/>
    <w:rsid w:val="002F5265"/>
    <w:rsid w:val="002F7D84"/>
    <w:rsid w:val="00301495"/>
    <w:rsid w:val="00301D6A"/>
    <w:rsid w:val="00301F59"/>
    <w:rsid w:val="00302340"/>
    <w:rsid w:val="003029C2"/>
    <w:rsid w:val="00302DDF"/>
    <w:rsid w:val="00302E49"/>
    <w:rsid w:val="00303EE3"/>
    <w:rsid w:val="003045A3"/>
    <w:rsid w:val="003049BE"/>
    <w:rsid w:val="00305801"/>
    <w:rsid w:val="003060FE"/>
    <w:rsid w:val="003112C5"/>
    <w:rsid w:val="00314B84"/>
    <w:rsid w:val="00317BD1"/>
    <w:rsid w:val="00320C7E"/>
    <w:rsid w:val="00322232"/>
    <w:rsid w:val="0032623F"/>
    <w:rsid w:val="003262F2"/>
    <w:rsid w:val="0032665E"/>
    <w:rsid w:val="0033217F"/>
    <w:rsid w:val="00332B71"/>
    <w:rsid w:val="0033346B"/>
    <w:rsid w:val="00333D46"/>
    <w:rsid w:val="003353E5"/>
    <w:rsid w:val="0033576D"/>
    <w:rsid w:val="003366FA"/>
    <w:rsid w:val="003372AE"/>
    <w:rsid w:val="00337A0A"/>
    <w:rsid w:val="00337AAB"/>
    <w:rsid w:val="00337F78"/>
    <w:rsid w:val="003401FE"/>
    <w:rsid w:val="0034083B"/>
    <w:rsid w:val="0034096B"/>
    <w:rsid w:val="00340F0C"/>
    <w:rsid w:val="00342653"/>
    <w:rsid w:val="003447AC"/>
    <w:rsid w:val="00351983"/>
    <w:rsid w:val="00351EB5"/>
    <w:rsid w:val="00352719"/>
    <w:rsid w:val="0035511A"/>
    <w:rsid w:val="0035756B"/>
    <w:rsid w:val="00357E32"/>
    <w:rsid w:val="00361CD3"/>
    <w:rsid w:val="00361EF9"/>
    <w:rsid w:val="0036444C"/>
    <w:rsid w:val="003657B8"/>
    <w:rsid w:val="003665E8"/>
    <w:rsid w:val="0037289C"/>
    <w:rsid w:val="00373657"/>
    <w:rsid w:val="00373ED0"/>
    <w:rsid w:val="003741FA"/>
    <w:rsid w:val="00380737"/>
    <w:rsid w:val="00380DE2"/>
    <w:rsid w:val="00384725"/>
    <w:rsid w:val="00384A02"/>
    <w:rsid w:val="0038768F"/>
    <w:rsid w:val="00391333"/>
    <w:rsid w:val="003922C5"/>
    <w:rsid w:val="0039367A"/>
    <w:rsid w:val="00395860"/>
    <w:rsid w:val="003958B3"/>
    <w:rsid w:val="00396839"/>
    <w:rsid w:val="00396BEB"/>
    <w:rsid w:val="003A5EFD"/>
    <w:rsid w:val="003A7F4B"/>
    <w:rsid w:val="003B0558"/>
    <w:rsid w:val="003B211F"/>
    <w:rsid w:val="003B4553"/>
    <w:rsid w:val="003B4941"/>
    <w:rsid w:val="003B5BDF"/>
    <w:rsid w:val="003B75A8"/>
    <w:rsid w:val="003C1E05"/>
    <w:rsid w:val="003C386E"/>
    <w:rsid w:val="003C45C2"/>
    <w:rsid w:val="003C63C4"/>
    <w:rsid w:val="003C7976"/>
    <w:rsid w:val="003D1479"/>
    <w:rsid w:val="003D4954"/>
    <w:rsid w:val="003D523C"/>
    <w:rsid w:val="003D5F47"/>
    <w:rsid w:val="003E02B7"/>
    <w:rsid w:val="003E0609"/>
    <w:rsid w:val="003E1134"/>
    <w:rsid w:val="003E31BF"/>
    <w:rsid w:val="003E6A9D"/>
    <w:rsid w:val="003F500A"/>
    <w:rsid w:val="003F5988"/>
    <w:rsid w:val="003F6715"/>
    <w:rsid w:val="004008E6"/>
    <w:rsid w:val="00401409"/>
    <w:rsid w:val="004014FA"/>
    <w:rsid w:val="00401A0F"/>
    <w:rsid w:val="00403A31"/>
    <w:rsid w:val="00403F54"/>
    <w:rsid w:val="00406776"/>
    <w:rsid w:val="00411852"/>
    <w:rsid w:val="00412A61"/>
    <w:rsid w:val="00423CC4"/>
    <w:rsid w:val="0042755C"/>
    <w:rsid w:val="00430135"/>
    <w:rsid w:val="00431A40"/>
    <w:rsid w:val="00431F70"/>
    <w:rsid w:val="004327F5"/>
    <w:rsid w:val="00433682"/>
    <w:rsid w:val="004349DD"/>
    <w:rsid w:val="00435481"/>
    <w:rsid w:val="004357B2"/>
    <w:rsid w:val="00437D7E"/>
    <w:rsid w:val="00443463"/>
    <w:rsid w:val="0044423F"/>
    <w:rsid w:val="00445E74"/>
    <w:rsid w:val="004464BE"/>
    <w:rsid w:val="004470B9"/>
    <w:rsid w:val="00451D91"/>
    <w:rsid w:val="00452568"/>
    <w:rsid w:val="00452822"/>
    <w:rsid w:val="00453101"/>
    <w:rsid w:val="00462A3E"/>
    <w:rsid w:val="00463845"/>
    <w:rsid w:val="00470940"/>
    <w:rsid w:val="004737D6"/>
    <w:rsid w:val="004738B1"/>
    <w:rsid w:val="00475A9F"/>
    <w:rsid w:val="004760D6"/>
    <w:rsid w:val="0047660F"/>
    <w:rsid w:val="004779ED"/>
    <w:rsid w:val="004800D3"/>
    <w:rsid w:val="0048168B"/>
    <w:rsid w:val="00485073"/>
    <w:rsid w:val="00486299"/>
    <w:rsid w:val="00490A8E"/>
    <w:rsid w:val="00491B62"/>
    <w:rsid w:val="00492F5E"/>
    <w:rsid w:val="004930A4"/>
    <w:rsid w:val="00493DB4"/>
    <w:rsid w:val="004952F3"/>
    <w:rsid w:val="004A32FF"/>
    <w:rsid w:val="004B1830"/>
    <w:rsid w:val="004B3ECF"/>
    <w:rsid w:val="004B41AB"/>
    <w:rsid w:val="004B4475"/>
    <w:rsid w:val="004B573E"/>
    <w:rsid w:val="004B6EA1"/>
    <w:rsid w:val="004C1B48"/>
    <w:rsid w:val="004C1FBF"/>
    <w:rsid w:val="004C398E"/>
    <w:rsid w:val="004C4786"/>
    <w:rsid w:val="004C7D9E"/>
    <w:rsid w:val="004D10DE"/>
    <w:rsid w:val="004D1865"/>
    <w:rsid w:val="004D22D6"/>
    <w:rsid w:val="004D480B"/>
    <w:rsid w:val="004D7854"/>
    <w:rsid w:val="004E136F"/>
    <w:rsid w:val="004E1461"/>
    <w:rsid w:val="004E23F8"/>
    <w:rsid w:val="004E363D"/>
    <w:rsid w:val="004E5082"/>
    <w:rsid w:val="004E5406"/>
    <w:rsid w:val="004E6BD8"/>
    <w:rsid w:val="004F224F"/>
    <w:rsid w:val="004F2F00"/>
    <w:rsid w:val="004F5014"/>
    <w:rsid w:val="004F6084"/>
    <w:rsid w:val="004F733E"/>
    <w:rsid w:val="00500854"/>
    <w:rsid w:val="00500D1C"/>
    <w:rsid w:val="00502033"/>
    <w:rsid w:val="005025AD"/>
    <w:rsid w:val="0050305A"/>
    <w:rsid w:val="00504FCD"/>
    <w:rsid w:val="00505423"/>
    <w:rsid w:val="00505FFF"/>
    <w:rsid w:val="005114E4"/>
    <w:rsid w:val="00514488"/>
    <w:rsid w:val="005154DF"/>
    <w:rsid w:val="0051556A"/>
    <w:rsid w:val="00515EEB"/>
    <w:rsid w:val="00517E37"/>
    <w:rsid w:val="005200DD"/>
    <w:rsid w:val="00520503"/>
    <w:rsid w:val="0052175F"/>
    <w:rsid w:val="00521F5A"/>
    <w:rsid w:val="0052223D"/>
    <w:rsid w:val="0052344D"/>
    <w:rsid w:val="00525FD9"/>
    <w:rsid w:val="00526B5A"/>
    <w:rsid w:val="0053068E"/>
    <w:rsid w:val="0053178B"/>
    <w:rsid w:val="00533B49"/>
    <w:rsid w:val="00534FEF"/>
    <w:rsid w:val="0053531A"/>
    <w:rsid w:val="0053721C"/>
    <w:rsid w:val="00537243"/>
    <w:rsid w:val="0054080B"/>
    <w:rsid w:val="00543E6E"/>
    <w:rsid w:val="00544929"/>
    <w:rsid w:val="00544A61"/>
    <w:rsid w:val="005508B8"/>
    <w:rsid w:val="005521C3"/>
    <w:rsid w:val="00552480"/>
    <w:rsid w:val="00554228"/>
    <w:rsid w:val="00554F0B"/>
    <w:rsid w:val="0055521E"/>
    <w:rsid w:val="00557B5B"/>
    <w:rsid w:val="00557B6B"/>
    <w:rsid w:val="005601CF"/>
    <w:rsid w:val="00560F9A"/>
    <w:rsid w:val="00562CDA"/>
    <w:rsid w:val="0056398B"/>
    <w:rsid w:val="00563BD9"/>
    <w:rsid w:val="00564168"/>
    <w:rsid w:val="00565042"/>
    <w:rsid w:val="00565EE0"/>
    <w:rsid w:val="00566666"/>
    <w:rsid w:val="00566B98"/>
    <w:rsid w:val="00571112"/>
    <w:rsid w:val="00571845"/>
    <w:rsid w:val="0057198F"/>
    <w:rsid w:val="0057246F"/>
    <w:rsid w:val="005727CD"/>
    <w:rsid w:val="00572A5C"/>
    <w:rsid w:val="00572C15"/>
    <w:rsid w:val="00576167"/>
    <w:rsid w:val="0057635E"/>
    <w:rsid w:val="00577FA9"/>
    <w:rsid w:val="0058108E"/>
    <w:rsid w:val="005812DB"/>
    <w:rsid w:val="00581635"/>
    <w:rsid w:val="0058172C"/>
    <w:rsid w:val="005848B9"/>
    <w:rsid w:val="005855A1"/>
    <w:rsid w:val="0058799F"/>
    <w:rsid w:val="00587B4D"/>
    <w:rsid w:val="00587D13"/>
    <w:rsid w:val="00590FA9"/>
    <w:rsid w:val="00592007"/>
    <w:rsid w:val="005920AE"/>
    <w:rsid w:val="005936B8"/>
    <w:rsid w:val="00597D00"/>
    <w:rsid w:val="005A0693"/>
    <w:rsid w:val="005A0766"/>
    <w:rsid w:val="005A199E"/>
    <w:rsid w:val="005A2DEF"/>
    <w:rsid w:val="005A3CCB"/>
    <w:rsid w:val="005A4E06"/>
    <w:rsid w:val="005A5542"/>
    <w:rsid w:val="005A78ED"/>
    <w:rsid w:val="005B1CB9"/>
    <w:rsid w:val="005C13F0"/>
    <w:rsid w:val="005C50A6"/>
    <w:rsid w:val="005C5F49"/>
    <w:rsid w:val="005D0C84"/>
    <w:rsid w:val="005D59F7"/>
    <w:rsid w:val="005D64DE"/>
    <w:rsid w:val="005E024C"/>
    <w:rsid w:val="005E055E"/>
    <w:rsid w:val="005E067B"/>
    <w:rsid w:val="005E1459"/>
    <w:rsid w:val="005E1675"/>
    <w:rsid w:val="005E2F55"/>
    <w:rsid w:val="005E3A05"/>
    <w:rsid w:val="005E456B"/>
    <w:rsid w:val="005E6B9A"/>
    <w:rsid w:val="005E7AE9"/>
    <w:rsid w:val="005E7BF1"/>
    <w:rsid w:val="005F24F7"/>
    <w:rsid w:val="005F29EE"/>
    <w:rsid w:val="005F331B"/>
    <w:rsid w:val="005F5A93"/>
    <w:rsid w:val="005F7027"/>
    <w:rsid w:val="006036EC"/>
    <w:rsid w:val="00605098"/>
    <w:rsid w:val="00607948"/>
    <w:rsid w:val="00607FA9"/>
    <w:rsid w:val="00610521"/>
    <w:rsid w:val="00610F43"/>
    <w:rsid w:val="006115DD"/>
    <w:rsid w:val="00611F2E"/>
    <w:rsid w:val="00612961"/>
    <w:rsid w:val="00613B11"/>
    <w:rsid w:val="00614285"/>
    <w:rsid w:val="006155E4"/>
    <w:rsid w:val="006169DC"/>
    <w:rsid w:val="0061779B"/>
    <w:rsid w:val="006307D8"/>
    <w:rsid w:val="00637012"/>
    <w:rsid w:val="006373EE"/>
    <w:rsid w:val="00637B4B"/>
    <w:rsid w:val="00641088"/>
    <w:rsid w:val="00641F2E"/>
    <w:rsid w:val="00643A71"/>
    <w:rsid w:val="00643AA3"/>
    <w:rsid w:val="006448A1"/>
    <w:rsid w:val="006467AC"/>
    <w:rsid w:val="0064694D"/>
    <w:rsid w:val="0064736F"/>
    <w:rsid w:val="0065117E"/>
    <w:rsid w:val="00651555"/>
    <w:rsid w:val="0065231E"/>
    <w:rsid w:val="00662962"/>
    <w:rsid w:val="0066372A"/>
    <w:rsid w:val="0066413B"/>
    <w:rsid w:val="00666975"/>
    <w:rsid w:val="00667E8A"/>
    <w:rsid w:val="00671846"/>
    <w:rsid w:val="006756CD"/>
    <w:rsid w:val="006760E3"/>
    <w:rsid w:val="00677262"/>
    <w:rsid w:val="006803F3"/>
    <w:rsid w:val="00680A84"/>
    <w:rsid w:val="0068106A"/>
    <w:rsid w:val="00683277"/>
    <w:rsid w:val="0068682C"/>
    <w:rsid w:val="0069004A"/>
    <w:rsid w:val="006905BB"/>
    <w:rsid w:val="006921EB"/>
    <w:rsid w:val="00692392"/>
    <w:rsid w:val="006928FC"/>
    <w:rsid w:val="00692C51"/>
    <w:rsid w:val="006940B3"/>
    <w:rsid w:val="00695C67"/>
    <w:rsid w:val="00697D9D"/>
    <w:rsid w:val="006A06C7"/>
    <w:rsid w:val="006A1C81"/>
    <w:rsid w:val="006A4914"/>
    <w:rsid w:val="006A4CDD"/>
    <w:rsid w:val="006A56B3"/>
    <w:rsid w:val="006A6252"/>
    <w:rsid w:val="006A6998"/>
    <w:rsid w:val="006A77FC"/>
    <w:rsid w:val="006B1E74"/>
    <w:rsid w:val="006B7187"/>
    <w:rsid w:val="006C296B"/>
    <w:rsid w:val="006C2E62"/>
    <w:rsid w:val="006C4578"/>
    <w:rsid w:val="006C62B4"/>
    <w:rsid w:val="006C7229"/>
    <w:rsid w:val="006D070C"/>
    <w:rsid w:val="006D2765"/>
    <w:rsid w:val="006D3CE1"/>
    <w:rsid w:val="006D4ED2"/>
    <w:rsid w:val="006D55FF"/>
    <w:rsid w:val="006D76FE"/>
    <w:rsid w:val="006E288D"/>
    <w:rsid w:val="006E528B"/>
    <w:rsid w:val="006E5C1E"/>
    <w:rsid w:val="006E65A1"/>
    <w:rsid w:val="006E742E"/>
    <w:rsid w:val="006F316E"/>
    <w:rsid w:val="006F44F9"/>
    <w:rsid w:val="006F4E0C"/>
    <w:rsid w:val="006F4F33"/>
    <w:rsid w:val="006F55C8"/>
    <w:rsid w:val="006F77B5"/>
    <w:rsid w:val="006F7ADE"/>
    <w:rsid w:val="0070082F"/>
    <w:rsid w:val="00701D02"/>
    <w:rsid w:val="00704EA7"/>
    <w:rsid w:val="00705219"/>
    <w:rsid w:val="0070564D"/>
    <w:rsid w:val="00705885"/>
    <w:rsid w:val="00707C2E"/>
    <w:rsid w:val="00710EFA"/>
    <w:rsid w:val="00712804"/>
    <w:rsid w:val="00714000"/>
    <w:rsid w:val="007158CE"/>
    <w:rsid w:val="00715D71"/>
    <w:rsid w:val="007178D3"/>
    <w:rsid w:val="007200BD"/>
    <w:rsid w:val="007215B0"/>
    <w:rsid w:val="00724464"/>
    <w:rsid w:val="0072709D"/>
    <w:rsid w:val="00731739"/>
    <w:rsid w:val="00733D90"/>
    <w:rsid w:val="00734618"/>
    <w:rsid w:val="00734D62"/>
    <w:rsid w:val="00735230"/>
    <w:rsid w:val="00737732"/>
    <w:rsid w:val="00744420"/>
    <w:rsid w:val="00751D5D"/>
    <w:rsid w:val="00753000"/>
    <w:rsid w:val="00753A80"/>
    <w:rsid w:val="0075495F"/>
    <w:rsid w:val="007623F4"/>
    <w:rsid w:val="0076260F"/>
    <w:rsid w:val="007679E4"/>
    <w:rsid w:val="00770117"/>
    <w:rsid w:val="007717BE"/>
    <w:rsid w:val="00773A71"/>
    <w:rsid w:val="00775A8D"/>
    <w:rsid w:val="00775F83"/>
    <w:rsid w:val="00780774"/>
    <w:rsid w:val="00780D3D"/>
    <w:rsid w:val="00782011"/>
    <w:rsid w:val="00783EBB"/>
    <w:rsid w:val="0078431D"/>
    <w:rsid w:val="00784C1E"/>
    <w:rsid w:val="00786D28"/>
    <w:rsid w:val="00791162"/>
    <w:rsid w:val="007978AD"/>
    <w:rsid w:val="007A00D0"/>
    <w:rsid w:val="007A0AB5"/>
    <w:rsid w:val="007A1D7B"/>
    <w:rsid w:val="007A1F7D"/>
    <w:rsid w:val="007A2B3D"/>
    <w:rsid w:val="007A50F3"/>
    <w:rsid w:val="007A5DDC"/>
    <w:rsid w:val="007A6A2F"/>
    <w:rsid w:val="007A6BB1"/>
    <w:rsid w:val="007A7536"/>
    <w:rsid w:val="007A7A81"/>
    <w:rsid w:val="007B0084"/>
    <w:rsid w:val="007B00EC"/>
    <w:rsid w:val="007B0633"/>
    <w:rsid w:val="007B0977"/>
    <w:rsid w:val="007B0FD1"/>
    <w:rsid w:val="007B1118"/>
    <w:rsid w:val="007B3AF4"/>
    <w:rsid w:val="007B4586"/>
    <w:rsid w:val="007B7690"/>
    <w:rsid w:val="007B7AEB"/>
    <w:rsid w:val="007B7D71"/>
    <w:rsid w:val="007C0D61"/>
    <w:rsid w:val="007C0E49"/>
    <w:rsid w:val="007C22DB"/>
    <w:rsid w:val="007C3CC6"/>
    <w:rsid w:val="007C6162"/>
    <w:rsid w:val="007C7EC8"/>
    <w:rsid w:val="007D01C4"/>
    <w:rsid w:val="007D1962"/>
    <w:rsid w:val="007D289C"/>
    <w:rsid w:val="007D35C1"/>
    <w:rsid w:val="007D3834"/>
    <w:rsid w:val="007D77A4"/>
    <w:rsid w:val="007D7A5A"/>
    <w:rsid w:val="007D7C3C"/>
    <w:rsid w:val="007E25FF"/>
    <w:rsid w:val="007E2BA6"/>
    <w:rsid w:val="007E5764"/>
    <w:rsid w:val="007F4B7A"/>
    <w:rsid w:val="00801690"/>
    <w:rsid w:val="0080193A"/>
    <w:rsid w:val="00801C04"/>
    <w:rsid w:val="0080440E"/>
    <w:rsid w:val="00804A7C"/>
    <w:rsid w:val="00805C8B"/>
    <w:rsid w:val="008061AF"/>
    <w:rsid w:val="0081339A"/>
    <w:rsid w:val="0081392F"/>
    <w:rsid w:val="00816998"/>
    <w:rsid w:val="0081765D"/>
    <w:rsid w:val="00823AB1"/>
    <w:rsid w:val="0082666E"/>
    <w:rsid w:val="00827C06"/>
    <w:rsid w:val="0083084F"/>
    <w:rsid w:val="00832D95"/>
    <w:rsid w:val="00833485"/>
    <w:rsid w:val="00833828"/>
    <w:rsid w:val="00833E18"/>
    <w:rsid w:val="008346D4"/>
    <w:rsid w:val="00835F06"/>
    <w:rsid w:val="008374DF"/>
    <w:rsid w:val="00840758"/>
    <w:rsid w:val="00843F41"/>
    <w:rsid w:val="0084415F"/>
    <w:rsid w:val="00844962"/>
    <w:rsid w:val="008456EF"/>
    <w:rsid w:val="0085014B"/>
    <w:rsid w:val="00851FA0"/>
    <w:rsid w:val="00852A05"/>
    <w:rsid w:val="00855E98"/>
    <w:rsid w:val="00862E99"/>
    <w:rsid w:val="008650B8"/>
    <w:rsid w:val="00866FE1"/>
    <w:rsid w:val="00870BFD"/>
    <w:rsid w:val="00870E69"/>
    <w:rsid w:val="008719BC"/>
    <w:rsid w:val="008726F5"/>
    <w:rsid w:val="0087367C"/>
    <w:rsid w:val="00874952"/>
    <w:rsid w:val="00877E3B"/>
    <w:rsid w:val="00881875"/>
    <w:rsid w:val="00883455"/>
    <w:rsid w:val="008835C1"/>
    <w:rsid w:val="008846C9"/>
    <w:rsid w:val="00884A87"/>
    <w:rsid w:val="0088654D"/>
    <w:rsid w:val="00890C58"/>
    <w:rsid w:val="008917C6"/>
    <w:rsid w:val="008918AB"/>
    <w:rsid w:val="0089224D"/>
    <w:rsid w:val="00893D01"/>
    <w:rsid w:val="008951C9"/>
    <w:rsid w:val="008A0DBF"/>
    <w:rsid w:val="008A1125"/>
    <w:rsid w:val="008A1670"/>
    <w:rsid w:val="008A2474"/>
    <w:rsid w:val="008A3E03"/>
    <w:rsid w:val="008B080B"/>
    <w:rsid w:val="008B41AA"/>
    <w:rsid w:val="008B5B73"/>
    <w:rsid w:val="008B689F"/>
    <w:rsid w:val="008B719D"/>
    <w:rsid w:val="008B7A83"/>
    <w:rsid w:val="008C2537"/>
    <w:rsid w:val="008C2F26"/>
    <w:rsid w:val="008C3403"/>
    <w:rsid w:val="008C550F"/>
    <w:rsid w:val="008C5782"/>
    <w:rsid w:val="008C5E1C"/>
    <w:rsid w:val="008C6451"/>
    <w:rsid w:val="008C6F50"/>
    <w:rsid w:val="008D0A7F"/>
    <w:rsid w:val="008D24AD"/>
    <w:rsid w:val="008D2FCA"/>
    <w:rsid w:val="008D42BE"/>
    <w:rsid w:val="008D44F9"/>
    <w:rsid w:val="008D5F16"/>
    <w:rsid w:val="008D6360"/>
    <w:rsid w:val="008D72FD"/>
    <w:rsid w:val="008E106F"/>
    <w:rsid w:val="008E10A0"/>
    <w:rsid w:val="008E4EF7"/>
    <w:rsid w:val="008E631B"/>
    <w:rsid w:val="008E7346"/>
    <w:rsid w:val="008E75D0"/>
    <w:rsid w:val="008F19CA"/>
    <w:rsid w:val="008F255A"/>
    <w:rsid w:val="008F2F98"/>
    <w:rsid w:val="008F3150"/>
    <w:rsid w:val="008F4EE8"/>
    <w:rsid w:val="008F5432"/>
    <w:rsid w:val="008F689C"/>
    <w:rsid w:val="008F7C1F"/>
    <w:rsid w:val="00900234"/>
    <w:rsid w:val="0090441F"/>
    <w:rsid w:val="009046A5"/>
    <w:rsid w:val="00905F28"/>
    <w:rsid w:val="00912CCE"/>
    <w:rsid w:val="009170C6"/>
    <w:rsid w:val="00917111"/>
    <w:rsid w:val="00922BDF"/>
    <w:rsid w:val="0092416C"/>
    <w:rsid w:val="00924A7F"/>
    <w:rsid w:val="0092531A"/>
    <w:rsid w:val="00925326"/>
    <w:rsid w:val="00926FB4"/>
    <w:rsid w:val="00927A65"/>
    <w:rsid w:val="00930405"/>
    <w:rsid w:val="0093054B"/>
    <w:rsid w:val="009317E4"/>
    <w:rsid w:val="00932740"/>
    <w:rsid w:val="00932A18"/>
    <w:rsid w:val="0093449D"/>
    <w:rsid w:val="00934BB1"/>
    <w:rsid w:val="009364EA"/>
    <w:rsid w:val="0093675B"/>
    <w:rsid w:val="00936DFC"/>
    <w:rsid w:val="0093708C"/>
    <w:rsid w:val="009412AB"/>
    <w:rsid w:val="009418A8"/>
    <w:rsid w:val="00943602"/>
    <w:rsid w:val="00943809"/>
    <w:rsid w:val="00945A6E"/>
    <w:rsid w:val="00950807"/>
    <w:rsid w:val="00953CFC"/>
    <w:rsid w:val="009549D1"/>
    <w:rsid w:val="00954FD0"/>
    <w:rsid w:val="00955586"/>
    <w:rsid w:val="00957ED3"/>
    <w:rsid w:val="0096153C"/>
    <w:rsid w:val="00963EEE"/>
    <w:rsid w:val="0096408F"/>
    <w:rsid w:val="009651E9"/>
    <w:rsid w:val="00966CB5"/>
    <w:rsid w:val="00967CFA"/>
    <w:rsid w:val="009716A0"/>
    <w:rsid w:val="009722F8"/>
    <w:rsid w:val="00972E00"/>
    <w:rsid w:val="00975A2A"/>
    <w:rsid w:val="00976AE1"/>
    <w:rsid w:val="009773B4"/>
    <w:rsid w:val="00981167"/>
    <w:rsid w:val="00981585"/>
    <w:rsid w:val="0098162C"/>
    <w:rsid w:val="0098470C"/>
    <w:rsid w:val="009854E5"/>
    <w:rsid w:val="0098551C"/>
    <w:rsid w:val="00992A92"/>
    <w:rsid w:val="0099350B"/>
    <w:rsid w:val="00993991"/>
    <w:rsid w:val="00995622"/>
    <w:rsid w:val="0099699E"/>
    <w:rsid w:val="009A0A51"/>
    <w:rsid w:val="009A0ED5"/>
    <w:rsid w:val="009A3A1F"/>
    <w:rsid w:val="009B0F55"/>
    <w:rsid w:val="009B2E67"/>
    <w:rsid w:val="009B4084"/>
    <w:rsid w:val="009B470F"/>
    <w:rsid w:val="009B49CC"/>
    <w:rsid w:val="009B4B99"/>
    <w:rsid w:val="009B69AB"/>
    <w:rsid w:val="009C00C7"/>
    <w:rsid w:val="009C0299"/>
    <w:rsid w:val="009C4683"/>
    <w:rsid w:val="009C4AD7"/>
    <w:rsid w:val="009D1C14"/>
    <w:rsid w:val="009D1EDA"/>
    <w:rsid w:val="009D39CA"/>
    <w:rsid w:val="009D3E73"/>
    <w:rsid w:val="009D61B2"/>
    <w:rsid w:val="009D67F6"/>
    <w:rsid w:val="009E1D05"/>
    <w:rsid w:val="009E48FD"/>
    <w:rsid w:val="009E63A4"/>
    <w:rsid w:val="009E6571"/>
    <w:rsid w:val="009E66E9"/>
    <w:rsid w:val="009E67D1"/>
    <w:rsid w:val="009E780B"/>
    <w:rsid w:val="009F179F"/>
    <w:rsid w:val="009F25BE"/>
    <w:rsid w:val="009F2D6A"/>
    <w:rsid w:val="009F3B4E"/>
    <w:rsid w:val="009F3FDE"/>
    <w:rsid w:val="009F451A"/>
    <w:rsid w:val="009F47CF"/>
    <w:rsid w:val="009F57B3"/>
    <w:rsid w:val="009F5893"/>
    <w:rsid w:val="009F6370"/>
    <w:rsid w:val="00A013D0"/>
    <w:rsid w:val="00A01FEF"/>
    <w:rsid w:val="00A0239F"/>
    <w:rsid w:val="00A026AD"/>
    <w:rsid w:val="00A02EA7"/>
    <w:rsid w:val="00A04271"/>
    <w:rsid w:val="00A04B83"/>
    <w:rsid w:val="00A05A5E"/>
    <w:rsid w:val="00A07141"/>
    <w:rsid w:val="00A100AE"/>
    <w:rsid w:val="00A12A41"/>
    <w:rsid w:val="00A138E3"/>
    <w:rsid w:val="00A13FF6"/>
    <w:rsid w:val="00A170EA"/>
    <w:rsid w:val="00A176AE"/>
    <w:rsid w:val="00A17FDC"/>
    <w:rsid w:val="00A20810"/>
    <w:rsid w:val="00A2181E"/>
    <w:rsid w:val="00A2204E"/>
    <w:rsid w:val="00A24501"/>
    <w:rsid w:val="00A24ACC"/>
    <w:rsid w:val="00A274B8"/>
    <w:rsid w:val="00A31BD9"/>
    <w:rsid w:val="00A34600"/>
    <w:rsid w:val="00A35C01"/>
    <w:rsid w:val="00A37971"/>
    <w:rsid w:val="00A414B3"/>
    <w:rsid w:val="00A42E23"/>
    <w:rsid w:val="00A43006"/>
    <w:rsid w:val="00A45E99"/>
    <w:rsid w:val="00A460A8"/>
    <w:rsid w:val="00A517FE"/>
    <w:rsid w:val="00A5327C"/>
    <w:rsid w:val="00A55464"/>
    <w:rsid w:val="00A555DD"/>
    <w:rsid w:val="00A56848"/>
    <w:rsid w:val="00A56EFC"/>
    <w:rsid w:val="00A605CE"/>
    <w:rsid w:val="00A606D0"/>
    <w:rsid w:val="00A60EE2"/>
    <w:rsid w:val="00A63353"/>
    <w:rsid w:val="00A6658F"/>
    <w:rsid w:val="00A66A68"/>
    <w:rsid w:val="00A671E5"/>
    <w:rsid w:val="00A67880"/>
    <w:rsid w:val="00A70931"/>
    <w:rsid w:val="00A71D9E"/>
    <w:rsid w:val="00A74863"/>
    <w:rsid w:val="00A74C2B"/>
    <w:rsid w:val="00A75F21"/>
    <w:rsid w:val="00A76A12"/>
    <w:rsid w:val="00A806CC"/>
    <w:rsid w:val="00A816EC"/>
    <w:rsid w:val="00A81F30"/>
    <w:rsid w:val="00A8277E"/>
    <w:rsid w:val="00A83938"/>
    <w:rsid w:val="00A865FB"/>
    <w:rsid w:val="00A91893"/>
    <w:rsid w:val="00A918BE"/>
    <w:rsid w:val="00A918F4"/>
    <w:rsid w:val="00A94102"/>
    <w:rsid w:val="00A95168"/>
    <w:rsid w:val="00A97CC8"/>
    <w:rsid w:val="00AA0B56"/>
    <w:rsid w:val="00AA158E"/>
    <w:rsid w:val="00AA566E"/>
    <w:rsid w:val="00AA5F04"/>
    <w:rsid w:val="00AB06D7"/>
    <w:rsid w:val="00AB1343"/>
    <w:rsid w:val="00AB1E74"/>
    <w:rsid w:val="00AB200A"/>
    <w:rsid w:val="00AB224A"/>
    <w:rsid w:val="00AB2870"/>
    <w:rsid w:val="00AB5358"/>
    <w:rsid w:val="00AB577E"/>
    <w:rsid w:val="00AB58AC"/>
    <w:rsid w:val="00AB6E1C"/>
    <w:rsid w:val="00AB7A16"/>
    <w:rsid w:val="00AC12FB"/>
    <w:rsid w:val="00AC20A6"/>
    <w:rsid w:val="00AC3566"/>
    <w:rsid w:val="00AC57AB"/>
    <w:rsid w:val="00AC5D51"/>
    <w:rsid w:val="00AC626D"/>
    <w:rsid w:val="00AC62A8"/>
    <w:rsid w:val="00AC6E15"/>
    <w:rsid w:val="00AD039C"/>
    <w:rsid w:val="00AD1119"/>
    <w:rsid w:val="00AD5283"/>
    <w:rsid w:val="00AD5807"/>
    <w:rsid w:val="00AD68BB"/>
    <w:rsid w:val="00AD7502"/>
    <w:rsid w:val="00AE58A3"/>
    <w:rsid w:val="00AE747C"/>
    <w:rsid w:val="00AE7AFB"/>
    <w:rsid w:val="00AF3C94"/>
    <w:rsid w:val="00AF5564"/>
    <w:rsid w:val="00AF5863"/>
    <w:rsid w:val="00AF5F83"/>
    <w:rsid w:val="00B00276"/>
    <w:rsid w:val="00B03633"/>
    <w:rsid w:val="00B03944"/>
    <w:rsid w:val="00B04746"/>
    <w:rsid w:val="00B06A0D"/>
    <w:rsid w:val="00B072EE"/>
    <w:rsid w:val="00B141CB"/>
    <w:rsid w:val="00B15DE1"/>
    <w:rsid w:val="00B17CD9"/>
    <w:rsid w:val="00B212A4"/>
    <w:rsid w:val="00B21D0A"/>
    <w:rsid w:val="00B21E1E"/>
    <w:rsid w:val="00B25ACD"/>
    <w:rsid w:val="00B3159B"/>
    <w:rsid w:val="00B32322"/>
    <w:rsid w:val="00B3316D"/>
    <w:rsid w:val="00B33AB9"/>
    <w:rsid w:val="00B3612F"/>
    <w:rsid w:val="00B36CBC"/>
    <w:rsid w:val="00B36FB9"/>
    <w:rsid w:val="00B403D8"/>
    <w:rsid w:val="00B404F6"/>
    <w:rsid w:val="00B4122C"/>
    <w:rsid w:val="00B420B6"/>
    <w:rsid w:val="00B43FD6"/>
    <w:rsid w:val="00B449F1"/>
    <w:rsid w:val="00B44A79"/>
    <w:rsid w:val="00B473D6"/>
    <w:rsid w:val="00B55526"/>
    <w:rsid w:val="00B55584"/>
    <w:rsid w:val="00B5671E"/>
    <w:rsid w:val="00B56DA1"/>
    <w:rsid w:val="00B56F3E"/>
    <w:rsid w:val="00B570D8"/>
    <w:rsid w:val="00B6013E"/>
    <w:rsid w:val="00B6123C"/>
    <w:rsid w:val="00B6654C"/>
    <w:rsid w:val="00B71AB6"/>
    <w:rsid w:val="00B74824"/>
    <w:rsid w:val="00B753D4"/>
    <w:rsid w:val="00B82463"/>
    <w:rsid w:val="00B8456A"/>
    <w:rsid w:val="00B84602"/>
    <w:rsid w:val="00B85317"/>
    <w:rsid w:val="00B86D62"/>
    <w:rsid w:val="00B91978"/>
    <w:rsid w:val="00B940A1"/>
    <w:rsid w:val="00B94E67"/>
    <w:rsid w:val="00B9525C"/>
    <w:rsid w:val="00B96A7A"/>
    <w:rsid w:val="00B97B0F"/>
    <w:rsid w:val="00BA01ED"/>
    <w:rsid w:val="00BA0A04"/>
    <w:rsid w:val="00BA2A36"/>
    <w:rsid w:val="00BA3A1D"/>
    <w:rsid w:val="00BA4802"/>
    <w:rsid w:val="00BA57DC"/>
    <w:rsid w:val="00BA7A4D"/>
    <w:rsid w:val="00BB032A"/>
    <w:rsid w:val="00BB0575"/>
    <w:rsid w:val="00BB16A3"/>
    <w:rsid w:val="00BB4DA5"/>
    <w:rsid w:val="00BB55D1"/>
    <w:rsid w:val="00BB67B1"/>
    <w:rsid w:val="00BB6918"/>
    <w:rsid w:val="00BC281A"/>
    <w:rsid w:val="00BC2F2F"/>
    <w:rsid w:val="00BC352E"/>
    <w:rsid w:val="00BC4452"/>
    <w:rsid w:val="00BC5EB9"/>
    <w:rsid w:val="00BD13CA"/>
    <w:rsid w:val="00BD1F68"/>
    <w:rsid w:val="00BE2944"/>
    <w:rsid w:val="00BE3880"/>
    <w:rsid w:val="00BE4244"/>
    <w:rsid w:val="00BE43A0"/>
    <w:rsid w:val="00BE6D57"/>
    <w:rsid w:val="00BE769B"/>
    <w:rsid w:val="00BF215F"/>
    <w:rsid w:val="00BF216B"/>
    <w:rsid w:val="00BF7CAB"/>
    <w:rsid w:val="00C012B8"/>
    <w:rsid w:val="00C12E52"/>
    <w:rsid w:val="00C137D4"/>
    <w:rsid w:val="00C20851"/>
    <w:rsid w:val="00C21A7E"/>
    <w:rsid w:val="00C227F9"/>
    <w:rsid w:val="00C229E7"/>
    <w:rsid w:val="00C22ED6"/>
    <w:rsid w:val="00C24228"/>
    <w:rsid w:val="00C24436"/>
    <w:rsid w:val="00C260BC"/>
    <w:rsid w:val="00C27C1B"/>
    <w:rsid w:val="00C3244D"/>
    <w:rsid w:val="00C32626"/>
    <w:rsid w:val="00C332F1"/>
    <w:rsid w:val="00C333E0"/>
    <w:rsid w:val="00C37128"/>
    <w:rsid w:val="00C42CD9"/>
    <w:rsid w:val="00C446EE"/>
    <w:rsid w:val="00C455E0"/>
    <w:rsid w:val="00C4587F"/>
    <w:rsid w:val="00C504EA"/>
    <w:rsid w:val="00C506DD"/>
    <w:rsid w:val="00C5160A"/>
    <w:rsid w:val="00C51A6F"/>
    <w:rsid w:val="00C52A9A"/>
    <w:rsid w:val="00C53B0A"/>
    <w:rsid w:val="00C54F7D"/>
    <w:rsid w:val="00C55D61"/>
    <w:rsid w:val="00C5771E"/>
    <w:rsid w:val="00C57D08"/>
    <w:rsid w:val="00C6363A"/>
    <w:rsid w:val="00C642FD"/>
    <w:rsid w:val="00C65042"/>
    <w:rsid w:val="00C6510E"/>
    <w:rsid w:val="00C65BF7"/>
    <w:rsid w:val="00C70889"/>
    <w:rsid w:val="00C70B43"/>
    <w:rsid w:val="00C71080"/>
    <w:rsid w:val="00C7257B"/>
    <w:rsid w:val="00C7405F"/>
    <w:rsid w:val="00C75743"/>
    <w:rsid w:val="00C83492"/>
    <w:rsid w:val="00C83858"/>
    <w:rsid w:val="00C83ECE"/>
    <w:rsid w:val="00C859A4"/>
    <w:rsid w:val="00C872DA"/>
    <w:rsid w:val="00C87741"/>
    <w:rsid w:val="00C910C7"/>
    <w:rsid w:val="00C92931"/>
    <w:rsid w:val="00C93136"/>
    <w:rsid w:val="00C93E41"/>
    <w:rsid w:val="00C94129"/>
    <w:rsid w:val="00C94918"/>
    <w:rsid w:val="00C97025"/>
    <w:rsid w:val="00C97087"/>
    <w:rsid w:val="00C97893"/>
    <w:rsid w:val="00C97D2F"/>
    <w:rsid w:val="00CA02C0"/>
    <w:rsid w:val="00CA1C6F"/>
    <w:rsid w:val="00CA4049"/>
    <w:rsid w:val="00CA4348"/>
    <w:rsid w:val="00CA4956"/>
    <w:rsid w:val="00CA6F7E"/>
    <w:rsid w:val="00CB09E4"/>
    <w:rsid w:val="00CB0AEA"/>
    <w:rsid w:val="00CB1AA0"/>
    <w:rsid w:val="00CB28A0"/>
    <w:rsid w:val="00CB2D0B"/>
    <w:rsid w:val="00CB31F1"/>
    <w:rsid w:val="00CB62D7"/>
    <w:rsid w:val="00CB7106"/>
    <w:rsid w:val="00CB774B"/>
    <w:rsid w:val="00CB7CFE"/>
    <w:rsid w:val="00CC197B"/>
    <w:rsid w:val="00CD0565"/>
    <w:rsid w:val="00CD233F"/>
    <w:rsid w:val="00CD5A18"/>
    <w:rsid w:val="00CD5DE2"/>
    <w:rsid w:val="00CD6DD6"/>
    <w:rsid w:val="00CE0B74"/>
    <w:rsid w:val="00CE4F17"/>
    <w:rsid w:val="00CE649F"/>
    <w:rsid w:val="00CE6C4F"/>
    <w:rsid w:val="00CE6F8C"/>
    <w:rsid w:val="00CF07DF"/>
    <w:rsid w:val="00CF0AA5"/>
    <w:rsid w:val="00CF234C"/>
    <w:rsid w:val="00CF2EBD"/>
    <w:rsid w:val="00CF41DC"/>
    <w:rsid w:val="00D001A4"/>
    <w:rsid w:val="00D001CD"/>
    <w:rsid w:val="00D01747"/>
    <w:rsid w:val="00D02874"/>
    <w:rsid w:val="00D1170A"/>
    <w:rsid w:val="00D11E51"/>
    <w:rsid w:val="00D139BB"/>
    <w:rsid w:val="00D15F9B"/>
    <w:rsid w:val="00D166CE"/>
    <w:rsid w:val="00D17247"/>
    <w:rsid w:val="00D17892"/>
    <w:rsid w:val="00D17C1A"/>
    <w:rsid w:val="00D20221"/>
    <w:rsid w:val="00D244F6"/>
    <w:rsid w:val="00D25CF4"/>
    <w:rsid w:val="00D26B7A"/>
    <w:rsid w:val="00D27892"/>
    <w:rsid w:val="00D32A06"/>
    <w:rsid w:val="00D33168"/>
    <w:rsid w:val="00D334F0"/>
    <w:rsid w:val="00D34F17"/>
    <w:rsid w:val="00D367EF"/>
    <w:rsid w:val="00D455B9"/>
    <w:rsid w:val="00D461EF"/>
    <w:rsid w:val="00D47DB8"/>
    <w:rsid w:val="00D50C8A"/>
    <w:rsid w:val="00D529DC"/>
    <w:rsid w:val="00D52BCF"/>
    <w:rsid w:val="00D623C2"/>
    <w:rsid w:val="00D6448D"/>
    <w:rsid w:val="00D71EFD"/>
    <w:rsid w:val="00D73148"/>
    <w:rsid w:val="00D744A4"/>
    <w:rsid w:val="00D76546"/>
    <w:rsid w:val="00D77C23"/>
    <w:rsid w:val="00D838BD"/>
    <w:rsid w:val="00D8623A"/>
    <w:rsid w:val="00D87CA4"/>
    <w:rsid w:val="00D87CF5"/>
    <w:rsid w:val="00D91782"/>
    <w:rsid w:val="00D91AC9"/>
    <w:rsid w:val="00D935E0"/>
    <w:rsid w:val="00D942B2"/>
    <w:rsid w:val="00D95DB8"/>
    <w:rsid w:val="00D9630A"/>
    <w:rsid w:val="00D9631A"/>
    <w:rsid w:val="00DA0896"/>
    <w:rsid w:val="00DA1B4D"/>
    <w:rsid w:val="00DA2355"/>
    <w:rsid w:val="00DA2E01"/>
    <w:rsid w:val="00DA31FB"/>
    <w:rsid w:val="00DA388D"/>
    <w:rsid w:val="00DA43B6"/>
    <w:rsid w:val="00DA4C5B"/>
    <w:rsid w:val="00DA4F10"/>
    <w:rsid w:val="00DA5310"/>
    <w:rsid w:val="00DA582D"/>
    <w:rsid w:val="00DB06AB"/>
    <w:rsid w:val="00DB0F6E"/>
    <w:rsid w:val="00DB1C0C"/>
    <w:rsid w:val="00DB24B9"/>
    <w:rsid w:val="00DB48CC"/>
    <w:rsid w:val="00DB689F"/>
    <w:rsid w:val="00DB68B3"/>
    <w:rsid w:val="00DC1447"/>
    <w:rsid w:val="00DC2558"/>
    <w:rsid w:val="00DC27FF"/>
    <w:rsid w:val="00DC465B"/>
    <w:rsid w:val="00DC5807"/>
    <w:rsid w:val="00DC5A24"/>
    <w:rsid w:val="00DC6C79"/>
    <w:rsid w:val="00DD18D2"/>
    <w:rsid w:val="00DD1925"/>
    <w:rsid w:val="00DD1BB0"/>
    <w:rsid w:val="00DD4391"/>
    <w:rsid w:val="00DE1BB0"/>
    <w:rsid w:val="00DE2904"/>
    <w:rsid w:val="00DE3D0F"/>
    <w:rsid w:val="00DF001C"/>
    <w:rsid w:val="00DF023A"/>
    <w:rsid w:val="00DF0546"/>
    <w:rsid w:val="00DF05B4"/>
    <w:rsid w:val="00DF345B"/>
    <w:rsid w:val="00DF3492"/>
    <w:rsid w:val="00DF6633"/>
    <w:rsid w:val="00DF6686"/>
    <w:rsid w:val="00DF66B9"/>
    <w:rsid w:val="00DF676F"/>
    <w:rsid w:val="00DF75C3"/>
    <w:rsid w:val="00E00825"/>
    <w:rsid w:val="00E019ED"/>
    <w:rsid w:val="00E047DC"/>
    <w:rsid w:val="00E056F6"/>
    <w:rsid w:val="00E05716"/>
    <w:rsid w:val="00E059EB"/>
    <w:rsid w:val="00E05FCA"/>
    <w:rsid w:val="00E074BC"/>
    <w:rsid w:val="00E1110F"/>
    <w:rsid w:val="00E14C9F"/>
    <w:rsid w:val="00E16825"/>
    <w:rsid w:val="00E170C0"/>
    <w:rsid w:val="00E2108F"/>
    <w:rsid w:val="00E21755"/>
    <w:rsid w:val="00E26893"/>
    <w:rsid w:val="00E26A56"/>
    <w:rsid w:val="00E279A8"/>
    <w:rsid w:val="00E30AE7"/>
    <w:rsid w:val="00E30B47"/>
    <w:rsid w:val="00E31679"/>
    <w:rsid w:val="00E32AFE"/>
    <w:rsid w:val="00E32E3C"/>
    <w:rsid w:val="00E33AB0"/>
    <w:rsid w:val="00E34D85"/>
    <w:rsid w:val="00E35E9E"/>
    <w:rsid w:val="00E37198"/>
    <w:rsid w:val="00E433F1"/>
    <w:rsid w:val="00E437E5"/>
    <w:rsid w:val="00E43EAA"/>
    <w:rsid w:val="00E46081"/>
    <w:rsid w:val="00E46258"/>
    <w:rsid w:val="00E46809"/>
    <w:rsid w:val="00E46B34"/>
    <w:rsid w:val="00E47736"/>
    <w:rsid w:val="00E47ADB"/>
    <w:rsid w:val="00E515AA"/>
    <w:rsid w:val="00E51CAF"/>
    <w:rsid w:val="00E551C8"/>
    <w:rsid w:val="00E5556A"/>
    <w:rsid w:val="00E56297"/>
    <w:rsid w:val="00E5633F"/>
    <w:rsid w:val="00E57031"/>
    <w:rsid w:val="00E577CF"/>
    <w:rsid w:val="00E642F4"/>
    <w:rsid w:val="00E64643"/>
    <w:rsid w:val="00E661F9"/>
    <w:rsid w:val="00E662EF"/>
    <w:rsid w:val="00E67976"/>
    <w:rsid w:val="00E7090D"/>
    <w:rsid w:val="00E73C16"/>
    <w:rsid w:val="00E74F95"/>
    <w:rsid w:val="00E75A24"/>
    <w:rsid w:val="00E779CF"/>
    <w:rsid w:val="00E80CCD"/>
    <w:rsid w:val="00E814F9"/>
    <w:rsid w:val="00E82170"/>
    <w:rsid w:val="00E84D0E"/>
    <w:rsid w:val="00E863B2"/>
    <w:rsid w:val="00E904CB"/>
    <w:rsid w:val="00E904FB"/>
    <w:rsid w:val="00E935F9"/>
    <w:rsid w:val="00E964AE"/>
    <w:rsid w:val="00E96D93"/>
    <w:rsid w:val="00E97EB1"/>
    <w:rsid w:val="00EA6815"/>
    <w:rsid w:val="00EB115B"/>
    <w:rsid w:val="00EB5A91"/>
    <w:rsid w:val="00EB5D64"/>
    <w:rsid w:val="00EC0DBE"/>
    <w:rsid w:val="00EC12EA"/>
    <w:rsid w:val="00EC62F9"/>
    <w:rsid w:val="00EC6653"/>
    <w:rsid w:val="00EC7A7A"/>
    <w:rsid w:val="00ED0672"/>
    <w:rsid w:val="00ED4E69"/>
    <w:rsid w:val="00ED53D0"/>
    <w:rsid w:val="00ED79E1"/>
    <w:rsid w:val="00EE02FE"/>
    <w:rsid w:val="00EE2553"/>
    <w:rsid w:val="00EE279A"/>
    <w:rsid w:val="00EE5CA8"/>
    <w:rsid w:val="00EF0FCB"/>
    <w:rsid w:val="00EF4972"/>
    <w:rsid w:val="00EF793B"/>
    <w:rsid w:val="00EF7A6E"/>
    <w:rsid w:val="00EF7E5A"/>
    <w:rsid w:val="00F005EE"/>
    <w:rsid w:val="00F00857"/>
    <w:rsid w:val="00F017BF"/>
    <w:rsid w:val="00F03985"/>
    <w:rsid w:val="00F07FC6"/>
    <w:rsid w:val="00F10C5C"/>
    <w:rsid w:val="00F10FF4"/>
    <w:rsid w:val="00F11F07"/>
    <w:rsid w:val="00F125A8"/>
    <w:rsid w:val="00F14971"/>
    <w:rsid w:val="00F14FF5"/>
    <w:rsid w:val="00F27AC5"/>
    <w:rsid w:val="00F30334"/>
    <w:rsid w:val="00F30848"/>
    <w:rsid w:val="00F30D2A"/>
    <w:rsid w:val="00F30D5D"/>
    <w:rsid w:val="00F30E08"/>
    <w:rsid w:val="00F31343"/>
    <w:rsid w:val="00F3172E"/>
    <w:rsid w:val="00F32A87"/>
    <w:rsid w:val="00F32CFC"/>
    <w:rsid w:val="00F32DF2"/>
    <w:rsid w:val="00F364B1"/>
    <w:rsid w:val="00F36A1D"/>
    <w:rsid w:val="00F37421"/>
    <w:rsid w:val="00F376B7"/>
    <w:rsid w:val="00F4226A"/>
    <w:rsid w:val="00F42F5E"/>
    <w:rsid w:val="00F438E3"/>
    <w:rsid w:val="00F43A38"/>
    <w:rsid w:val="00F45F1B"/>
    <w:rsid w:val="00F47D1D"/>
    <w:rsid w:val="00F503C5"/>
    <w:rsid w:val="00F52040"/>
    <w:rsid w:val="00F5307B"/>
    <w:rsid w:val="00F531DC"/>
    <w:rsid w:val="00F54012"/>
    <w:rsid w:val="00F543E8"/>
    <w:rsid w:val="00F54909"/>
    <w:rsid w:val="00F549B0"/>
    <w:rsid w:val="00F54BE6"/>
    <w:rsid w:val="00F54CD1"/>
    <w:rsid w:val="00F56652"/>
    <w:rsid w:val="00F5777E"/>
    <w:rsid w:val="00F60142"/>
    <w:rsid w:val="00F61181"/>
    <w:rsid w:val="00F6180E"/>
    <w:rsid w:val="00F63785"/>
    <w:rsid w:val="00F63C01"/>
    <w:rsid w:val="00F653A8"/>
    <w:rsid w:val="00F6783A"/>
    <w:rsid w:val="00F67F0A"/>
    <w:rsid w:val="00F75902"/>
    <w:rsid w:val="00F76A33"/>
    <w:rsid w:val="00F813E9"/>
    <w:rsid w:val="00F82994"/>
    <w:rsid w:val="00F90FB5"/>
    <w:rsid w:val="00F91DEF"/>
    <w:rsid w:val="00F92E78"/>
    <w:rsid w:val="00F93408"/>
    <w:rsid w:val="00F9387A"/>
    <w:rsid w:val="00FA019B"/>
    <w:rsid w:val="00FA2B5B"/>
    <w:rsid w:val="00FA2FCC"/>
    <w:rsid w:val="00FA3C5E"/>
    <w:rsid w:val="00FA4499"/>
    <w:rsid w:val="00FA556E"/>
    <w:rsid w:val="00FA6579"/>
    <w:rsid w:val="00FA6725"/>
    <w:rsid w:val="00FB06EE"/>
    <w:rsid w:val="00FB0813"/>
    <w:rsid w:val="00FB1451"/>
    <w:rsid w:val="00FB15A4"/>
    <w:rsid w:val="00FB196D"/>
    <w:rsid w:val="00FB40D8"/>
    <w:rsid w:val="00FB4319"/>
    <w:rsid w:val="00FB5AB8"/>
    <w:rsid w:val="00FB5D2A"/>
    <w:rsid w:val="00FB5EB2"/>
    <w:rsid w:val="00FB60AE"/>
    <w:rsid w:val="00FB7D0B"/>
    <w:rsid w:val="00FC1C1E"/>
    <w:rsid w:val="00FC22ED"/>
    <w:rsid w:val="00FC22FC"/>
    <w:rsid w:val="00FC4C45"/>
    <w:rsid w:val="00FD13DE"/>
    <w:rsid w:val="00FD16E4"/>
    <w:rsid w:val="00FD785C"/>
    <w:rsid w:val="00FE1AA6"/>
    <w:rsid w:val="00FE35D5"/>
    <w:rsid w:val="00FE3B9B"/>
    <w:rsid w:val="00FE4CCD"/>
    <w:rsid w:val="00FE5CE1"/>
    <w:rsid w:val="00FE5FDA"/>
    <w:rsid w:val="00FE7E8E"/>
    <w:rsid w:val="00FF39C6"/>
    <w:rsid w:val="00FF4CB7"/>
    <w:rsid w:val="00FF59C0"/>
    <w:rsid w:val="00FF6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E54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D039C"/>
    <w:pPr>
      <w:keepNext/>
      <w:keepLines/>
      <w:spacing w:before="480" w:line="276" w:lineRule="auto"/>
      <w:jc w:val="center"/>
      <w:outlineLvl w:val="0"/>
    </w:pPr>
    <w:rPr>
      <w:rFonts w:ascii="Times New Roman" w:eastAsia="MS Gothic" w:hAnsi="Times New Roman" w:cs="Times New Roman"/>
      <w:b/>
      <w:bCs/>
      <w:sz w:val="36"/>
      <w:szCs w:val="36"/>
    </w:rPr>
  </w:style>
  <w:style w:type="paragraph" w:styleId="Heading2">
    <w:name w:val="heading 2"/>
    <w:basedOn w:val="Normal"/>
    <w:next w:val="Normal"/>
    <w:link w:val="Heading2Char"/>
    <w:uiPriority w:val="9"/>
    <w:unhideWhenUsed/>
    <w:qFormat/>
    <w:rsid w:val="000E1757"/>
    <w:pPr>
      <w:keepNext/>
      <w:keepLines/>
      <w:numPr>
        <w:ilvl w:val="1"/>
        <w:numId w:val="9"/>
      </w:numPr>
      <w:spacing w:before="200" w:line="276" w:lineRule="auto"/>
      <w:outlineLvl w:val="1"/>
    </w:pPr>
    <w:rPr>
      <w:rFonts w:ascii="Times New Roman" w:eastAsiaTheme="majorEastAsia" w:hAnsi="Times New Roman" w:cs="Times New Roman"/>
      <w:b/>
      <w:bCs/>
      <w:sz w:val="32"/>
      <w:szCs w:val="32"/>
    </w:rPr>
  </w:style>
  <w:style w:type="paragraph" w:styleId="Heading3">
    <w:name w:val="heading 3"/>
    <w:basedOn w:val="Normal"/>
    <w:next w:val="Normal"/>
    <w:link w:val="Heading3Char"/>
    <w:uiPriority w:val="9"/>
    <w:qFormat/>
    <w:rsid w:val="000E1757"/>
    <w:pPr>
      <w:keepNext/>
      <w:keepLines/>
      <w:spacing w:before="200" w:line="276" w:lineRule="auto"/>
      <w:outlineLvl w:val="2"/>
    </w:pPr>
    <w:rPr>
      <w:rFonts w:ascii="Times New Roman" w:eastAsia="MS Gothic" w:hAnsi="Times New Roman" w:cs="Times New Roman"/>
      <w:b/>
      <w:bCs/>
      <w:sz w:val="28"/>
      <w:szCs w:val="28"/>
    </w:rPr>
  </w:style>
  <w:style w:type="paragraph" w:styleId="Heading4">
    <w:name w:val="heading 4"/>
    <w:basedOn w:val="Normal"/>
    <w:next w:val="Normal"/>
    <w:link w:val="Heading4Char"/>
    <w:uiPriority w:val="9"/>
    <w:unhideWhenUsed/>
    <w:qFormat/>
    <w:rsid w:val="000E1757"/>
    <w:pPr>
      <w:keepNext/>
      <w:keepLines/>
      <w:spacing w:before="200" w:line="276" w:lineRule="auto"/>
      <w:outlineLvl w:val="3"/>
    </w:pPr>
    <w:rPr>
      <w:rFonts w:ascii="Times New Roman" w:eastAsiaTheme="majorEastAsia" w:hAnsi="Times New Roman" w:cs="Times New Roman"/>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39C"/>
    <w:rPr>
      <w:rFonts w:ascii="Times New Roman" w:eastAsia="MS Gothic" w:hAnsi="Times New Roman" w:cs="Times New Roman"/>
      <w:b/>
      <w:bCs/>
      <w:sz w:val="36"/>
      <w:szCs w:val="36"/>
      <w:lang w:val="en-GB"/>
    </w:rPr>
  </w:style>
  <w:style w:type="character" w:customStyle="1" w:styleId="Heading2Char">
    <w:name w:val="Heading 2 Char"/>
    <w:basedOn w:val="DefaultParagraphFont"/>
    <w:link w:val="Heading2"/>
    <w:uiPriority w:val="9"/>
    <w:rsid w:val="000E1757"/>
    <w:rPr>
      <w:rFonts w:ascii="Times New Roman" w:eastAsiaTheme="majorEastAsia" w:hAnsi="Times New Roman" w:cs="Times New Roman"/>
      <w:b/>
      <w:bCs/>
      <w:sz w:val="32"/>
      <w:szCs w:val="32"/>
      <w:lang w:val="en-GB"/>
    </w:rPr>
  </w:style>
  <w:style w:type="character" w:customStyle="1" w:styleId="Heading3Char">
    <w:name w:val="Heading 3 Char"/>
    <w:basedOn w:val="DefaultParagraphFont"/>
    <w:link w:val="Heading3"/>
    <w:uiPriority w:val="9"/>
    <w:rsid w:val="000E1757"/>
    <w:rPr>
      <w:rFonts w:ascii="Times New Roman" w:eastAsia="MS Gothic" w:hAnsi="Times New Roman" w:cs="Times New Roman"/>
      <w:b/>
      <w:bCs/>
      <w:sz w:val="28"/>
      <w:szCs w:val="28"/>
      <w:lang w:val="en-GB"/>
    </w:rPr>
  </w:style>
  <w:style w:type="character" w:customStyle="1" w:styleId="Heading4Char">
    <w:name w:val="Heading 4 Char"/>
    <w:basedOn w:val="DefaultParagraphFont"/>
    <w:link w:val="Heading4"/>
    <w:uiPriority w:val="9"/>
    <w:rsid w:val="000E1757"/>
    <w:rPr>
      <w:rFonts w:ascii="Times New Roman" w:eastAsiaTheme="majorEastAsia" w:hAnsi="Times New Roman" w:cs="Times New Roman"/>
      <w:b/>
      <w:bCs/>
      <w:iCs/>
      <w:lang w:val="en-GB"/>
    </w:rPr>
  </w:style>
  <w:style w:type="paragraph" w:styleId="BodyTextIndent">
    <w:name w:val="Body Text Indent"/>
    <w:basedOn w:val="Normal"/>
    <w:link w:val="BodyTextIndentChar"/>
    <w:uiPriority w:val="99"/>
    <w:rsid w:val="0070564D"/>
    <w:pPr>
      <w:tabs>
        <w:tab w:val="left" w:pos="360"/>
      </w:tabs>
      <w:autoSpaceDE w:val="0"/>
      <w:autoSpaceDN w:val="0"/>
      <w:ind w:left="360" w:hanging="360"/>
    </w:pPr>
    <w:rPr>
      <w:rFonts w:ascii="Times New Roman" w:eastAsia="Times New Roman" w:hAnsi="Times New Roman" w:cs="Times New Roman"/>
      <w:lang w:val="en-US"/>
    </w:rPr>
  </w:style>
  <w:style w:type="character" w:customStyle="1" w:styleId="BodyTextIndentChar">
    <w:name w:val="Body Text Indent Char"/>
    <w:basedOn w:val="DefaultParagraphFont"/>
    <w:link w:val="BodyTextIndent"/>
    <w:uiPriority w:val="99"/>
    <w:rsid w:val="0070564D"/>
    <w:rPr>
      <w:rFonts w:ascii="Times New Roman" w:eastAsia="Times New Roman" w:hAnsi="Times New Roman" w:cs="Times New Roman"/>
    </w:rPr>
  </w:style>
  <w:style w:type="paragraph" w:styleId="NormalWeb">
    <w:name w:val="Normal (Web)"/>
    <w:basedOn w:val="Normal"/>
    <w:uiPriority w:val="99"/>
    <w:unhideWhenUsed/>
    <w:rsid w:val="001B452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unhideWhenUsed/>
    <w:rsid w:val="008E7346"/>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E7346"/>
    <w:rPr>
      <w:rFonts w:ascii="Lucida Grande" w:hAnsi="Lucida Grande" w:cs="Lucida Grande"/>
      <w:sz w:val="18"/>
      <w:szCs w:val="18"/>
      <w:lang w:val="en-GB"/>
    </w:rPr>
  </w:style>
  <w:style w:type="character" w:styleId="Hyperlink">
    <w:name w:val="Hyperlink"/>
    <w:uiPriority w:val="99"/>
    <w:unhideWhenUsed/>
    <w:rsid w:val="00074D2E"/>
    <w:rPr>
      <w:color w:val="0000FF"/>
      <w:u w:val="single"/>
    </w:rPr>
  </w:style>
  <w:style w:type="character" w:styleId="CommentReference">
    <w:name w:val="annotation reference"/>
    <w:uiPriority w:val="99"/>
    <w:rsid w:val="00074D2E"/>
    <w:rPr>
      <w:sz w:val="16"/>
      <w:szCs w:val="16"/>
    </w:rPr>
  </w:style>
  <w:style w:type="paragraph" w:styleId="CommentText">
    <w:name w:val="annotation text"/>
    <w:basedOn w:val="Normal"/>
    <w:link w:val="CommentTextChar"/>
    <w:uiPriority w:val="99"/>
    <w:rsid w:val="00074D2E"/>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074D2E"/>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74D2E"/>
    <w:rPr>
      <w:b/>
      <w:bCs/>
    </w:rPr>
  </w:style>
  <w:style w:type="character" w:customStyle="1" w:styleId="CommentSubjectChar">
    <w:name w:val="Comment Subject Char"/>
    <w:basedOn w:val="CommentTextChar"/>
    <w:link w:val="CommentSubject"/>
    <w:uiPriority w:val="99"/>
    <w:rsid w:val="00074D2E"/>
    <w:rPr>
      <w:rFonts w:ascii="Times New Roman" w:eastAsia="Times New Roman" w:hAnsi="Times New Roman" w:cs="Times New Roman"/>
      <w:b/>
      <w:bCs/>
      <w:sz w:val="20"/>
      <w:szCs w:val="20"/>
      <w:lang w:val="en-GB" w:eastAsia="en-GB"/>
    </w:rPr>
  </w:style>
  <w:style w:type="paragraph" w:styleId="Footer">
    <w:name w:val="footer"/>
    <w:basedOn w:val="Normal"/>
    <w:link w:val="FooterChar"/>
    <w:uiPriority w:val="99"/>
    <w:rsid w:val="00074D2E"/>
    <w:pPr>
      <w:tabs>
        <w:tab w:val="center" w:pos="4320"/>
        <w:tab w:val="right" w:pos="8640"/>
      </w:tabs>
    </w:pPr>
    <w:rPr>
      <w:rFonts w:ascii="Times New Roman" w:eastAsia="Times New Roman" w:hAnsi="Times New Roman" w:cs="Times New Roman"/>
      <w:lang w:eastAsia="en-GB"/>
    </w:rPr>
  </w:style>
  <w:style w:type="character" w:customStyle="1" w:styleId="FooterChar">
    <w:name w:val="Footer Char"/>
    <w:basedOn w:val="DefaultParagraphFont"/>
    <w:link w:val="Footer"/>
    <w:uiPriority w:val="99"/>
    <w:rsid w:val="00074D2E"/>
    <w:rPr>
      <w:rFonts w:ascii="Times New Roman" w:eastAsia="Times New Roman" w:hAnsi="Times New Roman" w:cs="Times New Roman"/>
      <w:lang w:val="en-GB" w:eastAsia="en-GB"/>
    </w:rPr>
  </w:style>
  <w:style w:type="character" w:styleId="PageNumber">
    <w:name w:val="page number"/>
    <w:uiPriority w:val="99"/>
    <w:rsid w:val="00074D2E"/>
  </w:style>
  <w:style w:type="table" w:styleId="TableGrid">
    <w:name w:val="Table Grid"/>
    <w:basedOn w:val="TableNormal"/>
    <w:uiPriority w:val="59"/>
    <w:rsid w:val="00074D2E"/>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074D2E"/>
    <w:rPr>
      <w:rFonts w:ascii="Cambria" w:eastAsia="Cambria" w:hAnsi="Cambria" w:cs="Times New Roman"/>
    </w:rPr>
  </w:style>
  <w:style w:type="character" w:customStyle="1" w:styleId="EndnoteTextChar">
    <w:name w:val="Endnote Text Char"/>
    <w:basedOn w:val="DefaultParagraphFont"/>
    <w:link w:val="EndnoteText"/>
    <w:uiPriority w:val="99"/>
    <w:rsid w:val="00074D2E"/>
    <w:rPr>
      <w:rFonts w:ascii="Cambria" w:eastAsia="Cambria" w:hAnsi="Cambria" w:cs="Times New Roman"/>
      <w:lang w:val="en-GB"/>
    </w:rPr>
  </w:style>
  <w:style w:type="character" w:styleId="EndnoteReference">
    <w:name w:val="endnote reference"/>
    <w:uiPriority w:val="99"/>
    <w:unhideWhenUsed/>
    <w:rsid w:val="00074D2E"/>
    <w:rPr>
      <w:vertAlign w:val="superscript"/>
    </w:rPr>
  </w:style>
  <w:style w:type="paragraph" w:styleId="Revision">
    <w:name w:val="Revision"/>
    <w:hidden/>
    <w:uiPriority w:val="99"/>
    <w:semiHidden/>
    <w:rsid w:val="00083A23"/>
    <w:rPr>
      <w:lang w:val="en-GB"/>
    </w:rPr>
  </w:style>
  <w:style w:type="paragraph" w:styleId="ListParagraph">
    <w:name w:val="List Paragraph"/>
    <w:basedOn w:val="Normal"/>
    <w:uiPriority w:val="34"/>
    <w:qFormat/>
    <w:rsid w:val="00DA5310"/>
    <w:pPr>
      <w:ind w:left="720"/>
      <w:contextualSpacing/>
    </w:pPr>
  </w:style>
  <w:style w:type="paragraph" w:styleId="List2">
    <w:name w:val="List 2"/>
    <w:basedOn w:val="Normal"/>
    <w:uiPriority w:val="99"/>
    <w:unhideWhenUsed/>
    <w:rsid w:val="000C73AF"/>
    <w:pPr>
      <w:spacing w:after="200" w:line="276" w:lineRule="auto"/>
      <w:ind w:left="566" w:hanging="283"/>
      <w:contextualSpacing/>
    </w:pPr>
    <w:rPr>
      <w:rFonts w:eastAsiaTheme="minorHAnsi"/>
      <w:sz w:val="22"/>
      <w:szCs w:val="22"/>
    </w:rPr>
  </w:style>
  <w:style w:type="paragraph" w:styleId="TOC1">
    <w:name w:val="toc 1"/>
    <w:basedOn w:val="Normal"/>
    <w:next w:val="Normal"/>
    <w:autoRedefine/>
    <w:uiPriority w:val="39"/>
    <w:unhideWhenUsed/>
    <w:rsid w:val="00FB15A4"/>
    <w:pPr>
      <w:tabs>
        <w:tab w:val="right" w:leader="dot" w:pos="8471"/>
      </w:tabs>
      <w:spacing w:after="100"/>
      <w:jc w:val="center"/>
    </w:pPr>
    <w:rPr>
      <w:rFonts w:ascii="Times New Roman" w:hAnsi="Times New Roman" w:cs="Times New Roman"/>
      <w:sz w:val="32"/>
      <w:szCs w:val="32"/>
    </w:rPr>
  </w:style>
  <w:style w:type="paragraph" w:styleId="TOC2">
    <w:name w:val="toc 2"/>
    <w:basedOn w:val="Normal"/>
    <w:next w:val="Normal"/>
    <w:autoRedefine/>
    <w:uiPriority w:val="39"/>
    <w:unhideWhenUsed/>
    <w:rsid w:val="001A1206"/>
    <w:pPr>
      <w:spacing w:after="100"/>
      <w:ind w:left="240"/>
    </w:pPr>
  </w:style>
  <w:style w:type="paragraph" w:styleId="TOC3">
    <w:name w:val="toc 3"/>
    <w:basedOn w:val="Normal"/>
    <w:next w:val="Normal"/>
    <w:autoRedefine/>
    <w:uiPriority w:val="39"/>
    <w:unhideWhenUsed/>
    <w:rsid w:val="001A1206"/>
    <w:pPr>
      <w:spacing w:after="100"/>
      <w:ind w:left="480"/>
    </w:pPr>
  </w:style>
  <w:style w:type="paragraph" w:styleId="TOC4">
    <w:name w:val="toc 4"/>
    <w:basedOn w:val="Normal"/>
    <w:next w:val="Normal"/>
    <w:autoRedefine/>
    <w:uiPriority w:val="39"/>
    <w:unhideWhenUsed/>
    <w:rsid w:val="001A1206"/>
    <w:pPr>
      <w:spacing w:after="100"/>
      <w:ind w:left="720"/>
    </w:pPr>
  </w:style>
  <w:style w:type="paragraph" w:styleId="TOC5">
    <w:name w:val="toc 5"/>
    <w:basedOn w:val="Normal"/>
    <w:next w:val="Normal"/>
    <w:autoRedefine/>
    <w:uiPriority w:val="39"/>
    <w:unhideWhenUsed/>
    <w:rsid w:val="001A1206"/>
    <w:pPr>
      <w:spacing w:after="100" w:line="276" w:lineRule="auto"/>
      <w:ind w:left="880"/>
    </w:pPr>
    <w:rPr>
      <w:sz w:val="22"/>
      <w:szCs w:val="22"/>
      <w:lang w:eastAsia="en-GB"/>
    </w:rPr>
  </w:style>
  <w:style w:type="paragraph" w:styleId="TOC6">
    <w:name w:val="toc 6"/>
    <w:basedOn w:val="Normal"/>
    <w:next w:val="Normal"/>
    <w:autoRedefine/>
    <w:uiPriority w:val="39"/>
    <w:unhideWhenUsed/>
    <w:rsid w:val="001A1206"/>
    <w:pPr>
      <w:spacing w:after="100" w:line="276" w:lineRule="auto"/>
      <w:ind w:left="1100"/>
    </w:pPr>
    <w:rPr>
      <w:sz w:val="22"/>
      <w:szCs w:val="22"/>
      <w:lang w:eastAsia="en-GB"/>
    </w:rPr>
  </w:style>
  <w:style w:type="paragraph" w:styleId="TOC7">
    <w:name w:val="toc 7"/>
    <w:basedOn w:val="Normal"/>
    <w:next w:val="Normal"/>
    <w:autoRedefine/>
    <w:uiPriority w:val="39"/>
    <w:unhideWhenUsed/>
    <w:rsid w:val="001A1206"/>
    <w:pPr>
      <w:spacing w:after="100" w:line="276" w:lineRule="auto"/>
      <w:ind w:left="1320"/>
    </w:pPr>
    <w:rPr>
      <w:sz w:val="22"/>
      <w:szCs w:val="22"/>
      <w:lang w:eastAsia="en-GB"/>
    </w:rPr>
  </w:style>
  <w:style w:type="paragraph" w:styleId="TOC8">
    <w:name w:val="toc 8"/>
    <w:basedOn w:val="Normal"/>
    <w:next w:val="Normal"/>
    <w:autoRedefine/>
    <w:uiPriority w:val="39"/>
    <w:unhideWhenUsed/>
    <w:rsid w:val="001A1206"/>
    <w:pPr>
      <w:spacing w:after="100" w:line="276" w:lineRule="auto"/>
      <w:ind w:left="1540"/>
    </w:pPr>
    <w:rPr>
      <w:sz w:val="22"/>
      <w:szCs w:val="22"/>
      <w:lang w:eastAsia="en-GB"/>
    </w:rPr>
  </w:style>
  <w:style w:type="paragraph" w:styleId="TOC9">
    <w:name w:val="toc 9"/>
    <w:basedOn w:val="Normal"/>
    <w:next w:val="Normal"/>
    <w:autoRedefine/>
    <w:uiPriority w:val="39"/>
    <w:unhideWhenUsed/>
    <w:rsid w:val="001A1206"/>
    <w:pPr>
      <w:spacing w:after="100" w:line="276" w:lineRule="auto"/>
      <w:ind w:left="1760"/>
    </w:pPr>
    <w:rPr>
      <w:sz w:val="22"/>
      <w:szCs w:val="22"/>
      <w:lang w:eastAsia="en-GB"/>
    </w:rPr>
  </w:style>
  <w:style w:type="paragraph" w:styleId="DocumentMap">
    <w:name w:val="Document Map"/>
    <w:basedOn w:val="Normal"/>
    <w:link w:val="DocumentMapChar"/>
    <w:uiPriority w:val="99"/>
    <w:semiHidden/>
    <w:unhideWhenUsed/>
    <w:rsid w:val="00753000"/>
    <w:rPr>
      <w:rFonts w:ascii="Lucida Grande" w:hAnsi="Lucida Grande" w:cs="Lucida Grande"/>
    </w:rPr>
  </w:style>
  <w:style w:type="character" w:customStyle="1" w:styleId="DocumentMapChar">
    <w:name w:val="Document Map Char"/>
    <w:basedOn w:val="DefaultParagraphFont"/>
    <w:link w:val="DocumentMap"/>
    <w:uiPriority w:val="99"/>
    <w:semiHidden/>
    <w:rsid w:val="00753000"/>
    <w:rPr>
      <w:rFonts w:ascii="Lucida Grande" w:hAnsi="Lucida Grande" w:cs="Lucida Grande"/>
      <w:lang w:val="en-GB"/>
    </w:rPr>
  </w:style>
  <w:style w:type="character" w:customStyle="1" w:styleId="apple-converted-space">
    <w:name w:val="apple-converted-space"/>
    <w:basedOn w:val="DefaultParagraphFont"/>
    <w:rsid w:val="008B7A83"/>
  </w:style>
  <w:style w:type="character" w:styleId="FollowedHyperlink">
    <w:name w:val="FollowedHyperlink"/>
    <w:basedOn w:val="DefaultParagraphFont"/>
    <w:uiPriority w:val="99"/>
    <w:semiHidden/>
    <w:unhideWhenUsed/>
    <w:rsid w:val="00A2204E"/>
    <w:rPr>
      <w:color w:val="800080" w:themeColor="followedHyperlink"/>
      <w:u w:val="single"/>
    </w:rPr>
  </w:style>
  <w:style w:type="character" w:styleId="PlaceholderText">
    <w:name w:val="Placeholder Text"/>
    <w:basedOn w:val="DefaultParagraphFont"/>
    <w:uiPriority w:val="99"/>
    <w:semiHidden/>
    <w:rsid w:val="00AC6E15"/>
    <w:rPr>
      <w:color w:val="808080"/>
    </w:rPr>
  </w:style>
  <w:style w:type="paragraph" w:customStyle="1" w:styleId="EndNoteBibliographyTitle">
    <w:name w:val="EndNote Bibliography Title"/>
    <w:basedOn w:val="Normal"/>
    <w:link w:val="EndNoteBibliographyTitleChar"/>
    <w:rsid w:val="00E21755"/>
    <w:pPr>
      <w:jc w:val="center"/>
    </w:pPr>
    <w:rPr>
      <w:rFonts w:ascii="Cambria" w:hAnsi="Cambria"/>
      <w:noProof/>
      <w:lang w:val="en-US"/>
    </w:rPr>
  </w:style>
  <w:style w:type="character" w:customStyle="1" w:styleId="EndNoteBibliographyTitleChar">
    <w:name w:val="EndNote Bibliography Title Char"/>
    <w:basedOn w:val="DefaultParagraphFont"/>
    <w:link w:val="EndNoteBibliographyTitle"/>
    <w:rsid w:val="00E21755"/>
    <w:rPr>
      <w:rFonts w:ascii="Cambria" w:hAnsi="Cambria"/>
      <w:noProof/>
    </w:rPr>
  </w:style>
  <w:style w:type="paragraph" w:customStyle="1" w:styleId="EndNoteBibliography">
    <w:name w:val="EndNote Bibliography"/>
    <w:basedOn w:val="Normal"/>
    <w:link w:val="EndNoteBibliographyChar"/>
    <w:rsid w:val="00E21755"/>
    <w:pPr>
      <w:jc w:val="both"/>
    </w:pPr>
    <w:rPr>
      <w:rFonts w:ascii="Cambria" w:hAnsi="Cambria"/>
      <w:noProof/>
      <w:lang w:val="en-US"/>
    </w:rPr>
  </w:style>
  <w:style w:type="character" w:customStyle="1" w:styleId="EndNoteBibliographyChar">
    <w:name w:val="EndNote Bibliography Char"/>
    <w:basedOn w:val="DefaultParagraphFont"/>
    <w:link w:val="EndNoteBibliography"/>
    <w:rsid w:val="00E21755"/>
    <w:rPr>
      <w:rFonts w:ascii="Cambria" w:hAnsi="Cambria"/>
      <w:noProof/>
    </w:rPr>
  </w:style>
  <w:style w:type="character" w:customStyle="1" w:styleId="UnresolvedMention1">
    <w:name w:val="Unresolved Mention1"/>
    <w:basedOn w:val="DefaultParagraphFont"/>
    <w:uiPriority w:val="99"/>
    <w:semiHidden/>
    <w:unhideWhenUsed/>
    <w:rsid w:val="00A04B83"/>
    <w:rPr>
      <w:color w:val="605E5C"/>
      <w:shd w:val="clear" w:color="auto" w:fill="E1DFDD"/>
    </w:rPr>
  </w:style>
  <w:style w:type="paragraph" w:styleId="Header">
    <w:name w:val="header"/>
    <w:basedOn w:val="Normal"/>
    <w:link w:val="HeaderChar"/>
    <w:uiPriority w:val="99"/>
    <w:unhideWhenUsed/>
    <w:rsid w:val="00D935E0"/>
    <w:pPr>
      <w:tabs>
        <w:tab w:val="center" w:pos="4513"/>
        <w:tab w:val="right" w:pos="9026"/>
      </w:tabs>
    </w:pPr>
  </w:style>
  <w:style w:type="character" w:customStyle="1" w:styleId="HeaderChar">
    <w:name w:val="Header Char"/>
    <w:basedOn w:val="DefaultParagraphFont"/>
    <w:link w:val="Header"/>
    <w:uiPriority w:val="99"/>
    <w:rsid w:val="00D935E0"/>
    <w:rPr>
      <w:lang w:val="en-GB"/>
    </w:rPr>
  </w:style>
  <w:style w:type="character" w:styleId="LineNumber">
    <w:name w:val="line number"/>
    <w:basedOn w:val="DefaultParagraphFont"/>
    <w:uiPriority w:val="99"/>
    <w:semiHidden/>
    <w:unhideWhenUsed/>
    <w:rsid w:val="00283A61"/>
  </w:style>
  <w:style w:type="table" w:customStyle="1" w:styleId="PlainTable11">
    <w:name w:val="Plain Table 11"/>
    <w:basedOn w:val="TableNormal"/>
    <w:uiPriority w:val="41"/>
    <w:rsid w:val="006373E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44"/>
    <w:rsid w:val="006373E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4F5014"/>
    <w:pPr>
      <w:autoSpaceDE w:val="0"/>
      <w:autoSpaceDN w:val="0"/>
      <w:adjustRightInd w:val="0"/>
    </w:pPr>
    <w:rPr>
      <w:rFonts w:ascii="Times New Roman" w:hAnsi="Times New Roman" w:cs="Times New Roman"/>
      <w:color w:val="000000"/>
      <w:lang w:val="en-GB"/>
    </w:rPr>
  </w:style>
  <w:style w:type="character" w:customStyle="1" w:styleId="UnresolvedMention2">
    <w:name w:val="Unresolved Mention2"/>
    <w:basedOn w:val="DefaultParagraphFont"/>
    <w:uiPriority w:val="99"/>
    <w:semiHidden/>
    <w:unhideWhenUsed/>
    <w:rsid w:val="00BC2F2F"/>
    <w:rPr>
      <w:color w:val="605E5C"/>
      <w:shd w:val="clear" w:color="auto" w:fill="E1DFDD"/>
    </w:rPr>
  </w:style>
  <w:style w:type="paragraph" w:customStyle="1" w:styleId="m-651505653780680085msolistparagraph">
    <w:name w:val="m_-651505653780680085msolistparagraph"/>
    <w:basedOn w:val="Normal"/>
    <w:rsid w:val="00505423"/>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85014B"/>
    <w:rPr>
      <w:i/>
      <w:iCs/>
    </w:rPr>
  </w:style>
  <w:style w:type="character" w:styleId="Strong">
    <w:name w:val="Strong"/>
    <w:basedOn w:val="DefaultParagraphFont"/>
    <w:uiPriority w:val="22"/>
    <w:qFormat/>
    <w:rsid w:val="00CD5A18"/>
    <w:rPr>
      <w:b/>
      <w:bCs/>
    </w:rPr>
  </w:style>
  <w:style w:type="character" w:customStyle="1" w:styleId="UnresolvedMention3">
    <w:name w:val="Unresolved Mention3"/>
    <w:basedOn w:val="DefaultParagraphFont"/>
    <w:uiPriority w:val="99"/>
    <w:semiHidden/>
    <w:unhideWhenUsed/>
    <w:rsid w:val="00F376B7"/>
    <w:rPr>
      <w:color w:val="605E5C"/>
      <w:shd w:val="clear" w:color="auto" w:fill="E1DFDD"/>
    </w:rPr>
  </w:style>
  <w:style w:type="character" w:customStyle="1" w:styleId="UnresolvedMention4">
    <w:name w:val="Unresolved Mention4"/>
    <w:basedOn w:val="DefaultParagraphFont"/>
    <w:uiPriority w:val="99"/>
    <w:semiHidden/>
    <w:unhideWhenUsed/>
    <w:rsid w:val="005E024C"/>
    <w:rPr>
      <w:color w:val="605E5C"/>
      <w:shd w:val="clear" w:color="auto" w:fill="E1DFDD"/>
    </w:rPr>
  </w:style>
  <w:style w:type="character" w:customStyle="1" w:styleId="UnresolvedMention5">
    <w:name w:val="Unresolved Mention5"/>
    <w:basedOn w:val="DefaultParagraphFont"/>
    <w:uiPriority w:val="99"/>
    <w:semiHidden/>
    <w:unhideWhenUsed/>
    <w:rsid w:val="00E433F1"/>
    <w:rPr>
      <w:color w:val="605E5C"/>
      <w:shd w:val="clear" w:color="auto" w:fill="E1DFDD"/>
    </w:rPr>
  </w:style>
  <w:style w:type="character" w:customStyle="1" w:styleId="UnresolvedMention6">
    <w:name w:val="Unresolved Mention6"/>
    <w:basedOn w:val="DefaultParagraphFont"/>
    <w:uiPriority w:val="99"/>
    <w:semiHidden/>
    <w:unhideWhenUsed/>
    <w:rsid w:val="00121D30"/>
    <w:rPr>
      <w:color w:val="605E5C"/>
      <w:shd w:val="clear" w:color="auto" w:fill="E1DFDD"/>
    </w:rPr>
  </w:style>
  <w:style w:type="character" w:customStyle="1" w:styleId="UnresolvedMention7">
    <w:name w:val="Unresolved Mention7"/>
    <w:basedOn w:val="DefaultParagraphFont"/>
    <w:uiPriority w:val="99"/>
    <w:semiHidden/>
    <w:unhideWhenUsed/>
    <w:rsid w:val="00B449F1"/>
    <w:rPr>
      <w:color w:val="605E5C"/>
      <w:shd w:val="clear" w:color="auto" w:fill="E1DFDD"/>
    </w:rPr>
  </w:style>
  <w:style w:type="character" w:customStyle="1" w:styleId="UnresolvedMention">
    <w:name w:val="Unresolved Mention"/>
    <w:basedOn w:val="DefaultParagraphFont"/>
    <w:uiPriority w:val="99"/>
    <w:semiHidden/>
    <w:unhideWhenUsed/>
    <w:rsid w:val="00B5558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D039C"/>
    <w:pPr>
      <w:keepNext/>
      <w:keepLines/>
      <w:spacing w:before="480" w:line="276" w:lineRule="auto"/>
      <w:jc w:val="center"/>
      <w:outlineLvl w:val="0"/>
    </w:pPr>
    <w:rPr>
      <w:rFonts w:ascii="Times New Roman" w:eastAsia="MS Gothic" w:hAnsi="Times New Roman" w:cs="Times New Roman"/>
      <w:b/>
      <w:bCs/>
      <w:sz w:val="36"/>
      <w:szCs w:val="36"/>
    </w:rPr>
  </w:style>
  <w:style w:type="paragraph" w:styleId="Heading2">
    <w:name w:val="heading 2"/>
    <w:basedOn w:val="Normal"/>
    <w:next w:val="Normal"/>
    <w:link w:val="Heading2Char"/>
    <w:uiPriority w:val="9"/>
    <w:unhideWhenUsed/>
    <w:qFormat/>
    <w:rsid w:val="000E1757"/>
    <w:pPr>
      <w:keepNext/>
      <w:keepLines/>
      <w:numPr>
        <w:ilvl w:val="1"/>
        <w:numId w:val="9"/>
      </w:numPr>
      <w:spacing w:before="200" w:line="276" w:lineRule="auto"/>
      <w:outlineLvl w:val="1"/>
    </w:pPr>
    <w:rPr>
      <w:rFonts w:ascii="Times New Roman" w:eastAsiaTheme="majorEastAsia" w:hAnsi="Times New Roman" w:cs="Times New Roman"/>
      <w:b/>
      <w:bCs/>
      <w:sz w:val="32"/>
      <w:szCs w:val="32"/>
    </w:rPr>
  </w:style>
  <w:style w:type="paragraph" w:styleId="Heading3">
    <w:name w:val="heading 3"/>
    <w:basedOn w:val="Normal"/>
    <w:next w:val="Normal"/>
    <w:link w:val="Heading3Char"/>
    <w:uiPriority w:val="9"/>
    <w:qFormat/>
    <w:rsid w:val="000E1757"/>
    <w:pPr>
      <w:keepNext/>
      <w:keepLines/>
      <w:spacing w:before="200" w:line="276" w:lineRule="auto"/>
      <w:outlineLvl w:val="2"/>
    </w:pPr>
    <w:rPr>
      <w:rFonts w:ascii="Times New Roman" w:eastAsia="MS Gothic" w:hAnsi="Times New Roman" w:cs="Times New Roman"/>
      <w:b/>
      <w:bCs/>
      <w:sz w:val="28"/>
      <w:szCs w:val="28"/>
    </w:rPr>
  </w:style>
  <w:style w:type="paragraph" w:styleId="Heading4">
    <w:name w:val="heading 4"/>
    <w:basedOn w:val="Normal"/>
    <w:next w:val="Normal"/>
    <w:link w:val="Heading4Char"/>
    <w:uiPriority w:val="9"/>
    <w:unhideWhenUsed/>
    <w:qFormat/>
    <w:rsid w:val="000E1757"/>
    <w:pPr>
      <w:keepNext/>
      <w:keepLines/>
      <w:spacing w:before="200" w:line="276" w:lineRule="auto"/>
      <w:outlineLvl w:val="3"/>
    </w:pPr>
    <w:rPr>
      <w:rFonts w:ascii="Times New Roman" w:eastAsiaTheme="majorEastAsia" w:hAnsi="Times New Roman" w:cs="Times New Roman"/>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39C"/>
    <w:rPr>
      <w:rFonts w:ascii="Times New Roman" w:eastAsia="MS Gothic" w:hAnsi="Times New Roman" w:cs="Times New Roman"/>
      <w:b/>
      <w:bCs/>
      <w:sz w:val="36"/>
      <w:szCs w:val="36"/>
      <w:lang w:val="en-GB"/>
    </w:rPr>
  </w:style>
  <w:style w:type="character" w:customStyle="1" w:styleId="Heading2Char">
    <w:name w:val="Heading 2 Char"/>
    <w:basedOn w:val="DefaultParagraphFont"/>
    <w:link w:val="Heading2"/>
    <w:uiPriority w:val="9"/>
    <w:rsid w:val="000E1757"/>
    <w:rPr>
      <w:rFonts w:ascii="Times New Roman" w:eastAsiaTheme="majorEastAsia" w:hAnsi="Times New Roman" w:cs="Times New Roman"/>
      <w:b/>
      <w:bCs/>
      <w:sz w:val="32"/>
      <w:szCs w:val="32"/>
      <w:lang w:val="en-GB"/>
    </w:rPr>
  </w:style>
  <w:style w:type="character" w:customStyle="1" w:styleId="Heading3Char">
    <w:name w:val="Heading 3 Char"/>
    <w:basedOn w:val="DefaultParagraphFont"/>
    <w:link w:val="Heading3"/>
    <w:uiPriority w:val="9"/>
    <w:rsid w:val="000E1757"/>
    <w:rPr>
      <w:rFonts w:ascii="Times New Roman" w:eastAsia="MS Gothic" w:hAnsi="Times New Roman" w:cs="Times New Roman"/>
      <w:b/>
      <w:bCs/>
      <w:sz w:val="28"/>
      <w:szCs w:val="28"/>
      <w:lang w:val="en-GB"/>
    </w:rPr>
  </w:style>
  <w:style w:type="character" w:customStyle="1" w:styleId="Heading4Char">
    <w:name w:val="Heading 4 Char"/>
    <w:basedOn w:val="DefaultParagraphFont"/>
    <w:link w:val="Heading4"/>
    <w:uiPriority w:val="9"/>
    <w:rsid w:val="000E1757"/>
    <w:rPr>
      <w:rFonts w:ascii="Times New Roman" w:eastAsiaTheme="majorEastAsia" w:hAnsi="Times New Roman" w:cs="Times New Roman"/>
      <w:b/>
      <w:bCs/>
      <w:iCs/>
      <w:lang w:val="en-GB"/>
    </w:rPr>
  </w:style>
  <w:style w:type="paragraph" w:styleId="BodyTextIndent">
    <w:name w:val="Body Text Indent"/>
    <w:basedOn w:val="Normal"/>
    <w:link w:val="BodyTextIndentChar"/>
    <w:uiPriority w:val="99"/>
    <w:rsid w:val="0070564D"/>
    <w:pPr>
      <w:tabs>
        <w:tab w:val="left" w:pos="360"/>
      </w:tabs>
      <w:autoSpaceDE w:val="0"/>
      <w:autoSpaceDN w:val="0"/>
      <w:ind w:left="360" w:hanging="360"/>
    </w:pPr>
    <w:rPr>
      <w:rFonts w:ascii="Times New Roman" w:eastAsia="Times New Roman" w:hAnsi="Times New Roman" w:cs="Times New Roman"/>
      <w:lang w:val="en-US"/>
    </w:rPr>
  </w:style>
  <w:style w:type="character" w:customStyle="1" w:styleId="BodyTextIndentChar">
    <w:name w:val="Body Text Indent Char"/>
    <w:basedOn w:val="DefaultParagraphFont"/>
    <w:link w:val="BodyTextIndent"/>
    <w:uiPriority w:val="99"/>
    <w:rsid w:val="0070564D"/>
    <w:rPr>
      <w:rFonts w:ascii="Times New Roman" w:eastAsia="Times New Roman" w:hAnsi="Times New Roman" w:cs="Times New Roman"/>
    </w:rPr>
  </w:style>
  <w:style w:type="paragraph" w:styleId="NormalWeb">
    <w:name w:val="Normal (Web)"/>
    <w:basedOn w:val="Normal"/>
    <w:uiPriority w:val="99"/>
    <w:unhideWhenUsed/>
    <w:rsid w:val="001B4527"/>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unhideWhenUsed/>
    <w:rsid w:val="008E7346"/>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E7346"/>
    <w:rPr>
      <w:rFonts w:ascii="Lucida Grande" w:hAnsi="Lucida Grande" w:cs="Lucida Grande"/>
      <w:sz w:val="18"/>
      <w:szCs w:val="18"/>
      <w:lang w:val="en-GB"/>
    </w:rPr>
  </w:style>
  <w:style w:type="character" w:styleId="Hyperlink">
    <w:name w:val="Hyperlink"/>
    <w:uiPriority w:val="99"/>
    <w:unhideWhenUsed/>
    <w:rsid w:val="00074D2E"/>
    <w:rPr>
      <w:color w:val="0000FF"/>
      <w:u w:val="single"/>
    </w:rPr>
  </w:style>
  <w:style w:type="character" w:styleId="CommentReference">
    <w:name w:val="annotation reference"/>
    <w:uiPriority w:val="99"/>
    <w:rsid w:val="00074D2E"/>
    <w:rPr>
      <w:sz w:val="16"/>
      <w:szCs w:val="16"/>
    </w:rPr>
  </w:style>
  <w:style w:type="paragraph" w:styleId="CommentText">
    <w:name w:val="annotation text"/>
    <w:basedOn w:val="Normal"/>
    <w:link w:val="CommentTextChar"/>
    <w:uiPriority w:val="99"/>
    <w:rsid w:val="00074D2E"/>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074D2E"/>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rsid w:val="00074D2E"/>
    <w:rPr>
      <w:b/>
      <w:bCs/>
    </w:rPr>
  </w:style>
  <w:style w:type="character" w:customStyle="1" w:styleId="CommentSubjectChar">
    <w:name w:val="Comment Subject Char"/>
    <w:basedOn w:val="CommentTextChar"/>
    <w:link w:val="CommentSubject"/>
    <w:uiPriority w:val="99"/>
    <w:rsid w:val="00074D2E"/>
    <w:rPr>
      <w:rFonts w:ascii="Times New Roman" w:eastAsia="Times New Roman" w:hAnsi="Times New Roman" w:cs="Times New Roman"/>
      <w:b/>
      <w:bCs/>
      <w:sz w:val="20"/>
      <w:szCs w:val="20"/>
      <w:lang w:val="en-GB" w:eastAsia="en-GB"/>
    </w:rPr>
  </w:style>
  <w:style w:type="paragraph" w:styleId="Footer">
    <w:name w:val="footer"/>
    <w:basedOn w:val="Normal"/>
    <w:link w:val="FooterChar"/>
    <w:uiPriority w:val="99"/>
    <w:rsid w:val="00074D2E"/>
    <w:pPr>
      <w:tabs>
        <w:tab w:val="center" w:pos="4320"/>
        <w:tab w:val="right" w:pos="8640"/>
      </w:tabs>
    </w:pPr>
    <w:rPr>
      <w:rFonts w:ascii="Times New Roman" w:eastAsia="Times New Roman" w:hAnsi="Times New Roman" w:cs="Times New Roman"/>
      <w:lang w:eastAsia="en-GB"/>
    </w:rPr>
  </w:style>
  <w:style w:type="character" w:customStyle="1" w:styleId="FooterChar">
    <w:name w:val="Footer Char"/>
    <w:basedOn w:val="DefaultParagraphFont"/>
    <w:link w:val="Footer"/>
    <w:uiPriority w:val="99"/>
    <w:rsid w:val="00074D2E"/>
    <w:rPr>
      <w:rFonts w:ascii="Times New Roman" w:eastAsia="Times New Roman" w:hAnsi="Times New Roman" w:cs="Times New Roman"/>
      <w:lang w:val="en-GB" w:eastAsia="en-GB"/>
    </w:rPr>
  </w:style>
  <w:style w:type="character" w:styleId="PageNumber">
    <w:name w:val="page number"/>
    <w:uiPriority w:val="99"/>
    <w:rsid w:val="00074D2E"/>
  </w:style>
  <w:style w:type="table" w:styleId="TableGrid">
    <w:name w:val="Table Grid"/>
    <w:basedOn w:val="TableNormal"/>
    <w:uiPriority w:val="59"/>
    <w:rsid w:val="00074D2E"/>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074D2E"/>
    <w:rPr>
      <w:rFonts w:ascii="Cambria" w:eastAsia="Cambria" w:hAnsi="Cambria" w:cs="Times New Roman"/>
    </w:rPr>
  </w:style>
  <w:style w:type="character" w:customStyle="1" w:styleId="EndnoteTextChar">
    <w:name w:val="Endnote Text Char"/>
    <w:basedOn w:val="DefaultParagraphFont"/>
    <w:link w:val="EndnoteText"/>
    <w:uiPriority w:val="99"/>
    <w:rsid w:val="00074D2E"/>
    <w:rPr>
      <w:rFonts w:ascii="Cambria" w:eastAsia="Cambria" w:hAnsi="Cambria" w:cs="Times New Roman"/>
      <w:lang w:val="en-GB"/>
    </w:rPr>
  </w:style>
  <w:style w:type="character" w:styleId="EndnoteReference">
    <w:name w:val="endnote reference"/>
    <w:uiPriority w:val="99"/>
    <w:unhideWhenUsed/>
    <w:rsid w:val="00074D2E"/>
    <w:rPr>
      <w:vertAlign w:val="superscript"/>
    </w:rPr>
  </w:style>
  <w:style w:type="paragraph" w:styleId="Revision">
    <w:name w:val="Revision"/>
    <w:hidden/>
    <w:uiPriority w:val="99"/>
    <w:semiHidden/>
    <w:rsid w:val="00083A23"/>
    <w:rPr>
      <w:lang w:val="en-GB"/>
    </w:rPr>
  </w:style>
  <w:style w:type="paragraph" w:styleId="ListParagraph">
    <w:name w:val="List Paragraph"/>
    <w:basedOn w:val="Normal"/>
    <w:uiPriority w:val="34"/>
    <w:qFormat/>
    <w:rsid w:val="00DA5310"/>
    <w:pPr>
      <w:ind w:left="720"/>
      <w:contextualSpacing/>
    </w:pPr>
  </w:style>
  <w:style w:type="paragraph" w:styleId="List2">
    <w:name w:val="List 2"/>
    <w:basedOn w:val="Normal"/>
    <w:uiPriority w:val="99"/>
    <w:unhideWhenUsed/>
    <w:rsid w:val="000C73AF"/>
    <w:pPr>
      <w:spacing w:after="200" w:line="276" w:lineRule="auto"/>
      <w:ind w:left="566" w:hanging="283"/>
      <w:contextualSpacing/>
    </w:pPr>
    <w:rPr>
      <w:rFonts w:eastAsiaTheme="minorHAnsi"/>
      <w:sz w:val="22"/>
      <w:szCs w:val="22"/>
    </w:rPr>
  </w:style>
  <w:style w:type="paragraph" w:styleId="TOC1">
    <w:name w:val="toc 1"/>
    <w:basedOn w:val="Normal"/>
    <w:next w:val="Normal"/>
    <w:autoRedefine/>
    <w:uiPriority w:val="39"/>
    <w:unhideWhenUsed/>
    <w:rsid w:val="00FB15A4"/>
    <w:pPr>
      <w:tabs>
        <w:tab w:val="right" w:leader="dot" w:pos="8471"/>
      </w:tabs>
      <w:spacing w:after="100"/>
      <w:jc w:val="center"/>
    </w:pPr>
    <w:rPr>
      <w:rFonts w:ascii="Times New Roman" w:hAnsi="Times New Roman" w:cs="Times New Roman"/>
      <w:sz w:val="32"/>
      <w:szCs w:val="32"/>
    </w:rPr>
  </w:style>
  <w:style w:type="paragraph" w:styleId="TOC2">
    <w:name w:val="toc 2"/>
    <w:basedOn w:val="Normal"/>
    <w:next w:val="Normal"/>
    <w:autoRedefine/>
    <w:uiPriority w:val="39"/>
    <w:unhideWhenUsed/>
    <w:rsid w:val="001A1206"/>
    <w:pPr>
      <w:spacing w:after="100"/>
      <w:ind w:left="240"/>
    </w:pPr>
  </w:style>
  <w:style w:type="paragraph" w:styleId="TOC3">
    <w:name w:val="toc 3"/>
    <w:basedOn w:val="Normal"/>
    <w:next w:val="Normal"/>
    <w:autoRedefine/>
    <w:uiPriority w:val="39"/>
    <w:unhideWhenUsed/>
    <w:rsid w:val="001A1206"/>
    <w:pPr>
      <w:spacing w:after="100"/>
      <w:ind w:left="480"/>
    </w:pPr>
  </w:style>
  <w:style w:type="paragraph" w:styleId="TOC4">
    <w:name w:val="toc 4"/>
    <w:basedOn w:val="Normal"/>
    <w:next w:val="Normal"/>
    <w:autoRedefine/>
    <w:uiPriority w:val="39"/>
    <w:unhideWhenUsed/>
    <w:rsid w:val="001A1206"/>
    <w:pPr>
      <w:spacing w:after="100"/>
      <w:ind w:left="720"/>
    </w:pPr>
  </w:style>
  <w:style w:type="paragraph" w:styleId="TOC5">
    <w:name w:val="toc 5"/>
    <w:basedOn w:val="Normal"/>
    <w:next w:val="Normal"/>
    <w:autoRedefine/>
    <w:uiPriority w:val="39"/>
    <w:unhideWhenUsed/>
    <w:rsid w:val="001A1206"/>
    <w:pPr>
      <w:spacing w:after="100" w:line="276" w:lineRule="auto"/>
      <w:ind w:left="880"/>
    </w:pPr>
    <w:rPr>
      <w:sz w:val="22"/>
      <w:szCs w:val="22"/>
      <w:lang w:eastAsia="en-GB"/>
    </w:rPr>
  </w:style>
  <w:style w:type="paragraph" w:styleId="TOC6">
    <w:name w:val="toc 6"/>
    <w:basedOn w:val="Normal"/>
    <w:next w:val="Normal"/>
    <w:autoRedefine/>
    <w:uiPriority w:val="39"/>
    <w:unhideWhenUsed/>
    <w:rsid w:val="001A1206"/>
    <w:pPr>
      <w:spacing w:after="100" w:line="276" w:lineRule="auto"/>
      <w:ind w:left="1100"/>
    </w:pPr>
    <w:rPr>
      <w:sz w:val="22"/>
      <w:szCs w:val="22"/>
      <w:lang w:eastAsia="en-GB"/>
    </w:rPr>
  </w:style>
  <w:style w:type="paragraph" w:styleId="TOC7">
    <w:name w:val="toc 7"/>
    <w:basedOn w:val="Normal"/>
    <w:next w:val="Normal"/>
    <w:autoRedefine/>
    <w:uiPriority w:val="39"/>
    <w:unhideWhenUsed/>
    <w:rsid w:val="001A1206"/>
    <w:pPr>
      <w:spacing w:after="100" w:line="276" w:lineRule="auto"/>
      <w:ind w:left="1320"/>
    </w:pPr>
    <w:rPr>
      <w:sz w:val="22"/>
      <w:szCs w:val="22"/>
      <w:lang w:eastAsia="en-GB"/>
    </w:rPr>
  </w:style>
  <w:style w:type="paragraph" w:styleId="TOC8">
    <w:name w:val="toc 8"/>
    <w:basedOn w:val="Normal"/>
    <w:next w:val="Normal"/>
    <w:autoRedefine/>
    <w:uiPriority w:val="39"/>
    <w:unhideWhenUsed/>
    <w:rsid w:val="001A1206"/>
    <w:pPr>
      <w:spacing w:after="100" w:line="276" w:lineRule="auto"/>
      <w:ind w:left="1540"/>
    </w:pPr>
    <w:rPr>
      <w:sz w:val="22"/>
      <w:szCs w:val="22"/>
      <w:lang w:eastAsia="en-GB"/>
    </w:rPr>
  </w:style>
  <w:style w:type="paragraph" w:styleId="TOC9">
    <w:name w:val="toc 9"/>
    <w:basedOn w:val="Normal"/>
    <w:next w:val="Normal"/>
    <w:autoRedefine/>
    <w:uiPriority w:val="39"/>
    <w:unhideWhenUsed/>
    <w:rsid w:val="001A1206"/>
    <w:pPr>
      <w:spacing w:after="100" w:line="276" w:lineRule="auto"/>
      <w:ind w:left="1760"/>
    </w:pPr>
    <w:rPr>
      <w:sz w:val="22"/>
      <w:szCs w:val="22"/>
      <w:lang w:eastAsia="en-GB"/>
    </w:rPr>
  </w:style>
  <w:style w:type="paragraph" w:styleId="DocumentMap">
    <w:name w:val="Document Map"/>
    <w:basedOn w:val="Normal"/>
    <w:link w:val="DocumentMapChar"/>
    <w:uiPriority w:val="99"/>
    <w:semiHidden/>
    <w:unhideWhenUsed/>
    <w:rsid w:val="00753000"/>
    <w:rPr>
      <w:rFonts w:ascii="Lucida Grande" w:hAnsi="Lucida Grande" w:cs="Lucida Grande"/>
    </w:rPr>
  </w:style>
  <w:style w:type="character" w:customStyle="1" w:styleId="DocumentMapChar">
    <w:name w:val="Document Map Char"/>
    <w:basedOn w:val="DefaultParagraphFont"/>
    <w:link w:val="DocumentMap"/>
    <w:uiPriority w:val="99"/>
    <w:semiHidden/>
    <w:rsid w:val="00753000"/>
    <w:rPr>
      <w:rFonts w:ascii="Lucida Grande" w:hAnsi="Lucida Grande" w:cs="Lucida Grande"/>
      <w:lang w:val="en-GB"/>
    </w:rPr>
  </w:style>
  <w:style w:type="character" w:customStyle="1" w:styleId="apple-converted-space">
    <w:name w:val="apple-converted-space"/>
    <w:basedOn w:val="DefaultParagraphFont"/>
    <w:rsid w:val="008B7A83"/>
  </w:style>
  <w:style w:type="character" w:styleId="FollowedHyperlink">
    <w:name w:val="FollowedHyperlink"/>
    <w:basedOn w:val="DefaultParagraphFont"/>
    <w:uiPriority w:val="99"/>
    <w:semiHidden/>
    <w:unhideWhenUsed/>
    <w:rsid w:val="00A2204E"/>
    <w:rPr>
      <w:color w:val="800080" w:themeColor="followedHyperlink"/>
      <w:u w:val="single"/>
    </w:rPr>
  </w:style>
  <w:style w:type="character" w:styleId="PlaceholderText">
    <w:name w:val="Placeholder Text"/>
    <w:basedOn w:val="DefaultParagraphFont"/>
    <w:uiPriority w:val="99"/>
    <w:semiHidden/>
    <w:rsid w:val="00AC6E15"/>
    <w:rPr>
      <w:color w:val="808080"/>
    </w:rPr>
  </w:style>
  <w:style w:type="paragraph" w:customStyle="1" w:styleId="EndNoteBibliographyTitle">
    <w:name w:val="EndNote Bibliography Title"/>
    <w:basedOn w:val="Normal"/>
    <w:link w:val="EndNoteBibliographyTitleChar"/>
    <w:rsid w:val="00E21755"/>
    <w:pPr>
      <w:jc w:val="center"/>
    </w:pPr>
    <w:rPr>
      <w:rFonts w:ascii="Cambria" w:hAnsi="Cambria"/>
      <w:noProof/>
      <w:lang w:val="en-US"/>
    </w:rPr>
  </w:style>
  <w:style w:type="character" w:customStyle="1" w:styleId="EndNoteBibliographyTitleChar">
    <w:name w:val="EndNote Bibliography Title Char"/>
    <w:basedOn w:val="DefaultParagraphFont"/>
    <w:link w:val="EndNoteBibliographyTitle"/>
    <w:rsid w:val="00E21755"/>
    <w:rPr>
      <w:rFonts w:ascii="Cambria" w:hAnsi="Cambria"/>
      <w:noProof/>
    </w:rPr>
  </w:style>
  <w:style w:type="paragraph" w:customStyle="1" w:styleId="EndNoteBibliography">
    <w:name w:val="EndNote Bibliography"/>
    <w:basedOn w:val="Normal"/>
    <w:link w:val="EndNoteBibliographyChar"/>
    <w:rsid w:val="00E21755"/>
    <w:pPr>
      <w:jc w:val="both"/>
    </w:pPr>
    <w:rPr>
      <w:rFonts w:ascii="Cambria" w:hAnsi="Cambria"/>
      <w:noProof/>
      <w:lang w:val="en-US"/>
    </w:rPr>
  </w:style>
  <w:style w:type="character" w:customStyle="1" w:styleId="EndNoteBibliographyChar">
    <w:name w:val="EndNote Bibliography Char"/>
    <w:basedOn w:val="DefaultParagraphFont"/>
    <w:link w:val="EndNoteBibliography"/>
    <w:rsid w:val="00E21755"/>
    <w:rPr>
      <w:rFonts w:ascii="Cambria" w:hAnsi="Cambria"/>
      <w:noProof/>
    </w:rPr>
  </w:style>
  <w:style w:type="character" w:customStyle="1" w:styleId="UnresolvedMention1">
    <w:name w:val="Unresolved Mention1"/>
    <w:basedOn w:val="DefaultParagraphFont"/>
    <w:uiPriority w:val="99"/>
    <w:semiHidden/>
    <w:unhideWhenUsed/>
    <w:rsid w:val="00A04B83"/>
    <w:rPr>
      <w:color w:val="605E5C"/>
      <w:shd w:val="clear" w:color="auto" w:fill="E1DFDD"/>
    </w:rPr>
  </w:style>
  <w:style w:type="paragraph" w:styleId="Header">
    <w:name w:val="header"/>
    <w:basedOn w:val="Normal"/>
    <w:link w:val="HeaderChar"/>
    <w:uiPriority w:val="99"/>
    <w:unhideWhenUsed/>
    <w:rsid w:val="00D935E0"/>
    <w:pPr>
      <w:tabs>
        <w:tab w:val="center" w:pos="4513"/>
        <w:tab w:val="right" w:pos="9026"/>
      </w:tabs>
    </w:pPr>
  </w:style>
  <w:style w:type="character" w:customStyle="1" w:styleId="HeaderChar">
    <w:name w:val="Header Char"/>
    <w:basedOn w:val="DefaultParagraphFont"/>
    <w:link w:val="Header"/>
    <w:uiPriority w:val="99"/>
    <w:rsid w:val="00D935E0"/>
    <w:rPr>
      <w:lang w:val="en-GB"/>
    </w:rPr>
  </w:style>
  <w:style w:type="character" w:styleId="LineNumber">
    <w:name w:val="line number"/>
    <w:basedOn w:val="DefaultParagraphFont"/>
    <w:uiPriority w:val="99"/>
    <w:semiHidden/>
    <w:unhideWhenUsed/>
    <w:rsid w:val="00283A61"/>
  </w:style>
  <w:style w:type="table" w:customStyle="1" w:styleId="PlainTable11">
    <w:name w:val="Plain Table 11"/>
    <w:basedOn w:val="TableNormal"/>
    <w:uiPriority w:val="41"/>
    <w:rsid w:val="006373E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44"/>
    <w:rsid w:val="006373E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4F5014"/>
    <w:pPr>
      <w:autoSpaceDE w:val="0"/>
      <w:autoSpaceDN w:val="0"/>
      <w:adjustRightInd w:val="0"/>
    </w:pPr>
    <w:rPr>
      <w:rFonts w:ascii="Times New Roman" w:hAnsi="Times New Roman" w:cs="Times New Roman"/>
      <w:color w:val="000000"/>
      <w:lang w:val="en-GB"/>
    </w:rPr>
  </w:style>
  <w:style w:type="character" w:customStyle="1" w:styleId="UnresolvedMention2">
    <w:name w:val="Unresolved Mention2"/>
    <w:basedOn w:val="DefaultParagraphFont"/>
    <w:uiPriority w:val="99"/>
    <w:semiHidden/>
    <w:unhideWhenUsed/>
    <w:rsid w:val="00BC2F2F"/>
    <w:rPr>
      <w:color w:val="605E5C"/>
      <w:shd w:val="clear" w:color="auto" w:fill="E1DFDD"/>
    </w:rPr>
  </w:style>
  <w:style w:type="paragraph" w:customStyle="1" w:styleId="m-651505653780680085msolistparagraph">
    <w:name w:val="m_-651505653780680085msolistparagraph"/>
    <w:basedOn w:val="Normal"/>
    <w:rsid w:val="00505423"/>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85014B"/>
    <w:rPr>
      <w:i/>
      <w:iCs/>
    </w:rPr>
  </w:style>
  <w:style w:type="character" w:styleId="Strong">
    <w:name w:val="Strong"/>
    <w:basedOn w:val="DefaultParagraphFont"/>
    <w:uiPriority w:val="22"/>
    <w:qFormat/>
    <w:rsid w:val="00CD5A18"/>
    <w:rPr>
      <w:b/>
      <w:bCs/>
    </w:rPr>
  </w:style>
  <w:style w:type="character" w:customStyle="1" w:styleId="UnresolvedMention3">
    <w:name w:val="Unresolved Mention3"/>
    <w:basedOn w:val="DefaultParagraphFont"/>
    <w:uiPriority w:val="99"/>
    <w:semiHidden/>
    <w:unhideWhenUsed/>
    <w:rsid w:val="00F376B7"/>
    <w:rPr>
      <w:color w:val="605E5C"/>
      <w:shd w:val="clear" w:color="auto" w:fill="E1DFDD"/>
    </w:rPr>
  </w:style>
  <w:style w:type="character" w:customStyle="1" w:styleId="UnresolvedMention4">
    <w:name w:val="Unresolved Mention4"/>
    <w:basedOn w:val="DefaultParagraphFont"/>
    <w:uiPriority w:val="99"/>
    <w:semiHidden/>
    <w:unhideWhenUsed/>
    <w:rsid w:val="005E024C"/>
    <w:rPr>
      <w:color w:val="605E5C"/>
      <w:shd w:val="clear" w:color="auto" w:fill="E1DFDD"/>
    </w:rPr>
  </w:style>
  <w:style w:type="character" w:customStyle="1" w:styleId="UnresolvedMention5">
    <w:name w:val="Unresolved Mention5"/>
    <w:basedOn w:val="DefaultParagraphFont"/>
    <w:uiPriority w:val="99"/>
    <w:semiHidden/>
    <w:unhideWhenUsed/>
    <w:rsid w:val="00E433F1"/>
    <w:rPr>
      <w:color w:val="605E5C"/>
      <w:shd w:val="clear" w:color="auto" w:fill="E1DFDD"/>
    </w:rPr>
  </w:style>
  <w:style w:type="character" w:customStyle="1" w:styleId="UnresolvedMention6">
    <w:name w:val="Unresolved Mention6"/>
    <w:basedOn w:val="DefaultParagraphFont"/>
    <w:uiPriority w:val="99"/>
    <w:semiHidden/>
    <w:unhideWhenUsed/>
    <w:rsid w:val="00121D30"/>
    <w:rPr>
      <w:color w:val="605E5C"/>
      <w:shd w:val="clear" w:color="auto" w:fill="E1DFDD"/>
    </w:rPr>
  </w:style>
  <w:style w:type="character" w:customStyle="1" w:styleId="UnresolvedMention7">
    <w:name w:val="Unresolved Mention7"/>
    <w:basedOn w:val="DefaultParagraphFont"/>
    <w:uiPriority w:val="99"/>
    <w:semiHidden/>
    <w:unhideWhenUsed/>
    <w:rsid w:val="00B449F1"/>
    <w:rPr>
      <w:color w:val="605E5C"/>
      <w:shd w:val="clear" w:color="auto" w:fill="E1DFDD"/>
    </w:rPr>
  </w:style>
  <w:style w:type="character" w:customStyle="1" w:styleId="UnresolvedMention">
    <w:name w:val="Unresolved Mention"/>
    <w:basedOn w:val="DefaultParagraphFont"/>
    <w:uiPriority w:val="99"/>
    <w:semiHidden/>
    <w:unhideWhenUsed/>
    <w:rsid w:val="00B55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656">
      <w:bodyDiv w:val="1"/>
      <w:marLeft w:val="0"/>
      <w:marRight w:val="0"/>
      <w:marTop w:val="0"/>
      <w:marBottom w:val="0"/>
      <w:divBdr>
        <w:top w:val="none" w:sz="0" w:space="0" w:color="auto"/>
        <w:left w:val="none" w:sz="0" w:space="0" w:color="auto"/>
        <w:bottom w:val="none" w:sz="0" w:space="0" w:color="auto"/>
        <w:right w:val="none" w:sz="0" w:space="0" w:color="auto"/>
      </w:divBdr>
    </w:div>
    <w:div w:id="18969826">
      <w:bodyDiv w:val="1"/>
      <w:marLeft w:val="0"/>
      <w:marRight w:val="0"/>
      <w:marTop w:val="0"/>
      <w:marBottom w:val="0"/>
      <w:divBdr>
        <w:top w:val="none" w:sz="0" w:space="0" w:color="auto"/>
        <w:left w:val="none" w:sz="0" w:space="0" w:color="auto"/>
        <w:bottom w:val="none" w:sz="0" w:space="0" w:color="auto"/>
        <w:right w:val="none" w:sz="0" w:space="0" w:color="auto"/>
      </w:divBdr>
    </w:div>
    <w:div w:id="27071269">
      <w:bodyDiv w:val="1"/>
      <w:marLeft w:val="0"/>
      <w:marRight w:val="0"/>
      <w:marTop w:val="0"/>
      <w:marBottom w:val="0"/>
      <w:divBdr>
        <w:top w:val="none" w:sz="0" w:space="0" w:color="auto"/>
        <w:left w:val="none" w:sz="0" w:space="0" w:color="auto"/>
        <w:bottom w:val="none" w:sz="0" w:space="0" w:color="auto"/>
        <w:right w:val="none" w:sz="0" w:space="0" w:color="auto"/>
      </w:divBdr>
    </w:div>
    <w:div w:id="27490738">
      <w:bodyDiv w:val="1"/>
      <w:marLeft w:val="0"/>
      <w:marRight w:val="0"/>
      <w:marTop w:val="0"/>
      <w:marBottom w:val="0"/>
      <w:divBdr>
        <w:top w:val="none" w:sz="0" w:space="0" w:color="auto"/>
        <w:left w:val="none" w:sz="0" w:space="0" w:color="auto"/>
        <w:bottom w:val="none" w:sz="0" w:space="0" w:color="auto"/>
        <w:right w:val="none" w:sz="0" w:space="0" w:color="auto"/>
      </w:divBdr>
    </w:div>
    <w:div w:id="54934306">
      <w:bodyDiv w:val="1"/>
      <w:marLeft w:val="0"/>
      <w:marRight w:val="0"/>
      <w:marTop w:val="0"/>
      <w:marBottom w:val="0"/>
      <w:divBdr>
        <w:top w:val="none" w:sz="0" w:space="0" w:color="auto"/>
        <w:left w:val="none" w:sz="0" w:space="0" w:color="auto"/>
        <w:bottom w:val="none" w:sz="0" w:space="0" w:color="auto"/>
        <w:right w:val="none" w:sz="0" w:space="0" w:color="auto"/>
      </w:divBdr>
    </w:div>
    <w:div w:id="67964918">
      <w:bodyDiv w:val="1"/>
      <w:marLeft w:val="0"/>
      <w:marRight w:val="0"/>
      <w:marTop w:val="0"/>
      <w:marBottom w:val="0"/>
      <w:divBdr>
        <w:top w:val="none" w:sz="0" w:space="0" w:color="auto"/>
        <w:left w:val="none" w:sz="0" w:space="0" w:color="auto"/>
        <w:bottom w:val="none" w:sz="0" w:space="0" w:color="auto"/>
        <w:right w:val="none" w:sz="0" w:space="0" w:color="auto"/>
      </w:divBdr>
    </w:div>
    <w:div w:id="93406454">
      <w:bodyDiv w:val="1"/>
      <w:marLeft w:val="0"/>
      <w:marRight w:val="0"/>
      <w:marTop w:val="0"/>
      <w:marBottom w:val="0"/>
      <w:divBdr>
        <w:top w:val="none" w:sz="0" w:space="0" w:color="auto"/>
        <w:left w:val="none" w:sz="0" w:space="0" w:color="auto"/>
        <w:bottom w:val="none" w:sz="0" w:space="0" w:color="auto"/>
        <w:right w:val="none" w:sz="0" w:space="0" w:color="auto"/>
      </w:divBdr>
    </w:div>
    <w:div w:id="96755073">
      <w:bodyDiv w:val="1"/>
      <w:marLeft w:val="0"/>
      <w:marRight w:val="0"/>
      <w:marTop w:val="0"/>
      <w:marBottom w:val="0"/>
      <w:divBdr>
        <w:top w:val="none" w:sz="0" w:space="0" w:color="auto"/>
        <w:left w:val="none" w:sz="0" w:space="0" w:color="auto"/>
        <w:bottom w:val="none" w:sz="0" w:space="0" w:color="auto"/>
        <w:right w:val="none" w:sz="0" w:space="0" w:color="auto"/>
      </w:divBdr>
    </w:div>
    <w:div w:id="102261929">
      <w:bodyDiv w:val="1"/>
      <w:marLeft w:val="0"/>
      <w:marRight w:val="0"/>
      <w:marTop w:val="0"/>
      <w:marBottom w:val="0"/>
      <w:divBdr>
        <w:top w:val="none" w:sz="0" w:space="0" w:color="auto"/>
        <w:left w:val="none" w:sz="0" w:space="0" w:color="auto"/>
        <w:bottom w:val="none" w:sz="0" w:space="0" w:color="auto"/>
        <w:right w:val="none" w:sz="0" w:space="0" w:color="auto"/>
      </w:divBdr>
    </w:div>
    <w:div w:id="112793883">
      <w:bodyDiv w:val="1"/>
      <w:marLeft w:val="0"/>
      <w:marRight w:val="0"/>
      <w:marTop w:val="0"/>
      <w:marBottom w:val="0"/>
      <w:divBdr>
        <w:top w:val="none" w:sz="0" w:space="0" w:color="auto"/>
        <w:left w:val="none" w:sz="0" w:space="0" w:color="auto"/>
        <w:bottom w:val="none" w:sz="0" w:space="0" w:color="auto"/>
        <w:right w:val="none" w:sz="0" w:space="0" w:color="auto"/>
      </w:divBdr>
    </w:div>
    <w:div w:id="130249027">
      <w:bodyDiv w:val="1"/>
      <w:marLeft w:val="0"/>
      <w:marRight w:val="0"/>
      <w:marTop w:val="0"/>
      <w:marBottom w:val="0"/>
      <w:divBdr>
        <w:top w:val="none" w:sz="0" w:space="0" w:color="auto"/>
        <w:left w:val="none" w:sz="0" w:space="0" w:color="auto"/>
        <w:bottom w:val="none" w:sz="0" w:space="0" w:color="auto"/>
        <w:right w:val="none" w:sz="0" w:space="0" w:color="auto"/>
      </w:divBdr>
    </w:div>
    <w:div w:id="138154410">
      <w:bodyDiv w:val="1"/>
      <w:marLeft w:val="0"/>
      <w:marRight w:val="0"/>
      <w:marTop w:val="0"/>
      <w:marBottom w:val="0"/>
      <w:divBdr>
        <w:top w:val="none" w:sz="0" w:space="0" w:color="auto"/>
        <w:left w:val="none" w:sz="0" w:space="0" w:color="auto"/>
        <w:bottom w:val="none" w:sz="0" w:space="0" w:color="auto"/>
        <w:right w:val="none" w:sz="0" w:space="0" w:color="auto"/>
      </w:divBdr>
    </w:div>
    <w:div w:id="147404164">
      <w:bodyDiv w:val="1"/>
      <w:marLeft w:val="0"/>
      <w:marRight w:val="0"/>
      <w:marTop w:val="0"/>
      <w:marBottom w:val="0"/>
      <w:divBdr>
        <w:top w:val="none" w:sz="0" w:space="0" w:color="auto"/>
        <w:left w:val="none" w:sz="0" w:space="0" w:color="auto"/>
        <w:bottom w:val="none" w:sz="0" w:space="0" w:color="auto"/>
        <w:right w:val="none" w:sz="0" w:space="0" w:color="auto"/>
      </w:divBdr>
    </w:div>
    <w:div w:id="163400140">
      <w:bodyDiv w:val="1"/>
      <w:marLeft w:val="0"/>
      <w:marRight w:val="0"/>
      <w:marTop w:val="0"/>
      <w:marBottom w:val="0"/>
      <w:divBdr>
        <w:top w:val="none" w:sz="0" w:space="0" w:color="auto"/>
        <w:left w:val="none" w:sz="0" w:space="0" w:color="auto"/>
        <w:bottom w:val="none" w:sz="0" w:space="0" w:color="auto"/>
        <w:right w:val="none" w:sz="0" w:space="0" w:color="auto"/>
      </w:divBdr>
    </w:div>
    <w:div w:id="166940816">
      <w:bodyDiv w:val="1"/>
      <w:marLeft w:val="0"/>
      <w:marRight w:val="0"/>
      <w:marTop w:val="0"/>
      <w:marBottom w:val="0"/>
      <w:divBdr>
        <w:top w:val="none" w:sz="0" w:space="0" w:color="auto"/>
        <w:left w:val="none" w:sz="0" w:space="0" w:color="auto"/>
        <w:bottom w:val="none" w:sz="0" w:space="0" w:color="auto"/>
        <w:right w:val="none" w:sz="0" w:space="0" w:color="auto"/>
      </w:divBdr>
    </w:div>
    <w:div w:id="179976074">
      <w:bodyDiv w:val="1"/>
      <w:marLeft w:val="0"/>
      <w:marRight w:val="0"/>
      <w:marTop w:val="0"/>
      <w:marBottom w:val="0"/>
      <w:divBdr>
        <w:top w:val="none" w:sz="0" w:space="0" w:color="auto"/>
        <w:left w:val="none" w:sz="0" w:space="0" w:color="auto"/>
        <w:bottom w:val="none" w:sz="0" w:space="0" w:color="auto"/>
        <w:right w:val="none" w:sz="0" w:space="0" w:color="auto"/>
      </w:divBdr>
    </w:div>
    <w:div w:id="182016253">
      <w:bodyDiv w:val="1"/>
      <w:marLeft w:val="0"/>
      <w:marRight w:val="0"/>
      <w:marTop w:val="0"/>
      <w:marBottom w:val="0"/>
      <w:divBdr>
        <w:top w:val="none" w:sz="0" w:space="0" w:color="auto"/>
        <w:left w:val="none" w:sz="0" w:space="0" w:color="auto"/>
        <w:bottom w:val="none" w:sz="0" w:space="0" w:color="auto"/>
        <w:right w:val="none" w:sz="0" w:space="0" w:color="auto"/>
      </w:divBdr>
    </w:div>
    <w:div w:id="193464539">
      <w:bodyDiv w:val="1"/>
      <w:marLeft w:val="0"/>
      <w:marRight w:val="0"/>
      <w:marTop w:val="0"/>
      <w:marBottom w:val="0"/>
      <w:divBdr>
        <w:top w:val="none" w:sz="0" w:space="0" w:color="auto"/>
        <w:left w:val="none" w:sz="0" w:space="0" w:color="auto"/>
        <w:bottom w:val="none" w:sz="0" w:space="0" w:color="auto"/>
        <w:right w:val="none" w:sz="0" w:space="0" w:color="auto"/>
      </w:divBdr>
    </w:div>
    <w:div w:id="200748615">
      <w:bodyDiv w:val="1"/>
      <w:marLeft w:val="0"/>
      <w:marRight w:val="0"/>
      <w:marTop w:val="0"/>
      <w:marBottom w:val="0"/>
      <w:divBdr>
        <w:top w:val="none" w:sz="0" w:space="0" w:color="auto"/>
        <w:left w:val="none" w:sz="0" w:space="0" w:color="auto"/>
        <w:bottom w:val="none" w:sz="0" w:space="0" w:color="auto"/>
        <w:right w:val="none" w:sz="0" w:space="0" w:color="auto"/>
      </w:divBdr>
    </w:div>
    <w:div w:id="214239844">
      <w:bodyDiv w:val="1"/>
      <w:marLeft w:val="0"/>
      <w:marRight w:val="0"/>
      <w:marTop w:val="0"/>
      <w:marBottom w:val="0"/>
      <w:divBdr>
        <w:top w:val="none" w:sz="0" w:space="0" w:color="auto"/>
        <w:left w:val="none" w:sz="0" w:space="0" w:color="auto"/>
        <w:bottom w:val="none" w:sz="0" w:space="0" w:color="auto"/>
        <w:right w:val="none" w:sz="0" w:space="0" w:color="auto"/>
      </w:divBdr>
    </w:div>
    <w:div w:id="222715326">
      <w:bodyDiv w:val="1"/>
      <w:marLeft w:val="0"/>
      <w:marRight w:val="0"/>
      <w:marTop w:val="0"/>
      <w:marBottom w:val="0"/>
      <w:divBdr>
        <w:top w:val="none" w:sz="0" w:space="0" w:color="auto"/>
        <w:left w:val="none" w:sz="0" w:space="0" w:color="auto"/>
        <w:bottom w:val="none" w:sz="0" w:space="0" w:color="auto"/>
        <w:right w:val="none" w:sz="0" w:space="0" w:color="auto"/>
      </w:divBdr>
    </w:div>
    <w:div w:id="240332707">
      <w:bodyDiv w:val="1"/>
      <w:marLeft w:val="0"/>
      <w:marRight w:val="0"/>
      <w:marTop w:val="0"/>
      <w:marBottom w:val="0"/>
      <w:divBdr>
        <w:top w:val="none" w:sz="0" w:space="0" w:color="auto"/>
        <w:left w:val="none" w:sz="0" w:space="0" w:color="auto"/>
        <w:bottom w:val="none" w:sz="0" w:space="0" w:color="auto"/>
        <w:right w:val="none" w:sz="0" w:space="0" w:color="auto"/>
      </w:divBdr>
    </w:div>
    <w:div w:id="251210616">
      <w:bodyDiv w:val="1"/>
      <w:marLeft w:val="0"/>
      <w:marRight w:val="0"/>
      <w:marTop w:val="0"/>
      <w:marBottom w:val="0"/>
      <w:divBdr>
        <w:top w:val="none" w:sz="0" w:space="0" w:color="auto"/>
        <w:left w:val="none" w:sz="0" w:space="0" w:color="auto"/>
        <w:bottom w:val="none" w:sz="0" w:space="0" w:color="auto"/>
        <w:right w:val="none" w:sz="0" w:space="0" w:color="auto"/>
      </w:divBdr>
    </w:div>
    <w:div w:id="254827022">
      <w:bodyDiv w:val="1"/>
      <w:marLeft w:val="0"/>
      <w:marRight w:val="0"/>
      <w:marTop w:val="0"/>
      <w:marBottom w:val="0"/>
      <w:divBdr>
        <w:top w:val="none" w:sz="0" w:space="0" w:color="auto"/>
        <w:left w:val="none" w:sz="0" w:space="0" w:color="auto"/>
        <w:bottom w:val="none" w:sz="0" w:space="0" w:color="auto"/>
        <w:right w:val="none" w:sz="0" w:space="0" w:color="auto"/>
      </w:divBdr>
    </w:div>
    <w:div w:id="258106034">
      <w:bodyDiv w:val="1"/>
      <w:marLeft w:val="0"/>
      <w:marRight w:val="0"/>
      <w:marTop w:val="0"/>
      <w:marBottom w:val="0"/>
      <w:divBdr>
        <w:top w:val="none" w:sz="0" w:space="0" w:color="auto"/>
        <w:left w:val="none" w:sz="0" w:space="0" w:color="auto"/>
        <w:bottom w:val="none" w:sz="0" w:space="0" w:color="auto"/>
        <w:right w:val="none" w:sz="0" w:space="0" w:color="auto"/>
      </w:divBdr>
    </w:div>
    <w:div w:id="267978498">
      <w:bodyDiv w:val="1"/>
      <w:marLeft w:val="0"/>
      <w:marRight w:val="0"/>
      <w:marTop w:val="0"/>
      <w:marBottom w:val="0"/>
      <w:divBdr>
        <w:top w:val="none" w:sz="0" w:space="0" w:color="auto"/>
        <w:left w:val="none" w:sz="0" w:space="0" w:color="auto"/>
        <w:bottom w:val="none" w:sz="0" w:space="0" w:color="auto"/>
        <w:right w:val="none" w:sz="0" w:space="0" w:color="auto"/>
      </w:divBdr>
    </w:div>
    <w:div w:id="281109684">
      <w:bodyDiv w:val="1"/>
      <w:marLeft w:val="0"/>
      <w:marRight w:val="0"/>
      <w:marTop w:val="0"/>
      <w:marBottom w:val="0"/>
      <w:divBdr>
        <w:top w:val="none" w:sz="0" w:space="0" w:color="auto"/>
        <w:left w:val="none" w:sz="0" w:space="0" w:color="auto"/>
        <w:bottom w:val="none" w:sz="0" w:space="0" w:color="auto"/>
        <w:right w:val="none" w:sz="0" w:space="0" w:color="auto"/>
      </w:divBdr>
    </w:div>
    <w:div w:id="286009190">
      <w:bodyDiv w:val="1"/>
      <w:marLeft w:val="0"/>
      <w:marRight w:val="0"/>
      <w:marTop w:val="0"/>
      <w:marBottom w:val="0"/>
      <w:divBdr>
        <w:top w:val="none" w:sz="0" w:space="0" w:color="auto"/>
        <w:left w:val="none" w:sz="0" w:space="0" w:color="auto"/>
        <w:bottom w:val="none" w:sz="0" w:space="0" w:color="auto"/>
        <w:right w:val="none" w:sz="0" w:space="0" w:color="auto"/>
      </w:divBdr>
    </w:div>
    <w:div w:id="287393980">
      <w:bodyDiv w:val="1"/>
      <w:marLeft w:val="0"/>
      <w:marRight w:val="0"/>
      <w:marTop w:val="0"/>
      <w:marBottom w:val="0"/>
      <w:divBdr>
        <w:top w:val="none" w:sz="0" w:space="0" w:color="auto"/>
        <w:left w:val="none" w:sz="0" w:space="0" w:color="auto"/>
        <w:bottom w:val="none" w:sz="0" w:space="0" w:color="auto"/>
        <w:right w:val="none" w:sz="0" w:space="0" w:color="auto"/>
      </w:divBdr>
    </w:div>
    <w:div w:id="291835781">
      <w:bodyDiv w:val="1"/>
      <w:marLeft w:val="0"/>
      <w:marRight w:val="0"/>
      <w:marTop w:val="0"/>
      <w:marBottom w:val="0"/>
      <w:divBdr>
        <w:top w:val="none" w:sz="0" w:space="0" w:color="auto"/>
        <w:left w:val="none" w:sz="0" w:space="0" w:color="auto"/>
        <w:bottom w:val="none" w:sz="0" w:space="0" w:color="auto"/>
        <w:right w:val="none" w:sz="0" w:space="0" w:color="auto"/>
      </w:divBdr>
    </w:div>
    <w:div w:id="295765826">
      <w:bodyDiv w:val="1"/>
      <w:marLeft w:val="0"/>
      <w:marRight w:val="0"/>
      <w:marTop w:val="0"/>
      <w:marBottom w:val="0"/>
      <w:divBdr>
        <w:top w:val="none" w:sz="0" w:space="0" w:color="auto"/>
        <w:left w:val="none" w:sz="0" w:space="0" w:color="auto"/>
        <w:bottom w:val="none" w:sz="0" w:space="0" w:color="auto"/>
        <w:right w:val="none" w:sz="0" w:space="0" w:color="auto"/>
      </w:divBdr>
    </w:div>
    <w:div w:id="300113886">
      <w:bodyDiv w:val="1"/>
      <w:marLeft w:val="0"/>
      <w:marRight w:val="0"/>
      <w:marTop w:val="0"/>
      <w:marBottom w:val="0"/>
      <w:divBdr>
        <w:top w:val="none" w:sz="0" w:space="0" w:color="auto"/>
        <w:left w:val="none" w:sz="0" w:space="0" w:color="auto"/>
        <w:bottom w:val="none" w:sz="0" w:space="0" w:color="auto"/>
        <w:right w:val="none" w:sz="0" w:space="0" w:color="auto"/>
      </w:divBdr>
    </w:div>
    <w:div w:id="307130538">
      <w:bodyDiv w:val="1"/>
      <w:marLeft w:val="0"/>
      <w:marRight w:val="0"/>
      <w:marTop w:val="0"/>
      <w:marBottom w:val="0"/>
      <w:divBdr>
        <w:top w:val="none" w:sz="0" w:space="0" w:color="auto"/>
        <w:left w:val="none" w:sz="0" w:space="0" w:color="auto"/>
        <w:bottom w:val="none" w:sz="0" w:space="0" w:color="auto"/>
        <w:right w:val="none" w:sz="0" w:space="0" w:color="auto"/>
      </w:divBdr>
    </w:div>
    <w:div w:id="337781324">
      <w:bodyDiv w:val="1"/>
      <w:marLeft w:val="0"/>
      <w:marRight w:val="0"/>
      <w:marTop w:val="0"/>
      <w:marBottom w:val="0"/>
      <w:divBdr>
        <w:top w:val="none" w:sz="0" w:space="0" w:color="auto"/>
        <w:left w:val="none" w:sz="0" w:space="0" w:color="auto"/>
        <w:bottom w:val="none" w:sz="0" w:space="0" w:color="auto"/>
        <w:right w:val="none" w:sz="0" w:space="0" w:color="auto"/>
      </w:divBdr>
    </w:div>
    <w:div w:id="344553644">
      <w:bodyDiv w:val="1"/>
      <w:marLeft w:val="0"/>
      <w:marRight w:val="0"/>
      <w:marTop w:val="0"/>
      <w:marBottom w:val="0"/>
      <w:divBdr>
        <w:top w:val="none" w:sz="0" w:space="0" w:color="auto"/>
        <w:left w:val="none" w:sz="0" w:space="0" w:color="auto"/>
        <w:bottom w:val="none" w:sz="0" w:space="0" w:color="auto"/>
        <w:right w:val="none" w:sz="0" w:space="0" w:color="auto"/>
      </w:divBdr>
    </w:div>
    <w:div w:id="360281552">
      <w:bodyDiv w:val="1"/>
      <w:marLeft w:val="0"/>
      <w:marRight w:val="0"/>
      <w:marTop w:val="0"/>
      <w:marBottom w:val="0"/>
      <w:divBdr>
        <w:top w:val="none" w:sz="0" w:space="0" w:color="auto"/>
        <w:left w:val="none" w:sz="0" w:space="0" w:color="auto"/>
        <w:bottom w:val="none" w:sz="0" w:space="0" w:color="auto"/>
        <w:right w:val="none" w:sz="0" w:space="0" w:color="auto"/>
      </w:divBdr>
    </w:div>
    <w:div w:id="365714131">
      <w:bodyDiv w:val="1"/>
      <w:marLeft w:val="0"/>
      <w:marRight w:val="0"/>
      <w:marTop w:val="0"/>
      <w:marBottom w:val="0"/>
      <w:divBdr>
        <w:top w:val="none" w:sz="0" w:space="0" w:color="auto"/>
        <w:left w:val="none" w:sz="0" w:space="0" w:color="auto"/>
        <w:bottom w:val="none" w:sz="0" w:space="0" w:color="auto"/>
        <w:right w:val="none" w:sz="0" w:space="0" w:color="auto"/>
      </w:divBdr>
    </w:div>
    <w:div w:id="384567815">
      <w:bodyDiv w:val="1"/>
      <w:marLeft w:val="0"/>
      <w:marRight w:val="0"/>
      <w:marTop w:val="0"/>
      <w:marBottom w:val="0"/>
      <w:divBdr>
        <w:top w:val="none" w:sz="0" w:space="0" w:color="auto"/>
        <w:left w:val="none" w:sz="0" w:space="0" w:color="auto"/>
        <w:bottom w:val="none" w:sz="0" w:space="0" w:color="auto"/>
        <w:right w:val="none" w:sz="0" w:space="0" w:color="auto"/>
      </w:divBdr>
    </w:div>
    <w:div w:id="394352987">
      <w:bodyDiv w:val="1"/>
      <w:marLeft w:val="0"/>
      <w:marRight w:val="0"/>
      <w:marTop w:val="0"/>
      <w:marBottom w:val="0"/>
      <w:divBdr>
        <w:top w:val="none" w:sz="0" w:space="0" w:color="auto"/>
        <w:left w:val="none" w:sz="0" w:space="0" w:color="auto"/>
        <w:bottom w:val="none" w:sz="0" w:space="0" w:color="auto"/>
        <w:right w:val="none" w:sz="0" w:space="0" w:color="auto"/>
      </w:divBdr>
    </w:div>
    <w:div w:id="395858888">
      <w:bodyDiv w:val="1"/>
      <w:marLeft w:val="0"/>
      <w:marRight w:val="0"/>
      <w:marTop w:val="0"/>
      <w:marBottom w:val="0"/>
      <w:divBdr>
        <w:top w:val="none" w:sz="0" w:space="0" w:color="auto"/>
        <w:left w:val="none" w:sz="0" w:space="0" w:color="auto"/>
        <w:bottom w:val="none" w:sz="0" w:space="0" w:color="auto"/>
        <w:right w:val="none" w:sz="0" w:space="0" w:color="auto"/>
      </w:divBdr>
    </w:div>
    <w:div w:id="401606854">
      <w:bodyDiv w:val="1"/>
      <w:marLeft w:val="0"/>
      <w:marRight w:val="0"/>
      <w:marTop w:val="0"/>
      <w:marBottom w:val="0"/>
      <w:divBdr>
        <w:top w:val="none" w:sz="0" w:space="0" w:color="auto"/>
        <w:left w:val="none" w:sz="0" w:space="0" w:color="auto"/>
        <w:bottom w:val="none" w:sz="0" w:space="0" w:color="auto"/>
        <w:right w:val="none" w:sz="0" w:space="0" w:color="auto"/>
      </w:divBdr>
    </w:div>
    <w:div w:id="406849662">
      <w:bodyDiv w:val="1"/>
      <w:marLeft w:val="0"/>
      <w:marRight w:val="0"/>
      <w:marTop w:val="0"/>
      <w:marBottom w:val="0"/>
      <w:divBdr>
        <w:top w:val="none" w:sz="0" w:space="0" w:color="auto"/>
        <w:left w:val="none" w:sz="0" w:space="0" w:color="auto"/>
        <w:bottom w:val="none" w:sz="0" w:space="0" w:color="auto"/>
        <w:right w:val="none" w:sz="0" w:space="0" w:color="auto"/>
      </w:divBdr>
    </w:div>
    <w:div w:id="420882338">
      <w:bodyDiv w:val="1"/>
      <w:marLeft w:val="0"/>
      <w:marRight w:val="0"/>
      <w:marTop w:val="0"/>
      <w:marBottom w:val="0"/>
      <w:divBdr>
        <w:top w:val="none" w:sz="0" w:space="0" w:color="auto"/>
        <w:left w:val="none" w:sz="0" w:space="0" w:color="auto"/>
        <w:bottom w:val="none" w:sz="0" w:space="0" w:color="auto"/>
        <w:right w:val="none" w:sz="0" w:space="0" w:color="auto"/>
      </w:divBdr>
    </w:div>
    <w:div w:id="436995353">
      <w:bodyDiv w:val="1"/>
      <w:marLeft w:val="0"/>
      <w:marRight w:val="0"/>
      <w:marTop w:val="0"/>
      <w:marBottom w:val="0"/>
      <w:divBdr>
        <w:top w:val="none" w:sz="0" w:space="0" w:color="auto"/>
        <w:left w:val="none" w:sz="0" w:space="0" w:color="auto"/>
        <w:bottom w:val="none" w:sz="0" w:space="0" w:color="auto"/>
        <w:right w:val="none" w:sz="0" w:space="0" w:color="auto"/>
      </w:divBdr>
    </w:div>
    <w:div w:id="442651448">
      <w:bodyDiv w:val="1"/>
      <w:marLeft w:val="0"/>
      <w:marRight w:val="0"/>
      <w:marTop w:val="0"/>
      <w:marBottom w:val="0"/>
      <w:divBdr>
        <w:top w:val="none" w:sz="0" w:space="0" w:color="auto"/>
        <w:left w:val="none" w:sz="0" w:space="0" w:color="auto"/>
        <w:bottom w:val="none" w:sz="0" w:space="0" w:color="auto"/>
        <w:right w:val="none" w:sz="0" w:space="0" w:color="auto"/>
      </w:divBdr>
    </w:div>
    <w:div w:id="462500161">
      <w:bodyDiv w:val="1"/>
      <w:marLeft w:val="0"/>
      <w:marRight w:val="0"/>
      <w:marTop w:val="0"/>
      <w:marBottom w:val="0"/>
      <w:divBdr>
        <w:top w:val="none" w:sz="0" w:space="0" w:color="auto"/>
        <w:left w:val="none" w:sz="0" w:space="0" w:color="auto"/>
        <w:bottom w:val="none" w:sz="0" w:space="0" w:color="auto"/>
        <w:right w:val="none" w:sz="0" w:space="0" w:color="auto"/>
      </w:divBdr>
    </w:div>
    <w:div w:id="467015137">
      <w:bodyDiv w:val="1"/>
      <w:marLeft w:val="0"/>
      <w:marRight w:val="0"/>
      <w:marTop w:val="0"/>
      <w:marBottom w:val="0"/>
      <w:divBdr>
        <w:top w:val="none" w:sz="0" w:space="0" w:color="auto"/>
        <w:left w:val="none" w:sz="0" w:space="0" w:color="auto"/>
        <w:bottom w:val="none" w:sz="0" w:space="0" w:color="auto"/>
        <w:right w:val="none" w:sz="0" w:space="0" w:color="auto"/>
      </w:divBdr>
    </w:div>
    <w:div w:id="495993783">
      <w:bodyDiv w:val="1"/>
      <w:marLeft w:val="0"/>
      <w:marRight w:val="0"/>
      <w:marTop w:val="0"/>
      <w:marBottom w:val="0"/>
      <w:divBdr>
        <w:top w:val="none" w:sz="0" w:space="0" w:color="auto"/>
        <w:left w:val="none" w:sz="0" w:space="0" w:color="auto"/>
        <w:bottom w:val="none" w:sz="0" w:space="0" w:color="auto"/>
        <w:right w:val="none" w:sz="0" w:space="0" w:color="auto"/>
      </w:divBdr>
    </w:div>
    <w:div w:id="520319346">
      <w:bodyDiv w:val="1"/>
      <w:marLeft w:val="0"/>
      <w:marRight w:val="0"/>
      <w:marTop w:val="0"/>
      <w:marBottom w:val="0"/>
      <w:divBdr>
        <w:top w:val="none" w:sz="0" w:space="0" w:color="auto"/>
        <w:left w:val="none" w:sz="0" w:space="0" w:color="auto"/>
        <w:bottom w:val="none" w:sz="0" w:space="0" w:color="auto"/>
        <w:right w:val="none" w:sz="0" w:space="0" w:color="auto"/>
      </w:divBdr>
    </w:div>
    <w:div w:id="530345075">
      <w:bodyDiv w:val="1"/>
      <w:marLeft w:val="0"/>
      <w:marRight w:val="0"/>
      <w:marTop w:val="0"/>
      <w:marBottom w:val="0"/>
      <w:divBdr>
        <w:top w:val="none" w:sz="0" w:space="0" w:color="auto"/>
        <w:left w:val="none" w:sz="0" w:space="0" w:color="auto"/>
        <w:bottom w:val="none" w:sz="0" w:space="0" w:color="auto"/>
        <w:right w:val="none" w:sz="0" w:space="0" w:color="auto"/>
      </w:divBdr>
    </w:div>
    <w:div w:id="532963575">
      <w:bodyDiv w:val="1"/>
      <w:marLeft w:val="0"/>
      <w:marRight w:val="0"/>
      <w:marTop w:val="0"/>
      <w:marBottom w:val="0"/>
      <w:divBdr>
        <w:top w:val="none" w:sz="0" w:space="0" w:color="auto"/>
        <w:left w:val="none" w:sz="0" w:space="0" w:color="auto"/>
        <w:bottom w:val="none" w:sz="0" w:space="0" w:color="auto"/>
        <w:right w:val="none" w:sz="0" w:space="0" w:color="auto"/>
      </w:divBdr>
    </w:div>
    <w:div w:id="540939916">
      <w:bodyDiv w:val="1"/>
      <w:marLeft w:val="0"/>
      <w:marRight w:val="0"/>
      <w:marTop w:val="0"/>
      <w:marBottom w:val="0"/>
      <w:divBdr>
        <w:top w:val="none" w:sz="0" w:space="0" w:color="auto"/>
        <w:left w:val="none" w:sz="0" w:space="0" w:color="auto"/>
        <w:bottom w:val="none" w:sz="0" w:space="0" w:color="auto"/>
        <w:right w:val="none" w:sz="0" w:space="0" w:color="auto"/>
      </w:divBdr>
      <w:divsChild>
        <w:div w:id="1793279188">
          <w:marLeft w:val="0"/>
          <w:marRight w:val="0"/>
          <w:marTop w:val="0"/>
          <w:marBottom w:val="0"/>
          <w:divBdr>
            <w:top w:val="none" w:sz="0" w:space="0" w:color="auto"/>
            <w:left w:val="none" w:sz="0" w:space="0" w:color="auto"/>
            <w:bottom w:val="none" w:sz="0" w:space="0" w:color="auto"/>
            <w:right w:val="none" w:sz="0" w:space="0" w:color="auto"/>
          </w:divBdr>
        </w:div>
      </w:divsChild>
    </w:div>
    <w:div w:id="547492965">
      <w:bodyDiv w:val="1"/>
      <w:marLeft w:val="0"/>
      <w:marRight w:val="0"/>
      <w:marTop w:val="0"/>
      <w:marBottom w:val="0"/>
      <w:divBdr>
        <w:top w:val="none" w:sz="0" w:space="0" w:color="auto"/>
        <w:left w:val="none" w:sz="0" w:space="0" w:color="auto"/>
        <w:bottom w:val="none" w:sz="0" w:space="0" w:color="auto"/>
        <w:right w:val="none" w:sz="0" w:space="0" w:color="auto"/>
      </w:divBdr>
    </w:div>
    <w:div w:id="554584315">
      <w:bodyDiv w:val="1"/>
      <w:marLeft w:val="0"/>
      <w:marRight w:val="0"/>
      <w:marTop w:val="0"/>
      <w:marBottom w:val="0"/>
      <w:divBdr>
        <w:top w:val="none" w:sz="0" w:space="0" w:color="auto"/>
        <w:left w:val="none" w:sz="0" w:space="0" w:color="auto"/>
        <w:bottom w:val="none" w:sz="0" w:space="0" w:color="auto"/>
        <w:right w:val="none" w:sz="0" w:space="0" w:color="auto"/>
      </w:divBdr>
    </w:div>
    <w:div w:id="557861869">
      <w:bodyDiv w:val="1"/>
      <w:marLeft w:val="0"/>
      <w:marRight w:val="0"/>
      <w:marTop w:val="0"/>
      <w:marBottom w:val="0"/>
      <w:divBdr>
        <w:top w:val="none" w:sz="0" w:space="0" w:color="auto"/>
        <w:left w:val="none" w:sz="0" w:space="0" w:color="auto"/>
        <w:bottom w:val="none" w:sz="0" w:space="0" w:color="auto"/>
        <w:right w:val="none" w:sz="0" w:space="0" w:color="auto"/>
      </w:divBdr>
    </w:div>
    <w:div w:id="575744327">
      <w:bodyDiv w:val="1"/>
      <w:marLeft w:val="0"/>
      <w:marRight w:val="0"/>
      <w:marTop w:val="0"/>
      <w:marBottom w:val="0"/>
      <w:divBdr>
        <w:top w:val="none" w:sz="0" w:space="0" w:color="auto"/>
        <w:left w:val="none" w:sz="0" w:space="0" w:color="auto"/>
        <w:bottom w:val="none" w:sz="0" w:space="0" w:color="auto"/>
        <w:right w:val="none" w:sz="0" w:space="0" w:color="auto"/>
      </w:divBdr>
    </w:div>
    <w:div w:id="576672169">
      <w:bodyDiv w:val="1"/>
      <w:marLeft w:val="0"/>
      <w:marRight w:val="0"/>
      <w:marTop w:val="0"/>
      <w:marBottom w:val="0"/>
      <w:divBdr>
        <w:top w:val="none" w:sz="0" w:space="0" w:color="auto"/>
        <w:left w:val="none" w:sz="0" w:space="0" w:color="auto"/>
        <w:bottom w:val="none" w:sz="0" w:space="0" w:color="auto"/>
        <w:right w:val="none" w:sz="0" w:space="0" w:color="auto"/>
      </w:divBdr>
    </w:div>
    <w:div w:id="588394281">
      <w:bodyDiv w:val="1"/>
      <w:marLeft w:val="0"/>
      <w:marRight w:val="0"/>
      <w:marTop w:val="0"/>
      <w:marBottom w:val="0"/>
      <w:divBdr>
        <w:top w:val="none" w:sz="0" w:space="0" w:color="auto"/>
        <w:left w:val="none" w:sz="0" w:space="0" w:color="auto"/>
        <w:bottom w:val="none" w:sz="0" w:space="0" w:color="auto"/>
        <w:right w:val="none" w:sz="0" w:space="0" w:color="auto"/>
      </w:divBdr>
    </w:div>
    <w:div w:id="594024005">
      <w:bodyDiv w:val="1"/>
      <w:marLeft w:val="0"/>
      <w:marRight w:val="0"/>
      <w:marTop w:val="0"/>
      <w:marBottom w:val="0"/>
      <w:divBdr>
        <w:top w:val="none" w:sz="0" w:space="0" w:color="auto"/>
        <w:left w:val="none" w:sz="0" w:space="0" w:color="auto"/>
        <w:bottom w:val="none" w:sz="0" w:space="0" w:color="auto"/>
        <w:right w:val="none" w:sz="0" w:space="0" w:color="auto"/>
      </w:divBdr>
    </w:div>
    <w:div w:id="594872414">
      <w:bodyDiv w:val="1"/>
      <w:marLeft w:val="0"/>
      <w:marRight w:val="0"/>
      <w:marTop w:val="0"/>
      <w:marBottom w:val="0"/>
      <w:divBdr>
        <w:top w:val="none" w:sz="0" w:space="0" w:color="auto"/>
        <w:left w:val="none" w:sz="0" w:space="0" w:color="auto"/>
        <w:bottom w:val="none" w:sz="0" w:space="0" w:color="auto"/>
        <w:right w:val="none" w:sz="0" w:space="0" w:color="auto"/>
      </w:divBdr>
    </w:div>
    <w:div w:id="630865571">
      <w:bodyDiv w:val="1"/>
      <w:marLeft w:val="0"/>
      <w:marRight w:val="0"/>
      <w:marTop w:val="0"/>
      <w:marBottom w:val="0"/>
      <w:divBdr>
        <w:top w:val="none" w:sz="0" w:space="0" w:color="auto"/>
        <w:left w:val="none" w:sz="0" w:space="0" w:color="auto"/>
        <w:bottom w:val="none" w:sz="0" w:space="0" w:color="auto"/>
        <w:right w:val="none" w:sz="0" w:space="0" w:color="auto"/>
      </w:divBdr>
    </w:div>
    <w:div w:id="653143059">
      <w:bodyDiv w:val="1"/>
      <w:marLeft w:val="0"/>
      <w:marRight w:val="0"/>
      <w:marTop w:val="0"/>
      <w:marBottom w:val="0"/>
      <w:divBdr>
        <w:top w:val="none" w:sz="0" w:space="0" w:color="auto"/>
        <w:left w:val="none" w:sz="0" w:space="0" w:color="auto"/>
        <w:bottom w:val="none" w:sz="0" w:space="0" w:color="auto"/>
        <w:right w:val="none" w:sz="0" w:space="0" w:color="auto"/>
      </w:divBdr>
    </w:div>
    <w:div w:id="654332699">
      <w:bodyDiv w:val="1"/>
      <w:marLeft w:val="0"/>
      <w:marRight w:val="0"/>
      <w:marTop w:val="0"/>
      <w:marBottom w:val="0"/>
      <w:divBdr>
        <w:top w:val="none" w:sz="0" w:space="0" w:color="auto"/>
        <w:left w:val="none" w:sz="0" w:space="0" w:color="auto"/>
        <w:bottom w:val="none" w:sz="0" w:space="0" w:color="auto"/>
        <w:right w:val="none" w:sz="0" w:space="0" w:color="auto"/>
      </w:divBdr>
    </w:div>
    <w:div w:id="654796535">
      <w:bodyDiv w:val="1"/>
      <w:marLeft w:val="0"/>
      <w:marRight w:val="0"/>
      <w:marTop w:val="0"/>
      <w:marBottom w:val="0"/>
      <w:divBdr>
        <w:top w:val="none" w:sz="0" w:space="0" w:color="auto"/>
        <w:left w:val="none" w:sz="0" w:space="0" w:color="auto"/>
        <w:bottom w:val="none" w:sz="0" w:space="0" w:color="auto"/>
        <w:right w:val="none" w:sz="0" w:space="0" w:color="auto"/>
      </w:divBdr>
    </w:div>
    <w:div w:id="670062409">
      <w:bodyDiv w:val="1"/>
      <w:marLeft w:val="0"/>
      <w:marRight w:val="0"/>
      <w:marTop w:val="0"/>
      <w:marBottom w:val="0"/>
      <w:divBdr>
        <w:top w:val="none" w:sz="0" w:space="0" w:color="auto"/>
        <w:left w:val="none" w:sz="0" w:space="0" w:color="auto"/>
        <w:bottom w:val="none" w:sz="0" w:space="0" w:color="auto"/>
        <w:right w:val="none" w:sz="0" w:space="0" w:color="auto"/>
      </w:divBdr>
    </w:div>
    <w:div w:id="736902852">
      <w:bodyDiv w:val="1"/>
      <w:marLeft w:val="0"/>
      <w:marRight w:val="0"/>
      <w:marTop w:val="0"/>
      <w:marBottom w:val="0"/>
      <w:divBdr>
        <w:top w:val="none" w:sz="0" w:space="0" w:color="auto"/>
        <w:left w:val="none" w:sz="0" w:space="0" w:color="auto"/>
        <w:bottom w:val="none" w:sz="0" w:space="0" w:color="auto"/>
        <w:right w:val="none" w:sz="0" w:space="0" w:color="auto"/>
      </w:divBdr>
    </w:div>
    <w:div w:id="739400853">
      <w:bodyDiv w:val="1"/>
      <w:marLeft w:val="0"/>
      <w:marRight w:val="0"/>
      <w:marTop w:val="0"/>
      <w:marBottom w:val="0"/>
      <w:divBdr>
        <w:top w:val="none" w:sz="0" w:space="0" w:color="auto"/>
        <w:left w:val="none" w:sz="0" w:space="0" w:color="auto"/>
        <w:bottom w:val="none" w:sz="0" w:space="0" w:color="auto"/>
        <w:right w:val="none" w:sz="0" w:space="0" w:color="auto"/>
      </w:divBdr>
    </w:div>
    <w:div w:id="740715859">
      <w:bodyDiv w:val="1"/>
      <w:marLeft w:val="0"/>
      <w:marRight w:val="0"/>
      <w:marTop w:val="0"/>
      <w:marBottom w:val="0"/>
      <w:divBdr>
        <w:top w:val="none" w:sz="0" w:space="0" w:color="auto"/>
        <w:left w:val="none" w:sz="0" w:space="0" w:color="auto"/>
        <w:bottom w:val="none" w:sz="0" w:space="0" w:color="auto"/>
        <w:right w:val="none" w:sz="0" w:space="0" w:color="auto"/>
      </w:divBdr>
    </w:div>
    <w:div w:id="741876180">
      <w:bodyDiv w:val="1"/>
      <w:marLeft w:val="0"/>
      <w:marRight w:val="0"/>
      <w:marTop w:val="0"/>
      <w:marBottom w:val="0"/>
      <w:divBdr>
        <w:top w:val="none" w:sz="0" w:space="0" w:color="auto"/>
        <w:left w:val="none" w:sz="0" w:space="0" w:color="auto"/>
        <w:bottom w:val="none" w:sz="0" w:space="0" w:color="auto"/>
        <w:right w:val="none" w:sz="0" w:space="0" w:color="auto"/>
      </w:divBdr>
    </w:div>
    <w:div w:id="763577413">
      <w:bodyDiv w:val="1"/>
      <w:marLeft w:val="0"/>
      <w:marRight w:val="0"/>
      <w:marTop w:val="0"/>
      <w:marBottom w:val="0"/>
      <w:divBdr>
        <w:top w:val="none" w:sz="0" w:space="0" w:color="auto"/>
        <w:left w:val="none" w:sz="0" w:space="0" w:color="auto"/>
        <w:bottom w:val="none" w:sz="0" w:space="0" w:color="auto"/>
        <w:right w:val="none" w:sz="0" w:space="0" w:color="auto"/>
      </w:divBdr>
    </w:div>
    <w:div w:id="772433073">
      <w:bodyDiv w:val="1"/>
      <w:marLeft w:val="0"/>
      <w:marRight w:val="0"/>
      <w:marTop w:val="0"/>
      <w:marBottom w:val="0"/>
      <w:divBdr>
        <w:top w:val="none" w:sz="0" w:space="0" w:color="auto"/>
        <w:left w:val="none" w:sz="0" w:space="0" w:color="auto"/>
        <w:bottom w:val="none" w:sz="0" w:space="0" w:color="auto"/>
        <w:right w:val="none" w:sz="0" w:space="0" w:color="auto"/>
      </w:divBdr>
    </w:div>
    <w:div w:id="790587129">
      <w:bodyDiv w:val="1"/>
      <w:marLeft w:val="0"/>
      <w:marRight w:val="0"/>
      <w:marTop w:val="0"/>
      <w:marBottom w:val="0"/>
      <w:divBdr>
        <w:top w:val="none" w:sz="0" w:space="0" w:color="auto"/>
        <w:left w:val="none" w:sz="0" w:space="0" w:color="auto"/>
        <w:bottom w:val="none" w:sz="0" w:space="0" w:color="auto"/>
        <w:right w:val="none" w:sz="0" w:space="0" w:color="auto"/>
      </w:divBdr>
    </w:div>
    <w:div w:id="814876379">
      <w:bodyDiv w:val="1"/>
      <w:marLeft w:val="0"/>
      <w:marRight w:val="0"/>
      <w:marTop w:val="0"/>
      <w:marBottom w:val="0"/>
      <w:divBdr>
        <w:top w:val="none" w:sz="0" w:space="0" w:color="auto"/>
        <w:left w:val="none" w:sz="0" w:space="0" w:color="auto"/>
        <w:bottom w:val="none" w:sz="0" w:space="0" w:color="auto"/>
        <w:right w:val="none" w:sz="0" w:space="0" w:color="auto"/>
      </w:divBdr>
    </w:div>
    <w:div w:id="827744076">
      <w:bodyDiv w:val="1"/>
      <w:marLeft w:val="0"/>
      <w:marRight w:val="0"/>
      <w:marTop w:val="0"/>
      <w:marBottom w:val="0"/>
      <w:divBdr>
        <w:top w:val="none" w:sz="0" w:space="0" w:color="auto"/>
        <w:left w:val="none" w:sz="0" w:space="0" w:color="auto"/>
        <w:bottom w:val="none" w:sz="0" w:space="0" w:color="auto"/>
        <w:right w:val="none" w:sz="0" w:space="0" w:color="auto"/>
      </w:divBdr>
    </w:div>
    <w:div w:id="828013756">
      <w:bodyDiv w:val="1"/>
      <w:marLeft w:val="0"/>
      <w:marRight w:val="0"/>
      <w:marTop w:val="0"/>
      <w:marBottom w:val="0"/>
      <w:divBdr>
        <w:top w:val="none" w:sz="0" w:space="0" w:color="auto"/>
        <w:left w:val="none" w:sz="0" w:space="0" w:color="auto"/>
        <w:bottom w:val="none" w:sz="0" w:space="0" w:color="auto"/>
        <w:right w:val="none" w:sz="0" w:space="0" w:color="auto"/>
      </w:divBdr>
    </w:div>
    <w:div w:id="840318527">
      <w:bodyDiv w:val="1"/>
      <w:marLeft w:val="0"/>
      <w:marRight w:val="0"/>
      <w:marTop w:val="0"/>
      <w:marBottom w:val="0"/>
      <w:divBdr>
        <w:top w:val="none" w:sz="0" w:space="0" w:color="auto"/>
        <w:left w:val="none" w:sz="0" w:space="0" w:color="auto"/>
        <w:bottom w:val="none" w:sz="0" w:space="0" w:color="auto"/>
        <w:right w:val="none" w:sz="0" w:space="0" w:color="auto"/>
      </w:divBdr>
    </w:div>
    <w:div w:id="842626485">
      <w:bodyDiv w:val="1"/>
      <w:marLeft w:val="0"/>
      <w:marRight w:val="0"/>
      <w:marTop w:val="0"/>
      <w:marBottom w:val="0"/>
      <w:divBdr>
        <w:top w:val="none" w:sz="0" w:space="0" w:color="auto"/>
        <w:left w:val="none" w:sz="0" w:space="0" w:color="auto"/>
        <w:bottom w:val="none" w:sz="0" w:space="0" w:color="auto"/>
        <w:right w:val="none" w:sz="0" w:space="0" w:color="auto"/>
      </w:divBdr>
    </w:div>
    <w:div w:id="886139001">
      <w:bodyDiv w:val="1"/>
      <w:marLeft w:val="0"/>
      <w:marRight w:val="0"/>
      <w:marTop w:val="0"/>
      <w:marBottom w:val="0"/>
      <w:divBdr>
        <w:top w:val="none" w:sz="0" w:space="0" w:color="auto"/>
        <w:left w:val="none" w:sz="0" w:space="0" w:color="auto"/>
        <w:bottom w:val="none" w:sz="0" w:space="0" w:color="auto"/>
        <w:right w:val="none" w:sz="0" w:space="0" w:color="auto"/>
      </w:divBdr>
    </w:div>
    <w:div w:id="897008158">
      <w:bodyDiv w:val="1"/>
      <w:marLeft w:val="0"/>
      <w:marRight w:val="0"/>
      <w:marTop w:val="0"/>
      <w:marBottom w:val="0"/>
      <w:divBdr>
        <w:top w:val="none" w:sz="0" w:space="0" w:color="auto"/>
        <w:left w:val="none" w:sz="0" w:space="0" w:color="auto"/>
        <w:bottom w:val="none" w:sz="0" w:space="0" w:color="auto"/>
        <w:right w:val="none" w:sz="0" w:space="0" w:color="auto"/>
      </w:divBdr>
    </w:div>
    <w:div w:id="906184690">
      <w:bodyDiv w:val="1"/>
      <w:marLeft w:val="0"/>
      <w:marRight w:val="0"/>
      <w:marTop w:val="0"/>
      <w:marBottom w:val="0"/>
      <w:divBdr>
        <w:top w:val="none" w:sz="0" w:space="0" w:color="auto"/>
        <w:left w:val="none" w:sz="0" w:space="0" w:color="auto"/>
        <w:bottom w:val="none" w:sz="0" w:space="0" w:color="auto"/>
        <w:right w:val="none" w:sz="0" w:space="0" w:color="auto"/>
      </w:divBdr>
    </w:div>
    <w:div w:id="907113979">
      <w:bodyDiv w:val="1"/>
      <w:marLeft w:val="0"/>
      <w:marRight w:val="0"/>
      <w:marTop w:val="0"/>
      <w:marBottom w:val="0"/>
      <w:divBdr>
        <w:top w:val="none" w:sz="0" w:space="0" w:color="auto"/>
        <w:left w:val="none" w:sz="0" w:space="0" w:color="auto"/>
        <w:bottom w:val="none" w:sz="0" w:space="0" w:color="auto"/>
        <w:right w:val="none" w:sz="0" w:space="0" w:color="auto"/>
      </w:divBdr>
    </w:div>
    <w:div w:id="957174767">
      <w:bodyDiv w:val="1"/>
      <w:marLeft w:val="0"/>
      <w:marRight w:val="0"/>
      <w:marTop w:val="0"/>
      <w:marBottom w:val="0"/>
      <w:divBdr>
        <w:top w:val="none" w:sz="0" w:space="0" w:color="auto"/>
        <w:left w:val="none" w:sz="0" w:space="0" w:color="auto"/>
        <w:bottom w:val="none" w:sz="0" w:space="0" w:color="auto"/>
        <w:right w:val="none" w:sz="0" w:space="0" w:color="auto"/>
      </w:divBdr>
    </w:div>
    <w:div w:id="966738267">
      <w:bodyDiv w:val="1"/>
      <w:marLeft w:val="0"/>
      <w:marRight w:val="0"/>
      <w:marTop w:val="0"/>
      <w:marBottom w:val="0"/>
      <w:divBdr>
        <w:top w:val="none" w:sz="0" w:space="0" w:color="auto"/>
        <w:left w:val="none" w:sz="0" w:space="0" w:color="auto"/>
        <w:bottom w:val="none" w:sz="0" w:space="0" w:color="auto"/>
        <w:right w:val="none" w:sz="0" w:space="0" w:color="auto"/>
      </w:divBdr>
    </w:div>
    <w:div w:id="981807813">
      <w:bodyDiv w:val="1"/>
      <w:marLeft w:val="0"/>
      <w:marRight w:val="0"/>
      <w:marTop w:val="0"/>
      <w:marBottom w:val="0"/>
      <w:divBdr>
        <w:top w:val="none" w:sz="0" w:space="0" w:color="auto"/>
        <w:left w:val="none" w:sz="0" w:space="0" w:color="auto"/>
        <w:bottom w:val="none" w:sz="0" w:space="0" w:color="auto"/>
        <w:right w:val="none" w:sz="0" w:space="0" w:color="auto"/>
      </w:divBdr>
    </w:div>
    <w:div w:id="990910860">
      <w:bodyDiv w:val="1"/>
      <w:marLeft w:val="0"/>
      <w:marRight w:val="0"/>
      <w:marTop w:val="0"/>
      <w:marBottom w:val="0"/>
      <w:divBdr>
        <w:top w:val="none" w:sz="0" w:space="0" w:color="auto"/>
        <w:left w:val="none" w:sz="0" w:space="0" w:color="auto"/>
        <w:bottom w:val="none" w:sz="0" w:space="0" w:color="auto"/>
        <w:right w:val="none" w:sz="0" w:space="0" w:color="auto"/>
      </w:divBdr>
    </w:div>
    <w:div w:id="994801389">
      <w:bodyDiv w:val="1"/>
      <w:marLeft w:val="0"/>
      <w:marRight w:val="0"/>
      <w:marTop w:val="0"/>
      <w:marBottom w:val="0"/>
      <w:divBdr>
        <w:top w:val="none" w:sz="0" w:space="0" w:color="auto"/>
        <w:left w:val="none" w:sz="0" w:space="0" w:color="auto"/>
        <w:bottom w:val="none" w:sz="0" w:space="0" w:color="auto"/>
        <w:right w:val="none" w:sz="0" w:space="0" w:color="auto"/>
      </w:divBdr>
    </w:div>
    <w:div w:id="1004431379">
      <w:bodyDiv w:val="1"/>
      <w:marLeft w:val="0"/>
      <w:marRight w:val="0"/>
      <w:marTop w:val="0"/>
      <w:marBottom w:val="0"/>
      <w:divBdr>
        <w:top w:val="none" w:sz="0" w:space="0" w:color="auto"/>
        <w:left w:val="none" w:sz="0" w:space="0" w:color="auto"/>
        <w:bottom w:val="none" w:sz="0" w:space="0" w:color="auto"/>
        <w:right w:val="none" w:sz="0" w:space="0" w:color="auto"/>
      </w:divBdr>
    </w:div>
    <w:div w:id="1010990836">
      <w:bodyDiv w:val="1"/>
      <w:marLeft w:val="0"/>
      <w:marRight w:val="0"/>
      <w:marTop w:val="0"/>
      <w:marBottom w:val="0"/>
      <w:divBdr>
        <w:top w:val="none" w:sz="0" w:space="0" w:color="auto"/>
        <w:left w:val="none" w:sz="0" w:space="0" w:color="auto"/>
        <w:bottom w:val="none" w:sz="0" w:space="0" w:color="auto"/>
        <w:right w:val="none" w:sz="0" w:space="0" w:color="auto"/>
      </w:divBdr>
      <w:divsChild>
        <w:div w:id="1251086599">
          <w:marLeft w:val="0"/>
          <w:marRight w:val="0"/>
          <w:marTop w:val="0"/>
          <w:marBottom w:val="0"/>
          <w:divBdr>
            <w:top w:val="none" w:sz="0" w:space="0" w:color="auto"/>
            <w:left w:val="none" w:sz="0" w:space="0" w:color="auto"/>
            <w:bottom w:val="none" w:sz="0" w:space="0" w:color="auto"/>
            <w:right w:val="none" w:sz="0" w:space="0" w:color="auto"/>
          </w:divBdr>
        </w:div>
      </w:divsChild>
    </w:div>
    <w:div w:id="1022586403">
      <w:bodyDiv w:val="1"/>
      <w:marLeft w:val="0"/>
      <w:marRight w:val="0"/>
      <w:marTop w:val="0"/>
      <w:marBottom w:val="0"/>
      <w:divBdr>
        <w:top w:val="none" w:sz="0" w:space="0" w:color="auto"/>
        <w:left w:val="none" w:sz="0" w:space="0" w:color="auto"/>
        <w:bottom w:val="none" w:sz="0" w:space="0" w:color="auto"/>
        <w:right w:val="none" w:sz="0" w:space="0" w:color="auto"/>
      </w:divBdr>
    </w:div>
    <w:div w:id="1028676744">
      <w:bodyDiv w:val="1"/>
      <w:marLeft w:val="0"/>
      <w:marRight w:val="0"/>
      <w:marTop w:val="0"/>
      <w:marBottom w:val="0"/>
      <w:divBdr>
        <w:top w:val="none" w:sz="0" w:space="0" w:color="auto"/>
        <w:left w:val="none" w:sz="0" w:space="0" w:color="auto"/>
        <w:bottom w:val="none" w:sz="0" w:space="0" w:color="auto"/>
        <w:right w:val="none" w:sz="0" w:space="0" w:color="auto"/>
      </w:divBdr>
    </w:div>
    <w:div w:id="1036081729">
      <w:bodyDiv w:val="1"/>
      <w:marLeft w:val="0"/>
      <w:marRight w:val="0"/>
      <w:marTop w:val="0"/>
      <w:marBottom w:val="0"/>
      <w:divBdr>
        <w:top w:val="none" w:sz="0" w:space="0" w:color="auto"/>
        <w:left w:val="none" w:sz="0" w:space="0" w:color="auto"/>
        <w:bottom w:val="none" w:sz="0" w:space="0" w:color="auto"/>
        <w:right w:val="none" w:sz="0" w:space="0" w:color="auto"/>
      </w:divBdr>
    </w:div>
    <w:div w:id="1040281896">
      <w:bodyDiv w:val="1"/>
      <w:marLeft w:val="0"/>
      <w:marRight w:val="0"/>
      <w:marTop w:val="0"/>
      <w:marBottom w:val="0"/>
      <w:divBdr>
        <w:top w:val="none" w:sz="0" w:space="0" w:color="auto"/>
        <w:left w:val="none" w:sz="0" w:space="0" w:color="auto"/>
        <w:bottom w:val="none" w:sz="0" w:space="0" w:color="auto"/>
        <w:right w:val="none" w:sz="0" w:space="0" w:color="auto"/>
      </w:divBdr>
    </w:div>
    <w:div w:id="1063721313">
      <w:bodyDiv w:val="1"/>
      <w:marLeft w:val="0"/>
      <w:marRight w:val="0"/>
      <w:marTop w:val="0"/>
      <w:marBottom w:val="0"/>
      <w:divBdr>
        <w:top w:val="none" w:sz="0" w:space="0" w:color="auto"/>
        <w:left w:val="none" w:sz="0" w:space="0" w:color="auto"/>
        <w:bottom w:val="none" w:sz="0" w:space="0" w:color="auto"/>
        <w:right w:val="none" w:sz="0" w:space="0" w:color="auto"/>
      </w:divBdr>
    </w:div>
    <w:div w:id="1077096151">
      <w:bodyDiv w:val="1"/>
      <w:marLeft w:val="0"/>
      <w:marRight w:val="0"/>
      <w:marTop w:val="0"/>
      <w:marBottom w:val="0"/>
      <w:divBdr>
        <w:top w:val="none" w:sz="0" w:space="0" w:color="auto"/>
        <w:left w:val="none" w:sz="0" w:space="0" w:color="auto"/>
        <w:bottom w:val="none" w:sz="0" w:space="0" w:color="auto"/>
        <w:right w:val="none" w:sz="0" w:space="0" w:color="auto"/>
      </w:divBdr>
    </w:div>
    <w:div w:id="1079405639">
      <w:bodyDiv w:val="1"/>
      <w:marLeft w:val="0"/>
      <w:marRight w:val="0"/>
      <w:marTop w:val="0"/>
      <w:marBottom w:val="0"/>
      <w:divBdr>
        <w:top w:val="none" w:sz="0" w:space="0" w:color="auto"/>
        <w:left w:val="none" w:sz="0" w:space="0" w:color="auto"/>
        <w:bottom w:val="none" w:sz="0" w:space="0" w:color="auto"/>
        <w:right w:val="none" w:sz="0" w:space="0" w:color="auto"/>
      </w:divBdr>
    </w:div>
    <w:div w:id="1089155038">
      <w:bodyDiv w:val="1"/>
      <w:marLeft w:val="0"/>
      <w:marRight w:val="0"/>
      <w:marTop w:val="0"/>
      <w:marBottom w:val="0"/>
      <w:divBdr>
        <w:top w:val="none" w:sz="0" w:space="0" w:color="auto"/>
        <w:left w:val="none" w:sz="0" w:space="0" w:color="auto"/>
        <w:bottom w:val="none" w:sz="0" w:space="0" w:color="auto"/>
        <w:right w:val="none" w:sz="0" w:space="0" w:color="auto"/>
      </w:divBdr>
    </w:div>
    <w:div w:id="1091240476">
      <w:bodyDiv w:val="1"/>
      <w:marLeft w:val="0"/>
      <w:marRight w:val="0"/>
      <w:marTop w:val="0"/>
      <w:marBottom w:val="0"/>
      <w:divBdr>
        <w:top w:val="none" w:sz="0" w:space="0" w:color="auto"/>
        <w:left w:val="none" w:sz="0" w:space="0" w:color="auto"/>
        <w:bottom w:val="none" w:sz="0" w:space="0" w:color="auto"/>
        <w:right w:val="none" w:sz="0" w:space="0" w:color="auto"/>
      </w:divBdr>
    </w:div>
    <w:div w:id="1103964546">
      <w:bodyDiv w:val="1"/>
      <w:marLeft w:val="0"/>
      <w:marRight w:val="0"/>
      <w:marTop w:val="0"/>
      <w:marBottom w:val="0"/>
      <w:divBdr>
        <w:top w:val="none" w:sz="0" w:space="0" w:color="auto"/>
        <w:left w:val="none" w:sz="0" w:space="0" w:color="auto"/>
        <w:bottom w:val="none" w:sz="0" w:space="0" w:color="auto"/>
        <w:right w:val="none" w:sz="0" w:space="0" w:color="auto"/>
      </w:divBdr>
    </w:div>
    <w:div w:id="1107775646">
      <w:bodyDiv w:val="1"/>
      <w:marLeft w:val="0"/>
      <w:marRight w:val="0"/>
      <w:marTop w:val="0"/>
      <w:marBottom w:val="0"/>
      <w:divBdr>
        <w:top w:val="none" w:sz="0" w:space="0" w:color="auto"/>
        <w:left w:val="none" w:sz="0" w:space="0" w:color="auto"/>
        <w:bottom w:val="none" w:sz="0" w:space="0" w:color="auto"/>
        <w:right w:val="none" w:sz="0" w:space="0" w:color="auto"/>
      </w:divBdr>
    </w:div>
    <w:div w:id="1108113283">
      <w:bodyDiv w:val="1"/>
      <w:marLeft w:val="0"/>
      <w:marRight w:val="0"/>
      <w:marTop w:val="0"/>
      <w:marBottom w:val="0"/>
      <w:divBdr>
        <w:top w:val="none" w:sz="0" w:space="0" w:color="auto"/>
        <w:left w:val="none" w:sz="0" w:space="0" w:color="auto"/>
        <w:bottom w:val="none" w:sz="0" w:space="0" w:color="auto"/>
        <w:right w:val="none" w:sz="0" w:space="0" w:color="auto"/>
      </w:divBdr>
    </w:div>
    <w:div w:id="1113862973">
      <w:bodyDiv w:val="1"/>
      <w:marLeft w:val="0"/>
      <w:marRight w:val="0"/>
      <w:marTop w:val="0"/>
      <w:marBottom w:val="0"/>
      <w:divBdr>
        <w:top w:val="none" w:sz="0" w:space="0" w:color="auto"/>
        <w:left w:val="none" w:sz="0" w:space="0" w:color="auto"/>
        <w:bottom w:val="none" w:sz="0" w:space="0" w:color="auto"/>
        <w:right w:val="none" w:sz="0" w:space="0" w:color="auto"/>
      </w:divBdr>
    </w:div>
    <w:div w:id="1133130981">
      <w:bodyDiv w:val="1"/>
      <w:marLeft w:val="0"/>
      <w:marRight w:val="0"/>
      <w:marTop w:val="0"/>
      <w:marBottom w:val="0"/>
      <w:divBdr>
        <w:top w:val="none" w:sz="0" w:space="0" w:color="auto"/>
        <w:left w:val="none" w:sz="0" w:space="0" w:color="auto"/>
        <w:bottom w:val="none" w:sz="0" w:space="0" w:color="auto"/>
        <w:right w:val="none" w:sz="0" w:space="0" w:color="auto"/>
      </w:divBdr>
    </w:div>
    <w:div w:id="1135100670">
      <w:bodyDiv w:val="1"/>
      <w:marLeft w:val="0"/>
      <w:marRight w:val="0"/>
      <w:marTop w:val="0"/>
      <w:marBottom w:val="0"/>
      <w:divBdr>
        <w:top w:val="none" w:sz="0" w:space="0" w:color="auto"/>
        <w:left w:val="none" w:sz="0" w:space="0" w:color="auto"/>
        <w:bottom w:val="none" w:sz="0" w:space="0" w:color="auto"/>
        <w:right w:val="none" w:sz="0" w:space="0" w:color="auto"/>
      </w:divBdr>
    </w:div>
    <w:div w:id="1139154967">
      <w:bodyDiv w:val="1"/>
      <w:marLeft w:val="0"/>
      <w:marRight w:val="0"/>
      <w:marTop w:val="0"/>
      <w:marBottom w:val="0"/>
      <w:divBdr>
        <w:top w:val="none" w:sz="0" w:space="0" w:color="auto"/>
        <w:left w:val="none" w:sz="0" w:space="0" w:color="auto"/>
        <w:bottom w:val="none" w:sz="0" w:space="0" w:color="auto"/>
        <w:right w:val="none" w:sz="0" w:space="0" w:color="auto"/>
      </w:divBdr>
    </w:div>
    <w:div w:id="1160847347">
      <w:bodyDiv w:val="1"/>
      <w:marLeft w:val="0"/>
      <w:marRight w:val="0"/>
      <w:marTop w:val="0"/>
      <w:marBottom w:val="0"/>
      <w:divBdr>
        <w:top w:val="none" w:sz="0" w:space="0" w:color="auto"/>
        <w:left w:val="none" w:sz="0" w:space="0" w:color="auto"/>
        <w:bottom w:val="none" w:sz="0" w:space="0" w:color="auto"/>
        <w:right w:val="none" w:sz="0" w:space="0" w:color="auto"/>
      </w:divBdr>
    </w:div>
    <w:div w:id="1178736850">
      <w:bodyDiv w:val="1"/>
      <w:marLeft w:val="0"/>
      <w:marRight w:val="0"/>
      <w:marTop w:val="0"/>
      <w:marBottom w:val="0"/>
      <w:divBdr>
        <w:top w:val="none" w:sz="0" w:space="0" w:color="auto"/>
        <w:left w:val="none" w:sz="0" w:space="0" w:color="auto"/>
        <w:bottom w:val="none" w:sz="0" w:space="0" w:color="auto"/>
        <w:right w:val="none" w:sz="0" w:space="0" w:color="auto"/>
      </w:divBdr>
    </w:div>
    <w:div w:id="1190266515">
      <w:bodyDiv w:val="1"/>
      <w:marLeft w:val="0"/>
      <w:marRight w:val="0"/>
      <w:marTop w:val="0"/>
      <w:marBottom w:val="0"/>
      <w:divBdr>
        <w:top w:val="none" w:sz="0" w:space="0" w:color="auto"/>
        <w:left w:val="none" w:sz="0" w:space="0" w:color="auto"/>
        <w:bottom w:val="none" w:sz="0" w:space="0" w:color="auto"/>
        <w:right w:val="none" w:sz="0" w:space="0" w:color="auto"/>
      </w:divBdr>
    </w:div>
    <w:div w:id="1193374118">
      <w:bodyDiv w:val="1"/>
      <w:marLeft w:val="0"/>
      <w:marRight w:val="0"/>
      <w:marTop w:val="0"/>
      <w:marBottom w:val="0"/>
      <w:divBdr>
        <w:top w:val="none" w:sz="0" w:space="0" w:color="auto"/>
        <w:left w:val="none" w:sz="0" w:space="0" w:color="auto"/>
        <w:bottom w:val="none" w:sz="0" w:space="0" w:color="auto"/>
        <w:right w:val="none" w:sz="0" w:space="0" w:color="auto"/>
      </w:divBdr>
    </w:div>
    <w:div w:id="1206528459">
      <w:bodyDiv w:val="1"/>
      <w:marLeft w:val="0"/>
      <w:marRight w:val="0"/>
      <w:marTop w:val="0"/>
      <w:marBottom w:val="0"/>
      <w:divBdr>
        <w:top w:val="none" w:sz="0" w:space="0" w:color="auto"/>
        <w:left w:val="none" w:sz="0" w:space="0" w:color="auto"/>
        <w:bottom w:val="none" w:sz="0" w:space="0" w:color="auto"/>
        <w:right w:val="none" w:sz="0" w:space="0" w:color="auto"/>
      </w:divBdr>
    </w:div>
    <w:div w:id="1237931628">
      <w:bodyDiv w:val="1"/>
      <w:marLeft w:val="0"/>
      <w:marRight w:val="0"/>
      <w:marTop w:val="0"/>
      <w:marBottom w:val="0"/>
      <w:divBdr>
        <w:top w:val="none" w:sz="0" w:space="0" w:color="auto"/>
        <w:left w:val="none" w:sz="0" w:space="0" w:color="auto"/>
        <w:bottom w:val="none" w:sz="0" w:space="0" w:color="auto"/>
        <w:right w:val="none" w:sz="0" w:space="0" w:color="auto"/>
      </w:divBdr>
    </w:div>
    <w:div w:id="1264269592">
      <w:bodyDiv w:val="1"/>
      <w:marLeft w:val="0"/>
      <w:marRight w:val="0"/>
      <w:marTop w:val="0"/>
      <w:marBottom w:val="0"/>
      <w:divBdr>
        <w:top w:val="none" w:sz="0" w:space="0" w:color="auto"/>
        <w:left w:val="none" w:sz="0" w:space="0" w:color="auto"/>
        <w:bottom w:val="none" w:sz="0" w:space="0" w:color="auto"/>
        <w:right w:val="none" w:sz="0" w:space="0" w:color="auto"/>
      </w:divBdr>
    </w:div>
    <w:div w:id="1277326682">
      <w:bodyDiv w:val="1"/>
      <w:marLeft w:val="0"/>
      <w:marRight w:val="0"/>
      <w:marTop w:val="0"/>
      <w:marBottom w:val="0"/>
      <w:divBdr>
        <w:top w:val="none" w:sz="0" w:space="0" w:color="auto"/>
        <w:left w:val="none" w:sz="0" w:space="0" w:color="auto"/>
        <w:bottom w:val="none" w:sz="0" w:space="0" w:color="auto"/>
        <w:right w:val="none" w:sz="0" w:space="0" w:color="auto"/>
      </w:divBdr>
    </w:div>
    <w:div w:id="1287811306">
      <w:bodyDiv w:val="1"/>
      <w:marLeft w:val="0"/>
      <w:marRight w:val="0"/>
      <w:marTop w:val="0"/>
      <w:marBottom w:val="0"/>
      <w:divBdr>
        <w:top w:val="none" w:sz="0" w:space="0" w:color="auto"/>
        <w:left w:val="none" w:sz="0" w:space="0" w:color="auto"/>
        <w:bottom w:val="none" w:sz="0" w:space="0" w:color="auto"/>
        <w:right w:val="none" w:sz="0" w:space="0" w:color="auto"/>
      </w:divBdr>
    </w:div>
    <w:div w:id="1329554356">
      <w:bodyDiv w:val="1"/>
      <w:marLeft w:val="0"/>
      <w:marRight w:val="0"/>
      <w:marTop w:val="0"/>
      <w:marBottom w:val="0"/>
      <w:divBdr>
        <w:top w:val="none" w:sz="0" w:space="0" w:color="auto"/>
        <w:left w:val="none" w:sz="0" w:space="0" w:color="auto"/>
        <w:bottom w:val="none" w:sz="0" w:space="0" w:color="auto"/>
        <w:right w:val="none" w:sz="0" w:space="0" w:color="auto"/>
      </w:divBdr>
    </w:div>
    <w:div w:id="1336810956">
      <w:bodyDiv w:val="1"/>
      <w:marLeft w:val="0"/>
      <w:marRight w:val="0"/>
      <w:marTop w:val="0"/>
      <w:marBottom w:val="0"/>
      <w:divBdr>
        <w:top w:val="none" w:sz="0" w:space="0" w:color="auto"/>
        <w:left w:val="none" w:sz="0" w:space="0" w:color="auto"/>
        <w:bottom w:val="none" w:sz="0" w:space="0" w:color="auto"/>
        <w:right w:val="none" w:sz="0" w:space="0" w:color="auto"/>
      </w:divBdr>
    </w:div>
    <w:div w:id="1352026604">
      <w:bodyDiv w:val="1"/>
      <w:marLeft w:val="0"/>
      <w:marRight w:val="0"/>
      <w:marTop w:val="0"/>
      <w:marBottom w:val="0"/>
      <w:divBdr>
        <w:top w:val="none" w:sz="0" w:space="0" w:color="auto"/>
        <w:left w:val="none" w:sz="0" w:space="0" w:color="auto"/>
        <w:bottom w:val="none" w:sz="0" w:space="0" w:color="auto"/>
        <w:right w:val="none" w:sz="0" w:space="0" w:color="auto"/>
      </w:divBdr>
    </w:div>
    <w:div w:id="1393581489">
      <w:bodyDiv w:val="1"/>
      <w:marLeft w:val="0"/>
      <w:marRight w:val="0"/>
      <w:marTop w:val="0"/>
      <w:marBottom w:val="0"/>
      <w:divBdr>
        <w:top w:val="none" w:sz="0" w:space="0" w:color="auto"/>
        <w:left w:val="none" w:sz="0" w:space="0" w:color="auto"/>
        <w:bottom w:val="none" w:sz="0" w:space="0" w:color="auto"/>
        <w:right w:val="none" w:sz="0" w:space="0" w:color="auto"/>
      </w:divBdr>
    </w:div>
    <w:div w:id="1404718334">
      <w:bodyDiv w:val="1"/>
      <w:marLeft w:val="0"/>
      <w:marRight w:val="0"/>
      <w:marTop w:val="0"/>
      <w:marBottom w:val="0"/>
      <w:divBdr>
        <w:top w:val="none" w:sz="0" w:space="0" w:color="auto"/>
        <w:left w:val="none" w:sz="0" w:space="0" w:color="auto"/>
        <w:bottom w:val="none" w:sz="0" w:space="0" w:color="auto"/>
        <w:right w:val="none" w:sz="0" w:space="0" w:color="auto"/>
      </w:divBdr>
    </w:div>
    <w:div w:id="1404985338">
      <w:bodyDiv w:val="1"/>
      <w:marLeft w:val="0"/>
      <w:marRight w:val="0"/>
      <w:marTop w:val="0"/>
      <w:marBottom w:val="0"/>
      <w:divBdr>
        <w:top w:val="none" w:sz="0" w:space="0" w:color="auto"/>
        <w:left w:val="none" w:sz="0" w:space="0" w:color="auto"/>
        <w:bottom w:val="none" w:sz="0" w:space="0" w:color="auto"/>
        <w:right w:val="none" w:sz="0" w:space="0" w:color="auto"/>
      </w:divBdr>
    </w:div>
    <w:div w:id="1408303339">
      <w:bodyDiv w:val="1"/>
      <w:marLeft w:val="0"/>
      <w:marRight w:val="0"/>
      <w:marTop w:val="0"/>
      <w:marBottom w:val="0"/>
      <w:divBdr>
        <w:top w:val="none" w:sz="0" w:space="0" w:color="auto"/>
        <w:left w:val="none" w:sz="0" w:space="0" w:color="auto"/>
        <w:bottom w:val="none" w:sz="0" w:space="0" w:color="auto"/>
        <w:right w:val="none" w:sz="0" w:space="0" w:color="auto"/>
      </w:divBdr>
    </w:div>
    <w:div w:id="1436949177">
      <w:bodyDiv w:val="1"/>
      <w:marLeft w:val="0"/>
      <w:marRight w:val="0"/>
      <w:marTop w:val="0"/>
      <w:marBottom w:val="0"/>
      <w:divBdr>
        <w:top w:val="none" w:sz="0" w:space="0" w:color="auto"/>
        <w:left w:val="none" w:sz="0" w:space="0" w:color="auto"/>
        <w:bottom w:val="none" w:sz="0" w:space="0" w:color="auto"/>
        <w:right w:val="none" w:sz="0" w:space="0" w:color="auto"/>
      </w:divBdr>
    </w:div>
    <w:div w:id="1437871075">
      <w:bodyDiv w:val="1"/>
      <w:marLeft w:val="0"/>
      <w:marRight w:val="0"/>
      <w:marTop w:val="0"/>
      <w:marBottom w:val="0"/>
      <w:divBdr>
        <w:top w:val="none" w:sz="0" w:space="0" w:color="auto"/>
        <w:left w:val="none" w:sz="0" w:space="0" w:color="auto"/>
        <w:bottom w:val="none" w:sz="0" w:space="0" w:color="auto"/>
        <w:right w:val="none" w:sz="0" w:space="0" w:color="auto"/>
      </w:divBdr>
    </w:div>
    <w:div w:id="1447234831">
      <w:bodyDiv w:val="1"/>
      <w:marLeft w:val="0"/>
      <w:marRight w:val="0"/>
      <w:marTop w:val="0"/>
      <w:marBottom w:val="0"/>
      <w:divBdr>
        <w:top w:val="none" w:sz="0" w:space="0" w:color="auto"/>
        <w:left w:val="none" w:sz="0" w:space="0" w:color="auto"/>
        <w:bottom w:val="none" w:sz="0" w:space="0" w:color="auto"/>
        <w:right w:val="none" w:sz="0" w:space="0" w:color="auto"/>
      </w:divBdr>
    </w:div>
    <w:div w:id="1457218337">
      <w:bodyDiv w:val="1"/>
      <w:marLeft w:val="0"/>
      <w:marRight w:val="0"/>
      <w:marTop w:val="0"/>
      <w:marBottom w:val="0"/>
      <w:divBdr>
        <w:top w:val="none" w:sz="0" w:space="0" w:color="auto"/>
        <w:left w:val="none" w:sz="0" w:space="0" w:color="auto"/>
        <w:bottom w:val="none" w:sz="0" w:space="0" w:color="auto"/>
        <w:right w:val="none" w:sz="0" w:space="0" w:color="auto"/>
      </w:divBdr>
    </w:div>
    <w:div w:id="1461462963">
      <w:bodyDiv w:val="1"/>
      <w:marLeft w:val="0"/>
      <w:marRight w:val="0"/>
      <w:marTop w:val="0"/>
      <w:marBottom w:val="0"/>
      <w:divBdr>
        <w:top w:val="none" w:sz="0" w:space="0" w:color="auto"/>
        <w:left w:val="none" w:sz="0" w:space="0" w:color="auto"/>
        <w:bottom w:val="none" w:sz="0" w:space="0" w:color="auto"/>
        <w:right w:val="none" w:sz="0" w:space="0" w:color="auto"/>
      </w:divBdr>
    </w:div>
    <w:div w:id="1464544737">
      <w:bodyDiv w:val="1"/>
      <w:marLeft w:val="0"/>
      <w:marRight w:val="0"/>
      <w:marTop w:val="0"/>
      <w:marBottom w:val="0"/>
      <w:divBdr>
        <w:top w:val="none" w:sz="0" w:space="0" w:color="auto"/>
        <w:left w:val="none" w:sz="0" w:space="0" w:color="auto"/>
        <w:bottom w:val="none" w:sz="0" w:space="0" w:color="auto"/>
        <w:right w:val="none" w:sz="0" w:space="0" w:color="auto"/>
      </w:divBdr>
    </w:div>
    <w:div w:id="1470325224">
      <w:bodyDiv w:val="1"/>
      <w:marLeft w:val="0"/>
      <w:marRight w:val="0"/>
      <w:marTop w:val="0"/>
      <w:marBottom w:val="0"/>
      <w:divBdr>
        <w:top w:val="none" w:sz="0" w:space="0" w:color="auto"/>
        <w:left w:val="none" w:sz="0" w:space="0" w:color="auto"/>
        <w:bottom w:val="none" w:sz="0" w:space="0" w:color="auto"/>
        <w:right w:val="none" w:sz="0" w:space="0" w:color="auto"/>
      </w:divBdr>
    </w:div>
    <w:div w:id="1481192831">
      <w:bodyDiv w:val="1"/>
      <w:marLeft w:val="0"/>
      <w:marRight w:val="0"/>
      <w:marTop w:val="0"/>
      <w:marBottom w:val="0"/>
      <w:divBdr>
        <w:top w:val="none" w:sz="0" w:space="0" w:color="auto"/>
        <w:left w:val="none" w:sz="0" w:space="0" w:color="auto"/>
        <w:bottom w:val="none" w:sz="0" w:space="0" w:color="auto"/>
        <w:right w:val="none" w:sz="0" w:space="0" w:color="auto"/>
      </w:divBdr>
    </w:div>
    <w:div w:id="1515068883">
      <w:bodyDiv w:val="1"/>
      <w:marLeft w:val="0"/>
      <w:marRight w:val="0"/>
      <w:marTop w:val="0"/>
      <w:marBottom w:val="0"/>
      <w:divBdr>
        <w:top w:val="none" w:sz="0" w:space="0" w:color="auto"/>
        <w:left w:val="none" w:sz="0" w:space="0" w:color="auto"/>
        <w:bottom w:val="none" w:sz="0" w:space="0" w:color="auto"/>
        <w:right w:val="none" w:sz="0" w:space="0" w:color="auto"/>
      </w:divBdr>
    </w:div>
    <w:div w:id="1550996859">
      <w:bodyDiv w:val="1"/>
      <w:marLeft w:val="0"/>
      <w:marRight w:val="0"/>
      <w:marTop w:val="0"/>
      <w:marBottom w:val="0"/>
      <w:divBdr>
        <w:top w:val="none" w:sz="0" w:space="0" w:color="auto"/>
        <w:left w:val="none" w:sz="0" w:space="0" w:color="auto"/>
        <w:bottom w:val="none" w:sz="0" w:space="0" w:color="auto"/>
        <w:right w:val="none" w:sz="0" w:space="0" w:color="auto"/>
      </w:divBdr>
    </w:div>
    <w:div w:id="1586495610">
      <w:bodyDiv w:val="1"/>
      <w:marLeft w:val="0"/>
      <w:marRight w:val="0"/>
      <w:marTop w:val="0"/>
      <w:marBottom w:val="0"/>
      <w:divBdr>
        <w:top w:val="none" w:sz="0" w:space="0" w:color="auto"/>
        <w:left w:val="none" w:sz="0" w:space="0" w:color="auto"/>
        <w:bottom w:val="none" w:sz="0" w:space="0" w:color="auto"/>
        <w:right w:val="none" w:sz="0" w:space="0" w:color="auto"/>
      </w:divBdr>
    </w:div>
    <w:div w:id="1600870120">
      <w:bodyDiv w:val="1"/>
      <w:marLeft w:val="0"/>
      <w:marRight w:val="0"/>
      <w:marTop w:val="0"/>
      <w:marBottom w:val="0"/>
      <w:divBdr>
        <w:top w:val="none" w:sz="0" w:space="0" w:color="auto"/>
        <w:left w:val="none" w:sz="0" w:space="0" w:color="auto"/>
        <w:bottom w:val="none" w:sz="0" w:space="0" w:color="auto"/>
        <w:right w:val="none" w:sz="0" w:space="0" w:color="auto"/>
      </w:divBdr>
    </w:div>
    <w:div w:id="1607034154">
      <w:bodyDiv w:val="1"/>
      <w:marLeft w:val="0"/>
      <w:marRight w:val="0"/>
      <w:marTop w:val="0"/>
      <w:marBottom w:val="0"/>
      <w:divBdr>
        <w:top w:val="none" w:sz="0" w:space="0" w:color="auto"/>
        <w:left w:val="none" w:sz="0" w:space="0" w:color="auto"/>
        <w:bottom w:val="none" w:sz="0" w:space="0" w:color="auto"/>
        <w:right w:val="none" w:sz="0" w:space="0" w:color="auto"/>
      </w:divBdr>
    </w:div>
    <w:div w:id="1618562854">
      <w:bodyDiv w:val="1"/>
      <w:marLeft w:val="0"/>
      <w:marRight w:val="0"/>
      <w:marTop w:val="0"/>
      <w:marBottom w:val="0"/>
      <w:divBdr>
        <w:top w:val="none" w:sz="0" w:space="0" w:color="auto"/>
        <w:left w:val="none" w:sz="0" w:space="0" w:color="auto"/>
        <w:bottom w:val="none" w:sz="0" w:space="0" w:color="auto"/>
        <w:right w:val="none" w:sz="0" w:space="0" w:color="auto"/>
      </w:divBdr>
    </w:div>
    <w:div w:id="1620448921">
      <w:bodyDiv w:val="1"/>
      <w:marLeft w:val="0"/>
      <w:marRight w:val="0"/>
      <w:marTop w:val="0"/>
      <w:marBottom w:val="0"/>
      <w:divBdr>
        <w:top w:val="none" w:sz="0" w:space="0" w:color="auto"/>
        <w:left w:val="none" w:sz="0" w:space="0" w:color="auto"/>
        <w:bottom w:val="none" w:sz="0" w:space="0" w:color="auto"/>
        <w:right w:val="none" w:sz="0" w:space="0" w:color="auto"/>
      </w:divBdr>
    </w:div>
    <w:div w:id="1625193820">
      <w:bodyDiv w:val="1"/>
      <w:marLeft w:val="0"/>
      <w:marRight w:val="0"/>
      <w:marTop w:val="0"/>
      <w:marBottom w:val="0"/>
      <w:divBdr>
        <w:top w:val="none" w:sz="0" w:space="0" w:color="auto"/>
        <w:left w:val="none" w:sz="0" w:space="0" w:color="auto"/>
        <w:bottom w:val="none" w:sz="0" w:space="0" w:color="auto"/>
        <w:right w:val="none" w:sz="0" w:space="0" w:color="auto"/>
      </w:divBdr>
    </w:div>
    <w:div w:id="1630361505">
      <w:bodyDiv w:val="1"/>
      <w:marLeft w:val="0"/>
      <w:marRight w:val="0"/>
      <w:marTop w:val="0"/>
      <w:marBottom w:val="0"/>
      <w:divBdr>
        <w:top w:val="none" w:sz="0" w:space="0" w:color="auto"/>
        <w:left w:val="none" w:sz="0" w:space="0" w:color="auto"/>
        <w:bottom w:val="none" w:sz="0" w:space="0" w:color="auto"/>
        <w:right w:val="none" w:sz="0" w:space="0" w:color="auto"/>
      </w:divBdr>
    </w:div>
    <w:div w:id="1650206167">
      <w:bodyDiv w:val="1"/>
      <w:marLeft w:val="0"/>
      <w:marRight w:val="0"/>
      <w:marTop w:val="0"/>
      <w:marBottom w:val="0"/>
      <w:divBdr>
        <w:top w:val="none" w:sz="0" w:space="0" w:color="auto"/>
        <w:left w:val="none" w:sz="0" w:space="0" w:color="auto"/>
        <w:bottom w:val="none" w:sz="0" w:space="0" w:color="auto"/>
        <w:right w:val="none" w:sz="0" w:space="0" w:color="auto"/>
      </w:divBdr>
    </w:div>
    <w:div w:id="1652370297">
      <w:bodyDiv w:val="1"/>
      <w:marLeft w:val="0"/>
      <w:marRight w:val="0"/>
      <w:marTop w:val="0"/>
      <w:marBottom w:val="0"/>
      <w:divBdr>
        <w:top w:val="none" w:sz="0" w:space="0" w:color="auto"/>
        <w:left w:val="none" w:sz="0" w:space="0" w:color="auto"/>
        <w:bottom w:val="none" w:sz="0" w:space="0" w:color="auto"/>
        <w:right w:val="none" w:sz="0" w:space="0" w:color="auto"/>
      </w:divBdr>
    </w:div>
    <w:div w:id="1664623518">
      <w:bodyDiv w:val="1"/>
      <w:marLeft w:val="0"/>
      <w:marRight w:val="0"/>
      <w:marTop w:val="0"/>
      <w:marBottom w:val="0"/>
      <w:divBdr>
        <w:top w:val="none" w:sz="0" w:space="0" w:color="auto"/>
        <w:left w:val="none" w:sz="0" w:space="0" w:color="auto"/>
        <w:bottom w:val="none" w:sz="0" w:space="0" w:color="auto"/>
        <w:right w:val="none" w:sz="0" w:space="0" w:color="auto"/>
      </w:divBdr>
    </w:div>
    <w:div w:id="1665432053">
      <w:bodyDiv w:val="1"/>
      <w:marLeft w:val="0"/>
      <w:marRight w:val="0"/>
      <w:marTop w:val="0"/>
      <w:marBottom w:val="0"/>
      <w:divBdr>
        <w:top w:val="none" w:sz="0" w:space="0" w:color="auto"/>
        <w:left w:val="none" w:sz="0" w:space="0" w:color="auto"/>
        <w:bottom w:val="none" w:sz="0" w:space="0" w:color="auto"/>
        <w:right w:val="none" w:sz="0" w:space="0" w:color="auto"/>
      </w:divBdr>
    </w:div>
    <w:div w:id="1666006415">
      <w:bodyDiv w:val="1"/>
      <w:marLeft w:val="0"/>
      <w:marRight w:val="0"/>
      <w:marTop w:val="0"/>
      <w:marBottom w:val="0"/>
      <w:divBdr>
        <w:top w:val="none" w:sz="0" w:space="0" w:color="auto"/>
        <w:left w:val="none" w:sz="0" w:space="0" w:color="auto"/>
        <w:bottom w:val="none" w:sz="0" w:space="0" w:color="auto"/>
        <w:right w:val="none" w:sz="0" w:space="0" w:color="auto"/>
      </w:divBdr>
    </w:div>
    <w:div w:id="1677150761">
      <w:bodyDiv w:val="1"/>
      <w:marLeft w:val="0"/>
      <w:marRight w:val="0"/>
      <w:marTop w:val="0"/>
      <w:marBottom w:val="0"/>
      <w:divBdr>
        <w:top w:val="none" w:sz="0" w:space="0" w:color="auto"/>
        <w:left w:val="none" w:sz="0" w:space="0" w:color="auto"/>
        <w:bottom w:val="none" w:sz="0" w:space="0" w:color="auto"/>
        <w:right w:val="none" w:sz="0" w:space="0" w:color="auto"/>
      </w:divBdr>
    </w:div>
    <w:div w:id="1684700488">
      <w:bodyDiv w:val="1"/>
      <w:marLeft w:val="0"/>
      <w:marRight w:val="0"/>
      <w:marTop w:val="0"/>
      <w:marBottom w:val="0"/>
      <w:divBdr>
        <w:top w:val="none" w:sz="0" w:space="0" w:color="auto"/>
        <w:left w:val="none" w:sz="0" w:space="0" w:color="auto"/>
        <w:bottom w:val="none" w:sz="0" w:space="0" w:color="auto"/>
        <w:right w:val="none" w:sz="0" w:space="0" w:color="auto"/>
      </w:divBdr>
    </w:div>
    <w:div w:id="1687516625">
      <w:bodyDiv w:val="1"/>
      <w:marLeft w:val="0"/>
      <w:marRight w:val="0"/>
      <w:marTop w:val="0"/>
      <w:marBottom w:val="0"/>
      <w:divBdr>
        <w:top w:val="none" w:sz="0" w:space="0" w:color="auto"/>
        <w:left w:val="none" w:sz="0" w:space="0" w:color="auto"/>
        <w:bottom w:val="none" w:sz="0" w:space="0" w:color="auto"/>
        <w:right w:val="none" w:sz="0" w:space="0" w:color="auto"/>
      </w:divBdr>
    </w:div>
    <w:div w:id="1702323380">
      <w:bodyDiv w:val="1"/>
      <w:marLeft w:val="0"/>
      <w:marRight w:val="0"/>
      <w:marTop w:val="0"/>
      <w:marBottom w:val="0"/>
      <w:divBdr>
        <w:top w:val="none" w:sz="0" w:space="0" w:color="auto"/>
        <w:left w:val="none" w:sz="0" w:space="0" w:color="auto"/>
        <w:bottom w:val="none" w:sz="0" w:space="0" w:color="auto"/>
        <w:right w:val="none" w:sz="0" w:space="0" w:color="auto"/>
      </w:divBdr>
    </w:div>
    <w:div w:id="1707564480">
      <w:bodyDiv w:val="1"/>
      <w:marLeft w:val="0"/>
      <w:marRight w:val="0"/>
      <w:marTop w:val="0"/>
      <w:marBottom w:val="0"/>
      <w:divBdr>
        <w:top w:val="none" w:sz="0" w:space="0" w:color="auto"/>
        <w:left w:val="none" w:sz="0" w:space="0" w:color="auto"/>
        <w:bottom w:val="none" w:sz="0" w:space="0" w:color="auto"/>
        <w:right w:val="none" w:sz="0" w:space="0" w:color="auto"/>
      </w:divBdr>
    </w:div>
    <w:div w:id="1709380212">
      <w:bodyDiv w:val="1"/>
      <w:marLeft w:val="0"/>
      <w:marRight w:val="0"/>
      <w:marTop w:val="0"/>
      <w:marBottom w:val="0"/>
      <w:divBdr>
        <w:top w:val="none" w:sz="0" w:space="0" w:color="auto"/>
        <w:left w:val="none" w:sz="0" w:space="0" w:color="auto"/>
        <w:bottom w:val="none" w:sz="0" w:space="0" w:color="auto"/>
        <w:right w:val="none" w:sz="0" w:space="0" w:color="auto"/>
      </w:divBdr>
    </w:div>
    <w:div w:id="1711373080">
      <w:bodyDiv w:val="1"/>
      <w:marLeft w:val="0"/>
      <w:marRight w:val="0"/>
      <w:marTop w:val="0"/>
      <w:marBottom w:val="0"/>
      <w:divBdr>
        <w:top w:val="none" w:sz="0" w:space="0" w:color="auto"/>
        <w:left w:val="none" w:sz="0" w:space="0" w:color="auto"/>
        <w:bottom w:val="none" w:sz="0" w:space="0" w:color="auto"/>
        <w:right w:val="none" w:sz="0" w:space="0" w:color="auto"/>
      </w:divBdr>
    </w:div>
    <w:div w:id="1736850538">
      <w:bodyDiv w:val="1"/>
      <w:marLeft w:val="0"/>
      <w:marRight w:val="0"/>
      <w:marTop w:val="0"/>
      <w:marBottom w:val="0"/>
      <w:divBdr>
        <w:top w:val="none" w:sz="0" w:space="0" w:color="auto"/>
        <w:left w:val="none" w:sz="0" w:space="0" w:color="auto"/>
        <w:bottom w:val="none" w:sz="0" w:space="0" w:color="auto"/>
        <w:right w:val="none" w:sz="0" w:space="0" w:color="auto"/>
      </w:divBdr>
    </w:div>
    <w:div w:id="1758676780">
      <w:bodyDiv w:val="1"/>
      <w:marLeft w:val="0"/>
      <w:marRight w:val="0"/>
      <w:marTop w:val="0"/>
      <w:marBottom w:val="0"/>
      <w:divBdr>
        <w:top w:val="none" w:sz="0" w:space="0" w:color="auto"/>
        <w:left w:val="none" w:sz="0" w:space="0" w:color="auto"/>
        <w:bottom w:val="none" w:sz="0" w:space="0" w:color="auto"/>
        <w:right w:val="none" w:sz="0" w:space="0" w:color="auto"/>
      </w:divBdr>
    </w:div>
    <w:div w:id="1763641297">
      <w:bodyDiv w:val="1"/>
      <w:marLeft w:val="0"/>
      <w:marRight w:val="0"/>
      <w:marTop w:val="0"/>
      <w:marBottom w:val="0"/>
      <w:divBdr>
        <w:top w:val="none" w:sz="0" w:space="0" w:color="auto"/>
        <w:left w:val="none" w:sz="0" w:space="0" w:color="auto"/>
        <w:bottom w:val="none" w:sz="0" w:space="0" w:color="auto"/>
        <w:right w:val="none" w:sz="0" w:space="0" w:color="auto"/>
      </w:divBdr>
    </w:div>
    <w:div w:id="1764105974">
      <w:bodyDiv w:val="1"/>
      <w:marLeft w:val="0"/>
      <w:marRight w:val="0"/>
      <w:marTop w:val="0"/>
      <w:marBottom w:val="0"/>
      <w:divBdr>
        <w:top w:val="none" w:sz="0" w:space="0" w:color="auto"/>
        <w:left w:val="none" w:sz="0" w:space="0" w:color="auto"/>
        <w:bottom w:val="none" w:sz="0" w:space="0" w:color="auto"/>
        <w:right w:val="none" w:sz="0" w:space="0" w:color="auto"/>
      </w:divBdr>
    </w:div>
    <w:div w:id="1765035815">
      <w:bodyDiv w:val="1"/>
      <w:marLeft w:val="0"/>
      <w:marRight w:val="0"/>
      <w:marTop w:val="0"/>
      <w:marBottom w:val="0"/>
      <w:divBdr>
        <w:top w:val="none" w:sz="0" w:space="0" w:color="auto"/>
        <w:left w:val="none" w:sz="0" w:space="0" w:color="auto"/>
        <w:bottom w:val="none" w:sz="0" w:space="0" w:color="auto"/>
        <w:right w:val="none" w:sz="0" w:space="0" w:color="auto"/>
      </w:divBdr>
    </w:div>
    <w:div w:id="1773361006">
      <w:bodyDiv w:val="1"/>
      <w:marLeft w:val="0"/>
      <w:marRight w:val="0"/>
      <w:marTop w:val="0"/>
      <w:marBottom w:val="0"/>
      <w:divBdr>
        <w:top w:val="none" w:sz="0" w:space="0" w:color="auto"/>
        <w:left w:val="none" w:sz="0" w:space="0" w:color="auto"/>
        <w:bottom w:val="none" w:sz="0" w:space="0" w:color="auto"/>
        <w:right w:val="none" w:sz="0" w:space="0" w:color="auto"/>
      </w:divBdr>
    </w:div>
    <w:div w:id="1801417677">
      <w:bodyDiv w:val="1"/>
      <w:marLeft w:val="0"/>
      <w:marRight w:val="0"/>
      <w:marTop w:val="0"/>
      <w:marBottom w:val="0"/>
      <w:divBdr>
        <w:top w:val="none" w:sz="0" w:space="0" w:color="auto"/>
        <w:left w:val="none" w:sz="0" w:space="0" w:color="auto"/>
        <w:bottom w:val="none" w:sz="0" w:space="0" w:color="auto"/>
        <w:right w:val="none" w:sz="0" w:space="0" w:color="auto"/>
      </w:divBdr>
    </w:div>
    <w:div w:id="1806387749">
      <w:bodyDiv w:val="1"/>
      <w:marLeft w:val="0"/>
      <w:marRight w:val="0"/>
      <w:marTop w:val="0"/>
      <w:marBottom w:val="0"/>
      <w:divBdr>
        <w:top w:val="none" w:sz="0" w:space="0" w:color="auto"/>
        <w:left w:val="none" w:sz="0" w:space="0" w:color="auto"/>
        <w:bottom w:val="none" w:sz="0" w:space="0" w:color="auto"/>
        <w:right w:val="none" w:sz="0" w:space="0" w:color="auto"/>
      </w:divBdr>
    </w:div>
    <w:div w:id="1820684846">
      <w:bodyDiv w:val="1"/>
      <w:marLeft w:val="0"/>
      <w:marRight w:val="0"/>
      <w:marTop w:val="0"/>
      <w:marBottom w:val="0"/>
      <w:divBdr>
        <w:top w:val="none" w:sz="0" w:space="0" w:color="auto"/>
        <w:left w:val="none" w:sz="0" w:space="0" w:color="auto"/>
        <w:bottom w:val="none" w:sz="0" w:space="0" w:color="auto"/>
        <w:right w:val="none" w:sz="0" w:space="0" w:color="auto"/>
      </w:divBdr>
    </w:div>
    <w:div w:id="1837072335">
      <w:bodyDiv w:val="1"/>
      <w:marLeft w:val="0"/>
      <w:marRight w:val="0"/>
      <w:marTop w:val="0"/>
      <w:marBottom w:val="0"/>
      <w:divBdr>
        <w:top w:val="none" w:sz="0" w:space="0" w:color="auto"/>
        <w:left w:val="none" w:sz="0" w:space="0" w:color="auto"/>
        <w:bottom w:val="none" w:sz="0" w:space="0" w:color="auto"/>
        <w:right w:val="none" w:sz="0" w:space="0" w:color="auto"/>
      </w:divBdr>
    </w:div>
    <w:div w:id="1848597068">
      <w:bodyDiv w:val="1"/>
      <w:marLeft w:val="0"/>
      <w:marRight w:val="0"/>
      <w:marTop w:val="0"/>
      <w:marBottom w:val="0"/>
      <w:divBdr>
        <w:top w:val="none" w:sz="0" w:space="0" w:color="auto"/>
        <w:left w:val="none" w:sz="0" w:space="0" w:color="auto"/>
        <w:bottom w:val="none" w:sz="0" w:space="0" w:color="auto"/>
        <w:right w:val="none" w:sz="0" w:space="0" w:color="auto"/>
      </w:divBdr>
    </w:div>
    <w:div w:id="1849833980">
      <w:bodyDiv w:val="1"/>
      <w:marLeft w:val="0"/>
      <w:marRight w:val="0"/>
      <w:marTop w:val="0"/>
      <w:marBottom w:val="0"/>
      <w:divBdr>
        <w:top w:val="none" w:sz="0" w:space="0" w:color="auto"/>
        <w:left w:val="none" w:sz="0" w:space="0" w:color="auto"/>
        <w:bottom w:val="none" w:sz="0" w:space="0" w:color="auto"/>
        <w:right w:val="none" w:sz="0" w:space="0" w:color="auto"/>
      </w:divBdr>
    </w:div>
    <w:div w:id="1850177980">
      <w:bodyDiv w:val="1"/>
      <w:marLeft w:val="0"/>
      <w:marRight w:val="0"/>
      <w:marTop w:val="0"/>
      <w:marBottom w:val="0"/>
      <w:divBdr>
        <w:top w:val="none" w:sz="0" w:space="0" w:color="auto"/>
        <w:left w:val="none" w:sz="0" w:space="0" w:color="auto"/>
        <w:bottom w:val="none" w:sz="0" w:space="0" w:color="auto"/>
        <w:right w:val="none" w:sz="0" w:space="0" w:color="auto"/>
      </w:divBdr>
    </w:div>
    <w:div w:id="1881627455">
      <w:bodyDiv w:val="1"/>
      <w:marLeft w:val="0"/>
      <w:marRight w:val="0"/>
      <w:marTop w:val="0"/>
      <w:marBottom w:val="0"/>
      <w:divBdr>
        <w:top w:val="none" w:sz="0" w:space="0" w:color="auto"/>
        <w:left w:val="none" w:sz="0" w:space="0" w:color="auto"/>
        <w:bottom w:val="none" w:sz="0" w:space="0" w:color="auto"/>
        <w:right w:val="none" w:sz="0" w:space="0" w:color="auto"/>
      </w:divBdr>
    </w:div>
    <w:div w:id="1905294963">
      <w:bodyDiv w:val="1"/>
      <w:marLeft w:val="0"/>
      <w:marRight w:val="0"/>
      <w:marTop w:val="0"/>
      <w:marBottom w:val="0"/>
      <w:divBdr>
        <w:top w:val="none" w:sz="0" w:space="0" w:color="auto"/>
        <w:left w:val="none" w:sz="0" w:space="0" w:color="auto"/>
        <w:bottom w:val="none" w:sz="0" w:space="0" w:color="auto"/>
        <w:right w:val="none" w:sz="0" w:space="0" w:color="auto"/>
      </w:divBdr>
    </w:div>
    <w:div w:id="1910340937">
      <w:bodyDiv w:val="1"/>
      <w:marLeft w:val="0"/>
      <w:marRight w:val="0"/>
      <w:marTop w:val="0"/>
      <w:marBottom w:val="0"/>
      <w:divBdr>
        <w:top w:val="none" w:sz="0" w:space="0" w:color="auto"/>
        <w:left w:val="none" w:sz="0" w:space="0" w:color="auto"/>
        <w:bottom w:val="none" w:sz="0" w:space="0" w:color="auto"/>
        <w:right w:val="none" w:sz="0" w:space="0" w:color="auto"/>
      </w:divBdr>
    </w:div>
    <w:div w:id="1934700502">
      <w:bodyDiv w:val="1"/>
      <w:marLeft w:val="0"/>
      <w:marRight w:val="0"/>
      <w:marTop w:val="0"/>
      <w:marBottom w:val="0"/>
      <w:divBdr>
        <w:top w:val="none" w:sz="0" w:space="0" w:color="auto"/>
        <w:left w:val="none" w:sz="0" w:space="0" w:color="auto"/>
        <w:bottom w:val="none" w:sz="0" w:space="0" w:color="auto"/>
        <w:right w:val="none" w:sz="0" w:space="0" w:color="auto"/>
      </w:divBdr>
    </w:div>
    <w:div w:id="1941529174">
      <w:bodyDiv w:val="1"/>
      <w:marLeft w:val="0"/>
      <w:marRight w:val="0"/>
      <w:marTop w:val="0"/>
      <w:marBottom w:val="0"/>
      <w:divBdr>
        <w:top w:val="none" w:sz="0" w:space="0" w:color="auto"/>
        <w:left w:val="none" w:sz="0" w:space="0" w:color="auto"/>
        <w:bottom w:val="none" w:sz="0" w:space="0" w:color="auto"/>
        <w:right w:val="none" w:sz="0" w:space="0" w:color="auto"/>
      </w:divBdr>
    </w:div>
    <w:div w:id="1944528826">
      <w:bodyDiv w:val="1"/>
      <w:marLeft w:val="0"/>
      <w:marRight w:val="0"/>
      <w:marTop w:val="0"/>
      <w:marBottom w:val="0"/>
      <w:divBdr>
        <w:top w:val="none" w:sz="0" w:space="0" w:color="auto"/>
        <w:left w:val="none" w:sz="0" w:space="0" w:color="auto"/>
        <w:bottom w:val="none" w:sz="0" w:space="0" w:color="auto"/>
        <w:right w:val="none" w:sz="0" w:space="0" w:color="auto"/>
      </w:divBdr>
    </w:div>
    <w:div w:id="1944799262">
      <w:bodyDiv w:val="1"/>
      <w:marLeft w:val="0"/>
      <w:marRight w:val="0"/>
      <w:marTop w:val="0"/>
      <w:marBottom w:val="0"/>
      <w:divBdr>
        <w:top w:val="none" w:sz="0" w:space="0" w:color="auto"/>
        <w:left w:val="none" w:sz="0" w:space="0" w:color="auto"/>
        <w:bottom w:val="none" w:sz="0" w:space="0" w:color="auto"/>
        <w:right w:val="none" w:sz="0" w:space="0" w:color="auto"/>
      </w:divBdr>
    </w:div>
    <w:div w:id="1958563192">
      <w:bodyDiv w:val="1"/>
      <w:marLeft w:val="0"/>
      <w:marRight w:val="0"/>
      <w:marTop w:val="0"/>
      <w:marBottom w:val="0"/>
      <w:divBdr>
        <w:top w:val="none" w:sz="0" w:space="0" w:color="auto"/>
        <w:left w:val="none" w:sz="0" w:space="0" w:color="auto"/>
        <w:bottom w:val="none" w:sz="0" w:space="0" w:color="auto"/>
        <w:right w:val="none" w:sz="0" w:space="0" w:color="auto"/>
      </w:divBdr>
    </w:div>
    <w:div w:id="1958563916">
      <w:bodyDiv w:val="1"/>
      <w:marLeft w:val="0"/>
      <w:marRight w:val="0"/>
      <w:marTop w:val="0"/>
      <w:marBottom w:val="0"/>
      <w:divBdr>
        <w:top w:val="none" w:sz="0" w:space="0" w:color="auto"/>
        <w:left w:val="none" w:sz="0" w:space="0" w:color="auto"/>
        <w:bottom w:val="none" w:sz="0" w:space="0" w:color="auto"/>
        <w:right w:val="none" w:sz="0" w:space="0" w:color="auto"/>
      </w:divBdr>
    </w:div>
    <w:div w:id="1966888307">
      <w:bodyDiv w:val="1"/>
      <w:marLeft w:val="0"/>
      <w:marRight w:val="0"/>
      <w:marTop w:val="0"/>
      <w:marBottom w:val="0"/>
      <w:divBdr>
        <w:top w:val="none" w:sz="0" w:space="0" w:color="auto"/>
        <w:left w:val="none" w:sz="0" w:space="0" w:color="auto"/>
        <w:bottom w:val="none" w:sz="0" w:space="0" w:color="auto"/>
        <w:right w:val="none" w:sz="0" w:space="0" w:color="auto"/>
      </w:divBdr>
    </w:div>
    <w:div w:id="1983075477">
      <w:bodyDiv w:val="1"/>
      <w:marLeft w:val="0"/>
      <w:marRight w:val="0"/>
      <w:marTop w:val="0"/>
      <w:marBottom w:val="0"/>
      <w:divBdr>
        <w:top w:val="none" w:sz="0" w:space="0" w:color="auto"/>
        <w:left w:val="none" w:sz="0" w:space="0" w:color="auto"/>
        <w:bottom w:val="none" w:sz="0" w:space="0" w:color="auto"/>
        <w:right w:val="none" w:sz="0" w:space="0" w:color="auto"/>
      </w:divBdr>
    </w:div>
    <w:div w:id="1998878394">
      <w:bodyDiv w:val="1"/>
      <w:marLeft w:val="0"/>
      <w:marRight w:val="0"/>
      <w:marTop w:val="0"/>
      <w:marBottom w:val="0"/>
      <w:divBdr>
        <w:top w:val="none" w:sz="0" w:space="0" w:color="auto"/>
        <w:left w:val="none" w:sz="0" w:space="0" w:color="auto"/>
        <w:bottom w:val="none" w:sz="0" w:space="0" w:color="auto"/>
        <w:right w:val="none" w:sz="0" w:space="0" w:color="auto"/>
      </w:divBdr>
    </w:div>
    <w:div w:id="1999722813">
      <w:bodyDiv w:val="1"/>
      <w:marLeft w:val="0"/>
      <w:marRight w:val="0"/>
      <w:marTop w:val="0"/>
      <w:marBottom w:val="0"/>
      <w:divBdr>
        <w:top w:val="none" w:sz="0" w:space="0" w:color="auto"/>
        <w:left w:val="none" w:sz="0" w:space="0" w:color="auto"/>
        <w:bottom w:val="none" w:sz="0" w:space="0" w:color="auto"/>
        <w:right w:val="none" w:sz="0" w:space="0" w:color="auto"/>
      </w:divBdr>
    </w:div>
    <w:div w:id="2035962721">
      <w:bodyDiv w:val="1"/>
      <w:marLeft w:val="0"/>
      <w:marRight w:val="0"/>
      <w:marTop w:val="0"/>
      <w:marBottom w:val="0"/>
      <w:divBdr>
        <w:top w:val="none" w:sz="0" w:space="0" w:color="auto"/>
        <w:left w:val="none" w:sz="0" w:space="0" w:color="auto"/>
        <w:bottom w:val="none" w:sz="0" w:space="0" w:color="auto"/>
        <w:right w:val="none" w:sz="0" w:space="0" w:color="auto"/>
      </w:divBdr>
    </w:div>
    <w:div w:id="2037463261">
      <w:bodyDiv w:val="1"/>
      <w:marLeft w:val="0"/>
      <w:marRight w:val="0"/>
      <w:marTop w:val="0"/>
      <w:marBottom w:val="0"/>
      <w:divBdr>
        <w:top w:val="none" w:sz="0" w:space="0" w:color="auto"/>
        <w:left w:val="none" w:sz="0" w:space="0" w:color="auto"/>
        <w:bottom w:val="none" w:sz="0" w:space="0" w:color="auto"/>
        <w:right w:val="none" w:sz="0" w:space="0" w:color="auto"/>
      </w:divBdr>
    </w:div>
    <w:div w:id="2047101391">
      <w:bodyDiv w:val="1"/>
      <w:marLeft w:val="0"/>
      <w:marRight w:val="0"/>
      <w:marTop w:val="0"/>
      <w:marBottom w:val="0"/>
      <w:divBdr>
        <w:top w:val="none" w:sz="0" w:space="0" w:color="auto"/>
        <w:left w:val="none" w:sz="0" w:space="0" w:color="auto"/>
        <w:bottom w:val="none" w:sz="0" w:space="0" w:color="auto"/>
        <w:right w:val="none" w:sz="0" w:space="0" w:color="auto"/>
      </w:divBdr>
    </w:div>
    <w:div w:id="2063166018">
      <w:bodyDiv w:val="1"/>
      <w:marLeft w:val="0"/>
      <w:marRight w:val="0"/>
      <w:marTop w:val="0"/>
      <w:marBottom w:val="0"/>
      <w:divBdr>
        <w:top w:val="none" w:sz="0" w:space="0" w:color="auto"/>
        <w:left w:val="none" w:sz="0" w:space="0" w:color="auto"/>
        <w:bottom w:val="none" w:sz="0" w:space="0" w:color="auto"/>
        <w:right w:val="none" w:sz="0" w:space="0" w:color="auto"/>
      </w:divBdr>
    </w:div>
    <w:div w:id="2082284948">
      <w:bodyDiv w:val="1"/>
      <w:marLeft w:val="0"/>
      <w:marRight w:val="0"/>
      <w:marTop w:val="0"/>
      <w:marBottom w:val="0"/>
      <w:divBdr>
        <w:top w:val="none" w:sz="0" w:space="0" w:color="auto"/>
        <w:left w:val="none" w:sz="0" w:space="0" w:color="auto"/>
        <w:bottom w:val="none" w:sz="0" w:space="0" w:color="auto"/>
        <w:right w:val="none" w:sz="0" w:space="0" w:color="auto"/>
      </w:divBdr>
    </w:div>
    <w:div w:id="2082940411">
      <w:bodyDiv w:val="1"/>
      <w:marLeft w:val="0"/>
      <w:marRight w:val="0"/>
      <w:marTop w:val="0"/>
      <w:marBottom w:val="0"/>
      <w:divBdr>
        <w:top w:val="none" w:sz="0" w:space="0" w:color="auto"/>
        <w:left w:val="none" w:sz="0" w:space="0" w:color="auto"/>
        <w:bottom w:val="none" w:sz="0" w:space="0" w:color="auto"/>
        <w:right w:val="none" w:sz="0" w:space="0" w:color="auto"/>
      </w:divBdr>
    </w:div>
    <w:div w:id="2087801710">
      <w:bodyDiv w:val="1"/>
      <w:marLeft w:val="0"/>
      <w:marRight w:val="0"/>
      <w:marTop w:val="0"/>
      <w:marBottom w:val="0"/>
      <w:divBdr>
        <w:top w:val="none" w:sz="0" w:space="0" w:color="auto"/>
        <w:left w:val="none" w:sz="0" w:space="0" w:color="auto"/>
        <w:bottom w:val="none" w:sz="0" w:space="0" w:color="auto"/>
        <w:right w:val="none" w:sz="0" w:space="0" w:color="auto"/>
      </w:divBdr>
    </w:div>
    <w:div w:id="2088378234">
      <w:bodyDiv w:val="1"/>
      <w:marLeft w:val="0"/>
      <w:marRight w:val="0"/>
      <w:marTop w:val="0"/>
      <w:marBottom w:val="0"/>
      <w:divBdr>
        <w:top w:val="none" w:sz="0" w:space="0" w:color="auto"/>
        <w:left w:val="none" w:sz="0" w:space="0" w:color="auto"/>
        <w:bottom w:val="none" w:sz="0" w:space="0" w:color="auto"/>
        <w:right w:val="none" w:sz="0" w:space="0" w:color="auto"/>
      </w:divBdr>
    </w:div>
    <w:div w:id="2109353771">
      <w:bodyDiv w:val="1"/>
      <w:marLeft w:val="0"/>
      <w:marRight w:val="0"/>
      <w:marTop w:val="0"/>
      <w:marBottom w:val="0"/>
      <w:divBdr>
        <w:top w:val="none" w:sz="0" w:space="0" w:color="auto"/>
        <w:left w:val="none" w:sz="0" w:space="0" w:color="auto"/>
        <w:bottom w:val="none" w:sz="0" w:space="0" w:color="auto"/>
        <w:right w:val="none" w:sz="0" w:space="0" w:color="auto"/>
      </w:divBdr>
    </w:div>
    <w:div w:id="2121951048">
      <w:bodyDiv w:val="1"/>
      <w:marLeft w:val="0"/>
      <w:marRight w:val="0"/>
      <w:marTop w:val="0"/>
      <w:marBottom w:val="0"/>
      <w:divBdr>
        <w:top w:val="none" w:sz="0" w:space="0" w:color="auto"/>
        <w:left w:val="none" w:sz="0" w:space="0" w:color="auto"/>
        <w:bottom w:val="none" w:sz="0" w:space="0" w:color="auto"/>
        <w:right w:val="none" w:sz="0" w:space="0" w:color="auto"/>
      </w:divBdr>
    </w:div>
    <w:div w:id="21292781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about:blank" TargetMode="External"/><Relationship Id="rId26" Type="http://schemas.openxmlformats.org/officeDocument/2006/relationships/hyperlink" Target="about:blank" TargetMode="External"/><Relationship Id="rId3" Type="http://schemas.openxmlformats.org/officeDocument/2006/relationships/numbering" Target="numbering.xml"/><Relationship Id="rId21" Type="http://schemas.openxmlformats.org/officeDocument/2006/relationships/hyperlink" Target="about:blank"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about:blank" TargetMode="External"/><Relationship Id="rId25" Type="http://schemas.openxmlformats.org/officeDocument/2006/relationships/hyperlink" Target="about:blank" TargetMode="External"/><Relationship Id="rId2" Type="http://schemas.openxmlformats.org/officeDocument/2006/relationships/customXml" Target="../customXml/item1.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about:blank" TargetMode="External"/><Relationship Id="rId5" Type="http://schemas.microsoft.com/office/2007/relationships/stylesWithEffects" Target="stylesWithEffect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theme" Target="theme/theme1.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466A43B-79F8-0044-B37B-FD40F1C543F5}">
  <we:reference id="8c1c3d44-57e9-40d7-86e4-4adf61fea1dd" version="1.0.0.1" store="EXCatalog" storeType="EXCatalog"/>
  <we:alternateReferences>
    <we:reference id="WA104380122" version="1.0.0.1" store="en-GB" storeType="OMEX"/>
  </we:alternateReferences>
  <we:properties>
    <we:property name="RCMUserId" value="&quot;14072&quot;"/>
    <we:property name="contentControlsValues" value="&quot;{\&quot;cit:1765957581\&quot;:\&quot;&lt;sup&gt;1&lt;/sup&gt;\&quot;,\&quot;cit:2043092482\&quot;:\&quot;&lt;p align='center' style='line-height: 2;'&gt;References&lt;/p&gt;\\n&lt;p style='line-height: 2;'&gt;1.&amp;nbsp;&amp;nbsp;&amp;nbsp;&amp;nbsp;&amp;nbsp;Public Health England. Reports of cases of tuberculosis to enhanced tuberculosis surveillance systems: UK. 2000 to 2017. 2018; .&lt;/p&gt;\\n\&quot;}&quot;"/>
    <we:property name="RCMSubscriberId" value="&quot;3055&quot;"/>
    <we:property name="citationStyle" value="&quot;{\&quot;id\&quot;:\&quot;212\&quot;,\&quot;name\&quot;:\&quot;Lancet\&quot;,\&quot;isInstitutional\&quot;:false,\&quot;$$hashKey\&quot;:\&quot;object:2014\&quot;}&quot;"/>
    <we:property name="biblioId" value="2043092482"/>
    <we:property name="optionsValues" value="&quot;{\&quot;160&amp;1765957581\&quot;:{\&quot;id\&quot;:\&quot;160\&quot;,\&quot;projectId\&quot;:null,\&quot;pageReplace\&quot;:\&quot;\&quot;,\&quot;author\&quot;:true,\&quot;year\&quot;:true,\&quot;prefix\&quot;:\&quot;\&quot;,\&quot;suffix\&quot;:\&quot;\&quot;}}&quot;"/>
    <we:property name="cit:1765957581" value="&quot;{\&quot;docs\&quot;:[{\&quot;id\&quot;:\&quot;160\&quot;,\&quot;projectId\&quot;:null,\&quot;pageReplace\&quot;:\&quot;\&quot;,\&quot;author\&quot;:true,\&quot;year\&quot;:true,\&quot;prefix\&quot;:\&quot;\&quot;,\&quot;suffix\&quot;:\&quot;\&quot;}],\&quot;position\&quot;:\&quot;body\&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549B8-4E3E-4D3B-BBB7-7ABF5C87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12822</Words>
  <Characters>73090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References</vt:lpstr>
    </vt:vector>
  </TitlesOfParts>
  <Company>UHL</Company>
  <LinksUpToDate>false</LinksUpToDate>
  <CharactersWithSpaces>85741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creator>Helena White</dc:creator>
  <cp:lastModifiedBy>White Helena - Consultant</cp:lastModifiedBy>
  <cp:revision>3</cp:revision>
  <cp:lastPrinted>2021-06-28T16:08:00Z</cp:lastPrinted>
  <dcterms:created xsi:type="dcterms:W3CDTF">2022-06-01T20:43:00Z</dcterms:created>
  <dcterms:modified xsi:type="dcterms:W3CDTF">2022-06-01T20:46:00Z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14072</vt:lpwstr>
  </property>
  <property fmtid="{D5CDD505-2E9C-101B-9397-08002B2CF9AE}" pid="3" name="WnCSubscriberId">
    <vt:lpwstr>3055</vt:lpwstr>
  </property>
  <property fmtid="{D5CDD505-2E9C-101B-9397-08002B2CF9AE}" pid="4" name="WnCOutputStyleId">
    <vt:lpwstr>219</vt:lpwstr>
  </property>
  <property fmtid="{D5CDD505-2E9C-101B-9397-08002B2CF9AE}" pid="5" name="RWProductId">
    <vt:lpwstr>WnC</vt:lpwstr>
  </property>
  <property fmtid="{D5CDD505-2E9C-101B-9397-08002B2CF9AE}" pid="6" name="WnCUser">
    <vt:lpwstr>haw9@le.ac.uk_3055</vt:lpwstr>
  </property>
  <property fmtid="{D5CDD505-2E9C-101B-9397-08002B2CF9AE}" pid="7" name="WnC4Folder">
    <vt:lpwstr>Documents///IGRA writing</vt:lpwstr>
  </property>
</Properties>
</file>