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54185" w14:textId="301207AA" w:rsidR="00CE7A2D" w:rsidRPr="00A74983" w:rsidRDefault="000525E1" w:rsidP="00406C9C">
      <w:pPr>
        <w:jc w:val="center"/>
        <w:rPr>
          <w:rFonts w:ascii="Arial" w:hAnsi="Arial" w:cs="Arial"/>
          <w:b/>
          <w:bCs/>
          <w:sz w:val="32"/>
          <w:szCs w:val="32"/>
        </w:rPr>
      </w:pPr>
      <w:r w:rsidRPr="00A74983">
        <w:rPr>
          <w:rFonts w:ascii="Arial" w:hAnsi="Arial" w:cs="Arial"/>
          <w:b/>
          <w:bCs/>
          <w:sz w:val="32"/>
          <w:szCs w:val="32"/>
        </w:rPr>
        <w:t>Health</w:t>
      </w:r>
      <w:r w:rsidR="00DB2E60" w:rsidRPr="00A74983">
        <w:rPr>
          <w:rFonts w:ascii="Arial" w:hAnsi="Arial" w:cs="Arial"/>
          <w:b/>
          <w:bCs/>
          <w:sz w:val="32"/>
          <w:szCs w:val="32"/>
        </w:rPr>
        <w:t xml:space="preserve"> &amp; Disability</w:t>
      </w:r>
      <w:r w:rsidRPr="00A74983">
        <w:rPr>
          <w:rFonts w:ascii="Arial" w:hAnsi="Arial" w:cs="Arial"/>
          <w:b/>
          <w:bCs/>
          <w:sz w:val="32"/>
          <w:szCs w:val="32"/>
        </w:rPr>
        <w:t xml:space="preserve"> </w:t>
      </w:r>
      <w:r w:rsidR="00CE7A2D" w:rsidRPr="00A74983">
        <w:rPr>
          <w:rFonts w:ascii="Arial" w:hAnsi="Arial" w:cs="Arial"/>
          <w:b/>
          <w:bCs/>
          <w:sz w:val="32"/>
          <w:szCs w:val="32"/>
        </w:rPr>
        <w:t>in Leicester (Census 2021)</w:t>
      </w:r>
    </w:p>
    <w:p w14:paraId="5A144B07" w14:textId="72AC3CEE" w:rsidR="20AECC46" w:rsidRPr="00A74983" w:rsidRDefault="20AECC46" w:rsidP="20AECC46">
      <w:pPr>
        <w:jc w:val="center"/>
        <w:rPr>
          <w:rFonts w:ascii="Arial" w:hAnsi="Arial" w:cs="Arial"/>
          <w:b/>
          <w:bCs/>
          <w:sz w:val="32"/>
          <w:szCs w:val="32"/>
        </w:rPr>
      </w:pPr>
    </w:p>
    <w:p w14:paraId="659AE672" w14:textId="1EF69EDE" w:rsidR="6274B193" w:rsidRPr="00A74983" w:rsidRDefault="573598D8" w:rsidP="3556A40E">
      <w:pPr>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Table of Contents:</w:t>
      </w:r>
    </w:p>
    <w:p w14:paraId="52F2716F" w14:textId="763F4687" w:rsidR="6274B193" w:rsidRPr="00A74983" w:rsidRDefault="573598D8" w:rsidP="3556A40E">
      <w:pPr>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1. Introduction.....................................................................................2</w:t>
      </w:r>
    </w:p>
    <w:p w14:paraId="5C9BA7F4" w14:textId="285187E5" w:rsidR="6274B193" w:rsidRPr="00A74983" w:rsidRDefault="19BF8436" w:rsidP="3556A40E">
      <w:pPr>
        <w:ind w:firstLine="720"/>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1.1 Highlights............................................................................</w:t>
      </w:r>
      <w:r w:rsidR="55129004" w:rsidRPr="00A74983">
        <w:rPr>
          <w:rFonts w:ascii="Arial" w:eastAsia="Arial" w:hAnsi="Arial" w:cs="Arial"/>
          <w:b/>
          <w:bCs/>
          <w:color w:val="000000" w:themeColor="text1"/>
          <w:sz w:val="28"/>
          <w:szCs w:val="28"/>
        </w:rPr>
        <w:t>.</w:t>
      </w:r>
      <w:r w:rsidR="478540F8" w:rsidRPr="00A74983">
        <w:rPr>
          <w:rFonts w:ascii="Arial" w:eastAsia="Arial" w:hAnsi="Arial" w:cs="Arial"/>
          <w:b/>
          <w:bCs/>
          <w:color w:val="000000" w:themeColor="text1"/>
          <w:sz w:val="28"/>
          <w:szCs w:val="28"/>
        </w:rPr>
        <w:t>3</w:t>
      </w:r>
    </w:p>
    <w:p w14:paraId="48FBD57C" w14:textId="473D3B0B" w:rsidR="6274B193" w:rsidRPr="00A74983" w:rsidRDefault="6274B193" w:rsidP="3556A40E">
      <w:pPr>
        <w:rPr>
          <w:rFonts w:ascii="Arial" w:eastAsia="Arial" w:hAnsi="Arial" w:cs="Arial"/>
          <w:color w:val="000000" w:themeColor="text1"/>
          <w:sz w:val="28"/>
          <w:szCs w:val="28"/>
        </w:rPr>
      </w:pPr>
    </w:p>
    <w:p w14:paraId="0D7794BB" w14:textId="61D4F97E" w:rsidR="573598D8" w:rsidRPr="00A74983" w:rsidRDefault="573598D8" w:rsidP="68375E0D">
      <w:pPr>
        <w:rPr>
          <w:rFonts w:ascii="Arial" w:hAnsi="Arial" w:cs="Arial"/>
          <w:b/>
          <w:bCs/>
          <w:sz w:val="28"/>
          <w:szCs w:val="28"/>
        </w:rPr>
      </w:pPr>
      <w:r w:rsidRPr="00A74983">
        <w:rPr>
          <w:rFonts w:ascii="Arial" w:eastAsia="Arial" w:hAnsi="Arial" w:cs="Arial"/>
          <w:b/>
          <w:bCs/>
          <w:color w:val="000000" w:themeColor="text1"/>
          <w:sz w:val="28"/>
          <w:szCs w:val="28"/>
        </w:rPr>
        <w:t xml:space="preserve">2. </w:t>
      </w:r>
      <w:r w:rsidR="50BD6093" w:rsidRPr="00A74983">
        <w:rPr>
          <w:rFonts w:ascii="Arial" w:hAnsi="Arial" w:cs="Arial"/>
          <w:b/>
          <w:bCs/>
          <w:sz w:val="28"/>
          <w:szCs w:val="28"/>
        </w:rPr>
        <w:t>What Data Related to Health does the Census Collect?............</w:t>
      </w:r>
      <w:r w:rsidR="1D03E292" w:rsidRPr="00A74983">
        <w:rPr>
          <w:rFonts w:ascii="Arial" w:hAnsi="Arial" w:cs="Arial"/>
          <w:b/>
          <w:bCs/>
          <w:sz w:val="28"/>
          <w:szCs w:val="28"/>
        </w:rPr>
        <w:t>.</w:t>
      </w:r>
      <w:r w:rsidR="50BD6093" w:rsidRPr="00A74983">
        <w:rPr>
          <w:rFonts w:ascii="Arial" w:hAnsi="Arial" w:cs="Arial"/>
          <w:b/>
          <w:bCs/>
          <w:sz w:val="28"/>
          <w:szCs w:val="28"/>
        </w:rPr>
        <w:t>3</w:t>
      </w:r>
    </w:p>
    <w:p w14:paraId="28F29E0E" w14:textId="6DF1A648" w:rsidR="6274B193" w:rsidRPr="00A74983" w:rsidRDefault="1E074CC5" w:rsidP="3556A40E">
      <w:pPr>
        <w:ind w:firstLine="720"/>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 xml:space="preserve">2.1 </w:t>
      </w:r>
      <w:r w:rsidR="16A3195E" w:rsidRPr="00A74983">
        <w:rPr>
          <w:rFonts w:ascii="Arial" w:eastAsia="Arial" w:hAnsi="Arial" w:cs="Arial"/>
          <w:b/>
          <w:bCs/>
          <w:color w:val="000000" w:themeColor="text1"/>
          <w:sz w:val="28"/>
          <w:szCs w:val="28"/>
        </w:rPr>
        <w:t>General Health</w:t>
      </w:r>
      <w:r w:rsidR="36909121" w:rsidRPr="00A74983">
        <w:rPr>
          <w:rFonts w:ascii="Arial" w:eastAsia="Arial" w:hAnsi="Arial" w:cs="Arial"/>
          <w:b/>
          <w:bCs/>
          <w:color w:val="000000" w:themeColor="text1"/>
          <w:sz w:val="28"/>
          <w:szCs w:val="28"/>
        </w:rPr>
        <w:t xml:space="preserve"> </w:t>
      </w:r>
      <w:r w:rsidRPr="00A74983">
        <w:rPr>
          <w:rFonts w:ascii="Arial" w:eastAsia="Arial" w:hAnsi="Arial" w:cs="Arial"/>
          <w:b/>
          <w:bCs/>
          <w:color w:val="000000" w:themeColor="text1"/>
          <w:sz w:val="28"/>
          <w:szCs w:val="28"/>
        </w:rPr>
        <w:t>....................................................................3</w:t>
      </w:r>
    </w:p>
    <w:p w14:paraId="7ADD9FB5" w14:textId="4C9F55A3" w:rsidR="6274B193" w:rsidRPr="00A74983" w:rsidRDefault="0F2CD73A" w:rsidP="3556A40E">
      <w:pPr>
        <w:ind w:firstLine="720"/>
        <w:rPr>
          <w:rFonts w:ascii="Arial" w:eastAsia="Arial" w:hAnsi="Arial" w:cs="Arial"/>
          <w:b/>
          <w:color w:val="000000" w:themeColor="text1"/>
          <w:sz w:val="28"/>
          <w:szCs w:val="28"/>
        </w:rPr>
      </w:pPr>
      <w:r w:rsidRPr="00A74983">
        <w:rPr>
          <w:rFonts w:ascii="Arial" w:eastAsia="Arial" w:hAnsi="Arial" w:cs="Arial"/>
          <w:b/>
          <w:bCs/>
          <w:color w:val="000000" w:themeColor="text1"/>
          <w:sz w:val="28"/>
          <w:szCs w:val="28"/>
        </w:rPr>
        <w:t xml:space="preserve">2.2 </w:t>
      </w:r>
      <w:r w:rsidR="2E8C6899" w:rsidRPr="00A74983">
        <w:rPr>
          <w:rFonts w:ascii="Arial" w:eastAsia="Arial" w:hAnsi="Arial" w:cs="Arial"/>
          <w:b/>
          <w:bCs/>
          <w:color w:val="000000" w:themeColor="text1"/>
          <w:sz w:val="28"/>
          <w:szCs w:val="28"/>
        </w:rPr>
        <w:t>Disability</w:t>
      </w:r>
      <w:r w:rsidRPr="00A74983">
        <w:rPr>
          <w:rFonts w:ascii="Arial" w:eastAsia="Arial" w:hAnsi="Arial" w:cs="Arial"/>
          <w:b/>
          <w:bCs/>
          <w:color w:val="000000" w:themeColor="text1"/>
          <w:sz w:val="28"/>
          <w:szCs w:val="28"/>
        </w:rPr>
        <w:t>...................................................................</w:t>
      </w:r>
      <w:r w:rsidR="523E06C3" w:rsidRPr="00A74983">
        <w:rPr>
          <w:rFonts w:ascii="Arial" w:eastAsia="Arial" w:hAnsi="Arial" w:cs="Arial"/>
          <w:b/>
          <w:bCs/>
          <w:color w:val="000000" w:themeColor="text1"/>
          <w:sz w:val="28"/>
          <w:szCs w:val="28"/>
        </w:rPr>
        <w:t>...........</w:t>
      </w:r>
      <w:r w:rsidR="5EAE0FDE" w:rsidRPr="00A74983">
        <w:rPr>
          <w:rFonts w:ascii="Arial" w:eastAsia="Arial" w:hAnsi="Arial" w:cs="Arial"/>
          <w:b/>
          <w:bCs/>
          <w:color w:val="000000" w:themeColor="text1"/>
          <w:sz w:val="28"/>
          <w:szCs w:val="28"/>
        </w:rPr>
        <w:t>.</w:t>
      </w:r>
      <w:r w:rsidR="48BC125A" w:rsidRPr="00A74983">
        <w:rPr>
          <w:rFonts w:ascii="Arial" w:eastAsia="Arial" w:hAnsi="Arial" w:cs="Arial"/>
          <w:b/>
          <w:bCs/>
          <w:color w:val="000000" w:themeColor="text1"/>
          <w:sz w:val="28"/>
          <w:szCs w:val="28"/>
        </w:rPr>
        <w:t>9</w:t>
      </w:r>
    </w:p>
    <w:p w14:paraId="65748261" w14:textId="7FA5B1B4" w:rsidR="6274B193" w:rsidRPr="00A74983" w:rsidRDefault="1E074CC5" w:rsidP="3EF3ABB8">
      <w:pPr>
        <w:ind w:firstLine="720"/>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 xml:space="preserve">2.3 </w:t>
      </w:r>
      <w:r w:rsidR="4C0C3A35" w:rsidRPr="00A74983">
        <w:rPr>
          <w:rFonts w:ascii="Arial" w:eastAsia="Arial" w:hAnsi="Arial" w:cs="Arial"/>
          <w:b/>
          <w:bCs/>
          <w:color w:val="000000" w:themeColor="text1"/>
          <w:sz w:val="28"/>
          <w:szCs w:val="28"/>
        </w:rPr>
        <w:t>Unpaid Care</w:t>
      </w:r>
      <w:r w:rsidRPr="00A74983">
        <w:rPr>
          <w:rFonts w:ascii="Arial" w:eastAsia="Arial" w:hAnsi="Arial" w:cs="Arial"/>
          <w:b/>
          <w:bCs/>
          <w:color w:val="000000" w:themeColor="text1"/>
          <w:sz w:val="28"/>
          <w:szCs w:val="28"/>
        </w:rPr>
        <w:t>........................................................................</w:t>
      </w:r>
      <w:r w:rsidR="0F2CD73A" w:rsidRPr="00A74983">
        <w:rPr>
          <w:rFonts w:ascii="Arial" w:eastAsia="Arial" w:hAnsi="Arial" w:cs="Arial"/>
          <w:b/>
          <w:bCs/>
          <w:color w:val="000000" w:themeColor="text1"/>
          <w:sz w:val="28"/>
          <w:szCs w:val="28"/>
        </w:rPr>
        <w:t>1</w:t>
      </w:r>
      <w:r w:rsidR="4E623860" w:rsidRPr="00A74983">
        <w:rPr>
          <w:rFonts w:ascii="Arial" w:eastAsia="Arial" w:hAnsi="Arial" w:cs="Arial"/>
          <w:b/>
          <w:bCs/>
          <w:color w:val="000000" w:themeColor="text1"/>
          <w:sz w:val="28"/>
          <w:szCs w:val="28"/>
        </w:rPr>
        <w:t>4</w:t>
      </w:r>
    </w:p>
    <w:p w14:paraId="32B4429C" w14:textId="132BE974" w:rsidR="6274B193" w:rsidRPr="00A74983" w:rsidRDefault="573598D8" w:rsidP="3556A40E">
      <w:pPr>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3. Limitations &amp; Further information...............................................</w:t>
      </w:r>
      <w:r w:rsidR="1A75F63D" w:rsidRPr="00A74983">
        <w:rPr>
          <w:rFonts w:ascii="Arial" w:eastAsia="Arial" w:hAnsi="Arial" w:cs="Arial"/>
          <w:b/>
          <w:bCs/>
          <w:color w:val="000000" w:themeColor="text1"/>
          <w:sz w:val="28"/>
          <w:szCs w:val="28"/>
        </w:rPr>
        <w:t>1</w:t>
      </w:r>
      <w:r w:rsidR="19BF8436" w:rsidRPr="00A74983">
        <w:rPr>
          <w:rFonts w:ascii="Arial" w:eastAsia="Arial" w:hAnsi="Arial" w:cs="Arial"/>
          <w:b/>
          <w:bCs/>
          <w:color w:val="000000" w:themeColor="text1"/>
          <w:sz w:val="28"/>
          <w:szCs w:val="28"/>
        </w:rPr>
        <w:t>7</w:t>
      </w:r>
    </w:p>
    <w:p w14:paraId="310B83B9" w14:textId="5A34D2F2" w:rsidR="6274B193" w:rsidRPr="00A74983" w:rsidRDefault="573598D8" w:rsidP="3556A40E">
      <w:pPr>
        <w:rPr>
          <w:rFonts w:ascii="Arial" w:eastAsia="Arial" w:hAnsi="Arial" w:cs="Arial"/>
          <w:color w:val="000000" w:themeColor="text1"/>
          <w:sz w:val="28"/>
          <w:szCs w:val="28"/>
        </w:rPr>
      </w:pPr>
      <w:r w:rsidRPr="00A74983">
        <w:rPr>
          <w:rFonts w:ascii="Arial" w:eastAsia="Arial" w:hAnsi="Arial" w:cs="Arial"/>
          <w:b/>
          <w:bCs/>
          <w:color w:val="000000" w:themeColor="text1"/>
          <w:sz w:val="28"/>
          <w:szCs w:val="28"/>
        </w:rPr>
        <w:t>4. Useful links....................................................................................</w:t>
      </w:r>
      <w:r w:rsidR="1D7D7624" w:rsidRPr="00A74983">
        <w:rPr>
          <w:rFonts w:ascii="Arial" w:eastAsia="Arial" w:hAnsi="Arial" w:cs="Arial"/>
          <w:b/>
          <w:bCs/>
          <w:color w:val="000000" w:themeColor="text1"/>
          <w:sz w:val="28"/>
          <w:szCs w:val="28"/>
        </w:rPr>
        <w:t>1</w:t>
      </w:r>
      <w:r w:rsidR="19BF8436" w:rsidRPr="00A74983">
        <w:rPr>
          <w:rFonts w:ascii="Arial" w:eastAsia="Arial" w:hAnsi="Arial" w:cs="Arial"/>
          <w:b/>
          <w:bCs/>
          <w:color w:val="000000" w:themeColor="text1"/>
          <w:sz w:val="28"/>
          <w:szCs w:val="28"/>
        </w:rPr>
        <w:t>7</w:t>
      </w:r>
    </w:p>
    <w:p w14:paraId="6E614BAF" w14:textId="38A9B538" w:rsidR="641A0311" w:rsidRPr="00A74983" w:rsidRDefault="641A0311">
      <w:pPr>
        <w:rPr>
          <w:rFonts w:ascii="Arial" w:hAnsi="Arial" w:cs="Arial"/>
        </w:rPr>
      </w:pPr>
      <w:r w:rsidRPr="00A74983">
        <w:rPr>
          <w:rFonts w:ascii="Arial" w:hAnsi="Arial" w:cs="Arial"/>
        </w:rPr>
        <w:br w:type="page"/>
      </w:r>
    </w:p>
    <w:p w14:paraId="7330E613" w14:textId="0E6126F2" w:rsidR="6274B193" w:rsidRPr="00A74983" w:rsidRDefault="6274B193" w:rsidP="6274B193">
      <w:pPr>
        <w:rPr>
          <w:rFonts w:ascii="Arial" w:hAnsi="Arial" w:cs="Arial"/>
          <w:b/>
          <w:bCs/>
          <w:sz w:val="28"/>
          <w:szCs w:val="28"/>
        </w:rPr>
      </w:pPr>
    </w:p>
    <w:p w14:paraId="45B4E502" w14:textId="1DED9488" w:rsidR="00507B4A" w:rsidRPr="00A74983" w:rsidRDefault="00B3013D" w:rsidP="00786881">
      <w:pPr>
        <w:rPr>
          <w:rFonts w:ascii="Arial" w:hAnsi="Arial" w:cs="Arial"/>
          <w:b/>
          <w:bCs/>
          <w:sz w:val="28"/>
          <w:szCs w:val="28"/>
        </w:rPr>
      </w:pPr>
      <w:r w:rsidRPr="00A74983">
        <w:rPr>
          <w:rFonts w:ascii="Arial" w:hAnsi="Arial" w:cs="Arial"/>
          <w:b/>
          <w:bCs/>
          <w:sz w:val="28"/>
          <w:szCs w:val="28"/>
        </w:rPr>
        <w:t>Introduction</w:t>
      </w:r>
    </w:p>
    <w:p w14:paraId="338E74AB" w14:textId="5C16DDBB" w:rsidR="009C7BD7" w:rsidRPr="00A74983" w:rsidRDefault="009C7BD7" w:rsidP="00B57CBB">
      <w:pPr>
        <w:ind w:firstLine="720"/>
        <w:rPr>
          <w:rFonts w:ascii="Arial" w:hAnsi="Arial" w:cs="Arial"/>
          <w:sz w:val="24"/>
          <w:szCs w:val="24"/>
        </w:rPr>
      </w:pPr>
      <w:bookmarkStart w:id="0" w:name="_Hlk122193428"/>
      <w:r w:rsidRPr="00A74983">
        <w:rPr>
          <w:rFonts w:ascii="Arial" w:hAnsi="Arial" w:cs="Arial"/>
          <w:sz w:val="24"/>
          <w:szCs w:val="24"/>
        </w:rPr>
        <w:t xml:space="preserve">The Office for National Statistics </w:t>
      </w:r>
      <w:r w:rsidR="00303B2F" w:rsidRPr="00A74983">
        <w:rPr>
          <w:rFonts w:ascii="Arial" w:hAnsi="Arial" w:cs="Arial"/>
          <w:sz w:val="24"/>
          <w:szCs w:val="24"/>
        </w:rPr>
        <w:t xml:space="preserve">(ONS) </w:t>
      </w:r>
      <w:r w:rsidRPr="00A74983">
        <w:rPr>
          <w:rFonts w:ascii="Arial" w:hAnsi="Arial" w:cs="Arial"/>
          <w:sz w:val="24"/>
          <w:szCs w:val="24"/>
        </w:rPr>
        <w:t>launched the Census 2021 survey on March 21, 2021</w:t>
      </w:r>
      <w:r w:rsidR="00303B2F" w:rsidRPr="00A74983">
        <w:rPr>
          <w:rFonts w:ascii="Arial" w:hAnsi="Arial" w:cs="Arial"/>
          <w:sz w:val="24"/>
          <w:szCs w:val="24"/>
        </w:rPr>
        <w:t>. Census 2021 had a</w:t>
      </w:r>
      <w:r w:rsidRPr="00A74983">
        <w:rPr>
          <w:rFonts w:ascii="Arial" w:hAnsi="Arial" w:cs="Arial"/>
          <w:sz w:val="24"/>
          <w:szCs w:val="24"/>
        </w:rPr>
        <w:t xml:space="preserve"> high response rate of 97</w:t>
      </w:r>
      <w:r w:rsidR="00303B2F" w:rsidRPr="00A74983">
        <w:rPr>
          <w:rFonts w:ascii="Arial" w:hAnsi="Arial" w:cs="Arial"/>
          <w:sz w:val="24"/>
          <w:szCs w:val="24"/>
        </w:rPr>
        <w:t>%</w:t>
      </w:r>
      <w:r w:rsidRPr="00A74983">
        <w:rPr>
          <w:rFonts w:ascii="Arial" w:hAnsi="Arial" w:cs="Arial"/>
          <w:sz w:val="24"/>
          <w:szCs w:val="24"/>
        </w:rPr>
        <w:t>, making it a reliable resource that provides a detailed understanding of the population</w:t>
      </w:r>
      <w:r w:rsidR="00303B2F" w:rsidRPr="00A74983">
        <w:rPr>
          <w:rFonts w:ascii="Arial" w:hAnsi="Arial" w:cs="Arial"/>
          <w:sz w:val="24"/>
          <w:szCs w:val="24"/>
        </w:rPr>
        <w:t xml:space="preserve"> of England and Wales</w:t>
      </w:r>
      <w:r w:rsidRPr="00A74983">
        <w:rPr>
          <w:rFonts w:ascii="Arial" w:hAnsi="Arial" w:cs="Arial"/>
          <w:sz w:val="24"/>
          <w:szCs w:val="24"/>
        </w:rPr>
        <w:t xml:space="preserve">. This information provides valuable insight into the characteristics of local authorities and information that can be used for governments and municipalities to develop policies, plan public services and more. </w:t>
      </w:r>
    </w:p>
    <w:p w14:paraId="552B424D" w14:textId="0674CBDF" w:rsidR="005B30CF" w:rsidRPr="00A74983" w:rsidRDefault="005B30CF" w:rsidP="005B30CF">
      <w:pPr>
        <w:pStyle w:val="NormalWeb"/>
        <w:rPr>
          <w:rFonts w:ascii="Arial" w:eastAsiaTheme="minorHAnsi" w:hAnsi="Arial" w:cs="Arial"/>
          <w:lang w:eastAsia="en-US"/>
        </w:rPr>
      </w:pPr>
      <w:r w:rsidRPr="00A74983">
        <w:rPr>
          <w:rFonts w:ascii="Arial" w:eastAsiaTheme="minorHAnsi" w:hAnsi="Arial" w:cs="Arial"/>
          <w:lang w:eastAsia="en-US"/>
        </w:rPr>
        <w:t xml:space="preserve">The Census 2021 results about health include data about people’s general health </w:t>
      </w:r>
      <w:r w:rsidR="00980015" w:rsidRPr="00A74983">
        <w:rPr>
          <w:rFonts w:ascii="Arial" w:eastAsiaTheme="minorHAnsi" w:hAnsi="Arial" w:cs="Arial"/>
          <w:lang w:eastAsia="en-US"/>
        </w:rPr>
        <w:t xml:space="preserve">and disability information </w:t>
      </w:r>
      <w:r w:rsidRPr="00A74983">
        <w:rPr>
          <w:rFonts w:ascii="Arial" w:eastAsiaTheme="minorHAnsi" w:hAnsi="Arial" w:cs="Arial"/>
          <w:lang w:eastAsia="en-US"/>
        </w:rPr>
        <w:t>across England and Wales.</w:t>
      </w:r>
      <w:r w:rsidR="00675F17" w:rsidRPr="00A74983">
        <w:rPr>
          <w:rFonts w:ascii="Arial" w:eastAsiaTheme="minorHAnsi" w:hAnsi="Arial" w:cs="Arial"/>
          <w:lang w:eastAsia="en-US"/>
        </w:rPr>
        <w:t xml:space="preserve"> </w:t>
      </w:r>
      <w:r w:rsidR="00155C94" w:rsidRPr="00A74983">
        <w:rPr>
          <w:rFonts w:ascii="Arial" w:eastAsiaTheme="minorHAnsi" w:hAnsi="Arial" w:cs="Arial"/>
          <w:lang w:eastAsia="en-US"/>
        </w:rPr>
        <w:t>Overall, the data shows an increased number of people reporting very good health, while the amount of those reporting disability and limitations have decreased. However, Census 2021 was undertaken during the coronavirus (COVID-19) pandemic. This may have influenced how people perceived their health status and activity limitations, and therefore may have affected how people chose to respond.</w:t>
      </w:r>
    </w:p>
    <w:p w14:paraId="35705D39" w14:textId="20889160" w:rsidR="0025569D" w:rsidRPr="00A74983" w:rsidRDefault="00406C9C" w:rsidP="009C7BD7">
      <w:pPr>
        <w:tabs>
          <w:tab w:val="left" w:pos="2270"/>
        </w:tabs>
        <w:rPr>
          <w:rFonts w:ascii="Arial" w:hAnsi="Arial" w:cs="Arial"/>
          <w:sz w:val="24"/>
          <w:szCs w:val="24"/>
        </w:rPr>
      </w:pPr>
      <w:r w:rsidRPr="00A74983">
        <w:rPr>
          <w:rFonts w:ascii="Arial" w:hAnsi="Arial" w:cs="Arial"/>
          <w:sz w:val="24"/>
          <w:szCs w:val="24"/>
        </w:rPr>
        <w:t xml:space="preserve">This report shows trends and analysis from the </w:t>
      </w:r>
      <w:r w:rsidR="0025569D" w:rsidRPr="00A74983">
        <w:rPr>
          <w:rFonts w:ascii="Arial" w:hAnsi="Arial" w:cs="Arial"/>
          <w:sz w:val="24"/>
          <w:szCs w:val="24"/>
        </w:rPr>
        <w:t xml:space="preserve">first release of </w:t>
      </w:r>
      <w:r w:rsidRPr="00A74983">
        <w:rPr>
          <w:rFonts w:ascii="Arial" w:hAnsi="Arial" w:cs="Arial"/>
          <w:sz w:val="24"/>
          <w:szCs w:val="24"/>
        </w:rPr>
        <w:t xml:space="preserve">Census 2021 data on </w:t>
      </w:r>
      <w:r w:rsidR="000525E1" w:rsidRPr="00A74983">
        <w:rPr>
          <w:rFonts w:ascii="Arial" w:hAnsi="Arial" w:cs="Arial"/>
          <w:sz w:val="24"/>
          <w:szCs w:val="24"/>
        </w:rPr>
        <w:t>health data</w:t>
      </w:r>
      <w:r w:rsidRPr="00A74983">
        <w:rPr>
          <w:rFonts w:ascii="Arial" w:hAnsi="Arial" w:cs="Arial"/>
          <w:sz w:val="24"/>
          <w:szCs w:val="24"/>
        </w:rPr>
        <w:t xml:space="preserve"> in Leicester, as well as </w:t>
      </w:r>
      <w:r w:rsidR="00A672D0" w:rsidRPr="00A74983">
        <w:rPr>
          <w:rFonts w:ascii="Arial" w:hAnsi="Arial" w:cs="Arial"/>
          <w:sz w:val="24"/>
          <w:szCs w:val="24"/>
        </w:rPr>
        <w:t xml:space="preserve">a breakdown of local authority data, </w:t>
      </w:r>
      <w:r w:rsidRPr="00A74983">
        <w:rPr>
          <w:rFonts w:ascii="Arial" w:hAnsi="Arial" w:cs="Arial"/>
          <w:sz w:val="24"/>
          <w:szCs w:val="24"/>
        </w:rPr>
        <w:t xml:space="preserve">comparisons with </w:t>
      </w:r>
      <w:r w:rsidR="00A672D0" w:rsidRPr="00A74983">
        <w:rPr>
          <w:rFonts w:ascii="Arial" w:hAnsi="Arial" w:cs="Arial"/>
          <w:sz w:val="24"/>
          <w:szCs w:val="24"/>
        </w:rPr>
        <w:t xml:space="preserve">data from England &amp; Wales and </w:t>
      </w:r>
      <w:r w:rsidRPr="00A74983">
        <w:rPr>
          <w:rFonts w:ascii="Arial" w:hAnsi="Arial" w:cs="Arial"/>
          <w:sz w:val="24"/>
          <w:szCs w:val="24"/>
        </w:rPr>
        <w:t xml:space="preserve">other major urban cities within the UK, and changes </w:t>
      </w:r>
      <w:r w:rsidR="00A5380C" w:rsidRPr="00A74983">
        <w:rPr>
          <w:rFonts w:ascii="Arial" w:hAnsi="Arial" w:cs="Arial"/>
          <w:sz w:val="24"/>
          <w:szCs w:val="24"/>
        </w:rPr>
        <w:t xml:space="preserve">over the decades </w:t>
      </w:r>
      <w:r w:rsidRPr="00A74983">
        <w:rPr>
          <w:rFonts w:ascii="Arial" w:hAnsi="Arial" w:cs="Arial"/>
          <w:sz w:val="24"/>
          <w:szCs w:val="24"/>
        </w:rPr>
        <w:t>since the previous Census in 20</w:t>
      </w:r>
      <w:r w:rsidR="00A5380C" w:rsidRPr="00A74983">
        <w:rPr>
          <w:rFonts w:ascii="Arial" w:hAnsi="Arial" w:cs="Arial"/>
          <w:sz w:val="24"/>
          <w:szCs w:val="24"/>
        </w:rPr>
        <w:t>01 and 2011.</w:t>
      </w:r>
      <w:bookmarkEnd w:id="0"/>
      <w:r w:rsidR="0025569D" w:rsidRPr="00A74983">
        <w:rPr>
          <w:rFonts w:ascii="Arial" w:hAnsi="Arial" w:cs="Arial"/>
          <w:sz w:val="24"/>
          <w:szCs w:val="24"/>
        </w:rPr>
        <w:t xml:space="preserve"> </w:t>
      </w:r>
    </w:p>
    <w:p w14:paraId="323DC081" w14:textId="060EEA49" w:rsidR="00C53876" w:rsidRPr="00A74983" w:rsidRDefault="00C53876" w:rsidP="009C7BD7">
      <w:pPr>
        <w:tabs>
          <w:tab w:val="left" w:pos="2270"/>
        </w:tabs>
        <w:rPr>
          <w:rFonts w:ascii="Arial" w:hAnsi="Arial" w:cs="Arial"/>
          <w:sz w:val="24"/>
          <w:szCs w:val="24"/>
        </w:rPr>
      </w:pPr>
    </w:p>
    <w:p w14:paraId="053EA8B2" w14:textId="4DFC0967" w:rsidR="00C53876" w:rsidRPr="00A74983" w:rsidRDefault="00C53876" w:rsidP="009C7BD7">
      <w:pPr>
        <w:tabs>
          <w:tab w:val="left" w:pos="2270"/>
        </w:tabs>
        <w:rPr>
          <w:rFonts w:ascii="Arial" w:hAnsi="Arial" w:cs="Arial"/>
          <w:sz w:val="24"/>
          <w:szCs w:val="24"/>
        </w:rPr>
      </w:pPr>
      <w:r w:rsidRPr="00A74983">
        <w:rPr>
          <w:rFonts w:ascii="Arial" w:hAnsi="Arial" w:cs="Arial"/>
          <w:sz w:val="24"/>
          <w:szCs w:val="24"/>
        </w:rPr>
        <w:t xml:space="preserve">From my friend </w:t>
      </w:r>
      <w:proofErr w:type="spellStart"/>
      <w:r w:rsidRPr="00A74983">
        <w:rPr>
          <w:rFonts w:ascii="Arial" w:hAnsi="Arial" w:cs="Arial"/>
          <w:sz w:val="24"/>
          <w:szCs w:val="24"/>
        </w:rPr>
        <w:t>chatgpt</w:t>
      </w:r>
      <w:proofErr w:type="spellEnd"/>
      <w:r w:rsidRPr="00A74983">
        <w:rPr>
          <w:rFonts w:ascii="Arial" w:hAnsi="Arial" w:cs="Arial"/>
          <w:sz w:val="24"/>
          <w:szCs w:val="24"/>
        </w:rPr>
        <w:t>:</w:t>
      </w:r>
    </w:p>
    <w:p w14:paraId="492C82B6" w14:textId="77777777" w:rsidR="00C53876" w:rsidRPr="00A74983" w:rsidRDefault="00C53876" w:rsidP="00C53876">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Arial" w:hAnsi="Arial" w:cs="Arial"/>
          <w:color w:val="374151"/>
        </w:rPr>
      </w:pPr>
      <w:r w:rsidRPr="00A74983">
        <w:rPr>
          <w:rFonts w:ascii="Arial" w:hAnsi="Arial" w:cs="Arial"/>
          <w:color w:val="374151"/>
        </w:rPr>
        <w:t>The 2021 Census, conducted by the Office for National Statistics (ONS), offered a comprehensive snapshot of the population of England and Wales. With a remarkable response rate of 97%, the Census results provide valuable insights into the demographics, health, and lifestyles of the people in these regions. These findings are crucial for policymakers and local authorities in shaping policies, planning public services, and more.</w:t>
      </w:r>
    </w:p>
    <w:p w14:paraId="4B9F6ABD" w14:textId="77777777" w:rsidR="00C53876" w:rsidRPr="00A74983" w:rsidRDefault="00C53876" w:rsidP="00C53876">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Arial" w:hAnsi="Arial" w:cs="Arial"/>
          <w:color w:val="374151"/>
        </w:rPr>
      </w:pPr>
      <w:r w:rsidRPr="00A74983">
        <w:rPr>
          <w:rFonts w:ascii="Arial" w:hAnsi="Arial" w:cs="Arial"/>
          <w:color w:val="374151"/>
        </w:rPr>
        <w:t>The Census gathered data on the general health and disability of the population, revealing an increase in the number of individuals reporting good health, while the percentage of people with disabilities and limitations has declined. However, it's worth noting that the Census was conducted during the COVID-19 pandemic, which may have affected how people perceived and reported their health status.</w:t>
      </w:r>
    </w:p>
    <w:p w14:paraId="3DCEC0B5" w14:textId="77777777" w:rsidR="00C53876" w:rsidRPr="00A74983" w:rsidRDefault="00C53876" w:rsidP="00C53876">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Arial" w:hAnsi="Arial" w:cs="Arial"/>
          <w:color w:val="374151"/>
        </w:rPr>
      </w:pPr>
      <w:r w:rsidRPr="00A74983">
        <w:rPr>
          <w:rFonts w:ascii="Arial" w:hAnsi="Arial" w:cs="Arial"/>
          <w:color w:val="374151"/>
        </w:rPr>
        <w:t>This report delves into the first release of Census 2021 data on health in Leicester, comparing it to data from England and Wales, other UK cities, and previous censuses. The report highlights trends and provides a detailed analysis of local authority data, giving a comprehensive overview of health and wellness in Leicester over time.</w:t>
      </w:r>
    </w:p>
    <w:p w14:paraId="5901A196" w14:textId="0C072B4C" w:rsidR="00C53876" w:rsidRPr="00A74983" w:rsidRDefault="00C53876" w:rsidP="009C7BD7">
      <w:pPr>
        <w:tabs>
          <w:tab w:val="left" w:pos="2270"/>
        </w:tabs>
        <w:rPr>
          <w:rFonts w:ascii="Arial" w:hAnsi="Arial" w:cs="Arial"/>
          <w:sz w:val="24"/>
          <w:szCs w:val="24"/>
        </w:rPr>
      </w:pPr>
    </w:p>
    <w:p w14:paraId="1B526E33" w14:textId="37FC9C92" w:rsidR="000525E1" w:rsidRPr="00A74983" w:rsidRDefault="000525E1" w:rsidP="00A5380C">
      <w:pPr>
        <w:rPr>
          <w:rFonts w:ascii="Arial" w:hAnsi="Arial" w:cs="Arial"/>
          <w:b/>
          <w:bCs/>
          <w:sz w:val="28"/>
          <w:szCs w:val="28"/>
        </w:rPr>
      </w:pPr>
    </w:p>
    <w:p w14:paraId="0F3FD5E6" w14:textId="6FC9B608" w:rsidR="00786BED" w:rsidRDefault="00786BED" w:rsidP="009C2E03">
      <w:pPr>
        <w:rPr>
          <w:rFonts w:ascii="Arial" w:hAnsi="Arial" w:cs="Arial"/>
          <w:b/>
          <w:bCs/>
          <w:sz w:val="28"/>
          <w:szCs w:val="28"/>
        </w:rPr>
      </w:pPr>
      <w:r w:rsidRPr="00A74983">
        <w:rPr>
          <w:rFonts w:ascii="Arial" w:hAnsi="Arial" w:cs="Arial"/>
          <w:b/>
          <w:bCs/>
          <w:noProof/>
          <w:sz w:val="24"/>
          <w:szCs w:val="24"/>
        </w:rPr>
        <w:lastRenderedPageBreak/>
        <mc:AlternateContent>
          <mc:Choice Requires="wps">
            <w:drawing>
              <wp:anchor distT="0" distB="0" distL="114300" distR="114300" simplePos="0" relativeHeight="251658240" behindDoc="1" locked="0" layoutInCell="1" allowOverlap="1" wp14:anchorId="3B347F06" wp14:editId="1306CDD5">
                <wp:simplePos x="0" y="0"/>
                <wp:positionH relativeFrom="margin">
                  <wp:posOffset>-133350</wp:posOffset>
                </wp:positionH>
                <wp:positionV relativeFrom="paragraph">
                  <wp:posOffset>0</wp:posOffset>
                </wp:positionV>
                <wp:extent cx="6251331" cy="3048000"/>
                <wp:effectExtent l="0" t="0" r="0" b="0"/>
                <wp:wrapNone/>
                <wp:docPr id="2" name="Rectangle 2"/>
                <wp:cNvGraphicFramePr/>
                <a:graphic xmlns:a="http://schemas.openxmlformats.org/drawingml/2006/main">
                  <a:graphicData uri="http://schemas.microsoft.com/office/word/2010/wordprocessingShape">
                    <wps:wsp>
                      <wps:cNvSpPr/>
                      <wps:spPr>
                        <a:xfrm>
                          <a:off x="0" y="0"/>
                          <a:ext cx="6251331" cy="3048000"/>
                        </a:xfrm>
                        <a:prstGeom prst="rect">
                          <a:avLst/>
                        </a:prstGeom>
                        <a:solidFill>
                          <a:schemeClr val="accent2">
                            <a:lumMod val="20000"/>
                            <a:lumOff val="80000"/>
                            <a:alpha val="56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C60A78" id="Rectangle 2" o:spid="_x0000_s1026" style="position:absolute;margin-left:-10.5pt;margin-top:0;width:492.25pt;height:240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" fillcolor="#fbe4d5 [661]" stroked="f" strokeweight="1pt">
                <v:fill opacity="36751f"/>
                <w10:wrap anchorx="margin"/>
              </v:rect>
            </w:pict>
          </mc:Fallback>
        </mc:AlternateContent>
      </w:r>
    </w:p>
    <w:p w14:paraId="696DA65A" w14:textId="04AC1AF5" w:rsidR="009C2E03" w:rsidRDefault="009C2E03" w:rsidP="009C2E03">
      <w:pPr>
        <w:rPr>
          <w:rFonts w:ascii="Arial" w:hAnsi="Arial" w:cs="Arial"/>
          <w:b/>
          <w:bCs/>
          <w:sz w:val="28"/>
          <w:szCs w:val="28"/>
        </w:rPr>
      </w:pPr>
      <w:r w:rsidRPr="00786BED">
        <w:rPr>
          <w:rFonts w:ascii="Arial" w:hAnsi="Arial" w:cs="Arial"/>
          <w:b/>
          <w:bCs/>
          <w:sz w:val="28"/>
          <w:szCs w:val="28"/>
        </w:rPr>
        <w:t>Highlights</w:t>
      </w:r>
      <w:r w:rsidR="00786BED">
        <w:rPr>
          <w:rFonts w:ascii="Arial" w:hAnsi="Arial" w:cs="Arial"/>
          <w:b/>
          <w:bCs/>
          <w:sz w:val="28"/>
          <w:szCs w:val="28"/>
        </w:rPr>
        <w:t>:</w:t>
      </w:r>
    </w:p>
    <w:p w14:paraId="27120246" w14:textId="2D4D3837" w:rsidR="00AC6EA0" w:rsidRPr="00B16B3A" w:rsidRDefault="00C25095" w:rsidP="00B16B3A">
      <w:pPr>
        <w:pStyle w:val="ListParagraph"/>
        <w:numPr>
          <w:ilvl w:val="0"/>
          <w:numId w:val="41"/>
        </w:numPr>
        <w:rPr>
          <w:rFonts w:ascii="Arial" w:hAnsi="Arial" w:cs="Arial"/>
          <w:sz w:val="24"/>
          <w:szCs w:val="24"/>
        </w:rPr>
      </w:pPr>
      <w:r w:rsidRPr="00B16B3A">
        <w:rPr>
          <w:rFonts w:ascii="Arial" w:hAnsi="Arial" w:cs="Arial"/>
          <w:sz w:val="24"/>
          <w:szCs w:val="24"/>
        </w:rPr>
        <w:t>General health – main findings</w:t>
      </w:r>
      <w:r w:rsidR="0026361A" w:rsidRPr="00B16B3A">
        <w:rPr>
          <w:rFonts w:ascii="Arial" w:hAnsi="Arial" w:cs="Arial"/>
          <w:sz w:val="24"/>
          <w:szCs w:val="24"/>
        </w:rPr>
        <w:t>:</w:t>
      </w:r>
      <w:r w:rsidR="00B16B3A">
        <w:rPr>
          <w:rFonts w:ascii="Arial" w:hAnsi="Arial" w:cs="Arial"/>
          <w:sz w:val="24"/>
          <w:szCs w:val="24"/>
        </w:rPr>
        <w:t xml:space="preserve"> </w:t>
      </w:r>
      <w:r w:rsidRPr="00B16B3A">
        <w:rPr>
          <w:rFonts w:ascii="Arial" w:hAnsi="Arial" w:cs="Arial"/>
          <w:sz w:val="24"/>
          <w:szCs w:val="24"/>
        </w:rPr>
        <w:t xml:space="preserve">In </w:t>
      </w:r>
      <w:r w:rsidR="00AC6EA0" w:rsidRPr="00B16B3A">
        <w:rPr>
          <w:rFonts w:ascii="Arial" w:hAnsi="Arial" w:cs="Arial"/>
          <w:sz w:val="24"/>
          <w:szCs w:val="24"/>
        </w:rPr>
        <w:t>Leicester, a majority (81%) described their general health as either “very good” (48.8%), or “good” (33.5%). While 12.5% described their health as “fair”. A smaller proportion of residents described their health as “bad” (4%) or “very bad” (1.2%) during the 2021 census.</w:t>
      </w:r>
    </w:p>
    <w:p w14:paraId="06516846" w14:textId="78EE0BCC" w:rsidR="00C25095" w:rsidRPr="0026361A" w:rsidRDefault="00C25095" w:rsidP="00AC6EA0">
      <w:pPr>
        <w:pStyle w:val="ListParagraph"/>
        <w:rPr>
          <w:rFonts w:ascii="Arial" w:hAnsi="Arial" w:cs="Arial"/>
          <w:sz w:val="24"/>
          <w:szCs w:val="24"/>
        </w:rPr>
      </w:pPr>
    </w:p>
    <w:p w14:paraId="41F4A008" w14:textId="07131875" w:rsidR="00FC3CEE" w:rsidRDefault="00B16B3A" w:rsidP="00B16B3A">
      <w:pPr>
        <w:pStyle w:val="ListParagraph"/>
        <w:numPr>
          <w:ilvl w:val="0"/>
          <w:numId w:val="41"/>
        </w:numPr>
        <w:rPr>
          <w:rFonts w:ascii="Arial" w:hAnsi="Arial" w:cs="Arial"/>
          <w:sz w:val="24"/>
          <w:szCs w:val="24"/>
        </w:rPr>
      </w:pPr>
      <w:r w:rsidRPr="00B16B3A">
        <w:rPr>
          <w:rFonts w:ascii="Arial" w:hAnsi="Arial" w:cs="Arial"/>
          <w:sz w:val="24"/>
          <w:szCs w:val="24"/>
        </w:rPr>
        <w:t>Disability – main findings:</w:t>
      </w:r>
      <w:r>
        <w:rPr>
          <w:rFonts w:ascii="Arial" w:hAnsi="Arial" w:cs="Arial"/>
          <w:sz w:val="24"/>
          <w:szCs w:val="24"/>
        </w:rPr>
        <w:t xml:space="preserve"> </w:t>
      </w:r>
      <w:r w:rsidR="00AC6EA0" w:rsidRPr="00B16B3A">
        <w:rPr>
          <w:rFonts w:ascii="Arial" w:hAnsi="Arial" w:cs="Arial"/>
          <w:sz w:val="24"/>
          <w:szCs w:val="24"/>
          <w:lang w:eastAsia="en-GB"/>
        </w:rPr>
        <w:t>Leicester had 368,571 usual residents, of which 79.9% reported not having a long-term physical or mental health condition.</w:t>
      </w:r>
    </w:p>
    <w:p w14:paraId="4100C48F" w14:textId="77777777" w:rsidR="00B16B3A" w:rsidRPr="00B16B3A" w:rsidRDefault="00B16B3A" w:rsidP="00B16B3A">
      <w:pPr>
        <w:pStyle w:val="ListParagraph"/>
        <w:rPr>
          <w:rFonts w:ascii="Arial" w:hAnsi="Arial" w:cs="Arial"/>
          <w:sz w:val="24"/>
          <w:szCs w:val="24"/>
        </w:rPr>
      </w:pPr>
    </w:p>
    <w:p w14:paraId="6C923B7B" w14:textId="592A4706" w:rsidR="00B16B3A" w:rsidRPr="00B16B3A" w:rsidRDefault="00B16B3A" w:rsidP="00B16B3A">
      <w:pPr>
        <w:pStyle w:val="ListParagraph"/>
        <w:numPr>
          <w:ilvl w:val="0"/>
          <w:numId w:val="41"/>
        </w:numPr>
        <w:rPr>
          <w:rFonts w:ascii="Arial" w:hAnsi="Arial" w:cs="Arial"/>
          <w:sz w:val="24"/>
          <w:szCs w:val="24"/>
        </w:rPr>
      </w:pPr>
      <w:r>
        <w:rPr>
          <w:rFonts w:ascii="Arial" w:hAnsi="Arial" w:cs="Arial"/>
          <w:sz w:val="24"/>
          <w:szCs w:val="24"/>
        </w:rPr>
        <w:t>Unpaid carers:</w:t>
      </w:r>
      <w:r w:rsidRPr="00B16B3A">
        <w:t xml:space="preserve"> </w:t>
      </w:r>
      <w:r w:rsidRPr="00B16B3A">
        <w:rPr>
          <w:rFonts w:ascii="Arial" w:hAnsi="Arial" w:cs="Arial"/>
          <w:sz w:val="24"/>
          <w:szCs w:val="24"/>
        </w:rPr>
        <w:t>In 2021, 3.4% of Leicester residents (aged five years and over) reported providing up to 19 hours of unpaid care each week. This figure decreased from 6.2% in 2011. These are age-standardised proportions.</w:t>
      </w:r>
    </w:p>
    <w:p w14:paraId="1583EE54" w14:textId="77777777" w:rsidR="00900CDA" w:rsidRPr="00137425" w:rsidRDefault="00900CDA" w:rsidP="00900CDA"/>
    <w:p w14:paraId="0669239C" w14:textId="77777777" w:rsidR="00137425" w:rsidRPr="00137425" w:rsidRDefault="00137425" w:rsidP="00137425"/>
    <w:p w14:paraId="429CC671" w14:textId="77777777" w:rsidR="009C2E03" w:rsidRDefault="009C2E03" w:rsidP="00A5380C">
      <w:pPr>
        <w:rPr>
          <w:rFonts w:ascii="Arial" w:hAnsi="Arial" w:cs="Arial"/>
          <w:b/>
          <w:bCs/>
          <w:sz w:val="28"/>
          <w:szCs w:val="28"/>
        </w:rPr>
      </w:pPr>
    </w:p>
    <w:p w14:paraId="762D7B89" w14:textId="77777777" w:rsidR="00AC6EA0" w:rsidRDefault="00AC6EA0" w:rsidP="00A5380C">
      <w:pPr>
        <w:rPr>
          <w:rFonts w:ascii="Arial" w:hAnsi="Arial" w:cs="Arial"/>
          <w:b/>
          <w:bCs/>
          <w:sz w:val="28"/>
          <w:szCs w:val="28"/>
        </w:rPr>
      </w:pPr>
    </w:p>
    <w:p w14:paraId="34F8F450" w14:textId="115EA004" w:rsidR="00303B2F" w:rsidRPr="00A74983" w:rsidRDefault="00CE7A2D" w:rsidP="00A5380C">
      <w:pPr>
        <w:rPr>
          <w:rFonts w:ascii="Arial" w:hAnsi="Arial" w:cs="Arial"/>
          <w:b/>
          <w:bCs/>
          <w:sz w:val="28"/>
          <w:szCs w:val="28"/>
        </w:rPr>
      </w:pPr>
      <w:r w:rsidRPr="00A74983">
        <w:rPr>
          <w:rFonts w:ascii="Arial" w:hAnsi="Arial" w:cs="Arial"/>
          <w:b/>
          <w:bCs/>
          <w:sz w:val="28"/>
          <w:szCs w:val="28"/>
        </w:rPr>
        <w:t xml:space="preserve">What </w:t>
      </w:r>
      <w:r w:rsidR="00A5380C" w:rsidRPr="00A74983">
        <w:rPr>
          <w:rFonts w:ascii="Arial" w:hAnsi="Arial" w:cs="Arial"/>
          <w:b/>
          <w:bCs/>
          <w:sz w:val="28"/>
          <w:szCs w:val="28"/>
        </w:rPr>
        <w:t>D</w:t>
      </w:r>
      <w:r w:rsidRPr="00A74983">
        <w:rPr>
          <w:rFonts w:ascii="Arial" w:hAnsi="Arial" w:cs="Arial"/>
          <w:b/>
          <w:bCs/>
          <w:sz w:val="28"/>
          <w:szCs w:val="28"/>
        </w:rPr>
        <w:t xml:space="preserve">ata </w:t>
      </w:r>
      <w:r w:rsidR="00A5380C" w:rsidRPr="00A74983">
        <w:rPr>
          <w:rFonts w:ascii="Arial" w:hAnsi="Arial" w:cs="Arial"/>
          <w:b/>
          <w:bCs/>
          <w:sz w:val="28"/>
          <w:szCs w:val="28"/>
        </w:rPr>
        <w:t>R</w:t>
      </w:r>
      <w:r w:rsidRPr="00A74983">
        <w:rPr>
          <w:rFonts w:ascii="Arial" w:hAnsi="Arial" w:cs="Arial"/>
          <w:b/>
          <w:bCs/>
          <w:sz w:val="28"/>
          <w:szCs w:val="28"/>
        </w:rPr>
        <w:t xml:space="preserve">elated to </w:t>
      </w:r>
      <w:r w:rsidR="000525E1" w:rsidRPr="00A74983">
        <w:rPr>
          <w:rFonts w:ascii="Arial" w:hAnsi="Arial" w:cs="Arial"/>
          <w:b/>
          <w:bCs/>
          <w:sz w:val="28"/>
          <w:szCs w:val="28"/>
        </w:rPr>
        <w:t>Health</w:t>
      </w:r>
      <w:r w:rsidRPr="00A74983">
        <w:rPr>
          <w:rFonts w:ascii="Arial" w:hAnsi="Arial" w:cs="Arial"/>
          <w:b/>
          <w:bCs/>
          <w:sz w:val="28"/>
          <w:szCs w:val="28"/>
        </w:rPr>
        <w:t xml:space="preserve"> does the Census </w:t>
      </w:r>
      <w:r w:rsidR="00A5380C" w:rsidRPr="00A74983">
        <w:rPr>
          <w:rFonts w:ascii="Arial" w:hAnsi="Arial" w:cs="Arial"/>
          <w:b/>
          <w:bCs/>
          <w:sz w:val="28"/>
          <w:szCs w:val="28"/>
        </w:rPr>
        <w:t>C</w:t>
      </w:r>
      <w:r w:rsidRPr="00A74983">
        <w:rPr>
          <w:rFonts w:ascii="Arial" w:hAnsi="Arial" w:cs="Arial"/>
          <w:b/>
          <w:bCs/>
          <w:sz w:val="28"/>
          <w:szCs w:val="28"/>
        </w:rPr>
        <w:t>ollect?</w:t>
      </w:r>
    </w:p>
    <w:p w14:paraId="4F53ADB2" w14:textId="637CC286" w:rsidR="009C7BD7" w:rsidRPr="00A74983" w:rsidRDefault="0025569D" w:rsidP="003760FF">
      <w:pPr>
        <w:pStyle w:val="NormalWeb"/>
        <w:rPr>
          <w:rFonts w:ascii="Arial" w:hAnsi="Arial" w:cs="Arial"/>
        </w:rPr>
      </w:pPr>
      <w:r w:rsidRPr="00A74983">
        <w:rPr>
          <w:rFonts w:ascii="Arial" w:hAnsi="Arial" w:cs="Arial"/>
        </w:rPr>
        <w:t xml:space="preserve">The data collected provides information about </w:t>
      </w:r>
      <w:r w:rsidR="003760FF" w:rsidRPr="00A74983">
        <w:rPr>
          <w:rFonts w:ascii="Arial" w:hAnsi="Arial" w:cs="Arial"/>
        </w:rPr>
        <w:t>people’s general health across England and Wales.</w:t>
      </w:r>
    </w:p>
    <w:p w14:paraId="7DF7E8F6" w14:textId="54B46563" w:rsidR="0025569D" w:rsidRPr="00A74983" w:rsidRDefault="0025569D" w:rsidP="00A5380C">
      <w:pPr>
        <w:rPr>
          <w:rFonts w:ascii="Arial" w:hAnsi="Arial" w:cs="Arial"/>
          <w:sz w:val="24"/>
          <w:szCs w:val="24"/>
        </w:rPr>
      </w:pPr>
      <w:r w:rsidRPr="00A74983">
        <w:rPr>
          <w:rFonts w:ascii="Arial" w:hAnsi="Arial" w:cs="Arial"/>
          <w:sz w:val="24"/>
          <w:szCs w:val="24"/>
        </w:rPr>
        <w:t xml:space="preserve">In the first data release, there were a total of </w:t>
      </w:r>
      <w:r w:rsidR="000525E1" w:rsidRPr="00A74983">
        <w:rPr>
          <w:rFonts w:ascii="Arial" w:hAnsi="Arial" w:cs="Arial"/>
          <w:sz w:val="24"/>
          <w:szCs w:val="24"/>
        </w:rPr>
        <w:t>4</w:t>
      </w:r>
      <w:r w:rsidR="00904076" w:rsidRPr="00A74983">
        <w:rPr>
          <w:rFonts w:ascii="Arial" w:hAnsi="Arial" w:cs="Arial"/>
          <w:sz w:val="24"/>
          <w:szCs w:val="24"/>
        </w:rPr>
        <w:t xml:space="preserve"> combined</w:t>
      </w:r>
      <w:r w:rsidRPr="00A74983">
        <w:rPr>
          <w:rFonts w:ascii="Arial" w:hAnsi="Arial" w:cs="Arial"/>
          <w:sz w:val="24"/>
          <w:szCs w:val="24"/>
        </w:rPr>
        <w:t xml:space="preserve"> datasets </w:t>
      </w:r>
      <w:r w:rsidR="0020271D" w:rsidRPr="00A74983">
        <w:rPr>
          <w:rFonts w:ascii="Arial" w:hAnsi="Arial" w:cs="Arial"/>
          <w:sz w:val="24"/>
          <w:szCs w:val="24"/>
        </w:rPr>
        <w:t xml:space="preserve">and the corresponding census question asked, </w:t>
      </w:r>
      <w:r w:rsidRPr="00A74983">
        <w:rPr>
          <w:rFonts w:ascii="Arial" w:hAnsi="Arial" w:cs="Arial"/>
          <w:sz w:val="24"/>
          <w:szCs w:val="24"/>
        </w:rPr>
        <w:t xml:space="preserve">related to </w:t>
      </w:r>
      <w:r w:rsidR="003760FF" w:rsidRPr="00A74983">
        <w:rPr>
          <w:rFonts w:ascii="Arial" w:hAnsi="Arial" w:cs="Arial"/>
          <w:sz w:val="24"/>
          <w:szCs w:val="24"/>
        </w:rPr>
        <w:t>general health</w:t>
      </w:r>
      <w:r w:rsidRPr="00A74983">
        <w:rPr>
          <w:rFonts w:ascii="Arial" w:hAnsi="Arial" w:cs="Arial"/>
          <w:sz w:val="24"/>
          <w:szCs w:val="24"/>
        </w:rPr>
        <w:t>:</w:t>
      </w:r>
    </w:p>
    <w:p w14:paraId="44F8C296" w14:textId="77777777" w:rsidR="00343BFF" w:rsidRPr="00A74983" w:rsidRDefault="00343BFF" w:rsidP="0025569D">
      <w:pPr>
        <w:tabs>
          <w:tab w:val="left" w:pos="2270"/>
        </w:tabs>
        <w:rPr>
          <w:rFonts w:ascii="Arial" w:eastAsia="Times New Roman" w:hAnsi="Arial" w:cs="Arial"/>
          <w:b/>
          <w:bCs/>
          <w:color w:val="1F1F1F"/>
          <w:sz w:val="24"/>
          <w:szCs w:val="24"/>
          <w:lang w:eastAsia="en-GB"/>
        </w:rPr>
      </w:pPr>
    </w:p>
    <w:p w14:paraId="089FAD87" w14:textId="5BDF9262" w:rsidR="00574E71" w:rsidRPr="00A74983" w:rsidRDefault="00591BB6" w:rsidP="00591BB6">
      <w:pPr>
        <w:pStyle w:val="NormalWeb"/>
        <w:numPr>
          <w:ilvl w:val="0"/>
          <w:numId w:val="32"/>
        </w:numPr>
        <w:shd w:val="clear" w:color="auto" w:fill="FFFFFF"/>
        <w:spacing w:before="0" w:beforeAutospacing="0" w:after="300" w:afterAutospacing="0"/>
        <w:rPr>
          <w:rFonts w:ascii="Arial" w:hAnsi="Arial" w:cs="Arial"/>
        </w:rPr>
      </w:pPr>
      <w:r w:rsidRPr="00A74983">
        <w:rPr>
          <w:rFonts w:ascii="Arial" w:hAnsi="Arial" w:cs="Arial"/>
          <w:b/>
          <w:bCs/>
          <w:color w:val="1F1F1F"/>
        </w:rPr>
        <w:t>General Health</w:t>
      </w:r>
      <w:r w:rsidR="0029632E" w:rsidRPr="00A74983">
        <w:rPr>
          <w:rFonts w:ascii="Arial" w:hAnsi="Arial" w:cs="Arial"/>
          <w:b/>
          <w:bCs/>
          <w:color w:val="1F1F1F"/>
        </w:rPr>
        <w:t xml:space="preserve"> </w:t>
      </w:r>
      <w:proofErr w:type="gramStart"/>
      <w:r w:rsidR="0029632E" w:rsidRPr="00A74983">
        <w:rPr>
          <w:rFonts w:ascii="Arial" w:hAnsi="Arial" w:cs="Arial"/>
          <w:b/>
          <w:bCs/>
          <w:color w:val="1F1F1F"/>
        </w:rPr>
        <w:t xml:space="preserve">- </w:t>
      </w:r>
      <w:r w:rsidRPr="00A74983">
        <w:rPr>
          <w:rFonts w:ascii="Arial" w:hAnsi="Arial" w:cs="Arial"/>
          <w:color w:val="1F1F1F"/>
        </w:rPr>
        <w:t xml:space="preserve"> </w:t>
      </w:r>
      <w:r w:rsidRPr="00A74983">
        <w:rPr>
          <w:rFonts w:ascii="Arial" w:hAnsi="Arial" w:cs="Arial"/>
        </w:rPr>
        <w:t>Respondents</w:t>
      </w:r>
      <w:proofErr w:type="gramEnd"/>
      <w:r w:rsidRPr="00A74983">
        <w:rPr>
          <w:rFonts w:ascii="Arial" w:hAnsi="Arial" w:cs="Arial"/>
        </w:rPr>
        <w:t xml:space="preserve"> were asked to assess their general health on a five-point scale: "Very good", "Good", "Fair", "Bad", or "Very bad".</w:t>
      </w:r>
    </w:p>
    <w:p w14:paraId="693E209A" w14:textId="1158F5EC" w:rsidR="00591BB6" w:rsidRPr="00A74983" w:rsidRDefault="00F7476D" w:rsidP="00E94660">
      <w:pPr>
        <w:pStyle w:val="NormalWeb"/>
        <w:numPr>
          <w:ilvl w:val="0"/>
          <w:numId w:val="32"/>
        </w:numPr>
        <w:shd w:val="clear" w:color="auto" w:fill="FFFFFF"/>
        <w:spacing w:before="0" w:beforeAutospacing="0" w:after="300" w:afterAutospacing="0"/>
        <w:rPr>
          <w:rFonts w:ascii="Arial" w:hAnsi="Arial" w:cs="Arial"/>
        </w:rPr>
      </w:pPr>
      <w:r w:rsidRPr="00A74983">
        <w:rPr>
          <w:rFonts w:ascii="Arial" w:hAnsi="Arial" w:cs="Arial"/>
          <w:b/>
          <w:bCs/>
        </w:rPr>
        <w:t>Disability</w:t>
      </w:r>
      <w:r w:rsidR="0029632E" w:rsidRPr="00A74983">
        <w:rPr>
          <w:rFonts w:ascii="Arial" w:hAnsi="Arial" w:cs="Arial"/>
          <w:b/>
          <w:bCs/>
        </w:rPr>
        <w:t xml:space="preserve"> </w:t>
      </w:r>
      <w:proofErr w:type="gramStart"/>
      <w:r w:rsidR="0029632E" w:rsidRPr="00A74983">
        <w:rPr>
          <w:rFonts w:ascii="Arial" w:hAnsi="Arial" w:cs="Arial"/>
          <w:b/>
          <w:bCs/>
        </w:rPr>
        <w:t xml:space="preserve">- </w:t>
      </w:r>
      <w:r w:rsidRPr="00A74983">
        <w:rPr>
          <w:rFonts w:ascii="Arial" w:hAnsi="Arial" w:cs="Arial"/>
          <w:b/>
          <w:bCs/>
        </w:rPr>
        <w:t xml:space="preserve"> </w:t>
      </w:r>
      <w:r w:rsidR="0029632E" w:rsidRPr="00A74983">
        <w:rPr>
          <w:rFonts w:ascii="Arial" w:hAnsi="Arial" w:cs="Arial"/>
          <w:b/>
          <w:bCs/>
        </w:rPr>
        <w:t>“</w:t>
      </w:r>
      <w:proofErr w:type="gramEnd"/>
      <w:r w:rsidR="0056272A" w:rsidRPr="00A74983">
        <w:rPr>
          <w:rFonts w:ascii="Arial" w:hAnsi="Arial" w:cs="Arial"/>
          <w:i/>
          <w:iCs/>
        </w:rPr>
        <w:t>Do you have any physical or mental health conditions or illnesses lasting or expected to last 12 months or more?</w:t>
      </w:r>
      <w:r w:rsidR="0029632E" w:rsidRPr="00A74983">
        <w:rPr>
          <w:rFonts w:ascii="Arial" w:hAnsi="Arial" w:cs="Arial"/>
          <w:i/>
          <w:iCs/>
        </w:rPr>
        <w:t>”</w:t>
      </w:r>
    </w:p>
    <w:p w14:paraId="552B2A29" w14:textId="56521BD5" w:rsidR="00E94660" w:rsidRPr="00A74983" w:rsidRDefault="0029632E" w:rsidP="00F7476D">
      <w:pPr>
        <w:pStyle w:val="NormalWeb"/>
        <w:shd w:val="clear" w:color="auto" w:fill="FFFFFF"/>
        <w:spacing w:after="300"/>
        <w:ind w:left="1080"/>
        <w:rPr>
          <w:rFonts w:ascii="Arial" w:hAnsi="Arial" w:cs="Arial"/>
        </w:rPr>
      </w:pPr>
      <w:r w:rsidRPr="00A74983">
        <w:rPr>
          <w:rFonts w:ascii="Arial" w:hAnsi="Arial" w:cs="Arial"/>
        </w:rPr>
        <w:t>“</w:t>
      </w:r>
      <w:r w:rsidR="00E94660" w:rsidRPr="00A74983">
        <w:rPr>
          <w:rFonts w:ascii="Arial" w:hAnsi="Arial" w:cs="Arial"/>
          <w:i/>
          <w:iCs/>
        </w:rPr>
        <w:t>Do any of your conditions or illnesses reduce your ability to carry out day-to-day activities?</w:t>
      </w:r>
      <w:r w:rsidRPr="00A74983">
        <w:rPr>
          <w:rFonts w:ascii="Arial" w:hAnsi="Arial" w:cs="Arial"/>
        </w:rPr>
        <w:t>”</w:t>
      </w:r>
    </w:p>
    <w:p w14:paraId="193EEA19" w14:textId="55F71AEB" w:rsidR="00FF0122" w:rsidRPr="00A74983" w:rsidRDefault="00AA029B">
      <w:pPr>
        <w:pStyle w:val="NormalWeb"/>
        <w:numPr>
          <w:ilvl w:val="0"/>
          <w:numId w:val="32"/>
        </w:numPr>
        <w:shd w:val="clear" w:color="auto" w:fill="FFFFFF"/>
        <w:spacing w:before="0" w:beforeAutospacing="0" w:after="300" w:afterAutospacing="0"/>
        <w:rPr>
          <w:rFonts w:ascii="Arial" w:hAnsi="Arial" w:cs="Arial"/>
          <w:b/>
          <w:bCs/>
          <w:color w:val="1F1F1F"/>
          <w:sz w:val="28"/>
          <w:szCs w:val="28"/>
        </w:rPr>
      </w:pPr>
      <w:r w:rsidRPr="00A74983">
        <w:rPr>
          <w:rFonts w:ascii="Arial" w:hAnsi="Arial" w:cs="Arial"/>
          <w:b/>
          <w:bCs/>
        </w:rPr>
        <w:t xml:space="preserve">Unpaid </w:t>
      </w:r>
      <w:r w:rsidR="009B1CB8" w:rsidRPr="00A74983">
        <w:rPr>
          <w:rFonts w:ascii="Arial" w:hAnsi="Arial" w:cs="Arial"/>
          <w:b/>
          <w:bCs/>
        </w:rPr>
        <w:t>Care</w:t>
      </w:r>
      <w:r w:rsidR="0029632E" w:rsidRPr="00A74983">
        <w:rPr>
          <w:rFonts w:ascii="Arial" w:hAnsi="Arial" w:cs="Arial"/>
        </w:rPr>
        <w:t xml:space="preserve"> –</w:t>
      </w:r>
      <w:r w:rsidR="009B1CB8" w:rsidRPr="00A74983">
        <w:rPr>
          <w:rFonts w:ascii="Arial" w:hAnsi="Arial" w:cs="Arial"/>
        </w:rPr>
        <w:t xml:space="preserve"> </w:t>
      </w:r>
      <w:r w:rsidR="0029632E" w:rsidRPr="00A74983">
        <w:rPr>
          <w:rFonts w:ascii="Arial" w:hAnsi="Arial" w:cs="Arial"/>
        </w:rPr>
        <w:t>“</w:t>
      </w:r>
      <w:r w:rsidR="00E94660" w:rsidRPr="00A74983">
        <w:rPr>
          <w:rFonts w:ascii="Arial" w:hAnsi="Arial" w:cs="Arial"/>
          <w:i/>
          <w:iCs/>
        </w:rPr>
        <w:t>Do you look after, or give any help or support to, anyone because they have long-term physical or mental health conditions or illnesses, or problems related to old age?</w:t>
      </w:r>
      <w:r w:rsidR="0029632E" w:rsidRPr="00A74983">
        <w:rPr>
          <w:rFonts w:ascii="Arial" w:hAnsi="Arial" w:cs="Arial"/>
        </w:rPr>
        <w:t>”</w:t>
      </w:r>
      <w:r w:rsidR="00FF0122" w:rsidRPr="00A74983">
        <w:rPr>
          <w:rFonts w:ascii="Arial" w:hAnsi="Arial" w:cs="Arial"/>
          <w:b/>
          <w:bCs/>
          <w:color w:val="1F1F1F"/>
          <w:sz w:val="28"/>
          <w:szCs w:val="28"/>
        </w:rPr>
        <w:tab/>
      </w:r>
    </w:p>
    <w:p w14:paraId="3F630E05" w14:textId="6778A076" w:rsidR="0029632E" w:rsidRPr="00A74983" w:rsidRDefault="00500E1F" w:rsidP="0029632E">
      <w:pPr>
        <w:pStyle w:val="ListParagraph"/>
        <w:numPr>
          <w:ilvl w:val="0"/>
          <w:numId w:val="33"/>
        </w:numPr>
        <w:rPr>
          <w:rFonts w:ascii="Arial" w:hAnsi="Arial" w:cs="Arial"/>
          <w:b/>
          <w:bCs/>
          <w:color w:val="1F1F1F"/>
          <w:sz w:val="28"/>
          <w:szCs w:val="28"/>
          <w:u w:val="single"/>
        </w:rPr>
      </w:pPr>
      <w:r w:rsidRPr="00A74983">
        <w:rPr>
          <w:rFonts w:ascii="Arial" w:hAnsi="Arial" w:cs="Arial"/>
          <w:b/>
          <w:bCs/>
          <w:color w:val="1F1F1F"/>
          <w:sz w:val="28"/>
          <w:szCs w:val="28"/>
          <w:u w:val="single"/>
        </w:rPr>
        <w:t>G</w:t>
      </w:r>
      <w:r w:rsidR="00B5243E" w:rsidRPr="00A74983">
        <w:rPr>
          <w:rFonts w:ascii="Arial" w:hAnsi="Arial" w:cs="Arial"/>
          <w:b/>
          <w:bCs/>
          <w:color w:val="1F1F1F"/>
          <w:sz w:val="28"/>
          <w:szCs w:val="28"/>
          <w:u w:val="single"/>
        </w:rPr>
        <w:t>eneral Health</w:t>
      </w:r>
      <w:r w:rsidR="001A27E8" w:rsidRPr="00A74983">
        <w:rPr>
          <w:rFonts w:ascii="Arial" w:hAnsi="Arial" w:cs="Arial"/>
          <w:b/>
          <w:bCs/>
          <w:color w:val="1F1F1F"/>
          <w:sz w:val="28"/>
          <w:szCs w:val="28"/>
          <w:u w:val="single"/>
        </w:rPr>
        <w:br/>
      </w:r>
    </w:p>
    <w:p w14:paraId="21C95D11" w14:textId="2CAA1325" w:rsidR="00574E71" w:rsidRPr="00A74983" w:rsidRDefault="00392A63" w:rsidP="001A27E8">
      <w:pPr>
        <w:rPr>
          <w:rFonts w:ascii="Arial" w:hAnsi="Arial" w:cs="Arial"/>
          <w:b/>
          <w:bCs/>
          <w:color w:val="1F1F1F"/>
          <w:sz w:val="28"/>
          <w:szCs w:val="28"/>
          <w:u w:val="single"/>
        </w:rPr>
      </w:pPr>
      <w:r w:rsidRPr="00A74983">
        <w:rPr>
          <w:rFonts w:ascii="Arial" w:hAnsi="Arial" w:cs="Arial"/>
          <w:noProof/>
        </w:rPr>
        <w:lastRenderedPageBreak/>
        <mc:AlternateContent>
          <mc:Choice Requires="wps">
            <w:drawing>
              <wp:anchor distT="0" distB="0" distL="114300" distR="114300" simplePos="0" relativeHeight="251658241" behindDoc="1" locked="0" layoutInCell="1" allowOverlap="1" wp14:anchorId="3BC82BEA" wp14:editId="0BC8D274">
                <wp:simplePos x="0" y="0"/>
                <wp:positionH relativeFrom="margin">
                  <wp:align>center</wp:align>
                </wp:positionH>
                <wp:positionV relativeFrom="paragraph">
                  <wp:posOffset>721995</wp:posOffset>
                </wp:positionV>
                <wp:extent cx="6250940" cy="7387627"/>
                <wp:effectExtent l="0" t="0" r="0" b="3810"/>
                <wp:wrapNone/>
                <wp:docPr id="8" name="Rectangle 8"/>
                <wp:cNvGraphicFramePr/>
                <a:graphic xmlns:a="http://schemas.openxmlformats.org/drawingml/2006/main">
                  <a:graphicData uri="http://schemas.microsoft.com/office/word/2010/wordprocessingShape">
                    <wps:wsp>
                      <wps:cNvSpPr/>
                      <wps:spPr>
                        <a:xfrm>
                          <a:off x="0" y="0"/>
                          <a:ext cx="6250940" cy="7387627"/>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587F42" id="Rectangle 8" o:spid="_x0000_s1026" style="position:absolute;margin-left:0;margin-top:56.85pt;width:492.2pt;height:581.7pt;z-index:-251658239;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" fillcolor="#d9e2f3 [660]" stroked="f" strokeweight="1pt">
                <v:fill opacity="46003f"/>
                <w10:wrap anchorx="margin"/>
              </v:rect>
            </w:pict>
          </mc:Fallback>
        </mc:AlternateContent>
      </w:r>
      <w:r w:rsidR="00EB0D02" w:rsidRPr="00A74983">
        <w:rPr>
          <w:rFonts w:ascii="Arial" w:hAnsi="Arial" w:cs="Arial"/>
          <w:sz w:val="24"/>
          <w:szCs w:val="24"/>
        </w:rPr>
        <w:t>General Health</w:t>
      </w:r>
      <w:r w:rsidR="00E914DC" w:rsidRPr="00A74983">
        <w:rPr>
          <w:rFonts w:ascii="Arial" w:hAnsi="Arial" w:cs="Arial"/>
          <w:sz w:val="24"/>
          <w:szCs w:val="24"/>
        </w:rPr>
        <w:t xml:space="preserve"> in</w:t>
      </w:r>
      <w:r w:rsidR="004674A0" w:rsidRPr="00A74983">
        <w:rPr>
          <w:rFonts w:ascii="Arial" w:hAnsi="Arial" w:cs="Arial"/>
          <w:sz w:val="24"/>
          <w:szCs w:val="24"/>
        </w:rPr>
        <w:t>volves a person’s self-assessment of the general state of their health at the time of the survey</w:t>
      </w:r>
      <w:r w:rsidR="00D22538" w:rsidRPr="00A74983">
        <w:rPr>
          <w:rFonts w:ascii="Arial" w:hAnsi="Arial" w:cs="Arial"/>
          <w:sz w:val="24"/>
          <w:szCs w:val="24"/>
        </w:rPr>
        <w:t>, on Census Day, 21 March 2021</w:t>
      </w:r>
      <w:r w:rsidR="004674A0" w:rsidRPr="00A74983">
        <w:rPr>
          <w:rFonts w:ascii="Arial" w:hAnsi="Arial" w:cs="Arial"/>
          <w:sz w:val="24"/>
          <w:szCs w:val="24"/>
        </w:rPr>
        <w:t xml:space="preserve">. </w:t>
      </w:r>
      <w:r w:rsidR="00D22538" w:rsidRPr="00A74983">
        <w:rPr>
          <w:rFonts w:ascii="Arial" w:hAnsi="Arial" w:cs="Arial"/>
          <w:sz w:val="24"/>
          <w:szCs w:val="24"/>
        </w:rPr>
        <w:t>Respondents</w:t>
      </w:r>
      <w:r w:rsidR="00962C13" w:rsidRPr="00A74983">
        <w:rPr>
          <w:rFonts w:ascii="Arial" w:hAnsi="Arial" w:cs="Arial"/>
          <w:sz w:val="24"/>
          <w:szCs w:val="24"/>
        </w:rPr>
        <w:t xml:space="preserve"> assessed their general health from </w:t>
      </w:r>
      <w:r w:rsidR="009F619E" w:rsidRPr="00A74983">
        <w:rPr>
          <w:rFonts w:ascii="Arial" w:hAnsi="Arial" w:cs="Arial"/>
          <w:sz w:val="24"/>
          <w:szCs w:val="24"/>
        </w:rPr>
        <w:t xml:space="preserve">very good to very bad. </w:t>
      </w:r>
      <w:r w:rsidR="00B5243E" w:rsidRPr="00A74983">
        <w:rPr>
          <w:rFonts w:ascii="Arial" w:hAnsi="Arial" w:cs="Arial"/>
          <w:b/>
          <w:bCs/>
          <w:color w:val="1F1F1F"/>
          <w:sz w:val="28"/>
          <w:szCs w:val="28"/>
          <w:u w:val="single"/>
        </w:rPr>
        <w:br/>
      </w:r>
    </w:p>
    <w:p w14:paraId="75B9F49E" w14:textId="7741A6D4" w:rsidR="00574E71" w:rsidRPr="00A74983" w:rsidRDefault="005E35D5" w:rsidP="00574E71">
      <w:pPr>
        <w:rPr>
          <w:rFonts w:ascii="Arial" w:hAnsi="Arial" w:cs="Arial"/>
          <w:b/>
          <w:bCs/>
          <w:color w:val="1F1F1F"/>
        </w:rPr>
      </w:pPr>
      <w:r w:rsidRPr="00A74983">
        <w:rPr>
          <w:rFonts w:ascii="Arial" w:hAnsi="Arial" w:cs="Arial"/>
          <w:b/>
          <w:bCs/>
          <w:color w:val="1F1F1F"/>
          <w:sz w:val="28"/>
          <w:szCs w:val="28"/>
        </w:rPr>
        <w:t>England</w:t>
      </w:r>
      <w:r w:rsidR="00854273" w:rsidRPr="00A74983">
        <w:rPr>
          <w:rFonts w:ascii="Arial" w:hAnsi="Arial" w:cs="Arial"/>
          <w:b/>
          <w:bCs/>
          <w:color w:val="1F1F1F"/>
          <w:sz w:val="28"/>
          <w:szCs w:val="28"/>
        </w:rPr>
        <w:t xml:space="preserve"> &amp; Wales</w:t>
      </w:r>
      <w:r w:rsidR="00CB1AC5" w:rsidRPr="00A74983">
        <w:rPr>
          <w:rFonts w:ascii="Arial" w:hAnsi="Arial" w:cs="Arial"/>
          <w:b/>
          <w:bCs/>
          <w:color w:val="1F1F1F"/>
          <w:sz w:val="28"/>
          <w:szCs w:val="28"/>
        </w:rPr>
        <w:t xml:space="preserve"> </w:t>
      </w:r>
      <w:r w:rsidR="0091107D" w:rsidRPr="00A74983">
        <w:rPr>
          <w:rFonts w:ascii="Arial" w:hAnsi="Arial" w:cs="Arial"/>
          <w:b/>
          <w:bCs/>
          <w:color w:val="1F1F1F"/>
          <w:sz w:val="28"/>
          <w:szCs w:val="28"/>
        </w:rPr>
        <w:t>General Health</w:t>
      </w:r>
      <w:r w:rsidR="00793A27" w:rsidRPr="00A74983">
        <w:rPr>
          <w:rFonts w:ascii="Arial" w:hAnsi="Arial" w:cs="Arial"/>
          <w:b/>
          <w:bCs/>
          <w:color w:val="1F1F1F"/>
          <w:sz w:val="28"/>
          <w:szCs w:val="28"/>
        </w:rPr>
        <w:t xml:space="preserve"> </w:t>
      </w:r>
      <w:r w:rsidR="00CB1AC5" w:rsidRPr="00A74983">
        <w:rPr>
          <w:rFonts w:ascii="Arial" w:hAnsi="Arial" w:cs="Arial"/>
          <w:b/>
          <w:bCs/>
          <w:color w:val="1F1F1F"/>
          <w:sz w:val="28"/>
          <w:szCs w:val="28"/>
        </w:rPr>
        <w:t>Overview</w:t>
      </w:r>
    </w:p>
    <w:p w14:paraId="4118378E" w14:textId="6D1F9A5F" w:rsidR="00574E71" w:rsidRPr="00A74983" w:rsidRDefault="00303B2F" w:rsidP="00574E71">
      <w:pPr>
        <w:rPr>
          <w:rStyle w:val="Hyperlink"/>
          <w:rFonts w:ascii="Arial" w:hAnsi="Arial" w:cs="Arial"/>
        </w:rPr>
      </w:pPr>
      <w:r w:rsidRPr="00A74983">
        <w:rPr>
          <w:rFonts w:ascii="Arial" w:hAnsi="Arial" w:cs="Arial"/>
          <w:color w:val="1F1F1F"/>
        </w:rPr>
        <w:t>Source:</w:t>
      </w:r>
      <w:r w:rsidR="003760FF" w:rsidRPr="00A74983">
        <w:rPr>
          <w:rFonts w:ascii="Arial" w:hAnsi="Arial" w:cs="Arial"/>
          <w:color w:val="1F1F1F"/>
        </w:rPr>
        <w:t xml:space="preserve"> </w:t>
      </w:r>
      <w:hyperlink r:id="rId10" w:history="1">
        <w:r w:rsidR="003760FF" w:rsidRPr="00A74983">
          <w:rPr>
            <w:rStyle w:val="Hyperlink"/>
            <w:rFonts w:ascii="Arial" w:hAnsi="Arial" w:cs="Arial"/>
          </w:rPr>
          <w:t>ONS.gov</w:t>
        </w:r>
      </w:hyperlink>
      <w:r w:rsidRPr="00A74983">
        <w:rPr>
          <w:rFonts w:ascii="Arial" w:hAnsi="Arial" w:cs="Arial"/>
          <w:color w:val="1F1F1F"/>
        </w:rPr>
        <w:t xml:space="preserve"> </w:t>
      </w:r>
    </w:p>
    <w:p w14:paraId="4B033EDF" w14:textId="60FFCC2C" w:rsidR="00574E71" w:rsidRPr="00A74983" w:rsidRDefault="00574E71" w:rsidP="000525E1">
      <w:pPr>
        <w:pStyle w:val="ListParagraph"/>
        <w:rPr>
          <w:rFonts w:ascii="Arial" w:hAnsi="Arial" w:cs="Arial"/>
          <w:sz w:val="24"/>
          <w:szCs w:val="24"/>
        </w:rPr>
      </w:pPr>
    </w:p>
    <w:p w14:paraId="50E778FE" w14:textId="4CC42902" w:rsidR="00C537AB" w:rsidRPr="00A74983" w:rsidRDefault="00633904" w:rsidP="00C537AB">
      <w:pPr>
        <w:pStyle w:val="ListParagraph"/>
        <w:rPr>
          <w:rFonts w:ascii="Arial" w:hAnsi="Arial" w:cs="Arial"/>
          <w:sz w:val="24"/>
          <w:szCs w:val="24"/>
        </w:rPr>
      </w:pPr>
      <w:r w:rsidRPr="00A74983">
        <w:rPr>
          <w:rFonts w:ascii="Arial" w:hAnsi="Arial" w:cs="Arial"/>
          <w:sz w:val="24"/>
          <w:szCs w:val="24"/>
        </w:rPr>
        <w:t>“</w:t>
      </w:r>
      <w:r w:rsidR="00C537AB" w:rsidRPr="00A74983">
        <w:rPr>
          <w:rFonts w:ascii="Arial" w:hAnsi="Arial" w:cs="Arial"/>
          <w:sz w:val="24"/>
          <w:szCs w:val="24"/>
        </w:rPr>
        <w:t>Across England and Wales, there was an increase in the proportion of people reporting very good health and a decrease in the proportion of people reporting very bad health, compared with the 2011 Census.</w:t>
      </w:r>
    </w:p>
    <w:p w14:paraId="5B198D33" w14:textId="77777777" w:rsidR="00C537AB" w:rsidRPr="00A74983" w:rsidRDefault="00C537AB" w:rsidP="00C537AB">
      <w:pPr>
        <w:pStyle w:val="ListParagraph"/>
        <w:rPr>
          <w:rFonts w:ascii="Arial" w:hAnsi="Arial" w:cs="Arial"/>
          <w:sz w:val="24"/>
          <w:szCs w:val="24"/>
        </w:rPr>
      </w:pPr>
    </w:p>
    <w:p w14:paraId="7E4AD110" w14:textId="77777777" w:rsidR="00C537AB" w:rsidRPr="00A74983" w:rsidRDefault="00C537AB" w:rsidP="00C537AB">
      <w:pPr>
        <w:pStyle w:val="ListParagraph"/>
        <w:rPr>
          <w:rFonts w:ascii="Arial" w:hAnsi="Arial" w:cs="Arial"/>
          <w:sz w:val="24"/>
          <w:szCs w:val="24"/>
        </w:rPr>
      </w:pPr>
      <w:r w:rsidRPr="00A74983">
        <w:rPr>
          <w:rFonts w:ascii="Arial" w:hAnsi="Arial" w:cs="Arial"/>
          <w:sz w:val="24"/>
          <w:szCs w:val="24"/>
        </w:rPr>
        <w:t>The census data on general health show:</w:t>
      </w:r>
    </w:p>
    <w:p w14:paraId="17435677" w14:textId="77777777" w:rsidR="00C537AB" w:rsidRPr="00A74983" w:rsidRDefault="00C537AB" w:rsidP="00C537AB">
      <w:pPr>
        <w:pStyle w:val="ListParagraph"/>
        <w:rPr>
          <w:rFonts w:ascii="Arial" w:hAnsi="Arial" w:cs="Arial"/>
          <w:sz w:val="24"/>
          <w:szCs w:val="24"/>
        </w:rPr>
      </w:pPr>
    </w:p>
    <w:p w14:paraId="22A095DC" w14:textId="53E514F1" w:rsidR="00C537AB" w:rsidRPr="00A74983" w:rsidRDefault="00C537AB" w:rsidP="00C200E3">
      <w:pPr>
        <w:pStyle w:val="ListParagraph"/>
        <w:numPr>
          <w:ilvl w:val="0"/>
          <w:numId w:val="34"/>
        </w:numPr>
        <w:rPr>
          <w:rFonts w:ascii="Arial" w:hAnsi="Arial" w:cs="Arial"/>
          <w:sz w:val="24"/>
          <w:szCs w:val="24"/>
        </w:rPr>
      </w:pPr>
      <w:r w:rsidRPr="00A74983">
        <w:rPr>
          <w:rFonts w:ascii="Arial" w:hAnsi="Arial" w:cs="Arial"/>
          <w:sz w:val="24"/>
          <w:szCs w:val="24"/>
        </w:rPr>
        <w:t>an increase in the proportion of people reporting their health as very good to 47.5% (28.8 million) in 2021 (from 45.0%, 26.4 million, in 2011)</w:t>
      </w:r>
      <w:r w:rsidR="00C200E3" w:rsidRPr="00A74983">
        <w:rPr>
          <w:rFonts w:ascii="Arial" w:hAnsi="Arial" w:cs="Arial"/>
          <w:sz w:val="24"/>
          <w:szCs w:val="24"/>
        </w:rPr>
        <w:br/>
      </w:r>
    </w:p>
    <w:p w14:paraId="05A1CDE6" w14:textId="2564A693" w:rsidR="00C537AB" w:rsidRPr="00A74983" w:rsidRDefault="00C537AB" w:rsidP="00FF0122">
      <w:pPr>
        <w:pStyle w:val="ListParagraph"/>
        <w:numPr>
          <w:ilvl w:val="0"/>
          <w:numId w:val="34"/>
        </w:numPr>
        <w:rPr>
          <w:rFonts w:ascii="Arial" w:hAnsi="Arial" w:cs="Arial"/>
          <w:sz w:val="24"/>
          <w:szCs w:val="24"/>
        </w:rPr>
      </w:pPr>
      <w:r w:rsidRPr="00A74983">
        <w:rPr>
          <w:rFonts w:ascii="Arial" w:hAnsi="Arial" w:cs="Arial"/>
          <w:sz w:val="24"/>
          <w:szCs w:val="24"/>
        </w:rPr>
        <w:t>a smaller proportion but larger number of people reporting their health as good, to 34.1% (20.0 million) in 2021 (from 34.6%, 19.1 million in 2011)</w:t>
      </w:r>
    </w:p>
    <w:p w14:paraId="2B64B424" w14:textId="4B5E4080" w:rsidR="00C537AB" w:rsidRPr="00A74983" w:rsidRDefault="00C537AB" w:rsidP="00C537AB">
      <w:pPr>
        <w:pStyle w:val="ListParagraph"/>
        <w:rPr>
          <w:rFonts w:ascii="Arial" w:hAnsi="Arial" w:cs="Arial"/>
          <w:sz w:val="24"/>
          <w:szCs w:val="24"/>
        </w:rPr>
      </w:pPr>
    </w:p>
    <w:p w14:paraId="515F9CC6" w14:textId="112B66DF" w:rsidR="00C537AB" w:rsidRPr="00A74983" w:rsidRDefault="00C537AB" w:rsidP="00FF0122">
      <w:pPr>
        <w:pStyle w:val="ListParagraph"/>
        <w:numPr>
          <w:ilvl w:val="0"/>
          <w:numId w:val="34"/>
        </w:numPr>
        <w:rPr>
          <w:rFonts w:ascii="Arial" w:hAnsi="Arial" w:cs="Arial"/>
          <w:sz w:val="24"/>
          <w:szCs w:val="24"/>
        </w:rPr>
      </w:pPr>
      <w:r w:rsidRPr="00A74983">
        <w:rPr>
          <w:rFonts w:ascii="Arial" w:hAnsi="Arial" w:cs="Arial"/>
          <w:sz w:val="24"/>
          <w:szCs w:val="24"/>
        </w:rPr>
        <w:t>a decrease in the proportion of people reporting their health as fair, to 13.1% (7.6 million) in 2021 (from 14.3%, 7.4 million in 2011)</w:t>
      </w:r>
    </w:p>
    <w:p w14:paraId="5C0E2DA5" w14:textId="77777777" w:rsidR="00C537AB" w:rsidRPr="00A74983" w:rsidRDefault="00C537AB" w:rsidP="00C537AB">
      <w:pPr>
        <w:pStyle w:val="ListParagraph"/>
        <w:rPr>
          <w:rFonts w:ascii="Arial" w:hAnsi="Arial" w:cs="Arial"/>
          <w:sz w:val="24"/>
          <w:szCs w:val="24"/>
        </w:rPr>
      </w:pPr>
    </w:p>
    <w:p w14:paraId="26FA0B5A" w14:textId="77EA3E06" w:rsidR="00C537AB" w:rsidRPr="00A74983" w:rsidRDefault="00C537AB" w:rsidP="00FF0122">
      <w:pPr>
        <w:pStyle w:val="ListParagraph"/>
        <w:numPr>
          <w:ilvl w:val="0"/>
          <w:numId w:val="34"/>
        </w:numPr>
        <w:rPr>
          <w:rFonts w:ascii="Arial" w:hAnsi="Arial" w:cs="Arial"/>
          <w:sz w:val="24"/>
          <w:szCs w:val="24"/>
        </w:rPr>
      </w:pPr>
      <w:r w:rsidRPr="00A74983">
        <w:rPr>
          <w:rFonts w:ascii="Arial" w:hAnsi="Arial" w:cs="Arial"/>
          <w:sz w:val="24"/>
          <w:szCs w:val="24"/>
        </w:rPr>
        <w:t>a smaller proportion, but similar number of people reporting their health as bad, to 4.2% (2.4 million) in 2021 (from 4.7%, 2.4 million in 2011)</w:t>
      </w:r>
    </w:p>
    <w:p w14:paraId="61925190" w14:textId="4CC503F1" w:rsidR="00C537AB" w:rsidRPr="00A74983" w:rsidRDefault="00C537AB" w:rsidP="00C537AB">
      <w:pPr>
        <w:pStyle w:val="ListParagraph"/>
        <w:rPr>
          <w:rFonts w:ascii="Arial" w:hAnsi="Arial" w:cs="Arial"/>
          <w:sz w:val="24"/>
          <w:szCs w:val="24"/>
        </w:rPr>
      </w:pPr>
    </w:p>
    <w:p w14:paraId="7BB18396" w14:textId="3D3506E6" w:rsidR="00633904" w:rsidRPr="00A74983" w:rsidRDefault="00B66457" w:rsidP="00FF0122">
      <w:pPr>
        <w:pStyle w:val="ListParagraph"/>
        <w:numPr>
          <w:ilvl w:val="0"/>
          <w:numId w:val="34"/>
        </w:numPr>
        <w:rPr>
          <w:rFonts w:ascii="Arial" w:hAnsi="Arial" w:cs="Arial"/>
          <w:sz w:val="24"/>
          <w:szCs w:val="24"/>
        </w:rPr>
      </w:pPr>
      <w:r w:rsidRPr="00A74983">
        <w:rPr>
          <w:rFonts w:ascii="Arial" w:hAnsi="Arial" w:cs="Arial"/>
          <w:noProof/>
          <w:sz w:val="24"/>
          <w:szCs w:val="24"/>
        </w:rPr>
        <w:drawing>
          <wp:anchor distT="0" distB="0" distL="114300" distR="114300" simplePos="0" relativeHeight="251658244" behindDoc="1" locked="0" layoutInCell="1" allowOverlap="1" wp14:anchorId="216008AD" wp14:editId="2DD54492">
            <wp:simplePos x="0" y="0"/>
            <wp:positionH relativeFrom="column">
              <wp:posOffset>3593465</wp:posOffset>
            </wp:positionH>
            <wp:positionV relativeFrom="paragraph">
              <wp:posOffset>127635</wp:posOffset>
            </wp:positionV>
            <wp:extent cx="2241550" cy="2244725"/>
            <wp:effectExtent l="0" t="0" r="6350" b="3175"/>
            <wp:wrapTight wrapText="bothSides">
              <wp:wrapPolygon edited="0">
                <wp:start x="0" y="0"/>
                <wp:lineTo x="0" y="21447"/>
                <wp:lineTo x="21478" y="21447"/>
                <wp:lineTo x="21478" y="0"/>
                <wp:lineTo x="0" y="0"/>
              </wp:wrapPolygon>
            </wp:wrapTight>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rotWithShape="1">
                    <a:blip r:embed="rId11">
                      <a:extLst>
                        <a:ext uri="{28A0092B-C50C-407E-A947-70E740481C1C}">
                          <a14:useLocalDpi xmlns:a14="http://schemas.microsoft.com/office/drawing/2010/main" val="0"/>
                        </a:ext>
                      </a:extLst>
                    </a:blip>
                    <a:srcRect t="18745" r="12291"/>
                    <a:stretch/>
                  </pic:blipFill>
                  <pic:spPr bwMode="auto">
                    <a:xfrm>
                      <a:off x="0" y="0"/>
                      <a:ext cx="2241550" cy="22447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37AB" w:rsidRPr="00A74983">
        <w:rPr>
          <w:rFonts w:ascii="Arial" w:hAnsi="Arial" w:cs="Arial"/>
          <w:sz w:val="24"/>
          <w:szCs w:val="24"/>
        </w:rPr>
        <w:t>a decrease in the proportion of people reporting their health as very bad, to 1.2% (715,000) in 2021 (from 1.4%, 716,000 in 2011)”</w:t>
      </w:r>
    </w:p>
    <w:p w14:paraId="76C9F7DE" w14:textId="20E0873F" w:rsidR="00880D72" w:rsidRPr="00A74983" w:rsidRDefault="00880D72" w:rsidP="00880D72">
      <w:pPr>
        <w:rPr>
          <w:rFonts w:ascii="Arial" w:hAnsi="Arial" w:cs="Arial"/>
          <w:i/>
          <w:iCs/>
          <w:sz w:val="20"/>
          <w:szCs w:val="20"/>
        </w:rPr>
      </w:pPr>
    </w:p>
    <w:p w14:paraId="0110AACF" w14:textId="47BEB9A2" w:rsidR="00880D72" w:rsidRPr="00A74983" w:rsidRDefault="00880D72" w:rsidP="00880D72">
      <w:pPr>
        <w:rPr>
          <w:rFonts w:ascii="Arial" w:hAnsi="Arial" w:cs="Arial"/>
          <w:i/>
          <w:iCs/>
          <w:sz w:val="20"/>
          <w:szCs w:val="20"/>
        </w:rPr>
      </w:pPr>
    </w:p>
    <w:p w14:paraId="720CA3B7" w14:textId="77777777" w:rsidR="00880D72" w:rsidRPr="00A74983" w:rsidRDefault="00880D72" w:rsidP="00880D72">
      <w:pPr>
        <w:rPr>
          <w:rFonts w:ascii="Arial" w:hAnsi="Arial" w:cs="Arial"/>
          <w:i/>
          <w:iCs/>
          <w:sz w:val="20"/>
          <w:szCs w:val="20"/>
        </w:rPr>
      </w:pPr>
    </w:p>
    <w:p w14:paraId="74275914" w14:textId="77777777" w:rsidR="00880D72" w:rsidRPr="00A74983" w:rsidRDefault="00880D72" w:rsidP="00880D72">
      <w:pPr>
        <w:rPr>
          <w:rFonts w:ascii="Arial" w:hAnsi="Arial" w:cs="Arial"/>
          <w:i/>
          <w:iCs/>
          <w:sz w:val="20"/>
          <w:szCs w:val="20"/>
        </w:rPr>
      </w:pPr>
    </w:p>
    <w:p w14:paraId="76D26C5E" w14:textId="77777777" w:rsidR="00880D72" w:rsidRPr="00A74983" w:rsidRDefault="00880D72" w:rsidP="00880D72">
      <w:pPr>
        <w:rPr>
          <w:rFonts w:ascii="Arial" w:hAnsi="Arial" w:cs="Arial"/>
          <w:i/>
          <w:iCs/>
          <w:sz w:val="20"/>
          <w:szCs w:val="20"/>
        </w:rPr>
      </w:pPr>
    </w:p>
    <w:p w14:paraId="3316ADC9" w14:textId="77777777" w:rsidR="00880D72" w:rsidRPr="00A74983" w:rsidRDefault="00880D72" w:rsidP="00880D72">
      <w:pPr>
        <w:rPr>
          <w:rFonts w:ascii="Arial" w:hAnsi="Arial" w:cs="Arial"/>
          <w:i/>
          <w:iCs/>
          <w:sz w:val="20"/>
          <w:szCs w:val="20"/>
        </w:rPr>
      </w:pPr>
    </w:p>
    <w:p w14:paraId="784CB1AB" w14:textId="4E7A2C7A" w:rsidR="00574E71" w:rsidRPr="00A74983" w:rsidRDefault="007A5C1C" w:rsidP="00B66457">
      <w:pPr>
        <w:jc w:val="right"/>
        <w:rPr>
          <w:rFonts w:ascii="Arial" w:hAnsi="Arial" w:cs="Arial"/>
        </w:rPr>
      </w:pPr>
      <w:r w:rsidRPr="00A74983">
        <w:rPr>
          <w:rFonts w:ascii="Arial" w:hAnsi="Arial" w:cs="Arial"/>
          <w:i/>
          <w:iCs/>
          <w:sz w:val="20"/>
          <w:szCs w:val="20"/>
        </w:rPr>
        <w:t>Figure 1 (</w:t>
      </w:r>
      <w:r w:rsidR="008E20A5" w:rsidRPr="00A74983">
        <w:rPr>
          <w:rFonts w:ascii="Arial" w:hAnsi="Arial" w:cs="Arial"/>
          <w:i/>
          <w:iCs/>
          <w:color w:val="1F1F1F"/>
          <w:sz w:val="20"/>
          <w:szCs w:val="20"/>
        </w:rPr>
        <w:t xml:space="preserve">Source: </w:t>
      </w:r>
      <w:hyperlink r:id="rId12" w:history="1">
        <w:r w:rsidR="008E20A5" w:rsidRPr="00A74983">
          <w:rPr>
            <w:rStyle w:val="Hyperlink"/>
            <w:rFonts w:ascii="Arial" w:hAnsi="Arial" w:cs="Arial"/>
            <w:i/>
            <w:iCs/>
            <w:sz w:val="20"/>
            <w:szCs w:val="20"/>
          </w:rPr>
          <w:t>ons.gov.uk</w:t>
        </w:r>
      </w:hyperlink>
      <w:r w:rsidRPr="00A74983">
        <w:rPr>
          <w:rFonts w:ascii="Arial" w:hAnsi="Arial" w:cs="Arial"/>
          <w:i/>
          <w:iCs/>
          <w:color w:val="1F1F1F"/>
          <w:sz w:val="20"/>
          <w:szCs w:val="20"/>
        </w:rPr>
        <w:t>)</w:t>
      </w:r>
    </w:p>
    <w:p w14:paraId="03AFEA82" w14:textId="26B010CF" w:rsidR="00B65B94" w:rsidRPr="00A74983" w:rsidRDefault="001D6FFB" w:rsidP="00793A27">
      <w:pPr>
        <w:jc w:val="center"/>
        <w:rPr>
          <w:rFonts w:ascii="Arial" w:hAnsi="Arial" w:cs="Arial"/>
          <w:b/>
          <w:bCs/>
          <w:color w:val="1F1F1F"/>
          <w:sz w:val="28"/>
          <w:szCs w:val="28"/>
          <w:u w:val="single"/>
        </w:rPr>
      </w:pPr>
      <w:r w:rsidRPr="00A74983">
        <w:rPr>
          <w:rFonts w:ascii="Arial" w:hAnsi="Arial" w:cs="Arial"/>
          <w:b/>
          <w:bCs/>
          <w:color w:val="1F1F1F"/>
          <w:sz w:val="28"/>
          <w:szCs w:val="28"/>
          <w:u w:val="single"/>
        </w:rPr>
        <w:br w:type="page"/>
      </w:r>
      <w:r w:rsidR="00F36629" w:rsidRPr="00A74983">
        <w:rPr>
          <w:rFonts w:ascii="Arial" w:hAnsi="Arial" w:cs="Arial"/>
          <w:b/>
          <w:bCs/>
          <w:color w:val="1F1F1F"/>
          <w:sz w:val="28"/>
          <w:szCs w:val="28"/>
          <w:u w:val="single"/>
        </w:rPr>
        <w:lastRenderedPageBreak/>
        <w:t>General Health</w:t>
      </w:r>
      <w:r w:rsidR="00343BFF" w:rsidRPr="00A74983">
        <w:rPr>
          <w:rFonts w:ascii="Arial" w:hAnsi="Arial" w:cs="Arial"/>
          <w:b/>
          <w:bCs/>
          <w:color w:val="1F1F1F"/>
          <w:sz w:val="28"/>
          <w:szCs w:val="28"/>
          <w:u w:val="single"/>
        </w:rPr>
        <w:t xml:space="preserve"> in Leicester</w:t>
      </w:r>
    </w:p>
    <w:p w14:paraId="0A8B6E23" w14:textId="68312C65" w:rsidR="008E3D1F" w:rsidRPr="00A74983" w:rsidRDefault="008E3D1F" w:rsidP="00793A27">
      <w:pPr>
        <w:jc w:val="center"/>
        <w:rPr>
          <w:rFonts w:ascii="Arial" w:hAnsi="Arial" w:cs="Arial"/>
          <w:b/>
          <w:bCs/>
          <w:color w:val="1F1F1F"/>
          <w:sz w:val="28"/>
          <w:szCs w:val="28"/>
          <w:u w:val="single"/>
        </w:rPr>
      </w:pPr>
    </w:p>
    <w:p w14:paraId="6F779646" w14:textId="5D691F02" w:rsidR="008E3D1F" w:rsidRPr="00A74983" w:rsidRDefault="00835CFC" w:rsidP="00A301EF">
      <w:pPr>
        <w:jc w:val="center"/>
        <w:rPr>
          <w:rFonts w:ascii="Arial" w:hAnsi="Arial" w:cs="Arial"/>
          <w:b/>
          <w:bCs/>
          <w:color w:val="1F1F1F"/>
          <w:sz w:val="28"/>
          <w:szCs w:val="28"/>
          <w:u w:val="single"/>
        </w:rPr>
      </w:pPr>
      <w:r w:rsidRPr="00A74983">
        <w:rPr>
          <w:rFonts w:ascii="Arial" w:hAnsi="Arial" w:cs="Arial"/>
          <w:noProof/>
        </w:rPr>
        <w:drawing>
          <wp:anchor distT="0" distB="0" distL="114300" distR="114300" simplePos="0" relativeHeight="251658246" behindDoc="1" locked="0" layoutInCell="1" allowOverlap="1" wp14:anchorId="28F03FD5" wp14:editId="5C933546">
            <wp:simplePos x="0" y="0"/>
            <wp:positionH relativeFrom="column">
              <wp:posOffset>3322377</wp:posOffset>
            </wp:positionH>
            <wp:positionV relativeFrom="paragraph">
              <wp:posOffset>360045</wp:posOffset>
            </wp:positionV>
            <wp:extent cx="3195320" cy="2127250"/>
            <wp:effectExtent l="0" t="0" r="5080" b="6350"/>
            <wp:wrapTight wrapText="bothSides">
              <wp:wrapPolygon edited="0">
                <wp:start x="0" y="0"/>
                <wp:lineTo x="0" y="21471"/>
                <wp:lineTo x="21506" y="21471"/>
                <wp:lineTo x="21506" y="0"/>
                <wp:lineTo x="0" y="0"/>
              </wp:wrapPolygon>
            </wp:wrapTight>
            <wp:docPr id="15" name="Chart 15">
              <a:extLst xmlns:a="http://schemas.openxmlformats.org/drawingml/2006/main">
                <a:ext uri="{FF2B5EF4-FFF2-40B4-BE49-F238E27FC236}">
                  <a16:creationId xmlns:a16="http://schemas.microsoft.com/office/drawing/2014/main" id="{881491FE-5CD0-BD87-8F6F-5E844557523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r w:rsidRPr="00A74983">
        <w:rPr>
          <w:rFonts w:ascii="Arial" w:hAnsi="Arial" w:cs="Arial"/>
          <w:noProof/>
        </w:rPr>
        <w:drawing>
          <wp:anchor distT="0" distB="0" distL="114300" distR="114300" simplePos="0" relativeHeight="251658245" behindDoc="1" locked="0" layoutInCell="1" allowOverlap="1" wp14:anchorId="507AA021" wp14:editId="6AA28CCB">
            <wp:simplePos x="0" y="0"/>
            <wp:positionH relativeFrom="column">
              <wp:posOffset>-529370</wp:posOffset>
            </wp:positionH>
            <wp:positionV relativeFrom="paragraph">
              <wp:posOffset>168910</wp:posOffset>
            </wp:positionV>
            <wp:extent cx="3657600" cy="2321781"/>
            <wp:effectExtent l="0" t="0" r="0" b="2540"/>
            <wp:wrapTight wrapText="bothSides">
              <wp:wrapPolygon edited="0">
                <wp:start x="0" y="0"/>
                <wp:lineTo x="0" y="21446"/>
                <wp:lineTo x="21488" y="21446"/>
                <wp:lineTo x="21488" y="0"/>
                <wp:lineTo x="0" y="0"/>
              </wp:wrapPolygon>
            </wp:wrapTight>
            <wp:docPr id="11" name="Chart 11">
              <a:extLst xmlns:a="http://schemas.openxmlformats.org/drawingml/2006/main">
                <a:ext uri="{FF2B5EF4-FFF2-40B4-BE49-F238E27FC236}">
                  <a16:creationId xmlns:a16="http://schemas.microsoft.com/office/drawing/2014/main" id="{8CC9A18A-6965-9550-4E58-34C50E9E7BA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p>
    <w:p w14:paraId="019AB948" w14:textId="300F6981" w:rsidR="008E3D1F" w:rsidRPr="00A74983" w:rsidRDefault="008E3D1F" w:rsidP="008E3D1F">
      <w:pPr>
        <w:rPr>
          <w:rFonts w:ascii="Arial" w:hAnsi="Arial" w:cs="Arial"/>
          <w:i/>
          <w:iCs/>
          <w:sz w:val="20"/>
          <w:szCs w:val="20"/>
        </w:rPr>
      </w:pPr>
      <w:r w:rsidRPr="00A74983">
        <w:rPr>
          <w:rFonts w:ascii="Arial" w:hAnsi="Arial" w:cs="Arial"/>
          <w:i/>
          <w:iCs/>
          <w:sz w:val="20"/>
          <w:szCs w:val="20"/>
        </w:rPr>
        <w:t>Figures 2 &amp; 3</w:t>
      </w:r>
      <w:r w:rsidR="00186C77" w:rsidRPr="00A74983">
        <w:rPr>
          <w:rFonts w:ascii="Arial" w:hAnsi="Arial" w:cs="Arial"/>
          <w:i/>
          <w:iCs/>
          <w:sz w:val="20"/>
          <w:szCs w:val="20"/>
        </w:rPr>
        <w:t xml:space="preserve">: </w:t>
      </w:r>
      <w:r w:rsidR="009C2E03">
        <w:rPr>
          <w:rFonts w:ascii="Arial" w:hAnsi="Arial" w:cs="Arial"/>
          <w:i/>
          <w:iCs/>
          <w:sz w:val="20"/>
          <w:szCs w:val="20"/>
        </w:rPr>
        <w:t>A column graph and pie chart illustrating the general health of Leicester respondents from the 2021 Census data.</w:t>
      </w:r>
    </w:p>
    <w:p w14:paraId="62675218" w14:textId="2F5E1DB6" w:rsidR="003C1276" w:rsidRPr="00A74983" w:rsidRDefault="003C1276" w:rsidP="003217CA">
      <w:pPr>
        <w:pStyle w:val="NormalWeb"/>
        <w:shd w:val="clear" w:color="auto" w:fill="FFFFFF"/>
        <w:spacing w:before="0" w:beforeAutospacing="0" w:after="300" w:afterAutospacing="0"/>
        <w:jc w:val="center"/>
        <w:rPr>
          <w:rFonts w:ascii="Arial" w:hAnsi="Arial" w:cs="Arial"/>
          <w:color w:val="1F1F1F"/>
        </w:rPr>
      </w:pPr>
    </w:p>
    <w:p w14:paraId="5195EED6" w14:textId="7A4F46D8" w:rsidR="0046256E" w:rsidRPr="00A74983" w:rsidRDefault="00B65B94" w:rsidP="00F92B8E">
      <w:pPr>
        <w:pStyle w:val="NormalWeb"/>
        <w:shd w:val="clear" w:color="auto" w:fill="FFFFFF"/>
        <w:spacing w:after="300"/>
        <w:rPr>
          <w:rFonts w:ascii="Arial" w:hAnsi="Arial" w:cs="Arial"/>
          <w:color w:val="1F1F1F"/>
        </w:rPr>
      </w:pPr>
      <w:r w:rsidRPr="00A74983">
        <w:rPr>
          <w:rFonts w:ascii="Arial" w:hAnsi="Arial" w:cs="Arial"/>
          <w:color w:val="1F1F1F"/>
        </w:rPr>
        <w:t>Based on the above figures showin</w:t>
      </w:r>
      <w:r w:rsidR="00646B8C" w:rsidRPr="00A74983">
        <w:rPr>
          <w:rFonts w:ascii="Arial" w:hAnsi="Arial" w:cs="Arial"/>
          <w:color w:val="1F1F1F"/>
        </w:rPr>
        <w:t>g</w:t>
      </w:r>
      <w:r w:rsidR="000525E1" w:rsidRPr="00A74983">
        <w:rPr>
          <w:rFonts w:ascii="Arial" w:hAnsi="Arial" w:cs="Arial"/>
          <w:color w:val="1F1F1F"/>
        </w:rPr>
        <w:t xml:space="preserve"> </w:t>
      </w:r>
      <w:r w:rsidR="002B68CB" w:rsidRPr="00A74983">
        <w:rPr>
          <w:rFonts w:ascii="Arial" w:hAnsi="Arial" w:cs="Arial"/>
          <w:color w:val="1F1F1F"/>
        </w:rPr>
        <w:t xml:space="preserve">general health </w:t>
      </w:r>
      <w:r w:rsidRPr="00A74983">
        <w:rPr>
          <w:rFonts w:ascii="Arial" w:hAnsi="Arial" w:cs="Arial"/>
          <w:color w:val="1F1F1F"/>
        </w:rPr>
        <w:t>reported by Leicester residents in 2021, o</w:t>
      </w:r>
      <w:r w:rsidR="003C0EEF" w:rsidRPr="00A74983">
        <w:rPr>
          <w:rFonts w:ascii="Arial" w:hAnsi="Arial" w:cs="Arial"/>
          <w:color w:val="1F1F1F"/>
        </w:rPr>
        <w:t>ut of 368,57</w:t>
      </w:r>
      <w:r w:rsidR="002B68CB" w:rsidRPr="00A74983">
        <w:rPr>
          <w:rFonts w:ascii="Arial" w:hAnsi="Arial" w:cs="Arial"/>
          <w:color w:val="1F1F1F"/>
        </w:rPr>
        <w:t>1</w:t>
      </w:r>
      <w:r w:rsidR="003C0EEF" w:rsidRPr="00A74983">
        <w:rPr>
          <w:rFonts w:ascii="Arial" w:hAnsi="Arial" w:cs="Arial"/>
          <w:color w:val="1F1F1F"/>
        </w:rPr>
        <w:t xml:space="preserve"> usual residents, </w:t>
      </w:r>
      <w:r w:rsidR="00A301EF" w:rsidRPr="00A74983">
        <w:rPr>
          <w:rFonts w:ascii="Arial" w:hAnsi="Arial" w:cs="Arial"/>
          <w:color w:val="1F1F1F"/>
        </w:rPr>
        <w:t xml:space="preserve">a majority </w:t>
      </w:r>
      <w:r w:rsidR="00AF29D0" w:rsidRPr="00A74983">
        <w:rPr>
          <w:rFonts w:ascii="Arial" w:hAnsi="Arial" w:cs="Arial"/>
          <w:color w:val="1F1F1F"/>
        </w:rPr>
        <w:t>(</w:t>
      </w:r>
      <w:r w:rsidR="00B66457" w:rsidRPr="00A74983">
        <w:rPr>
          <w:rFonts w:ascii="Arial" w:hAnsi="Arial" w:cs="Arial"/>
          <w:color w:val="1F1F1F"/>
        </w:rPr>
        <w:t>81</w:t>
      </w:r>
      <w:r w:rsidR="007709E3" w:rsidRPr="00A74983">
        <w:rPr>
          <w:rFonts w:ascii="Arial" w:hAnsi="Arial" w:cs="Arial"/>
          <w:color w:val="1F1F1F"/>
        </w:rPr>
        <w:t>%</w:t>
      </w:r>
      <w:r w:rsidR="00AF29D0" w:rsidRPr="00A74983">
        <w:rPr>
          <w:rFonts w:ascii="Arial" w:hAnsi="Arial" w:cs="Arial"/>
          <w:color w:val="1F1F1F"/>
        </w:rPr>
        <w:t xml:space="preserve">) described their general health as either </w:t>
      </w:r>
      <w:r w:rsidR="00835CFC" w:rsidRPr="00A74983">
        <w:rPr>
          <w:rFonts w:ascii="Arial" w:hAnsi="Arial" w:cs="Arial"/>
          <w:color w:val="1F1F1F"/>
        </w:rPr>
        <w:t>“</w:t>
      </w:r>
      <w:r w:rsidR="00AF29D0" w:rsidRPr="00A74983">
        <w:rPr>
          <w:rFonts w:ascii="Arial" w:hAnsi="Arial" w:cs="Arial"/>
          <w:color w:val="1F1F1F"/>
        </w:rPr>
        <w:t>very good</w:t>
      </w:r>
      <w:r w:rsidR="00835CFC" w:rsidRPr="00A74983">
        <w:rPr>
          <w:rFonts w:ascii="Arial" w:hAnsi="Arial" w:cs="Arial"/>
          <w:color w:val="1F1F1F"/>
        </w:rPr>
        <w:t>”</w:t>
      </w:r>
      <w:r w:rsidR="00AF29D0" w:rsidRPr="00A74983">
        <w:rPr>
          <w:rFonts w:ascii="Arial" w:hAnsi="Arial" w:cs="Arial"/>
          <w:color w:val="1F1F1F"/>
        </w:rPr>
        <w:t xml:space="preserve"> (</w:t>
      </w:r>
      <w:r w:rsidR="007709E3" w:rsidRPr="00A74983">
        <w:rPr>
          <w:rFonts w:ascii="Arial" w:hAnsi="Arial" w:cs="Arial"/>
          <w:color w:val="1F1F1F"/>
        </w:rPr>
        <w:t>4</w:t>
      </w:r>
      <w:r w:rsidR="006464DF" w:rsidRPr="00A74983">
        <w:rPr>
          <w:rFonts w:ascii="Arial" w:hAnsi="Arial" w:cs="Arial"/>
          <w:color w:val="1F1F1F"/>
        </w:rPr>
        <w:t>8</w:t>
      </w:r>
      <w:r w:rsidR="007709E3" w:rsidRPr="00A74983">
        <w:rPr>
          <w:rFonts w:ascii="Arial" w:hAnsi="Arial" w:cs="Arial"/>
          <w:color w:val="1F1F1F"/>
        </w:rPr>
        <w:t>.8</w:t>
      </w:r>
      <w:r w:rsidR="00F94C37" w:rsidRPr="00A74983">
        <w:rPr>
          <w:rFonts w:ascii="Arial" w:hAnsi="Arial" w:cs="Arial"/>
          <w:color w:val="1F1F1F"/>
        </w:rPr>
        <w:t>%</w:t>
      </w:r>
      <w:r w:rsidR="00AF29D0" w:rsidRPr="00A74983">
        <w:rPr>
          <w:rFonts w:ascii="Arial" w:hAnsi="Arial" w:cs="Arial"/>
          <w:color w:val="1F1F1F"/>
        </w:rPr>
        <w:t xml:space="preserve">), or </w:t>
      </w:r>
      <w:r w:rsidR="00835CFC" w:rsidRPr="00A74983">
        <w:rPr>
          <w:rFonts w:ascii="Arial" w:hAnsi="Arial" w:cs="Arial"/>
          <w:color w:val="1F1F1F"/>
        </w:rPr>
        <w:t>“</w:t>
      </w:r>
      <w:r w:rsidR="00AF29D0" w:rsidRPr="00A74983">
        <w:rPr>
          <w:rFonts w:ascii="Arial" w:hAnsi="Arial" w:cs="Arial"/>
          <w:color w:val="1F1F1F"/>
        </w:rPr>
        <w:t>good</w:t>
      </w:r>
      <w:r w:rsidR="00835CFC" w:rsidRPr="00A74983">
        <w:rPr>
          <w:rFonts w:ascii="Arial" w:hAnsi="Arial" w:cs="Arial"/>
          <w:color w:val="1F1F1F"/>
        </w:rPr>
        <w:t>”</w:t>
      </w:r>
      <w:r w:rsidR="00F94C37" w:rsidRPr="00A74983">
        <w:rPr>
          <w:rFonts w:ascii="Arial" w:hAnsi="Arial" w:cs="Arial"/>
          <w:color w:val="1F1F1F"/>
        </w:rPr>
        <w:t xml:space="preserve"> (33.5%)</w:t>
      </w:r>
      <w:r w:rsidR="00AF29D0" w:rsidRPr="00A74983">
        <w:rPr>
          <w:rFonts w:ascii="Arial" w:hAnsi="Arial" w:cs="Arial"/>
          <w:color w:val="1F1F1F"/>
        </w:rPr>
        <w:t xml:space="preserve">. </w:t>
      </w:r>
      <w:r w:rsidR="00835CFC" w:rsidRPr="00A74983">
        <w:rPr>
          <w:rFonts w:ascii="Arial" w:hAnsi="Arial" w:cs="Arial"/>
          <w:color w:val="1F1F1F"/>
        </w:rPr>
        <w:t>W</w:t>
      </w:r>
      <w:r w:rsidR="00986825" w:rsidRPr="00A74983">
        <w:rPr>
          <w:rFonts w:ascii="Arial" w:hAnsi="Arial" w:cs="Arial"/>
          <w:color w:val="1F1F1F"/>
        </w:rPr>
        <w:t xml:space="preserve">hile </w:t>
      </w:r>
      <w:r w:rsidR="00F94C37" w:rsidRPr="00A74983">
        <w:rPr>
          <w:rFonts w:ascii="Arial" w:hAnsi="Arial" w:cs="Arial"/>
          <w:color w:val="1F1F1F"/>
        </w:rPr>
        <w:t>12.5</w:t>
      </w:r>
      <w:r w:rsidR="00A301EF" w:rsidRPr="00A74983">
        <w:rPr>
          <w:rFonts w:ascii="Arial" w:hAnsi="Arial" w:cs="Arial"/>
          <w:color w:val="1F1F1F"/>
        </w:rPr>
        <w:t xml:space="preserve">% </w:t>
      </w:r>
      <w:r w:rsidR="00835CFC" w:rsidRPr="00A74983">
        <w:rPr>
          <w:rFonts w:ascii="Arial" w:hAnsi="Arial" w:cs="Arial"/>
          <w:color w:val="1F1F1F"/>
        </w:rPr>
        <w:t>described their health as “fair”.</w:t>
      </w:r>
      <w:r w:rsidR="007134F1" w:rsidRPr="00A74983">
        <w:rPr>
          <w:rFonts w:ascii="Arial" w:hAnsi="Arial" w:cs="Arial"/>
          <w:color w:val="1F1F1F"/>
        </w:rPr>
        <w:t xml:space="preserve"> A smaller proportion of residents described their health as </w:t>
      </w:r>
      <w:r w:rsidR="00530871" w:rsidRPr="00A74983">
        <w:rPr>
          <w:rFonts w:ascii="Arial" w:hAnsi="Arial" w:cs="Arial"/>
          <w:color w:val="1F1F1F"/>
        </w:rPr>
        <w:t>“bad” (4%) or “very bad” (1.2%).</w:t>
      </w:r>
    </w:p>
    <w:p w14:paraId="01A2F509" w14:textId="4F9A7B88" w:rsidR="000525E1" w:rsidRPr="00A74983" w:rsidRDefault="004A2F3F" w:rsidP="004706DB">
      <w:pPr>
        <w:rPr>
          <w:rFonts w:ascii="Arial" w:hAnsi="Arial" w:cs="Arial"/>
          <w:sz w:val="24"/>
          <w:szCs w:val="24"/>
        </w:rPr>
      </w:pPr>
      <w:r w:rsidRPr="00A74983">
        <w:rPr>
          <w:rFonts w:ascii="Arial" w:hAnsi="Arial" w:cs="Arial"/>
          <w:sz w:val="24"/>
          <w:szCs w:val="24"/>
        </w:rPr>
        <w:t xml:space="preserve">Since the previous Census 2011, overall, the figures </w:t>
      </w:r>
      <w:r w:rsidR="00017E5C" w:rsidRPr="00A74983">
        <w:rPr>
          <w:rFonts w:ascii="Arial" w:hAnsi="Arial" w:cs="Arial"/>
          <w:sz w:val="24"/>
          <w:szCs w:val="24"/>
        </w:rPr>
        <w:t>have improved</w:t>
      </w:r>
      <w:r w:rsidR="00157407" w:rsidRPr="00A74983">
        <w:rPr>
          <w:rFonts w:ascii="Arial" w:hAnsi="Arial" w:cs="Arial"/>
          <w:sz w:val="24"/>
          <w:szCs w:val="24"/>
        </w:rPr>
        <w:t xml:space="preserve"> slightly</w:t>
      </w:r>
      <w:r w:rsidR="00017E5C" w:rsidRPr="00A74983">
        <w:rPr>
          <w:rFonts w:ascii="Arial" w:hAnsi="Arial" w:cs="Arial"/>
          <w:sz w:val="24"/>
          <w:szCs w:val="24"/>
        </w:rPr>
        <w:t>,</w:t>
      </w:r>
      <w:r w:rsidR="00157407" w:rsidRPr="00A74983">
        <w:rPr>
          <w:rFonts w:ascii="Arial" w:hAnsi="Arial" w:cs="Arial"/>
          <w:sz w:val="24"/>
          <w:szCs w:val="24"/>
        </w:rPr>
        <w:t xml:space="preserve"> </w:t>
      </w:r>
      <w:r w:rsidR="00652BBE" w:rsidRPr="00A74983">
        <w:rPr>
          <w:rFonts w:ascii="Arial" w:hAnsi="Arial" w:cs="Arial"/>
          <w:sz w:val="24"/>
          <w:szCs w:val="24"/>
        </w:rPr>
        <w:t xml:space="preserve">with </w:t>
      </w:r>
      <w:r w:rsidR="005F0B5A" w:rsidRPr="00A74983">
        <w:rPr>
          <w:rFonts w:ascii="Arial" w:hAnsi="Arial" w:cs="Arial"/>
          <w:sz w:val="24"/>
          <w:szCs w:val="24"/>
        </w:rPr>
        <w:t>an increase of respondents reporting</w:t>
      </w:r>
      <w:r w:rsidR="00652BBE" w:rsidRPr="00A74983">
        <w:rPr>
          <w:rFonts w:ascii="Arial" w:hAnsi="Arial" w:cs="Arial"/>
          <w:sz w:val="24"/>
          <w:szCs w:val="24"/>
        </w:rPr>
        <w:t xml:space="preserve"> “very good</w:t>
      </w:r>
      <w:r w:rsidR="00BD4B7B" w:rsidRPr="00A74983">
        <w:rPr>
          <w:rFonts w:ascii="Arial" w:hAnsi="Arial" w:cs="Arial"/>
          <w:sz w:val="24"/>
          <w:szCs w:val="24"/>
        </w:rPr>
        <w:t xml:space="preserve"> health</w:t>
      </w:r>
      <w:r w:rsidR="00652BBE" w:rsidRPr="00A74983">
        <w:rPr>
          <w:rFonts w:ascii="Arial" w:hAnsi="Arial" w:cs="Arial"/>
          <w:sz w:val="24"/>
          <w:szCs w:val="24"/>
        </w:rPr>
        <w:t>”</w:t>
      </w:r>
      <w:r w:rsidR="00BD4B7B" w:rsidRPr="00A74983">
        <w:rPr>
          <w:rFonts w:ascii="Arial" w:hAnsi="Arial" w:cs="Arial"/>
          <w:sz w:val="24"/>
          <w:szCs w:val="24"/>
        </w:rPr>
        <w:t xml:space="preserve">, from </w:t>
      </w:r>
      <w:r w:rsidR="00E77703" w:rsidRPr="00A74983">
        <w:rPr>
          <w:rFonts w:ascii="Arial" w:hAnsi="Arial" w:cs="Arial"/>
          <w:sz w:val="24"/>
          <w:szCs w:val="24"/>
        </w:rPr>
        <w:t>44.9%</w:t>
      </w:r>
      <w:r w:rsidR="00BD4B7B" w:rsidRPr="00A74983">
        <w:rPr>
          <w:rFonts w:ascii="Arial" w:hAnsi="Arial" w:cs="Arial"/>
          <w:sz w:val="24"/>
          <w:szCs w:val="24"/>
        </w:rPr>
        <w:t xml:space="preserve"> in 2011, to </w:t>
      </w:r>
      <w:r w:rsidR="00757A90" w:rsidRPr="00A74983">
        <w:rPr>
          <w:rFonts w:ascii="Arial" w:hAnsi="Arial" w:cs="Arial"/>
          <w:sz w:val="24"/>
          <w:szCs w:val="24"/>
        </w:rPr>
        <w:t>48,8% in 2021</w:t>
      </w:r>
      <w:r w:rsidR="00652BBE" w:rsidRPr="00A74983">
        <w:rPr>
          <w:rFonts w:ascii="Arial" w:hAnsi="Arial" w:cs="Arial"/>
          <w:sz w:val="24"/>
          <w:szCs w:val="24"/>
        </w:rPr>
        <w:t xml:space="preserve">. </w:t>
      </w:r>
      <w:r w:rsidR="00A12469" w:rsidRPr="00A74983">
        <w:rPr>
          <w:rFonts w:ascii="Arial" w:hAnsi="Arial" w:cs="Arial"/>
          <w:sz w:val="24"/>
          <w:szCs w:val="24"/>
        </w:rPr>
        <w:t>The proportion of Leicester residents describing their health as "very bad" decreased from 2.0% to 1.6%, while those describing their health as "bad" fell from 6.1% to 5.2%.</w:t>
      </w:r>
    </w:p>
    <w:p w14:paraId="6083AADD" w14:textId="555EB1B0" w:rsidR="004F5287" w:rsidRPr="00A74983" w:rsidRDefault="008E20A5" w:rsidP="004706DB">
      <w:pPr>
        <w:rPr>
          <w:rFonts w:ascii="Arial" w:hAnsi="Arial" w:cs="Arial"/>
          <w:sz w:val="24"/>
          <w:szCs w:val="24"/>
        </w:rPr>
      </w:pPr>
      <w:r w:rsidRPr="00A74983">
        <w:rPr>
          <w:rFonts w:ascii="Arial" w:hAnsi="Arial" w:cs="Arial"/>
          <w:sz w:val="24"/>
          <w:szCs w:val="24"/>
        </w:rPr>
        <w:t>The following figures show th</w:t>
      </w:r>
      <w:r w:rsidR="00017E5C" w:rsidRPr="00A74983">
        <w:rPr>
          <w:rFonts w:ascii="Arial" w:hAnsi="Arial" w:cs="Arial"/>
          <w:sz w:val="24"/>
          <w:szCs w:val="24"/>
        </w:rPr>
        <w:t>ese changes</w:t>
      </w:r>
      <w:r w:rsidRPr="00A74983">
        <w:rPr>
          <w:rFonts w:ascii="Arial" w:hAnsi="Arial" w:cs="Arial"/>
          <w:sz w:val="24"/>
          <w:szCs w:val="24"/>
        </w:rPr>
        <w:t xml:space="preserve"> with figures of 2011 for comparison over the last decade.</w:t>
      </w:r>
      <w:r w:rsidR="006C4BF6" w:rsidRPr="00A74983">
        <w:rPr>
          <w:rFonts w:ascii="Arial" w:hAnsi="Arial" w:cs="Arial"/>
          <w:sz w:val="24"/>
          <w:szCs w:val="24"/>
        </w:rPr>
        <w:br/>
      </w:r>
    </w:p>
    <w:tbl>
      <w:tblPr>
        <w:tblW w:w="58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3584"/>
        <w:gridCol w:w="1143"/>
        <w:gridCol w:w="1104"/>
      </w:tblGrid>
      <w:tr w:rsidR="006C4BF6" w:rsidRPr="00A74983" w14:paraId="5F15AE4C" w14:textId="77777777" w:rsidTr="00E902E3">
        <w:trPr>
          <w:trHeight w:val="257"/>
          <w:jc w:val="center"/>
        </w:trPr>
        <w:tc>
          <w:tcPr>
            <w:tcW w:w="5831" w:type="dxa"/>
            <w:gridSpan w:val="3"/>
            <w:tcBorders>
              <w:top w:val="nil"/>
              <w:left w:val="nil"/>
              <w:right w:val="nil"/>
            </w:tcBorders>
            <w:shd w:val="clear" w:color="auto" w:fill="auto"/>
            <w:noWrap/>
            <w:vAlign w:val="bottom"/>
          </w:tcPr>
          <w:p w14:paraId="1AAC2381" w14:textId="3F3E71A8" w:rsidR="006C4BF6" w:rsidRPr="00A74983" w:rsidRDefault="006C4BF6"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General Health in Leicester in 2021, compared with 2011.</w:t>
            </w:r>
          </w:p>
          <w:p w14:paraId="58DADB23" w14:textId="77777777" w:rsidR="006C4BF6" w:rsidRPr="00A74983" w:rsidRDefault="006C4BF6" w:rsidP="00E31025">
            <w:pPr>
              <w:spacing w:after="0" w:line="240" w:lineRule="auto"/>
              <w:jc w:val="center"/>
              <w:rPr>
                <w:rFonts w:ascii="Arial" w:eastAsia="Times New Roman" w:hAnsi="Arial" w:cs="Arial"/>
                <w:color w:val="000000"/>
                <w:sz w:val="24"/>
                <w:szCs w:val="24"/>
                <w:lang w:eastAsia="en-GB"/>
              </w:rPr>
            </w:pPr>
          </w:p>
        </w:tc>
      </w:tr>
      <w:tr w:rsidR="006C4BF6" w:rsidRPr="00A74983" w14:paraId="54B7F2D6" w14:textId="77777777" w:rsidTr="00E902E3">
        <w:trPr>
          <w:trHeight w:val="257"/>
          <w:jc w:val="center"/>
        </w:trPr>
        <w:tc>
          <w:tcPr>
            <w:tcW w:w="3584" w:type="dxa"/>
            <w:shd w:val="clear" w:color="auto" w:fill="70AD47" w:themeFill="accent6"/>
            <w:noWrap/>
            <w:vAlign w:val="bottom"/>
            <w:hideMark/>
          </w:tcPr>
          <w:p w14:paraId="5DCC789E" w14:textId="77777777" w:rsidR="006C4BF6" w:rsidRPr="00A74983" w:rsidRDefault="006C4BF6" w:rsidP="00E31025">
            <w:pPr>
              <w:spacing w:after="0" w:line="240" w:lineRule="auto"/>
              <w:rPr>
                <w:rFonts w:ascii="Arial" w:eastAsia="Times New Roman" w:hAnsi="Arial" w:cs="Arial"/>
                <w:sz w:val="24"/>
                <w:szCs w:val="24"/>
                <w:u w:val="single"/>
                <w:lang w:eastAsia="en-GB"/>
              </w:rPr>
            </w:pPr>
          </w:p>
        </w:tc>
        <w:tc>
          <w:tcPr>
            <w:tcW w:w="1143" w:type="dxa"/>
            <w:noWrap/>
            <w:vAlign w:val="bottom"/>
            <w:hideMark/>
          </w:tcPr>
          <w:p w14:paraId="083C2B88" w14:textId="77777777" w:rsidR="006C4BF6" w:rsidRPr="00A74983" w:rsidRDefault="006C4BF6"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2021</w:t>
            </w:r>
          </w:p>
        </w:tc>
        <w:tc>
          <w:tcPr>
            <w:tcW w:w="1103" w:type="dxa"/>
            <w:noWrap/>
            <w:vAlign w:val="bottom"/>
            <w:hideMark/>
          </w:tcPr>
          <w:p w14:paraId="075EA3A0" w14:textId="77777777" w:rsidR="006C4BF6" w:rsidRPr="00A74983" w:rsidRDefault="006C4BF6"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2011</w:t>
            </w:r>
          </w:p>
        </w:tc>
      </w:tr>
      <w:tr w:rsidR="006C4BF6" w:rsidRPr="00A74983" w14:paraId="030FBE8A" w14:textId="77777777" w:rsidTr="00E902E3">
        <w:trPr>
          <w:trHeight w:val="257"/>
          <w:jc w:val="center"/>
        </w:trPr>
        <w:tc>
          <w:tcPr>
            <w:tcW w:w="3584" w:type="dxa"/>
            <w:noWrap/>
            <w:vAlign w:val="bottom"/>
          </w:tcPr>
          <w:p w14:paraId="2FEBE10C" w14:textId="59DA5797" w:rsidR="006C4BF6" w:rsidRPr="00A74983" w:rsidRDefault="006C4BF6"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Very Good Health</w:t>
            </w:r>
          </w:p>
        </w:tc>
        <w:tc>
          <w:tcPr>
            <w:tcW w:w="1143" w:type="dxa"/>
            <w:shd w:val="clear" w:color="auto" w:fill="E2EFD9" w:themeFill="accent6" w:themeFillTint="33"/>
            <w:noWrap/>
            <w:vAlign w:val="bottom"/>
          </w:tcPr>
          <w:p w14:paraId="07255305" w14:textId="658AFAD3" w:rsidR="006C4BF6" w:rsidRPr="00A74983" w:rsidRDefault="007E498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179,719</w:t>
            </w:r>
          </w:p>
        </w:tc>
        <w:tc>
          <w:tcPr>
            <w:tcW w:w="1103" w:type="dxa"/>
            <w:shd w:val="clear" w:color="auto" w:fill="E2EFD9" w:themeFill="accent6" w:themeFillTint="33"/>
            <w:noWrap/>
            <w:vAlign w:val="bottom"/>
          </w:tcPr>
          <w:p w14:paraId="3DEE8922" w14:textId="63C99E18" w:rsidR="006C4BF6" w:rsidRPr="00A74983" w:rsidRDefault="007E498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148,108</w:t>
            </w:r>
          </w:p>
        </w:tc>
      </w:tr>
      <w:tr w:rsidR="006C4BF6" w:rsidRPr="00A74983" w14:paraId="16827F2A" w14:textId="77777777" w:rsidTr="00E902E3">
        <w:trPr>
          <w:trHeight w:val="257"/>
          <w:jc w:val="center"/>
        </w:trPr>
        <w:tc>
          <w:tcPr>
            <w:tcW w:w="3584" w:type="dxa"/>
            <w:noWrap/>
            <w:vAlign w:val="bottom"/>
          </w:tcPr>
          <w:p w14:paraId="0E0D57CD" w14:textId="08F3FEFC" w:rsidR="006C4BF6" w:rsidRPr="00A74983" w:rsidRDefault="006C4BF6"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Good Health</w:t>
            </w:r>
          </w:p>
        </w:tc>
        <w:tc>
          <w:tcPr>
            <w:tcW w:w="1143" w:type="dxa"/>
            <w:shd w:val="clear" w:color="auto" w:fill="E2EFD9" w:themeFill="accent6" w:themeFillTint="33"/>
            <w:noWrap/>
            <w:vAlign w:val="bottom"/>
          </w:tcPr>
          <w:p w14:paraId="30EE18A3" w14:textId="557518E2" w:rsidR="006C4BF6" w:rsidRPr="00A74983" w:rsidRDefault="005F625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123,425</w:t>
            </w:r>
          </w:p>
        </w:tc>
        <w:tc>
          <w:tcPr>
            <w:tcW w:w="1103" w:type="dxa"/>
            <w:shd w:val="clear" w:color="auto" w:fill="E2EFD9" w:themeFill="accent6" w:themeFillTint="33"/>
            <w:noWrap/>
            <w:vAlign w:val="bottom"/>
          </w:tcPr>
          <w:p w14:paraId="3933E26F" w14:textId="3E71FC05" w:rsidR="006C4BF6" w:rsidRPr="00A74983" w:rsidRDefault="005F625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117,551</w:t>
            </w:r>
          </w:p>
        </w:tc>
      </w:tr>
      <w:tr w:rsidR="006C4BF6" w:rsidRPr="00A74983" w14:paraId="62B986B4" w14:textId="77777777" w:rsidTr="00E902E3">
        <w:trPr>
          <w:trHeight w:val="257"/>
          <w:jc w:val="center"/>
        </w:trPr>
        <w:tc>
          <w:tcPr>
            <w:tcW w:w="3584" w:type="dxa"/>
            <w:noWrap/>
            <w:vAlign w:val="bottom"/>
          </w:tcPr>
          <w:p w14:paraId="275522A2" w14:textId="313F2338" w:rsidR="006C4BF6" w:rsidRPr="00A74983" w:rsidRDefault="006C4BF6"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Fair Health</w:t>
            </w:r>
          </w:p>
        </w:tc>
        <w:tc>
          <w:tcPr>
            <w:tcW w:w="1143" w:type="dxa"/>
            <w:shd w:val="clear" w:color="auto" w:fill="E2EFD9" w:themeFill="accent6" w:themeFillTint="33"/>
            <w:noWrap/>
            <w:vAlign w:val="bottom"/>
          </w:tcPr>
          <w:p w14:paraId="081E796C" w14:textId="28D8B3DA" w:rsidR="006C4BF6" w:rsidRPr="00A74983" w:rsidRDefault="005F625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46,156</w:t>
            </w:r>
          </w:p>
        </w:tc>
        <w:tc>
          <w:tcPr>
            <w:tcW w:w="1103" w:type="dxa"/>
            <w:shd w:val="clear" w:color="auto" w:fill="E2EFD9" w:themeFill="accent6" w:themeFillTint="33"/>
            <w:noWrap/>
            <w:vAlign w:val="bottom"/>
          </w:tcPr>
          <w:p w14:paraId="1424CC2D" w14:textId="1514E79A" w:rsidR="006C4BF6" w:rsidRPr="00A74983" w:rsidRDefault="005F625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44,278</w:t>
            </w:r>
          </w:p>
        </w:tc>
      </w:tr>
      <w:tr w:rsidR="006C4BF6" w:rsidRPr="00A74983" w14:paraId="581127E8" w14:textId="77777777" w:rsidTr="00E902E3">
        <w:trPr>
          <w:trHeight w:val="257"/>
          <w:jc w:val="center"/>
        </w:trPr>
        <w:tc>
          <w:tcPr>
            <w:tcW w:w="3584" w:type="dxa"/>
            <w:noWrap/>
            <w:vAlign w:val="bottom"/>
          </w:tcPr>
          <w:p w14:paraId="0271959D" w14:textId="7798A653" w:rsidR="006C4BF6" w:rsidRPr="00A74983" w:rsidRDefault="006C4BF6"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Bad Health</w:t>
            </w:r>
          </w:p>
        </w:tc>
        <w:tc>
          <w:tcPr>
            <w:tcW w:w="1143" w:type="dxa"/>
            <w:shd w:val="clear" w:color="auto" w:fill="E2EFD9" w:themeFill="accent6" w:themeFillTint="33"/>
            <w:noWrap/>
            <w:vAlign w:val="bottom"/>
          </w:tcPr>
          <w:p w14:paraId="5A8562ED" w14:textId="5A7EA188" w:rsidR="006C4BF6" w:rsidRPr="00A74983" w:rsidRDefault="00963FC7"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14,749</w:t>
            </w:r>
          </w:p>
        </w:tc>
        <w:tc>
          <w:tcPr>
            <w:tcW w:w="1103" w:type="dxa"/>
            <w:shd w:val="clear" w:color="auto" w:fill="E2EFD9" w:themeFill="accent6" w:themeFillTint="33"/>
            <w:noWrap/>
            <w:vAlign w:val="bottom"/>
          </w:tcPr>
          <w:p w14:paraId="4A311576" w14:textId="006911EE" w:rsidR="006C4BF6" w:rsidRPr="00A74983" w:rsidRDefault="00963FC7"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14,972</w:t>
            </w:r>
          </w:p>
        </w:tc>
      </w:tr>
      <w:tr w:rsidR="006C4BF6" w:rsidRPr="00A74983" w14:paraId="582AFD9C" w14:textId="77777777" w:rsidTr="00D05013">
        <w:trPr>
          <w:trHeight w:val="397"/>
          <w:jc w:val="center"/>
        </w:trPr>
        <w:tc>
          <w:tcPr>
            <w:tcW w:w="3584" w:type="dxa"/>
            <w:noWrap/>
            <w:vAlign w:val="center"/>
          </w:tcPr>
          <w:p w14:paraId="2534D988" w14:textId="53E1E34D" w:rsidR="006C4BF6" w:rsidRPr="00A74983" w:rsidRDefault="006C4BF6" w:rsidP="00D05013">
            <w:pPr>
              <w:spacing w:after="0" w:line="72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lastRenderedPageBreak/>
              <w:t>Very Bad Health</w:t>
            </w:r>
          </w:p>
        </w:tc>
        <w:tc>
          <w:tcPr>
            <w:tcW w:w="1143" w:type="dxa"/>
            <w:shd w:val="clear" w:color="auto" w:fill="E2EFD9" w:themeFill="accent6" w:themeFillTint="33"/>
            <w:noWrap/>
            <w:vAlign w:val="bottom"/>
          </w:tcPr>
          <w:p w14:paraId="03BB3418" w14:textId="05EF972A" w:rsidR="00F157BA" w:rsidRPr="00A74983" w:rsidRDefault="00D05013" w:rsidP="00D05013">
            <w:pPr>
              <w:jc w:val="right"/>
              <w:rPr>
                <w:rFonts w:ascii="Arial" w:hAnsi="Arial" w:cs="Arial"/>
                <w:sz w:val="24"/>
                <w:szCs w:val="24"/>
              </w:rPr>
            </w:pPr>
            <w:r w:rsidRPr="00A74983">
              <w:rPr>
                <w:rFonts w:ascii="Arial" w:hAnsi="Arial" w:cs="Arial"/>
                <w:sz w:val="24"/>
                <w:szCs w:val="24"/>
              </w:rPr>
              <w:t xml:space="preserve"> </w:t>
            </w:r>
            <w:r w:rsidR="00F157BA" w:rsidRPr="00A74983">
              <w:rPr>
                <w:rFonts w:ascii="Arial" w:hAnsi="Arial" w:cs="Arial"/>
                <w:sz w:val="24"/>
                <w:szCs w:val="24"/>
              </w:rPr>
              <w:t>4,522</w:t>
            </w:r>
          </w:p>
          <w:p w14:paraId="7789FF9C" w14:textId="5939884E" w:rsidR="006C4BF6" w:rsidRPr="00A74983" w:rsidRDefault="006C4BF6" w:rsidP="00D05013">
            <w:pPr>
              <w:jc w:val="right"/>
              <w:rPr>
                <w:rFonts w:ascii="Arial" w:hAnsi="Arial" w:cs="Arial"/>
                <w:sz w:val="24"/>
                <w:szCs w:val="24"/>
              </w:rPr>
            </w:pPr>
          </w:p>
        </w:tc>
        <w:tc>
          <w:tcPr>
            <w:tcW w:w="1103" w:type="dxa"/>
            <w:shd w:val="clear" w:color="auto" w:fill="E2EFD9" w:themeFill="accent6" w:themeFillTint="33"/>
            <w:noWrap/>
            <w:vAlign w:val="bottom"/>
          </w:tcPr>
          <w:p w14:paraId="79625864" w14:textId="77777777" w:rsidR="00E902E3" w:rsidRPr="00A74983" w:rsidRDefault="00E902E3" w:rsidP="00D05013">
            <w:pPr>
              <w:jc w:val="right"/>
              <w:rPr>
                <w:rFonts w:ascii="Arial" w:hAnsi="Arial" w:cs="Arial"/>
                <w:sz w:val="24"/>
                <w:szCs w:val="24"/>
              </w:rPr>
            </w:pPr>
            <w:r w:rsidRPr="00A74983">
              <w:rPr>
                <w:rFonts w:ascii="Arial" w:hAnsi="Arial" w:cs="Arial"/>
                <w:sz w:val="24"/>
                <w:szCs w:val="24"/>
              </w:rPr>
              <w:t>4,930</w:t>
            </w:r>
          </w:p>
          <w:p w14:paraId="041FEF46" w14:textId="4E0F5BF5" w:rsidR="006C4BF6" w:rsidRPr="00A74983" w:rsidRDefault="006C4BF6" w:rsidP="00D05013">
            <w:pPr>
              <w:jc w:val="right"/>
              <w:rPr>
                <w:rFonts w:ascii="Arial" w:hAnsi="Arial" w:cs="Arial"/>
                <w:sz w:val="24"/>
                <w:szCs w:val="24"/>
              </w:rPr>
            </w:pPr>
          </w:p>
        </w:tc>
      </w:tr>
    </w:tbl>
    <w:p w14:paraId="67BF57A7" w14:textId="21B9A315" w:rsidR="006D0681" w:rsidRPr="00A74983" w:rsidRDefault="002A11DB" w:rsidP="009C2E03">
      <w:pPr>
        <w:tabs>
          <w:tab w:val="left" w:pos="2595"/>
        </w:tabs>
        <w:ind w:left="720" w:firstLine="720"/>
        <w:rPr>
          <w:rFonts w:ascii="Arial" w:hAnsi="Arial" w:cs="Arial"/>
          <w:sz w:val="24"/>
          <w:szCs w:val="24"/>
        </w:rPr>
      </w:pPr>
      <w:r w:rsidRPr="00A74983">
        <w:rPr>
          <w:rFonts w:ascii="Arial" w:hAnsi="Arial" w:cs="Arial"/>
          <w:i/>
          <w:iCs/>
          <w:sz w:val="20"/>
          <w:szCs w:val="20"/>
        </w:rPr>
        <w:t xml:space="preserve">Figure </w:t>
      </w:r>
      <w:r w:rsidR="009C2E03">
        <w:rPr>
          <w:rFonts w:ascii="Arial" w:hAnsi="Arial" w:cs="Arial"/>
          <w:i/>
          <w:iCs/>
          <w:sz w:val="20"/>
          <w:szCs w:val="20"/>
        </w:rPr>
        <w:t xml:space="preserve">4: Table reporting the general health of </w:t>
      </w:r>
      <w:r w:rsidR="00CE6972">
        <w:rPr>
          <w:rFonts w:ascii="Arial" w:hAnsi="Arial" w:cs="Arial"/>
          <w:i/>
          <w:iCs/>
          <w:sz w:val="20"/>
          <w:szCs w:val="20"/>
        </w:rPr>
        <w:t xml:space="preserve">residents in </w:t>
      </w:r>
      <w:r w:rsidR="009C2E03">
        <w:rPr>
          <w:rFonts w:ascii="Arial" w:hAnsi="Arial" w:cs="Arial"/>
          <w:i/>
          <w:iCs/>
          <w:sz w:val="20"/>
          <w:szCs w:val="20"/>
        </w:rPr>
        <w:t>Leicester</w:t>
      </w:r>
      <w:r w:rsidR="00CE6972">
        <w:rPr>
          <w:rFonts w:ascii="Arial" w:hAnsi="Arial" w:cs="Arial"/>
          <w:i/>
          <w:iCs/>
          <w:sz w:val="20"/>
          <w:szCs w:val="20"/>
        </w:rPr>
        <w:t xml:space="preserve"> in 2021 versus 201</w:t>
      </w:r>
      <w:r w:rsidR="00E9509D">
        <w:rPr>
          <w:rFonts w:ascii="Arial" w:hAnsi="Arial" w:cs="Arial"/>
          <w:i/>
          <w:iCs/>
          <w:sz w:val="20"/>
          <w:szCs w:val="20"/>
        </w:rPr>
        <w:t>1 Census data</w:t>
      </w:r>
      <w:r w:rsidR="00CE6972">
        <w:rPr>
          <w:rFonts w:ascii="Arial" w:hAnsi="Arial" w:cs="Arial"/>
          <w:i/>
          <w:iCs/>
          <w:sz w:val="20"/>
          <w:szCs w:val="20"/>
        </w:rPr>
        <w:t>.</w:t>
      </w:r>
    </w:p>
    <w:p w14:paraId="3538A0AD" w14:textId="5878D2D4" w:rsidR="006D0681" w:rsidRPr="00A74983" w:rsidRDefault="006D0681" w:rsidP="004706DB">
      <w:pPr>
        <w:rPr>
          <w:rFonts w:ascii="Arial" w:hAnsi="Arial" w:cs="Arial"/>
          <w:color w:val="323132"/>
          <w:sz w:val="27"/>
          <w:szCs w:val="27"/>
          <w:shd w:val="clear" w:color="auto" w:fill="FFFFFF"/>
        </w:rPr>
      </w:pPr>
    </w:p>
    <w:p w14:paraId="2E3D01E2" w14:textId="065876AE" w:rsidR="006D0681" w:rsidRPr="00A74983" w:rsidRDefault="001B49AF" w:rsidP="004706DB">
      <w:pPr>
        <w:rPr>
          <w:rFonts w:ascii="Arial" w:hAnsi="Arial" w:cs="Arial"/>
          <w:sz w:val="24"/>
          <w:szCs w:val="24"/>
        </w:rPr>
      </w:pPr>
      <w:r w:rsidRPr="00A74983">
        <w:rPr>
          <w:rFonts w:ascii="Arial" w:hAnsi="Arial" w:cs="Arial"/>
          <w:noProof/>
        </w:rPr>
        <w:drawing>
          <wp:inline distT="0" distB="0" distL="0" distR="0" wp14:anchorId="7A5A222A" wp14:editId="4FBFD810">
            <wp:extent cx="4101220" cy="3285610"/>
            <wp:effectExtent l="0" t="0" r="0" b="0"/>
            <wp:docPr id="9" name="Picture 9" descr="Chart, funne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Chart, funnel chart&#10;&#10;Description automatically generate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143913" cy="3319813"/>
                    </a:xfrm>
                    <a:prstGeom prst="rect">
                      <a:avLst/>
                    </a:prstGeom>
                    <a:noFill/>
                    <a:ln>
                      <a:noFill/>
                    </a:ln>
                  </pic:spPr>
                </pic:pic>
              </a:graphicData>
            </a:graphic>
          </wp:inline>
        </w:drawing>
      </w:r>
    </w:p>
    <w:p w14:paraId="164728B6" w14:textId="71AD301F" w:rsidR="00B65B94" w:rsidRPr="00A74983" w:rsidRDefault="00FC4B71" w:rsidP="004706DB">
      <w:pPr>
        <w:rPr>
          <w:rFonts w:ascii="Arial" w:hAnsi="Arial" w:cs="Arial"/>
          <w:sz w:val="24"/>
          <w:szCs w:val="24"/>
        </w:rPr>
      </w:pPr>
      <w:r w:rsidRPr="00A74983">
        <w:rPr>
          <w:rFonts w:ascii="Arial" w:hAnsi="Arial" w:cs="Arial"/>
          <w:i/>
          <w:iCs/>
          <w:sz w:val="20"/>
          <w:szCs w:val="20"/>
        </w:rPr>
        <w:t xml:space="preserve">Figure </w:t>
      </w:r>
      <w:r w:rsidR="00E9509D">
        <w:rPr>
          <w:rFonts w:ascii="Arial" w:hAnsi="Arial" w:cs="Arial"/>
          <w:i/>
          <w:iCs/>
          <w:sz w:val="20"/>
          <w:szCs w:val="20"/>
        </w:rPr>
        <w:t>5</w:t>
      </w:r>
      <w:r w:rsidRPr="00A74983">
        <w:rPr>
          <w:rFonts w:ascii="Arial" w:hAnsi="Arial" w:cs="Arial"/>
          <w:i/>
          <w:iCs/>
          <w:sz w:val="20"/>
          <w:szCs w:val="20"/>
        </w:rPr>
        <w:t xml:space="preserve"> (Source: ONS.gov)</w:t>
      </w:r>
    </w:p>
    <w:p w14:paraId="69D249B4" w14:textId="77777777" w:rsidR="00841ABC" w:rsidRPr="00A74983" w:rsidRDefault="00841ABC" w:rsidP="004706DB">
      <w:pPr>
        <w:rPr>
          <w:rFonts w:ascii="Arial" w:hAnsi="Arial" w:cs="Arial"/>
          <w:sz w:val="24"/>
          <w:szCs w:val="24"/>
        </w:rPr>
      </w:pPr>
    </w:p>
    <w:p w14:paraId="465F5BFC" w14:textId="2DBA4D35" w:rsidR="00B72C36" w:rsidRPr="00A74983" w:rsidRDefault="0013307A" w:rsidP="004706DB">
      <w:pPr>
        <w:rPr>
          <w:rFonts w:ascii="Arial" w:hAnsi="Arial" w:cs="Arial"/>
          <w:sz w:val="24"/>
          <w:szCs w:val="24"/>
        </w:rPr>
      </w:pPr>
      <w:r w:rsidRPr="00A74983">
        <w:rPr>
          <w:rFonts w:ascii="Arial" w:hAnsi="Arial" w:cs="Arial"/>
          <w:sz w:val="24"/>
          <w:szCs w:val="24"/>
        </w:rPr>
        <w:t xml:space="preserve">In comparison, </w:t>
      </w:r>
      <w:r w:rsidR="0030746E" w:rsidRPr="00A74983">
        <w:rPr>
          <w:rFonts w:ascii="Arial" w:hAnsi="Arial" w:cs="Arial"/>
          <w:sz w:val="24"/>
          <w:szCs w:val="24"/>
        </w:rPr>
        <w:t>the 2001 census data included</w:t>
      </w:r>
      <w:r w:rsidR="00314E45" w:rsidRPr="00A74983">
        <w:rPr>
          <w:rFonts w:ascii="Arial" w:hAnsi="Arial" w:cs="Arial"/>
          <w:sz w:val="24"/>
          <w:szCs w:val="24"/>
        </w:rPr>
        <w:t xml:space="preserve"> three categories for respondents to describe their</w:t>
      </w:r>
      <w:r w:rsidR="0030746E" w:rsidRPr="00A74983">
        <w:rPr>
          <w:rFonts w:ascii="Arial" w:hAnsi="Arial" w:cs="Arial"/>
          <w:sz w:val="24"/>
          <w:szCs w:val="24"/>
        </w:rPr>
        <w:t xml:space="preserve"> general health</w:t>
      </w:r>
      <w:r w:rsidR="00314E45" w:rsidRPr="00A74983">
        <w:rPr>
          <w:rFonts w:ascii="Arial" w:hAnsi="Arial" w:cs="Arial"/>
          <w:sz w:val="24"/>
          <w:szCs w:val="24"/>
        </w:rPr>
        <w:t xml:space="preserve">: </w:t>
      </w:r>
      <w:r w:rsidR="00AE7FC3" w:rsidRPr="00A74983">
        <w:rPr>
          <w:rFonts w:ascii="Arial" w:hAnsi="Arial" w:cs="Arial"/>
          <w:sz w:val="24"/>
          <w:szCs w:val="24"/>
        </w:rPr>
        <w:t>“good”, “fair” and “not good</w:t>
      </w:r>
      <w:r w:rsidR="003C6EB5" w:rsidRPr="00A74983">
        <w:rPr>
          <w:rFonts w:ascii="Arial" w:hAnsi="Arial" w:cs="Arial"/>
          <w:sz w:val="24"/>
          <w:szCs w:val="24"/>
        </w:rPr>
        <w:t>”</w:t>
      </w:r>
      <w:r w:rsidR="00AE7FC3" w:rsidRPr="00A74983">
        <w:rPr>
          <w:rFonts w:ascii="Arial" w:hAnsi="Arial" w:cs="Arial"/>
          <w:sz w:val="24"/>
          <w:szCs w:val="24"/>
        </w:rPr>
        <w:t xml:space="preserve"> health</w:t>
      </w:r>
      <w:r w:rsidR="003C6EB5" w:rsidRPr="00A74983">
        <w:rPr>
          <w:rFonts w:ascii="Arial" w:hAnsi="Arial" w:cs="Arial"/>
          <w:sz w:val="24"/>
          <w:szCs w:val="24"/>
        </w:rPr>
        <w:t>.</w:t>
      </w:r>
      <w:r w:rsidR="00BC0533" w:rsidRPr="00A74983">
        <w:rPr>
          <w:rFonts w:ascii="Arial" w:hAnsi="Arial" w:cs="Arial"/>
          <w:sz w:val="24"/>
          <w:szCs w:val="24"/>
        </w:rPr>
        <w:t xml:space="preserve"> The “very good”, “bad” and “very bad” health categories were not included in the 2001 census. </w:t>
      </w:r>
      <w:r w:rsidR="003C6EB5" w:rsidRPr="00A74983">
        <w:rPr>
          <w:rFonts w:ascii="Arial" w:hAnsi="Arial" w:cs="Arial"/>
          <w:sz w:val="24"/>
          <w:szCs w:val="24"/>
        </w:rPr>
        <w:t xml:space="preserve"> </w:t>
      </w:r>
      <w:r w:rsidR="000C4BCA" w:rsidRPr="00A74983">
        <w:rPr>
          <w:rFonts w:ascii="Arial" w:hAnsi="Arial" w:cs="Arial"/>
          <w:sz w:val="24"/>
          <w:szCs w:val="24"/>
        </w:rPr>
        <w:t>However,</w:t>
      </w:r>
      <w:r w:rsidR="00B1155B" w:rsidRPr="00A74983">
        <w:rPr>
          <w:rFonts w:ascii="Arial" w:hAnsi="Arial" w:cs="Arial"/>
          <w:sz w:val="24"/>
          <w:szCs w:val="24"/>
        </w:rPr>
        <w:t xml:space="preserve"> the “not good” health category was </w:t>
      </w:r>
      <w:r w:rsidR="000C4BCA" w:rsidRPr="00A74983">
        <w:rPr>
          <w:rFonts w:ascii="Arial" w:hAnsi="Arial" w:cs="Arial"/>
          <w:sz w:val="24"/>
          <w:szCs w:val="24"/>
        </w:rPr>
        <w:t>split into “bad” and “very bad” health in</w:t>
      </w:r>
      <w:r w:rsidR="00690838" w:rsidRPr="00A74983">
        <w:rPr>
          <w:rFonts w:ascii="Arial" w:hAnsi="Arial" w:cs="Arial"/>
          <w:sz w:val="24"/>
          <w:szCs w:val="24"/>
        </w:rPr>
        <w:t xml:space="preserve"> the 2011 and 2021 census</w:t>
      </w:r>
      <w:r w:rsidR="000C4BCA" w:rsidRPr="00A74983">
        <w:rPr>
          <w:rFonts w:ascii="Arial" w:hAnsi="Arial" w:cs="Arial"/>
          <w:sz w:val="24"/>
          <w:szCs w:val="24"/>
        </w:rPr>
        <w:t xml:space="preserve">. Therefore, </w:t>
      </w:r>
      <w:r w:rsidR="00690838" w:rsidRPr="00A74983">
        <w:rPr>
          <w:rFonts w:ascii="Arial" w:hAnsi="Arial" w:cs="Arial"/>
          <w:sz w:val="24"/>
          <w:szCs w:val="24"/>
        </w:rPr>
        <w:t xml:space="preserve">the </w:t>
      </w:r>
      <w:r w:rsidR="0063349C" w:rsidRPr="00A74983">
        <w:rPr>
          <w:rFonts w:ascii="Arial" w:hAnsi="Arial" w:cs="Arial"/>
          <w:sz w:val="24"/>
          <w:szCs w:val="24"/>
        </w:rPr>
        <w:t xml:space="preserve">“not good” health category was </w:t>
      </w:r>
      <w:r w:rsidR="000C4BCA" w:rsidRPr="00A74983">
        <w:rPr>
          <w:rFonts w:ascii="Arial" w:hAnsi="Arial" w:cs="Arial"/>
          <w:sz w:val="24"/>
          <w:szCs w:val="24"/>
        </w:rPr>
        <w:t>discontinued after the 2001 census.</w:t>
      </w:r>
      <w:r w:rsidR="0063349C" w:rsidRPr="00A74983">
        <w:rPr>
          <w:rFonts w:ascii="Arial" w:hAnsi="Arial" w:cs="Arial"/>
          <w:sz w:val="24"/>
          <w:szCs w:val="24"/>
        </w:rPr>
        <w:t xml:space="preserve"> </w:t>
      </w:r>
      <w:r w:rsidR="00B72C36" w:rsidRPr="00A74983">
        <w:rPr>
          <w:rFonts w:ascii="Arial" w:hAnsi="Arial" w:cs="Arial"/>
          <w:sz w:val="24"/>
          <w:szCs w:val="24"/>
        </w:rPr>
        <w:t>We have combined the number of respondents who described their general health as “bad” and “very bad” in the 20</w:t>
      </w:r>
      <w:r w:rsidR="000531A2" w:rsidRPr="00A74983">
        <w:rPr>
          <w:rFonts w:ascii="Arial" w:hAnsi="Arial" w:cs="Arial"/>
          <w:sz w:val="24"/>
          <w:szCs w:val="24"/>
        </w:rPr>
        <w:t>11 and 2021 census to estimate how many respondents had “not good” health during the 2011 and 2021 census</w:t>
      </w:r>
      <w:r w:rsidR="00E92270" w:rsidRPr="00A74983">
        <w:rPr>
          <w:rFonts w:ascii="Arial" w:hAnsi="Arial" w:cs="Arial"/>
          <w:sz w:val="24"/>
          <w:szCs w:val="24"/>
        </w:rPr>
        <w:t xml:space="preserve">. This will allow us to compare </w:t>
      </w:r>
      <w:r w:rsidR="00580C4A" w:rsidRPr="00A74983">
        <w:rPr>
          <w:rFonts w:ascii="Arial" w:hAnsi="Arial" w:cs="Arial"/>
          <w:sz w:val="24"/>
          <w:szCs w:val="24"/>
        </w:rPr>
        <w:t xml:space="preserve">the number of respondents who </w:t>
      </w:r>
      <w:r w:rsidR="00354ECC" w:rsidRPr="00A74983">
        <w:rPr>
          <w:rFonts w:ascii="Arial" w:hAnsi="Arial" w:cs="Arial"/>
          <w:sz w:val="24"/>
          <w:szCs w:val="24"/>
        </w:rPr>
        <w:t xml:space="preserve">described their general health as “good”, “fair” and “not good” </w:t>
      </w:r>
      <w:r w:rsidR="00841ABC" w:rsidRPr="00A74983">
        <w:rPr>
          <w:rFonts w:ascii="Arial" w:hAnsi="Arial" w:cs="Arial"/>
          <w:sz w:val="24"/>
          <w:szCs w:val="24"/>
        </w:rPr>
        <w:t>between the 2001, 2011 and 2021 census data.</w:t>
      </w:r>
    </w:p>
    <w:p w14:paraId="17BBC5EF" w14:textId="4D3D63EF" w:rsidR="00FB668E" w:rsidRPr="00A74983" w:rsidRDefault="00FB668E" w:rsidP="00FB668E">
      <w:pPr>
        <w:rPr>
          <w:rFonts w:ascii="Arial" w:hAnsi="Arial" w:cs="Arial"/>
          <w:sz w:val="24"/>
          <w:szCs w:val="24"/>
        </w:rPr>
      </w:pPr>
      <w:r w:rsidRPr="00A74983">
        <w:rPr>
          <w:rFonts w:ascii="Arial" w:hAnsi="Arial" w:cs="Arial"/>
          <w:sz w:val="24"/>
          <w:szCs w:val="24"/>
        </w:rPr>
        <w:t xml:space="preserve">Between 2001 to 2021, the number of respondents who reported having “good” health has gradually declined by 32.3% from 65.8% in 2001 to 35.6% in 2011 and 33.5% in 2021. </w:t>
      </w:r>
      <w:r w:rsidR="002465FC" w:rsidRPr="00A74983">
        <w:rPr>
          <w:rFonts w:ascii="Arial" w:hAnsi="Arial" w:cs="Arial"/>
          <w:sz w:val="24"/>
          <w:szCs w:val="24"/>
        </w:rPr>
        <w:t>Moreover,</w:t>
      </w:r>
      <w:r w:rsidRPr="00A74983">
        <w:rPr>
          <w:rFonts w:ascii="Arial" w:hAnsi="Arial" w:cs="Arial"/>
          <w:sz w:val="24"/>
          <w:szCs w:val="24"/>
        </w:rPr>
        <w:t xml:space="preserve"> </w:t>
      </w:r>
      <w:r w:rsidR="002465FC" w:rsidRPr="00A74983">
        <w:rPr>
          <w:rFonts w:ascii="Arial" w:hAnsi="Arial" w:cs="Arial"/>
          <w:sz w:val="24"/>
          <w:szCs w:val="24"/>
        </w:rPr>
        <w:t xml:space="preserve">figure 7 shows </w:t>
      </w:r>
      <w:r w:rsidRPr="00A74983">
        <w:rPr>
          <w:rFonts w:ascii="Arial" w:hAnsi="Arial" w:cs="Arial"/>
          <w:sz w:val="24"/>
          <w:szCs w:val="24"/>
        </w:rPr>
        <w:t xml:space="preserve">there is a decline in the number of respondents who have “fair” health has declined by 11.6% between 2001 and 2021. In contrast, the number of respondents who reported their general health as “not </w:t>
      </w:r>
      <w:r w:rsidRPr="00A74983">
        <w:rPr>
          <w:rFonts w:ascii="Arial" w:hAnsi="Arial" w:cs="Arial"/>
          <w:sz w:val="24"/>
          <w:szCs w:val="24"/>
        </w:rPr>
        <w:lastRenderedPageBreak/>
        <w:t>good” increased by 35.9% from 10.1% in 2001 to 49.1% in 2011, before declining slightly to 46% in the 2021 census data.</w:t>
      </w:r>
    </w:p>
    <w:p w14:paraId="67372566" w14:textId="77777777" w:rsidR="00FB668E" w:rsidRPr="00A74983" w:rsidRDefault="00FB668E" w:rsidP="004706DB">
      <w:pPr>
        <w:rPr>
          <w:rFonts w:ascii="Arial" w:hAnsi="Arial" w:cs="Arial"/>
          <w:sz w:val="24"/>
          <w:szCs w:val="24"/>
        </w:rPr>
      </w:pPr>
    </w:p>
    <w:p w14:paraId="2E592132" w14:textId="249C714F" w:rsidR="00841ABC" w:rsidRPr="00A74983" w:rsidRDefault="0063510A" w:rsidP="004706DB">
      <w:pPr>
        <w:rPr>
          <w:rFonts w:ascii="Arial" w:hAnsi="Arial" w:cs="Arial"/>
          <w:sz w:val="24"/>
          <w:szCs w:val="24"/>
        </w:rPr>
      </w:pPr>
      <w:r w:rsidRPr="00A74983">
        <w:rPr>
          <w:rFonts w:ascii="Arial" w:hAnsi="Arial" w:cs="Arial"/>
          <w:noProof/>
        </w:rPr>
        <w:drawing>
          <wp:inline distT="0" distB="0" distL="0" distR="0" wp14:anchorId="20B3A890" wp14:editId="2F23B5C8">
            <wp:extent cx="5400675" cy="2933700"/>
            <wp:effectExtent l="0" t="0" r="9525" b="0"/>
            <wp:docPr id="6" name="Chart 6">
              <a:extLst xmlns:a="http://schemas.openxmlformats.org/drawingml/2006/main">
                <a:ext uri="{FF2B5EF4-FFF2-40B4-BE49-F238E27FC236}">
                  <a16:creationId xmlns:a16="http://schemas.microsoft.com/office/drawing/2014/main" id="{961EBA99-C2FA-19A4-26DD-3379DD9ECF9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32443B6" w14:textId="59356642" w:rsidR="00841ABC" w:rsidRPr="00A74983" w:rsidRDefault="004B2EB7" w:rsidP="004706DB">
      <w:pPr>
        <w:rPr>
          <w:rFonts w:ascii="Arial" w:hAnsi="Arial" w:cs="Arial"/>
          <w:i/>
          <w:iCs/>
          <w:sz w:val="24"/>
          <w:szCs w:val="24"/>
        </w:rPr>
      </w:pPr>
      <w:r w:rsidRPr="00A74983">
        <w:rPr>
          <w:rFonts w:ascii="Arial" w:hAnsi="Arial" w:cs="Arial"/>
          <w:i/>
          <w:iCs/>
          <w:sz w:val="24"/>
          <w:szCs w:val="24"/>
        </w:rPr>
        <w:t xml:space="preserve">Figure </w:t>
      </w:r>
      <w:r w:rsidR="00E9509D">
        <w:rPr>
          <w:rFonts w:ascii="Arial" w:hAnsi="Arial" w:cs="Arial"/>
          <w:i/>
          <w:iCs/>
          <w:sz w:val="24"/>
          <w:szCs w:val="24"/>
        </w:rPr>
        <w:t>6: A bar graph</w:t>
      </w:r>
      <w:r w:rsidR="00443AA5">
        <w:rPr>
          <w:rFonts w:ascii="Arial" w:hAnsi="Arial" w:cs="Arial"/>
          <w:i/>
          <w:iCs/>
          <w:sz w:val="24"/>
          <w:szCs w:val="24"/>
        </w:rPr>
        <w:t xml:space="preserve"> illustrating the general health of Leicester </w:t>
      </w:r>
      <w:r w:rsidR="00BF20B5">
        <w:rPr>
          <w:rFonts w:ascii="Arial" w:hAnsi="Arial" w:cs="Arial"/>
          <w:i/>
          <w:iCs/>
          <w:sz w:val="24"/>
          <w:szCs w:val="24"/>
        </w:rPr>
        <w:t>residents reported in the 2001, 2011 and 2021 Census.</w:t>
      </w:r>
    </w:p>
    <w:p w14:paraId="4D6C3B1B" w14:textId="014DC255" w:rsidR="00F9344D" w:rsidRPr="00A74983" w:rsidRDefault="00F9344D" w:rsidP="004706DB">
      <w:pPr>
        <w:rPr>
          <w:rFonts w:ascii="Arial" w:hAnsi="Arial" w:cs="Arial"/>
          <w:sz w:val="24"/>
          <w:szCs w:val="24"/>
        </w:rPr>
      </w:pPr>
    </w:p>
    <w:p w14:paraId="5D2EAA9E" w14:textId="11FA01BA" w:rsidR="00517970" w:rsidRPr="00F92B8E" w:rsidRDefault="001B0043" w:rsidP="001B0043">
      <w:pPr>
        <w:pStyle w:val="NormalWeb"/>
        <w:spacing w:before="0" w:beforeAutospacing="0" w:after="300" w:afterAutospacing="0"/>
        <w:rPr>
          <w:rFonts w:ascii="Arial" w:hAnsi="Arial" w:cs="Arial"/>
          <w:b/>
          <w:bCs/>
          <w:color w:val="1F1F1F"/>
          <w:sz w:val="28"/>
          <w:szCs w:val="28"/>
          <w:u w:val="single"/>
        </w:rPr>
      </w:pPr>
      <w:r w:rsidRPr="00F92B8E">
        <w:rPr>
          <w:rFonts w:ascii="Arial" w:hAnsi="Arial" w:cs="Arial"/>
          <w:b/>
          <w:bCs/>
          <w:color w:val="1F1F1F"/>
          <w:sz w:val="28"/>
          <w:szCs w:val="28"/>
          <w:u w:val="single"/>
        </w:rPr>
        <w:t>Local Authority Breakdown – Leicestershire</w:t>
      </w:r>
    </w:p>
    <w:p w14:paraId="64B82746" w14:textId="63866BD0" w:rsidR="001103CE" w:rsidRPr="00A74983" w:rsidRDefault="00145FB0" w:rsidP="00850AE1">
      <w:pPr>
        <w:pStyle w:val="NormalWeb"/>
        <w:shd w:val="clear" w:color="auto" w:fill="FFFFFF"/>
        <w:spacing w:before="0" w:beforeAutospacing="0" w:after="300" w:afterAutospacing="0"/>
        <w:rPr>
          <w:rFonts w:ascii="Arial" w:hAnsi="Arial" w:cs="Arial"/>
          <w:color w:val="1F1F1F"/>
        </w:rPr>
      </w:pPr>
      <w:r w:rsidRPr="00A74983">
        <w:rPr>
          <w:rFonts w:ascii="Arial" w:hAnsi="Arial" w:cs="Arial"/>
          <w:color w:val="1F1F1F"/>
        </w:rPr>
        <w:t>Next,</w:t>
      </w:r>
      <w:r w:rsidR="00701B21" w:rsidRPr="00A74983">
        <w:rPr>
          <w:rFonts w:ascii="Arial" w:hAnsi="Arial" w:cs="Arial"/>
          <w:color w:val="1F1F1F"/>
        </w:rPr>
        <w:t xml:space="preserve"> </w:t>
      </w:r>
      <w:r w:rsidRPr="00A74983">
        <w:rPr>
          <w:rFonts w:ascii="Arial" w:hAnsi="Arial" w:cs="Arial"/>
          <w:color w:val="1F1F1F"/>
        </w:rPr>
        <w:t>w</w:t>
      </w:r>
      <w:r w:rsidR="001103CE" w:rsidRPr="00A74983">
        <w:rPr>
          <w:rFonts w:ascii="Arial" w:hAnsi="Arial" w:cs="Arial"/>
          <w:color w:val="1F1F1F"/>
        </w:rPr>
        <w:t xml:space="preserve">e analysed the general health of </w:t>
      </w:r>
      <w:r w:rsidR="001B6897" w:rsidRPr="00A74983">
        <w:rPr>
          <w:rFonts w:ascii="Arial" w:hAnsi="Arial" w:cs="Arial"/>
          <w:color w:val="1F1F1F"/>
        </w:rPr>
        <w:t xml:space="preserve">2021 Census </w:t>
      </w:r>
      <w:r w:rsidR="001103CE" w:rsidRPr="00A74983">
        <w:rPr>
          <w:rFonts w:ascii="Arial" w:hAnsi="Arial" w:cs="Arial"/>
          <w:color w:val="1F1F1F"/>
        </w:rPr>
        <w:t xml:space="preserve">respondents </w:t>
      </w:r>
      <w:r w:rsidR="001B6897" w:rsidRPr="00A74983">
        <w:rPr>
          <w:rFonts w:ascii="Arial" w:hAnsi="Arial" w:cs="Arial"/>
          <w:color w:val="1F1F1F"/>
        </w:rPr>
        <w:t xml:space="preserve">across Leicestershire </w:t>
      </w:r>
      <w:r w:rsidRPr="00A74983">
        <w:rPr>
          <w:rFonts w:ascii="Arial" w:hAnsi="Arial" w:cs="Arial"/>
          <w:color w:val="1F1F1F"/>
        </w:rPr>
        <w:t>to analyse the general health of Leicestershire residents</w:t>
      </w:r>
      <w:r w:rsidR="00DD551B">
        <w:rPr>
          <w:rFonts w:ascii="Arial" w:hAnsi="Arial" w:cs="Arial"/>
          <w:color w:val="1F1F1F"/>
        </w:rPr>
        <w:t xml:space="preserve"> living in Leicester, Blaby, Charnwood, Harborough, Hinckley and Bosworth, Melton,</w:t>
      </w:r>
    </w:p>
    <w:p w14:paraId="1A01DC96" w14:textId="653D0D19" w:rsidR="007B1920" w:rsidRPr="00A74983" w:rsidRDefault="007B1920" w:rsidP="007B1920">
      <w:pPr>
        <w:pStyle w:val="paragraph"/>
        <w:spacing w:before="0" w:beforeAutospacing="0" w:after="0" w:afterAutospacing="0"/>
        <w:textAlignment w:val="baseline"/>
        <w:rPr>
          <w:rFonts w:ascii="Arial" w:hAnsi="Arial" w:cs="Arial"/>
          <w:sz w:val="18"/>
          <w:szCs w:val="18"/>
        </w:rPr>
      </w:pPr>
      <w:r w:rsidRPr="00A74983">
        <w:rPr>
          <w:rFonts w:ascii="Arial" w:eastAsiaTheme="minorHAnsi" w:hAnsi="Arial" w:cs="Arial"/>
          <w:b/>
          <w:bCs/>
          <w:noProof/>
          <w:color w:val="1F1F1F"/>
          <w:sz w:val="22"/>
          <w:szCs w:val="22"/>
          <w:highlight w:val="yellow"/>
          <w:u w:val="single"/>
          <w:lang w:eastAsia="en-US"/>
        </w:rPr>
        <w:drawing>
          <wp:inline distT="0" distB="0" distL="0" distR="0" wp14:anchorId="31F4DE53" wp14:editId="3299BCAB">
            <wp:extent cx="5657850" cy="2771775"/>
            <wp:effectExtent l="0" t="0" r="0" b="9525"/>
            <wp:docPr id="17" name="Picture 17"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hart, bar chart&#10;&#10;Description automatically generated"/>
                    <pic:cNvPicPr>
                      <a:picLocks noChangeAspect="1" noChangeArrowheads="1"/>
                    </pic:cNvPicPr>
                  </pic:nvPicPr>
                  <pic:blipFill rotWithShape="1">
                    <a:blip r:embed="rId17">
                      <a:extLst>
                        <a:ext uri="{28A0092B-C50C-407E-A947-70E740481C1C}">
                          <a14:useLocalDpi xmlns:a14="http://schemas.microsoft.com/office/drawing/2010/main" val="0"/>
                        </a:ext>
                      </a:extLst>
                    </a:blip>
                    <a:srcRect r="1285" b="2479"/>
                    <a:stretch/>
                  </pic:blipFill>
                  <pic:spPr bwMode="auto">
                    <a:xfrm>
                      <a:off x="0" y="0"/>
                      <a:ext cx="5657850" cy="2771775"/>
                    </a:xfrm>
                    <a:prstGeom prst="rect">
                      <a:avLst/>
                    </a:prstGeom>
                    <a:noFill/>
                    <a:ln>
                      <a:noFill/>
                    </a:ln>
                    <a:extLst>
                      <a:ext uri="{53640926-AAD7-44D8-BBD7-CCE9431645EC}">
                        <a14:shadowObscured xmlns:a14="http://schemas.microsoft.com/office/drawing/2010/main"/>
                      </a:ext>
                    </a:extLst>
                  </pic:spPr>
                </pic:pic>
              </a:graphicData>
            </a:graphic>
          </wp:inline>
        </w:drawing>
      </w:r>
      <w:r w:rsidRPr="00A74983">
        <w:rPr>
          <w:rStyle w:val="eop"/>
          <w:rFonts w:ascii="Arial" w:hAnsi="Arial" w:cs="Arial"/>
        </w:rPr>
        <w:t> </w:t>
      </w:r>
    </w:p>
    <w:p w14:paraId="54783671" w14:textId="67471999" w:rsidR="007B1920" w:rsidRPr="00BF20B5" w:rsidRDefault="007B1920" w:rsidP="007B1920">
      <w:pPr>
        <w:pStyle w:val="paragraph"/>
        <w:spacing w:before="0" w:beforeAutospacing="0" w:after="0" w:afterAutospacing="0"/>
        <w:textAlignment w:val="baseline"/>
        <w:rPr>
          <w:rFonts w:ascii="Arial" w:hAnsi="Arial" w:cs="Arial"/>
          <w:i/>
          <w:iCs/>
          <w:sz w:val="18"/>
          <w:szCs w:val="18"/>
        </w:rPr>
      </w:pPr>
      <w:r w:rsidRPr="00BF20B5">
        <w:rPr>
          <w:rStyle w:val="normaltextrun"/>
          <w:rFonts w:ascii="Arial" w:eastAsiaTheme="majorEastAsia" w:hAnsi="Arial" w:cs="Arial"/>
          <w:i/>
          <w:iCs/>
        </w:rPr>
        <w:lastRenderedPageBreak/>
        <w:t xml:space="preserve">Figure </w:t>
      </w:r>
      <w:r w:rsidR="00BF20B5" w:rsidRPr="00BF20B5">
        <w:rPr>
          <w:rStyle w:val="normaltextrun"/>
          <w:rFonts w:ascii="Arial" w:eastAsiaTheme="majorEastAsia" w:hAnsi="Arial" w:cs="Arial"/>
          <w:i/>
          <w:iCs/>
        </w:rPr>
        <w:t>7</w:t>
      </w:r>
      <w:r w:rsidRPr="00BF20B5">
        <w:rPr>
          <w:rStyle w:val="normaltextrun"/>
          <w:rFonts w:ascii="Arial" w:eastAsiaTheme="majorEastAsia" w:hAnsi="Arial" w:cs="Arial"/>
          <w:i/>
          <w:iCs/>
        </w:rPr>
        <w:t>. Percentage of people with varying levels of general health across Leicestershire in 2021, standardised by age. </w:t>
      </w:r>
      <w:r w:rsidRPr="00BF20B5">
        <w:rPr>
          <w:rStyle w:val="eop"/>
          <w:rFonts w:ascii="Arial" w:hAnsi="Arial" w:cs="Arial"/>
          <w:i/>
          <w:iCs/>
        </w:rPr>
        <w:t> </w:t>
      </w:r>
    </w:p>
    <w:p w14:paraId="22CD5FA0" w14:textId="77777777" w:rsidR="007B1920" w:rsidRDefault="007B1920" w:rsidP="007B1920">
      <w:pPr>
        <w:pStyle w:val="paragraph"/>
        <w:spacing w:before="0" w:beforeAutospacing="0" w:after="0" w:afterAutospacing="0"/>
        <w:textAlignment w:val="baseline"/>
        <w:rPr>
          <w:rStyle w:val="eop"/>
          <w:rFonts w:ascii="Arial" w:hAnsi="Arial" w:cs="Arial"/>
        </w:rPr>
      </w:pPr>
      <w:r w:rsidRPr="00A74983">
        <w:rPr>
          <w:rStyle w:val="eop"/>
          <w:rFonts w:ascii="Arial" w:hAnsi="Arial" w:cs="Arial"/>
        </w:rPr>
        <w:t> </w:t>
      </w:r>
    </w:p>
    <w:p w14:paraId="43AD1EE1" w14:textId="223D47F4" w:rsidR="00DD551B" w:rsidRPr="0031221B" w:rsidRDefault="00DD551B" w:rsidP="007B1920">
      <w:pPr>
        <w:pStyle w:val="paragraph"/>
        <w:spacing w:before="0" w:beforeAutospacing="0" w:after="0" w:afterAutospacing="0"/>
        <w:textAlignment w:val="baseline"/>
        <w:rPr>
          <w:rFonts w:ascii="Arial" w:hAnsi="Arial" w:cs="Arial"/>
        </w:rPr>
      </w:pPr>
      <w:r w:rsidRPr="0031221B">
        <w:rPr>
          <w:rFonts w:ascii="Arial" w:hAnsi="Arial" w:cs="Arial"/>
        </w:rPr>
        <w:t>North-West Leicestershire and Oadby and Wigston.</w:t>
      </w:r>
    </w:p>
    <w:p w14:paraId="6640306E" w14:textId="77777777" w:rsidR="00DD551B" w:rsidRPr="00A74983" w:rsidRDefault="00DD551B" w:rsidP="007B1920">
      <w:pPr>
        <w:pStyle w:val="paragraph"/>
        <w:spacing w:before="0" w:beforeAutospacing="0" w:after="0" w:afterAutospacing="0"/>
        <w:textAlignment w:val="baseline"/>
        <w:rPr>
          <w:rFonts w:ascii="Arial" w:hAnsi="Arial" w:cs="Arial"/>
          <w:sz w:val="18"/>
          <w:szCs w:val="18"/>
        </w:rPr>
      </w:pPr>
    </w:p>
    <w:p w14:paraId="3BDA370C" w14:textId="77777777" w:rsidR="007B1920" w:rsidRDefault="007B1920" w:rsidP="007B1920">
      <w:pPr>
        <w:pStyle w:val="paragraph"/>
        <w:spacing w:before="0" w:beforeAutospacing="0" w:after="0" w:afterAutospacing="0"/>
        <w:textAlignment w:val="baseline"/>
        <w:rPr>
          <w:rStyle w:val="eop"/>
          <w:rFonts w:ascii="Arial" w:hAnsi="Arial" w:cs="Arial"/>
        </w:rPr>
      </w:pPr>
      <w:r w:rsidRPr="00A74983">
        <w:rPr>
          <w:rStyle w:val="normaltextrun"/>
          <w:rFonts w:ascii="Arial" w:eastAsiaTheme="majorEastAsia" w:hAnsi="Arial" w:cs="Arial"/>
        </w:rPr>
        <w:t>There was little difference in general health between local authorities in Leicestershire in 2021. The percentage of people with ‘Very Good Health’ varied between 43% (Leicester) and 53% (Harborough). ‘Good health’ varied between 33-36%, ‘Fair Health’ between 11-16%, ‘Bad health’ between 3-5%, and the percentage of residents with ‘Very Bad Health’ was around 1-2% for all local authorities. </w:t>
      </w:r>
      <w:r w:rsidRPr="00A74983">
        <w:rPr>
          <w:rStyle w:val="eop"/>
          <w:rFonts w:ascii="Arial" w:hAnsi="Arial" w:cs="Arial"/>
        </w:rPr>
        <w:t> </w:t>
      </w:r>
    </w:p>
    <w:p w14:paraId="6096091D" w14:textId="77777777" w:rsidR="0028053C" w:rsidRDefault="0028053C" w:rsidP="007B1920">
      <w:pPr>
        <w:pStyle w:val="paragraph"/>
        <w:spacing w:before="0" w:beforeAutospacing="0" w:after="0" w:afterAutospacing="0"/>
        <w:textAlignment w:val="baseline"/>
        <w:rPr>
          <w:rStyle w:val="eop"/>
          <w:rFonts w:ascii="Arial" w:hAnsi="Arial" w:cs="Arial"/>
        </w:rPr>
      </w:pPr>
    </w:p>
    <w:p w14:paraId="541DB729" w14:textId="77777777" w:rsidR="0028053C" w:rsidRDefault="0028053C" w:rsidP="007B1920">
      <w:pPr>
        <w:pStyle w:val="paragraph"/>
        <w:spacing w:before="0" w:beforeAutospacing="0" w:after="0" w:afterAutospacing="0"/>
        <w:textAlignment w:val="baseline"/>
        <w:rPr>
          <w:rStyle w:val="eop"/>
          <w:rFonts w:ascii="Arial" w:hAnsi="Arial" w:cs="Arial"/>
        </w:rPr>
      </w:pPr>
    </w:p>
    <w:p w14:paraId="4818E89F" w14:textId="08B72AFA" w:rsidR="0028053C" w:rsidRPr="00A74983" w:rsidRDefault="0028053C" w:rsidP="007B1920">
      <w:pPr>
        <w:pStyle w:val="paragraph"/>
        <w:spacing w:before="0" w:beforeAutospacing="0" w:after="0" w:afterAutospacing="0"/>
        <w:textAlignment w:val="baseline"/>
        <w:rPr>
          <w:rFonts w:ascii="Arial" w:hAnsi="Arial" w:cs="Arial"/>
          <w:sz w:val="18"/>
          <w:szCs w:val="18"/>
        </w:rPr>
      </w:pPr>
      <w:r>
        <w:rPr>
          <w:rStyle w:val="eop"/>
          <w:rFonts w:ascii="Arial" w:hAnsi="Arial" w:cs="Arial"/>
        </w:rPr>
        <w:t>We were also interested in</w:t>
      </w:r>
      <w:r w:rsidR="00A40274">
        <w:rPr>
          <w:rStyle w:val="eop"/>
          <w:rFonts w:ascii="Arial" w:hAnsi="Arial" w:cs="Arial"/>
        </w:rPr>
        <w:t xml:space="preserve"> analysing</w:t>
      </w:r>
      <w:r w:rsidR="00385F46">
        <w:rPr>
          <w:rStyle w:val="eop"/>
          <w:rFonts w:ascii="Arial" w:hAnsi="Arial" w:cs="Arial"/>
        </w:rPr>
        <w:t xml:space="preserve"> the</w:t>
      </w:r>
      <w:r>
        <w:rPr>
          <w:rStyle w:val="eop"/>
          <w:rFonts w:ascii="Arial" w:hAnsi="Arial" w:cs="Arial"/>
        </w:rPr>
        <w:t xml:space="preserve"> </w:t>
      </w:r>
      <w:r w:rsidR="00A40274">
        <w:rPr>
          <w:rStyle w:val="eop"/>
          <w:rFonts w:ascii="Arial" w:hAnsi="Arial" w:cs="Arial"/>
        </w:rPr>
        <w:t>non-age-standardised</w:t>
      </w:r>
      <w:r>
        <w:rPr>
          <w:rStyle w:val="eop"/>
          <w:rFonts w:ascii="Arial" w:hAnsi="Arial" w:cs="Arial"/>
        </w:rPr>
        <w:t xml:space="preserve"> general h</w:t>
      </w:r>
      <w:r w:rsidR="005748D5">
        <w:rPr>
          <w:rStyle w:val="eop"/>
          <w:rFonts w:ascii="Arial" w:hAnsi="Arial" w:cs="Arial"/>
        </w:rPr>
        <w:t>ealth</w:t>
      </w:r>
      <w:r w:rsidR="00A40274">
        <w:rPr>
          <w:rStyle w:val="eop"/>
          <w:rFonts w:ascii="Arial" w:hAnsi="Arial" w:cs="Arial"/>
        </w:rPr>
        <w:t xml:space="preserve"> data</w:t>
      </w:r>
      <w:r w:rsidR="005748D5">
        <w:rPr>
          <w:rStyle w:val="eop"/>
          <w:rFonts w:ascii="Arial" w:hAnsi="Arial" w:cs="Arial"/>
        </w:rPr>
        <w:t xml:space="preserve"> of Leicestershire residents </w:t>
      </w:r>
      <w:r w:rsidR="00A40274">
        <w:rPr>
          <w:rStyle w:val="eop"/>
          <w:rFonts w:ascii="Arial" w:hAnsi="Arial" w:cs="Arial"/>
        </w:rPr>
        <w:t>between</w:t>
      </w:r>
      <w:r w:rsidR="00385F46">
        <w:rPr>
          <w:rStyle w:val="eop"/>
          <w:rFonts w:ascii="Arial" w:hAnsi="Arial" w:cs="Arial"/>
        </w:rPr>
        <w:t xml:space="preserve"> the</w:t>
      </w:r>
      <w:r w:rsidR="00A40274">
        <w:rPr>
          <w:rStyle w:val="eop"/>
          <w:rFonts w:ascii="Arial" w:hAnsi="Arial" w:cs="Arial"/>
        </w:rPr>
        <w:t xml:space="preserve"> 2021 and 2011 </w:t>
      </w:r>
      <w:r w:rsidR="00385F46">
        <w:rPr>
          <w:rStyle w:val="eop"/>
          <w:rFonts w:ascii="Arial" w:hAnsi="Arial" w:cs="Arial"/>
        </w:rPr>
        <w:t>Census.</w:t>
      </w:r>
    </w:p>
    <w:p w14:paraId="3D7E8A7F" w14:textId="77777777" w:rsidR="007B1920" w:rsidRPr="00A74983" w:rsidRDefault="007B1920" w:rsidP="007B1920">
      <w:pPr>
        <w:pStyle w:val="paragraph"/>
        <w:spacing w:before="0" w:beforeAutospacing="0" w:after="0" w:afterAutospacing="0"/>
        <w:textAlignment w:val="baseline"/>
        <w:rPr>
          <w:rFonts w:ascii="Arial" w:hAnsi="Arial" w:cs="Arial"/>
          <w:sz w:val="18"/>
          <w:szCs w:val="18"/>
        </w:rPr>
      </w:pPr>
      <w:r w:rsidRPr="00A74983">
        <w:rPr>
          <w:rStyle w:val="eop"/>
          <w:rFonts w:ascii="Arial" w:hAnsi="Arial" w:cs="Arial"/>
        </w:rPr>
        <w:t> </w:t>
      </w:r>
    </w:p>
    <w:p w14:paraId="490C3F93" w14:textId="77777777" w:rsidR="0031221B" w:rsidRPr="00A74983" w:rsidRDefault="0031221B" w:rsidP="0031221B">
      <w:pPr>
        <w:spacing w:after="300"/>
        <w:rPr>
          <w:rFonts w:ascii="Arial" w:hAnsi="Arial" w:cs="Arial"/>
        </w:rPr>
      </w:pPr>
      <w:r w:rsidRPr="00A74983">
        <w:rPr>
          <w:rFonts w:ascii="Arial" w:hAnsi="Arial" w:cs="Arial"/>
          <w:noProof/>
        </w:rPr>
        <w:drawing>
          <wp:inline distT="0" distB="0" distL="0" distR="0" wp14:anchorId="4BD69AD7" wp14:editId="088CBD0D">
            <wp:extent cx="4571999" cy="2476500"/>
            <wp:effectExtent l="0" t="0" r="635" b="0"/>
            <wp:docPr id="1989263976" name="Picture 1989263976"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9263976" name="Picture 1989263976" descr="Chart, bar chart&#10;&#10;Description automatically generated"/>
                    <pic:cNvPicPr/>
                  </pic:nvPicPr>
                  <pic:blipFill>
                    <a:blip r:embed="rId18">
                      <a:extLst>
                        <a:ext uri="{28A0092B-C50C-407E-A947-70E740481C1C}">
                          <a14:useLocalDpi xmlns:a14="http://schemas.microsoft.com/office/drawing/2010/main" val="0"/>
                        </a:ext>
                      </a:extLst>
                    </a:blip>
                    <a:stretch>
                      <a:fillRect/>
                    </a:stretch>
                  </pic:blipFill>
                  <pic:spPr>
                    <a:xfrm>
                      <a:off x="0" y="0"/>
                      <a:ext cx="4600687" cy="2492039"/>
                    </a:xfrm>
                    <a:prstGeom prst="rect">
                      <a:avLst/>
                    </a:prstGeom>
                  </pic:spPr>
                </pic:pic>
              </a:graphicData>
            </a:graphic>
          </wp:inline>
        </w:drawing>
      </w:r>
      <w:r w:rsidRPr="00A74983">
        <w:rPr>
          <w:rFonts w:ascii="Arial" w:hAnsi="Arial" w:cs="Arial"/>
          <w:noProof/>
        </w:rPr>
        <w:drawing>
          <wp:inline distT="0" distB="0" distL="0" distR="0" wp14:anchorId="0A336484" wp14:editId="246B9337">
            <wp:extent cx="4591050" cy="2764195"/>
            <wp:effectExtent l="0" t="0" r="0" b="0"/>
            <wp:docPr id="50795329" name="Picture 5079532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795329" name="Picture 50795329" descr="Chart, bar char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4608794" cy="2774878"/>
                    </a:xfrm>
                    <a:prstGeom prst="rect">
                      <a:avLst/>
                    </a:prstGeom>
                  </pic:spPr>
                </pic:pic>
              </a:graphicData>
            </a:graphic>
          </wp:inline>
        </w:drawing>
      </w:r>
    </w:p>
    <w:p w14:paraId="75EFD805" w14:textId="73529C28" w:rsidR="0031221B" w:rsidRPr="00A74983" w:rsidRDefault="0031221B" w:rsidP="0031221B">
      <w:pPr>
        <w:spacing w:after="300"/>
        <w:rPr>
          <w:rFonts w:ascii="Arial" w:hAnsi="Arial" w:cs="Arial"/>
          <w:i/>
        </w:rPr>
      </w:pPr>
      <w:r w:rsidRPr="00A74983">
        <w:rPr>
          <w:rFonts w:ascii="Arial" w:hAnsi="Arial" w:cs="Arial"/>
          <w:i/>
          <w:iCs/>
          <w:sz w:val="24"/>
          <w:szCs w:val="24"/>
        </w:rPr>
        <w:t xml:space="preserve">Figure 8a: </w:t>
      </w:r>
      <w:r w:rsidRPr="00A74983">
        <w:rPr>
          <w:rFonts w:ascii="Arial" w:hAnsi="Arial" w:cs="Arial"/>
          <w:i/>
        </w:rPr>
        <w:t>Local Authority Breakdown 2021</w:t>
      </w:r>
      <w:r w:rsidR="00D21BE4">
        <w:rPr>
          <w:rFonts w:ascii="Arial" w:hAnsi="Arial" w:cs="Arial"/>
          <w:i/>
        </w:rPr>
        <w:t xml:space="preserve"> and </w:t>
      </w:r>
      <w:r w:rsidRPr="00A74983">
        <w:rPr>
          <w:rFonts w:ascii="Arial" w:hAnsi="Arial" w:cs="Arial"/>
          <w:i/>
          <w:iCs/>
          <w:sz w:val="24"/>
          <w:szCs w:val="24"/>
        </w:rPr>
        <w:t>Figure 8</w:t>
      </w:r>
      <w:r w:rsidR="00D21BE4">
        <w:rPr>
          <w:rFonts w:ascii="Arial" w:hAnsi="Arial" w:cs="Arial"/>
          <w:i/>
          <w:iCs/>
          <w:sz w:val="24"/>
          <w:szCs w:val="24"/>
        </w:rPr>
        <w:t>b</w:t>
      </w:r>
      <w:r w:rsidRPr="00A74983">
        <w:rPr>
          <w:rFonts w:ascii="Arial" w:hAnsi="Arial" w:cs="Arial"/>
          <w:i/>
          <w:iCs/>
          <w:sz w:val="24"/>
          <w:szCs w:val="24"/>
        </w:rPr>
        <w:t xml:space="preserve">: </w:t>
      </w:r>
      <w:r w:rsidRPr="00A74983">
        <w:rPr>
          <w:rFonts w:ascii="Arial" w:hAnsi="Arial" w:cs="Arial"/>
          <w:i/>
        </w:rPr>
        <w:t>Local Authority Breakdown 2011</w:t>
      </w:r>
    </w:p>
    <w:p w14:paraId="5BB3327B" w14:textId="3F5F609D" w:rsidR="00840144" w:rsidRPr="00A74983" w:rsidRDefault="00840144">
      <w:pPr>
        <w:rPr>
          <w:rFonts w:ascii="Arial" w:hAnsi="Arial" w:cs="Arial"/>
          <w:b/>
          <w:bCs/>
          <w:color w:val="1F1F1F"/>
          <w:highlight w:val="yellow"/>
          <w:u w:val="single"/>
        </w:rPr>
      </w:pPr>
    </w:p>
    <w:p w14:paraId="6785EB27" w14:textId="0282D451" w:rsidR="00DC33C3" w:rsidRDefault="00DD551B" w:rsidP="00DC33C3">
      <w:pPr>
        <w:pStyle w:val="NormalWeb"/>
        <w:shd w:val="clear" w:color="auto" w:fill="FFFFFF" w:themeFill="background1"/>
        <w:spacing w:after="300"/>
        <w:rPr>
          <w:rFonts w:ascii="Arial" w:hAnsi="Arial" w:cs="Arial"/>
        </w:rPr>
      </w:pPr>
      <w:r w:rsidRPr="00DD551B">
        <w:rPr>
          <w:rFonts w:ascii="Arial" w:hAnsi="Arial" w:cs="Arial"/>
          <w:color w:val="1F1F1F"/>
        </w:rPr>
        <w:t xml:space="preserve">As shown in the above figure 8a, </w:t>
      </w:r>
      <w:r w:rsidR="00F86DE9">
        <w:rPr>
          <w:rFonts w:ascii="Arial" w:hAnsi="Arial" w:cs="Arial"/>
          <w:color w:val="1F1F1F"/>
        </w:rPr>
        <w:t xml:space="preserve">it </w:t>
      </w:r>
      <w:r w:rsidRPr="00DD551B">
        <w:rPr>
          <w:rFonts w:ascii="Arial" w:hAnsi="Arial" w:cs="Arial"/>
          <w:color w:val="1F1F1F"/>
        </w:rPr>
        <w:t>contains the local authority breakdown of general health data in each area of Leicestershire</w:t>
      </w:r>
      <w:r w:rsidR="00CA12B2">
        <w:rPr>
          <w:rFonts w:ascii="Arial" w:hAnsi="Arial" w:cs="Arial"/>
          <w:color w:val="1F1F1F"/>
        </w:rPr>
        <w:t>.</w:t>
      </w:r>
      <w:r w:rsidRPr="00DD551B">
        <w:rPr>
          <w:rFonts w:ascii="Arial" w:hAnsi="Arial" w:cs="Arial"/>
          <w:color w:val="1F1F1F"/>
        </w:rPr>
        <w:t xml:space="preserve"> </w:t>
      </w:r>
      <w:r w:rsidR="00CA12B2">
        <w:rPr>
          <w:rFonts w:ascii="Arial" w:hAnsi="Arial" w:cs="Arial"/>
          <w:color w:val="1F1F1F"/>
        </w:rPr>
        <w:t>T</w:t>
      </w:r>
      <w:r w:rsidRPr="00DD551B">
        <w:rPr>
          <w:rFonts w:ascii="Arial" w:hAnsi="Arial" w:cs="Arial"/>
          <w:color w:val="1F1F1F"/>
        </w:rPr>
        <w:t xml:space="preserve">he people in Harborough have the highest </w:t>
      </w:r>
      <w:r w:rsidR="00CA12B2">
        <w:rPr>
          <w:rFonts w:ascii="Arial" w:hAnsi="Arial" w:cs="Arial"/>
          <w:color w:val="1F1F1F"/>
        </w:rPr>
        <w:t>‘</w:t>
      </w:r>
      <w:r w:rsidRPr="00DD551B">
        <w:rPr>
          <w:rFonts w:ascii="Arial" w:hAnsi="Arial" w:cs="Arial"/>
          <w:color w:val="1F1F1F"/>
        </w:rPr>
        <w:t>very good</w:t>
      </w:r>
      <w:r w:rsidR="00CA12B2">
        <w:rPr>
          <w:rFonts w:ascii="Arial" w:hAnsi="Arial" w:cs="Arial"/>
          <w:color w:val="1F1F1F"/>
        </w:rPr>
        <w:t>’</w:t>
      </w:r>
      <w:r w:rsidRPr="00DD551B">
        <w:rPr>
          <w:rFonts w:ascii="Arial" w:hAnsi="Arial" w:cs="Arial"/>
          <w:color w:val="1F1F1F"/>
        </w:rPr>
        <w:t xml:space="preserve"> health</w:t>
      </w:r>
      <w:r w:rsidR="00763D54">
        <w:rPr>
          <w:rFonts w:ascii="Arial" w:hAnsi="Arial" w:cs="Arial"/>
          <w:color w:val="1F1F1F"/>
        </w:rPr>
        <w:t xml:space="preserve"> respondents with a</w:t>
      </w:r>
      <w:r w:rsidRPr="00DD551B">
        <w:rPr>
          <w:rFonts w:ascii="Arial" w:hAnsi="Arial" w:cs="Arial"/>
          <w:color w:val="1F1F1F"/>
        </w:rPr>
        <w:t xml:space="preserve"> percentage of 51.5% in 2021</w:t>
      </w:r>
      <w:r w:rsidR="00CA12B2">
        <w:rPr>
          <w:rFonts w:ascii="Arial" w:hAnsi="Arial" w:cs="Arial"/>
          <w:color w:val="1F1F1F"/>
        </w:rPr>
        <w:t xml:space="preserve">. </w:t>
      </w:r>
      <w:r w:rsidR="00763D54">
        <w:rPr>
          <w:rFonts w:ascii="Arial" w:hAnsi="Arial" w:cs="Arial"/>
          <w:color w:val="1F1F1F"/>
        </w:rPr>
        <w:t>C</w:t>
      </w:r>
      <w:r w:rsidRPr="00DD551B">
        <w:rPr>
          <w:rFonts w:ascii="Arial" w:hAnsi="Arial" w:cs="Arial"/>
          <w:color w:val="1F1F1F"/>
        </w:rPr>
        <w:t>ontrary to that Oadby and Wigston have the l</w:t>
      </w:r>
      <w:r w:rsidR="00183E86">
        <w:rPr>
          <w:rFonts w:ascii="Arial" w:hAnsi="Arial" w:cs="Arial"/>
          <w:color w:val="1F1F1F"/>
        </w:rPr>
        <w:t>owest number of respondents reporting they have ‘</w:t>
      </w:r>
      <w:r w:rsidRPr="00DD551B">
        <w:rPr>
          <w:rFonts w:ascii="Arial" w:hAnsi="Arial" w:cs="Arial"/>
          <w:color w:val="1F1F1F"/>
        </w:rPr>
        <w:t>very good</w:t>
      </w:r>
      <w:r w:rsidR="00183E86">
        <w:rPr>
          <w:rFonts w:ascii="Arial" w:hAnsi="Arial" w:cs="Arial"/>
          <w:color w:val="1F1F1F"/>
        </w:rPr>
        <w:t>’</w:t>
      </w:r>
      <w:r w:rsidRPr="00DD551B">
        <w:rPr>
          <w:rFonts w:ascii="Arial" w:hAnsi="Arial" w:cs="Arial"/>
          <w:color w:val="1F1F1F"/>
        </w:rPr>
        <w:t xml:space="preserve"> health </w:t>
      </w:r>
      <w:r w:rsidR="00183E86">
        <w:rPr>
          <w:rFonts w:ascii="Arial" w:hAnsi="Arial" w:cs="Arial"/>
          <w:color w:val="1F1F1F"/>
        </w:rPr>
        <w:t>wit</w:t>
      </w:r>
      <w:r w:rsidR="00184130">
        <w:rPr>
          <w:rFonts w:ascii="Arial" w:hAnsi="Arial" w:cs="Arial"/>
          <w:color w:val="1F1F1F"/>
        </w:rPr>
        <w:t xml:space="preserve">h a </w:t>
      </w:r>
      <w:r w:rsidRPr="00DD551B">
        <w:rPr>
          <w:rFonts w:ascii="Arial" w:hAnsi="Arial" w:cs="Arial"/>
          <w:color w:val="1F1F1F"/>
        </w:rPr>
        <w:t>percentage of 46%.</w:t>
      </w:r>
      <w:r w:rsidR="00293CD0">
        <w:rPr>
          <w:rFonts w:ascii="Arial" w:hAnsi="Arial" w:cs="Arial"/>
          <w:color w:val="1F1F1F"/>
        </w:rPr>
        <w:t xml:space="preserve"> </w:t>
      </w:r>
      <w:r w:rsidR="006B076F">
        <w:rPr>
          <w:rFonts w:ascii="Arial" w:hAnsi="Arial" w:cs="Arial"/>
        </w:rPr>
        <w:t>In contrast the</w:t>
      </w:r>
      <w:r w:rsidRPr="00DD551B">
        <w:rPr>
          <w:rFonts w:ascii="Arial" w:hAnsi="Arial" w:cs="Arial"/>
        </w:rPr>
        <w:t xml:space="preserve"> 2011 data </w:t>
      </w:r>
      <w:r w:rsidR="006B076F">
        <w:rPr>
          <w:rFonts w:ascii="Arial" w:hAnsi="Arial" w:cs="Arial"/>
        </w:rPr>
        <w:t>shown</w:t>
      </w:r>
      <w:r w:rsidRPr="00DD551B">
        <w:rPr>
          <w:rFonts w:ascii="Arial" w:hAnsi="Arial" w:cs="Arial"/>
        </w:rPr>
        <w:t xml:space="preserve"> the figure 8b</w:t>
      </w:r>
      <w:r w:rsidR="006B076F">
        <w:rPr>
          <w:rFonts w:ascii="Arial" w:hAnsi="Arial" w:cs="Arial"/>
        </w:rPr>
        <w:t xml:space="preserve"> illustrates that</w:t>
      </w:r>
      <w:r w:rsidRPr="00DD551B">
        <w:rPr>
          <w:rFonts w:ascii="Arial" w:hAnsi="Arial" w:cs="Arial"/>
        </w:rPr>
        <w:t xml:space="preserve"> Harborough had the highest</w:t>
      </w:r>
      <w:r w:rsidR="00CC3D90">
        <w:rPr>
          <w:rFonts w:ascii="Arial" w:hAnsi="Arial" w:cs="Arial"/>
        </w:rPr>
        <w:t xml:space="preserve"> number of respondents reporting</w:t>
      </w:r>
      <w:r w:rsidRPr="00DD551B">
        <w:rPr>
          <w:rFonts w:ascii="Arial" w:hAnsi="Arial" w:cs="Arial"/>
        </w:rPr>
        <w:t xml:space="preserve"> </w:t>
      </w:r>
      <w:r w:rsidR="00CC3D90">
        <w:rPr>
          <w:rFonts w:ascii="Arial" w:hAnsi="Arial" w:cs="Arial"/>
        </w:rPr>
        <w:t>‘</w:t>
      </w:r>
      <w:r w:rsidRPr="00DD551B">
        <w:rPr>
          <w:rFonts w:ascii="Arial" w:hAnsi="Arial" w:cs="Arial"/>
        </w:rPr>
        <w:t>very good health</w:t>
      </w:r>
      <w:r w:rsidR="00CC3D90">
        <w:rPr>
          <w:rFonts w:ascii="Arial" w:hAnsi="Arial" w:cs="Arial"/>
        </w:rPr>
        <w:t xml:space="preserve">’ with a </w:t>
      </w:r>
      <w:r w:rsidRPr="00DD551B">
        <w:rPr>
          <w:rFonts w:ascii="Arial" w:hAnsi="Arial" w:cs="Arial"/>
        </w:rPr>
        <w:t>percentage of 50.</w:t>
      </w:r>
      <w:r w:rsidR="00CC3D90">
        <w:rPr>
          <w:rFonts w:ascii="Arial" w:hAnsi="Arial" w:cs="Arial"/>
        </w:rPr>
        <w:t>9</w:t>
      </w:r>
      <w:r w:rsidRPr="00DD551B">
        <w:rPr>
          <w:rFonts w:ascii="Arial" w:hAnsi="Arial" w:cs="Arial"/>
        </w:rPr>
        <w:t>%</w:t>
      </w:r>
      <w:r w:rsidR="00CC3D90">
        <w:rPr>
          <w:rFonts w:ascii="Arial" w:hAnsi="Arial" w:cs="Arial"/>
        </w:rPr>
        <w:t xml:space="preserve">, whereas </w:t>
      </w:r>
      <w:r w:rsidRPr="00DD551B">
        <w:rPr>
          <w:rFonts w:ascii="Arial" w:hAnsi="Arial" w:cs="Arial"/>
        </w:rPr>
        <w:t>Leicester had the l</w:t>
      </w:r>
      <w:r w:rsidR="00CC3D90">
        <w:rPr>
          <w:rFonts w:ascii="Arial" w:hAnsi="Arial" w:cs="Arial"/>
        </w:rPr>
        <w:t>owest number of respondents who reported to have</w:t>
      </w:r>
      <w:r w:rsidRPr="00DD551B">
        <w:rPr>
          <w:rFonts w:ascii="Arial" w:hAnsi="Arial" w:cs="Arial"/>
        </w:rPr>
        <w:t xml:space="preserve"> very good health percentage </w:t>
      </w:r>
      <w:r w:rsidR="00CC3D90">
        <w:rPr>
          <w:rFonts w:ascii="Arial" w:hAnsi="Arial" w:cs="Arial"/>
        </w:rPr>
        <w:t>at</w:t>
      </w:r>
      <w:r w:rsidRPr="00DD551B">
        <w:rPr>
          <w:rFonts w:ascii="Arial" w:hAnsi="Arial" w:cs="Arial"/>
        </w:rPr>
        <w:t xml:space="preserve"> 44%.</w:t>
      </w:r>
      <w:r w:rsidR="00293CD0">
        <w:rPr>
          <w:rFonts w:ascii="Arial" w:hAnsi="Arial" w:cs="Arial"/>
          <w:color w:val="1F1F1F"/>
        </w:rPr>
        <w:t xml:space="preserve"> </w:t>
      </w:r>
      <w:r w:rsidR="00ED65C4">
        <w:rPr>
          <w:rFonts w:ascii="Arial" w:hAnsi="Arial" w:cs="Arial"/>
        </w:rPr>
        <w:t>Between</w:t>
      </w:r>
      <w:r w:rsidRPr="00DD551B">
        <w:rPr>
          <w:rFonts w:ascii="Arial" w:hAnsi="Arial" w:cs="Arial"/>
        </w:rPr>
        <w:t xml:space="preserve"> figure 8a and 8b, Leicester had the highest </w:t>
      </w:r>
      <w:r w:rsidR="00ED65C4">
        <w:rPr>
          <w:rFonts w:ascii="Arial" w:hAnsi="Arial" w:cs="Arial"/>
        </w:rPr>
        <w:t xml:space="preserve">number of respondents reporting </w:t>
      </w:r>
      <w:r w:rsidRPr="00DD551B">
        <w:rPr>
          <w:rFonts w:ascii="Arial" w:hAnsi="Arial" w:cs="Arial"/>
        </w:rPr>
        <w:t xml:space="preserve">very bad health </w:t>
      </w:r>
      <w:r w:rsidR="00293CD0">
        <w:rPr>
          <w:rFonts w:ascii="Arial" w:hAnsi="Arial" w:cs="Arial"/>
        </w:rPr>
        <w:t xml:space="preserve">with a </w:t>
      </w:r>
      <w:r w:rsidRPr="00DD551B">
        <w:rPr>
          <w:rFonts w:ascii="Arial" w:hAnsi="Arial" w:cs="Arial"/>
        </w:rPr>
        <w:t>percentage of 1.49% in 2011</w:t>
      </w:r>
      <w:r w:rsidR="00293CD0">
        <w:rPr>
          <w:rFonts w:ascii="Arial" w:hAnsi="Arial" w:cs="Arial"/>
        </w:rPr>
        <w:t xml:space="preserve">, which declines to 1.2% </w:t>
      </w:r>
      <w:r w:rsidRPr="00DD551B">
        <w:rPr>
          <w:rFonts w:ascii="Arial" w:hAnsi="Arial" w:cs="Arial"/>
        </w:rPr>
        <w:t>in 2021.</w:t>
      </w:r>
    </w:p>
    <w:p w14:paraId="5F2716BA" w14:textId="77777777" w:rsidR="00DC33C3" w:rsidRPr="00DC33C3" w:rsidRDefault="00DC33C3" w:rsidP="00DC33C3">
      <w:pPr>
        <w:pStyle w:val="NormalWeb"/>
        <w:shd w:val="clear" w:color="auto" w:fill="FFFFFF" w:themeFill="background1"/>
        <w:spacing w:after="300"/>
        <w:rPr>
          <w:rFonts w:ascii="Arial" w:hAnsi="Arial" w:cs="Arial"/>
        </w:rPr>
      </w:pPr>
    </w:p>
    <w:p w14:paraId="4C8FAF91" w14:textId="77777777" w:rsidR="002F01E3" w:rsidRPr="00DC33C3" w:rsidRDefault="002F01E3" w:rsidP="002F01E3">
      <w:pPr>
        <w:pStyle w:val="NormalWeb"/>
        <w:spacing w:before="0" w:beforeAutospacing="0" w:after="300" w:afterAutospacing="0"/>
        <w:rPr>
          <w:rFonts w:ascii="Arial" w:hAnsi="Arial" w:cs="Arial"/>
          <w:b/>
          <w:bCs/>
          <w:color w:val="1F1F1F"/>
          <w:sz w:val="28"/>
          <w:szCs w:val="28"/>
          <w:u w:val="single"/>
        </w:rPr>
      </w:pPr>
      <w:r w:rsidRPr="00DC33C3">
        <w:rPr>
          <w:rFonts w:ascii="Arial" w:hAnsi="Arial" w:cs="Arial"/>
          <w:b/>
          <w:bCs/>
          <w:color w:val="1F1F1F"/>
          <w:sz w:val="28"/>
          <w:szCs w:val="28"/>
          <w:u w:val="single"/>
        </w:rPr>
        <w:t>Regional and National Comparison</w:t>
      </w:r>
    </w:p>
    <w:p w14:paraId="1CF48CF9" w14:textId="1D7120C3" w:rsidR="00303942" w:rsidRDefault="00303942" w:rsidP="002F01E3">
      <w:pPr>
        <w:pStyle w:val="NormalWeb"/>
        <w:spacing w:before="0" w:beforeAutospacing="0" w:after="300" w:afterAutospacing="0"/>
        <w:rPr>
          <w:rFonts w:ascii="Arial" w:hAnsi="Arial" w:cs="Arial"/>
          <w:color w:val="1F1F1F"/>
        </w:rPr>
      </w:pPr>
      <w:r>
        <w:rPr>
          <w:rFonts w:ascii="Arial" w:hAnsi="Arial" w:cs="Arial"/>
          <w:color w:val="1F1F1F"/>
        </w:rPr>
        <w:t>We also analysed the general health of 2011</w:t>
      </w:r>
      <w:r w:rsidR="004346DB">
        <w:rPr>
          <w:rFonts w:ascii="Arial" w:hAnsi="Arial" w:cs="Arial"/>
          <w:color w:val="1F1F1F"/>
        </w:rPr>
        <w:t xml:space="preserve"> and 2021</w:t>
      </w:r>
      <w:r>
        <w:rPr>
          <w:rFonts w:ascii="Arial" w:hAnsi="Arial" w:cs="Arial"/>
          <w:color w:val="1F1F1F"/>
        </w:rPr>
        <w:t xml:space="preserve"> Census data respondents in Leicester to respondents</w:t>
      </w:r>
      <w:r w:rsidR="004346DB">
        <w:rPr>
          <w:rFonts w:ascii="Arial" w:hAnsi="Arial" w:cs="Arial"/>
          <w:color w:val="1F1F1F"/>
        </w:rPr>
        <w:t xml:space="preserve"> </w:t>
      </w:r>
      <w:r>
        <w:rPr>
          <w:rFonts w:ascii="Arial" w:hAnsi="Arial" w:cs="Arial"/>
          <w:color w:val="1F1F1F"/>
        </w:rPr>
        <w:t>in</w:t>
      </w:r>
      <w:r w:rsidR="004346DB">
        <w:rPr>
          <w:rFonts w:ascii="Arial" w:hAnsi="Arial" w:cs="Arial"/>
          <w:color w:val="1F1F1F"/>
        </w:rPr>
        <w:t xml:space="preserve"> nearby cities and towns and also</w:t>
      </w:r>
      <w:r>
        <w:rPr>
          <w:rFonts w:ascii="Arial" w:hAnsi="Arial" w:cs="Arial"/>
          <w:color w:val="1F1F1F"/>
        </w:rPr>
        <w:t xml:space="preserve"> Inner London</w:t>
      </w:r>
      <w:r w:rsidR="004346DB">
        <w:rPr>
          <w:rFonts w:ascii="Arial" w:hAnsi="Arial" w:cs="Arial"/>
          <w:color w:val="1F1F1F"/>
        </w:rPr>
        <w:t xml:space="preserve"> in Figures 9a and 9b.</w:t>
      </w:r>
    </w:p>
    <w:p w14:paraId="67905E7B" w14:textId="75ECDB1C" w:rsidR="006B40BC" w:rsidRDefault="006B40BC" w:rsidP="002F01E3">
      <w:pPr>
        <w:pStyle w:val="NormalWeb"/>
        <w:spacing w:before="0" w:beforeAutospacing="0" w:after="300" w:afterAutospacing="0"/>
        <w:rPr>
          <w:rFonts w:ascii="Arial" w:hAnsi="Arial" w:cs="Arial"/>
          <w:color w:val="1F1F1F"/>
        </w:rPr>
      </w:pPr>
      <w:r>
        <w:rPr>
          <w:rFonts w:ascii="Arial" w:hAnsi="Arial" w:cs="Arial"/>
          <w:color w:val="1F1F1F"/>
        </w:rPr>
        <w:t xml:space="preserve">In all five areas, the majority of 2021 and 2011 census respondents reported </w:t>
      </w:r>
      <w:r w:rsidR="00476E3B">
        <w:rPr>
          <w:rFonts w:ascii="Arial" w:hAnsi="Arial" w:cs="Arial"/>
          <w:color w:val="1F1F1F"/>
        </w:rPr>
        <w:t xml:space="preserve">they had </w:t>
      </w:r>
      <w:r w:rsidR="00667361">
        <w:rPr>
          <w:rFonts w:ascii="Arial" w:hAnsi="Arial" w:cs="Arial"/>
          <w:color w:val="1F1F1F"/>
        </w:rPr>
        <w:t>‘</w:t>
      </w:r>
      <w:r w:rsidR="00476E3B">
        <w:rPr>
          <w:rFonts w:ascii="Arial" w:hAnsi="Arial" w:cs="Arial"/>
          <w:color w:val="1F1F1F"/>
        </w:rPr>
        <w:t>very good</w:t>
      </w:r>
      <w:r w:rsidR="00667361">
        <w:rPr>
          <w:rFonts w:ascii="Arial" w:hAnsi="Arial" w:cs="Arial"/>
          <w:color w:val="1F1F1F"/>
        </w:rPr>
        <w:t>’</w:t>
      </w:r>
      <w:r w:rsidR="00476E3B">
        <w:rPr>
          <w:rFonts w:ascii="Arial" w:hAnsi="Arial" w:cs="Arial"/>
          <w:color w:val="1F1F1F"/>
        </w:rPr>
        <w:t xml:space="preserve"> health, and there was a steady decline in the number of 2011 and 2021 census respondents who reported worsening general health. </w:t>
      </w:r>
      <w:r w:rsidR="00667361">
        <w:rPr>
          <w:rFonts w:ascii="Arial" w:hAnsi="Arial" w:cs="Arial"/>
          <w:color w:val="1F1F1F"/>
        </w:rPr>
        <w:t>Therefore,</w:t>
      </w:r>
      <w:r w:rsidR="00476E3B">
        <w:rPr>
          <w:rFonts w:ascii="Arial" w:hAnsi="Arial" w:cs="Arial"/>
          <w:color w:val="1F1F1F"/>
        </w:rPr>
        <w:t xml:space="preserve"> the lowest numbers of respondents </w:t>
      </w:r>
      <w:r w:rsidR="00D9797E">
        <w:rPr>
          <w:rFonts w:ascii="Arial" w:hAnsi="Arial" w:cs="Arial"/>
          <w:color w:val="1F1F1F"/>
        </w:rPr>
        <w:t xml:space="preserve">reported to have </w:t>
      </w:r>
      <w:r w:rsidR="00667361">
        <w:rPr>
          <w:rFonts w:ascii="Arial" w:hAnsi="Arial" w:cs="Arial"/>
          <w:color w:val="1F1F1F"/>
        </w:rPr>
        <w:t>‘</w:t>
      </w:r>
      <w:r w:rsidR="00D9797E">
        <w:rPr>
          <w:rFonts w:ascii="Arial" w:hAnsi="Arial" w:cs="Arial"/>
          <w:color w:val="1F1F1F"/>
        </w:rPr>
        <w:t>bad</w:t>
      </w:r>
      <w:r w:rsidR="00667361">
        <w:rPr>
          <w:rFonts w:ascii="Arial" w:hAnsi="Arial" w:cs="Arial"/>
          <w:color w:val="1F1F1F"/>
        </w:rPr>
        <w:t>’</w:t>
      </w:r>
      <w:r w:rsidR="00D9797E">
        <w:rPr>
          <w:rFonts w:ascii="Arial" w:hAnsi="Arial" w:cs="Arial"/>
          <w:color w:val="1F1F1F"/>
        </w:rPr>
        <w:t xml:space="preserve"> and </w:t>
      </w:r>
      <w:r w:rsidR="00667361">
        <w:rPr>
          <w:rFonts w:ascii="Arial" w:hAnsi="Arial" w:cs="Arial"/>
          <w:color w:val="1F1F1F"/>
        </w:rPr>
        <w:t>‘</w:t>
      </w:r>
      <w:r w:rsidR="00D9797E">
        <w:rPr>
          <w:rFonts w:ascii="Arial" w:hAnsi="Arial" w:cs="Arial"/>
          <w:color w:val="1F1F1F"/>
        </w:rPr>
        <w:t>very bad</w:t>
      </w:r>
      <w:r w:rsidR="00667361">
        <w:rPr>
          <w:rFonts w:ascii="Arial" w:hAnsi="Arial" w:cs="Arial"/>
          <w:color w:val="1F1F1F"/>
        </w:rPr>
        <w:t>’</w:t>
      </w:r>
      <w:r w:rsidR="00D9797E">
        <w:rPr>
          <w:rFonts w:ascii="Arial" w:hAnsi="Arial" w:cs="Arial"/>
          <w:color w:val="1F1F1F"/>
        </w:rPr>
        <w:t xml:space="preserve"> health </w:t>
      </w:r>
      <w:r w:rsidR="00B35C83">
        <w:rPr>
          <w:rFonts w:ascii="Arial" w:hAnsi="Arial" w:cs="Arial"/>
          <w:color w:val="1F1F1F"/>
        </w:rPr>
        <w:t>in the 2021 and 2011 census.</w:t>
      </w:r>
      <w:r w:rsidR="00667361">
        <w:rPr>
          <w:rFonts w:ascii="Arial" w:hAnsi="Arial" w:cs="Arial"/>
          <w:color w:val="1F1F1F"/>
        </w:rPr>
        <w:t xml:space="preserve"> Between the 2011 and 2021 census, there has been a rise in the number of respondents who are reporting ‘good’</w:t>
      </w:r>
      <w:r w:rsidR="00C56E90">
        <w:rPr>
          <w:rFonts w:ascii="Arial" w:hAnsi="Arial" w:cs="Arial"/>
          <w:color w:val="1F1F1F"/>
        </w:rPr>
        <w:t>, and ‘fair’</w:t>
      </w:r>
      <w:r w:rsidR="00187961">
        <w:rPr>
          <w:rFonts w:ascii="Arial" w:hAnsi="Arial" w:cs="Arial"/>
          <w:color w:val="1F1F1F"/>
        </w:rPr>
        <w:t xml:space="preserve"> health.</w:t>
      </w:r>
    </w:p>
    <w:p w14:paraId="0E2FF750" w14:textId="77777777" w:rsidR="00B35C83" w:rsidRPr="00303942" w:rsidRDefault="00B35C83" w:rsidP="002F01E3">
      <w:pPr>
        <w:pStyle w:val="NormalWeb"/>
        <w:spacing w:before="0" w:beforeAutospacing="0" w:after="300" w:afterAutospacing="0"/>
        <w:rPr>
          <w:rFonts w:ascii="Arial" w:hAnsi="Arial" w:cs="Arial"/>
          <w:highlight w:val="yellow"/>
        </w:rPr>
      </w:pPr>
    </w:p>
    <w:p w14:paraId="4A2D6BD4" w14:textId="77777777" w:rsidR="00303942" w:rsidRDefault="00F92C20" w:rsidP="002F01E3">
      <w:pPr>
        <w:rPr>
          <w:rFonts w:ascii="Arial" w:hAnsi="Arial" w:cs="Arial"/>
          <w:b/>
          <w:bCs/>
          <w:color w:val="1F1F1F"/>
          <w:highlight w:val="yellow"/>
          <w:u w:val="single"/>
        </w:rPr>
      </w:pPr>
      <w:r>
        <w:rPr>
          <w:noProof/>
        </w:rPr>
        <w:lastRenderedPageBreak/>
        <w:drawing>
          <wp:inline distT="0" distB="0" distL="0" distR="0" wp14:anchorId="14ADBC6A" wp14:editId="5874CF17">
            <wp:extent cx="5743575" cy="3295650"/>
            <wp:effectExtent l="0" t="0" r="9525" b="0"/>
            <wp:docPr id="21" name="Chart 21">
              <a:extLst xmlns:a="http://schemas.openxmlformats.org/drawingml/2006/main">
                <a:ext uri="{FF2B5EF4-FFF2-40B4-BE49-F238E27FC236}">
                  <a16:creationId xmlns:a16="http://schemas.microsoft.com/office/drawing/2014/main" id="{2D75B51B-411D-D6C7-9A5B-39AA0EF1CF3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80F6B98" w14:textId="0D0DEB24" w:rsidR="004346DB" w:rsidRPr="004346DB" w:rsidRDefault="004346DB" w:rsidP="002F01E3">
      <w:pPr>
        <w:rPr>
          <w:rFonts w:ascii="Arial" w:hAnsi="Arial" w:cs="Arial"/>
          <w:i/>
          <w:iCs/>
          <w:color w:val="1F1F1F"/>
        </w:rPr>
      </w:pPr>
      <w:r w:rsidRPr="004346DB">
        <w:rPr>
          <w:rFonts w:ascii="Arial" w:hAnsi="Arial" w:cs="Arial"/>
          <w:i/>
          <w:iCs/>
          <w:color w:val="1F1F1F"/>
        </w:rPr>
        <w:t>Figure 9a:</w:t>
      </w:r>
      <w:r w:rsidR="00E34353">
        <w:rPr>
          <w:rFonts w:ascii="Arial" w:hAnsi="Arial" w:cs="Arial"/>
          <w:i/>
          <w:iCs/>
          <w:color w:val="1F1F1F"/>
        </w:rPr>
        <w:t xml:space="preserve"> General hea</w:t>
      </w:r>
      <w:r w:rsidR="009A033B">
        <w:rPr>
          <w:rFonts w:ascii="Arial" w:hAnsi="Arial" w:cs="Arial"/>
          <w:i/>
          <w:iCs/>
          <w:color w:val="1F1F1F"/>
        </w:rPr>
        <w:t>l</w:t>
      </w:r>
      <w:r w:rsidR="00E34353">
        <w:rPr>
          <w:rFonts w:ascii="Arial" w:hAnsi="Arial" w:cs="Arial"/>
          <w:i/>
          <w:iCs/>
          <w:color w:val="1F1F1F"/>
        </w:rPr>
        <w:t xml:space="preserve">th of </w:t>
      </w:r>
      <w:r w:rsidR="009A033B">
        <w:rPr>
          <w:rFonts w:ascii="Arial" w:hAnsi="Arial" w:cs="Arial"/>
          <w:i/>
          <w:iCs/>
          <w:color w:val="1F1F1F"/>
        </w:rPr>
        <w:t>respondents across five areas from 2011 Census data.</w:t>
      </w:r>
    </w:p>
    <w:p w14:paraId="2D73C324" w14:textId="6AD25735" w:rsidR="00397918" w:rsidRDefault="00893CCA" w:rsidP="002F01E3">
      <w:pPr>
        <w:rPr>
          <w:rFonts w:ascii="Arial" w:hAnsi="Arial" w:cs="Arial"/>
          <w:b/>
          <w:bCs/>
          <w:color w:val="1F1F1F"/>
          <w:highlight w:val="yellow"/>
          <w:u w:val="single"/>
        </w:rPr>
      </w:pPr>
      <w:r>
        <w:rPr>
          <w:noProof/>
        </w:rPr>
        <w:drawing>
          <wp:inline distT="0" distB="0" distL="0" distR="0" wp14:anchorId="22687947" wp14:editId="3F3F57BD">
            <wp:extent cx="6200775" cy="3705225"/>
            <wp:effectExtent l="0" t="0" r="9525" b="9525"/>
            <wp:docPr id="23" name="Chart 23">
              <a:extLst xmlns:a="http://schemas.openxmlformats.org/drawingml/2006/main">
                <a:ext uri="{FF2B5EF4-FFF2-40B4-BE49-F238E27FC236}">
                  <a16:creationId xmlns:a16="http://schemas.microsoft.com/office/drawing/2014/main" id="{FC714088-1C3C-72DD-60D4-D66EE23ADC3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D11FADE" w14:textId="77B87A56" w:rsidR="00397918" w:rsidRPr="004346DB" w:rsidRDefault="00397918" w:rsidP="00397918">
      <w:pPr>
        <w:rPr>
          <w:rFonts w:ascii="Arial" w:hAnsi="Arial" w:cs="Arial"/>
          <w:i/>
          <w:iCs/>
          <w:color w:val="1F1F1F"/>
        </w:rPr>
      </w:pPr>
      <w:r w:rsidRPr="004346DB">
        <w:rPr>
          <w:rFonts w:ascii="Arial" w:hAnsi="Arial" w:cs="Arial"/>
          <w:i/>
          <w:iCs/>
          <w:color w:val="1F1F1F"/>
        </w:rPr>
        <w:t>Figure 9</w:t>
      </w:r>
      <w:r>
        <w:rPr>
          <w:rFonts w:ascii="Arial" w:hAnsi="Arial" w:cs="Arial"/>
          <w:i/>
          <w:iCs/>
          <w:color w:val="1F1F1F"/>
        </w:rPr>
        <w:t>b</w:t>
      </w:r>
      <w:r w:rsidRPr="004346DB">
        <w:rPr>
          <w:rFonts w:ascii="Arial" w:hAnsi="Arial" w:cs="Arial"/>
          <w:i/>
          <w:iCs/>
          <w:color w:val="1F1F1F"/>
        </w:rPr>
        <w:t>:</w:t>
      </w:r>
      <w:r>
        <w:rPr>
          <w:rFonts w:ascii="Arial" w:hAnsi="Arial" w:cs="Arial"/>
          <w:i/>
          <w:iCs/>
          <w:color w:val="1F1F1F"/>
        </w:rPr>
        <w:t xml:space="preserve"> General health of respondents across five areas from 2021 Census data.</w:t>
      </w:r>
    </w:p>
    <w:p w14:paraId="47B04C6A" w14:textId="43AA84DB" w:rsidR="00816C89" w:rsidRDefault="00187961" w:rsidP="00816C89">
      <w:pPr>
        <w:rPr>
          <w:rFonts w:ascii="Arial" w:hAnsi="Arial" w:cs="Arial"/>
          <w:color w:val="1F1F1F"/>
        </w:rPr>
      </w:pPr>
      <w:r w:rsidRPr="00816C89">
        <w:rPr>
          <w:rFonts w:ascii="Arial" w:hAnsi="Arial" w:cs="Arial"/>
          <w:color w:val="1F1F1F"/>
        </w:rPr>
        <w:t xml:space="preserve">This may be due to a rise in the overall UK population as well as </w:t>
      </w:r>
      <w:r w:rsidR="00816C89" w:rsidRPr="00816C89">
        <w:rPr>
          <w:rFonts w:ascii="Arial" w:hAnsi="Arial" w:cs="Arial"/>
          <w:color w:val="1F1F1F"/>
        </w:rPr>
        <w:t>a rise in the aging population between 2011 and 2021 .</w:t>
      </w:r>
    </w:p>
    <w:p w14:paraId="5F5E8FF7" w14:textId="77777777" w:rsidR="00816C89" w:rsidRDefault="00816C89" w:rsidP="00816C89">
      <w:pPr>
        <w:rPr>
          <w:rFonts w:ascii="Arial" w:hAnsi="Arial" w:cs="Arial"/>
          <w:color w:val="1F1F1F"/>
        </w:rPr>
      </w:pPr>
    </w:p>
    <w:p w14:paraId="0A938737" w14:textId="77777777" w:rsidR="00816C89" w:rsidRDefault="00816C89" w:rsidP="00816C89">
      <w:pPr>
        <w:rPr>
          <w:rFonts w:ascii="Arial" w:hAnsi="Arial" w:cs="Arial"/>
          <w:b/>
          <w:bCs/>
          <w:color w:val="1F1F1F"/>
          <w:sz w:val="28"/>
          <w:szCs w:val="28"/>
          <w:u w:val="single"/>
        </w:rPr>
      </w:pPr>
    </w:p>
    <w:p w14:paraId="7E8A0B7A" w14:textId="77777777" w:rsidR="00816C89" w:rsidRDefault="00816C89" w:rsidP="00816C89">
      <w:pPr>
        <w:rPr>
          <w:rFonts w:ascii="Arial" w:hAnsi="Arial" w:cs="Arial"/>
          <w:b/>
          <w:bCs/>
          <w:color w:val="1F1F1F"/>
          <w:sz w:val="28"/>
          <w:szCs w:val="28"/>
          <w:u w:val="single"/>
        </w:rPr>
      </w:pPr>
    </w:p>
    <w:p w14:paraId="32E45EB9" w14:textId="58B6F962" w:rsidR="00D51A16" w:rsidRPr="00816C89" w:rsidRDefault="00816C89" w:rsidP="00816C89">
      <w:pPr>
        <w:rPr>
          <w:rFonts w:ascii="Arial" w:hAnsi="Arial" w:cs="Arial"/>
          <w:b/>
          <w:bCs/>
          <w:color w:val="1F1F1F"/>
          <w:u w:val="single"/>
        </w:rPr>
      </w:pPr>
      <w:r w:rsidRPr="00816C89">
        <w:rPr>
          <w:rFonts w:ascii="Arial" w:hAnsi="Arial" w:cs="Arial"/>
          <w:b/>
          <w:bCs/>
          <w:color w:val="1F1F1F"/>
          <w:sz w:val="28"/>
          <w:szCs w:val="28"/>
          <w:u w:val="single"/>
        </w:rPr>
        <w:t xml:space="preserve">2. </w:t>
      </w:r>
      <w:r w:rsidR="00AA029B" w:rsidRPr="00816C89">
        <w:rPr>
          <w:rFonts w:ascii="Arial" w:hAnsi="Arial" w:cs="Arial"/>
          <w:b/>
          <w:bCs/>
          <w:color w:val="1F1F1F"/>
          <w:sz w:val="28"/>
          <w:szCs w:val="28"/>
          <w:u w:val="single"/>
        </w:rPr>
        <w:t>Disability</w:t>
      </w:r>
    </w:p>
    <w:p w14:paraId="1B533EFB" w14:textId="59A0A949" w:rsidR="003C2650" w:rsidRPr="00A74983" w:rsidRDefault="005041CD" w:rsidP="00D14136">
      <w:pPr>
        <w:pStyle w:val="NormalWeb"/>
        <w:shd w:val="clear" w:color="auto" w:fill="FFFFFF"/>
        <w:spacing w:before="0" w:beforeAutospacing="0" w:after="300" w:afterAutospacing="0"/>
        <w:rPr>
          <w:rFonts w:ascii="Arial" w:eastAsiaTheme="minorHAnsi" w:hAnsi="Arial" w:cs="Arial"/>
          <w:lang w:eastAsia="en-US"/>
        </w:rPr>
      </w:pPr>
      <w:r w:rsidRPr="00A74983">
        <w:rPr>
          <w:rFonts w:ascii="Arial" w:eastAsiaTheme="minorHAnsi" w:hAnsi="Arial" w:cs="Arial"/>
          <w:lang w:eastAsia="en-US"/>
        </w:rPr>
        <w:t xml:space="preserve">Respondents reported whether they had any physical or mental conditions expecting to last 12 months or more, and whether these limit their day-to-day activities. </w:t>
      </w:r>
      <w:r w:rsidR="003C2650" w:rsidRPr="00A74983">
        <w:rPr>
          <w:rFonts w:ascii="Arial" w:eastAsiaTheme="minorHAnsi" w:hAnsi="Arial" w:cs="Arial"/>
          <w:lang w:eastAsia="en-US"/>
        </w:rPr>
        <w:t xml:space="preserve">The number of people who assessed their day-to-day activities as limited by long-term physical or mental health conditions or illnesses and are considered </w:t>
      </w:r>
      <w:r w:rsidR="00B13A9B" w:rsidRPr="00A74983">
        <w:rPr>
          <w:rFonts w:ascii="Arial" w:eastAsiaTheme="minorHAnsi" w:hAnsi="Arial" w:cs="Arial"/>
          <w:lang w:eastAsia="en-US"/>
        </w:rPr>
        <w:t>as a disability</w:t>
      </w:r>
      <w:r w:rsidR="003C2650" w:rsidRPr="00A74983">
        <w:rPr>
          <w:rFonts w:ascii="Arial" w:eastAsiaTheme="minorHAnsi" w:hAnsi="Arial" w:cs="Arial"/>
          <w:lang w:eastAsia="en-US"/>
        </w:rPr>
        <w:t>. This definition of a disabled person meets the harmonised standard for measuring disability and is in line with the Equality Act (2010).</w:t>
      </w:r>
      <w:r w:rsidR="00B13A9B" w:rsidRPr="00A74983">
        <w:rPr>
          <w:rFonts w:ascii="Arial" w:eastAsiaTheme="minorHAnsi" w:hAnsi="Arial" w:cs="Arial"/>
          <w:lang w:eastAsia="en-US"/>
        </w:rPr>
        <w:t xml:space="preserve"> </w:t>
      </w:r>
    </w:p>
    <w:p w14:paraId="2922B221" w14:textId="04A9D171" w:rsidR="00AA029B" w:rsidRPr="00A74983" w:rsidRDefault="00394E92" w:rsidP="00D14136">
      <w:pPr>
        <w:pStyle w:val="NormalWeb"/>
        <w:shd w:val="clear" w:color="auto" w:fill="FFFFFF"/>
        <w:spacing w:before="0" w:beforeAutospacing="0" w:after="300" w:afterAutospacing="0"/>
        <w:rPr>
          <w:rFonts w:ascii="Arial" w:eastAsiaTheme="minorHAnsi" w:hAnsi="Arial" w:cs="Arial"/>
          <w:lang w:eastAsia="en-US"/>
        </w:rPr>
      </w:pPr>
      <w:r w:rsidRPr="00A74983">
        <w:rPr>
          <w:rFonts w:ascii="Arial" w:eastAsiaTheme="minorHAnsi" w:hAnsi="Arial" w:cs="Arial"/>
          <w:lang w:eastAsia="en-US"/>
        </w:rPr>
        <w:t xml:space="preserve">It is important to note that </w:t>
      </w:r>
      <w:r w:rsidR="00AA029B" w:rsidRPr="00A74983">
        <w:rPr>
          <w:rFonts w:ascii="Arial" w:eastAsiaTheme="minorHAnsi" w:hAnsi="Arial" w:cs="Arial"/>
          <w:lang w:eastAsia="en-US"/>
        </w:rPr>
        <w:t>here are higher numbers of people in older age groups reporting they have a disability. However, this is because older people are more likely than younger people to be disabled.</w:t>
      </w:r>
    </w:p>
    <w:p w14:paraId="312DC5F0" w14:textId="08394D8D" w:rsidR="00B22ECB" w:rsidRPr="00A74983" w:rsidRDefault="00DC33C3" w:rsidP="00B22ECB">
      <w:pPr>
        <w:rPr>
          <w:rFonts w:ascii="Arial" w:hAnsi="Arial" w:cs="Arial"/>
          <w:color w:val="1F1F1F"/>
        </w:rPr>
      </w:pPr>
      <w:r w:rsidRPr="00A74983">
        <w:rPr>
          <w:rFonts w:ascii="Arial" w:hAnsi="Arial" w:cs="Arial"/>
          <w:noProof/>
        </w:rPr>
        <mc:AlternateContent>
          <mc:Choice Requires="wps">
            <w:drawing>
              <wp:anchor distT="0" distB="0" distL="114300" distR="114300" simplePos="0" relativeHeight="251658242" behindDoc="1" locked="0" layoutInCell="1" allowOverlap="1" wp14:anchorId="6FE0C8E0" wp14:editId="2E9E1B62">
                <wp:simplePos x="0" y="0"/>
                <wp:positionH relativeFrom="column">
                  <wp:posOffset>-228601</wp:posOffset>
                </wp:positionH>
                <wp:positionV relativeFrom="paragraph">
                  <wp:posOffset>46990</wp:posOffset>
                </wp:positionV>
                <wp:extent cx="6241415" cy="5600700"/>
                <wp:effectExtent l="0" t="0" r="6985" b="0"/>
                <wp:wrapNone/>
                <wp:docPr id="7" name="Rectangle 7"/>
                <wp:cNvGraphicFramePr/>
                <a:graphic xmlns:a="http://schemas.openxmlformats.org/drawingml/2006/main">
                  <a:graphicData uri="http://schemas.microsoft.com/office/word/2010/wordprocessingShape">
                    <wps:wsp>
                      <wps:cNvSpPr/>
                      <wps:spPr>
                        <a:xfrm>
                          <a:off x="0" y="0"/>
                          <a:ext cx="6241415" cy="5600700"/>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61BEC9" id="Rectangle 7" o:spid="_x0000_s1026" style="position:absolute;margin-left:-18pt;margin-top:3.7pt;width:491.45pt;height:441pt;z-index:-25165823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" fillcolor="#d9e2f3 [660]" stroked="f" strokeweight="1pt">
                <v:fill opacity="46003f"/>
              </v:rect>
            </w:pict>
          </mc:Fallback>
        </mc:AlternateContent>
      </w:r>
    </w:p>
    <w:p w14:paraId="7E09CB86" w14:textId="121D46FF" w:rsidR="00EB04C9" w:rsidRPr="00A74983" w:rsidRDefault="00EB04C9" w:rsidP="00EB04C9">
      <w:pPr>
        <w:rPr>
          <w:rFonts w:ascii="Arial" w:hAnsi="Arial" w:cs="Arial"/>
          <w:b/>
          <w:bCs/>
          <w:color w:val="1F1F1F"/>
        </w:rPr>
      </w:pPr>
      <w:r w:rsidRPr="00A74983">
        <w:rPr>
          <w:rFonts w:ascii="Arial" w:hAnsi="Arial" w:cs="Arial"/>
          <w:b/>
          <w:bCs/>
          <w:color w:val="1F1F1F"/>
          <w:sz w:val="28"/>
          <w:szCs w:val="28"/>
        </w:rPr>
        <w:t xml:space="preserve">England </w:t>
      </w:r>
      <w:r w:rsidR="00865FAF" w:rsidRPr="00A74983">
        <w:rPr>
          <w:rFonts w:ascii="Arial" w:hAnsi="Arial" w:cs="Arial"/>
          <w:b/>
          <w:bCs/>
          <w:color w:val="1F1F1F"/>
          <w:sz w:val="28"/>
          <w:szCs w:val="28"/>
        </w:rPr>
        <w:t>Disability</w:t>
      </w:r>
      <w:r w:rsidRPr="00A74983">
        <w:rPr>
          <w:rFonts w:ascii="Arial" w:hAnsi="Arial" w:cs="Arial"/>
          <w:b/>
          <w:bCs/>
          <w:color w:val="1F1F1F"/>
          <w:sz w:val="28"/>
          <w:szCs w:val="28"/>
        </w:rPr>
        <w:t xml:space="preserve"> Held Overview</w:t>
      </w:r>
    </w:p>
    <w:p w14:paraId="58D1DFB8" w14:textId="4C456836" w:rsidR="00EB04C9" w:rsidRPr="00DC33C3" w:rsidRDefault="00EB04C9" w:rsidP="00EB04C9">
      <w:pPr>
        <w:rPr>
          <w:rStyle w:val="Hyperlink"/>
          <w:rFonts w:ascii="Arial" w:hAnsi="Arial" w:cs="Arial"/>
          <w:sz w:val="24"/>
          <w:szCs w:val="24"/>
        </w:rPr>
      </w:pPr>
      <w:r w:rsidRPr="00DC33C3">
        <w:rPr>
          <w:rFonts w:ascii="Arial" w:hAnsi="Arial" w:cs="Arial"/>
          <w:color w:val="1F1F1F"/>
          <w:sz w:val="24"/>
          <w:szCs w:val="24"/>
        </w:rPr>
        <w:t xml:space="preserve">Source: </w:t>
      </w:r>
      <w:hyperlink r:id="rId22" w:history="1">
        <w:r w:rsidRPr="00DC33C3">
          <w:rPr>
            <w:rStyle w:val="Hyperlink"/>
            <w:rFonts w:ascii="Arial" w:hAnsi="Arial" w:cs="Arial"/>
            <w:sz w:val="24"/>
            <w:szCs w:val="24"/>
          </w:rPr>
          <w:t>ons.gov.uk</w:t>
        </w:r>
      </w:hyperlink>
    </w:p>
    <w:p w14:paraId="5C10A871" w14:textId="644DFAE8" w:rsidR="00E82CA2" w:rsidRPr="00DC33C3" w:rsidRDefault="00EB04C9" w:rsidP="00435112">
      <w:pPr>
        <w:rPr>
          <w:rFonts w:ascii="Arial" w:hAnsi="Arial" w:cs="Arial"/>
          <w:color w:val="1F1F1F"/>
          <w:sz w:val="24"/>
          <w:szCs w:val="24"/>
        </w:rPr>
      </w:pPr>
      <w:r w:rsidRPr="00DC33C3">
        <w:rPr>
          <w:rFonts w:ascii="Arial" w:hAnsi="Arial" w:cs="Arial"/>
          <w:color w:val="1F1F1F"/>
          <w:sz w:val="24"/>
          <w:szCs w:val="24"/>
        </w:rPr>
        <w:br/>
      </w:r>
      <w:r w:rsidR="00A62B50" w:rsidRPr="00DC33C3">
        <w:rPr>
          <w:rFonts w:ascii="Arial" w:hAnsi="Arial" w:cs="Arial"/>
          <w:color w:val="1F1F1F"/>
          <w:sz w:val="24"/>
          <w:szCs w:val="24"/>
        </w:rPr>
        <w:t>“</w:t>
      </w:r>
      <w:r w:rsidR="002825FD" w:rsidRPr="00DC33C3">
        <w:rPr>
          <w:rFonts w:ascii="Arial" w:hAnsi="Arial" w:cs="Arial"/>
          <w:color w:val="1F1F1F"/>
          <w:sz w:val="24"/>
          <w:szCs w:val="24"/>
        </w:rPr>
        <w:t>In 2021, across both England and Wales, the proportion of disabled people was 17.8% (10.4 million). The proportion of people that are disabled has decreased 1.7 percentage points from 2011, when it was 19.5% (10.0 million).</w:t>
      </w:r>
    </w:p>
    <w:p w14:paraId="6ABE8D3B" w14:textId="2BBBE2B4" w:rsidR="00C916C6" w:rsidRPr="00A74983" w:rsidRDefault="00C916C6" w:rsidP="00435112">
      <w:pPr>
        <w:rPr>
          <w:rFonts w:ascii="Arial" w:hAnsi="Arial" w:cs="Arial"/>
          <w:color w:val="1F1F1F"/>
        </w:rPr>
      </w:pPr>
    </w:p>
    <w:p w14:paraId="60131621" w14:textId="295E5A25" w:rsidR="00C916C6" w:rsidRPr="00A74983" w:rsidRDefault="00C916C6" w:rsidP="00435112">
      <w:pPr>
        <w:rPr>
          <w:rFonts w:ascii="Arial" w:hAnsi="Arial" w:cs="Arial"/>
          <w:color w:val="1F1F1F"/>
        </w:rPr>
      </w:pPr>
      <w:r w:rsidRPr="00A74983">
        <w:rPr>
          <w:rFonts w:ascii="Arial" w:hAnsi="Arial" w:cs="Arial"/>
          <w:noProof/>
          <w:color w:val="1F1F1F"/>
        </w:rPr>
        <w:drawing>
          <wp:inline distT="0" distB="0" distL="0" distR="0" wp14:anchorId="30FC81A5" wp14:editId="62065E59">
            <wp:extent cx="4254719" cy="1847945"/>
            <wp:effectExtent l="0" t="0" r="0" b="0"/>
            <wp:docPr id="16" name="Picture 16" descr="Graphical user interface, application, Team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Graphical user interface, application, Teams&#10;&#10;Description automatically generated"/>
                    <pic:cNvPicPr/>
                  </pic:nvPicPr>
                  <pic:blipFill>
                    <a:blip r:embed="rId23"/>
                    <a:stretch>
                      <a:fillRect/>
                    </a:stretch>
                  </pic:blipFill>
                  <pic:spPr>
                    <a:xfrm>
                      <a:off x="0" y="0"/>
                      <a:ext cx="4254719" cy="1847945"/>
                    </a:xfrm>
                    <a:prstGeom prst="rect">
                      <a:avLst/>
                    </a:prstGeom>
                  </pic:spPr>
                </pic:pic>
              </a:graphicData>
            </a:graphic>
          </wp:inline>
        </w:drawing>
      </w:r>
    </w:p>
    <w:p w14:paraId="35D0F341" w14:textId="0ECA195E" w:rsidR="00C916C6" w:rsidRPr="00A74983" w:rsidRDefault="00C916C6" w:rsidP="00C916C6">
      <w:pPr>
        <w:rPr>
          <w:rFonts w:ascii="Arial" w:hAnsi="Arial" w:cs="Arial"/>
          <w:sz w:val="24"/>
          <w:szCs w:val="24"/>
        </w:rPr>
      </w:pPr>
      <w:r w:rsidRPr="00A74983">
        <w:rPr>
          <w:rFonts w:ascii="Arial" w:hAnsi="Arial" w:cs="Arial"/>
          <w:i/>
          <w:iCs/>
          <w:sz w:val="20"/>
          <w:szCs w:val="20"/>
        </w:rPr>
        <w:t xml:space="preserve">Figure </w:t>
      </w:r>
      <w:r w:rsidR="00816C89">
        <w:rPr>
          <w:rFonts w:ascii="Arial" w:hAnsi="Arial" w:cs="Arial"/>
          <w:i/>
          <w:iCs/>
          <w:sz w:val="20"/>
          <w:szCs w:val="20"/>
        </w:rPr>
        <w:t>10</w:t>
      </w:r>
      <w:r w:rsidRPr="00A74983">
        <w:rPr>
          <w:rFonts w:ascii="Arial" w:hAnsi="Arial" w:cs="Arial"/>
          <w:i/>
          <w:iCs/>
          <w:sz w:val="20"/>
          <w:szCs w:val="20"/>
        </w:rPr>
        <w:t xml:space="preserve"> (Source: ONS.gov)</w:t>
      </w:r>
    </w:p>
    <w:p w14:paraId="23B500CE" w14:textId="77777777" w:rsidR="00C916C6" w:rsidRPr="00A74983" w:rsidRDefault="00C916C6" w:rsidP="00435112">
      <w:pPr>
        <w:rPr>
          <w:rFonts w:ascii="Arial" w:hAnsi="Arial" w:cs="Arial"/>
          <w:color w:val="1F1F1F"/>
        </w:rPr>
      </w:pPr>
    </w:p>
    <w:p w14:paraId="1E095485" w14:textId="1FFE8070" w:rsidR="004633A3" w:rsidRPr="00DC33C3" w:rsidRDefault="00DA232B" w:rsidP="00C54AD5">
      <w:pPr>
        <w:rPr>
          <w:rFonts w:ascii="Arial" w:hAnsi="Arial" w:cs="Arial"/>
          <w:color w:val="1F1F1F"/>
          <w:sz w:val="24"/>
          <w:szCs w:val="24"/>
        </w:rPr>
      </w:pPr>
      <w:r w:rsidRPr="00DC33C3">
        <w:rPr>
          <w:rFonts w:ascii="Arial" w:hAnsi="Arial" w:cs="Arial"/>
          <w:color w:val="1F1F1F"/>
          <w:sz w:val="24"/>
          <w:szCs w:val="24"/>
        </w:rPr>
        <w:t xml:space="preserve">The proportion of disabled people decreased in every region of England. The region with the highest proportion of disabled people was the </w:t>
      </w:r>
      <w:r w:rsidR="00B66457" w:rsidRPr="00DC33C3">
        <w:rPr>
          <w:rFonts w:ascii="Arial" w:hAnsi="Arial" w:cs="Arial"/>
          <w:color w:val="1F1F1F"/>
          <w:sz w:val="24"/>
          <w:szCs w:val="24"/>
        </w:rPr>
        <w:t>Northeast</w:t>
      </w:r>
      <w:r w:rsidRPr="00DC33C3">
        <w:rPr>
          <w:rFonts w:ascii="Arial" w:hAnsi="Arial" w:cs="Arial"/>
          <w:color w:val="1F1F1F"/>
          <w:sz w:val="24"/>
          <w:szCs w:val="24"/>
        </w:rPr>
        <w:t xml:space="preserve"> (21.2%, 567,000), as it had been in 2011 (22.8%, 562,000). </w:t>
      </w:r>
      <w:r w:rsidR="004633A3" w:rsidRPr="00DC33C3">
        <w:rPr>
          <w:rFonts w:ascii="Arial" w:hAnsi="Arial" w:cs="Arial"/>
          <w:color w:val="1F1F1F"/>
          <w:sz w:val="24"/>
          <w:szCs w:val="24"/>
        </w:rPr>
        <w:t xml:space="preserve">This </w:t>
      </w:r>
      <w:r w:rsidRPr="00DC33C3">
        <w:rPr>
          <w:rFonts w:ascii="Arial" w:hAnsi="Arial" w:cs="Arial"/>
          <w:color w:val="1F1F1F"/>
          <w:sz w:val="24"/>
          <w:szCs w:val="24"/>
        </w:rPr>
        <w:t xml:space="preserve">was followed by the </w:t>
      </w:r>
      <w:r w:rsidR="00B66457" w:rsidRPr="00DC33C3">
        <w:rPr>
          <w:rFonts w:ascii="Arial" w:hAnsi="Arial" w:cs="Arial"/>
          <w:color w:val="1F1F1F"/>
          <w:sz w:val="24"/>
          <w:szCs w:val="24"/>
        </w:rPr>
        <w:t>Northwest</w:t>
      </w:r>
      <w:r w:rsidRPr="00DC33C3">
        <w:rPr>
          <w:rFonts w:ascii="Arial" w:hAnsi="Arial" w:cs="Arial"/>
          <w:color w:val="1F1F1F"/>
          <w:sz w:val="24"/>
          <w:szCs w:val="24"/>
        </w:rPr>
        <w:t xml:space="preserve"> (19.8%, 1.4 million) and Yorkshire and The Humber (18.9%, 1.0 million). Meanwhile, London (15.7%, 1.2 million) and the </w:t>
      </w:r>
      <w:r w:rsidR="00C916C6" w:rsidRPr="00DC33C3">
        <w:rPr>
          <w:rFonts w:ascii="Arial" w:hAnsi="Arial" w:cs="Arial"/>
          <w:color w:val="1F1F1F"/>
          <w:sz w:val="24"/>
          <w:szCs w:val="24"/>
        </w:rPr>
        <w:t>Southeast</w:t>
      </w:r>
      <w:r w:rsidRPr="00DC33C3">
        <w:rPr>
          <w:rFonts w:ascii="Arial" w:hAnsi="Arial" w:cs="Arial"/>
          <w:color w:val="1F1F1F"/>
          <w:sz w:val="24"/>
          <w:szCs w:val="24"/>
        </w:rPr>
        <w:t xml:space="preserve"> (16.1%, 1.5 million) had the lowest proportions of disabled people.</w:t>
      </w:r>
    </w:p>
    <w:p w14:paraId="287D96E6" w14:textId="077DBF54" w:rsidR="0081227A" w:rsidRPr="00DC33C3" w:rsidRDefault="00DC33C3" w:rsidP="00C54AD5">
      <w:pPr>
        <w:rPr>
          <w:rFonts w:ascii="Arial" w:hAnsi="Arial" w:cs="Arial"/>
          <w:b/>
          <w:bCs/>
          <w:color w:val="1F1F1F"/>
          <w:sz w:val="24"/>
          <w:szCs w:val="24"/>
        </w:rPr>
      </w:pPr>
      <w:r w:rsidRPr="00DC33C3">
        <w:rPr>
          <w:rFonts w:ascii="Arial" w:hAnsi="Arial" w:cs="Arial"/>
          <w:noProof/>
          <w:sz w:val="24"/>
          <w:szCs w:val="24"/>
        </w:rPr>
        <w:lastRenderedPageBreak/>
        <mc:AlternateContent>
          <mc:Choice Requires="wps">
            <w:drawing>
              <wp:anchor distT="0" distB="0" distL="114300" distR="114300" simplePos="0" relativeHeight="251658247" behindDoc="1" locked="0" layoutInCell="1" allowOverlap="1" wp14:anchorId="1CD949EB" wp14:editId="1FE60742">
                <wp:simplePos x="0" y="0"/>
                <wp:positionH relativeFrom="margin">
                  <wp:align>left</wp:align>
                </wp:positionH>
                <wp:positionV relativeFrom="paragraph">
                  <wp:posOffset>9525</wp:posOffset>
                </wp:positionV>
                <wp:extent cx="6038850" cy="552450"/>
                <wp:effectExtent l="0" t="0" r="0" b="0"/>
                <wp:wrapNone/>
                <wp:docPr id="24" name="Rectangle 24"/>
                <wp:cNvGraphicFramePr/>
                <a:graphic xmlns:a="http://schemas.openxmlformats.org/drawingml/2006/main">
                  <a:graphicData uri="http://schemas.microsoft.com/office/word/2010/wordprocessingShape">
                    <wps:wsp>
                      <wps:cNvSpPr/>
                      <wps:spPr>
                        <a:xfrm>
                          <a:off x="0" y="0"/>
                          <a:ext cx="6038850" cy="552450"/>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B9891D" id="Rectangle 24" o:spid="_x0000_s1026" style="position:absolute;margin-left:0;margin-top:.75pt;width:475.5pt;height:43.5pt;z-index:-25165823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" fillcolor="#d9e2f3 [660]" stroked="f" strokeweight="1pt">
                <v:fill opacity="46003f"/>
                <w10:wrap anchorx="margin"/>
              </v:rect>
            </w:pict>
          </mc:Fallback>
        </mc:AlternateContent>
      </w:r>
      <w:r w:rsidR="004633A3" w:rsidRPr="00DC33C3">
        <w:rPr>
          <w:rFonts w:ascii="Arial" w:hAnsi="Arial" w:cs="Arial"/>
          <w:color w:val="1F1F1F"/>
          <w:sz w:val="24"/>
          <w:szCs w:val="24"/>
        </w:rPr>
        <w:t>The local authorities with the highest proportions of disabled people in 2021 included Blackpool (24.7%), at 7.0 percentage points above the national estimate, and Liverpool (23.8%), at 6.1 percentage points above the national estimate.</w:t>
      </w:r>
      <w:r w:rsidR="00DA232B" w:rsidRPr="00DC33C3">
        <w:rPr>
          <w:rFonts w:ascii="Arial" w:hAnsi="Arial" w:cs="Arial"/>
          <w:color w:val="1F1F1F"/>
          <w:sz w:val="24"/>
          <w:szCs w:val="24"/>
        </w:rPr>
        <w:t>”</w:t>
      </w:r>
    </w:p>
    <w:p w14:paraId="34F3C32D" w14:textId="7CD7B3FD" w:rsidR="00FB665F" w:rsidRPr="00A74983" w:rsidRDefault="00FB665F" w:rsidP="000525E1">
      <w:pPr>
        <w:jc w:val="center"/>
        <w:rPr>
          <w:rFonts w:ascii="Arial" w:hAnsi="Arial" w:cs="Arial"/>
          <w:b/>
          <w:bCs/>
          <w:color w:val="1F1F1F"/>
        </w:rPr>
      </w:pPr>
    </w:p>
    <w:p w14:paraId="746BB855" w14:textId="084B0E57" w:rsidR="00C37CF5" w:rsidRPr="00A74983" w:rsidRDefault="00AA029B" w:rsidP="00C37CF5">
      <w:pPr>
        <w:jc w:val="center"/>
        <w:rPr>
          <w:rFonts w:ascii="Arial" w:hAnsi="Arial" w:cs="Arial"/>
          <w:b/>
          <w:bCs/>
          <w:color w:val="1F1F1F"/>
          <w:sz w:val="28"/>
          <w:szCs w:val="28"/>
          <w:u w:val="single"/>
        </w:rPr>
      </w:pPr>
      <w:r w:rsidRPr="00A74983">
        <w:rPr>
          <w:rFonts w:ascii="Arial" w:hAnsi="Arial" w:cs="Arial"/>
          <w:b/>
          <w:bCs/>
          <w:color w:val="1F1F1F"/>
          <w:sz w:val="28"/>
          <w:szCs w:val="28"/>
          <w:u w:val="single"/>
        </w:rPr>
        <w:t>Disability</w:t>
      </w:r>
      <w:r w:rsidR="00C37CF5" w:rsidRPr="00A74983">
        <w:rPr>
          <w:rFonts w:ascii="Arial" w:hAnsi="Arial" w:cs="Arial"/>
          <w:b/>
          <w:bCs/>
          <w:color w:val="1F1F1F"/>
          <w:sz w:val="28"/>
          <w:szCs w:val="28"/>
          <w:u w:val="single"/>
        </w:rPr>
        <w:t xml:space="preserve"> in Leicester</w:t>
      </w:r>
    </w:p>
    <w:p w14:paraId="638B8126" w14:textId="77777777" w:rsidR="00C37CF5" w:rsidRPr="00A74983" w:rsidRDefault="00C37CF5" w:rsidP="00C37CF5">
      <w:pPr>
        <w:rPr>
          <w:rFonts w:ascii="Arial" w:hAnsi="Arial" w:cs="Arial"/>
          <w:i/>
          <w:iCs/>
          <w:sz w:val="20"/>
          <w:szCs w:val="20"/>
        </w:rPr>
      </w:pPr>
    </w:p>
    <w:p w14:paraId="1A00F452" w14:textId="42A5F35F" w:rsidR="00C37CF5" w:rsidRPr="00A74983" w:rsidRDefault="00062386" w:rsidP="005601C5">
      <w:pPr>
        <w:pStyle w:val="NormalWeb"/>
        <w:shd w:val="clear" w:color="auto" w:fill="FFFFFF"/>
        <w:spacing w:before="0" w:beforeAutospacing="0" w:after="300" w:afterAutospacing="0"/>
        <w:rPr>
          <w:rFonts w:ascii="Arial" w:hAnsi="Arial" w:cs="Arial"/>
          <w:color w:val="1F1F1F"/>
        </w:rPr>
      </w:pPr>
      <w:r w:rsidRPr="00A74983">
        <w:rPr>
          <w:rFonts w:ascii="Arial" w:hAnsi="Arial" w:cs="Arial"/>
          <w:color w:val="1F1F1F"/>
        </w:rPr>
        <w:t>The table below</w:t>
      </w:r>
      <w:r w:rsidR="00C37CF5" w:rsidRPr="00A74983">
        <w:rPr>
          <w:rFonts w:ascii="Arial" w:hAnsi="Arial" w:cs="Arial"/>
          <w:color w:val="1F1F1F"/>
        </w:rPr>
        <w:t xml:space="preserve"> show</w:t>
      </w:r>
      <w:r w:rsidRPr="00A74983">
        <w:rPr>
          <w:rFonts w:ascii="Arial" w:hAnsi="Arial" w:cs="Arial"/>
          <w:color w:val="1F1F1F"/>
        </w:rPr>
        <w:t>s</w:t>
      </w:r>
      <w:r w:rsidR="008875CF" w:rsidRPr="00A74983">
        <w:rPr>
          <w:rFonts w:ascii="Arial" w:hAnsi="Arial" w:cs="Arial"/>
          <w:color w:val="1F1F1F"/>
        </w:rPr>
        <w:t xml:space="preserve"> the respondents</w:t>
      </w:r>
      <w:r w:rsidR="005C663D" w:rsidRPr="00A74983">
        <w:rPr>
          <w:rFonts w:ascii="Arial" w:hAnsi="Arial" w:cs="Arial"/>
          <w:color w:val="1F1F1F"/>
        </w:rPr>
        <w:t xml:space="preserve"> in Leicester</w:t>
      </w:r>
      <w:r w:rsidR="008875CF" w:rsidRPr="00A74983">
        <w:rPr>
          <w:rFonts w:ascii="Arial" w:hAnsi="Arial" w:cs="Arial"/>
          <w:color w:val="1F1F1F"/>
        </w:rPr>
        <w:t xml:space="preserve"> who </w:t>
      </w:r>
      <w:r w:rsidRPr="00A74983">
        <w:rPr>
          <w:rFonts w:ascii="Arial" w:hAnsi="Arial" w:cs="Arial"/>
          <w:color w:val="1F1F1F"/>
        </w:rPr>
        <w:t xml:space="preserve">reported whether they are disabled and whether their disability affects their day-to-day activities </w:t>
      </w:r>
      <w:r w:rsidR="005C663D" w:rsidRPr="00A74983">
        <w:rPr>
          <w:rFonts w:ascii="Arial" w:hAnsi="Arial" w:cs="Arial"/>
          <w:color w:val="1F1F1F"/>
        </w:rPr>
        <w:t>during the 2011 and 2021 Census. During the 2021 census</w:t>
      </w:r>
      <w:r w:rsidR="007B2FB2" w:rsidRPr="00A74983">
        <w:rPr>
          <w:rFonts w:ascii="Arial" w:hAnsi="Arial" w:cs="Arial"/>
          <w:color w:val="1F1F1F"/>
        </w:rPr>
        <w:t xml:space="preserve">, </w:t>
      </w:r>
      <w:bookmarkStart w:id="1" w:name="_Hlk126749767"/>
      <w:r w:rsidR="007B2FB2" w:rsidRPr="00A74983">
        <w:rPr>
          <w:rFonts w:ascii="Arial" w:hAnsi="Arial" w:cs="Arial"/>
          <w:color w:val="1F1F1F"/>
        </w:rPr>
        <w:t>Leicester had</w:t>
      </w:r>
      <w:r w:rsidR="005C663D" w:rsidRPr="00A74983">
        <w:rPr>
          <w:rFonts w:ascii="Arial" w:hAnsi="Arial" w:cs="Arial"/>
          <w:color w:val="1F1F1F"/>
        </w:rPr>
        <w:t xml:space="preserve"> </w:t>
      </w:r>
      <w:r w:rsidR="00C37CF5" w:rsidRPr="00A74983">
        <w:rPr>
          <w:rFonts w:ascii="Arial" w:hAnsi="Arial" w:cs="Arial"/>
          <w:color w:val="1F1F1F"/>
        </w:rPr>
        <w:t>368,57</w:t>
      </w:r>
      <w:r w:rsidR="00756707" w:rsidRPr="00A74983">
        <w:rPr>
          <w:rFonts w:ascii="Arial" w:hAnsi="Arial" w:cs="Arial"/>
          <w:color w:val="1F1F1F"/>
        </w:rPr>
        <w:t>1</w:t>
      </w:r>
      <w:r w:rsidR="00C37CF5" w:rsidRPr="00A74983">
        <w:rPr>
          <w:rFonts w:ascii="Arial" w:hAnsi="Arial" w:cs="Arial"/>
          <w:color w:val="1F1F1F"/>
        </w:rPr>
        <w:t xml:space="preserve"> usual residents, </w:t>
      </w:r>
      <w:r w:rsidR="007B2FB2" w:rsidRPr="00A74983">
        <w:rPr>
          <w:rFonts w:ascii="Arial" w:hAnsi="Arial" w:cs="Arial"/>
          <w:color w:val="1F1F1F"/>
        </w:rPr>
        <w:t xml:space="preserve">of which </w:t>
      </w:r>
      <w:r w:rsidR="00EF39C2" w:rsidRPr="00A74983">
        <w:rPr>
          <w:rFonts w:ascii="Arial" w:hAnsi="Arial" w:cs="Arial"/>
          <w:color w:val="1F1F1F"/>
        </w:rPr>
        <w:t xml:space="preserve">79.9% reported not having a </w:t>
      </w:r>
      <w:r w:rsidR="0099116E" w:rsidRPr="00A74983">
        <w:rPr>
          <w:rFonts w:ascii="Arial" w:hAnsi="Arial" w:cs="Arial"/>
          <w:color w:val="1F1F1F"/>
        </w:rPr>
        <w:t xml:space="preserve">long-term physical or mental health condition compared to 4.62% of usual residents who reported having a </w:t>
      </w:r>
      <w:r w:rsidR="008F741A" w:rsidRPr="00A74983">
        <w:rPr>
          <w:rFonts w:ascii="Arial" w:hAnsi="Arial" w:cs="Arial"/>
          <w:color w:val="1F1F1F"/>
        </w:rPr>
        <w:t>long-term illness or condition that didn’t affect their daily activities and 6.9</w:t>
      </w:r>
      <w:r w:rsidR="002952C4" w:rsidRPr="00A74983">
        <w:rPr>
          <w:rFonts w:ascii="Arial" w:hAnsi="Arial" w:cs="Arial"/>
          <w:color w:val="1F1F1F"/>
        </w:rPr>
        <w:t>7% of residents whose disability affected their daily activities significantly</w:t>
      </w:r>
      <w:bookmarkEnd w:id="1"/>
      <w:r w:rsidR="002952C4" w:rsidRPr="00A74983">
        <w:rPr>
          <w:rFonts w:ascii="Arial" w:hAnsi="Arial" w:cs="Arial"/>
          <w:color w:val="1F1F1F"/>
        </w:rPr>
        <w:t>.</w:t>
      </w:r>
      <w:r w:rsidR="00817540">
        <w:rPr>
          <w:rFonts w:ascii="Arial" w:hAnsi="Arial" w:cs="Arial"/>
          <w:color w:val="1F1F1F"/>
        </w:rPr>
        <w:t xml:space="preserve"> Moreover, </w:t>
      </w:r>
      <w:r w:rsidR="00817540" w:rsidRPr="00817540">
        <w:rPr>
          <w:rFonts w:ascii="Arial" w:hAnsi="Arial" w:cs="Arial"/>
          <w:color w:val="1F1F1F"/>
        </w:rPr>
        <w:t>Leicester saw the East Midlands' second-largest percentage-point fall in the proportion of residents who were identified as being disabled and limited a lot (from 11.5% in 2011 to 8.8% in 2021). These are age-standardised proportions.</w:t>
      </w:r>
    </w:p>
    <w:tbl>
      <w:tblPr>
        <w:tblW w:w="85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6355"/>
        <w:gridCol w:w="1123"/>
        <w:gridCol w:w="1084"/>
      </w:tblGrid>
      <w:tr w:rsidR="00756707" w:rsidRPr="00A74983" w14:paraId="60ECE140" w14:textId="77777777" w:rsidTr="00C009BC">
        <w:trPr>
          <w:trHeight w:val="285"/>
          <w:jc w:val="center"/>
        </w:trPr>
        <w:tc>
          <w:tcPr>
            <w:tcW w:w="8562" w:type="dxa"/>
            <w:gridSpan w:val="3"/>
            <w:tcBorders>
              <w:top w:val="nil"/>
              <w:left w:val="nil"/>
              <w:right w:val="nil"/>
            </w:tcBorders>
            <w:shd w:val="clear" w:color="auto" w:fill="auto"/>
            <w:noWrap/>
            <w:vAlign w:val="bottom"/>
          </w:tcPr>
          <w:p w14:paraId="25A31DF2" w14:textId="648DD23E" w:rsidR="00756707" w:rsidRPr="00A74983" w:rsidRDefault="000252C3"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Disability</w:t>
            </w:r>
            <w:r w:rsidR="00756707" w:rsidRPr="00A74983">
              <w:rPr>
                <w:rFonts w:ascii="Arial" w:eastAsia="Times New Roman" w:hAnsi="Arial" w:cs="Arial"/>
                <w:b/>
                <w:bCs/>
                <w:color w:val="000000"/>
                <w:sz w:val="24"/>
                <w:szCs w:val="24"/>
                <w:lang w:eastAsia="en-GB"/>
              </w:rPr>
              <w:t xml:space="preserve"> in Leicester in 2021, compared with 2011.</w:t>
            </w:r>
          </w:p>
          <w:p w14:paraId="7DC09A50" w14:textId="77777777" w:rsidR="00756707" w:rsidRPr="00A74983" w:rsidRDefault="00756707" w:rsidP="00E31025">
            <w:pPr>
              <w:spacing w:after="0" w:line="240" w:lineRule="auto"/>
              <w:jc w:val="center"/>
              <w:rPr>
                <w:rFonts w:ascii="Arial" w:eastAsia="Times New Roman" w:hAnsi="Arial" w:cs="Arial"/>
                <w:color w:val="000000"/>
                <w:sz w:val="24"/>
                <w:szCs w:val="24"/>
                <w:lang w:eastAsia="en-GB"/>
              </w:rPr>
            </w:pPr>
          </w:p>
        </w:tc>
      </w:tr>
      <w:tr w:rsidR="00756707" w:rsidRPr="00A74983" w14:paraId="29106EF4" w14:textId="77777777" w:rsidTr="00C009BC">
        <w:trPr>
          <w:trHeight w:val="285"/>
          <w:jc w:val="center"/>
        </w:trPr>
        <w:tc>
          <w:tcPr>
            <w:tcW w:w="6355" w:type="dxa"/>
            <w:shd w:val="clear" w:color="auto" w:fill="70AD47" w:themeFill="accent6"/>
            <w:noWrap/>
            <w:vAlign w:val="bottom"/>
            <w:hideMark/>
          </w:tcPr>
          <w:p w14:paraId="7A8A4D8E" w14:textId="77777777" w:rsidR="00756707" w:rsidRPr="00A74983" w:rsidRDefault="00756707" w:rsidP="00E31025">
            <w:pPr>
              <w:spacing w:after="0" w:line="240" w:lineRule="auto"/>
              <w:rPr>
                <w:rFonts w:ascii="Arial" w:eastAsia="Times New Roman" w:hAnsi="Arial" w:cs="Arial"/>
                <w:sz w:val="24"/>
                <w:szCs w:val="24"/>
                <w:u w:val="single"/>
                <w:lang w:eastAsia="en-GB"/>
              </w:rPr>
            </w:pPr>
          </w:p>
        </w:tc>
        <w:tc>
          <w:tcPr>
            <w:tcW w:w="1123" w:type="dxa"/>
            <w:noWrap/>
            <w:vAlign w:val="bottom"/>
            <w:hideMark/>
          </w:tcPr>
          <w:p w14:paraId="26CE43B6" w14:textId="77777777" w:rsidR="00756707" w:rsidRPr="00A74983" w:rsidRDefault="00756707"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2021</w:t>
            </w:r>
          </w:p>
        </w:tc>
        <w:tc>
          <w:tcPr>
            <w:tcW w:w="1084" w:type="dxa"/>
            <w:noWrap/>
            <w:vAlign w:val="bottom"/>
            <w:hideMark/>
          </w:tcPr>
          <w:p w14:paraId="52087229" w14:textId="77777777" w:rsidR="00756707" w:rsidRPr="00A74983" w:rsidRDefault="00756707" w:rsidP="00E31025">
            <w:pPr>
              <w:spacing w:after="0" w:line="240" w:lineRule="auto"/>
              <w:jc w:val="center"/>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2011</w:t>
            </w:r>
          </w:p>
        </w:tc>
      </w:tr>
      <w:tr w:rsidR="00756707" w:rsidRPr="00A74983" w14:paraId="7C8347CE" w14:textId="77777777" w:rsidTr="00C009BC">
        <w:trPr>
          <w:trHeight w:val="285"/>
          <w:jc w:val="center"/>
        </w:trPr>
        <w:tc>
          <w:tcPr>
            <w:tcW w:w="6355" w:type="dxa"/>
            <w:noWrap/>
            <w:vAlign w:val="bottom"/>
          </w:tcPr>
          <w:p w14:paraId="767D5B3B" w14:textId="5F2BDEE0" w:rsidR="00756707" w:rsidRPr="00A74983" w:rsidRDefault="00AE5E5E"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 xml:space="preserve">Not disabled - </w:t>
            </w:r>
            <w:r w:rsidR="00AF1DFD" w:rsidRPr="00A74983">
              <w:rPr>
                <w:rFonts w:ascii="Arial" w:eastAsia="Times New Roman" w:hAnsi="Arial" w:cs="Arial"/>
                <w:b/>
                <w:bCs/>
                <w:color w:val="000000"/>
                <w:sz w:val="24"/>
                <w:szCs w:val="24"/>
                <w:lang w:eastAsia="en-GB"/>
              </w:rPr>
              <w:t>No</w:t>
            </w:r>
            <w:r w:rsidR="000252C3" w:rsidRPr="00A74983">
              <w:rPr>
                <w:rFonts w:ascii="Arial" w:eastAsia="Times New Roman" w:hAnsi="Arial" w:cs="Arial"/>
                <w:b/>
                <w:bCs/>
                <w:color w:val="000000"/>
                <w:sz w:val="24"/>
                <w:szCs w:val="24"/>
                <w:lang w:eastAsia="en-GB"/>
              </w:rPr>
              <w:t xml:space="preserve"> long-term</w:t>
            </w:r>
            <w:r w:rsidR="00C009BC" w:rsidRPr="00A74983">
              <w:rPr>
                <w:rFonts w:ascii="Arial" w:eastAsia="Times New Roman" w:hAnsi="Arial" w:cs="Arial"/>
                <w:b/>
                <w:bCs/>
                <w:color w:val="000000"/>
                <w:sz w:val="24"/>
                <w:szCs w:val="24"/>
                <w:lang w:eastAsia="en-GB"/>
              </w:rPr>
              <w:t xml:space="preserve"> physical or mental</w:t>
            </w:r>
            <w:r w:rsidR="000252C3" w:rsidRPr="00A74983">
              <w:rPr>
                <w:rFonts w:ascii="Arial" w:eastAsia="Times New Roman" w:hAnsi="Arial" w:cs="Arial"/>
                <w:b/>
                <w:bCs/>
                <w:color w:val="000000"/>
                <w:sz w:val="24"/>
                <w:szCs w:val="24"/>
                <w:lang w:eastAsia="en-GB"/>
              </w:rPr>
              <w:t xml:space="preserve"> </w:t>
            </w:r>
            <w:r w:rsidR="00074CE9" w:rsidRPr="00A74983">
              <w:rPr>
                <w:rFonts w:ascii="Arial" w:eastAsia="Times New Roman" w:hAnsi="Arial" w:cs="Arial"/>
                <w:b/>
                <w:bCs/>
                <w:color w:val="000000"/>
                <w:sz w:val="24"/>
                <w:szCs w:val="24"/>
                <w:lang w:eastAsia="en-GB"/>
              </w:rPr>
              <w:t>health condition</w:t>
            </w:r>
          </w:p>
        </w:tc>
        <w:tc>
          <w:tcPr>
            <w:tcW w:w="1123" w:type="dxa"/>
            <w:shd w:val="clear" w:color="auto" w:fill="E2EFD9" w:themeFill="accent6" w:themeFillTint="33"/>
            <w:noWrap/>
            <w:vAlign w:val="bottom"/>
          </w:tcPr>
          <w:p w14:paraId="4221E969" w14:textId="5ACA2180" w:rsidR="00756707" w:rsidRPr="00A74983" w:rsidRDefault="00074CE9"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2</w:t>
            </w:r>
            <w:r w:rsidR="0029673B" w:rsidRPr="00A74983">
              <w:rPr>
                <w:rFonts w:ascii="Arial" w:eastAsia="Times New Roman" w:hAnsi="Arial" w:cs="Arial"/>
                <w:color w:val="000000"/>
                <w:sz w:val="24"/>
                <w:szCs w:val="24"/>
                <w:lang w:eastAsia="en-GB"/>
              </w:rPr>
              <w:t>94,394</w:t>
            </w:r>
            <w:r w:rsidR="00D67CF2" w:rsidRPr="00A74983">
              <w:rPr>
                <w:rFonts w:ascii="Arial" w:eastAsia="Times New Roman" w:hAnsi="Arial" w:cs="Arial"/>
                <w:color w:val="000000"/>
                <w:sz w:val="24"/>
                <w:szCs w:val="24"/>
                <w:lang w:eastAsia="en-GB"/>
              </w:rPr>
              <w:t xml:space="preserve"> (79.9%)</w:t>
            </w:r>
          </w:p>
        </w:tc>
        <w:tc>
          <w:tcPr>
            <w:tcW w:w="1084" w:type="dxa"/>
            <w:shd w:val="clear" w:color="auto" w:fill="E2EFD9" w:themeFill="accent6" w:themeFillTint="33"/>
            <w:noWrap/>
            <w:vAlign w:val="bottom"/>
          </w:tcPr>
          <w:p w14:paraId="150C3CCC" w14:textId="77777777" w:rsidR="00E31025" w:rsidRPr="00A74983" w:rsidRDefault="00E31025" w:rsidP="00E31025">
            <w:pPr>
              <w:jc w:val="right"/>
              <w:rPr>
                <w:rFonts w:ascii="Arial" w:hAnsi="Arial" w:cs="Arial"/>
                <w:color w:val="000000"/>
              </w:rPr>
            </w:pPr>
            <w:r w:rsidRPr="00A74983">
              <w:rPr>
                <w:rFonts w:ascii="Arial" w:hAnsi="Arial" w:cs="Arial"/>
                <w:color w:val="000000"/>
              </w:rPr>
              <w:t>272,702</w:t>
            </w:r>
          </w:p>
          <w:p w14:paraId="20D34E9E" w14:textId="789AC056" w:rsidR="00490094" w:rsidRPr="00A74983" w:rsidRDefault="00490094" w:rsidP="00490094">
            <w:pPr>
              <w:jc w:val="right"/>
              <w:rPr>
                <w:rFonts w:ascii="Arial" w:hAnsi="Arial" w:cs="Arial"/>
                <w:color w:val="000000"/>
              </w:rPr>
            </w:pPr>
          </w:p>
          <w:p w14:paraId="2A04281A" w14:textId="685D5139" w:rsidR="00756707" w:rsidRPr="00A74983" w:rsidRDefault="00756707" w:rsidP="00E31025">
            <w:pPr>
              <w:spacing w:after="0" w:line="240" w:lineRule="auto"/>
              <w:jc w:val="right"/>
              <w:rPr>
                <w:rFonts w:ascii="Arial" w:eastAsia="Times New Roman" w:hAnsi="Arial" w:cs="Arial"/>
                <w:color w:val="000000"/>
                <w:sz w:val="24"/>
                <w:szCs w:val="24"/>
                <w:lang w:eastAsia="en-GB"/>
              </w:rPr>
            </w:pPr>
          </w:p>
        </w:tc>
      </w:tr>
      <w:tr w:rsidR="00756707" w:rsidRPr="00A74983" w14:paraId="1B7C2DC6" w14:textId="77777777" w:rsidTr="00490094">
        <w:trPr>
          <w:trHeight w:val="118"/>
          <w:jc w:val="center"/>
        </w:trPr>
        <w:tc>
          <w:tcPr>
            <w:tcW w:w="6355" w:type="dxa"/>
            <w:noWrap/>
            <w:vAlign w:val="bottom"/>
          </w:tcPr>
          <w:p w14:paraId="5366AC49" w14:textId="6AA0A320" w:rsidR="00756707" w:rsidRPr="00A74983" w:rsidRDefault="00AE5E5E"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 xml:space="preserve">Not disabled - </w:t>
            </w:r>
            <w:r w:rsidR="00521041" w:rsidRPr="00A74983">
              <w:rPr>
                <w:rFonts w:ascii="Arial" w:eastAsia="Times New Roman" w:hAnsi="Arial" w:cs="Arial"/>
                <w:b/>
                <w:bCs/>
                <w:color w:val="000000"/>
                <w:sz w:val="24"/>
                <w:szCs w:val="24"/>
                <w:lang w:eastAsia="en-GB"/>
              </w:rPr>
              <w:t xml:space="preserve">With a long-term </w:t>
            </w:r>
            <w:r w:rsidR="00074CE9" w:rsidRPr="00A74983">
              <w:rPr>
                <w:rFonts w:ascii="Arial" w:eastAsia="Times New Roman" w:hAnsi="Arial" w:cs="Arial"/>
                <w:b/>
                <w:bCs/>
                <w:color w:val="000000"/>
                <w:sz w:val="24"/>
                <w:szCs w:val="24"/>
                <w:lang w:eastAsia="en-GB"/>
              </w:rPr>
              <w:t>illness or condition</w:t>
            </w:r>
            <w:r w:rsidR="00C009BC" w:rsidRPr="00A74983">
              <w:rPr>
                <w:rFonts w:ascii="Arial" w:eastAsia="Times New Roman" w:hAnsi="Arial" w:cs="Arial"/>
                <w:b/>
                <w:bCs/>
                <w:color w:val="000000"/>
                <w:sz w:val="24"/>
                <w:szCs w:val="24"/>
                <w:lang w:eastAsia="en-GB"/>
              </w:rPr>
              <w:t>, but day-to-day activities not limited</w:t>
            </w:r>
          </w:p>
        </w:tc>
        <w:tc>
          <w:tcPr>
            <w:tcW w:w="1123" w:type="dxa"/>
            <w:shd w:val="clear" w:color="auto" w:fill="E2EFD9" w:themeFill="accent6" w:themeFillTint="33"/>
            <w:noWrap/>
            <w:vAlign w:val="bottom"/>
          </w:tcPr>
          <w:p w14:paraId="7A13D9C7" w14:textId="77777777" w:rsidR="00756707" w:rsidRPr="00A74983" w:rsidRDefault="00AF1DFD"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17,029</w:t>
            </w:r>
          </w:p>
          <w:p w14:paraId="24EC4F80" w14:textId="1A0EA580" w:rsidR="00132D08" w:rsidRPr="00A74983" w:rsidRDefault="00E51A5E"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(4.62%)</w:t>
            </w:r>
          </w:p>
        </w:tc>
        <w:tc>
          <w:tcPr>
            <w:tcW w:w="1084" w:type="dxa"/>
            <w:shd w:val="clear" w:color="auto" w:fill="E2EFD9" w:themeFill="accent6" w:themeFillTint="33"/>
            <w:noWrap/>
            <w:vAlign w:val="bottom"/>
          </w:tcPr>
          <w:p w14:paraId="7AE3F34F" w14:textId="77777777" w:rsidR="00992985" w:rsidRPr="00A74983" w:rsidRDefault="00992985" w:rsidP="00992985">
            <w:pPr>
              <w:jc w:val="right"/>
              <w:rPr>
                <w:rFonts w:ascii="Arial" w:hAnsi="Arial" w:cs="Arial"/>
                <w:color w:val="000000"/>
              </w:rPr>
            </w:pPr>
            <w:r w:rsidRPr="00A74983">
              <w:rPr>
                <w:rFonts w:ascii="Arial" w:hAnsi="Arial" w:cs="Arial"/>
                <w:color w:val="000000"/>
              </w:rPr>
              <w:t>29,522</w:t>
            </w:r>
          </w:p>
          <w:p w14:paraId="18B2B952" w14:textId="687F639A" w:rsidR="00756707" w:rsidRPr="00A74983" w:rsidRDefault="00756707" w:rsidP="00E31025">
            <w:pPr>
              <w:spacing w:after="0" w:line="240" w:lineRule="auto"/>
              <w:jc w:val="right"/>
              <w:rPr>
                <w:rFonts w:ascii="Arial" w:eastAsia="Times New Roman" w:hAnsi="Arial" w:cs="Arial"/>
                <w:color w:val="000000"/>
                <w:sz w:val="24"/>
                <w:szCs w:val="24"/>
                <w:lang w:eastAsia="en-GB"/>
              </w:rPr>
            </w:pPr>
          </w:p>
        </w:tc>
      </w:tr>
      <w:tr w:rsidR="00756707" w:rsidRPr="00A74983" w14:paraId="45C03A13" w14:textId="77777777" w:rsidTr="00C009BC">
        <w:trPr>
          <w:trHeight w:val="285"/>
          <w:jc w:val="center"/>
        </w:trPr>
        <w:tc>
          <w:tcPr>
            <w:tcW w:w="6355" w:type="dxa"/>
            <w:noWrap/>
            <w:vAlign w:val="bottom"/>
          </w:tcPr>
          <w:p w14:paraId="05F4B423" w14:textId="262BAA18" w:rsidR="00756707" w:rsidRPr="00A74983" w:rsidRDefault="00A168D8" w:rsidP="00E31025">
            <w:pPr>
              <w:spacing w:after="0" w:line="240" w:lineRule="auto"/>
              <w:rPr>
                <w:rFonts w:ascii="Arial" w:eastAsia="Times New Roman" w:hAnsi="Arial" w:cs="Arial"/>
                <w:b/>
                <w:bCs/>
                <w:color w:val="000000"/>
                <w:sz w:val="24"/>
                <w:szCs w:val="24"/>
                <w:lang w:eastAsia="en-GB"/>
              </w:rPr>
            </w:pPr>
            <w:r w:rsidRPr="00A74983">
              <w:rPr>
                <w:rFonts w:ascii="Arial" w:eastAsia="Times New Roman" w:hAnsi="Arial" w:cs="Arial"/>
                <w:b/>
                <w:bCs/>
                <w:color w:val="000000"/>
                <w:sz w:val="24"/>
                <w:szCs w:val="24"/>
                <w:lang w:eastAsia="en-GB"/>
              </w:rPr>
              <w:t>Disabled – Day-to-day activities limited a lot</w:t>
            </w:r>
          </w:p>
        </w:tc>
        <w:tc>
          <w:tcPr>
            <w:tcW w:w="1123" w:type="dxa"/>
            <w:shd w:val="clear" w:color="auto" w:fill="E2EFD9" w:themeFill="accent6" w:themeFillTint="33"/>
            <w:noWrap/>
            <w:vAlign w:val="bottom"/>
          </w:tcPr>
          <w:p w14:paraId="17AF66D4" w14:textId="50366504" w:rsidR="00756707" w:rsidRPr="00A74983" w:rsidRDefault="00AF1DFD" w:rsidP="00E31025">
            <w:pPr>
              <w:spacing w:after="0" w:line="240" w:lineRule="auto"/>
              <w:jc w:val="right"/>
              <w:rPr>
                <w:rFonts w:ascii="Arial" w:eastAsia="Times New Roman" w:hAnsi="Arial" w:cs="Arial"/>
                <w:color w:val="000000"/>
                <w:sz w:val="24"/>
                <w:szCs w:val="24"/>
                <w:lang w:eastAsia="en-GB"/>
              </w:rPr>
            </w:pPr>
            <w:r w:rsidRPr="00A74983">
              <w:rPr>
                <w:rFonts w:ascii="Arial" w:eastAsia="Times New Roman" w:hAnsi="Arial" w:cs="Arial"/>
                <w:color w:val="000000"/>
                <w:sz w:val="24"/>
                <w:szCs w:val="24"/>
                <w:lang w:eastAsia="en-GB"/>
              </w:rPr>
              <w:t>25,692</w:t>
            </w:r>
            <w:r w:rsidR="00EF39C2" w:rsidRPr="00A74983">
              <w:rPr>
                <w:rFonts w:ascii="Arial" w:eastAsia="Times New Roman" w:hAnsi="Arial" w:cs="Arial"/>
                <w:color w:val="000000"/>
                <w:sz w:val="24"/>
                <w:szCs w:val="24"/>
                <w:lang w:eastAsia="en-GB"/>
              </w:rPr>
              <w:t xml:space="preserve"> </w:t>
            </w:r>
            <w:r w:rsidR="00E51A5E" w:rsidRPr="00A74983">
              <w:rPr>
                <w:rFonts w:ascii="Arial" w:eastAsia="Times New Roman" w:hAnsi="Arial" w:cs="Arial"/>
                <w:color w:val="000000"/>
                <w:sz w:val="24"/>
                <w:szCs w:val="24"/>
                <w:lang w:eastAsia="en-GB"/>
              </w:rPr>
              <w:t>(</w:t>
            </w:r>
            <w:r w:rsidR="00EF39C2" w:rsidRPr="00A74983">
              <w:rPr>
                <w:rFonts w:ascii="Arial" w:eastAsia="Times New Roman" w:hAnsi="Arial" w:cs="Arial"/>
                <w:color w:val="000000"/>
                <w:sz w:val="24"/>
                <w:szCs w:val="24"/>
                <w:lang w:eastAsia="en-GB"/>
              </w:rPr>
              <w:t>6.97%)</w:t>
            </w:r>
          </w:p>
        </w:tc>
        <w:tc>
          <w:tcPr>
            <w:tcW w:w="1084" w:type="dxa"/>
            <w:shd w:val="clear" w:color="auto" w:fill="E2EFD9" w:themeFill="accent6" w:themeFillTint="33"/>
            <w:noWrap/>
            <w:vAlign w:val="bottom"/>
          </w:tcPr>
          <w:p w14:paraId="1520E8F7" w14:textId="77777777" w:rsidR="000E288B" w:rsidRPr="00A74983" w:rsidRDefault="000E288B" w:rsidP="000E288B">
            <w:pPr>
              <w:jc w:val="right"/>
              <w:rPr>
                <w:rFonts w:ascii="Arial" w:hAnsi="Arial" w:cs="Arial"/>
                <w:color w:val="000000"/>
              </w:rPr>
            </w:pPr>
            <w:r w:rsidRPr="00A74983">
              <w:rPr>
                <w:rFonts w:ascii="Arial" w:hAnsi="Arial" w:cs="Arial"/>
                <w:color w:val="000000"/>
              </w:rPr>
              <w:t>27,615</w:t>
            </w:r>
          </w:p>
          <w:p w14:paraId="3F088AC3" w14:textId="429E57E3" w:rsidR="00756707" w:rsidRPr="00A74983" w:rsidRDefault="00756707" w:rsidP="00E31025">
            <w:pPr>
              <w:spacing w:after="0" w:line="240" w:lineRule="auto"/>
              <w:jc w:val="right"/>
              <w:rPr>
                <w:rFonts w:ascii="Arial" w:eastAsia="Times New Roman" w:hAnsi="Arial" w:cs="Arial"/>
                <w:color w:val="000000"/>
                <w:sz w:val="24"/>
                <w:szCs w:val="24"/>
                <w:lang w:eastAsia="en-GB"/>
              </w:rPr>
            </w:pPr>
          </w:p>
        </w:tc>
      </w:tr>
    </w:tbl>
    <w:p w14:paraId="24466474" w14:textId="6802B9D6" w:rsidR="00756707" w:rsidRPr="00816C89" w:rsidRDefault="00816C89" w:rsidP="00C37CF5">
      <w:pPr>
        <w:pStyle w:val="NormalWeb"/>
        <w:shd w:val="clear" w:color="auto" w:fill="FFFFFF"/>
        <w:spacing w:after="300"/>
        <w:rPr>
          <w:rFonts w:ascii="Arial" w:hAnsi="Arial" w:cs="Arial"/>
          <w:i/>
          <w:iCs/>
          <w:color w:val="1F1F1F"/>
        </w:rPr>
      </w:pPr>
      <w:r>
        <w:rPr>
          <w:rFonts w:ascii="Arial" w:hAnsi="Arial" w:cs="Arial"/>
          <w:i/>
          <w:iCs/>
          <w:color w:val="1F1F1F"/>
        </w:rPr>
        <w:t>Figure 11:</w:t>
      </w:r>
      <w:r w:rsidR="00343452">
        <w:rPr>
          <w:rFonts w:ascii="Arial" w:hAnsi="Arial" w:cs="Arial"/>
          <w:i/>
          <w:iCs/>
          <w:color w:val="1F1F1F"/>
        </w:rPr>
        <w:t xml:space="preserve"> </w:t>
      </w:r>
      <w:r w:rsidR="00817540">
        <w:rPr>
          <w:rFonts w:ascii="Arial" w:hAnsi="Arial" w:cs="Arial"/>
          <w:i/>
          <w:iCs/>
          <w:color w:val="1F1F1F"/>
        </w:rPr>
        <w:t>Number of respondents who reported having a disability and the impact of their disability on daily activities of living between 2021 and 2011.</w:t>
      </w:r>
    </w:p>
    <w:p w14:paraId="7BAFF5BC" w14:textId="77777777" w:rsidR="00C37CF5" w:rsidRPr="00A74983" w:rsidRDefault="00C37CF5" w:rsidP="00C37CF5">
      <w:pPr>
        <w:spacing w:after="0" w:line="240" w:lineRule="auto"/>
        <w:rPr>
          <w:rFonts w:ascii="Arial" w:hAnsi="Arial" w:cs="Arial"/>
          <w:sz w:val="24"/>
          <w:szCs w:val="24"/>
          <w:highlight w:val="yellow"/>
        </w:rPr>
      </w:pPr>
    </w:p>
    <w:p w14:paraId="28732555" w14:textId="77777777" w:rsidR="00C37CF5" w:rsidRPr="00A74983" w:rsidRDefault="00C37CF5" w:rsidP="00C37CF5">
      <w:pPr>
        <w:spacing w:after="0" w:line="240" w:lineRule="auto"/>
        <w:rPr>
          <w:rFonts w:ascii="Arial" w:hAnsi="Arial" w:cs="Arial"/>
          <w:sz w:val="24"/>
          <w:szCs w:val="24"/>
          <w:highlight w:val="yellow"/>
        </w:rPr>
      </w:pPr>
    </w:p>
    <w:p w14:paraId="3BEC1576" w14:textId="77777777" w:rsidR="005601C5" w:rsidRDefault="00C37CF5" w:rsidP="00887FAB">
      <w:pPr>
        <w:pStyle w:val="NormalWeb"/>
        <w:shd w:val="clear" w:color="auto" w:fill="FFFFFF"/>
        <w:spacing w:before="0" w:beforeAutospacing="0" w:after="300" w:afterAutospacing="0"/>
        <w:rPr>
          <w:rFonts w:ascii="Arial" w:hAnsi="Arial" w:cs="Arial"/>
          <w:b/>
          <w:bCs/>
          <w:color w:val="1F1F1F"/>
          <w:u w:val="single"/>
        </w:rPr>
      </w:pPr>
      <w:r w:rsidRPr="005601C5">
        <w:rPr>
          <w:rFonts w:ascii="Arial" w:hAnsi="Arial" w:cs="Arial"/>
          <w:b/>
          <w:bCs/>
          <w:color w:val="1F1F1F"/>
          <w:sz w:val="28"/>
          <w:szCs w:val="28"/>
          <w:u w:val="single"/>
        </w:rPr>
        <w:t>Regional and National Comparison</w:t>
      </w:r>
    </w:p>
    <w:p w14:paraId="40991723" w14:textId="61517233" w:rsidR="00887FAB" w:rsidRPr="005601C5" w:rsidRDefault="00C37CF5" w:rsidP="00887FAB">
      <w:pPr>
        <w:pStyle w:val="NormalWeb"/>
        <w:shd w:val="clear" w:color="auto" w:fill="FFFFFF"/>
        <w:spacing w:before="0" w:beforeAutospacing="0" w:after="300" w:afterAutospacing="0"/>
        <w:rPr>
          <w:rFonts w:ascii="Arial" w:hAnsi="Arial" w:cs="Arial"/>
          <w:b/>
          <w:bCs/>
          <w:color w:val="1F1F1F"/>
          <w:u w:val="single"/>
        </w:rPr>
      </w:pPr>
      <w:r w:rsidRPr="00A74983">
        <w:rPr>
          <w:rFonts w:ascii="Arial" w:hAnsi="Arial" w:cs="Arial"/>
          <w:b/>
          <w:bCs/>
          <w:color w:val="1F1F1F"/>
          <w:u w:val="single"/>
        </w:rPr>
        <w:br/>
      </w:r>
      <w:r w:rsidR="00887FAB" w:rsidRPr="00A74983">
        <w:rPr>
          <w:rFonts w:ascii="Arial" w:hAnsi="Arial" w:cs="Arial"/>
          <w:color w:val="1F1F1F"/>
        </w:rPr>
        <w:t>Next, we compared the prevalence of disability reported in the 2011 Census for Leicester to four other areas in the UK, mainly towns and cities near to Leicester and Inner London* boroughs. We found that the prevalence of disability reported in Leicester during the 2011 Census (17.4%) was similar to other major neighbouring towns and cities including Derby (18.6%), Nottingham (18.2%) and Birmingham (18.4%</w:t>
      </w:r>
      <w:proofErr w:type="gramStart"/>
      <w:r w:rsidR="00887FAB" w:rsidRPr="00A74983">
        <w:rPr>
          <w:rFonts w:ascii="Arial" w:hAnsi="Arial" w:cs="Arial"/>
          <w:color w:val="1F1F1F"/>
        </w:rPr>
        <w:t>).However</w:t>
      </w:r>
      <w:proofErr w:type="gramEnd"/>
      <w:r w:rsidR="00887FAB" w:rsidRPr="00A74983">
        <w:rPr>
          <w:rFonts w:ascii="Arial" w:hAnsi="Arial" w:cs="Arial"/>
          <w:color w:val="1F1F1F"/>
        </w:rPr>
        <w:t xml:space="preserve"> there were notably lower levels of disability reported in Inner London in the 2011 Census data at 13.6%. However, most respondents in all five </w:t>
      </w:r>
      <w:r w:rsidR="00887FAB" w:rsidRPr="00A74983">
        <w:rPr>
          <w:rFonts w:ascii="Arial" w:hAnsi="Arial" w:cs="Arial"/>
          <w:color w:val="1F1F1F"/>
        </w:rPr>
        <w:lastRenderedPageBreak/>
        <w:t xml:space="preserve">areas included in Figure </w:t>
      </w:r>
      <w:r w:rsidR="00233CF3">
        <w:rPr>
          <w:rFonts w:ascii="Arial" w:hAnsi="Arial" w:cs="Arial"/>
        </w:rPr>
        <w:t>12</w:t>
      </w:r>
      <w:r w:rsidR="00887FAB" w:rsidRPr="00A74983">
        <w:rPr>
          <w:rFonts w:ascii="Arial" w:hAnsi="Arial" w:cs="Arial"/>
          <w:color w:val="1F1F1F"/>
        </w:rPr>
        <w:t xml:space="preserve"> reported that their disability did not affect their day-to-day activities. In contrast, there were a smaller number of respondents in each of the five areas who reported that their disability impacted their day-to-day activities. In Figure !!, similar numbers of respondents reported that their disability has a profound negative impact on their ability to do daily activities as the number of respondents who reported their disability has a limited impact on their life.</w:t>
      </w:r>
    </w:p>
    <w:p w14:paraId="646C076B" w14:textId="4C196012" w:rsidR="00C37CF5" w:rsidRPr="00A74983" w:rsidRDefault="00C37CF5" w:rsidP="00C37CF5">
      <w:pPr>
        <w:pStyle w:val="NormalWeb"/>
        <w:shd w:val="clear" w:color="auto" w:fill="FFFFFF"/>
        <w:spacing w:before="0" w:beforeAutospacing="0" w:after="300" w:afterAutospacing="0"/>
        <w:rPr>
          <w:rStyle w:val="sectioncontent-number"/>
          <w:rFonts w:ascii="Arial" w:hAnsi="Arial" w:cs="Arial"/>
          <w:u w:val="single"/>
        </w:rPr>
      </w:pPr>
    </w:p>
    <w:p w14:paraId="2C6E830E" w14:textId="3B9F5333" w:rsidR="00C37CF5" w:rsidRPr="00A74983" w:rsidRDefault="00A5047D" w:rsidP="00C37CF5">
      <w:pPr>
        <w:pStyle w:val="NormalWeb"/>
        <w:shd w:val="clear" w:color="auto" w:fill="FFFFFF"/>
        <w:spacing w:before="0" w:beforeAutospacing="0" w:after="300" w:afterAutospacing="0"/>
        <w:rPr>
          <w:rStyle w:val="sectioncontent-number"/>
          <w:rFonts w:ascii="Arial" w:hAnsi="Arial" w:cs="Arial"/>
        </w:rPr>
      </w:pPr>
      <w:r w:rsidRPr="00A74983">
        <w:rPr>
          <w:rFonts w:ascii="Arial" w:hAnsi="Arial" w:cs="Arial"/>
          <w:noProof/>
        </w:rPr>
        <w:drawing>
          <wp:inline distT="0" distB="0" distL="0" distR="0" wp14:anchorId="6A479B2D" wp14:editId="7603985A">
            <wp:extent cx="5731510" cy="3162935"/>
            <wp:effectExtent l="0" t="0" r="2540" b="18415"/>
            <wp:docPr id="3" name="Chart 3">
              <a:extLst xmlns:a="http://schemas.openxmlformats.org/drawingml/2006/main">
                <a:ext uri="{FF2B5EF4-FFF2-40B4-BE49-F238E27FC236}">
                  <a16:creationId xmlns:a16="http://schemas.microsoft.com/office/drawing/2014/main" id="{B3B9E3C7-A1F3-A29C-2544-741EFB4B91B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5B2ADD5F" w14:textId="04DFAE38" w:rsidR="00B44FD0" w:rsidRPr="00A74983" w:rsidRDefault="00AB0B4B" w:rsidP="00AB0B4B">
      <w:pPr>
        <w:pStyle w:val="NormalWeb"/>
        <w:shd w:val="clear" w:color="auto" w:fill="FFFFFF"/>
        <w:spacing w:before="0" w:beforeAutospacing="0" w:after="300" w:afterAutospacing="0"/>
        <w:rPr>
          <w:rFonts w:ascii="Arial" w:hAnsi="Arial" w:cs="Arial"/>
          <w:i/>
          <w:iCs/>
          <w:color w:val="1F1F1F"/>
        </w:rPr>
      </w:pPr>
      <w:r w:rsidRPr="00B44FD0">
        <w:rPr>
          <w:rFonts w:ascii="Arial" w:hAnsi="Arial" w:cs="Arial"/>
          <w:i/>
          <w:iCs/>
          <w:color w:val="1F1F1F"/>
        </w:rPr>
        <w:t xml:space="preserve">Figure </w:t>
      </w:r>
      <w:r w:rsidR="0000412F" w:rsidRPr="00B44FD0">
        <w:rPr>
          <w:rFonts w:ascii="Arial" w:hAnsi="Arial" w:cs="Arial"/>
          <w:i/>
          <w:iCs/>
          <w:color w:val="1F1F1F"/>
        </w:rPr>
        <w:t xml:space="preserve">12: </w:t>
      </w:r>
      <w:r w:rsidR="006D6B15">
        <w:rPr>
          <w:rFonts w:ascii="Arial" w:hAnsi="Arial" w:cs="Arial"/>
          <w:i/>
          <w:iCs/>
          <w:color w:val="1F1F1F"/>
        </w:rPr>
        <w:t>Percentage</w:t>
      </w:r>
      <w:r w:rsidR="0000412F" w:rsidRPr="00B44FD0">
        <w:rPr>
          <w:rFonts w:ascii="Arial" w:hAnsi="Arial" w:cs="Arial"/>
          <w:i/>
          <w:iCs/>
          <w:color w:val="1F1F1F"/>
        </w:rPr>
        <w:t xml:space="preserve"> of respondents </w:t>
      </w:r>
      <w:r w:rsidR="00B44FD0" w:rsidRPr="00B44FD0">
        <w:rPr>
          <w:rFonts w:ascii="Arial" w:hAnsi="Arial" w:cs="Arial"/>
          <w:i/>
          <w:iCs/>
          <w:color w:val="1F1F1F"/>
        </w:rPr>
        <w:t>who reported having a disability and the impact of their disability on their daily activities during the 2011 Census</w:t>
      </w:r>
      <w:r w:rsidR="006D6B15">
        <w:rPr>
          <w:rFonts w:ascii="Arial" w:hAnsi="Arial" w:cs="Arial"/>
          <w:i/>
          <w:iCs/>
          <w:color w:val="1F1F1F"/>
        </w:rPr>
        <w:t xml:space="preserve"> across five areas</w:t>
      </w:r>
      <w:r w:rsidR="00B44FD0" w:rsidRPr="00B44FD0">
        <w:rPr>
          <w:rFonts w:ascii="Arial" w:hAnsi="Arial" w:cs="Arial"/>
          <w:i/>
          <w:iCs/>
          <w:color w:val="1F1F1F"/>
        </w:rPr>
        <w:t>.</w:t>
      </w:r>
    </w:p>
    <w:p w14:paraId="7A67978D" w14:textId="02215378" w:rsidR="009C05F5" w:rsidRPr="00F001DC" w:rsidRDefault="007E0F80" w:rsidP="00AB0B4B">
      <w:pPr>
        <w:pStyle w:val="NormalWeb"/>
        <w:shd w:val="clear" w:color="auto" w:fill="FFFFFF"/>
        <w:spacing w:before="0" w:beforeAutospacing="0" w:after="300" w:afterAutospacing="0"/>
        <w:rPr>
          <w:rFonts w:ascii="Arial" w:hAnsi="Arial" w:cs="Arial"/>
          <w:color w:val="1F1F1F"/>
        </w:rPr>
      </w:pPr>
      <w:r w:rsidRPr="00F001DC">
        <w:rPr>
          <w:rFonts w:ascii="Arial" w:hAnsi="Arial" w:cs="Arial"/>
          <w:color w:val="1F1F1F"/>
        </w:rPr>
        <w:t xml:space="preserve">Whereas Figure </w:t>
      </w:r>
      <w:r w:rsidR="00CE1ADA" w:rsidRPr="00F001DC">
        <w:rPr>
          <w:rFonts w:ascii="Arial" w:hAnsi="Arial" w:cs="Arial"/>
          <w:color w:val="1F1F1F"/>
        </w:rPr>
        <w:t>13</w:t>
      </w:r>
      <w:r w:rsidR="00063374" w:rsidRPr="00F001DC">
        <w:rPr>
          <w:rFonts w:ascii="Arial" w:hAnsi="Arial" w:cs="Arial"/>
          <w:color w:val="1F1F1F"/>
        </w:rPr>
        <w:t xml:space="preserve"> below </w:t>
      </w:r>
      <w:r w:rsidR="00424A14" w:rsidRPr="00F001DC">
        <w:rPr>
          <w:rFonts w:ascii="Arial" w:hAnsi="Arial" w:cs="Arial"/>
          <w:color w:val="1F1F1F"/>
        </w:rPr>
        <w:t>indicates that there has been a slight reduction in the number of respondents w</w:t>
      </w:r>
      <w:r w:rsidR="00101034" w:rsidRPr="00F001DC">
        <w:rPr>
          <w:rFonts w:ascii="Arial" w:hAnsi="Arial" w:cs="Arial"/>
          <w:color w:val="1F1F1F"/>
        </w:rPr>
        <w:t xml:space="preserve">ho </w:t>
      </w:r>
      <w:r w:rsidR="00533F15" w:rsidRPr="00F001DC">
        <w:rPr>
          <w:rFonts w:ascii="Arial" w:hAnsi="Arial" w:cs="Arial"/>
          <w:color w:val="1F1F1F"/>
        </w:rPr>
        <w:t xml:space="preserve">are not disabled across all five </w:t>
      </w:r>
      <w:r w:rsidR="008925CB" w:rsidRPr="00F001DC">
        <w:rPr>
          <w:rFonts w:ascii="Arial" w:hAnsi="Arial" w:cs="Arial"/>
          <w:color w:val="1F1F1F"/>
        </w:rPr>
        <w:t>areas in the 2021 Census compared to the 2011 Census.</w:t>
      </w:r>
      <w:r w:rsidR="00A74C46" w:rsidRPr="00F001DC">
        <w:rPr>
          <w:rFonts w:ascii="Arial" w:hAnsi="Arial" w:cs="Arial"/>
          <w:color w:val="1F1F1F"/>
        </w:rPr>
        <w:t xml:space="preserve"> </w:t>
      </w:r>
      <w:r w:rsidR="00C5673B" w:rsidRPr="00F001DC">
        <w:rPr>
          <w:rFonts w:ascii="Arial" w:hAnsi="Arial" w:cs="Arial"/>
          <w:color w:val="1F1F1F"/>
        </w:rPr>
        <w:t>This is associated with a rise in disability that affects daily activities of living across all five areas reported in the 2021 Census</w:t>
      </w:r>
      <w:r w:rsidR="00060B7C" w:rsidRPr="00F001DC">
        <w:rPr>
          <w:rFonts w:ascii="Arial" w:hAnsi="Arial" w:cs="Arial"/>
          <w:color w:val="1F1F1F"/>
        </w:rPr>
        <w:t>, with the greatest rise being reported in Inner London boroughs in comparison to the 2011 Census data</w:t>
      </w:r>
      <w:r w:rsidR="00C5673B" w:rsidRPr="00F001DC">
        <w:rPr>
          <w:rFonts w:ascii="Arial" w:hAnsi="Arial" w:cs="Arial"/>
          <w:color w:val="1F1F1F"/>
        </w:rPr>
        <w:t xml:space="preserve">. </w:t>
      </w:r>
    </w:p>
    <w:p w14:paraId="342D1E6C" w14:textId="4917E292" w:rsidR="007E0F80" w:rsidRPr="00F001DC" w:rsidRDefault="00A74C46" w:rsidP="00AB0B4B">
      <w:pPr>
        <w:pStyle w:val="NormalWeb"/>
        <w:shd w:val="clear" w:color="auto" w:fill="FFFFFF"/>
        <w:spacing w:before="0" w:beforeAutospacing="0" w:after="300" w:afterAutospacing="0"/>
        <w:rPr>
          <w:rFonts w:ascii="Arial" w:hAnsi="Arial" w:cs="Arial"/>
          <w:color w:val="1F1F1F"/>
        </w:rPr>
      </w:pPr>
      <w:r w:rsidRPr="00F001DC">
        <w:rPr>
          <w:rFonts w:ascii="Arial" w:hAnsi="Arial" w:cs="Arial"/>
          <w:color w:val="1F1F1F"/>
        </w:rPr>
        <w:t xml:space="preserve">In the 2021 Census data </w:t>
      </w:r>
      <w:r w:rsidR="00514D7C" w:rsidRPr="00F001DC">
        <w:rPr>
          <w:rFonts w:ascii="Arial" w:hAnsi="Arial" w:cs="Arial"/>
          <w:color w:val="1F1F1F"/>
        </w:rPr>
        <w:t>15.5% of respondents in Leicester,</w:t>
      </w:r>
      <w:r w:rsidR="00F31F10" w:rsidRPr="00F001DC">
        <w:rPr>
          <w:rFonts w:ascii="Arial" w:hAnsi="Arial" w:cs="Arial"/>
          <w:color w:val="1F1F1F"/>
        </w:rPr>
        <w:t>17.3%</w:t>
      </w:r>
      <w:r w:rsidR="008D742A" w:rsidRPr="00F001DC">
        <w:rPr>
          <w:rFonts w:ascii="Arial" w:hAnsi="Arial" w:cs="Arial"/>
          <w:color w:val="1F1F1F"/>
        </w:rPr>
        <w:t xml:space="preserve"> of respondents in Birmingham,</w:t>
      </w:r>
      <w:r w:rsidR="004C6A17" w:rsidRPr="00F001DC">
        <w:rPr>
          <w:rFonts w:ascii="Arial" w:hAnsi="Arial" w:cs="Arial"/>
          <w:color w:val="1F1F1F"/>
        </w:rPr>
        <w:t xml:space="preserve">19.7% of respondents in Inner London boroughs, </w:t>
      </w:r>
      <w:r w:rsidR="00995E04" w:rsidRPr="00F001DC">
        <w:rPr>
          <w:rFonts w:ascii="Arial" w:hAnsi="Arial" w:cs="Arial"/>
          <w:color w:val="1F1F1F"/>
        </w:rPr>
        <w:t>18.6% of respondents in Nottingham, and 18.7% of respondents in Derby reported having a disability which impacts their daily a</w:t>
      </w:r>
      <w:r w:rsidR="00166639" w:rsidRPr="00F001DC">
        <w:rPr>
          <w:rFonts w:ascii="Arial" w:hAnsi="Arial" w:cs="Arial"/>
          <w:color w:val="1F1F1F"/>
        </w:rPr>
        <w:t>ctivities.</w:t>
      </w:r>
      <w:r w:rsidR="001607DA" w:rsidRPr="00F001DC">
        <w:rPr>
          <w:rFonts w:ascii="Arial" w:hAnsi="Arial" w:cs="Arial"/>
          <w:color w:val="1F1F1F"/>
        </w:rPr>
        <w:t xml:space="preserve"> </w:t>
      </w:r>
      <w:r w:rsidR="00060B7C" w:rsidRPr="00F001DC">
        <w:rPr>
          <w:rFonts w:ascii="Arial" w:hAnsi="Arial" w:cs="Arial"/>
          <w:color w:val="1F1F1F"/>
        </w:rPr>
        <w:t>Interestingly there hasn’t been a great change in th</w:t>
      </w:r>
      <w:r w:rsidR="00950C6E" w:rsidRPr="00F001DC">
        <w:rPr>
          <w:rFonts w:ascii="Arial" w:hAnsi="Arial" w:cs="Arial"/>
          <w:color w:val="1F1F1F"/>
        </w:rPr>
        <w:t>e severity of disability</w:t>
      </w:r>
      <w:r w:rsidR="00B50FD0" w:rsidRPr="00F001DC">
        <w:rPr>
          <w:rFonts w:ascii="Arial" w:hAnsi="Arial" w:cs="Arial"/>
          <w:color w:val="1F1F1F"/>
        </w:rPr>
        <w:t xml:space="preserve"> and there are similar percentages </w:t>
      </w:r>
      <w:r w:rsidR="006E0407" w:rsidRPr="00F001DC">
        <w:rPr>
          <w:rFonts w:ascii="Arial" w:hAnsi="Arial" w:cs="Arial"/>
          <w:color w:val="1F1F1F"/>
        </w:rPr>
        <w:t xml:space="preserve">for the </w:t>
      </w:r>
      <w:r w:rsidR="000E421E" w:rsidRPr="00F001DC">
        <w:rPr>
          <w:rFonts w:ascii="Arial" w:hAnsi="Arial" w:cs="Arial"/>
          <w:color w:val="1F1F1F"/>
        </w:rPr>
        <w:t xml:space="preserve">limiting </w:t>
      </w:r>
      <w:r w:rsidR="006E0407" w:rsidRPr="00F001DC">
        <w:rPr>
          <w:rFonts w:ascii="Arial" w:hAnsi="Arial" w:cs="Arial"/>
          <w:color w:val="1F1F1F"/>
        </w:rPr>
        <w:t xml:space="preserve">impact of the </w:t>
      </w:r>
      <w:r w:rsidR="000E421E" w:rsidRPr="00F001DC">
        <w:rPr>
          <w:rFonts w:ascii="Arial" w:hAnsi="Arial" w:cs="Arial"/>
          <w:color w:val="1F1F1F"/>
        </w:rPr>
        <w:t xml:space="preserve">disability on daily activities </w:t>
      </w:r>
      <w:r w:rsidR="00950C6E" w:rsidRPr="00F001DC">
        <w:rPr>
          <w:rFonts w:ascii="Arial" w:hAnsi="Arial" w:cs="Arial"/>
          <w:color w:val="1F1F1F"/>
        </w:rPr>
        <w:t>between the 2011 and 2021 Census data</w:t>
      </w:r>
      <w:r w:rsidR="00C1290E" w:rsidRPr="00F001DC">
        <w:rPr>
          <w:rFonts w:ascii="Arial" w:hAnsi="Arial" w:cs="Arial"/>
          <w:color w:val="1F1F1F"/>
        </w:rPr>
        <w:t xml:space="preserve">. This rise in disability, particularly in the number of respondents who </w:t>
      </w:r>
      <w:r w:rsidR="00081B50" w:rsidRPr="00F001DC">
        <w:rPr>
          <w:rFonts w:ascii="Arial" w:hAnsi="Arial" w:cs="Arial"/>
          <w:color w:val="1F1F1F"/>
        </w:rPr>
        <w:t xml:space="preserve">have a disability that </w:t>
      </w:r>
      <w:r w:rsidR="001B2DE0" w:rsidRPr="00F001DC">
        <w:rPr>
          <w:rFonts w:ascii="Arial" w:hAnsi="Arial" w:cs="Arial"/>
          <w:color w:val="1F1F1F"/>
        </w:rPr>
        <w:t>limits their daily activities a little may be attributed to our aging UK population.</w:t>
      </w:r>
    </w:p>
    <w:p w14:paraId="3C6EA237" w14:textId="7317F575" w:rsidR="00C3091C" w:rsidRPr="00A74983" w:rsidRDefault="001D40CC" w:rsidP="00AB0B4B">
      <w:pPr>
        <w:pStyle w:val="NormalWeb"/>
        <w:shd w:val="clear" w:color="auto" w:fill="FFFFFF"/>
        <w:spacing w:before="0" w:beforeAutospacing="0" w:after="300" w:afterAutospacing="0"/>
        <w:rPr>
          <w:rFonts w:ascii="Arial" w:hAnsi="Arial" w:cs="Arial"/>
          <w:i/>
          <w:iCs/>
          <w:color w:val="1F1F1F"/>
        </w:rPr>
      </w:pPr>
      <w:r w:rsidRPr="00A74983">
        <w:rPr>
          <w:rFonts w:ascii="Arial" w:hAnsi="Arial" w:cs="Arial"/>
          <w:noProof/>
        </w:rPr>
        <w:lastRenderedPageBreak/>
        <w:drawing>
          <wp:inline distT="0" distB="0" distL="0" distR="0" wp14:anchorId="79307579" wp14:editId="1B58FE5E">
            <wp:extent cx="5731510" cy="3370580"/>
            <wp:effectExtent l="0" t="0" r="2540" b="1270"/>
            <wp:docPr id="12" name="Chart 12">
              <a:extLst xmlns:a="http://schemas.openxmlformats.org/drawingml/2006/main">
                <a:ext uri="{FF2B5EF4-FFF2-40B4-BE49-F238E27FC236}">
                  <a16:creationId xmlns:a16="http://schemas.microsoft.com/office/drawing/2014/main" id="{0FBCDBC6-3B5A-A71D-A726-DE717105B7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A289C28" w14:textId="4811BD23" w:rsidR="00A5047D" w:rsidRDefault="00A5047D" w:rsidP="00AB0B4B">
      <w:pPr>
        <w:pStyle w:val="NormalWeb"/>
        <w:shd w:val="clear" w:color="auto" w:fill="FFFFFF"/>
        <w:spacing w:before="0" w:beforeAutospacing="0" w:after="300" w:afterAutospacing="0"/>
        <w:rPr>
          <w:rFonts w:ascii="Arial" w:hAnsi="Arial" w:cs="Arial"/>
          <w:i/>
          <w:iCs/>
          <w:color w:val="1F1F1F"/>
        </w:rPr>
      </w:pPr>
      <w:r w:rsidRPr="006D6B15">
        <w:rPr>
          <w:rFonts w:ascii="Arial" w:hAnsi="Arial" w:cs="Arial"/>
          <w:i/>
          <w:iCs/>
          <w:color w:val="1F1F1F"/>
        </w:rPr>
        <w:t xml:space="preserve">Figure </w:t>
      </w:r>
      <w:r w:rsidR="00CE1ADA">
        <w:rPr>
          <w:rFonts w:ascii="Arial" w:hAnsi="Arial" w:cs="Arial"/>
          <w:i/>
          <w:iCs/>
          <w:color w:val="1F1F1F"/>
        </w:rPr>
        <w:t>13</w:t>
      </w:r>
      <w:r w:rsidR="006D6B15" w:rsidRPr="00B44FD0">
        <w:rPr>
          <w:rFonts w:ascii="Arial" w:hAnsi="Arial" w:cs="Arial"/>
          <w:i/>
          <w:iCs/>
          <w:color w:val="1F1F1F"/>
        </w:rPr>
        <w:t xml:space="preserve">: </w:t>
      </w:r>
      <w:r w:rsidR="006D6B15">
        <w:rPr>
          <w:rFonts w:ascii="Arial" w:hAnsi="Arial" w:cs="Arial"/>
          <w:i/>
          <w:iCs/>
          <w:color w:val="1F1F1F"/>
        </w:rPr>
        <w:t>Percentage</w:t>
      </w:r>
      <w:r w:rsidR="006D6B15" w:rsidRPr="00B44FD0">
        <w:rPr>
          <w:rFonts w:ascii="Arial" w:hAnsi="Arial" w:cs="Arial"/>
          <w:i/>
          <w:iCs/>
          <w:color w:val="1F1F1F"/>
        </w:rPr>
        <w:t xml:space="preserve"> of respondents who reported having a disability and the impact of their disability on their daily activities during the 20</w:t>
      </w:r>
      <w:r w:rsidR="006D6B15">
        <w:rPr>
          <w:rFonts w:ascii="Arial" w:hAnsi="Arial" w:cs="Arial"/>
          <w:i/>
          <w:iCs/>
          <w:color w:val="1F1F1F"/>
        </w:rPr>
        <w:t>2</w:t>
      </w:r>
      <w:r w:rsidR="006D6B15" w:rsidRPr="00B44FD0">
        <w:rPr>
          <w:rFonts w:ascii="Arial" w:hAnsi="Arial" w:cs="Arial"/>
          <w:i/>
          <w:iCs/>
          <w:color w:val="1F1F1F"/>
        </w:rPr>
        <w:t>1 Census</w:t>
      </w:r>
      <w:r w:rsidR="006D6B15">
        <w:rPr>
          <w:rFonts w:ascii="Arial" w:hAnsi="Arial" w:cs="Arial"/>
          <w:i/>
          <w:iCs/>
          <w:color w:val="1F1F1F"/>
        </w:rPr>
        <w:t xml:space="preserve"> across five areas</w:t>
      </w:r>
      <w:r w:rsidR="006D6B15" w:rsidRPr="00B44FD0">
        <w:rPr>
          <w:rFonts w:ascii="Arial" w:hAnsi="Arial" w:cs="Arial"/>
          <w:i/>
          <w:iCs/>
          <w:color w:val="1F1F1F"/>
        </w:rPr>
        <w:t>.</w:t>
      </w:r>
    </w:p>
    <w:p w14:paraId="5BEDC79E" w14:textId="77777777" w:rsidR="009B5FDB" w:rsidRPr="00A74983" w:rsidRDefault="009B5FDB" w:rsidP="00AB0B4B">
      <w:pPr>
        <w:pStyle w:val="NormalWeb"/>
        <w:shd w:val="clear" w:color="auto" w:fill="FFFFFF"/>
        <w:spacing w:before="0" w:beforeAutospacing="0" w:after="300" w:afterAutospacing="0"/>
        <w:rPr>
          <w:rFonts w:ascii="Arial" w:hAnsi="Arial" w:cs="Arial"/>
          <w:i/>
          <w:iCs/>
          <w:color w:val="1F1F1F"/>
        </w:rPr>
      </w:pPr>
    </w:p>
    <w:p w14:paraId="34ED4E4B" w14:textId="68A00BDB" w:rsidR="00F001DC" w:rsidRPr="009B5FDB" w:rsidRDefault="00C3062F" w:rsidP="009B5FDB">
      <w:pPr>
        <w:pStyle w:val="NormalWeb"/>
        <w:shd w:val="clear" w:color="auto" w:fill="FFFFFF"/>
        <w:spacing w:before="0" w:beforeAutospacing="0" w:after="300" w:afterAutospacing="0"/>
        <w:rPr>
          <w:rFonts w:ascii="Arial" w:hAnsi="Arial" w:cs="Arial"/>
          <w:color w:val="1F1F1F"/>
        </w:rPr>
      </w:pPr>
      <w:r w:rsidRPr="00F001DC">
        <w:rPr>
          <w:rFonts w:ascii="Arial" w:hAnsi="Arial" w:cs="Arial"/>
          <w:b/>
          <w:bCs/>
          <w:color w:val="1F1F1F"/>
          <w:sz w:val="28"/>
          <w:szCs w:val="28"/>
          <w:u w:val="single"/>
        </w:rPr>
        <w:t>Local Authority Breakdown – Leicestershire</w:t>
      </w:r>
      <w:r w:rsidRPr="00A74983">
        <w:rPr>
          <w:rFonts w:ascii="Arial" w:hAnsi="Arial" w:cs="Arial"/>
        </w:rPr>
        <w:br/>
      </w:r>
      <w:r w:rsidR="0057221F" w:rsidRPr="00A74983">
        <w:rPr>
          <w:rFonts w:ascii="Arial" w:hAnsi="Arial" w:cs="Arial"/>
          <w:color w:val="1F1F1F"/>
        </w:rPr>
        <w:t xml:space="preserve">We </w:t>
      </w:r>
      <w:r w:rsidR="00877C3C" w:rsidRPr="00A74983">
        <w:rPr>
          <w:rFonts w:ascii="Arial" w:hAnsi="Arial" w:cs="Arial"/>
          <w:color w:val="1F1F1F"/>
        </w:rPr>
        <w:t xml:space="preserve">also </w:t>
      </w:r>
      <w:r w:rsidR="0057221F" w:rsidRPr="00A74983">
        <w:rPr>
          <w:rFonts w:ascii="Arial" w:hAnsi="Arial" w:cs="Arial"/>
          <w:color w:val="1F1F1F"/>
        </w:rPr>
        <w:t xml:space="preserve">analysed the </w:t>
      </w:r>
      <w:r w:rsidR="00212B12" w:rsidRPr="00A74983">
        <w:rPr>
          <w:rFonts w:ascii="Arial" w:hAnsi="Arial" w:cs="Arial"/>
          <w:color w:val="1F1F1F"/>
        </w:rPr>
        <w:t>percentages of respondents living i</w:t>
      </w:r>
      <w:r w:rsidR="001D3D9D" w:rsidRPr="00A74983">
        <w:rPr>
          <w:rFonts w:ascii="Arial" w:hAnsi="Arial" w:cs="Arial"/>
          <w:color w:val="1F1F1F"/>
        </w:rPr>
        <w:t xml:space="preserve">n Leicestershire who reported </w:t>
      </w:r>
      <w:r w:rsidR="006E754B" w:rsidRPr="00A74983">
        <w:rPr>
          <w:rFonts w:ascii="Arial" w:hAnsi="Arial" w:cs="Arial"/>
          <w:color w:val="1F1F1F"/>
        </w:rPr>
        <w:t xml:space="preserve">that they have a disability in the </w:t>
      </w:r>
      <w:r w:rsidR="008D6657" w:rsidRPr="00A74983">
        <w:rPr>
          <w:rFonts w:ascii="Arial" w:hAnsi="Arial" w:cs="Arial"/>
          <w:color w:val="1F1F1F"/>
        </w:rPr>
        <w:t>2021 Census data</w:t>
      </w:r>
      <w:r w:rsidR="00242378">
        <w:rPr>
          <w:rFonts w:ascii="Arial" w:hAnsi="Arial" w:cs="Arial"/>
          <w:color w:val="1F1F1F"/>
        </w:rPr>
        <w:t xml:space="preserve">, </w:t>
      </w:r>
      <w:r w:rsidR="00F001DC" w:rsidRPr="00A74983">
        <w:rPr>
          <w:rStyle w:val="eop"/>
          <w:rFonts w:ascii="Arial" w:hAnsi="Arial" w:cs="Arial"/>
        </w:rPr>
        <w:t>which slightly or significantly limited their ability to do daily activities of living.</w:t>
      </w:r>
    </w:p>
    <w:p w14:paraId="0EE175A1" w14:textId="7ABF74DD" w:rsidR="00F001DC" w:rsidRPr="00A74983" w:rsidRDefault="00242378" w:rsidP="00F001DC">
      <w:pPr>
        <w:pStyle w:val="paragraph"/>
        <w:spacing w:before="0" w:beforeAutospacing="0" w:after="0" w:afterAutospacing="0"/>
        <w:textAlignment w:val="baseline"/>
        <w:rPr>
          <w:rFonts w:ascii="Arial" w:hAnsi="Arial" w:cs="Arial"/>
          <w:sz w:val="18"/>
          <w:szCs w:val="18"/>
        </w:rPr>
      </w:pPr>
      <w:r>
        <w:rPr>
          <w:rStyle w:val="normaltextrun"/>
          <w:rFonts w:ascii="Arial" w:eastAsiaTheme="majorEastAsia" w:hAnsi="Arial" w:cs="Arial"/>
        </w:rPr>
        <w:t xml:space="preserve">In figure 14, </w:t>
      </w:r>
      <w:r w:rsidR="00F001DC" w:rsidRPr="00A74983">
        <w:rPr>
          <w:rStyle w:val="normaltextrun"/>
          <w:rFonts w:ascii="Arial" w:eastAsiaTheme="majorEastAsia" w:hAnsi="Arial" w:cs="Arial"/>
        </w:rPr>
        <w:t>Harborough had the lowest percentage of people disabled under the Equality Act in 2021 at 15.1%, of which, 5.4% were limited a lot in their day-to-day activities, and 9.6% were limited a little. This was followed by Leicester with a percentage of 15.5 disabled under the Equality Act, of which, 7% of respondents reported that their day-to-day activities were limited a lot, with 8.5% limited a little. In comparison, Hinckley &amp; Bosworth and North</w:t>
      </w:r>
      <w:r w:rsidR="009B5FDB">
        <w:rPr>
          <w:rStyle w:val="normaltextrun"/>
          <w:rFonts w:ascii="Arial" w:eastAsiaTheme="majorEastAsia" w:hAnsi="Arial" w:cs="Arial"/>
        </w:rPr>
        <w:t>-</w:t>
      </w:r>
      <w:r w:rsidR="00F001DC" w:rsidRPr="00A74983">
        <w:rPr>
          <w:rStyle w:val="normaltextrun"/>
          <w:rFonts w:ascii="Arial" w:eastAsiaTheme="majorEastAsia" w:hAnsi="Arial" w:cs="Arial"/>
        </w:rPr>
        <w:t>West Leicestershire had the highest percentage of residents classed as disabled under the Equality act at 17.5%, with 6.8% of respondents reporting that their day-to day activities were limited a lot. </w:t>
      </w:r>
      <w:r w:rsidR="00F001DC" w:rsidRPr="00A74983">
        <w:rPr>
          <w:rStyle w:val="eop"/>
          <w:rFonts w:ascii="Arial" w:hAnsi="Arial" w:cs="Arial"/>
        </w:rPr>
        <w:t> </w:t>
      </w:r>
    </w:p>
    <w:p w14:paraId="7A6A67EB" w14:textId="77777777" w:rsidR="00F001DC" w:rsidRPr="00A74983" w:rsidRDefault="00F001DC" w:rsidP="00F001DC">
      <w:pPr>
        <w:pStyle w:val="paragraph"/>
        <w:spacing w:before="0" w:beforeAutospacing="0" w:after="0" w:afterAutospacing="0"/>
        <w:textAlignment w:val="baseline"/>
        <w:rPr>
          <w:rFonts w:ascii="Arial" w:hAnsi="Arial" w:cs="Arial"/>
          <w:sz w:val="18"/>
          <w:szCs w:val="18"/>
        </w:rPr>
      </w:pPr>
    </w:p>
    <w:p w14:paraId="7321633E" w14:textId="21314657" w:rsidR="009B5FDB" w:rsidRPr="00A74983" w:rsidRDefault="009B5FDB" w:rsidP="00AB0B4B">
      <w:pPr>
        <w:pStyle w:val="NormalWeb"/>
        <w:shd w:val="clear" w:color="auto" w:fill="FFFFFF"/>
        <w:spacing w:before="0" w:beforeAutospacing="0" w:after="300" w:afterAutospacing="0"/>
        <w:rPr>
          <w:rFonts w:ascii="Arial" w:hAnsi="Arial" w:cs="Arial"/>
          <w:color w:val="1F1F1F"/>
        </w:rPr>
      </w:pPr>
      <w:r w:rsidRPr="00A74983">
        <w:rPr>
          <w:rFonts w:ascii="Arial" w:hAnsi="Arial" w:cs="Arial"/>
          <w:color w:val="1F1F1F"/>
        </w:rPr>
        <w:t xml:space="preserve">We also compared disability across Leicestershire that was reported in the 2011 Census data across different areas of Leicestershire (figure </w:t>
      </w:r>
      <w:r>
        <w:rPr>
          <w:rFonts w:ascii="Arial" w:hAnsi="Arial" w:cs="Arial"/>
          <w:color w:val="1F1F1F"/>
        </w:rPr>
        <w:t>15</w:t>
      </w:r>
      <w:r w:rsidRPr="00A74983">
        <w:rPr>
          <w:rFonts w:ascii="Arial" w:hAnsi="Arial" w:cs="Arial"/>
          <w:color w:val="1F1F1F"/>
        </w:rPr>
        <w:t>).</w:t>
      </w:r>
      <w:r>
        <w:rPr>
          <w:rFonts w:ascii="Arial" w:hAnsi="Arial" w:cs="Arial"/>
          <w:color w:val="1F1F1F"/>
        </w:rPr>
        <w:t xml:space="preserve"> </w:t>
      </w:r>
      <w:r w:rsidRPr="00A74983">
        <w:rPr>
          <w:rFonts w:ascii="Arial" w:hAnsi="Arial" w:cs="Arial"/>
          <w:color w:val="1F1F1F"/>
        </w:rPr>
        <w:t xml:space="preserve">We found that there were comparable levels of disability being reported in the 2011 Census across Leicestershire which was: 15.8% in Blaby, 15.6% in Charnwood, 14.5% in Harborough, 17.0% in Hinckley and Bosworth, 15.6% in Melton, 18.1% in </w:t>
      </w:r>
      <w:proofErr w:type="gramStart"/>
      <w:r w:rsidRPr="00A74983">
        <w:rPr>
          <w:rFonts w:ascii="Arial" w:hAnsi="Arial" w:cs="Arial"/>
          <w:color w:val="1F1F1F"/>
        </w:rPr>
        <w:t>North West</w:t>
      </w:r>
      <w:proofErr w:type="gramEnd"/>
      <w:r w:rsidRPr="00A74983">
        <w:rPr>
          <w:rFonts w:ascii="Arial" w:hAnsi="Arial" w:cs="Arial"/>
          <w:color w:val="1F1F1F"/>
        </w:rPr>
        <w:t xml:space="preserve"> Leicestershire and 17.3% in Oadby and Wigston. There were more respondents living in Leicestershire with a disability that had a slightly limited their </w:t>
      </w:r>
      <w:r w:rsidRPr="00A74983">
        <w:rPr>
          <w:rFonts w:ascii="Arial" w:hAnsi="Arial" w:cs="Arial"/>
          <w:color w:val="1F1F1F"/>
        </w:rPr>
        <w:lastRenderedPageBreak/>
        <w:t>daily activities rather than having a major limiting impact on their daily activities of living during the 2011 Census.</w:t>
      </w:r>
    </w:p>
    <w:p w14:paraId="2A92D04D" w14:textId="03112905" w:rsidR="00A70AB0" w:rsidRPr="00A74983" w:rsidRDefault="00A70AB0" w:rsidP="00A70AB0">
      <w:pPr>
        <w:pStyle w:val="paragraph"/>
        <w:spacing w:before="0" w:beforeAutospacing="0" w:after="0" w:afterAutospacing="0"/>
        <w:textAlignment w:val="baseline"/>
        <w:rPr>
          <w:rFonts w:ascii="Arial" w:hAnsi="Arial" w:cs="Arial"/>
          <w:sz w:val="18"/>
          <w:szCs w:val="18"/>
        </w:rPr>
      </w:pPr>
      <w:r w:rsidRPr="00A74983">
        <w:rPr>
          <w:rFonts w:ascii="Arial" w:hAnsi="Arial" w:cs="Arial"/>
          <w:b/>
          <w:bCs/>
          <w:noProof/>
          <w:color w:val="1F1F1F"/>
          <w:u w:val="single"/>
        </w:rPr>
        <w:drawing>
          <wp:inline distT="0" distB="0" distL="0" distR="0" wp14:anchorId="3DA8DC8A" wp14:editId="27C92094">
            <wp:extent cx="5667375" cy="3101798"/>
            <wp:effectExtent l="0" t="0" r="0" b="3810"/>
            <wp:docPr id="19" name="Picture 19"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bar char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01567" cy="3120512"/>
                    </a:xfrm>
                    <a:prstGeom prst="rect">
                      <a:avLst/>
                    </a:prstGeom>
                    <a:noFill/>
                    <a:ln>
                      <a:noFill/>
                    </a:ln>
                  </pic:spPr>
                </pic:pic>
              </a:graphicData>
            </a:graphic>
          </wp:inline>
        </w:drawing>
      </w:r>
      <w:r w:rsidRPr="00A74983">
        <w:rPr>
          <w:rStyle w:val="eop"/>
          <w:rFonts w:ascii="Arial" w:hAnsi="Arial" w:cs="Arial"/>
        </w:rPr>
        <w:t> </w:t>
      </w:r>
    </w:p>
    <w:p w14:paraId="5D4DDB62" w14:textId="49654936" w:rsidR="00A70AB0" w:rsidRPr="006D6B15" w:rsidRDefault="00A70AB0" w:rsidP="00A70AB0">
      <w:pPr>
        <w:pStyle w:val="paragraph"/>
        <w:spacing w:before="0" w:beforeAutospacing="0" w:after="0" w:afterAutospacing="0"/>
        <w:textAlignment w:val="baseline"/>
        <w:rPr>
          <w:rStyle w:val="eop"/>
        </w:rPr>
      </w:pPr>
      <w:r w:rsidRPr="006D6B15">
        <w:rPr>
          <w:rStyle w:val="normaltextrun"/>
          <w:rFonts w:ascii="Arial" w:eastAsiaTheme="majorEastAsia" w:hAnsi="Arial" w:cs="Arial"/>
          <w:i/>
          <w:iCs/>
        </w:rPr>
        <w:t xml:space="preserve">Figure </w:t>
      </w:r>
      <w:r w:rsidR="006D6B15" w:rsidRPr="006D6B15">
        <w:rPr>
          <w:rStyle w:val="normaltextrun"/>
          <w:rFonts w:ascii="Arial" w:eastAsiaTheme="majorEastAsia" w:hAnsi="Arial" w:cs="Arial"/>
          <w:i/>
          <w:iCs/>
        </w:rPr>
        <w:t>14</w:t>
      </w:r>
      <w:r w:rsidRPr="006D6B15">
        <w:rPr>
          <w:rStyle w:val="normaltextrun"/>
          <w:rFonts w:ascii="Arial" w:eastAsiaTheme="majorEastAsia" w:hAnsi="Arial" w:cs="Arial"/>
          <w:i/>
          <w:iCs/>
        </w:rPr>
        <w:t xml:space="preserve"> Percentage of people disabled under the Equality Act in Leicestershire in 2021, and how their activities are limited. </w:t>
      </w:r>
      <w:r w:rsidRPr="006D6B15">
        <w:rPr>
          <w:rStyle w:val="eop"/>
          <w:rFonts w:ascii="Arial" w:hAnsi="Arial" w:cs="Arial"/>
        </w:rPr>
        <w:t> </w:t>
      </w:r>
    </w:p>
    <w:p w14:paraId="0EE62E66" w14:textId="7E275509" w:rsidR="00A70AB0" w:rsidRPr="00A74983" w:rsidRDefault="00A70AB0" w:rsidP="00A70AB0">
      <w:pPr>
        <w:pStyle w:val="paragraph"/>
        <w:spacing w:before="0" w:beforeAutospacing="0" w:after="0" w:afterAutospacing="0"/>
        <w:textAlignment w:val="baseline"/>
        <w:rPr>
          <w:rStyle w:val="eop"/>
          <w:rFonts w:ascii="Arial" w:hAnsi="Arial" w:cs="Arial"/>
        </w:rPr>
      </w:pPr>
      <w:r w:rsidRPr="00A74983">
        <w:rPr>
          <w:rStyle w:val="eop"/>
          <w:rFonts w:ascii="Arial" w:hAnsi="Arial" w:cs="Arial"/>
        </w:rPr>
        <w:t> </w:t>
      </w:r>
    </w:p>
    <w:p w14:paraId="7D3648D1" w14:textId="15348F2C" w:rsidR="00AB0B4B" w:rsidRPr="00A74983" w:rsidRDefault="00831D91" w:rsidP="00C37CF5">
      <w:pPr>
        <w:pStyle w:val="NormalWeb"/>
        <w:shd w:val="clear" w:color="auto" w:fill="FFFFFF"/>
        <w:spacing w:before="0" w:beforeAutospacing="0" w:after="300" w:afterAutospacing="0"/>
        <w:rPr>
          <w:rStyle w:val="sectioncontent-number"/>
          <w:rFonts w:ascii="Arial" w:hAnsi="Arial" w:cs="Arial"/>
        </w:rPr>
      </w:pPr>
      <w:r w:rsidRPr="00A74983">
        <w:rPr>
          <w:rFonts w:ascii="Arial" w:hAnsi="Arial" w:cs="Arial"/>
          <w:noProof/>
        </w:rPr>
        <w:drawing>
          <wp:inline distT="0" distB="0" distL="0" distR="0" wp14:anchorId="1C6549B4" wp14:editId="1604F163">
            <wp:extent cx="5731510" cy="3667125"/>
            <wp:effectExtent l="0" t="0" r="2540" b="9525"/>
            <wp:docPr id="14" name="Chart 14">
              <a:extLst xmlns:a="http://schemas.openxmlformats.org/drawingml/2006/main">
                <a:ext uri="{FF2B5EF4-FFF2-40B4-BE49-F238E27FC236}">
                  <a16:creationId xmlns:a16="http://schemas.microsoft.com/office/drawing/2014/main" id="{EF823284-D3DD-260E-9A9A-B9A229C5B5B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227DA1E7" w14:textId="362844B8" w:rsidR="00945382" w:rsidRPr="00A74983" w:rsidRDefault="00AE2065" w:rsidP="002C6FE6">
      <w:pPr>
        <w:pStyle w:val="NormalWeb"/>
        <w:shd w:val="clear" w:color="auto" w:fill="FFFFFF"/>
        <w:spacing w:before="0" w:beforeAutospacing="0" w:after="300" w:afterAutospacing="0"/>
        <w:rPr>
          <w:rFonts w:ascii="Arial" w:hAnsi="Arial" w:cs="Arial"/>
          <w:i/>
          <w:iCs/>
        </w:rPr>
      </w:pPr>
      <w:r w:rsidRPr="006D6B15">
        <w:rPr>
          <w:rStyle w:val="sectioncontent-number"/>
          <w:rFonts w:ascii="Arial" w:hAnsi="Arial" w:cs="Arial"/>
          <w:i/>
          <w:iCs/>
        </w:rPr>
        <w:t xml:space="preserve">Figure </w:t>
      </w:r>
      <w:r w:rsidR="006D6B15" w:rsidRPr="006D6B15">
        <w:rPr>
          <w:rStyle w:val="sectioncontent-number"/>
          <w:rFonts w:ascii="Arial" w:hAnsi="Arial" w:cs="Arial"/>
          <w:i/>
          <w:iCs/>
        </w:rPr>
        <w:t>15</w:t>
      </w:r>
      <w:r w:rsidR="009E5008" w:rsidRPr="00A74983">
        <w:rPr>
          <w:rStyle w:val="sectioncontent-number"/>
          <w:rFonts w:ascii="Arial" w:hAnsi="Arial" w:cs="Arial"/>
          <w:i/>
          <w:iCs/>
        </w:rPr>
        <w:t xml:space="preserve">: </w:t>
      </w:r>
      <w:r w:rsidR="003718DB" w:rsidRPr="00A74983">
        <w:rPr>
          <w:rStyle w:val="sectioncontent-number"/>
          <w:rFonts w:ascii="Arial" w:hAnsi="Arial" w:cs="Arial"/>
          <w:i/>
          <w:iCs/>
        </w:rPr>
        <w:t xml:space="preserve">Percentage of respondents who reported a </w:t>
      </w:r>
      <w:r w:rsidR="009E5008" w:rsidRPr="00A74983">
        <w:rPr>
          <w:rFonts w:ascii="Arial" w:hAnsi="Arial" w:cs="Arial"/>
          <w:i/>
          <w:iCs/>
          <w:color w:val="1F1F1F"/>
        </w:rPr>
        <w:t xml:space="preserve">disability across Leicestershire in the 2011 Census </w:t>
      </w:r>
      <w:proofErr w:type="gramStart"/>
      <w:r w:rsidR="009E5008" w:rsidRPr="00A74983">
        <w:rPr>
          <w:rFonts w:ascii="Arial" w:hAnsi="Arial" w:cs="Arial"/>
          <w:i/>
          <w:iCs/>
          <w:color w:val="1F1F1F"/>
        </w:rPr>
        <w:t>data</w:t>
      </w:r>
      <w:proofErr w:type="gramEnd"/>
    </w:p>
    <w:p w14:paraId="6AEEB6E1" w14:textId="77777777" w:rsidR="006D6B15" w:rsidRPr="006D6B15" w:rsidRDefault="00A41A7D" w:rsidP="006D6B15">
      <w:pPr>
        <w:pStyle w:val="NormalWeb"/>
        <w:numPr>
          <w:ilvl w:val="0"/>
          <w:numId w:val="33"/>
        </w:numPr>
        <w:shd w:val="clear" w:color="auto" w:fill="FFFFFF"/>
        <w:spacing w:before="0" w:beforeAutospacing="0" w:after="300" w:afterAutospacing="0"/>
        <w:rPr>
          <w:rFonts w:ascii="Arial" w:hAnsi="Arial" w:cs="Arial"/>
          <w:b/>
          <w:bCs/>
          <w:color w:val="1F1F1F"/>
          <w:sz w:val="28"/>
          <w:szCs w:val="28"/>
          <w:u w:val="single"/>
        </w:rPr>
      </w:pPr>
      <w:r w:rsidRPr="00A74983">
        <w:rPr>
          <w:rFonts w:ascii="Arial" w:hAnsi="Arial" w:cs="Arial"/>
          <w:b/>
          <w:bCs/>
          <w:color w:val="1F1F1F"/>
          <w:sz w:val="28"/>
          <w:szCs w:val="28"/>
          <w:u w:val="single"/>
        </w:rPr>
        <w:lastRenderedPageBreak/>
        <w:t xml:space="preserve">Unpaid </w:t>
      </w:r>
      <w:r w:rsidR="00DE4520" w:rsidRPr="00A74983">
        <w:rPr>
          <w:rFonts w:ascii="Arial" w:hAnsi="Arial" w:cs="Arial"/>
          <w:b/>
          <w:bCs/>
          <w:color w:val="1F1F1F"/>
          <w:sz w:val="28"/>
          <w:szCs w:val="28"/>
          <w:u w:val="single"/>
        </w:rPr>
        <w:t>Care</w:t>
      </w:r>
    </w:p>
    <w:p w14:paraId="6C816FBC" w14:textId="5393DF6A" w:rsidR="00A41A7D" w:rsidRPr="006D6B15" w:rsidRDefault="00A41A7D" w:rsidP="006D6B15">
      <w:pPr>
        <w:pStyle w:val="NormalWeb"/>
        <w:shd w:val="clear" w:color="auto" w:fill="FFFFFF"/>
        <w:spacing w:before="0" w:beforeAutospacing="0" w:after="300" w:afterAutospacing="0"/>
        <w:rPr>
          <w:rFonts w:ascii="Arial" w:hAnsi="Arial" w:cs="Arial"/>
          <w:b/>
          <w:bCs/>
          <w:color w:val="1F1F1F"/>
          <w:sz w:val="28"/>
          <w:szCs w:val="28"/>
          <w:u w:val="single"/>
        </w:rPr>
      </w:pPr>
      <w:r w:rsidRPr="006D6B15">
        <w:rPr>
          <w:rFonts w:ascii="Arial" w:hAnsi="Arial" w:cs="Arial"/>
          <w:color w:val="1F1F1F"/>
        </w:rPr>
        <w:t>An unpaid carer may look after, give help or support to anyone who has long-term physical or mental ill-health conditions, illness or problems related to old age.</w:t>
      </w:r>
      <w:r w:rsidR="005041CD" w:rsidRPr="006D6B15">
        <w:rPr>
          <w:rFonts w:ascii="Arial" w:hAnsi="Arial" w:cs="Arial"/>
          <w:color w:val="1F1F1F"/>
        </w:rPr>
        <w:t xml:space="preserve"> </w:t>
      </w:r>
      <w:r w:rsidRPr="006D6B15">
        <w:rPr>
          <w:rFonts w:ascii="Arial" w:hAnsi="Arial" w:cs="Arial"/>
          <w:color w:val="1F1F1F"/>
        </w:rPr>
        <w:t>This does not include any activities as part of paid employment</w:t>
      </w:r>
      <w:r w:rsidR="005041CD" w:rsidRPr="006D6B15">
        <w:rPr>
          <w:rFonts w:ascii="Arial" w:hAnsi="Arial" w:cs="Arial"/>
          <w:color w:val="1F1F1F"/>
        </w:rPr>
        <w:t>, and t</w:t>
      </w:r>
      <w:r w:rsidRPr="006D6B15">
        <w:rPr>
          <w:rFonts w:ascii="Arial" w:hAnsi="Arial" w:cs="Arial"/>
          <w:color w:val="1F1F1F"/>
        </w:rPr>
        <w:t>his help can be within or outside of the carer's household.</w:t>
      </w:r>
    </w:p>
    <w:p w14:paraId="6D802FD2" w14:textId="17C6CD47" w:rsidR="00186C77" w:rsidRPr="00A74983" w:rsidRDefault="00186C77" w:rsidP="00DE4520">
      <w:pPr>
        <w:rPr>
          <w:rFonts w:ascii="Arial" w:hAnsi="Arial" w:cs="Arial"/>
          <w:color w:val="1F1F1F"/>
        </w:rPr>
      </w:pPr>
      <w:r w:rsidRPr="00A74983">
        <w:rPr>
          <w:rFonts w:ascii="Arial" w:hAnsi="Arial" w:cs="Arial"/>
          <w:noProof/>
        </w:rPr>
        <mc:AlternateContent>
          <mc:Choice Requires="wps">
            <w:drawing>
              <wp:anchor distT="0" distB="0" distL="114300" distR="114300" simplePos="0" relativeHeight="251658243" behindDoc="1" locked="0" layoutInCell="1" allowOverlap="1" wp14:anchorId="6D7CE398" wp14:editId="03070BD8">
                <wp:simplePos x="0" y="0"/>
                <wp:positionH relativeFrom="column">
                  <wp:posOffset>-95250</wp:posOffset>
                </wp:positionH>
                <wp:positionV relativeFrom="paragraph">
                  <wp:posOffset>66040</wp:posOffset>
                </wp:positionV>
                <wp:extent cx="6250940" cy="7191375"/>
                <wp:effectExtent l="0" t="0" r="0" b="9525"/>
                <wp:wrapNone/>
                <wp:docPr id="5" name="Rectangle 5"/>
                <wp:cNvGraphicFramePr/>
                <a:graphic xmlns:a="http://schemas.openxmlformats.org/drawingml/2006/main">
                  <a:graphicData uri="http://schemas.microsoft.com/office/word/2010/wordprocessingShape">
                    <wps:wsp>
                      <wps:cNvSpPr/>
                      <wps:spPr>
                        <a:xfrm>
                          <a:off x="0" y="0"/>
                          <a:ext cx="6250940" cy="7191375"/>
                        </a:xfrm>
                        <a:prstGeom prst="rect">
                          <a:avLst/>
                        </a:prstGeom>
                        <a:solidFill>
                          <a:schemeClr val="accent1">
                            <a:lumMod val="20000"/>
                            <a:lumOff val="80000"/>
                            <a:alpha val="7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2AD58" id="Rectangle 5" o:spid="_x0000_s1026" style="position:absolute;margin-left:-7.5pt;margin-top:5.2pt;width:492.2pt;height:566.25pt;z-index:-2516582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" fillcolor="#d9e2f3 [660]" stroked="f" strokeweight="1pt">
                <v:fill opacity="46003f"/>
              </v:rect>
            </w:pict>
          </mc:Fallback>
        </mc:AlternateContent>
      </w:r>
    </w:p>
    <w:p w14:paraId="65F23A49" w14:textId="4DCEF62C" w:rsidR="00DE4520" w:rsidRPr="00A74983" w:rsidRDefault="00DE4520" w:rsidP="00DE4520">
      <w:pPr>
        <w:rPr>
          <w:rFonts w:ascii="Arial" w:hAnsi="Arial" w:cs="Arial"/>
          <w:color w:val="1F1F1F"/>
        </w:rPr>
      </w:pPr>
      <w:r w:rsidRPr="00A74983">
        <w:rPr>
          <w:rFonts w:ascii="Arial" w:hAnsi="Arial" w:cs="Arial"/>
          <w:b/>
          <w:bCs/>
          <w:color w:val="1F1F1F"/>
          <w:sz w:val="28"/>
          <w:szCs w:val="28"/>
        </w:rPr>
        <w:t xml:space="preserve">England </w:t>
      </w:r>
      <w:r w:rsidR="007824F4" w:rsidRPr="00A74983">
        <w:rPr>
          <w:rFonts w:ascii="Arial" w:hAnsi="Arial" w:cs="Arial"/>
          <w:b/>
          <w:bCs/>
          <w:color w:val="1F1F1F"/>
          <w:sz w:val="28"/>
          <w:szCs w:val="28"/>
        </w:rPr>
        <w:t xml:space="preserve">&amp; Wales </w:t>
      </w:r>
      <w:r w:rsidR="005041CD" w:rsidRPr="00A74983">
        <w:rPr>
          <w:rFonts w:ascii="Arial" w:hAnsi="Arial" w:cs="Arial"/>
          <w:b/>
          <w:bCs/>
          <w:color w:val="1F1F1F"/>
          <w:sz w:val="28"/>
          <w:szCs w:val="28"/>
        </w:rPr>
        <w:t xml:space="preserve">Unpaid </w:t>
      </w:r>
      <w:r w:rsidRPr="00A74983">
        <w:rPr>
          <w:rFonts w:ascii="Arial" w:hAnsi="Arial" w:cs="Arial"/>
          <w:b/>
          <w:bCs/>
          <w:color w:val="1F1F1F"/>
          <w:sz w:val="28"/>
          <w:szCs w:val="28"/>
        </w:rPr>
        <w:t>Care Overview</w:t>
      </w:r>
    </w:p>
    <w:p w14:paraId="18B2F7C9" w14:textId="3353A759" w:rsidR="00DE4520" w:rsidRPr="00A74983" w:rsidRDefault="00DE4520" w:rsidP="00DE4520">
      <w:pPr>
        <w:rPr>
          <w:rStyle w:val="Hyperlink"/>
          <w:rFonts w:ascii="Arial" w:hAnsi="Arial" w:cs="Arial"/>
        </w:rPr>
      </w:pPr>
      <w:r w:rsidRPr="00A74983">
        <w:rPr>
          <w:rFonts w:ascii="Arial" w:hAnsi="Arial" w:cs="Arial"/>
          <w:color w:val="1F1F1F"/>
        </w:rPr>
        <w:t xml:space="preserve">Source: </w:t>
      </w:r>
      <w:hyperlink r:id="rId28" w:history="1">
        <w:r w:rsidRPr="00A74983">
          <w:rPr>
            <w:rStyle w:val="Hyperlink"/>
            <w:rFonts w:ascii="Arial" w:hAnsi="Arial" w:cs="Arial"/>
          </w:rPr>
          <w:t>ons.gov.uk</w:t>
        </w:r>
      </w:hyperlink>
    </w:p>
    <w:p w14:paraId="1F388A2C" w14:textId="71449FA4" w:rsidR="008970F2" w:rsidRPr="00A74983" w:rsidRDefault="00DE4520" w:rsidP="009065B6">
      <w:pPr>
        <w:rPr>
          <w:rFonts w:ascii="Arial" w:hAnsi="Arial" w:cs="Arial"/>
          <w:color w:val="1F1F1F"/>
        </w:rPr>
      </w:pPr>
      <w:r w:rsidRPr="00A74983">
        <w:rPr>
          <w:rFonts w:ascii="Arial" w:hAnsi="Arial" w:cs="Arial"/>
          <w:color w:val="1F1F1F"/>
        </w:rPr>
        <w:br/>
        <w:t>“</w:t>
      </w:r>
      <w:r w:rsidR="008970F2" w:rsidRPr="00A74983">
        <w:rPr>
          <w:rFonts w:ascii="Arial" w:hAnsi="Arial" w:cs="Arial"/>
          <w:color w:val="1F1F1F"/>
        </w:rPr>
        <w:t>In England and Wales, an estimated 51.4 million usual residents aged 5 years and over did not provide unpaid care.</w:t>
      </w:r>
    </w:p>
    <w:p w14:paraId="14989E23" w14:textId="30CB33F7" w:rsidR="002A5344" w:rsidRPr="00A74983" w:rsidRDefault="002A5344" w:rsidP="002A5344">
      <w:pPr>
        <w:rPr>
          <w:rFonts w:ascii="Arial" w:hAnsi="Arial" w:cs="Arial"/>
          <w:color w:val="1F1F1F"/>
        </w:rPr>
      </w:pPr>
      <w:r w:rsidRPr="00A74983">
        <w:rPr>
          <w:rFonts w:ascii="Arial" w:hAnsi="Arial" w:cs="Arial"/>
          <w:color w:val="1F1F1F"/>
        </w:rPr>
        <w:t>The estimated 5.0 million people who answered "Yes" selected the category which best corresponded to the number of hours of unpaid care they provided in a typical week. Of all usual residents in England and Wales aged 5 years and over, there were an estimated:</w:t>
      </w:r>
    </w:p>
    <w:p w14:paraId="591E1202" w14:textId="61236123" w:rsidR="002A5344" w:rsidRPr="00A74983" w:rsidRDefault="002A5344" w:rsidP="002A5344">
      <w:pPr>
        <w:pStyle w:val="ListParagraph"/>
        <w:numPr>
          <w:ilvl w:val="0"/>
          <w:numId w:val="36"/>
        </w:numPr>
        <w:rPr>
          <w:rFonts w:ascii="Arial" w:hAnsi="Arial" w:cs="Arial"/>
          <w:color w:val="1F1F1F"/>
        </w:rPr>
      </w:pPr>
      <w:r w:rsidRPr="00A74983">
        <w:rPr>
          <w:rFonts w:ascii="Arial" w:hAnsi="Arial" w:cs="Arial"/>
          <w:color w:val="1F1F1F"/>
        </w:rPr>
        <w:t>1.8 million people who provided 9 hours or less of unpaid care a week</w:t>
      </w:r>
      <w:r w:rsidRPr="00A74983">
        <w:rPr>
          <w:rFonts w:ascii="Arial" w:hAnsi="Arial" w:cs="Arial"/>
          <w:color w:val="1F1F1F"/>
        </w:rPr>
        <w:br/>
      </w:r>
    </w:p>
    <w:p w14:paraId="7FB236F8" w14:textId="6287A9F5" w:rsidR="002A5344" w:rsidRPr="00A74983" w:rsidRDefault="002A5344" w:rsidP="002A5344">
      <w:pPr>
        <w:pStyle w:val="ListParagraph"/>
        <w:numPr>
          <w:ilvl w:val="0"/>
          <w:numId w:val="36"/>
        </w:numPr>
        <w:rPr>
          <w:rFonts w:ascii="Arial" w:hAnsi="Arial" w:cs="Arial"/>
          <w:color w:val="1F1F1F"/>
        </w:rPr>
      </w:pPr>
      <w:r w:rsidRPr="00A74983">
        <w:rPr>
          <w:rFonts w:ascii="Arial" w:hAnsi="Arial" w:cs="Arial"/>
          <w:color w:val="1F1F1F"/>
        </w:rPr>
        <w:t>678,000 people who provided 10 to 19 hours of unpaid care a week</w:t>
      </w:r>
      <w:r w:rsidRPr="00A74983">
        <w:rPr>
          <w:rFonts w:ascii="Arial" w:hAnsi="Arial" w:cs="Arial"/>
          <w:color w:val="1F1F1F"/>
        </w:rPr>
        <w:br/>
      </w:r>
    </w:p>
    <w:p w14:paraId="0D0760FB" w14:textId="2E1DE612" w:rsidR="002A5344" w:rsidRPr="00A74983" w:rsidRDefault="002A5344" w:rsidP="002A5344">
      <w:pPr>
        <w:pStyle w:val="ListParagraph"/>
        <w:numPr>
          <w:ilvl w:val="0"/>
          <w:numId w:val="36"/>
        </w:numPr>
        <w:rPr>
          <w:rFonts w:ascii="Arial" w:hAnsi="Arial" w:cs="Arial"/>
          <w:color w:val="1F1F1F"/>
        </w:rPr>
      </w:pPr>
      <w:r w:rsidRPr="00A74983">
        <w:rPr>
          <w:rFonts w:ascii="Arial" w:hAnsi="Arial" w:cs="Arial"/>
          <w:color w:val="1F1F1F"/>
        </w:rPr>
        <w:t>483,000 people who provided 20 to 34 hours of unpaid care a week</w:t>
      </w:r>
      <w:r w:rsidRPr="00A74983">
        <w:rPr>
          <w:rFonts w:ascii="Arial" w:hAnsi="Arial" w:cs="Arial"/>
          <w:color w:val="1F1F1F"/>
        </w:rPr>
        <w:br/>
      </w:r>
    </w:p>
    <w:p w14:paraId="6F20378D" w14:textId="77777777" w:rsidR="002A5344" w:rsidRPr="00A74983" w:rsidRDefault="002A5344" w:rsidP="002A5344">
      <w:pPr>
        <w:pStyle w:val="ListParagraph"/>
        <w:numPr>
          <w:ilvl w:val="0"/>
          <w:numId w:val="36"/>
        </w:numPr>
        <w:rPr>
          <w:rFonts w:ascii="Arial" w:hAnsi="Arial" w:cs="Arial"/>
          <w:color w:val="1F1F1F"/>
        </w:rPr>
      </w:pPr>
      <w:r w:rsidRPr="00A74983">
        <w:rPr>
          <w:rFonts w:ascii="Arial" w:hAnsi="Arial" w:cs="Arial"/>
          <w:color w:val="1F1F1F"/>
        </w:rPr>
        <w:t xml:space="preserve">552,000 people who provided 35 to 49 hours of unpaid care a </w:t>
      </w:r>
      <w:proofErr w:type="gramStart"/>
      <w:r w:rsidRPr="00A74983">
        <w:rPr>
          <w:rFonts w:ascii="Arial" w:hAnsi="Arial" w:cs="Arial"/>
          <w:color w:val="1F1F1F"/>
        </w:rPr>
        <w:t>week</w:t>
      </w:r>
      <w:proofErr w:type="gramEnd"/>
    </w:p>
    <w:p w14:paraId="4200092B" w14:textId="77777777" w:rsidR="002A5344" w:rsidRPr="00A74983" w:rsidRDefault="002A5344" w:rsidP="002A5344">
      <w:pPr>
        <w:rPr>
          <w:rFonts w:ascii="Arial" w:hAnsi="Arial" w:cs="Arial"/>
          <w:color w:val="1F1F1F"/>
        </w:rPr>
      </w:pPr>
    </w:p>
    <w:p w14:paraId="34F9780C" w14:textId="7013EF8A" w:rsidR="009065B6" w:rsidRPr="00A74983" w:rsidRDefault="009065B6" w:rsidP="009065B6">
      <w:pPr>
        <w:rPr>
          <w:rFonts w:ascii="Arial" w:hAnsi="Arial" w:cs="Arial"/>
          <w:color w:val="1F1F1F"/>
        </w:rPr>
      </w:pPr>
      <w:r w:rsidRPr="00A74983">
        <w:rPr>
          <w:rFonts w:ascii="Arial" w:hAnsi="Arial" w:cs="Arial"/>
          <w:color w:val="1F1F1F"/>
        </w:rPr>
        <w:t xml:space="preserve">In both England and in Wales, unpaid carers </w:t>
      </w:r>
      <w:proofErr w:type="gramStart"/>
      <w:r w:rsidRPr="00A74983">
        <w:rPr>
          <w:rFonts w:ascii="Arial" w:hAnsi="Arial" w:cs="Arial"/>
          <w:color w:val="1F1F1F"/>
        </w:rPr>
        <w:t>most commonly provided</w:t>
      </w:r>
      <w:proofErr w:type="gramEnd"/>
      <w:r w:rsidRPr="00A74983">
        <w:rPr>
          <w:rFonts w:ascii="Arial" w:hAnsi="Arial" w:cs="Arial"/>
          <w:color w:val="1F1F1F"/>
        </w:rPr>
        <w:t xml:space="preserve"> either the lowest (9 hours or less) or the highest (50 or more hours)</w:t>
      </w:r>
      <w:r w:rsidR="00F01362" w:rsidRPr="00A74983">
        <w:rPr>
          <w:rFonts w:ascii="Arial" w:hAnsi="Arial" w:cs="Arial"/>
          <w:color w:val="1F1F1F"/>
        </w:rPr>
        <w:t xml:space="preserve"> amount of unpaid care possible</w:t>
      </w:r>
      <w:r w:rsidRPr="00A74983">
        <w:rPr>
          <w:rFonts w:ascii="Arial" w:hAnsi="Arial" w:cs="Arial"/>
          <w:color w:val="1F1F1F"/>
        </w:rPr>
        <w:t>.</w:t>
      </w:r>
    </w:p>
    <w:p w14:paraId="03232003" w14:textId="30466C78" w:rsidR="007824F4" w:rsidRPr="00A74983" w:rsidRDefault="007824F4" w:rsidP="007824F4">
      <w:pPr>
        <w:rPr>
          <w:rFonts w:ascii="Arial" w:hAnsi="Arial" w:cs="Arial"/>
          <w:color w:val="1F1F1F"/>
        </w:rPr>
      </w:pPr>
      <w:r w:rsidRPr="00A74983">
        <w:rPr>
          <w:rFonts w:ascii="Arial" w:hAnsi="Arial" w:cs="Arial"/>
          <w:color w:val="1F1F1F"/>
        </w:rPr>
        <w:t>A larger proportion of usual residents aged 5 years and over provided any amount of unpaid care in Wales (10.5%) than in England (8.9%) in 2021. The proportions have decreased since 2011 (when they were 13.0% and 11.3% respectively). Comparisons between 2011 and 2021 data for the three categories of unpaid care show:</w:t>
      </w:r>
      <w:r w:rsidR="00F01362" w:rsidRPr="00A74983">
        <w:rPr>
          <w:rFonts w:ascii="Arial" w:hAnsi="Arial" w:cs="Arial"/>
          <w:color w:val="1F1F1F"/>
        </w:rPr>
        <w:br/>
      </w:r>
    </w:p>
    <w:p w14:paraId="28BE6EF9" w14:textId="1BCAF641" w:rsidR="007824F4" w:rsidRPr="00A74983" w:rsidRDefault="007824F4" w:rsidP="007824F4">
      <w:pPr>
        <w:pStyle w:val="ListParagraph"/>
        <w:numPr>
          <w:ilvl w:val="0"/>
          <w:numId w:val="35"/>
        </w:numPr>
        <w:rPr>
          <w:rFonts w:ascii="Arial" w:hAnsi="Arial" w:cs="Arial"/>
          <w:color w:val="1F1F1F"/>
        </w:rPr>
      </w:pPr>
      <w:r w:rsidRPr="00A74983">
        <w:rPr>
          <w:rFonts w:ascii="Arial" w:hAnsi="Arial" w:cs="Arial"/>
          <w:color w:val="1F1F1F"/>
        </w:rPr>
        <w:t>decreases in the proportions who provided 19 hours or less of unpaid care a week in both England (from 7.2% in 2011 to 4.4% in 2021) and in Wales (from 7.4% in 2011 to 4.7% in 2021)</w:t>
      </w:r>
      <w:r w:rsidRPr="00A74983">
        <w:rPr>
          <w:rFonts w:ascii="Arial" w:hAnsi="Arial" w:cs="Arial"/>
          <w:color w:val="1F1F1F"/>
        </w:rPr>
        <w:br/>
      </w:r>
    </w:p>
    <w:p w14:paraId="10514E72" w14:textId="7A223113" w:rsidR="007824F4" w:rsidRPr="00A74983" w:rsidRDefault="007824F4" w:rsidP="007824F4">
      <w:pPr>
        <w:pStyle w:val="ListParagraph"/>
        <w:numPr>
          <w:ilvl w:val="0"/>
          <w:numId w:val="35"/>
        </w:numPr>
        <w:rPr>
          <w:rFonts w:ascii="Arial" w:hAnsi="Arial" w:cs="Arial"/>
          <w:color w:val="1F1F1F"/>
        </w:rPr>
      </w:pPr>
      <w:r w:rsidRPr="00A74983">
        <w:rPr>
          <w:rFonts w:ascii="Arial" w:hAnsi="Arial" w:cs="Arial"/>
          <w:color w:val="1F1F1F"/>
        </w:rPr>
        <w:t>increases in the proportions who provided between 20 and 49 hours of unpaid care a week in England (from 1.5% in 2011 to 1.8% in 2021), and in Wales (from 1.9% in 2011 to 2.2% in 2021)</w:t>
      </w:r>
      <w:r w:rsidRPr="00A74983">
        <w:rPr>
          <w:rFonts w:ascii="Arial" w:hAnsi="Arial" w:cs="Arial"/>
          <w:color w:val="1F1F1F"/>
        </w:rPr>
        <w:br/>
      </w:r>
    </w:p>
    <w:p w14:paraId="21B1298B" w14:textId="1A3B30E0" w:rsidR="007824F4" w:rsidRPr="00A74983" w:rsidRDefault="007824F4" w:rsidP="007824F4">
      <w:pPr>
        <w:pStyle w:val="ListParagraph"/>
        <w:numPr>
          <w:ilvl w:val="0"/>
          <w:numId w:val="35"/>
        </w:numPr>
        <w:rPr>
          <w:rFonts w:ascii="Arial" w:hAnsi="Arial" w:cs="Arial"/>
          <w:color w:val="1F1F1F"/>
        </w:rPr>
      </w:pPr>
      <w:r w:rsidRPr="00A74983">
        <w:rPr>
          <w:rFonts w:ascii="Arial" w:hAnsi="Arial" w:cs="Arial"/>
          <w:color w:val="1F1F1F"/>
        </w:rPr>
        <w:t>the proportions of people who provided 50 or more hours of unpaid care a week remained similar in England (2.7% in 2011, 2.7% in 2021) and in Wales (3.7% in 2011, 3.6% in 2021)</w:t>
      </w:r>
    </w:p>
    <w:p w14:paraId="10902D5E" w14:textId="45CA6D6C" w:rsidR="00DE4520" w:rsidRPr="00A74983" w:rsidRDefault="00AA029B" w:rsidP="00DE4520">
      <w:pPr>
        <w:jc w:val="center"/>
        <w:rPr>
          <w:rFonts w:ascii="Arial" w:hAnsi="Arial" w:cs="Arial"/>
          <w:b/>
          <w:bCs/>
          <w:color w:val="1F1F1F"/>
          <w:sz w:val="28"/>
          <w:szCs w:val="28"/>
          <w:u w:val="single"/>
        </w:rPr>
      </w:pPr>
      <w:r w:rsidRPr="00A74983">
        <w:rPr>
          <w:rFonts w:ascii="Arial" w:hAnsi="Arial" w:cs="Arial"/>
          <w:b/>
          <w:bCs/>
          <w:color w:val="1F1F1F"/>
          <w:sz w:val="28"/>
          <w:szCs w:val="28"/>
          <w:u w:val="single"/>
        </w:rPr>
        <w:lastRenderedPageBreak/>
        <w:t xml:space="preserve">Unpaid </w:t>
      </w:r>
      <w:r w:rsidR="00DE4520" w:rsidRPr="00A74983">
        <w:rPr>
          <w:rFonts w:ascii="Arial" w:hAnsi="Arial" w:cs="Arial"/>
          <w:b/>
          <w:bCs/>
          <w:color w:val="1F1F1F"/>
          <w:sz w:val="28"/>
          <w:szCs w:val="28"/>
          <w:u w:val="single"/>
        </w:rPr>
        <w:t>Care in Leicester</w:t>
      </w:r>
    </w:p>
    <w:p w14:paraId="145A83DC" w14:textId="49753818" w:rsidR="00FD1A6E" w:rsidRPr="00A74983" w:rsidRDefault="009937F0" w:rsidP="00FD1A6E">
      <w:pPr>
        <w:rPr>
          <w:rFonts w:ascii="Arial" w:hAnsi="Arial" w:cs="Arial"/>
          <w:sz w:val="20"/>
          <w:szCs w:val="20"/>
        </w:rPr>
      </w:pPr>
      <w:r w:rsidRPr="00A74983">
        <w:rPr>
          <w:rFonts w:ascii="Arial" w:hAnsi="Arial" w:cs="Arial"/>
          <w:sz w:val="20"/>
          <w:szCs w:val="20"/>
        </w:rPr>
        <w:t xml:space="preserve">Figure </w:t>
      </w:r>
      <w:r w:rsidR="00B0710A" w:rsidRPr="00A74983">
        <w:rPr>
          <w:rFonts w:ascii="Arial" w:hAnsi="Arial" w:cs="Arial"/>
          <w:sz w:val="20"/>
          <w:szCs w:val="20"/>
        </w:rPr>
        <w:t xml:space="preserve">below indicates that there has been </w:t>
      </w:r>
      <w:proofErr w:type="gramStart"/>
      <w:r w:rsidR="00B0710A" w:rsidRPr="00A74983">
        <w:rPr>
          <w:rFonts w:ascii="Arial" w:hAnsi="Arial" w:cs="Arial"/>
          <w:sz w:val="20"/>
          <w:szCs w:val="20"/>
        </w:rPr>
        <w:t>an</w:t>
      </w:r>
      <w:proofErr w:type="gramEnd"/>
      <w:r w:rsidR="00B0710A" w:rsidRPr="00A74983">
        <w:rPr>
          <w:rFonts w:ascii="Arial" w:hAnsi="Arial" w:cs="Arial"/>
          <w:sz w:val="20"/>
          <w:szCs w:val="20"/>
        </w:rPr>
        <w:t xml:space="preserve"> </w:t>
      </w:r>
      <w:r w:rsidR="00CD7620" w:rsidRPr="00A74983">
        <w:rPr>
          <w:rFonts w:ascii="Arial" w:hAnsi="Arial" w:cs="Arial"/>
          <w:sz w:val="20"/>
          <w:szCs w:val="20"/>
        </w:rPr>
        <w:t xml:space="preserve">decline in the number of </w:t>
      </w:r>
      <w:r w:rsidR="008F3708" w:rsidRPr="00A74983">
        <w:rPr>
          <w:rFonts w:ascii="Arial" w:hAnsi="Arial" w:cs="Arial"/>
          <w:sz w:val="20"/>
          <w:szCs w:val="20"/>
        </w:rPr>
        <w:t>respondents receiving</w:t>
      </w:r>
      <w:r w:rsidR="00460000" w:rsidRPr="00A74983">
        <w:rPr>
          <w:rFonts w:ascii="Arial" w:hAnsi="Arial" w:cs="Arial"/>
          <w:sz w:val="20"/>
          <w:szCs w:val="20"/>
        </w:rPr>
        <w:t xml:space="preserve"> weekly</w:t>
      </w:r>
      <w:r w:rsidR="008F3708" w:rsidRPr="00A74983">
        <w:rPr>
          <w:rFonts w:ascii="Arial" w:hAnsi="Arial" w:cs="Arial"/>
          <w:sz w:val="20"/>
          <w:szCs w:val="20"/>
        </w:rPr>
        <w:t xml:space="preserve"> un</w:t>
      </w:r>
      <w:r w:rsidR="00440F95" w:rsidRPr="00A74983">
        <w:rPr>
          <w:rFonts w:ascii="Arial" w:hAnsi="Arial" w:cs="Arial"/>
          <w:sz w:val="20"/>
          <w:szCs w:val="20"/>
        </w:rPr>
        <w:t>paid care</w:t>
      </w:r>
      <w:r w:rsidR="0036139E" w:rsidRPr="00A74983">
        <w:rPr>
          <w:rFonts w:ascii="Arial" w:hAnsi="Arial" w:cs="Arial"/>
          <w:sz w:val="20"/>
          <w:szCs w:val="20"/>
        </w:rPr>
        <w:t xml:space="preserve"> in Leices</w:t>
      </w:r>
      <w:r w:rsidR="00537F6D" w:rsidRPr="00A74983">
        <w:rPr>
          <w:rFonts w:ascii="Arial" w:hAnsi="Arial" w:cs="Arial"/>
          <w:sz w:val="20"/>
          <w:szCs w:val="20"/>
        </w:rPr>
        <w:t>ter between the 2011 and 2021 Census data.</w:t>
      </w:r>
      <w:r w:rsidR="00E31559" w:rsidRPr="00A74983">
        <w:rPr>
          <w:rFonts w:ascii="Arial" w:hAnsi="Arial" w:cs="Arial"/>
          <w:sz w:val="20"/>
          <w:szCs w:val="20"/>
        </w:rPr>
        <w:t xml:space="preserve"> Notably, the percentage of people (aged five years and over) providing up to 19 hours of weekly unpaid care in Leicester decreased by 2.</w:t>
      </w:r>
      <w:r w:rsidR="0095480F" w:rsidRPr="00A74983">
        <w:rPr>
          <w:rFonts w:ascii="Arial" w:hAnsi="Arial" w:cs="Arial"/>
          <w:sz w:val="20"/>
          <w:szCs w:val="20"/>
        </w:rPr>
        <w:t>8%.</w:t>
      </w:r>
      <w:r w:rsidR="00440F95" w:rsidRPr="00A74983">
        <w:rPr>
          <w:rFonts w:ascii="Arial" w:hAnsi="Arial" w:cs="Arial"/>
          <w:sz w:val="20"/>
          <w:szCs w:val="20"/>
        </w:rPr>
        <w:t xml:space="preserve"> </w:t>
      </w:r>
      <w:r w:rsidR="00FD1A6E" w:rsidRPr="00A74983">
        <w:rPr>
          <w:rFonts w:ascii="Arial" w:hAnsi="Arial" w:cs="Arial"/>
          <w:sz w:val="20"/>
          <w:szCs w:val="20"/>
        </w:rPr>
        <w:t>In 2021, 3.4% of Leicester residents (aged five years and over) reported providing up to 19 hours of unpaid care each week. This figure decreased from 6.2% in 2011. These are age-standardised proportions.</w:t>
      </w:r>
    </w:p>
    <w:p w14:paraId="6F814B16" w14:textId="77777777" w:rsidR="00FD1A6E" w:rsidRPr="00A74983" w:rsidRDefault="00FD1A6E" w:rsidP="00FD1A6E">
      <w:pPr>
        <w:rPr>
          <w:rFonts w:ascii="Arial" w:hAnsi="Arial" w:cs="Arial"/>
          <w:sz w:val="20"/>
          <w:szCs w:val="20"/>
        </w:rPr>
      </w:pPr>
    </w:p>
    <w:p w14:paraId="4E2A85B9" w14:textId="1B63BBF3" w:rsidR="00FD1A6E" w:rsidRPr="00A74983" w:rsidRDefault="00FD1A6E" w:rsidP="00FD1A6E">
      <w:pPr>
        <w:rPr>
          <w:rFonts w:ascii="Arial" w:hAnsi="Arial" w:cs="Arial"/>
          <w:sz w:val="20"/>
          <w:szCs w:val="20"/>
        </w:rPr>
      </w:pPr>
      <w:r w:rsidRPr="00A74983">
        <w:rPr>
          <w:rFonts w:ascii="Arial" w:hAnsi="Arial" w:cs="Arial"/>
          <w:sz w:val="20"/>
          <w:szCs w:val="20"/>
        </w:rPr>
        <w:t>In 2021, just over 1 in 50 people (2.2%) reported providing between 20 and 49 hours of unpaid care each week, compared with 2.0% in 2011. The proportion of Leicester residents (aged five years and over) that provided at least 50 hours of weekly unpaid care decreased from 3.2% to 3.0%.</w:t>
      </w:r>
    </w:p>
    <w:p w14:paraId="06291B23" w14:textId="70D0F592" w:rsidR="00DE4520" w:rsidRPr="00A74983" w:rsidRDefault="00FD1A6E" w:rsidP="00FD1A6E">
      <w:pPr>
        <w:rPr>
          <w:rFonts w:ascii="Arial" w:hAnsi="Arial" w:cs="Arial"/>
          <w:sz w:val="20"/>
          <w:szCs w:val="20"/>
        </w:rPr>
      </w:pPr>
      <w:r w:rsidRPr="00A74983">
        <w:rPr>
          <w:rFonts w:ascii="Arial" w:hAnsi="Arial" w:cs="Arial"/>
          <w:sz w:val="20"/>
          <w:szCs w:val="20"/>
        </w:rPr>
        <w:t>This area had the region’s lowest proportion of people (aged five years and over) providing up to 19 hours of weekly unpaid care. Boston had the East Midlands' next lowest proportion of people (aged five years and over) providing up to 19 hours of weekly unpaid care (3.8%), while Gedling had the region's highest proportion (5.6%).</w:t>
      </w:r>
      <w:r w:rsidR="00B0710A" w:rsidRPr="00A74983">
        <w:rPr>
          <w:rFonts w:ascii="Arial" w:hAnsi="Arial" w:cs="Arial"/>
          <w:sz w:val="20"/>
          <w:szCs w:val="20"/>
        </w:rPr>
        <w:t xml:space="preserve"> </w:t>
      </w:r>
    </w:p>
    <w:p w14:paraId="4FA91760" w14:textId="77777777" w:rsidR="00FD1A6E" w:rsidRPr="00A74983" w:rsidRDefault="00FD1A6E" w:rsidP="00FD1A6E">
      <w:pPr>
        <w:rPr>
          <w:rFonts w:ascii="Arial" w:hAnsi="Arial" w:cs="Arial"/>
          <w:sz w:val="20"/>
          <w:szCs w:val="20"/>
        </w:rPr>
      </w:pPr>
    </w:p>
    <w:p w14:paraId="06532CB1" w14:textId="54922C02" w:rsidR="008A747A" w:rsidRPr="00A74983" w:rsidRDefault="008A747A" w:rsidP="00DE4520">
      <w:pPr>
        <w:rPr>
          <w:rFonts w:ascii="Arial" w:hAnsi="Arial" w:cs="Arial"/>
          <w:sz w:val="24"/>
          <w:szCs w:val="24"/>
        </w:rPr>
      </w:pPr>
      <w:r w:rsidRPr="00A74983">
        <w:rPr>
          <w:rFonts w:ascii="Arial" w:hAnsi="Arial" w:cs="Arial"/>
          <w:noProof/>
        </w:rPr>
        <w:drawing>
          <wp:inline distT="0" distB="0" distL="0" distR="0" wp14:anchorId="06AF2903" wp14:editId="324453E4">
            <wp:extent cx="5731510" cy="3968750"/>
            <wp:effectExtent l="0" t="0" r="2540" b="0"/>
            <wp:docPr id="10" name="Picture 1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A picture containing graphical user interfac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31510" cy="3968750"/>
                    </a:xfrm>
                    <a:prstGeom prst="rect">
                      <a:avLst/>
                    </a:prstGeom>
                    <a:noFill/>
                    <a:ln>
                      <a:noFill/>
                    </a:ln>
                  </pic:spPr>
                </pic:pic>
              </a:graphicData>
            </a:graphic>
          </wp:inline>
        </w:drawing>
      </w:r>
    </w:p>
    <w:p w14:paraId="7B0DEBFE" w14:textId="20510E01" w:rsidR="001B49AF" w:rsidRPr="00A74983" w:rsidRDefault="008A747A" w:rsidP="00DE4520">
      <w:pPr>
        <w:rPr>
          <w:rFonts w:ascii="Arial" w:hAnsi="Arial" w:cs="Arial"/>
          <w:i/>
          <w:iCs/>
          <w:sz w:val="20"/>
          <w:szCs w:val="20"/>
        </w:rPr>
      </w:pPr>
      <w:r w:rsidRPr="006D6B15">
        <w:rPr>
          <w:rFonts w:ascii="Arial" w:hAnsi="Arial" w:cs="Arial"/>
          <w:i/>
          <w:iCs/>
          <w:sz w:val="20"/>
          <w:szCs w:val="20"/>
        </w:rPr>
        <w:t>Figure</w:t>
      </w:r>
      <w:r w:rsidRPr="00A74983">
        <w:rPr>
          <w:rFonts w:ascii="Arial" w:hAnsi="Arial" w:cs="Arial"/>
          <w:i/>
          <w:iCs/>
          <w:sz w:val="20"/>
          <w:szCs w:val="20"/>
        </w:rPr>
        <w:t xml:space="preserve"> </w:t>
      </w:r>
      <w:r w:rsidR="006D6B15">
        <w:rPr>
          <w:rFonts w:ascii="Arial" w:hAnsi="Arial" w:cs="Arial"/>
          <w:i/>
          <w:iCs/>
          <w:sz w:val="20"/>
          <w:szCs w:val="20"/>
        </w:rPr>
        <w:t xml:space="preserve">16: </w:t>
      </w:r>
      <w:r w:rsidR="006D6B15" w:rsidRPr="00A74983">
        <w:rPr>
          <w:rFonts w:ascii="Arial" w:hAnsi="Arial" w:cs="Arial"/>
          <w:i/>
          <w:iCs/>
          <w:sz w:val="20"/>
          <w:szCs w:val="20"/>
        </w:rPr>
        <w:t>Source: ONS.gov</w:t>
      </w:r>
    </w:p>
    <w:p w14:paraId="34CCFFCB" w14:textId="77777777" w:rsidR="00DE4520" w:rsidRPr="00A74983" w:rsidRDefault="00DE4520" w:rsidP="00DE4520">
      <w:pPr>
        <w:spacing w:after="0" w:line="240" w:lineRule="auto"/>
        <w:rPr>
          <w:rFonts w:ascii="Arial" w:hAnsi="Arial" w:cs="Arial"/>
          <w:sz w:val="24"/>
          <w:szCs w:val="24"/>
          <w:highlight w:val="yellow"/>
        </w:rPr>
      </w:pPr>
    </w:p>
    <w:p w14:paraId="377DE18B" w14:textId="77777777" w:rsidR="00DE4520" w:rsidRPr="00A74983" w:rsidRDefault="00DE4520" w:rsidP="00DE4520">
      <w:pPr>
        <w:spacing w:after="0" w:line="240" w:lineRule="auto"/>
        <w:rPr>
          <w:rFonts w:ascii="Arial" w:hAnsi="Arial" w:cs="Arial"/>
          <w:sz w:val="24"/>
          <w:szCs w:val="24"/>
          <w:highlight w:val="yellow"/>
        </w:rPr>
      </w:pPr>
    </w:p>
    <w:p w14:paraId="73426051" w14:textId="44C3DD4D" w:rsidR="00DE4520" w:rsidRPr="00A74983" w:rsidRDefault="00DE4520" w:rsidP="00DE4520">
      <w:pPr>
        <w:pStyle w:val="NormalWeb"/>
        <w:shd w:val="clear" w:color="auto" w:fill="FFFFFF"/>
        <w:spacing w:before="0" w:beforeAutospacing="0" w:after="300" w:afterAutospacing="0"/>
        <w:rPr>
          <w:rStyle w:val="sectioncontent-number"/>
          <w:rFonts w:ascii="Arial" w:hAnsi="Arial" w:cs="Arial"/>
        </w:rPr>
      </w:pPr>
      <w:r w:rsidRPr="004775F7">
        <w:rPr>
          <w:rFonts w:ascii="Arial" w:hAnsi="Arial" w:cs="Arial"/>
          <w:b/>
          <w:bCs/>
          <w:color w:val="1F1F1F"/>
        </w:rPr>
        <w:lastRenderedPageBreak/>
        <w:t>Regional and National Comparison</w:t>
      </w:r>
      <w:r w:rsidRPr="00A74983">
        <w:rPr>
          <w:rFonts w:ascii="Arial" w:hAnsi="Arial" w:cs="Arial"/>
          <w:b/>
          <w:bCs/>
          <w:color w:val="1F1F1F"/>
        </w:rPr>
        <w:br/>
      </w:r>
      <w:r w:rsidR="008A747A" w:rsidRPr="00A74983">
        <w:rPr>
          <w:rFonts w:ascii="Arial" w:hAnsi="Arial" w:cs="Arial"/>
          <w:noProof/>
        </w:rPr>
        <w:drawing>
          <wp:inline distT="0" distB="0" distL="0" distR="0" wp14:anchorId="290DB282" wp14:editId="7E63E0BA">
            <wp:extent cx="5731510" cy="3852545"/>
            <wp:effectExtent l="0" t="0" r="2540" b="14605"/>
            <wp:docPr id="13" name="Chart 13">
              <a:extLst xmlns:a="http://schemas.openxmlformats.org/drawingml/2006/main">
                <a:ext uri="{FF2B5EF4-FFF2-40B4-BE49-F238E27FC236}">
                  <a16:creationId xmlns:a16="http://schemas.microsoft.com/office/drawing/2014/main" id="{C8187ECA-33FE-DAD0-F749-D2C3D0E3D9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3DF403DD" w14:textId="51249202" w:rsidR="00C37CF5" w:rsidRPr="00A74983" w:rsidRDefault="008A747A" w:rsidP="00C37CF5">
      <w:pPr>
        <w:pStyle w:val="NormalWeb"/>
        <w:shd w:val="clear" w:color="auto" w:fill="FFFFFF"/>
        <w:spacing w:before="0" w:beforeAutospacing="0" w:after="300" w:afterAutospacing="0"/>
        <w:rPr>
          <w:rStyle w:val="sectioncontent-number"/>
          <w:rFonts w:ascii="Arial" w:hAnsi="Arial" w:cs="Arial"/>
          <w:i/>
          <w:iCs/>
        </w:rPr>
      </w:pPr>
      <w:r w:rsidRPr="004775F7">
        <w:rPr>
          <w:rStyle w:val="sectioncontent-number"/>
          <w:rFonts w:ascii="Arial" w:hAnsi="Arial" w:cs="Arial"/>
          <w:i/>
          <w:iCs/>
        </w:rPr>
        <w:t>Figure</w:t>
      </w:r>
      <w:r w:rsidRPr="00A74983">
        <w:rPr>
          <w:rStyle w:val="sectioncontent-number"/>
          <w:rFonts w:ascii="Arial" w:hAnsi="Arial" w:cs="Arial"/>
          <w:i/>
          <w:iCs/>
        </w:rPr>
        <w:t xml:space="preserve"> </w:t>
      </w:r>
      <w:r w:rsidR="004775F7">
        <w:rPr>
          <w:rStyle w:val="sectioncontent-number"/>
          <w:rFonts w:ascii="Arial" w:hAnsi="Arial" w:cs="Arial"/>
          <w:i/>
          <w:iCs/>
        </w:rPr>
        <w:t>17:</w:t>
      </w:r>
      <w:r w:rsidR="00007198">
        <w:rPr>
          <w:rStyle w:val="sectioncontent-number"/>
          <w:rFonts w:ascii="Arial" w:hAnsi="Arial" w:cs="Arial"/>
          <w:i/>
          <w:iCs/>
        </w:rPr>
        <w:t xml:space="preserve"> </w:t>
      </w:r>
      <w:r w:rsidR="00574226">
        <w:rPr>
          <w:rStyle w:val="sectioncontent-number"/>
          <w:rFonts w:ascii="Arial" w:hAnsi="Arial" w:cs="Arial"/>
          <w:i/>
          <w:iCs/>
        </w:rPr>
        <w:t>Number of hours of unpaid care provided to 20</w:t>
      </w:r>
      <w:r w:rsidR="00007198">
        <w:rPr>
          <w:rStyle w:val="sectioncontent-number"/>
          <w:rFonts w:ascii="Arial" w:hAnsi="Arial" w:cs="Arial"/>
          <w:i/>
          <w:iCs/>
        </w:rPr>
        <w:t xml:space="preserve">11 Census respondents across five </w:t>
      </w:r>
      <w:proofErr w:type="gramStart"/>
      <w:r w:rsidR="00007198">
        <w:rPr>
          <w:rStyle w:val="sectioncontent-number"/>
          <w:rFonts w:ascii="Arial" w:hAnsi="Arial" w:cs="Arial"/>
          <w:i/>
          <w:iCs/>
        </w:rPr>
        <w:t>areas</w:t>
      </w:r>
      <w:proofErr w:type="gramEnd"/>
    </w:p>
    <w:p w14:paraId="11850CE8" w14:textId="262A8AF1" w:rsidR="006A1CA4" w:rsidRPr="00007198" w:rsidRDefault="009C4E39" w:rsidP="00007198">
      <w:pPr>
        <w:pStyle w:val="NormalWeb"/>
        <w:shd w:val="clear" w:color="auto" w:fill="FFFFFF"/>
        <w:spacing w:before="0" w:beforeAutospacing="0" w:after="300" w:afterAutospacing="0"/>
        <w:rPr>
          <w:rFonts w:ascii="Arial" w:hAnsi="Arial" w:cs="Arial"/>
        </w:rPr>
      </w:pPr>
      <w:r w:rsidRPr="00A74983">
        <w:rPr>
          <w:rStyle w:val="sectioncontent-number"/>
          <w:rFonts w:ascii="Arial" w:hAnsi="Arial" w:cs="Arial"/>
        </w:rPr>
        <w:t xml:space="preserve">We compared the number of hours of </w:t>
      </w:r>
      <w:r w:rsidR="003D7CED" w:rsidRPr="00A74983">
        <w:rPr>
          <w:rStyle w:val="sectioncontent-number"/>
          <w:rFonts w:ascii="Arial" w:hAnsi="Arial" w:cs="Arial"/>
        </w:rPr>
        <w:t xml:space="preserve">weekly </w:t>
      </w:r>
      <w:r w:rsidRPr="00A74983">
        <w:rPr>
          <w:rStyle w:val="sectioncontent-number"/>
          <w:rFonts w:ascii="Arial" w:hAnsi="Arial" w:cs="Arial"/>
        </w:rPr>
        <w:t xml:space="preserve">unpaid care that respondents of the 2011 Census </w:t>
      </w:r>
      <w:r w:rsidR="00DB3F56" w:rsidRPr="00A74983">
        <w:rPr>
          <w:rStyle w:val="sectioncontent-number"/>
          <w:rFonts w:ascii="Arial" w:hAnsi="Arial" w:cs="Arial"/>
        </w:rPr>
        <w:t>between Leicester</w:t>
      </w:r>
      <w:r w:rsidR="00B83CAC" w:rsidRPr="00A74983">
        <w:rPr>
          <w:rStyle w:val="sectioncontent-number"/>
          <w:rFonts w:ascii="Arial" w:hAnsi="Arial" w:cs="Arial"/>
        </w:rPr>
        <w:t xml:space="preserve">, Inner London boroughs and towns and cities that are close to Leicester. </w:t>
      </w:r>
      <w:r w:rsidR="001177C7" w:rsidRPr="00A74983">
        <w:rPr>
          <w:rStyle w:val="sectioncontent-number"/>
          <w:rFonts w:ascii="Arial" w:hAnsi="Arial" w:cs="Arial"/>
        </w:rPr>
        <w:t>Across all five areas</w:t>
      </w:r>
      <w:r w:rsidR="009C2300" w:rsidRPr="00A74983">
        <w:rPr>
          <w:rStyle w:val="sectioncontent-number"/>
          <w:rFonts w:ascii="Arial" w:hAnsi="Arial" w:cs="Arial"/>
        </w:rPr>
        <w:t xml:space="preserve"> most respondents did not receive unpaid care on a weekly basis</w:t>
      </w:r>
      <w:r w:rsidR="00AE15CA" w:rsidRPr="00A74983">
        <w:rPr>
          <w:rStyle w:val="sectioncontent-number"/>
          <w:rFonts w:ascii="Arial" w:hAnsi="Arial" w:cs="Arial"/>
        </w:rPr>
        <w:t xml:space="preserve">, and </w:t>
      </w:r>
      <w:r w:rsidR="001B238F" w:rsidRPr="00A74983">
        <w:rPr>
          <w:rStyle w:val="sectioncontent-number"/>
          <w:rFonts w:ascii="Arial" w:hAnsi="Arial" w:cs="Arial"/>
        </w:rPr>
        <w:t xml:space="preserve">the </w:t>
      </w:r>
      <w:r w:rsidR="00C63D14" w:rsidRPr="00A74983">
        <w:rPr>
          <w:rStyle w:val="sectioncontent-number"/>
          <w:rFonts w:ascii="Arial" w:hAnsi="Arial" w:cs="Arial"/>
        </w:rPr>
        <w:t xml:space="preserve">small </w:t>
      </w:r>
      <w:r w:rsidR="00EE1AC3" w:rsidRPr="00A74983">
        <w:rPr>
          <w:rStyle w:val="sectioncontent-number"/>
          <w:rFonts w:ascii="Arial" w:hAnsi="Arial" w:cs="Arial"/>
        </w:rPr>
        <w:t>number of hours of unpaid care</w:t>
      </w:r>
      <w:r w:rsidR="001B2494" w:rsidRPr="00A74983">
        <w:rPr>
          <w:rStyle w:val="sectioncontent-number"/>
          <w:rFonts w:ascii="Arial" w:hAnsi="Arial" w:cs="Arial"/>
        </w:rPr>
        <w:t xml:space="preserve"> given</w:t>
      </w:r>
      <w:r w:rsidR="00EE1AC3" w:rsidRPr="00A74983">
        <w:rPr>
          <w:rStyle w:val="sectioncontent-number"/>
          <w:rFonts w:ascii="Arial" w:hAnsi="Arial" w:cs="Arial"/>
        </w:rPr>
        <w:t xml:space="preserve"> </w:t>
      </w:r>
      <w:r w:rsidR="00D21D25" w:rsidRPr="00A74983">
        <w:rPr>
          <w:rStyle w:val="sectioncontent-number"/>
          <w:rFonts w:ascii="Arial" w:hAnsi="Arial" w:cs="Arial"/>
        </w:rPr>
        <w:t>in</w:t>
      </w:r>
      <w:r w:rsidR="00EE1AC3" w:rsidRPr="00A74983">
        <w:rPr>
          <w:rStyle w:val="sectioncontent-number"/>
          <w:rFonts w:ascii="Arial" w:hAnsi="Arial" w:cs="Arial"/>
        </w:rPr>
        <w:t xml:space="preserve"> all five areas were similar for each </w:t>
      </w:r>
      <w:r w:rsidR="00D21D25" w:rsidRPr="00A74983">
        <w:rPr>
          <w:rStyle w:val="sectioncontent-number"/>
          <w:rFonts w:ascii="Arial" w:hAnsi="Arial" w:cs="Arial"/>
        </w:rPr>
        <w:t>of the five areas</w:t>
      </w:r>
      <w:r w:rsidR="000E10E9" w:rsidRPr="00A74983">
        <w:rPr>
          <w:rStyle w:val="sectioncontent-number"/>
          <w:rFonts w:ascii="Arial" w:hAnsi="Arial" w:cs="Arial"/>
        </w:rPr>
        <w:t xml:space="preserve">. </w:t>
      </w:r>
      <w:r w:rsidR="00D3361F" w:rsidRPr="00A74983">
        <w:rPr>
          <w:rStyle w:val="sectioncontent-number"/>
          <w:rFonts w:ascii="Arial" w:hAnsi="Arial" w:cs="Arial"/>
        </w:rPr>
        <w:t xml:space="preserve">In all five areas, less than 5% of respondents received more than </w:t>
      </w:r>
      <w:r w:rsidR="00CE7DFA" w:rsidRPr="00A74983">
        <w:rPr>
          <w:rStyle w:val="sectioncontent-number"/>
          <w:rFonts w:ascii="Arial" w:hAnsi="Arial" w:cs="Arial"/>
        </w:rPr>
        <w:t>20</w:t>
      </w:r>
      <w:r w:rsidR="00E12E47" w:rsidRPr="00A74983">
        <w:rPr>
          <w:rStyle w:val="sectioncontent-number"/>
          <w:rFonts w:ascii="Arial" w:hAnsi="Arial" w:cs="Arial"/>
        </w:rPr>
        <w:t xml:space="preserve"> hours of </w:t>
      </w:r>
      <w:r w:rsidR="00142108" w:rsidRPr="00A74983">
        <w:rPr>
          <w:rStyle w:val="sectioncontent-number"/>
          <w:rFonts w:ascii="Arial" w:hAnsi="Arial" w:cs="Arial"/>
        </w:rPr>
        <w:t>unpaid care a week.</w:t>
      </w:r>
    </w:p>
    <w:p w14:paraId="71C01C7A" w14:textId="77777777" w:rsidR="009B5FDB" w:rsidRDefault="009B5FDB" w:rsidP="007A5C1C">
      <w:pPr>
        <w:rPr>
          <w:rFonts w:ascii="Arial" w:hAnsi="Arial" w:cs="Arial"/>
          <w:b/>
          <w:bCs/>
          <w:sz w:val="24"/>
          <w:szCs w:val="24"/>
        </w:rPr>
      </w:pPr>
    </w:p>
    <w:p w14:paraId="490F4758" w14:textId="405E03AF" w:rsidR="007A5C1C" w:rsidRPr="009B5FDB" w:rsidRDefault="007A5C1C" w:rsidP="007A5C1C">
      <w:pPr>
        <w:rPr>
          <w:rFonts w:ascii="Arial" w:hAnsi="Arial" w:cs="Arial"/>
          <w:b/>
          <w:bCs/>
          <w:sz w:val="28"/>
          <w:szCs w:val="28"/>
        </w:rPr>
      </w:pPr>
      <w:r w:rsidRPr="009B5FDB">
        <w:rPr>
          <w:rFonts w:ascii="Arial" w:hAnsi="Arial" w:cs="Arial"/>
          <w:b/>
          <w:bCs/>
          <w:sz w:val="28"/>
          <w:szCs w:val="28"/>
        </w:rPr>
        <w:t>Limitations &amp; Further information</w:t>
      </w:r>
    </w:p>
    <w:p w14:paraId="778BF5C8" w14:textId="0E81F3BD" w:rsidR="003B564E" w:rsidRPr="003B564E" w:rsidRDefault="00227D5A" w:rsidP="003B564E">
      <w:pPr>
        <w:rPr>
          <w:rFonts w:ascii="Arial" w:hAnsi="Arial" w:cs="Arial"/>
          <w:sz w:val="24"/>
          <w:szCs w:val="24"/>
        </w:rPr>
      </w:pPr>
      <w:r w:rsidRPr="003B564E">
        <w:rPr>
          <w:rFonts w:ascii="Arial" w:hAnsi="Arial" w:cs="Arial"/>
          <w:sz w:val="24"/>
          <w:szCs w:val="24"/>
        </w:rPr>
        <w:t xml:space="preserve">One of the major limitations of the UK Health Census data is that the categories </w:t>
      </w:r>
      <w:r w:rsidR="00CD44FD" w:rsidRPr="003B564E">
        <w:rPr>
          <w:rFonts w:ascii="Arial" w:hAnsi="Arial" w:cs="Arial"/>
          <w:sz w:val="24"/>
          <w:szCs w:val="24"/>
        </w:rPr>
        <w:t xml:space="preserve">used in the Census have changed between all three </w:t>
      </w:r>
      <w:r w:rsidR="003B564E" w:rsidRPr="003B564E">
        <w:rPr>
          <w:rFonts w:ascii="Arial" w:hAnsi="Arial" w:cs="Arial"/>
          <w:sz w:val="24"/>
          <w:szCs w:val="24"/>
        </w:rPr>
        <w:t>c</w:t>
      </w:r>
      <w:r w:rsidR="00CD44FD" w:rsidRPr="003B564E">
        <w:rPr>
          <w:rFonts w:ascii="Arial" w:hAnsi="Arial" w:cs="Arial"/>
          <w:sz w:val="24"/>
          <w:szCs w:val="24"/>
        </w:rPr>
        <w:t xml:space="preserve">ensuses, which makes very difficult to </w:t>
      </w:r>
      <w:r w:rsidR="007569B3" w:rsidRPr="003B564E">
        <w:rPr>
          <w:rFonts w:ascii="Arial" w:hAnsi="Arial" w:cs="Arial"/>
          <w:sz w:val="24"/>
          <w:szCs w:val="24"/>
        </w:rPr>
        <w:t>compare health data trends using the same categories.</w:t>
      </w:r>
      <w:r w:rsidR="003B564E" w:rsidRPr="003B564E">
        <w:rPr>
          <w:rFonts w:ascii="Arial" w:hAnsi="Arial" w:cs="Arial"/>
          <w:sz w:val="24"/>
          <w:szCs w:val="24"/>
        </w:rPr>
        <w:t xml:space="preserve"> For example, the classification of illness has changed over the past 30 years from </w:t>
      </w:r>
      <w:r w:rsidR="00511209">
        <w:rPr>
          <w:rFonts w:ascii="Arial" w:hAnsi="Arial" w:cs="Arial"/>
          <w:sz w:val="24"/>
          <w:szCs w:val="24"/>
        </w:rPr>
        <w:t>‘g</w:t>
      </w:r>
      <w:r w:rsidR="00511209" w:rsidRPr="00A74983">
        <w:rPr>
          <w:rFonts w:ascii="Arial" w:hAnsi="Arial" w:cs="Arial"/>
          <w:sz w:val="24"/>
          <w:szCs w:val="24"/>
        </w:rPr>
        <w:t>ood health</w:t>
      </w:r>
      <w:r w:rsidR="00511209">
        <w:rPr>
          <w:rFonts w:ascii="Arial" w:hAnsi="Arial" w:cs="Arial"/>
          <w:sz w:val="24"/>
          <w:szCs w:val="24"/>
        </w:rPr>
        <w:t>’</w:t>
      </w:r>
      <w:r w:rsidR="00511209" w:rsidRPr="00A74983">
        <w:rPr>
          <w:rFonts w:ascii="Arial" w:hAnsi="Arial" w:cs="Arial"/>
          <w:sz w:val="24"/>
          <w:szCs w:val="24"/>
        </w:rPr>
        <w:t xml:space="preserve">, </w:t>
      </w:r>
      <w:r w:rsidR="00511209">
        <w:rPr>
          <w:rFonts w:ascii="Arial" w:hAnsi="Arial" w:cs="Arial"/>
          <w:sz w:val="24"/>
          <w:szCs w:val="24"/>
        </w:rPr>
        <w:t>‘f</w:t>
      </w:r>
      <w:r w:rsidR="00511209" w:rsidRPr="00A74983">
        <w:rPr>
          <w:rFonts w:ascii="Arial" w:hAnsi="Arial" w:cs="Arial"/>
          <w:sz w:val="24"/>
          <w:szCs w:val="24"/>
        </w:rPr>
        <w:t>airly good health</w:t>
      </w:r>
      <w:r w:rsidR="00511209">
        <w:rPr>
          <w:rFonts w:ascii="Arial" w:hAnsi="Arial" w:cs="Arial"/>
          <w:sz w:val="24"/>
          <w:szCs w:val="24"/>
        </w:rPr>
        <w:t>’</w:t>
      </w:r>
      <w:r w:rsidR="00511209" w:rsidRPr="00A74983">
        <w:rPr>
          <w:rFonts w:ascii="Arial" w:hAnsi="Arial" w:cs="Arial"/>
          <w:sz w:val="24"/>
          <w:szCs w:val="24"/>
        </w:rPr>
        <w:t xml:space="preserve">, </w:t>
      </w:r>
      <w:r w:rsidR="00511209">
        <w:rPr>
          <w:rFonts w:ascii="Arial" w:hAnsi="Arial" w:cs="Arial"/>
          <w:sz w:val="24"/>
          <w:szCs w:val="24"/>
        </w:rPr>
        <w:t>and ‘n</w:t>
      </w:r>
      <w:r w:rsidR="00511209" w:rsidRPr="00A74983">
        <w:rPr>
          <w:rFonts w:ascii="Arial" w:hAnsi="Arial" w:cs="Arial"/>
          <w:sz w:val="24"/>
          <w:szCs w:val="24"/>
        </w:rPr>
        <w:t>ot good health</w:t>
      </w:r>
      <w:r w:rsidR="00511209">
        <w:rPr>
          <w:rFonts w:ascii="Arial" w:hAnsi="Arial" w:cs="Arial"/>
          <w:sz w:val="24"/>
          <w:szCs w:val="24"/>
        </w:rPr>
        <w:t>’ which was originally used in the 2001 Census</w:t>
      </w:r>
      <w:r w:rsidR="003B564E" w:rsidRPr="003B564E">
        <w:rPr>
          <w:rFonts w:ascii="Arial" w:hAnsi="Arial" w:cs="Arial"/>
          <w:sz w:val="24"/>
          <w:szCs w:val="24"/>
        </w:rPr>
        <w:t>, to ‘very bad, bad, fair, good and very good health’.</w:t>
      </w:r>
      <w:r w:rsidR="00511209">
        <w:rPr>
          <w:rFonts w:ascii="Arial" w:hAnsi="Arial" w:cs="Arial"/>
          <w:sz w:val="24"/>
          <w:szCs w:val="24"/>
        </w:rPr>
        <w:t xml:space="preserve"> </w:t>
      </w:r>
      <w:proofErr w:type="gramStart"/>
      <w:r w:rsidR="00232BB9">
        <w:rPr>
          <w:rFonts w:ascii="Arial" w:hAnsi="Arial" w:cs="Arial"/>
          <w:sz w:val="24"/>
          <w:szCs w:val="24"/>
        </w:rPr>
        <w:t>Moreover</w:t>
      </w:r>
      <w:proofErr w:type="gramEnd"/>
      <w:r w:rsidR="00232BB9">
        <w:rPr>
          <w:rFonts w:ascii="Arial" w:hAnsi="Arial" w:cs="Arial"/>
          <w:sz w:val="24"/>
          <w:szCs w:val="24"/>
        </w:rPr>
        <w:t xml:space="preserve"> </w:t>
      </w:r>
      <w:r w:rsidR="00214357">
        <w:rPr>
          <w:rFonts w:ascii="Arial" w:hAnsi="Arial" w:cs="Arial"/>
          <w:sz w:val="24"/>
          <w:szCs w:val="24"/>
        </w:rPr>
        <w:t>we are confident that some of the rise in respondents reporting less than ‘very good health’ between 2011 and 2021 is due to an aging population, in addition to a rise in the UK general population between the 2011 and 2021 Census.</w:t>
      </w:r>
    </w:p>
    <w:p w14:paraId="476B4C68" w14:textId="45BDFF6B" w:rsidR="007569B3" w:rsidRPr="00A74983" w:rsidRDefault="00511209" w:rsidP="00227D5A">
      <w:pPr>
        <w:rPr>
          <w:rFonts w:ascii="Arial" w:hAnsi="Arial" w:cs="Arial"/>
          <w:sz w:val="24"/>
          <w:szCs w:val="24"/>
        </w:rPr>
      </w:pPr>
      <w:r w:rsidRPr="00A74983">
        <w:rPr>
          <w:rFonts w:ascii="Arial" w:hAnsi="Arial" w:cs="Arial"/>
          <w:sz w:val="24"/>
          <w:szCs w:val="24"/>
        </w:rPr>
        <w:lastRenderedPageBreak/>
        <w:t>Therefore,</w:t>
      </w:r>
      <w:r w:rsidR="007569B3" w:rsidRPr="00A74983">
        <w:rPr>
          <w:rFonts w:ascii="Arial" w:hAnsi="Arial" w:cs="Arial"/>
          <w:sz w:val="24"/>
          <w:szCs w:val="24"/>
        </w:rPr>
        <w:t xml:space="preserve"> this negatively affects the </w:t>
      </w:r>
      <w:r w:rsidR="00007198" w:rsidRPr="00A74983">
        <w:rPr>
          <w:rFonts w:ascii="Arial" w:hAnsi="Arial" w:cs="Arial"/>
          <w:sz w:val="24"/>
          <w:szCs w:val="24"/>
        </w:rPr>
        <w:t>comparability</w:t>
      </w:r>
      <w:r w:rsidR="007569B3" w:rsidRPr="00A74983">
        <w:rPr>
          <w:rFonts w:ascii="Arial" w:hAnsi="Arial" w:cs="Arial"/>
          <w:sz w:val="24"/>
          <w:szCs w:val="24"/>
        </w:rPr>
        <w:t xml:space="preserve"> of the health data and leads to us manipulating health data categories so that we can create comparable health Census data categories across all three decades from 2001-2021. This may be driven by changes in </w:t>
      </w:r>
      <w:r w:rsidR="00902C99" w:rsidRPr="00A74983">
        <w:rPr>
          <w:rFonts w:ascii="Arial" w:hAnsi="Arial" w:cs="Arial"/>
          <w:sz w:val="24"/>
          <w:szCs w:val="24"/>
        </w:rPr>
        <w:t xml:space="preserve">legislation such as the Equality Act 2010 which has changed the way we classify disability </w:t>
      </w:r>
      <w:proofErr w:type="gramStart"/>
      <w:r w:rsidR="00902C99" w:rsidRPr="00A74983">
        <w:rPr>
          <w:rFonts w:ascii="Arial" w:hAnsi="Arial" w:cs="Arial"/>
          <w:sz w:val="24"/>
          <w:szCs w:val="24"/>
        </w:rPr>
        <w:t>and also</w:t>
      </w:r>
      <w:proofErr w:type="gramEnd"/>
      <w:r w:rsidR="00902C99" w:rsidRPr="00A74983">
        <w:rPr>
          <w:rFonts w:ascii="Arial" w:hAnsi="Arial" w:cs="Arial"/>
          <w:sz w:val="24"/>
          <w:szCs w:val="24"/>
        </w:rPr>
        <w:t xml:space="preserve"> possibly made respondents more willing to disclose a disability which may affect an individual's daily living due to greater confidence that the Equality Act protects individuals from discrimination based on </w:t>
      </w:r>
      <w:r w:rsidR="00E17529" w:rsidRPr="00A74983">
        <w:rPr>
          <w:rFonts w:ascii="Arial" w:hAnsi="Arial" w:cs="Arial"/>
          <w:sz w:val="24"/>
          <w:szCs w:val="24"/>
        </w:rPr>
        <w:t>protected characteristics such as and including disability.</w:t>
      </w:r>
    </w:p>
    <w:p w14:paraId="6D2A68D6" w14:textId="77777777" w:rsidR="007A5C1C" w:rsidRPr="00A74983" w:rsidRDefault="007A5C1C" w:rsidP="007A5C1C">
      <w:pPr>
        <w:rPr>
          <w:rFonts w:ascii="Arial" w:hAnsi="Arial" w:cs="Arial"/>
          <w:sz w:val="24"/>
          <w:szCs w:val="24"/>
        </w:rPr>
      </w:pPr>
      <w:r w:rsidRPr="00A74983">
        <w:rPr>
          <w:rFonts w:ascii="Arial" w:hAnsi="Arial" w:cs="Arial"/>
          <w:sz w:val="24"/>
          <w:szCs w:val="24"/>
        </w:rPr>
        <w:t>Useful links:</w:t>
      </w:r>
    </w:p>
    <w:p w14:paraId="0F04CA36" w14:textId="77777777" w:rsidR="007A5C1C" w:rsidRPr="00A74983" w:rsidRDefault="007A5C1C" w:rsidP="007A5C1C">
      <w:pPr>
        <w:pStyle w:val="ListParagraph"/>
        <w:numPr>
          <w:ilvl w:val="0"/>
          <w:numId w:val="11"/>
        </w:numPr>
        <w:rPr>
          <w:rFonts w:ascii="Arial" w:hAnsi="Arial" w:cs="Arial"/>
          <w:sz w:val="24"/>
          <w:szCs w:val="24"/>
        </w:rPr>
      </w:pPr>
      <w:r w:rsidRPr="00A74983">
        <w:rPr>
          <w:rFonts w:ascii="Arial" w:hAnsi="Arial" w:cs="Arial"/>
          <w:sz w:val="24"/>
          <w:szCs w:val="24"/>
        </w:rPr>
        <w:t>The ONS website contains information regarding the census, including:</w:t>
      </w:r>
    </w:p>
    <w:p w14:paraId="42057804" w14:textId="3F0A688F" w:rsidR="00AA2B2B" w:rsidRPr="00A74983" w:rsidRDefault="000D17F4" w:rsidP="00AA2B2B">
      <w:pPr>
        <w:pStyle w:val="ListParagraph"/>
        <w:numPr>
          <w:ilvl w:val="1"/>
          <w:numId w:val="11"/>
        </w:numPr>
        <w:rPr>
          <w:rFonts w:ascii="Arial" w:hAnsi="Arial" w:cs="Arial"/>
          <w:sz w:val="24"/>
          <w:szCs w:val="24"/>
        </w:rPr>
      </w:pPr>
      <w:hyperlink r:id="rId31" w:history="1">
        <w:r w:rsidR="00AA2B2B" w:rsidRPr="00A74983">
          <w:rPr>
            <w:rStyle w:val="Hyperlink"/>
            <w:rFonts w:ascii="Arial" w:hAnsi="Arial" w:cs="Arial"/>
            <w:sz w:val="24"/>
            <w:szCs w:val="24"/>
          </w:rPr>
          <w:t>Visualisation of changes in Leicester - 2021</w:t>
        </w:r>
      </w:hyperlink>
    </w:p>
    <w:p w14:paraId="155958B7" w14:textId="25990B5A" w:rsidR="007A5C1C" w:rsidRPr="00A74983" w:rsidRDefault="000D17F4" w:rsidP="00B516E9">
      <w:pPr>
        <w:pStyle w:val="ListParagraph"/>
        <w:numPr>
          <w:ilvl w:val="1"/>
          <w:numId w:val="11"/>
        </w:numPr>
        <w:rPr>
          <w:rFonts w:ascii="Arial" w:hAnsi="Arial" w:cs="Arial"/>
          <w:sz w:val="24"/>
          <w:szCs w:val="24"/>
        </w:rPr>
      </w:pPr>
      <w:hyperlink r:id="rId32" w:history="1">
        <w:r w:rsidR="007A5C1C" w:rsidRPr="00A74983">
          <w:rPr>
            <w:rStyle w:val="Hyperlink"/>
            <w:rFonts w:ascii="Arial" w:hAnsi="Arial" w:cs="Arial"/>
            <w:sz w:val="24"/>
            <w:szCs w:val="24"/>
          </w:rPr>
          <w:t>Quality and methodology for Census 2021</w:t>
        </w:r>
      </w:hyperlink>
    </w:p>
    <w:p w14:paraId="0C216710" w14:textId="4F622DF3" w:rsidR="007A5C1C" w:rsidRPr="00A74983" w:rsidRDefault="000D17F4" w:rsidP="00B516E9">
      <w:pPr>
        <w:pStyle w:val="ListParagraph"/>
        <w:numPr>
          <w:ilvl w:val="1"/>
          <w:numId w:val="11"/>
        </w:numPr>
        <w:rPr>
          <w:rStyle w:val="Hyperlink"/>
          <w:rFonts w:ascii="Arial" w:hAnsi="Arial" w:cs="Arial"/>
          <w:color w:val="auto"/>
          <w:sz w:val="24"/>
          <w:szCs w:val="24"/>
          <w:u w:val="none"/>
        </w:rPr>
      </w:pPr>
      <w:hyperlink r:id="rId33" w:anchor="migration-terms-and-definitions" w:history="1">
        <w:r w:rsidR="007A5C1C" w:rsidRPr="00A74983">
          <w:rPr>
            <w:rStyle w:val="Hyperlink"/>
            <w:rFonts w:ascii="Arial" w:hAnsi="Arial" w:cs="Arial"/>
            <w:sz w:val="24"/>
            <w:szCs w:val="24"/>
          </w:rPr>
          <w:t>Terms, definitions, and answers to frequently asked questions</w:t>
        </w:r>
      </w:hyperlink>
      <w:r w:rsidR="0015432E" w:rsidRPr="00A74983">
        <w:rPr>
          <w:rFonts w:ascii="Arial" w:hAnsi="Arial" w:cs="Arial"/>
          <w:sz w:val="24"/>
          <w:szCs w:val="24"/>
        </w:rPr>
        <w:fldChar w:fldCharType="begin"/>
      </w:r>
      <w:r w:rsidR="0015432E" w:rsidRPr="00A74983">
        <w:rPr>
          <w:rFonts w:ascii="Arial" w:hAnsi="Arial" w:cs="Arial"/>
          <w:sz w:val="24"/>
          <w:szCs w:val="24"/>
        </w:rPr>
        <w:instrText xml:space="preserve"> HYPERLINK "https://www.ons.gov.uk/census/aboutcensus/censusproducts/analysis/internationalmigrationanalysisplans" </w:instrText>
      </w:r>
      <w:r w:rsidR="0015432E" w:rsidRPr="00A74983">
        <w:rPr>
          <w:rFonts w:ascii="Arial" w:hAnsi="Arial" w:cs="Arial"/>
          <w:sz w:val="24"/>
          <w:szCs w:val="24"/>
        </w:rPr>
      </w:r>
      <w:r w:rsidR="0015432E" w:rsidRPr="00A74983">
        <w:rPr>
          <w:rFonts w:ascii="Arial" w:hAnsi="Arial" w:cs="Arial"/>
          <w:sz w:val="24"/>
          <w:szCs w:val="24"/>
        </w:rPr>
        <w:fldChar w:fldCharType="separate"/>
      </w:r>
    </w:p>
    <w:p w14:paraId="730D3D45" w14:textId="159075D0" w:rsidR="00FA27D3" w:rsidRPr="00A74983" w:rsidRDefault="0015432E" w:rsidP="007A5C1C">
      <w:pPr>
        <w:pStyle w:val="ListParagraph"/>
        <w:numPr>
          <w:ilvl w:val="1"/>
          <w:numId w:val="11"/>
        </w:numPr>
        <w:rPr>
          <w:rFonts w:ascii="Arial" w:hAnsi="Arial" w:cs="Arial"/>
          <w:sz w:val="24"/>
          <w:szCs w:val="24"/>
        </w:rPr>
      </w:pPr>
      <w:r w:rsidRPr="00A74983">
        <w:rPr>
          <w:rStyle w:val="Hyperlink"/>
          <w:rFonts w:ascii="Arial" w:hAnsi="Arial" w:cs="Arial"/>
          <w:sz w:val="24"/>
          <w:szCs w:val="24"/>
        </w:rPr>
        <w:t>Future publication plans for 2023</w:t>
      </w:r>
      <w:r w:rsidRPr="00A74983">
        <w:rPr>
          <w:rFonts w:ascii="Arial" w:hAnsi="Arial" w:cs="Arial"/>
          <w:sz w:val="24"/>
          <w:szCs w:val="24"/>
        </w:rPr>
        <w:fldChar w:fldCharType="end"/>
      </w:r>
    </w:p>
    <w:p w14:paraId="620464D5" w14:textId="1363DB25" w:rsidR="00235FCC" w:rsidRPr="00A74983" w:rsidRDefault="000D17F4" w:rsidP="007A5C1C">
      <w:pPr>
        <w:pStyle w:val="ListParagraph"/>
        <w:numPr>
          <w:ilvl w:val="1"/>
          <w:numId w:val="11"/>
        </w:numPr>
        <w:rPr>
          <w:rFonts w:ascii="Arial" w:hAnsi="Arial" w:cs="Arial"/>
          <w:sz w:val="24"/>
          <w:szCs w:val="24"/>
        </w:rPr>
      </w:pPr>
      <w:hyperlink r:id="rId34" w:history="1">
        <w:r w:rsidR="00235FCC" w:rsidRPr="00A74983">
          <w:rPr>
            <w:rStyle w:val="Hyperlink"/>
            <w:rFonts w:ascii="Arial" w:hAnsi="Arial" w:cs="Arial"/>
            <w:sz w:val="24"/>
            <w:szCs w:val="24"/>
          </w:rPr>
          <w:t>Census Maps</w:t>
        </w:r>
      </w:hyperlink>
    </w:p>
    <w:p w14:paraId="71BF41DF" w14:textId="1DE92DD8" w:rsidR="0015432E" w:rsidRPr="00A74983" w:rsidRDefault="000D17F4" w:rsidP="007A5C1C">
      <w:pPr>
        <w:pStyle w:val="ListParagraph"/>
        <w:numPr>
          <w:ilvl w:val="1"/>
          <w:numId w:val="11"/>
        </w:numPr>
        <w:rPr>
          <w:rFonts w:ascii="Arial" w:hAnsi="Arial" w:cs="Arial"/>
          <w:sz w:val="24"/>
          <w:szCs w:val="24"/>
        </w:rPr>
      </w:pPr>
      <w:hyperlink r:id="rId35" w:history="1">
        <w:r w:rsidR="00235FCC" w:rsidRPr="00A74983">
          <w:rPr>
            <w:rStyle w:val="Hyperlink"/>
            <w:rFonts w:ascii="Arial" w:hAnsi="Arial" w:cs="Arial"/>
            <w:sz w:val="24"/>
            <w:szCs w:val="24"/>
          </w:rPr>
          <w:t xml:space="preserve">Health, </w:t>
        </w:r>
        <w:proofErr w:type="gramStart"/>
        <w:r w:rsidR="00235FCC" w:rsidRPr="00A74983">
          <w:rPr>
            <w:rStyle w:val="Hyperlink"/>
            <w:rFonts w:ascii="Arial" w:hAnsi="Arial" w:cs="Arial"/>
            <w:sz w:val="24"/>
            <w:szCs w:val="24"/>
          </w:rPr>
          <w:t>disability</w:t>
        </w:r>
        <w:proofErr w:type="gramEnd"/>
        <w:r w:rsidR="00235FCC" w:rsidRPr="00A74983">
          <w:rPr>
            <w:rStyle w:val="Hyperlink"/>
            <w:rFonts w:ascii="Arial" w:hAnsi="Arial" w:cs="Arial"/>
            <w:sz w:val="24"/>
            <w:szCs w:val="24"/>
          </w:rPr>
          <w:t xml:space="preserve"> and unpaid care quality information for Census 2021</w:t>
        </w:r>
      </w:hyperlink>
      <w:r w:rsidR="00277B73" w:rsidRPr="00A74983">
        <w:rPr>
          <w:rFonts w:ascii="Arial" w:hAnsi="Arial" w:cs="Arial"/>
          <w:sz w:val="24"/>
          <w:szCs w:val="24"/>
        </w:rPr>
        <w:br/>
      </w:r>
    </w:p>
    <w:p w14:paraId="779E7192" w14:textId="1B3E2265" w:rsidR="0015432E" w:rsidRPr="00A74983" w:rsidRDefault="00536E0A" w:rsidP="0015432E">
      <w:pPr>
        <w:pStyle w:val="ListParagraph"/>
        <w:numPr>
          <w:ilvl w:val="0"/>
          <w:numId w:val="11"/>
        </w:numPr>
        <w:rPr>
          <w:rFonts w:ascii="Arial" w:hAnsi="Arial" w:cs="Arial"/>
          <w:sz w:val="24"/>
          <w:szCs w:val="24"/>
        </w:rPr>
      </w:pPr>
      <w:r w:rsidRPr="00A74983">
        <w:rPr>
          <w:rFonts w:ascii="Arial" w:hAnsi="Arial" w:cs="Arial"/>
          <w:sz w:val="24"/>
          <w:szCs w:val="24"/>
        </w:rPr>
        <w:t>For 2011 census data:</w:t>
      </w:r>
    </w:p>
    <w:p w14:paraId="371E9010" w14:textId="0489AA3C" w:rsidR="00536E0A" w:rsidRPr="00A74983" w:rsidRDefault="00536E0A" w:rsidP="00536E0A">
      <w:pPr>
        <w:pStyle w:val="ListParagraph"/>
        <w:numPr>
          <w:ilvl w:val="1"/>
          <w:numId w:val="11"/>
        </w:numPr>
        <w:rPr>
          <w:rFonts w:ascii="Arial" w:hAnsi="Arial" w:cs="Arial"/>
          <w:sz w:val="24"/>
          <w:szCs w:val="24"/>
        </w:rPr>
      </w:pPr>
      <w:r w:rsidRPr="00A74983">
        <w:rPr>
          <w:rFonts w:ascii="Arial" w:hAnsi="Arial" w:cs="Arial"/>
          <w:sz w:val="24"/>
          <w:szCs w:val="24"/>
        </w:rPr>
        <w:t xml:space="preserve">Leicester government report on </w:t>
      </w:r>
    </w:p>
    <w:p w14:paraId="55661A64" w14:textId="37BF3DD5" w:rsidR="007A5C1C" w:rsidRPr="00A74983" w:rsidRDefault="000D17F4" w:rsidP="0091107D">
      <w:pPr>
        <w:pStyle w:val="ListParagraph"/>
        <w:numPr>
          <w:ilvl w:val="1"/>
          <w:numId w:val="11"/>
        </w:numPr>
        <w:rPr>
          <w:rFonts w:ascii="Arial" w:hAnsi="Arial" w:cs="Arial"/>
          <w:color w:val="1F1F1F"/>
        </w:rPr>
      </w:pPr>
      <w:hyperlink r:id="rId36" w:history="1">
        <w:r w:rsidR="007A036B" w:rsidRPr="00A74983">
          <w:rPr>
            <w:rStyle w:val="Hyperlink"/>
            <w:rFonts w:ascii="Arial" w:hAnsi="Arial" w:cs="Arial"/>
            <w:sz w:val="24"/>
            <w:szCs w:val="24"/>
          </w:rPr>
          <w:t>2011 census data</w:t>
        </w:r>
      </w:hyperlink>
      <w:r w:rsidR="00277B73" w:rsidRPr="00A74983">
        <w:rPr>
          <w:rFonts w:ascii="Arial" w:hAnsi="Arial" w:cs="Arial"/>
          <w:sz w:val="24"/>
          <w:szCs w:val="24"/>
        </w:rPr>
        <w:br/>
      </w:r>
    </w:p>
    <w:sectPr w:rsidR="007A5C1C" w:rsidRPr="00A74983">
      <w:headerReference w:type="default" r:id="rId37"/>
      <w:footerReference w:type="default" r:id="rId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2D0C7" w14:textId="77777777" w:rsidR="00997740" w:rsidRDefault="00997740" w:rsidP="005E35D5">
      <w:pPr>
        <w:spacing w:after="0" w:line="240" w:lineRule="auto"/>
      </w:pPr>
      <w:r>
        <w:separator/>
      </w:r>
    </w:p>
  </w:endnote>
  <w:endnote w:type="continuationSeparator" w:id="0">
    <w:p w14:paraId="2D8DD32A" w14:textId="77777777" w:rsidR="00997740" w:rsidRDefault="00997740" w:rsidP="005E35D5">
      <w:pPr>
        <w:spacing w:after="0" w:line="240" w:lineRule="auto"/>
      </w:pPr>
      <w:r>
        <w:continuationSeparator/>
      </w:r>
    </w:p>
  </w:endnote>
  <w:endnote w:type="continuationNotice" w:id="1">
    <w:p w14:paraId="2B7FD0F7" w14:textId="77777777" w:rsidR="00997740" w:rsidRDefault="0099774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5895565"/>
      <w:docPartObj>
        <w:docPartGallery w:val="Page Numbers (Bottom of Page)"/>
        <w:docPartUnique/>
      </w:docPartObj>
    </w:sdtPr>
    <w:sdtEndPr>
      <w:rPr>
        <w:noProof/>
      </w:rPr>
    </w:sdtEndPr>
    <w:sdtContent>
      <w:p w14:paraId="7508C181" w14:textId="01841D4D" w:rsidR="00B65B94" w:rsidRDefault="00B65B9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1ACE9C6" w14:textId="5FA11EF7" w:rsidR="00B65B94" w:rsidRDefault="00EB712A">
    <w:pPr>
      <w:pStyle w:val="Footer"/>
    </w:pPr>
    <w:r>
      <w:t xml:space="preserve">*Inner London Boroughs included in the regional comparison figures </w:t>
    </w:r>
    <w:r w:rsidR="00055FC5">
      <w:t>include</w:t>
    </w:r>
    <w:r>
      <w:t xml:space="preserve"> Camden, Greenwich, Hackney,</w:t>
    </w:r>
    <w:r w:rsidR="00055FC5">
      <w:t xml:space="preserve"> </w:t>
    </w:r>
    <w:r>
      <w:t xml:space="preserve">Hammersmith and Fulham, Islington, Kensington and </w:t>
    </w:r>
    <w:r w:rsidR="00105EF3">
      <w:t xml:space="preserve">Chelsea, </w:t>
    </w:r>
    <w:r w:rsidR="00055FC5">
      <w:t xml:space="preserve">Lambeth, Lewisham, Southwark, Tower Hamlets, </w:t>
    </w:r>
    <w:proofErr w:type="gramStart"/>
    <w:r w:rsidR="00055FC5">
      <w:t>Wandsworth</w:t>
    </w:r>
    <w:proofErr w:type="gramEnd"/>
    <w:r w:rsidR="00055FC5">
      <w:t xml:space="preserve"> and Westminster.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F13EC8" w14:textId="77777777" w:rsidR="00997740" w:rsidRDefault="00997740" w:rsidP="005E35D5">
      <w:pPr>
        <w:spacing w:after="0" w:line="240" w:lineRule="auto"/>
      </w:pPr>
      <w:r>
        <w:separator/>
      </w:r>
    </w:p>
  </w:footnote>
  <w:footnote w:type="continuationSeparator" w:id="0">
    <w:p w14:paraId="3220A544" w14:textId="77777777" w:rsidR="00997740" w:rsidRDefault="00997740" w:rsidP="005E35D5">
      <w:pPr>
        <w:spacing w:after="0" w:line="240" w:lineRule="auto"/>
      </w:pPr>
      <w:r>
        <w:continuationSeparator/>
      </w:r>
    </w:p>
  </w:footnote>
  <w:footnote w:type="continuationNotice" w:id="1">
    <w:p w14:paraId="6BF6719E" w14:textId="77777777" w:rsidR="00997740" w:rsidRDefault="0099774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00142" w14:textId="77777777" w:rsidR="00D31916" w:rsidRPr="00817110" w:rsidRDefault="00D31916" w:rsidP="00D31916">
    <w:pPr>
      <w:pStyle w:val="Header"/>
      <w:rPr>
        <w:rFonts w:ascii="Arial" w:hAnsi="Arial" w:cs="Arial"/>
      </w:rPr>
    </w:pPr>
    <w:r w:rsidRPr="00817110">
      <w:rPr>
        <w:rFonts w:ascii="Arial" w:hAnsi="Arial" w:cs="Arial"/>
      </w:rPr>
      <w:t>(Open in Desktop mode for the best view)</w:t>
    </w:r>
  </w:p>
  <w:p w14:paraId="259B9F3B" w14:textId="77777777" w:rsidR="00D31916" w:rsidRDefault="00D319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76D14"/>
    <w:multiLevelType w:val="hybridMultilevel"/>
    <w:tmpl w:val="B32C3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DD0592"/>
    <w:multiLevelType w:val="hybridMultilevel"/>
    <w:tmpl w:val="FAA8ADE6"/>
    <w:lvl w:ilvl="0" w:tplc="E2EE7F0C">
      <w:start w:val="1"/>
      <w:numFmt w:val="bullet"/>
      <w:lvlText w:val=""/>
      <w:lvlJc w:val="left"/>
      <w:pPr>
        <w:ind w:left="720" w:hanging="360"/>
      </w:pPr>
      <w:rPr>
        <w:rFonts w:ascii="Symbol" w:hAnsi="Symbol" w:hint="default"/>
        <w:b/>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0463DE"/>
    <w:multiLevelType w:val="hybridMultilevel"/>
    <w:tmpl w:val="0BC617D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6B418E"/>
    <w:multiLevelType w:val="hybridMultilevel"/>
    <w:tmpl w:val="952C201A"/>
    <w:lvl w:ilvl="0" w:tplc="264443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BB3451"/>
    <w:multiLevelType w:val="multilevel"/>
    <w:tmpl w:val="A3568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7DD4CDC"/>
    <w:multiLevelType w:val="hybridMultilevel"/>
    <w:tmpl w:val="FAB484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8710EBC"/>
    <w:multiLevelType w:val="hybridMultilevel"/>
    <w:tmpl w:val="30C2CE80"/>
    <w:lvl w:ilvl="0" w:tplc="FFFFFFFF">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DB23D2"/>
    <w:multiLevelType w:val="hybridMultilevel"/>
    <w:tmpl w:val="CFA8134C"/>
    <w:lvl w:ilvl="0" w:tplc="291A4406">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5D306E"/>
    <w:multiLevelType w:val="multilevel"/>
    <w:tmpl w:val="2CECD9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BD641F5"/>
    <w:multiLevelType w:val="hybridMultilevel"/>
    <w:tmpl w:val="E8C2D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2D349C3"/>
    <w:multiLevelType w:val="hybridMultilevel"/>
    <w:tmpl w:val="FA8669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9E76258"/>
    <w:multiLevelType w:val="multilevel"/>
    <w:tmpl w:val="11CADE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BB81B0F"/>
    <w:multiLevelType w:val="hybridMultilevel"/>
    <w:tmpl w:val="9D5E89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022237"/>
    <w:multiLevelType w:val="hybridMultilevel"/>
    <w:tmpl w:val="61A8D4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2D1743C"/>
    <w:multiLevelType w:val="hybridMultilevel"/>
    <w:tmpl w:val="9ED4A4DE"/>
    <w:lvl w:ilvl="0" w:tplc="0809000F">
      <w:start w:val="1"/>
      <w:numFmt w:val="decimal"/>
      <w:lvlText w:val="%1."/>
      <w:lvlJc w:val="left"/>
      <w:pPr>
        <w:ind w:left="720" w:hanging="360"/>
      </w:pPr>
      <w:rPr>
        <w:rFonts w:hint="default"/>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3801515"/>
    <w:multiLevelType w:val="hybridMultilevel"/>
    <w:tmpl w:val="F5964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F4659A"/>
    <w:multiLevelType w:val="hybridMultilevel"/>
    <w:tmpl w:val="FFFFFFFF"/>
    <w:lvl w:ilvl="0" w:tplc="765E677C">
      <w:start w:val="1"/>
      <w:numFmt w:val="bullet"/>
      <w:lvlText w:val=""/>
      <w:lvlJc w:val="left"/>
      <w:pPr>
        <w:ind w:left="720" w:hanging="360"/>
      </w:pPr>
      <w:rPr>
        <w:rFonts w:ascii="Symbol" w:hAnsi="Symbol" w:hint="default"/>
      </w:rPr>
    </w:lvl>
    <w:lvl w:ilvl="1" w:tplc="6EF06EC6">
      <w:start w:val="1"/>
      <w:numFmt w:val="bullet"/>
      <w:lvlText w:val="o"/>
      <w:lvlJc w:val="left"/>
      <w:pPr>
        <w:ind w:left="1440" w:hanging="360"/>
      </w:pPr>
      <w:rPr>
        <w:rFonts w:ascii="Courier New" w:hAnsi="Courier New" w:hint="default"/>
      </w:rPr>
    </w:lvl>
    <w:lvl w:ilvl="2" w:tplc="3A368CC8">
      <w:start w:val="1"/>
      <w:numFmt w:val="bullet"/>
      <w:lvlText w:val=""/>
      <w:lvlJc w:val="left"/>
      <w:pPr>
        <w:ind w:left="2160" w:hanging="360"/>
      </w:pPr>
      <w:rPr>
        <w:rFonts w:ascii="Wingdings" w:hAnsi="Wingdings" w:hint="default"/>
      </w:rPr>
    </w:lvl>
    <w:lvl w:ilvl="3" w:tplc="7576BFD6">
      <w:start w:val="1"/>
      <w:numFmt w:val="bullet"/>
      <w:lvlText w:val=""/>
      <w:lvlJc w:val="left"/>
      <w:pPr>
        <w:ind w:left="2880" w:hanging="360"/>
      </w:pPr>
      <w:rPr>
        <w:rFonts w:ascii="Symbol" w:hAnsi="Symbol" w:hint="default"/>
      </w:rPr>
    </w:lvl>
    <w:lvl w:ilvl="4" w:tplc="FD16FBF8">
      <w:start w:val="1"/>
      <w:numFmt w:val="bullet"/>
      <w:lvlText w:val="o"/>
      <w:lvlJc w:val="left"/>
      <w:pPr>
        <w:ind w:left="3600" w:hanging="360"/>
      </w:pPr>
      <w:rPr>
        <w:rFonts w:ascii="Courier New" w:hAnsi="Courier New" w:hint="default"/>
      </w:rPr>
    </w:lvl>
    <w:lvl w:ilvl="5" w:tplc="0FC69746">
      <w:start w:val="1"/>
      <w:numFmt w:val="bullet"/>
      <w:lvlText w:val=""/>
      <w:lvlJc w:val="left"/>
      <w:pPr>
        <w:ind w:left="4320" w:hanging="360"/>
      </w:pPr>
      <w:rPr>
        <w:rFonts w:ascii="Wingdings" w:hAnsi="Wingdings" w:hint="default"/>
      </w:rPr>
    </w:lvl>
    <w:lvl w:ilvl="6" w:tplc="E9F89278">
      <w:start w:val="1"/>
      <w:numFmt w:val="bullet"/>
      <w:lvlText w:val=""/>
      <w:lvlJc w:val="left"/>
      <w:pPr>
        <w:ind w:left="5040" w:hanging="360"/>
      </w:pPr>
      <w:rPr>
        <w:rFonts w:ascii="Symbol" w:hAnsi="Symbol" w:hint="default"/>
      </w:rPr>
    </w:lvl>
    <w:lvl w:ilvl="7" w:tplc="8938CE5C">
      <w:start w:val="1"/>
      <w:numFmt w:val="bullet"/>
      <w:lvlText w:val="o"/>
      <w:lvlJc w:val="left"/>
      <w:pPr>
        <w:ind w:left="5760" w:hanging="360"/>
      </w:pPr>
      <w:rPr>
        <w:rFonts w:ascii="Courier New" w:hAnsi="Courier New" w:hint="default"/>
      </w:rPr>
    </w:lvl>
    <w:lvl w:ilvl="8" w:tplc="3A808A9C">
      <w:start w:val="1"/>
      <w:numFmt w:val="bullet"/>
      <w:lvlText w:val=""/>
      <w:lvlJc w:val="left"/>
      <w:pPr>
        <w:ind w:left="6480" w:hanging="360"/>
      </w:pPr>
      <w:rPr>
        <w:rFonts w:ascii="Wingdings" w:hAnsi="Wingdings" w:hint="default"/>
      </w:rPr>
    </w:lvl>
  </w:abstractNum>
  <w:abstractNum w:abstractNumId="17" w15:restartNumberingAfterBreak="0">
    <w:nsid w:val="299500C4"/>
    <w:multiLevelType w:val="hybridMultilevel"/>
    <w:tmpl w:val="06124C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A0E0639"/>
    <w:multiLevelType w:val="hybridMultilevel"/>
    <w:tmpl w:val="D49CF6C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B55179E"/>
    <w:multiLevelType w:val="hybridMultilevel"/>
    <w:tmpl w:val="8F72A6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2B9B02AF"/>
    <w:multiLevelType w:val="hybridMultilevel"/>
    <w:tmpl w:val="168C62D0"/>
    <w:lvl w:ilvl="0" w:tplc="2FECDF7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AA02EF"/>
    <w:multiLevelType w:val="hybridMultilevel"/>
    <w:tmpl w:val="3E4E9980"/>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D67B00"/>
    <w:multiLevelType w:val="multilevel"/>
    <w:tmpl w:val="15E0A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502C51"/>
    <w:multiLevelType w:val="hybridMultilevel"/>
    <w:tmpl w:val="9FF0328C"/>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C5C4F16"/>
    <w:multiLevelType w:val="hybridMultilevel"/>
    <w:tmpl w:val="A57ADDA2"/>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F8D575A"/>
    <w:multiLevelType w:val="hybridMultilevel"/>
    <w:tmpl w:val="A53EBEB4"/>
    <w:lvl w:ilvl="0" w:tplc="264443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2091555"/>
    <w:multiLevelType w:val="multilevel"/>
    <w:tmpl w:val="234EC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7A83139"/>
    <w:multiLevelType w:val="multilevel"/>
    <w:tmpl w:val="3CE82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8CE4DFE"/>
    <w:multiLevelType w:val="hybridMultilevel"/>
    <w:tmpl w:val="61A8D40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A7A6DC1"/>
    <w:multiLevelType w:val="hybridMultilevel"/>
    <w:tmpl w:val="61A8D40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EDF04F4"/>
    <w:multiLevelType w:val="multilevel"/>
    <w:tmpl w:val="2F008ACA"/>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50D53449"/>
    <w:multiLevelType w:val="hybridMultilevel"/>
    <w:tmpl w:val="A7D4EA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4434F5C"/>
    <w:multiLevelType w:val="multilevel"/>
    <w:tmpl w:val="9702B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462155"/>
    <w:multiLevelType w:val="hybridMultilevel"/>
    <w:tmpl w:val="1E7A93D6"/>
    <w:lvl w:ilvl="0" w:tplc="2A404C0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5D043E46"/>
    <w:multiLevelType w:val="hybridMultilevel"/>
    <w:tmpl w:val="671C3B4E"/>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0817B53"/>
    <w:multiLevelType w:val="multilevel"/>
    <w:tmpl w:val="C6961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51350B2"/>
    <w:multiLevelType w:val="multilevel"/>
    <w:tmpl w:val="F872EB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64242F8"/>
    <w:multiLevelType w:val="hybridMultilevel"/>
    <w:tmpl w:val="A57C2580"/>
    <w:lvl w:ilvl="0" w:tplc="291A4406">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04F4B92"/>
    <w:multiLevelType w:val="hybridMultilevel"/>
    <w:tmpl w:val="CD50FA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3FF5FAD"/>
    <w:multiLevelType w:val="hybridMultilevel"/>
    <w:tmpl w:val="6E04F4C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0" w15:restartNumberingAfterBreak="0">
    <w:nsid w:val="74287F71"/>
    <w:multiLevelType w:val="hybridMultilevel"/>
    <w:tmpl w:val="EE967C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45FFAB"/>
    <w:multiLevelType w:val="hybridMultilevel"/>
    <w:tmpl w:val="FFFFFFFF"/>
    <w:lvl w:ilvl="0" w:tplc="2F88BE8A">
      <w:start w:val="1"/>
      <w:numFmt w:val="bullet"/>
      <w:lvlText w:val="-"/>
      <w:lvlJc w:val="left"/>
      <w:pPr>
        <w:ind w:left="720" w:hanging="360"/>
      </w:pPr>
      <w:rPr>
        <w:rFonts w:ascii="Calibri" w:hAnsi="Calibri" w:hint="default"/>
      </w:rPr>
    </w:lvl>
    <w:lvl w:ilvl="1" w:tplc="682CF25A">
      <w:start w:val="1"/>
      <w:numFmt w:val="bullet"/>
      <w:lvlText w:val="o"/>
      <w:lvlJc w:val="left"/>
      <w:pPr>
        <w:ind w:left="1440" w:hanging="360"/>
      </w:pPr>
      <w:rPr>
        <w:rFonts w:ascii="Courier New" w:hAnsi="Courier New" w:hint="default"/>
      </w:rPr>
    </w:lvl>
    <w:lvl w:ilvl="2" w:tplc="0F50D890">
      <w:start w:val="1"/>
      <w:numFmt w:val="bullet"/>
      <w:lvlText w:val=""/>
      <w:lvlJc w:val="left"/>
      <w:pPr>
        <w:ind w:left="2160" w:hanging="360"/>
      </w:pPr>
      <w:rPr>
        <w:rFonts w:ascii="Wingdings" w:hAnsi="Wingdings" w:hint="default"/>
      </w:rPr>
    </w:lvl>
    <w:lvl w:ilvl="3" w:tplc="BC62B5E6">
      <w:start w:val="1"/>
      <w:numFmt w:val="bullet"/>
      <w:lvlText w:val=""/>
      <w:lvlJc w:val="left"/>
      <w:pPr>
        <w:ind w:left="2880" w:hanging="360"/>
      </w:pPr>
      <w:rPr>
        <w:rFonts w:ascii="Symbol" w:hAnsi="Symbol" w:hint="default"/>
      </w:rPr>
    </w:lvl>
    <w:lvl w:ilvl="4" w:tplc="D07A4F4A">
      <w:start w:val="1"/>
      <w:numFmt w:val="bullet"/>
      <w:lvlText w:val="o"/>
      <w:lvlJc w:val="left"/>
      <w:pPr>
        <w:ind w:left="3600" w:hanging="360"/>
      </w:pPr>
      <w:rPr>
        <w:rFonts w:ascii="Courier New" w:hAnsi="Courier New" w:hint="default"/>
      </w:rPr>
    </w:lvl>
    <w:lvl w:ilvl="5" w:tplc="2D58DE02">
      <w:start w:val="1"/>
      <w:numFmt w:val="bullet"/>
      <w:lvlText w:val=""/>
      <w:lvlJc w:val="left"/>
      <w:pPr>
        <w:ind w:left="4320" w:hanging="360"/>
      </w:pPr>
      <w:rPr>
        <w:rFonts w:ascii="Wingdings" w:hAnsi="Wingdings" w:hint="default"/>
      </w:rPr>
    </w:lvl>
    <w:lvl w:ilvl="6" w:tplc="820C95C8">
      <w:start w:val="1"/>
      <w:numFmt w:val="bullet"/>
      <w:lvlText w:val=""/>
      <w:lvlJc w:val="left"/>
      <w:pPr>
        <w:ind w:left="5040" w:hanging="360"/>
      </w:pPr>
      <w:rPr>
        <w:rFonts w:ascii="Symbol" w:hAnsi="Symbol" w:hint="default"/>
      </w:rPr>
    </w:lvl>
    <w:lvl w:ilvl="7" w:tplc="91EECC72">
      <w:start w:val="1"/>
      <w:numFmt w:val="bullet"/>
      <w:lvlText w:val="o"/>
      <w:lvlJc w:val="left"/>
      <w:pPr>
        <w:ind w:left="5760" w:hanging="360"/>
      </w:pPr>
      <w:rPr>
        <w:rFonts w:ascii="Courier New" w:hAnsi="Courier New" w:hint="default"/>
      </w:rPr>
    </w:lvl>
    <w:lvl w:ilvl="8" w:tplc="E58CAE02">
      <w:start w:val="1"/>
      <w:numFmt w:val="bullet"/>
      <w:lvlText w:val=""/>
      <w:lvlJc w:val="left"/>
      <w:pPr>
        <w:ind w:left="6480" w:hanging="360"/>
      </w:pPr>
      <w:rPr>
        <w:rFonts w:ascii="Wingdings" w:hAnsi="Wingdings" w:hint="default"/>
      </w:rPr>
    </w:lvl>
  </w:abstractNum>
  <w:abstractNum w:abstractNumId="42" w15:restartNumberingAfterBreak="0">
    <w:nsid w:val="78D43E53"/>
    <w:multiLevelType w:val="hybridMultilevel"/>
    <w:tmpl w:val="787E1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9780889">
    <w:abstractNumId w:val="20"/>
  </w:num>
  <w:num w:numId="2" w16cid:durableId="503323195">
    <w:abstractNumId w:val="36"/>
  </w:num>
  <w:num w:numId="3" w16cid:durableId="68969643">
    <w:abstractNumId w:val="22"/>
  </w:num>
  <w:num w:numId="4" w16cid:durableId="1210217249">
    <w:abstractNumId w:val="8"/>
  </w:num>
  <w:num w:numId="5" w16cid:durableId="2025548175">
    <w:abstractNumId w:val="11"/>
  </w:num>
  <w:num w:numId="6" w16cid:durableId="398751363">
    <w:abstractNumId w:val="4"/>
  </w:num>
  <w:num w:numId="7" w16cid:durableId="1262103018">
    <w:abstractNumId w:val="26"/>
  </w:num>
  <w:num w:numId="8" w16cid:durableId="558593621">
    <w:abstractNumId w:val="35"/>
  </w:num>
  <w:num w:numId="9" w16cid:durableId="830676563">
    <w:abstractNumId w:val="3"/>
  </w:num>
  <w:num w:numId="10" w16cid:durableId="1069694103">
    <w:abstractNumId w:val="31"/>
  </w:num>
  <w:num w:numId="11" w16cid:durableId="688415753">
    <w:abstractNumId w:val="14"/>
  </w:num>
  <w:num w:numId="12" w16cid:durableId="1302080210">
    <w:abstractNumId w:val="30"/>
  </w:num>
  <w:num w:numId="13" w16cid:durableId="1627390380">
    <w:abstractNumId w:val="25"/>
  </w:num>
  <w:num w:numId="14" w16cid:durableId="1068645967">
    <w:abstractNumId w:val="21"/>
  </w:num>
  <w:num w:numId="15" w16cid:durableId="1844315293">
    <w:abstractNumId w:val="28"/>
  </w:num>
  <w:num w:numId="16" w16cid:durableId="1476145109">
    <w:abstractNumId w:val="13"/>
  </w:num>
  <w:num w:numId="17" w16cid:durableId="1350059839">
    <w:abstractNumId w:val="29"/>
  </w:num>
  <w:num w:numId="18" w16cid:durableId="1002900552">
    <w:abstractNumId w:val="37"/>
  </w:num>
  <w:num w:numId="19" w16cid:durableId="575818524">
    <w:abstractNumId w:val="18"/>
  </w:num>
  <w:num w:numId="20" w16cid:durableId="1053888954">
    <w:abstractNumId w:val="23"/>
  </w:num>
  <w:num w:numId="21" w16cid:durableId="362679871">
    <w:abstractNumId w:val="24"/>
  </w:num>
  <w:num w:numId="22" w16cid:durableId="1695957069">
    <w:abstractNumId w:val="7"/>
  </w:num>
  <w:num w:numId="23" w16cid:durableId="12387654">
    <w:abstractNumId w:val="2"/>
  </w:num>
  <w:num w:numId="24" w16cid:durableId="1966735595">
    <w:abstractNumId w:val="34"/>
  </w:num>
  <w:num w:numId="25" w16cid:durableId="1697542792">
    <w:abstractNumId w:val="6"/>
  </w:num>
  <w:num w:numId="26" w16cid:durableId="1788157395">
    <w:abstractNumId w:val="15"/>
  </w:num>
  <w:num w:numId="27" w16cid:durableId="946696552">
    <w:abstractNumId w:val="12"/>
  </w:num>
  <w:num w:numId="28" w16cid:durableId="976645968">
    <w:abstractNumId w:val="1"/>
  </w:num>
  <w:num w:numId="29" w16cid:durableId="1425153306">
    <w:abstractNumId w:val="19"/>
  </w:num>
  <w:num w:numId="30" w16cid:durableId="1456950793">
    <w:abstractNumId w:val="39"/>
  </w:num>
  <w:num w:numId="31" w16cid:durableId="819154358">
    <w:abstractNumId w:val="41"/>
  </w:num>
  <w:num w:numId="32" w16cid:durableId="1911427890">
    <w:abstractNumId w:val="33"/>
  </w:num>
  <w:num w:numId="33" w16cid:durableId="145828385">
    <w:abstractNumId w:val="5"/>
  </w:num>
  <w:num w:numId="34" w16cid:durableId="465240250">
    <w:abstractNumId w:val="10"/>
  </w:num>
  <w:num w:numId="35" w16cid:durableId="811560184">
    <w:abstractNumId w:val="17"/>
  </w:num>
  <w:num w:numId="36" w16cid:durableId="1061175967">
    <w:abstractNumId w:val="0"/>
  </w:num>
  <w:num w:numId="37" w16cid:durableId="1511139783">
    <w:abstractNumId w:val="40"/>
  </w:num>
  <w:num w:numId="38" w16cid:durableId="659699971">
    <w:abstractNumId w:val="42"/>
  </w:num>
  <w:num w:numId="39" w16cid:durableId="1824732285">
    <w:abstractNumId w:val="38"/>
  </w:num>
  <w:num w:numId="40" w16cid:durableId="107162964">
    <w:abstractNumId w:val="16"/>
  </w:num>
  <w:num w:numId="41" w16cid:durableId="35979487">
    <w:abstractNumId w:val="9"/>
  </w:num>
  <w:num w:numId="42" w16cid:durableId="237249276">
    <w:abstractNumId w:val="32"/>
  </w:num>
  <w:num w:numId="43" w16cid:durableId="154594245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3C"/>
    <w:rsid w:val="00000410"/>
    <w:rsid w:val="0000412F"/>
    <w:rsid w:val="00006BD4"/>
    <w:rsid w:val="00007198"/>
    <w:rsid w:val="00010266"/>
    <w:rsid w:val="00013DFE"/>
    <w:rsid w:val="000149B1"/>
    <w:rsid w:val="00017E5C"/>
    <w:rsid w:val="000201BF"/>
    <w:rsid w:val="00020B01"/>
    <w:rsid w:val="00022C88"/>
    <w:rsid w:val="00023E36"/>
    <w:rsid w:val="000252C3"/>
    <w:rsid w:val="00031637"/>
    <w:rsid w:val="00031DD3"/>
    <w:rsid w:val="00032172"/>
    <w:rsid w:val="0003227B"/>
    <w:rsid w:val="000341A5"/>
    <w:rsid w:val="000525E1"/>
    <w:rsid w:val="0005261A"/>
    <w:rsid w:val="000531A2"/>
    <w:rsid w:val="00055FC5"/>
    <w:rsid w:val="00056FFB"/>
    <w:rsid w:val="00060B7C"/>
    <w:rsid w:val="00060B83"/>
    <w:rsid w:val="000619C1"/>
    <w:rsid w:val="00061F6C"/>
    <w:rsid w:val="00062386"/>
    <w:rsid w:val="00062975"/>
    <w:rsid w:val="00063374"/>
    <w:rsid w:val="00070808"/>
    <w:rsid w:val="00074279"/>
    <w:rsid w:val="00074CE9"/>
    <w:rsid w:val="0007566D"/>
    <w:rsid w:val="0008043F"/>
    <w:rsid w:val="0008088A"/>
    <w:rsid w:val="00081B50"/>
    <w:rsid w:val="00081C68"/>
    <w:rsid w:val="0008677E"/>
    <w:rsid w:val="00086976"/>
    <w:rsid w:val="000957B7"/>
    <w:rsid w:val="000977AC"/>
    <w:rsid w:val="000A1632"/>
    <w:rsid w:val="000A196B"/>
    <w:rsid w:val="000B67CB"/>
    <w:rsid w:val="000B7FB5"/>
    <w:rsid w:val="000C009F"/>
    <w:rsid w:val="000C3C39"/>
    <w:rsid w:val="000C4BCA"/>
    <w:rsid w:val="000C57CE"/>
    <w:rsid w:val="000C73BE"/>
    <w:rsid w:val="000C7673"/>
    <w:rsid w:val="000D03BB"/>
    <w:rsid w:val="000D17F4"/>
    <w:rsid w:val="000D2C36"/>
    <w:rsid w:val="000D67FB"/>
    <w:rsid w:val="000E10E9"/>
    <w:rsid w:val="000E1BB2"/>
    <w:rsid w:val="000E288B"/>
    <w:rsid w:val="000E421E"/>
    <w:rsid w:val="000E52ED"/>
    <w:rsid w:val="000F1860"/>
    <w:rsid w:val="000F7B66"/>
    <w:rsid w:val="00100215"/>
    <w:rsid w:val="0010097B"/>
    <w:rsid w:val="00101034"/>
    <w:rsid w:val="00103250"/>
    <w:rsid w:val="00103288"/>
    <w:rsid w:val="00105EF3"/>
    <w:rsid w:val="001103CE"/>
    <w:rsid w:val="00116403"/>
    <w:rsid w:val="001177C7"/>
    <w:rsid w:val="00123AD0"/>
    <w:rsid w:val="00124227"/>
    <w:rsid w:val="001243F3"/>
    <w:rsid w:val="00124A94"/>
    <w:rsid w:val="00125169"/>
    <w:rsid w:val="001255BC"/>
    <w:rsid w:val="00126374"/>
    <w:rsid w:val="00127C8E"/>
    <w:rsid w:val="001303B0"/>
    <w:rsid w:val="001327E2"/>
    <w:rsid w:val="00132CEC"/>
    <w:rsid w:val="00132D08"/>
    <w:rsid w:val="0013307A"/>
    <w:rsid w:val="00134EA1"/>
    <w:rsid w:val="00135CF8"/>
    <w:rsid w:val="00137425"/>
    <w:rsid w:val="00141845"/>
    <w:rsid w:val="00142108"/>
    <w:rsid w:val="00144799"/>
    <w:rsid w:val="001447B9"/>
    <w:rsid w:val="0014570C"/>
    <w:rsid w:val="00145F31"/>
    <w:rsid w:val="00145FB0"/>
    <w:rsid w:val="0015143A"/>
    <w:rsid w:val="0015432E"/>
    <w:rsid w:val="001557AC"/>
    <w:rsid w:val="00155C94"/>
    <w:rsid w:val="00156640"/>
    <w:rsid w:val="00157407"/>
    <w:rsid w:val="001607DA"/>
    <w:rsid w:val="00160EA7"/>
    <w:rsid w:val="00161BEF"/>
    <w:rsid w:val="00164956"/>
    <w:rsid w:val="00166639"/>
    <w:rsid w:val="0017074A"/>
    <w:rsid w:val="00174AB0"/>
    <w:rsid w:val="00174D02"/>
    <w:rsid w:val="00175B84"/>
    <w:rsid w:val="00176B4B"/>
    <w:rsid w:val="00183E86"/>
    <w:rsid w:val="00184130"/>
    <w:rsid w:val="00186C77"/>
    <w:rsid w:val="00187961"/>
    <w:rsid w:val="00190658"/>
    <w:rsid w:val="00190AC6"/>
    <w:rsid w:val="001920A6"/>
    <w:rsid w:val="00192EE9"/>
    <w:rsid w:val="00193554"/>
    <w:rsid w:val="00196200"/>
    <w:rsid w:val="001A26A2"/>
    <w:rsid w:val="001A27E8"/>
    <w:rsid w:val="001A3124"/>
    <w:rsid w:val="001A7447"/>
    <w:rsid w:val="001B0043"/>
    <w:rsid w:val="001B16B0"/>
    <w:rsid w:val="001B238F"/>
    <w:rsid w:val="001B2494"/>
    <w:rsid w:val="001B2DE0"/>
    <w:rsid w:val="001B49AF"/>
    <w:rsid w:val="001B54C0"/>
    <w:rsid w:val="001B6897"/>
    <w:rsid w:val="001C0FB6"/>
    <w:rsid w:val="001C1B86"/>
    <w:rsid w:val="001C2D61"/>
    <w:rsid w:val="001C3617"/>
    <w:rsid w:val="001C695C"/>
    <w:rsid w:val="001D2F82"/>
    <w:rsid w:val="001D3D9D"/>
    <w:rsid w:val="001D40CC"/>
    <w:rsid w:val="001D656C"/>
    <w:rsid w:val="001D6FFB"/>
    <w:rsid w:val="001D7CCF"/>
    <w:rsid w:val="001E28E6"/>
    <w:rsid w:val="001F560E"/>
    <w:rsid w:val="001F59F9"/>
    <w:rsid w:val="001F5F78"/>
    <w:rsid w:val="0020015D"/>
    <w:rsid w:val="00200E89"/>
    <w:rsid w:val="00201AC2"/>
    <w:rsid w:val="002026F3"/>
    <w:rsid w:val="0020271D"/>
    <w:rsid w:val="00202F49"/>
    <w:rsid w:val="002077F7"/>
    <w:rsid w:val="00212B12"/>
    <w:rsid w:val="00214357"/>
    <w:rsid w:val="002171B2"/>
    <w:rsid w:val="00221C8A"/>
    <w:rsid w:val="0022494C"/>
    <w:rsid w:val="00227D5A"/>
    <w:rsid w:val="00230C59"/>
    <w:rsid w:val="002320FC"/>
    <w:rsid w:val="00232BB9"/>
    <w:rsid w:val="002330DF"/>
    <w:rsid w:val="00233CF3"/>
    <w:rsid w:val="00235FCC"/>
    <w:rsid w:val="00236074"/>
    <w:rsid w:val="0023763A"/>
    <w:rsid w:val="00241166"/>
    <w:rsid w:val="00242378"/>
    <w:rsid w:val="002465FC"/>
    <w:rsid w:val="00253030"/>
    <w:rsid w:val="00254EBF"/>
    <w:rsid w:val="0025569D"/>
    <w:rsid w:val="00256429"/>
    <w:rsid w:val="00256933"/>
    <w:rsid w:val="0026189B"/>
    <w:rsid w:val="0026361A"/>
    <w:rsid w:val="0026598C"/>
    <w:rsid w:val="00267240"/>
    <w:rsid w:val="002674AE"/>
    <w:rsid w:val="00273445"/>
    <w:rsid w:val="00275F74"/>
    <w:rsid w:val="002772C7"/>
    <w:rsid w:val="00277B73"/>
    <w:rsid w:val="00280207"/>
    <w:rsid w:val="002802F5"/>
    <w:rsid w:val="0028053C"/>
    <w:rsid w:val="002825FD"/>
    <w:rsid w:val="00282F9F"/>
    <w:rsid w:val="002863E0"/>
    <w:rsid w:val="00287256"/>
    <w:rsid w:val="002928F4"/>
    <w:rsid w:val="00293CD0"/>
    <w:rsid w:val="002952C4"/>
    <w:rsid w:val="0029632E"/>
    <w:rsid w:val="0029673B"/>
    <w:rsid w:val="002A11DB"/>
    <w:rsid w:val="002A2661"/>
    <w:rsid w:val="002A5344"/>
    <w:rsid w:val="002B135A"/>
    <w:rsid w:val="002B68CB"/>
    <w:rsid w:val="002C23F3"/>
    <w:rsid w:val="002C3402"/>
    <w:rsid w:val="002C6FE6"/>
    <w:rsid w:val="002D2C61"/>
    <w:rsid w:val="002D4726"/>
    <w:rsid w:val="002D49D7"/>
    <w:rsid w:val="002D5995"/>
    <w:rsid w:val="002F01E3"/>
    <w:rsid w:val="002F0E37"/>
    <w:rsid w:val="002F0F91"/>
    <w:rsid w:val="002F4B81"/>
    <w:rsid w:val="003012B3"/>
    <w:rsid w:val="00303942"/>
    <w:rsid w:val="00303B2F"/>
    <w:rsid w:val="0030428F"/>
    <w:rsid w:val="0030746E"/>
    <w:rsid w:val="00307599"/>
    <w:rsid w:val="00311F5E"/>
    <w:rsid w:val="0031221B"/>
    <w:rsid w:val="0031304D"/>
    <w:rsid w:val="00314B6A"/>
    <w:rsid w:val="00314E45"/>
    <w:rsid w:val="003152AC"/>
    <w:rsid w:val="0031727D"/>
    <w:rsid w:val="00320525"/>
    <w:rsid w:val="003217CA"/>
    <w:rsid w:val="00322426"/>
    <w:rsid w:val="00324F70"/>
    <w:rsid w:val="0032572B"/>
    <w:rsid w:val="00330E0D"/>
    <w:rsid w:val="003314EA"/>
    <w:rsid w:val="00343452"/>
    <w:rsid w:val="00343BFF"/>
    <w:rsid w:val="00345CA1"/>
    <w:rsid w:val="003511F6"/>
    <w:rsid w:val="0035394C"/>
    <w:rsid w:val="00354ECC"/>
    <w:rsid w:val="00356EFC"/>
    <w:rsid w:val="0036139E"/>
    <w:rsid w:val="003615ED"/>
    <w:rsid w:val="00364ABC"/>
    <w:rsid w:val="003718DB"/>
    <w:rsid w:val="00371E42"/>
    <w:rsid w:val="003760FF"/>
    <w:rsid w:val="0037768B"/>
    <w:rsid w:val="0038525A"/>
    <w:rsid w:val="0038568C"/>
    <w:rsid w:val="00385F46"/>
    <w:rsid w:val="00392A63"/>
    <w:rsid w:val="00392C98"/>
    <w:rsid w:val="0039444E"/>
    <w:rsid w:val="00394E92"/>
    <w:rsid w:val="0039746D"/>
    <w:rsid w:val="00397918"/>
    <w:rsid w:val="003A124F"/>
    <w:rsid w:val="003A14F2"/>
    <w:rsid w:val="003A1902"/>
    <w:rsid w:val="003A410B"/>
    <w:rsid w:val="003A6D65"/>
    <w:rsid w:val="003B2977"/>
    <w:rsid w:val="003B564E"/>
    <w:rsid w:val="003C08F3"/>
    <w:rsid w:val="003C0EEF"/>
    <w:rsid w:val="003C1276"/>
    <w:rsid w:val="003C2650"/>
    <w:rsid w:val="003C64E0"/>
    <w:rsid w:val="003C6E29"/>
    <w:rsid w:val="003C6EB5"/>
    <w:rsid w:val="003C7948"/>
    <w:rsid w:val="003D1575"/>
    <w:rsid w:val="003D3AFE"/>
    <w:rsid w:val="003D78DF"/>
    <w:rsid w:val="003D7CED"/>
    <w:rsid w:val="003E02A3"/>
    <w:rsid w:val="003F2BE8"/>
    <w:rsid w:val="003F32AD"/>
    <w:rsid w:val="003F6771"/>
    <w:rsid w:val="003F7359"/>
    <w:rsid w:val="00405195"/>
    <w:rsid w:val="004051DA"/>
    <w:rsid w:val="00406591"/>
    <w:rsid w:val="00406C9C"/>
    <w:rsid w:val="00410346"/>
    <w:rsid w:val="00412B1B"/>
    <w:rsid w:val="0041713B"/>
    <w:rsid w:val="0041726C"/>
    <w:rsid w:val="00424A14"/>
    <w:rsid w:val="0042561C"/>
    <w:rsid w:val="00425BA5"/>
    <w:rsid w:val="004262A1"/>
    <w:rsid w:val="004322E6"/>
    <w:rsid w:val="00433753"/>
    <w:rsid w:val="004346DB"/>
    <w:rsid w:val="004346E4"/>
    <w:rsid w:val="00434899"/>
    <w:rsid w:val="00435112"/>
    <w:rsid w:val="004365E7"/>
    <w:rsid w:val="00440F95"/>
    <w:rsid w:val="0044119A"/>
    <w:rsid w:val="004435F9"/>
    <w:rsid w:val="00443AA5"/>
    <w:rsid w:val="00445A58"/>
    <w:rsid w:val="00446782"/>
    <w:rsid w:val="004502F7"/>
    <w:rsid w:val="004515A4"/>
    <w:rsid w:val="00452E0E"/>
    <w:rsid w:val="00457D6B"/>
    <w:rsid w:val="00460000"/>
    <w:rsid w:val="00460B24"/>
    <w:rsid w:val="0046129A"/>
    <w:rsid w:val="00461D6D"/>
    <w:rsid w:val="0046256E"/>
    <w:rsid w:val="004633A3"/>
    <w:rsid w:val="004674A0"/>
    <w:rsid w:val="004706DB"/>
    <w:rsid w:val="004763FF"/>
    <w:rsid w:val="00476E3B"/>
    <w:rsid w:val="004775F7"/>
    <w:rsid w:val="004806AE"/>
    <w:rsid w:val="00483576"/>
    <w:rsid w:val="004842F9"/>
    <w:rsid w:val="004848F3"/>
    <w:rsid w:val="00484BC2"/>
    <w:rsid w:val="004863B9"/>
    <w:rsid w:val="00490094"/>
    <w:rsid w:val="00491718"/>
    <w:rsid w:val="004A0106"/>
    <w:rsid w:val="004A2EE3"/>
    <w:rsid w:val="004A2F3F"/>
    <w:rsid w:val="004A6182"/>
    <w:rsid w:val="004B0BE3"/>
    <w:rsid w:val="004B2A90"/>
    <w:rsid w:val="004B2DDF"/>
    <w:rsid w:val="004B2EB7"/>
    <w:rsid w:val="004B31C1"/>
    <w:rsid w:val="004B4D5B"/>
    <w:rsid w:val="004B52A7"/>
    <w:rsid w:val="004C1651"/>
    <w:rsid w:val="004C29ED"/>
    <w:rsid w:val="004C43E7"/>
    <w:rsid w:val="004C6A17"/>
    <w:rsid w:val="004D22D5"/>
    <w:rsid w:val="004D2A4C"/>
    <w:rsid w:val="004D33B7"/>
    <w:rsid w:val="004D61D2"/>
    <w:rsid w:val="004D6849"/>
    <w:rsid w:val="004E0294"/>
    <w:rsid w:val="004E07E4"/>
    <w:rsid w:val="004E396C"/>
    <w:rsid w:val="004F01CB"/>
    <w:rsid w:val="004F3CC0"/>
    <w:rsid w:val="004F5287"/>
    <w:rsid w:val="004F692E"/>
    <w:rsid w:val="00500238"/>
    <w:rsid w:val="00500E1F"/>
    <w:rsid w:val="005021F9"/>
    <w:rsid w:val="005041CD"/>
    <w:rsid w:val="0050489B"/>
    <w:rsid w:val="00504E5A"/>
    <w:rsid w:val="00505A77"/>
    <w:rsid w:val="00507A2C"/>
    <w:rsid w:val="00507B4A"/>
    <w:rsid w:val="00511209"/>
    <w:rsid w:val="00514D7C"/>
    <w:rsid w:val="00516DB1"/>
    <w:rsid w:val="005171DC"/>
    <w:rsid w:val="00517970"/>
    <w:rsid w:val="00521041"/>
    <w:rsid w:val="005229C6"/>
    <w:rsid w:val="005233FB"/>
    <w:rsid w:val="00523695"/>
    <w:rsid w:val="005240EC"/>
    <w:rsid w:val="00526B22"/>
    <w:rsid w:val="00530871"/>
    <w:rsid w:val="00533F15"/>
    <w:rsid w:val="00535274"/>
    <w:rsid w:val="0053601C"/>
    <w:rsid w:val="00536E0A"/>
    <w:rsid w:val="00537F6D"/>
    <w:rsid w:val="00543475"/>
    <w:rsid w:val="0054723A"/>
    <w:rsid w:val="0055055B"/>
    <w:rsid w:val="00550829"/>
    <w:rsid w:val="005543CA"/>
    <w:rsid w:val="00554849"/>
    <w:rsid w:val="005579DC"/>
    <w:rsid w:val="00557A69"/>
    <w:rsid w:val="005601C5"/>
    <w:rsid w:val="0056272A"/>
    <w:rsid w:val="00564548"/>
    <w:rsid w:val="005657FA"/>
    <w:rsid w:val="00567929"/>
    <w:rsid w:val="00567BAE"/>
    <w:rsid w:val="005704EB"/>
    <w:rsid w:val="00571E05"/>
    <w:rsid w:val="0057221F"/>
    <w:rsid w:val="00572233"/>
    <w:rsid w:val="00572CA8"/>
    <w:rsid w:val="00573EAA"/>
    <w:rsid w:val="00574226"/>
    <w:rsid w:val="005748D5"/>
    <w:rsid w:val="00574E71"/>
    <w:rsid w:val="00577511"/>
    <w:rsid w:val="00580C4A"/>
    <w:rsid w:val="005829CC"/>
    <w:rsid w:val="00591306"/>
    <w:rsid w:val="00591BB6"/>
    <w:rsid w:val="005926D9"/>
    <w:rsid w:val="00592A00"/>
    <w:rsid w:val="00593DFB"/>
    <w:rsid w:val="005A108B"/>
    <w:rsid w:val="005B30CF"/>
    <w:rsid w:val="005B31C7"/>
    <w:rsid w:val="005C082C"/>
    <w:rsid w:val="005C5E39"/>
    <w:rsid w:val="005C663D"/>
    <w:rsid w:val="005D277F"/>
    <w:rsid w:val="005D30FE"/>
    <w:rsid w:val="005D3FA4"/>
    <w:rsid w:val="005E1A8F"/>
    <w:rsid w:val="005E215A"/>
    <w:rsid w:val="005E35D5"/>
    <w:rsid w:val="005E3A20"/>
    <w:rsid w:val="005E3E12"/>
    <w:rsid w:val="005E4A74"/>
    <w:rsid w:val="005E4EE7"/>
    <w:rsid w:val="005F0B5A"/>
    <w:rsid w:val="005F105A"/>
    <w:rsid w:val="005F1E0C"/>
    <w:rsid w:val="005F2A94"/>
    <w:rsid w:val="005F6235"/>
    <w:rsid w:val="005F6259"/>
    <w:rsid w:val="00602100"/>
    <w:rsid w:val="006026B8"/>
    <w:rsid w:val="00606A5B"/>
    <w:rsid w:val="00610C23"/>
    <w:rsid w:val="00611A9C"/>
    <w:rsid w:val="00614917"/>
    <w:rsid w:val="00614EDB"/>
    <w:rsid w:val="006203F3"/>
    <w:rsid w:val="00621BC9"/>
    <w:rsid w:val="0062210B"/>
    <w:rsid w:val="0063349C"/>
    <w:rsid w:val="00633904"/>
    <w:rsid w:val="00633DA5"/>
    <w:rsid w:val="00634BFE"/>
    <w:rsid w:val="0063510A"/>
    <w:rsid w:val="006402AC"/>
    <w:rsid w:val="00644D78"/>
    <w:rsid w:val="00644F3D"/>
    <w:rsid w:val="00645DC9"/>
    <w:rsid w:val="006464DF"/>
    <w:rsid w:val="00646B8C"/>
    <w:rsid w:val="00652A38"/>
    <w:rsid w:val="00652BBE"/>
    <w:rsid w:val="00656C5F"/>
    <w:rsid w:val="00657298"/>
    <w:rsid w:val="006579FC"/>
    <w:rsid w:val="00661864"/>
    <w:rsid w:val="00665062"/>
    <w:rsid w:val="00665A77"/>
    <w:rsid w:val="00667361"/>
    <w:rsid w:val="00670CF8"/>
    <w:rsid w:val="00672D0F"/>
    <w:rsid w:val="00673E01"/>
    <w:rsid w:val="00675F17"/>
    <w:rsid w:val="006809F1"/>
    <w:rsid w:val="00681F3D"/>
    <w:rsid w:val="00690838"/>
    <w:rsid w:val="006909EF"/>
    <w:rsid w:val="006917B0"/>
    <w:rsid w:val="00694909"/>
    <w:rsid w:val="006A1C7D"/>
    <w:rsid w:val="006A1CA4"/>
    <w:rsid w:val="006A208D"/>
    <w:rsid w:val="006A47D4"/>
    <w:rsid w:val="006B076F"/>
    <w:rsid w:val="006B40BC"/>
    <w:rsid w:val="006B59C7"/>
    <w:rsid w:val="006B7ECE"/>
    <w:rsid w:val="006C19E7"/>
    <w:rsid w:val="006C3852"/>
    <w:rsid w:val="006C4323"/>
    <w:rsid w:val="006C4A94"/>
    <w:rsid w:val="006C4BF6"/>
    <w:rsid w:val="006C626B"/>
    <w:rsid w:val="006D0681"/>
    <w:rsid w:val="006D29B0"/>
    <w:rsid w:val="006D6B15"/>
    <w:rsid w:val="006D7703"/>
    <w:rsid w:val="006E0407"/>
    <w:rsid w:val="006E1564"/>
    <w:rsid w:val="006E1998"/>
    <w:rsid w:val="006E5132"/>
    <w:rsid w:val="006E5576"/>
    <w:rsid w:val="006E754B"/>
    <w:rsid w:val="006E7969"/>
    <w:rsid w:val="006F01C6"/>
    <w:rsid w:val="006F17B7"/>
    <w:rsid w:val="006F67D6"/>
    <w:rsid w:val="006F6CEB"/>
    <w:rsid w:val="006F7BD0"/>
    <w:rsid w:val="00700148"/>
    <w:rsid w:val="0070019E"/>
    <w:rsid w:val="007003E0"/>
    <w:rsid w:val="007010B5"/>
    <w:rsid w:val="00701555"/>
    <w:rsid w:val="00701B21"/>
    <w:rsid w:val="00702702"/>
    <w:rsid w:val="00704B30"/>
    <w:rsid w:val="00707F59"/>
    <w:rsid w:val="00713346"/>
    <w:rsid w:val="007134F1"/>
    <w:rsid w:val="00714925"/>
    <w:rsid w:val="00716A22"/>
    <w:rsid w:val="00716E68"/>
    <w:rsid w:val="00716F38"/>
    <w:rsid w:val="00717BAC"/>
    <w:rsid w:val="00720D34"/>
    <w:rsid w:val="0072758F"/>
    <w:rsid w:val="00740E18"/>
    <w:rsid w:val="0074371E"/>
    <w:rsid w:val="00745F2C"/>
    <w:rsid w:val="00747797"/>
    <w:rsid w:val="007511C8"/>
    <w:rsid w:val="00756707"/>
    <w:rsid w:val="007569B3"/>
    <w:rsid w:val="00757439"/>
    <w:rsid w:val="00757A90"/>
    <w:rsid w:val="00757CBF"/>
    <w:rsid w:val="007626AD"/>
    <w:rsid w:val="00762A42"/>
    <w:rsid w:val="00763D54"/>
    <w:rsid w:val="0077088B"/>
    <w:rsid w:val="007709E3"/>
    <w:rsid w:val="007773FE"/>
    <w:rsid w:val="00777F29"/>
    <w:rsid w:val="007824F4"/>
    <w:rsid w:val="00783009"/>
    <w:rsid w:val="007837B4"/>
    <w:rsid w:val="00785D0F"/>
    <w:rsid w:val="00786881"/>
    <w:rsid w:val="00786BED"/>
    <w:rsid w:val="00790EEA"/>
    <w:rsid w:val="00793A27"/>
    <w:rsid w:val="00796FDF"/>
    <w:rsid w:val="0079727B"/>
    <w:rsid w:val="007A036B"/>
    <w:rsid w:val="007A1485"/>
    <w:rsid w:val="007A4309"/>
    <w:rsid w:val="007A4441"/>
    <w:rsid w:val="007A5C1C"/>
    <w:rsid w:val="007B00AF"/>
    <w:rsid w:val="007B1920"/>
    <w:rsid w:val="007B25A1"/>
    <w:rsid w:val="007B2FB2"/>
    <w:rsid w:val="007B64CF"/>
    <w:rsid w:val="007B7477"/>
    <w:rsid w:val="007C0B05"/>
    <w:rsid w:val="007C14E5"/>
    <w:rsid w:val="007C237A"/>
    <w:rsid w:val="007D5F7F"/>
    <w:rsid w:val="007D6BAA"/>
    <w:rsid w:val="007D7993"/>
    <w:rsid w:val="007E0F80"/>
    <w:rsid w:val="007E1661"/>
    <w:rsid w:val="007E4989"/>
    <w:rsid w:val="007E59F2"/>
    <w:rsid w:val="007F3976"/>
    <w:rsid w:val="007F51C4"/>
    <w:rsid w:val="00801297"/>
    <w:rsid w:val="00802300"/>
    <w:rsid w:val="0081227A"/>
    <w:rsid w:val="008144F7"/>
    <w:rsid w:val="00816C89"/>
    <w:rsid w:val="0081734C"/>
    <w:rsid w:val="00817540"/>
    <w:rsid w:val="00824642"/>
    <w:rsid w:val="0083095E"/>
    <w:rsid w:val="00831437"/>
    <w:rsid w:val="008318E5"/>
    <w:rsid w:val="00831D91"/>
    <w:rsid w:val="00832CF7"/>
    <w:rsid w:val="00833076"/>
    <w:rsid w:val="00833B8E"/>
    <w:rsid w:val="00834961"/>
    <w:rsid w:val="00834CA6"/>
    <w:rsid w:val="00835CFC"/>
    <w:rsid w:val="00840144"/>
    <w:rsid w:val="00841ABC"/>
    <w:rsid w:val="008436CD"/>
    <w:rsid w:val="00846EF8"/>
    <w:rsid w:val="0084741F"/>
    <w:rsid w:val="00847F83"/>
    <w:rsid w:val="00850AE1"/>
    <w:rsid w:val="008513AB"/>
    <w:rsid w:val="00854273"/>
    <w:rsid w:val="00860BF2"/>
    <w:rsid w:val="00861730"/>
    <w:rsid w:val="00861B8F"/>
    <w:rsid w:val="00864AC0"/>
    <w:rsid w:val="00865FAF"/>
    <w:rsid w:val="00866342"/>
    <w:rsid w:val="00871B0F"/>
    <w:rsid w:val="00872F4D"/>
    <w:rsid w:val="0087405E"/>
    <w:rsid w:val="00874944"/>
    <w:rsid w:val="00875190"/>
    <w:rsid w:val="00877C3C"/>
    <w:rsid w:val="00880D72"/>
    <w:rsid w:val="00883528"/>
    <w:rsid w:val="00883BD7"/>
    <w:rsid w:val="008875CF"/>
    <w:rsid w:val="00887FAB"/>
    <w:rsid w:val="008925CB"/>
    <w:rsid w:val="00893CCA"/>
    <w:rsid w:val="00894798"/>
    <w:rsid w:val="008956A5"/>
    <w:rsid w:val="008970F2"/>
    <w:rsid w:val="00897478"/>
    <w:rsid w:val="008A46C5"/>
    <w:rsid w:val="008A4854"/>
    <w:rsid w:val="008A7316"/>
    <w:rsid w:val="008A747A"/>
    <w:rsid w:val="008A7DAE"/>
    <w:rsid w:val="008C7BF0"/>
    <w:rsid w:val="008D13A7"/>
    <w:rsid w:val="008D5434"/>
    <w:rsid w:val="008D6424"/>
    <w:rsid w:val="008D6657"/>
    <w:rsid w:val="008D742A"/>
    <w:rsid w:val="008E1936"/>
    <w:rsid w:val="008E20A5"/>
    <w:rsid w:val="008E3D1F"/>
    <w:rsid w:val="008E6D1A"/>
    <w:rsid w:val="008E6E03"/>
    <w:rsid w:val="008F1464"/>
    <w:rsid w:val="008F2752"/>
    <w:rsid w:val="008F3708"/>
    <w:rsid w:val="008F4B82"/>
    <w:rsid w:val="008F741A"/>
    <w:rsid w:val="008F7D20"/>
    <w:rsid w:val="008F7FE9"/>
    <w:rsid w:val="00900CDA"/>
    <w:rsid w:val="00902A6E"/>
    <w:rsid w:val="00902C99"/>
    <w:rsid w:val="00903239"/>
    <w:rsid w:val="00903DED"/>
    <w:rsid w:val="00904076"/>
    <w:rsid w:val="009065B6"/>
    <w:rsid w:val="00907768"/>
    <w:rsid w:val="0090A4A0"/>
    <w:rsid w:val="0091107D"/>
    <w:rsid w:val="0092119C"/>
    <w:rsid w:val="00922C04"/>
    <w:rsid w:val="0092417F"/>
    <w:rsid w:val="0093427A"/>
    <w:rsid w:val="00937C3C"/>
    <w:rsid w:val="00942396"/>
    <w:rsid w:val="00945382"/>
    <w:rsid w:val="0094602C"/>
    <w:rsid w:val="00946231"/>
    <w:rsid w:val="00950735"/>
    <w:rsid w:val="00950C6E"/>
    <w:rsid w:val="0095480F"/>
    <w:rsid w:val="00955F9C"/>
    <w:rsid w:val="00956C7C"/>
    <w:rsid w:val="0095799E"/>
    <w:rsid w:val="009629C8"/>
    <w:rsid w:val="00962C13"/>
    <w:rsid w:val="00963FC7"/>
    <w:rsid w:val="009725ED"/>
    <w:rsid w:val="009757EA"/>
    <w:rsid w:val="00980015"/>
    <w:rsid w:val="00981C43"/>
    <w:rsid w:val="00982874"/>
    <w:rsid w:val="0098586F"/>
    <w:rsid w:val="00986825"/>
    <w:rsid w:val="0099116E"/>
    <w:rsid w:val="00991F2D"/>
    <w:rsid w:val="00992985"/>
    <w:rsid w:val="009937F0"/>
    <w:rsid w:val="00995335"/>
    <w:rsid w:val="0099562A"/>
    <w:rsid w:val="00995E04"/>
    <w:rsid w:val="00997740"/>
    <w:rsid w:val="009A033B"/>
    <w:rsid w:val="009A265E"/>
    <w:rsid w:val="009A4B11"/>
    <w:rsid w:val="009B0762"/>
    <w:rsid w:val="009B1CB8"/>
    <w:rsid w:val="009B2F72"/>
    <w:rsid w:val="009B58D8"/>
    <w:rsid w:val="009B5FDB"/>
    <w:rsid w:val="009C05F5"/>
    <w:rsid w:val="009C1D3D"/>
    <w:rsid w:val="009C2300"/>
    <w:rsid w:val="009C2E03"/>
    <w:rsid w:val="009C368E"/>
    <w:rsid w:val="009C4E39"/>
    <w:rsid w:val="009C7BD7"/>
    <w:rsid w:val="009D1DC6"/>
    <w:rsid w:val="009D2C9A"/>
    <w:rsid w:val="009E0446"/>
    <w:rsid w:val="009E0817"/>
    <w:rsid w:val="009E09EC"/>
    <w:rsid w:val="009E1045"/>
    <w:rsid w:val="009E26FE"/>
    <w:rsid w:val="009E2EE8"/>
    <w:rsid w:val="009E35A3"/>
    <w:rsid w:val="009E5008"/>
    <w:rsid w:val="009F619E"/>
    <w:rsid w:val="00A07BAB"/>
    <w:rsid w:val="00A07EB5"/>
    <w:rsid w:val="00A12469"/>
    <w:rsid w:val="00A14085"/>
    <w:rsid w:val="00A168D8"/>
    <w:rsid w:val="00A21E56"/>
    <w:rsid w:val="00A2363F"/>
    <w:rsid w:val="00A27005"/>
    <w:rsid w:val="00A27411"/>
    <w:rsid w:val="00A301EF"/>
    <w:rsid w:val="00A30B66"/>
    <w:rsid w:val="00A31149"/>
    <w:rsid w:val="00A33D90"/>
    <w:rsid w:val="00A33D99"/>
    <w:rsid w:val="00A40274"/>
    <w:rsid w:val="00A41A7D"/>
    <w:rsid w:val="00A4645F"/>
    <w:rsid w:val="00A5047D"/>
    <w:rsid w:val="00A5380C"/>
    <w:rsid w:val="00A62B50"/>
    <w:rsid w:val="00A6411B"/>
    <w:rsid w:val="00A64A98"/>
    <w:rsid w:val="00A672D0"/>
    <w:rsid w:val="00A67611"/>
    <w:rsid w:val="00A70AB0"/>
    <w:rsid w:val="00A716D5"/>
    <w:rsid w:val="00A74983"/>
    <w:rsid w:val="00A74C46"/>
    <w:rsid w:val="00A75121"/>
    <w:rsid w:val="00A764BA"/>
    <w:rsid w:val="00A80DC0"/>
    <w:rsid w:val="00A812AB"/>
    <w:rsid w:val="00A86882"/>
    <w:rsid w:val="00A916BD"/>
    <w:rsid w:val="00A91BF6"/>
    <w:rsid w:val="00AA029B"/>
    <w:rsid w:val="00AA0F7B"/>
    <w:rsid w:val="00AA2704"/>
    <w:rsid w:val="00AA2B2B"/>
    <w:rsid w:val="00AA610B"/>
    <w:rsid w:val="00AA655D"/>
    <w:rsid w:val="00AA7611"/>
    <w:rsid w:val="00AB02B5"/>
    <w:rsid w:val="00AB0B4B"/>
    <w:rsid w:val="00AB1683"/>
    <w:rsid w:val="00AB18D5"/>
    <w:rsid w:val="00AC2CB6"/>
    <w:rsid w:val="00AC64A4"/>
    <w:rsid w:val="00AC6EA0"/>
    <w:rsid w:val="00AD004F"/>
    <w:rsid w:val="00AD0578"/>
    <w:rsid w:val="00AD324D"/>
    <w:rsid w:val="00AD3E87"/>
    <w:rsid w:val="00AD7D31"/>
    <w:rsid w:val="00AE129B"/>
    <w:rsid w:val="00AE15CA"/>
    <w:rsid w:val="00AE2065"/>
    <w:rsid w:val="00AE2257"/>
    <w:rsid w:val="00AE5E5E"/>
    <w:rsid w:val="00AE67DE"/>
    <w:rsid w:val="00AE7FC3"/>
    <w:rsid w:val="00AF00D7"/>
    <w:rsid w:val="00AF0A16"/>
    <w:rsid w:val="00AF19AA"/>
    <w:rsid w:val="00AF1DFD"/>
    <w:rsid w:val="00AF29D0"/>
    <w:rsid w:val="00AF443F"/>
    <w:rsid w:val="00AF5243"/>
    <w:rsid w:val="00B0229D"/>
    <w:rsid w:val="00B06EDF"/>
    <w:rsid w:val="00B0710A"/>
    <w:rsid w:val="00B1155B"/>
    <w:rsid w:val="00B12257"/>
    <w:rsid w:val="00B13A9B"/>
    <w:rsid w:val="00B1697F"/>
    <w:rsid w:val="00B16B3A"/>
    <w:rsid w:val="00B17501"/>
    <w:rsid w:val="00B21814"/>
    <w:rsid w:val="00B22ECB"/>
    <w:rsid w:val="00B23100"/>
    <w:rsid w:val="00B26864"/>
    <w:rsid w:val="00B26FBE"/>
    <w:rsid w:val="00B27233"/>
    <w:rsid w:val="00B3013D"/>
    <w:rsid w:val="00B30602"/>
    <w:rsid w:val="00B35C83"/>
    <w:rsid w:val="00B42FFF"/>
    <w:rsid w:val="00B44FD0"/>
    <w:rsid w:val="00B46AC6"/>
    <w:rsid w:val="00B50FD0"/>
    <w:rsid w:val="00B516E9"/>
    <w:rsid w:val="00B5243E"/>
    <w:rsid w:val="00B57CBB"/>
    <w:rsid w:val="00B6194B"/>
    <w:rsid w:val="00B651D9"/>
    <w:rsid w:val="00B65B94"/>
    <w:rsid w:val="00B66114"/>
    <w:rsid w:val="00B66457"/>
    <w:rsid w:val="00B70627"/>
    <w:rsid w:val="00B72C36"/>
    <w:rsid w:val="00B75E03"/>
    <w:rsid w:val="00B761D3"/>
    <w:rsid w:val="00B8291E"/>
    <w:rsid w:val="00B83CAC"/>
    <w:rsid w:val="00B92511"/>
    <w:rsid w:val="00BA42C9"/>
    <w:rsid w:val="00BA436B"/>
    <w:rsid w:val="00BA72A0"/>
    <w:rsid w:val="00BA7A60"/>
    <w:rsid w:val="00BB3CA7"/>
    <w:rsid w:val="00BB52A7"/>
    <w:rsid w:val="00BB52FE"/>
    <w:rsid w:val="00BB682A"/>
    <w:rsid w:val="00BB7ACA"/>
    <w:rsid w:val="00BC0533"/>
    <w:rsid w:val="00BC1FCE"/>
    <w:rsid w:val="00BD23D2"/>
    <w:rsid w:val="00BD2F1A"/>
    <w:rsid w:val="00BD3A95"/>
    <w:rsid w:val="00BD4B7B"/>
    <w:rsid w:val="00BD6ECF"/>
    <w:rsid w:val="00BE069D"/>
    <w:rsid w:val="00BE1DCE"/>
    <w:rsid w:val="00BE4A82"/>
    <w:rsid w:val="00BE5072"/>
    <w:rsid w:val="00BF1E6C"/>
    <w:rsid w:val="00BF20B5"/>
    <w:rsid w:val="00BF30EF"/>
    <w:rsid w:val="00BF43A4"/>
    <w:rsid w:val="00BF738B"/>
    <w:rsid w:val="00BF7441"/>
    <w:rsid w:val="00C009BC"/>
    <w:rsid w:val="00C02090"/>
    <w:rsid w:val="00C04818"/>
    <w:rsid w:val="00C05C27"/>
    <w:rsid w:val="00C07DD3"/>
    <w:rsid w:val="00C123F1"/>
    <w:rsid w:val="00C1290E"/>
    <w:rsid w:val="00C15960"/>
    <w:rsid w:val="00C16B98"/>
    <w:rsid w:val="00C200E3"/>
    <w:rsid w:val="00C211A0"/>
    <w:rsid w:val="00C22388"/>
    <w:rsid w:val="00C25095"/>
    <w:rsid w:val="00C3062F"/>
    <w:rsid w:val="00C3091C"/>
    <w:rsid w:val="00C30C97"/>
    <w:rsid w:val="00C33529"/>
    <w:rsid w:val="00C3480A"/>
    <w:rsid w:val="00C35C85"/>
    <w:rsid w:val="00C37CF5"/>
    <w:rsid w:val="00C43458"/>
    <w:rsid w:val="00C45146"/>
    <w:rsid w:val="00C46380"/>
    <w:rsid w:val="00C46442"/>
    <w:rsid w:val="00C47BAF"/>
    <w:rsid w:val="00C51211"/>
    <w:rsid w:val="00C5334F"/>
    <w:rsid w:val="00C537AB"/>
    <w:rsid w:val="00C53876"/>
    <w:rsid w:val="00C54AD5"/>
    <w:rsid w:val="00C5673B"/>
    <w:rsid w:val="00C56E90"/>
    <w:rsid w:val="00C6142E"/>
    <w:rsid w:val="00C6287C"/>
    <w:rsid w:val="00C63D14"/>
    <w:rsid w:val="00C65074"/>
    <w:rsid w:val="00C65DD3"/>
    <w:rsid w:val="00C66274"/>
    <w:rsid w:val="00C72A6D"/>
    <w:rsid w:val="00C744CE"/>
    <w:rsid w:val="00C75B2E"/>
    <w:rsid w:val="00C8435F"/>
    <w:rsid w:val="00C84CAF"/>
    <w:rsid w:val="00C90670"/>
    <w:rsid w:val="00C916C6"/>
    <w:rsid w:val="00C946B0"/>
    <w:rsid w:val="00C977CD"/>
    <w:rsid w:val="00CA0D73"/>
    <w:rsid w:val="00CA12B2"/>
    <w:rsid w:val="00CA43B6"/>
    <w:rsid w:val="00CB0FE4"/>
    <w:rsid w:val="00CB1AC5"/>
    <w:rsid w:val="00CB24D3"/>
    <w:rsid w:val="00CB2651"/>
    <w:rsid w:val="00CB3BDB"/>
    <w:rsid w:val="00CB3CDE"/>
    <w:rsid w:val="00CB5613"/>
    <w:rsid w:val="00CC30C8"/>
    <w:rsid w:val="00CC3D90"/>
    <w:rsid w:val="00CC6EB5"/>
    <w:rsid w:val="00CD0150"/>
    <w:rsid w:val="00CD0EE7"/>
    <w:rsid w:val="00CD19CF"/>
    <w:rsid w:val="00CD2E2C"/>
    <w:rsid w:val="00CD3EBF"/>
    <w:rsid w:val="00CD44FD"/>
    <w:rsid w:val="00CD7620"/>
    <w:rsid w:val="00CE1ADA"/>
    <w:rsid w:val="00CE57F5"/>
    <w:rsid w:val="00CE5D3D"/>
    <w:rsid w:val="00CE5F61"/>
    <w:rsid w:val="00CE6972"/>
    <w:rsid w:val="00CE7A2D"/>
    <w:rsid w:val="00CE7DFA"/>
    <w:rsid w:val="00CF34CF"/>
    <w:rsid w:val="00CF7F43"/>
    <w:rsid w:val="00D05013"/>
    <w:rsid w:val="00D12EBE"/>
    <w:rsid w:val="00D14136"/>
    <w:rsid w:val="00D1785E"/>
    <w:rsid w:val="00D20387"/>
    <w:rsid w:val="00D21BE4"/>
    <w:rsid w:val="00D21D25"/>
    <w:rsid w:val="00D221E8"/>
    <w:rsid w:val="00D222F6"/>
    <w:rsid w:val="00D22538"/>
    <w:rsid w:val="00D225D9"/>
    <w:rsid w:val="00D22BEC"/>
    <w:rsid w:val="00D23B37"/>
    <w:rsid w:val="00D31916"/>
    <w:rsid w:val="00D325C5"/>
    <w:rsid w:val="00D3361F"/>
    <w:rsid w:val="00D3467C"/>
    <w:rsid w:val="00D35DFB"/>
    <w:rsid w:val="00D36FD4"/>
    <w:rsid w:val="00D421C5"/>
    <w:rsid w:val="00D42304"/>
    <w:rsid w:val="00D423D5"/>
    <w:rsid w:val="00D46768"/>
    <w:rsid w:val="00D51A16"/>
    <w:rsid w:val="00D52FE3"/>
    <w:rsid w:val="00D54995"/>
    <w:rsid w:val="00D6348B"/>
    <w:rsid w:val="00D67CF2"/>
    <w:rsid w:val="00D70A5A"/>
    <w:rsid w:val="00D73E49"/>
    <w:rsid w:val="00D74A92"/>
    <w:rsid w:val="00D76A69"/>
    <w:rsid w:val="00D808C9"/>
    <w:rsid w:val="00D81BAD"/>
    <w:rsid w:val="00D82C96"/>
    <w:rsid w:val="00D91893"/>
    <w:rsid w:val="00D961F6"/>
    <w:rsid w:val="00D9797E"/>
    <w:rsid w:val="00DA232B"/>
    <w:rsid w:val="00DA3F31"/>
    <w:rsid w:val="00DA6ACD"/>
    <w:rsid w:val="00DB1438"/>
    <w:rsid w:val="00DB2E60"/>
    <w:rsid w:val="00DB3F56"/>
    <w:rsid w:val="00DB45B7"/>
    <w:rsid w:val="00DC0FB1"/>
    <w:rsid w:val="00DC1041"/>
    <w:rsid w:val="00DC16F1"/>
    <w:rsid w:val="00DC33C3"/>
    <w:rsid w:val="00DC4C11"/>
    <w:rsid w:val="00DC59FF"/>
    <w:rsid w:val="00DC69CB"/>
    <w:rsid w:val="00DD099E"/>
    <w:rsid w:val="00DD1A01"/>
    <w:rsid w:val="00DD4BB6"/>
    <w:rsid w:val="00DD551B"/>
    <w:rsid w:val="00DD5D99"/>
    <w:rsid w:val="00DD61FD"/>
    <w:rsid w:val="00DE13A7"/>
    <w:rsid w:val="00DE4520"/>
    <w:rsid w:val="00DE4E61"/>
    <w:rsid w:val="00DE5CD0"/>
    <w:rsid w:val="00DF04D2"/>
    <w:rsid w:val="00DF136C"/>
    <w:rsid w:val="00DF26ED"/>
    <w:rsid w:val="00DF407B"/>
    <w:rsid w:val="00E00385"/>
    <w:rsid w:val="00E0746D"/>
    <w:rsid w:val="00E12E47"/>
    <w:rsid w:val="00E133EA"/>
    <w:rsid w:val="00E15F3F"/>
    <w:rsid w:val="00E17004"/>
    <w:rsid w:val="00E17529"/>
    <w:rsid w:val="00E208B7"/>
    <w:rsid w:val="00E21542"/>
    <w:rsid w:val="00E2179D"/>
    <w:rsid w:val="00E255C6"/>
    <w:rsid w:val="00E25AD6"/>
    <w:rsid w:val="00E31025"/>
    <w:rsid w:val="00E31073"/>
    <w:rsid w:val="00E31559"/>
    <w:rsid w:val="00E33A4D"/>
    <w:rsid w:val="00E34353"/>
    <w:rsid w:val="00E37352"/>
    <w:rsid w:val="00E409B4"/>
    <w:rsid w:val="00E4122B"/>
    <w:rsid w:val="00E428F8"/>
    <w:rsid w:val="00E42D1A"/>
    <w:rsid w:val="00E50991"/>
    <w:rsid w:val="00E50C9F"/>
    <w:rsid w:val="00E50E1A"/>
    <w:rsid w:val="00E51A5E"/>
    <w:rsid w:val="00E52DC6"/>
    <w:rsid w:val="00E5486D"/>
    <w:rsid w:val="00E5591C"/>
    <w:rsid w:val="00E60CB8"/>
    <w:rsid w:val="00E63C02"/>
    <w:rsid w:val="00E70495"/>
    <w:rsid w:val="00E7512A"/>
    <w:rsid w:val="00E756A5"/>
    <w:rsid w:val="00E771D0"/>
    <w:rsid w:val="00E77703"/>
    <w:rsid w:val="00E80294"/>
    <w:rsid w:val="00E827EE"/>
    <w:rsid w:val="00E82CA2"/>
    <w:rsid w:val="00E84D88"/>
    <w:rsid w:val="00E84F89"/>
    <w:rsid w:val="00E86C17"/>
    <w:rsid w:val="00E87AE4"/>
    <w:rsid w:val="00E902E3"/>
    <w:rsid w:val="00E911CF"/>
    <w:rsid w:val="00E914DC"/>
    <w:rsid w:val="00E92270"/>
    <w:rsid w:val="00E9345A"/>
    <w:rsid w:val="00E94660"/>
    <w:rsid w:val="00E94DE5"/>
    <w:rsid w:val="00E94EDF"/>
    <w:rsid w:val="00E9509D"/>
    <w:rsid w:val="00E96F2C"/>
    <w:rsid w:val="00E96FF5"/>
    <w:rsid w:val="00E970B4"/>
    <w:rsid w:val="00EA707A"/>
    <w:rsid w:val="00EB04C9"/>
    <w:rsid w:val="00EB0D02"/>
    <w:rsid w:val="00EB712A"/>
    <w:rsid w:val="00EC1B4F"/>
    <w:rsid w:val="00EC7094"/>
    <w:rsid w:val="00EC7974"/>
    <w:rsid w:val="00EC7D37"/>
    <w:rsid w:val="00EC7E13"/>
    <w:rsid w:val="00ED65C4"/>
    <w:rsid w:val="00ED731D"/>
    <w:rsid w:val="00EE1861"/>
    <w:rsid w:val="00EE1AC3"/>
    <w:rsid w:val="00EE1D09"/>
    <w:rsid w:val="00EE33BA"/>
    <w:rsid w:val="00EE4D07"/>
    <w:rsid w:val="00EE731D"/>
    <w:rsid w:val="00EE7794"/>
    <w:rsid w:val="00EF39C2"/>
    <w:rsid w:val="00EF43F2"/>
    <w:rsid w:val="00F001DC"/>
    <w:rsid w:val="00F011D4"/>
    <w:rsid w:val="00F01362"/>
    <w:rsid w:val="00F01448"/>
    <w:rsid w:val="00F05BE2"/>
    <w:rsid w:val="00F05EB0"/>
    <w:rsid w:val="00F07686"/>
    <w:rsid w:val="00F143A0"/>
    <w:rsid w:val="00F149A8"/>
    <w:rsid w:val="00F157BA"/>
    <w:rsid w:val="00F21CFE"/>
    <w:rsid w:val="00F22228"/>
    <w:rsid w:val="00F236BA"/>
    <w:rsid w:val="00F238EA"/>
    <w:rsid w:val="00F303E9"/>
    <w:rsid w:val="00F31F10"/>
    <w:rsid w:val="00F35D18"/>
    <w:rsid w:val="00F36174"/>
    <w:rsid w:val="00F36629"/>
    <w:rsid w:val="00F418E8"/>
    <w:rsid w:val="00F43578"/>
    <w:rsid w:val="00F471E9"/>
    <w:rsid w:val="00F54A35"/>
    <w:rsid w:val="00F54DFF"/>
    <w:rsid w:val="00F55876"/>
    <w:rsid w:val="00F612EF"/>
    <w:rsid w:val="00F61CCB"/>
    <w:rsid w:val="00F63F2F"/>
    <w:rsid w:val="00F743A3"/>
    <w:rsid w:val="00F7476D"/>
    <w:rsid w:val="00F80BCF"/>
    <w:rsid w:val="00F81897"/>
    <w:rsid w:val="00F82300"/>
    <w:rsid w:val="00F86DE9"/>
    <w:rsid w:val="00F914F7"/>
    <w:rsid w:val="00F92B8E"/>
    <w:rsid w:val="00F92C20"/>
    <w:rsid w:val="00F9344D"/>
    <w:rsid w:val="00F94C37"/>
    <w:rsid w:val="00F953A5"/>
    <w:rsid w:val="00F957CD"/>
    <w:rsid w:val="00F977D3"/>
    <w:rsid w:val="00FA005C"/>
    <w:rsid w:val="00FA27D3"/>
    <w:rsid w:val="00FB219C"/>
    <w:rsid w:val="00FB2246"/>
    <w:rsid w:val="00FB2736"/>
    <w:rsid w:val="00FB2893"/>
    <w:rsid w:val="00FB665F"/>
    <w:rsid w:val="00FB668E"/>
    <w:rsid w:val="00FC27E7"/>
    <w:rsid w:val="00FC3CEE"/>
    <w:rsid w:val="00FC4B71"/>
    <w:rsid w:val="00FD098A"/>
    <w:rsid w:val="00FD1A6E"/>
    <w:rsid w:val="00FD2C39"/>
    <w:rsid w:val="00FD5900"/>
    <w:rsid w:val="00FD7617"/>
    <w:rsid w:val="00FE0F83"/>
    <w:rsid w:val="00FE2BF9"/>
    <w:rsid w:val="00FE7501"/>
    <w:rsid w:val="00FE77A7"/>
    <w:rsid w:val="00FF0122"/>
    <w:rsid w:val="01E851B7"/>
    <w:rsid w:val="01ED4942"/>
    <w:rsid w:val="0224BB47"/>
    <w:rsid w:val="0234F9FF"/>
    <w:rsid w:val="02E32E8B"/>
    <w:rsid w:val="030BD4B3"/>
    <w:rsid w:val="0328EEC8"/>
    <w:rsid w:val="03D6F9DF"/>
    <w:rsid w:val="03D842CE"/>
    <w:rsid w:val="040E069A"/>
    <w:rsid w:val="04809BDF"/>
    <w:rsid w:val="04A99E8E"/>
    <w:rsid w:val="04B6AB80"/>
    <w:rsid w:val="05270C5A"/>
    <w:rsid w:val="05280879"/>
    <w:rsid w:val="054B0A66"/>
    <w:rsid w:val="05E18E27"/>
    <w:rsid w:val="061B0123"/>
    <w:rsid w:val="0693B42A"/>
    <w:rsid w:val="06E12F1C"/>
    <w:rsid w:val="07EA1AF0"/>
    <w:rsid w:val="086A62E5"/>
    <w:rsid w:val="08939729"/>
    <w:rsid w:val="08BECF3E"/>
    <w:rsid w:val="0900F90E"/>
    <w:rsid w:val="09273ADE"/>
    <w:rsid w:val="09510E4E"/>
    <w:rsid w:val="0975EC74"/>
    <w:rsid w:val="09D34177"/>
    <w:rsid w:val="0A3031D3"/>
    <w:rsid w:val="0A38E8A7"/>
    <w:rsid w:val="0A93DFCA"/>
    <w:rsid w:val="0AFAF258"/>
    <w:rsid w:val="0B486D4A"/>
    <w:rsid w:val="0B6FDC21"/>
    <w:rsid w:val="0B70D840"/>
    <w:rsid w:val="0B9122DF"/>
    <w:rsid w:val="0BF30B69"/>
    <w:rsid w:val="0C06E08E"/>
    <w:rsid w:val="0D725FD7"/>
    <w:rsid w:val="0D86F89B"/>
    <w:rsid w:val="0DFBD1F2"/>
    <w:rsid w:val="0E123DAF"/>
    <w:rsid w:val="0E41710C"/>
    <w:rsid w:val="0E61EE7C"/>
    <w:rsid w:val="0E723690"/>
    <w:rsid w:val="0E9D971F"/>
    <w:rsid w:val="0EFFE450"/>
    <w:rsid w:val="0F2CD73A"/>
    <w:rsid w:val="0F948140"/>
    <w:rsid w:val="0FBB8A75"/>
    <w:rsid w:val="0FE4E8A9"/>
    <w:rsid w:val="10ADF503"/>
    <w:rsid w:val="10D2007F"/>
    <w:rsid w:val="11FF3FCA"/>
    <w:rsid w:val="1222BC2F"/>
    <w:rsid w:val="125F25BF"/>
    <w:rsid w:val="12A44E84"/>
    <w:rsid w:val="13059F96"/>
    <w:rsid w:val="136EDD33"/>
    <w:rsid w:val="1372CEAA"/>
    <w:rsid w:val="1421CC84"/>
    <w:rsid w:val="14E40906"/>
    <w:rsid w:val="154FEE5F"/>
    <w:rsid w:val="159EB30C"/>
    <w:rsid w:val="15C12527"/>
    <w:rsid w:val="15FF6CA6"/>
    <w:rsid w:val="1649512B"/>
    <w:rsid w:val="165C5D02"/>
    <w:rsid w:val="16A153F1"/>
    <w:rsid w:val="16A3195E"/>
    <w:rsid w:val="16B62535"/>
    <w:rsid w:val="16BDDFEA"/>
    <w:rsid w:val="172FA18A"/>
    <w:rsid w:val="17BD80DF"/>
    <w:rsid w:val="180373ED"/>
    <w:rsid w:val="18F7403C"/>
    <w:rsid w:val="19053235"/>
    <w:rsid w:val="1942332E"/>
    <w:rsid w:val="19BF8436"/>
    <w:rsid w:val="1A31D811"/>
    <w:rsid w:val="1A3DA825"/>
    <w:rsid w:val="1A4CEABE"/>
    <w:rsid w:val="1A578582"/>
    <w:rsid w:val="1A75F63D"/>
    <w:rsid w:val="1B4D563D"/>
    <w:rsid w:val="1B550695"/>
    <w:rsid w:val="1B94D296"/>
    <w:rsid w:val="1BB7BBD2"/>
    <w:rsid w:val="1BCAF6DA"/>
    <w:rsid w:val="1C278C2C"/>
    <w:rsid w:val="1C4C046F"/>
    <w:rsid w:val="1C734075"/>
    <w:rsid w:val="1C9D7214"/>
    <w:rsid w:val="1C9E3B62"/>
    <w:rsid w:val="1D03E292"/>
    <w:rsid w:val="1D7D7624"/>
    <w:rsid w:val="1DE04390"/>
    <w:rsid w:val="1E074CC5"/>
    <w:rsid w:val="1E97CFC4"/>
    <w:rsid w:val="1EAD6086"/>
    <w:rsid w:val="1ED8CBE0"/>
    <w:rsid w:val="1F30CD6A"/>
    <w:rsid w:val="1F4E8853"/>
    <w:rsid w:val="1F7F45B7"/>
    <w:rsid w:val="20AECC46"/>
    <w:rsid w:val="20CC0653"/>
    <w:rsid w:val="20D38E37"/>
    <w:rsid w:val="215161E6"/>
    <w:rsid w:val="22EFC1FD"/>
    <w:rsid w:val="231408AB"/>
    <w:rsid w:val="232FCB56"/>
    <w:rsid w:val="234BBF96"/>
    <w:rsid w:val="245B6DAE"/>
    <w:rsid w:val="24A3FB0A"/>
    <w:rsid w:val="24A8E8A0"/>
    <w:rsid w:val="24BCF096"/>
    <w:rsid w:val="25262E33"/>
    <w:rsid w:val="26E3791E"/>
    <w:rsid w:val="27CAF731"/>
    <w:rsid w:val="27F3AD9A"/>
    <w:rsid w:val="2817A8D5"/>
    <w:rsid w:val="28D205EA"/>
    <w:rsid w:val="2913E9F2"/>
    <w:rsid w:val="297CF4B4"/>
    <w:rsid w:val="2A26C755"/>
    <w:rsid w:val="2ABD098C"/>
    <w:rsid w:val="2AE93464"/>
    <w:rsid w:val="2AFE05A8"/>
    <w:rsid w:val="2B527201"/>
    <w:rsid w:val="2BBC78EC"/>
    <w:rsid w:val="2C196948"/>
    <w:rsid w:val="2CBB8BC5"/>
    <w:rsid w:val="2D4E58F1"/>
    <w:rsid w:val="2D8AFEAE"/>
    <w:rsid w:val="2DE30174"/>
    <w:rsid w:val="2E771048"/>
    <w:rsid w:val="2E8C6899"/>
    <w:rsid w:val="2EA174B8"/>
    <w:rsid w:val="2EA20086"/>
    <w:rsid w:val="2EC1F228"/>
    <w:rsid w:val="2F442551"/>
    <w:rsid w:val="30305F65"/>
    <w:rsid w:val="30D90EA2"/>
    <w:rsid w:val="31675C3B"/>
    <w:rsid w:val="317E1209"/>
    <w:rsid w:val="31B40483"/>
    <w:rsid w:val="31DA436F"/>
    <w:rsid w:val="323637AC"/>
    <w:rsid w:val="32FCBFB4"/>
    <w:rsid w:val="3352976B"/>
    <w:rsid w:val="34100E90"/>
    <w:rsid w:val="34241686"/>
    <w:rsid w:val="34A18DAE"/>
    <w:rsid w:val="34B68963"/>
    <w:rsid w:val="3556A40E"/>
    <w:rsid w:val="36076D8C"/>
    <w:rsid w:val="367FC44D"/>
    <w:rsid w:val="368C633C"/>
    <w:rsid w:val="36909121"/>
    <w:rsid w:val="36B4A5F9"/>
    <w:rsid w:val="3729664D"/>
    <w:rsid w:val="3773E28B"/>
    <w:rsid w:val="379492CC"/>
    <w:rsid w:val="37A5DEB1"/>
    <w:rsid w:val="38ACCE43"/>
    <w:rsid w:val="395182AD"/>
    <w:rsid w:val="398A678D"/>
    <w:rsid w:val="3A307361"/>
    <w:rsid w:val="3AA1CBEC"/>
    <w:rsid w:val="3AA56686"/>
    <w:rsid w:val="3AC84065"/>
    <w:rsid w:val="3B4425A8"/>
    <w:rsid w:val="3C439508"/>
    <w:rsid w:val="3CD952B4"/>
    <w:rsid w:val="3CFE3F0E"/>
    <w:rsid w:val="3DCC27BC"/>
    <w:rsid w:val="3E72A193"/>
    <w:rsid w:val="3E82E04B"/>
    <w:rsid w:val="3EC118A4"/>
    <w:rsid w:val="3EF3ABB8"/>
    <w:rsid w:val="3F59BAFF"/>
    <w:rsid w:val="3F9297BF"/>
    <w:rsid w:val="40244052"/>
    <w:rsid w:val="409DBCA7"/>
    <w:rsid w:val="413391E3"/>
    <w:rsid w:val="41B16592"/>
    <w:rsid w:val="423365EA"/>
    <w:rsid w:val="4270A224"/>
    <w:rsid w:val="4284AA1A"/>
    <w:rsid w:val="43022142"/>
    <w:rsid w:val="4393C079"/>
    <w:rsid w:val="440D3CCE"/>
    <w:rsid w:val="4425A43E"/>
    <w:rsid w:val="4442BE53"/>
    <w:rsid w:val="444B7527"/>
    <w:rsid w:val="44670501"/>
    <w:rsid w:val="44970137"/>
    <w:rsid w:val="454EDF5A"/>
    <w:rsid w:val="4562B47F"/>
    <w:rsid w:val="45C36E19"/>
    <w:rsid w:val="45E3223B"/>
    <w:rsid w:val="4628192A"/>
    <w:rsid w:val="46309D2D"/>
    <w:rsid w:val="46572182"/>
    <w:rsid w:val="46618C26"/>
    <w:rsid w:val="46BB5459"/>
    <w:rsid w:val="46E3BF4F"/>
    <w:rsid w:val="46EF1071"/>
    <w:rsid w:val="473BC215"/>
    <w:rsid w:val="4760D211"/>
    <w:rsid w:val="478540F8"/>
    <w:rsid w:val="47FAFEA7"/>
    <w:rsid w:val="48BC125A"/>
    <w:rsid w:val="48F9D409"/>
    <w:rsid w:val="49D89EC9"/>
    <w:rsid w:val="49FC9750"/>
    <w:rsid w:val="4A2DD470"/>
    <w:rsid w:val="4AF65D00"/>
    <w:rsid w:val="4BB275AD"/>
    <w:rsid w:val="4BB2FC50"/>
    <w:rsid w:val="4BCC3487"/>
    <w:rsid w:val="4C0C3A35"/>
    <w:rsid w:val="4CC68C36"/>
    <w:rsid w:val="4CE373DF"/>
    <w:rsid w:val="4D15791C"/>
    <w:rsid w:val="4D332437"/>
    <w:rsid w:val="4D481EF0"/>
    <w:rsid w:val="4D7F57E4"/>
    <w:rsid w:val="4DB22F02"/>
    <w:rsid w:val="4E3B4A6B"/>
    <w:rsid w:val="4E3FDCF7"/>
    <w:rsid w:val="4E501BAF"/>
    <w:rsid w:val="4E623860"/>
    <w:rsid w:val="4EAD0C0B"/>
    <w:rsid w:val="4EDDFB04"/>
    <w:rsid w:val="4EE6B1D8"/>
    <w:rsid w:val="4EF202FA"/>
    <w:rsid w:val="4F37C337"/>
    <w:rsid w:val="4FA5251C"/>
    <w:rsid w:val="5019B3DB"/>
    <w:rsid w:val="5044B7E3"/>
    <w:rsid w:val="505EAACA"/>
    <w:rsid w:val="507B36C3"/>
    <w:rsid w:val="50BD6093"/>
    <w:rsid w:val="50C10464"/>
    <w:rsid w:val="50CBD9DE"/>
    <w:rsid w:val="521CBF03"/>
    <w:rsid w:val="523E06C3"/>
    <w:rsid w:val="524989B4"/>
    <w:rsid w:val="5271668E"/>
    <w:rsid w:val="52FED59A"/>
    <w:rsid w:val="538ABF80"/>
    <w:rsid w:val="5416A68C"/>
    <w:rsid w:val="55129004"/>
    <w:rsid w:val="56231B1D"/>
    <w:rsid w:val="563096E1"/>
    <w:rsid w:val="566283A2"/>
    <w:rsid w:val="56B7B949"/>
    <w:rsid w:val="56E0ED8D"/>
    <w:rsid w:val="570C5213"/>
    <w:rsid w:val="5720F6E6"/>
    <w:rsid w:val="573598D8"/>
    <w:rsid w:val="57FE0EFD"/>
    <w:rsid w:val="5804A25F"/>
    <w:rsid w:val="58DE73A7"/>
    <w:rsid w:val="58F31315"/>
    <w:rsid w:val="590ACF19"/>
    <w:rsid w:val="59CA5270"/>
    <w:rsid w:val="59D9F054"/>
    <w:rsid w:val="5A16FAB8"/>
    <w:rsid w:val="5A4BB2EF"/>
    <w:rsid w:val="5A90770D"/>
    <w:rsid w:val="5AC5F892"/>
    <w:rsid w:val="5AEA3F40"/>
    <w:rsid w:val="5BA381D0"/>
    <w:rsid w:val="5BA8B284"/>
    <w:rsid w:val="5CA398B4"/>
    <w:rsid w:val="5CAEE89A"/>
    <w:rsid w:val="5CC43951"/>
    <w:rsid w:val="5CD08B9E"/>
    <w:rsid w:val="5CF8CE5B"/>
    <w:rsid w:val="5D024E7D"/>
    <w:rsid w:val="5E1431FB"/>
    <w:rsid w:val="5E5BB8A0"/>
    <w:rsid w:val="5E963BAF"/>
    <w:rsid w:val="5EAE0FDE"/>
    <w:rsid w:val="5ED2A53F"/>
    <w:rsid w:val="5F4466DF"/>
    <w:rsid w:val="5F911883"/>
    <w:rsid w:val="5F95AB0F"/>
    <w:rsid w:val="5FB92733"/>
    <w:rsid w:val="5FB9BEAB"/>
    <w:rsid w:val="61C44413"/>
    <w:rsid w:val="620348B0"/>
    <w:rsid w:val="6274B193"/>
    <w:rsid w:val="62C8EB1B"/>
    <w:rsid w:val="62F8E6E2"/>
    <w:rsid w:val="6300A206"/>
    <w:rsid w:val="634958D7"/>
    <w:rsid w:val="636224EE"/>
    <w:rsid w:val="63765659"/>
    <w:rsid w:val="640E89B6"/>
    <w:rsid w:val="641A0311"/>
    <w:rsid w:val="6438ECEA"/>
    <w:rsid w:val="64C04A17"/>
    <w:rsid w:val="64FF243F"/>
    <w:rsid w:val="653BFBD2"/>
    <w:rsid w:val="655D43CC"/>
    <w:rsid w:val="657CF7EE"/>
    <w:rsid w:val="65C2B82B"/>
    <w:rsid w:val="65F2B461"/>
    <w:rsid w:val="65FEF846"/>
    <w:rsid w:val="66812B6F"/>
    <w:rsid w:val="66DE1BCB"/>
    <w:rsid w:val="671B5805"/>
    <w:rsid w:val="674F141D"/>
    <w:rsid w:val="6759FB2E"/>
    <w:rsid w:val="675F52D5"/>
    <w:rsid w:val="679D8B2E"/>
    <w:rsid w:val="67FDAD50"/>
    <w:rsid w:val="68362D89"/>
    <w:rsid w:val="68375E0D"/>
    <w:rsid w:val="683F0CD7"/>
    <w:rsid w:val="68F10AA1"/>
    <w:rsid w:val="69363461"/>
    <w:rsid w:val="6982B334"/>
    <w:rsid w:val="699AACA1"/>
    <w:rsid w:val="69AA25A5"/>
    <w:rsid w:val="69DFA390"/>
    <w:rsid w:val="6A04BCE8"/>
    <w:rsid w:val="6A38A275"/>
    <w:rsid w:val="6AB2E818"/>
    <w:rsid w:val="6AD39859"/>
    <w:rsid w:val="6AF02452"/>
    <w:rsid w:val="6B1347EE"/>
    <w:rsid w:val="6B283FE4"/>
    <w:rsid w:val="6C8CBEFC"/>
    <w:rsid w:val="6D2AB4D0"/>
    <w:rsid w:val="6D6427CC"/>
    <w:rsid w:val="6D81AFE4"/>
    <w:rsid w:val="6D95F36C"/>
    <w:rsid w:val="6DF64768"/>
    <w:rsid w:val="6E96BD40"/>
    <w:rsid w:val="6ED0A627"/>
    <w:rsid w:val="6EFB9157"/>
    <w:rsid w:val="6F048BB4"/>
    <w:rsid w:val="6FE8372D"/>
    <w:rsid w:val="70A6AA71"/>
    <w:rsid w:val="70F3FD2A"/>
    <w:rsid w:val="71177A8A"/>
    <w:rsid w:val="722D93F9"/>
    <w:rsid w:val="727584D0"/>
    <w:rsid w:val="72CDD40E"/>
    <w:rsid w:val="7303CAFD"/>
    <w:rsid w:val="732F56F6"/>
    <w:rsid w:val="73484C82"/>
    <w:rsid w:val="736BC9E2"/>
    <w:rsid w:val="737AF441"/>
    <w:rsid w:val="740709C2"/>
    <w:rsid w:val="74272123"/>
    <w:rsid w:val="742F2ABC"/>
    <w:rsid w:val="745347F5"/>
    <w:rsid w:val="7488F2EF"/>
    <w:rsid w:val="749025C6"/>
    <w:rsid w:val="74E8B06A"/>
    <w:rsid w:val="75222366"/>
    <w:rsid w:val="757C3988"/>
    <w:rsid w:val="75AFA7B1"/>
    <w:rsid w:val="75BFE669"/>
    <w:rsid w:val="75C37C95"/>
    <w:rsid w:val="75FC5955"/>
    <w:rsid w:val="76051029"/>
    <w:rsid w:val="76490AF9"/>
    <w:rsid w:val="766596F2"/>
    <w:rsid w:val="774D1505"/>
    <w:rsid w:val="777D3AB0"/>
    <w:rsid w:val="77FB4035"/>
    <w:rsid w:val="78EE6BB0"/>
    <w:rsid w:val="790A5FF0"/>
    <w:rsid w:val="79324FA9"/>
    <w:rsid w:val="7A8CCBC7"/>
    <w:rsid w:val="7AB27436"/>
    <w:rsid w:val="7AC087DF"/>
    <w:rsid w:val="7B45B9BC"/>
    <w:rsid w:val="7BAD2795"/>
    <w:rsid w:val="7BAEC488"/>
    <w:rsid w:val="7CE7D9B5"/>
    <w:rsid w:val="7D1C6877"/>
    <w:rsid w:val="7D30D0FB"/>
    <w:rsid w:val="7D6910BF"/>
    <w:rsid w:val="7D725E10"/>
    <w:rsid w:val="7D81782F"/>
    <w:rsid w:val="7DA64CF9"/>
    <w:rsid w:val="7DEB43E8"/>
    <w:rsid w:val="7EB724B4"/>
    <w:rsid w:val="7EFC6D37"/>
    <w:rsid w:val="7F50FA51"/>
    <w:rsid w:val="7F811FFC"/>
    <w:rsid w:val="7F83ED1B"/>
    <w:rsid w:val="7FB57291"/>
    <w:rsid w:val="7FF9A98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B6943"/>
  <w15:chartTrackingRefBased/>
  <w15:docId w15:val="{EAE6BE85-BBE3-405F-8366-6C74FEDCE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423D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D423D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D423D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D423D5"/>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23D5"/>
    <w:pPr>
      <w:ind w:left="720"/>
      <w:contextualSpacing/>
    </w:pPr>
  </w:style>
  <w:style w:type="character" w:customStyle="1" w:styleId="Heading3Char">
    <w:name w:val="Heading 3 Char"/>
    <w:basedOn w:val="DefaultParagraphFont"/>
    <w:link w:val="Heading3"/>
    <w:uiPriority w:val="9"/>
    <w:rsid w:val="00D423D5"/>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D423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Heading4Char">
    <w:name w:val="Heading 4 Char"/>
    <w:basedOn w:val="DefaultParagraphFont"/>
    <w:link w:val="Heading4"/>
    <w:uiPriority w:val="9"/>
    <w:semiHidden/>
    <w:rsid w:val="00D423D5"/>
    <w:rPr>
      <w:rFonts w:asciiTheme="majorHAnsi" w:eastAsiaTheme="majorEastAsia" w:hAnsiTheme="majorHAnsi" w:cstheme="majorBidi"/>
      <w:i/>
      <w:iCs/>
      <w:color w:val="2F5496" w:themeColor="accent1" w:themeShade="BF"/>
    </w:rPr>
  </w:style>
  <w:style w:type="character" w:styleId="Strong">
    <w:name w:val="Strong"/>
    <w:basedOn w:val="DefaultParagraphFont"/>
    <w:uiPriority w:val="22"/>
    <w:qFormat/>
    <w:rsid w:val="00D423D5"/>
    <w:rPr>
      <w:b/>
      <w:bCs/>
    </w:rPr>
  </w:style>
  <w:style w:type="character" w:customStyle="1" w:styleId="Heading5Char">
    <w:name w:val="Heading 5 Char"/>
    <w:basedOn w:val="DefaultParagraphFont"/>
    <w:link w:val="Heading5"/>
    <w:uiPriority w:val="9"/>
    <w:semiHidden/>
    <w:rsid w:val="00D423D5"/>
    <w:rPr>
      <w:rFonts w:asciiTheme="majorHAnsi" w:eastAsiaTheme="majorEastAsia" w:hAnsiTheme="majorHAnsi" w:cstheme="majorBidi"/>
      <w:color w:val="2F5496" w:themeColor="accent1" w:themeShade="BF"/>
    </w:rPr>
  </w:style>
  <w:style w:type="character" w:customStyle="1" w:styleId="Heading2Char">
    <w:name w:val="Heading 2 Char"/>
    <w:basedOn w:val="DefaultParagraphFont"/>
    <w:link w:val="Heading2"/>
    <w:uiPriority w:val="9"/>
    <w:semiHidden/>
    <w:rsid w:val="00D423D5"/>
    <w:rPr>
      <w:rFonts w:asciiTheme="majorHAnsi" w:eastAsiaTheme="majorEastAsia" w:hAnsiTheme="majorHAnsi" w:cstheme="majorBidi"/>
      <w:color w:val="2F5496" w:themeColor="accent1" w:themeShade="BF"/>
      <w:sz w:val="26"/>
      <w:szCs w:val="26"/>
    </w:rPr>
  </w:style>
  <w:style w:type="character" w:customStyle="1" w:styleId="sectioncontent-number">
    <w:name w:val="section__content-number"/>
    <w:basedOn w:val="DefaultParagraphFont"/>
    <w:rsid w:val="008956A5"/>
  </w:style>
  <w:style w:type="character" w:styleId="Hyperlink">
    <w:name w:val="Hyperlink"/>
    <w:basedOn w:val="DefaultParagraphFont"/>
    <w:uiPriority w:val="99"/>
    <w:unhideWhenUsed/>
    <w:rsid w:val="008956A5"/>
    <w:rPr>
      <w:color w:val="0000FF"/>
      <w:u w:val="single"/>
    </w:rPr>
  </w:style>
  <w:style w:type="character" w:customStyle="1" w:styleId="embed-codesuccess-container">
    <w:name w:val="embed-code__success-container"/>
    <w:basedOn w:val="DefaultParagraphFont"/>
    <w:rsid w:val="008956A5"/>
  </w:style>
  <w:style w:type="character" w:customStyle="1" w:styleId="normaltextrun">
    <w:name w:val="normaltextrun"/>
    <w:basedOn w:val="DefaultParagraphFont"/>
    <w:rsid w:val="00507B4A"/>
  </w:style>
  <w:style w:type="character" w:customStyle="1" w:styleId="eop">
    <w:name w:val="eop"/>
    <w:basedOn w:val="DefaultParagraphFont"/>
    <w:rsid w:val="00507B4A"/>
  </w:style>
  <w:style w:type="character" w:styleId="UnresolvedMention">
    <w:name w:val="Unresolved Mention"/>
    <w:basedOn w:val="DefaultParagraphFont"/>
    <w:uiPriority w:val="99"/>
    <w:semiHidden/>
    <w:unhideWhenUsed/>
    <w:rsid w:val="00786881"/>
    <w:rPr>
      <w:color w:val="605E5C"/>
      <w:shd w:val="clear" w:color="auto" w:fill="E1DFDD"/>
    </w:rPr>
  </w:style>
  <w:style w:type="paragraph" w:styleId="Header">
    <w:name w:val="header"/>
    <w:basedOn w:val="Normal"/>
    <w:link w:val="HeaderChar"/>
    <w:uiPriority w:val="99"/>
    <w:unhideWhenUsed/>
    <w:rsid w:val="005E35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E35D5"/>
  </w:style>
  <w:style w:type="paragraph" w:styleId="Footer">
    <w:name w:val="footer"/>
    <w:basedOn w:val="Normal"/>
    <w:link w:val="FooterChar"/>
    <w:uiPriority w:val="99"/>
    <w:unhideWhenUsed/>
    <w:rsid w:val="005E35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E35D5"/>
  </w:style>
  <w:style w:type="character" w:styleId="CommentReference">
    <w:name w:val="annotation reference"/>
    <w:basedOn w:val="DefaultParagraphFont"/>
    <w:uiPriority w:val="99"/>
    <w:semiHidden/>
    <w:unhideWhenUsed/>
    <w:rsid w:val="006203F3"/>
    <w:rPr>
      <w:sz w:val="16"/>
      <w:szCs w:val="16"/>
    </w:rPr>
  </w:style>
  <w:style w:type="paragraph" w:styleId="CommentText">
    <w:name w:val="annotation text"/>
    <w:basedOn w:val="Normal"/>
    <w:link w:val="CommentTextChar"/>
    <w:uiPriority w:val="99"/>
    <w:unhideWhenUsed/>
    <w:rsid w:val="006203F3"/>
    <w:pPr>
      <w:spacing w:line="240" w:lineRule="auto"/>
    </w:pPr>
    <w:rPr>
      <w:sz w:val="20"/>
      <w:szCs w:val="20"/>
    </w:rPr>
  </w:style>
  <w:style w:type="character" w:customStyle="1" w:styleId="CommentTextChar">
    <w:name w:val="Comment Text Char"/>
    <w:basedOn w:val="DefaultParagraphFont"/>
    <w:link w:val="CommentText"/>
    <w:uiPriority w:val="99"/>
    <w:rsid w:val="006203F3"/>
    <w:rPr>
      <w:sz w:val="20"/>
      <w:szCs w:val="20"/>
    </w:rPr>
  </w:style>
  <w:style w:type="paragraph" w:styleId="CommentSubject">
    <w:name w:val="annotation subject"/>
    <w:basedOn w:val="CommentText"/>
    <w:next w:val="CommentText"/>
    <w:link w:val="CommentSubjectChar"/>
    <w:uiPriority w:val="99"/>
    <w:semiHidden/>
    <w:unhideWhenUsed/>
    <w:rsid w:val="006203F3"/>
    <w:rPr>
      <w:b/>
      <w:bCs/>
    </w:rPr>
  </w:style>
  <w:style w:type="character" w:customStyle="1" w:styleId="CommentSubjectChar">
    <w:name w:val="Comment Subject Char"/>
    <w:basedOn w:val="CommentTextChar"/>
    <w:link w:val="CommentSubject"/>
    <w:uiPriority w:val="99"/>
    <w:semiHidden/>
    <w:rsid w:val="006203F3"/>
    <w:rPr>
      <w:b/>
      <w:bCs/>
      <w:sz w:val="20"/>
      <w:szCs w:val="20"/>
    </w:rPr>
  </w:style>
  <w:style w:type="paragraph" w:customStyle="1" w:styleId="paragraph">
    <w:name w:val="paragraph"/>
    <w:basedOn w:val="Normal"/>
    <w:rsid w:val="007B1920"/>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3506">
      <w:bodyDiv w:val="1"/>
      <w:marLeft w:val="0"/>
      <w:marRight w:val="0"/>
      <w:marTop w:val="0"/>
      <w:marBottom w:val="0"/>
      <w:divBdr>
        <w:top w:val="none" w:sz="0" w:space="0" w:color="auto"/>
        <w:left w:val="none" w:sz="0" w:space="0" w:color="auto"/>
        <w:bottom w:val="none" w:sz="0" w:space="0" w:color="auto"/>
        <w:right w:val="none" w:sz="0" w:space="0" w:color="auto"/>
      </w:divBdr>
    </w:div>
    <w:div w:id="21326240">
      <w:bodyDiv w:val="1"/>
      <w:marLeft w:val="0"/>
      <w:marRight w:val="0"/>
      <w:marTop w:val="0"/>
      <w:marBottom w:val="0"/>
      <w:divBdr>
        <w:top w:val="none" w:sz="0" w:space="0" w:color="auto"/>
        <w:left w:val="none" w:sz="0" w:space="0" w:color="auto"/>
        <w:bottom w:val="none" w:sz="0" w:space="0" w:color="auto"/>
        <w:right w:val="none" w:sz="0" w:space="0" w:color="auto"/>
      </w:divBdr>
    </w:div>
    <w:div w:id="108596430">
      <w:bodyDiv w:val="1"/>
      <w:marLeft w:val="0"/>
      <w:marRight w:val="0"/>
      <w:marTop w:val="0"/>
      <w:marBottom w:val="0"/>
      <w:divBdr>
        <w:top w:val="none" w:sz="0" w:space="0" w:color="auto"/>
        <w:left w:val="none" w:sz="0" w:space="0" w:color="auto"/>
        <w:bottom w:val="none" w:sz="0" w:space="0" w:color="auto"/>
        <w:right w:val="none" w:sz="0" w:space="0" w:color="auto"/>
      </w:divBdr>
    </w:div>
    <w:div w:id="170267511">
      <w:bodyDiv w:val="1"/>
      <w:marLeft w:val="0"/>
      <w:marRight w:val="0"/>
      <w:marTop w:val="0"/>
      <w:marBottom w:val="0"/>
      <w:divBdr>
        <w:top w:val="none" w:sz="0" w:space="0" w:color="auto"/>
        <w:left w:val="none" w:sz="0" w:space="0" w:color="auto"/>
        <w:bottom w:val="none" w:sz="0" w:space="0" w:color="auto"/>
        <w:right w:val="none" w:sz="0" w:space="0" w:color="auto"/>
      </w:divBdr>
    </w:div>
    <w:div w:id="197015743">
      <w:bodyDiv w:val="1"/>
      <w:marLeft w:val="0"/>
      <w:marRight w:val="0"/>
      <w:marTop w:val="0"/>
      <w:marBottom w:val="0"/>
      <w:divBdr>
        <w:top w:val="none" w:sz="0" w:space="0" w:color="auto"/>
        <w:left w:val="none" w:sz="0" w:space="0" w:color="auto"/>
        <w:bottom w:val="none" w:sz="0" w:space="0" w:color="auto"/>
        <w:right w:val="none" w:sz="0" w:space="0" w:color="auto"/>
      </w:divBdr>
    </w:div>
    <w:div w:id="211776232">
      <w:bodyDiv w:val="1"/>
      <w:marLeft w:val="0"/>
      <w:marRight w:val="0"/>
      <w:marTop w:val="0"/>
      <w:marBottom w:val="0"/>
      <w:divBdr>
        <w:top w:val="none" w:sz="0" w:space="0" w:color="auto"/>
        <w:left w:val="none" w:sz="0" w:space="0" w:color="auto"/>
        <w:bottom w:val="none" w:sz="0" w:space="0" w:color="auto"/>
        <w:right w:val="none" w:sz="0" w:space="0" w:color="auto"/>
      </w:divBdr>
    </w:div>
    <w:div w:id="317344462">
      <w:bodyDiv w:val="1"/>
      <w:marLeft w:val="0"/>
      <w:marRight w:val="0"/>
      <w:marTop w:val="0"/>
      <w:marBottom w:val="0"/>
      <w:divBdr>
        <w:top w:val="none" w:sz="0" w:space="0" w:color="auto"/>
        <w:left w:val="none" w:sz="0" w:space="0" w:color="auto"/>
        <w:bottom w:val="none" w:sz="0" w:space="0" w:color="auto"/>
        <w:right w:val="none" w:sz="0" w:space="0" w:color="auto"/>
      </w:divBdr>
    </w:div>
    <w:div w:id="320041230">
      <w:bodyDiv w:val="1"/>
      <w:marLeft w:val="0"/>
      <w:marRight w:val="0"/>
      <w:marTop w:val="0"/>
      <w:marBottom w:val="0"/>
      <w:divBdr>
        <w:top w:val="none" w:sz="0" w:space="0" w:color="auto"/>
        <w:left w:val="none" w:sz="0" w:space="0" w:color="auto"/>
        <w:bottom w:val="none" w:sz="0" w:space="0" w:color="auto"/>
        <w:right w:val="none" w:sz="0" w:space="0" w:color="auto"/>
      </w:divBdr>
    </w:div>
    <w:div w:id="376004303">
      <w:bodyDiv w:val="1"/>
      <w:marLeft w:val="0"/>
      <w:marRight w:val="0"/>
      <w:marTop w:val="0"/>
      <w:marBottom w:val="0"/>
      <w:divBdr>
        <w:top w:val="none" w:sz="0" w:space="0" w:color="auto"/>
        <w:left w:val="none" w:sz="0" w:space="0" w:color="auto"/>
        <w:bottom w:val="none" w:sz="0" w:space="0" w:color="auto"/>
        <w:right w:val="none" w:sz="0" w:space="0" w:color="auto"/>
      </w:divBdr>
    </w:div>
    <w:div w:id="420687597">
      <w:bodyDiv w:val="1"/>
      <w:marLeft w:val="0"/>
      <w:marRight w:val="0"/>
      <w:marTop w:val="0"/>
      <w:marBottom w:val="0"/>
      <w:divBdr>
        <w:top w:val="none" w:sz="0" w:space="0" w:color="auto"/>
        <w:left w:val="none" w:sz="0" w:space="0" w:color="auto"/>
        <w:bottom w:val="none" w:sz="0" w:space="0" w:color="auto"/>
        <w:right w:val="none" w:sz="0" w:space="0" w:color="auto"/>
      </w:divBdr>
    </w:div>
    <w:div w:id="641884325">
      <w:bodyDiv w:val="1"/>
      <w:marLeft w:val="0"/>
      <w:marRight w:val="0"/>
      <w:marTop w:val="0"/>
      <w:marBottom w:val="0"/>
      <w:divBdr>
        <w:top w:val="none" w:sz="0" w:space="0" w:color="auto"/>
        <w:left w:val="none" w:sz="0" w:space="0" w:color="auto"/>
        <w:bottom w:val="none" w:sz="0" w:space="0" w:color="auto"/>
        <w:right w:val="none" w:sz="0" w:space="0" w:color="auto"/>
      </w:divBdr>
    </w:div>
    <w:div w:id="668868560">
      <w:bodyDiv w:val="1"/>
      <w:marLeft w:val="0"/>
      <w:marRight w:val="0"/>
      <w:marTop w:val="0"/>
      <w:marBottom w:val="0"/>
      <w:divBdr>
        <w:top w:val="none" w:sz="0" w:space="0" w:color="auto"/>
        <w:left w:val="none" w:sz="0" w:space="0" w:color="auto"/>
        <w:bottom w:val="none" w:sz="0" w:space="0" w:color="auto"/>
        <w:right w:val="none" w:sz="0" w:space="0" w:color="auto"/>
      </w:divBdr>
      <w:divsChild>
        <w:div w:id="194273014">
          <w:marLeft w:val="0"/>
          <w:marRight w:val="720"/>
          <w:marTop w:val="0"/>
          <w:marBottom w:val="0"/>
          <w:divBdr>
            <w:top w:val="none" w:sz="0" w:space="0" w:color="auto"/>
            <w:left w:val="none" w:sz="0" w:space="0" w:color="auto"/>
            <w:bottom w:val="none" w:sz="0" w:space="0" w:color="auto"/>
            <w:right w:val="none" w:sz="0" w:space="0" w:color="auto"/>
          </w:divBdr>
          <w:divsChild>
            <w:div w:id="1717584944">
              <w:marLeft w:val="0"/>
              <w:marRight w:val="0"/>
              <w:marTop w:val="0"/>
              <w:marBottom w:val="0"/>
              <w:divBdr>
                <w:top w:val="none" w:sz="0" w:space="0" w:color="auto"/>
                <w:left w:val="none" w:sz="0" w:space="0" w:color="auto"/>
                <w:bottom w:val="none" w:sz="0" w:space="0" w:color="auto"/>
                <w:right w:val="none" w:sz="0" w:space="0" w:color="auto"/>
              </w:divBdr>
              <w:divsChild>
                <w:div w:id="2034728301">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711155060">
          <w:marLeft w:val="0"/>
          <w:marRight w:val="720"/>
          <w:marTop w:val="0"/>
          <w:marBottom w:val="0"/>
          <w:divBdr>
            <w:top w:val="none" w:sz="0" w:space="0" w:color="auto"/>
            <w:left w:val="none" w:sz="0" w:space="0" w:color="auto"/>
            <w:bottom w:val="none" w:sz="0" w:space="0" w:color="auto"/>
            <w:right w:val="none" w:sz="0" w:space="0" w:color="auto"/>
          </w:divBdr>
          <w:divsChild>
            <w:div w:id="2139492608">
              <w:marLeft w:val="0"/>
              <w:marRight w:val="0"/>
              <w:marTop w:val="0"/>
              <w:marBottom w:val="0"/>
              <w:divBdr>
                <w:top w:val="none" w:sz="0" w:space="0" w:color="auto"/>
                <w:left w:val="none" w:sz="0" w:space="0" w:color="auto"/>
                <w:bottom w:val="none" w:sz="0" w:space="0" w:color="auto"/>
                <w:right w:val="none" w:sz="0" w:space="0" w:color="auto"/>
              </w:divBdr>
              <w:divsChild>
                <w:div w:id="572008364">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1160846311">
          <w:marLeft w:val="0"/>
          <w:marRight w:val="720"/>
          <w:marTop w:val="0"/>
          <w:marBottom w:val="0"/>
          <w:divBdr>
            <w:top w:val="none" w:sz="0" w:space="0" w:color="auto"/>
            <w:left w:val="none" w:sz="0" w:space="0" w:color="auto"/>
            <w:bottom w:val="none" w:sz="0" w:space="0" w:color="auto"/>
            <w:right w:val="none" w:sz="0" w:space="0" w:color="auto"/>
          </w:divBdr>
          <w:divsChild>
            <w:div w:id="1899977703">
              <w:marLeft w:val="0"/>
              <w:marRight w:val="0"/>
              <w:marTop w:val="0"/>
              <w:marBottom w:val="0"/>
              <w:divBdr>
                <w:top w:val="none" w:sz="0" w:space="0" w:color="auto"/>
                <w:left w:val="none" w:sz="0" w:space="0" w:color="auto"/>
                <w:bottom w:val="none" w:sz="0" w:space="0" w:color="auto"/>
                <w:right w:val="none" w:sz="0" w:space="0" w:color="auto"/>
              </w:divBdr>
              <w:divsChild>
                <w:div w:id="1268083225">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 w:id="1603537520">
          <w:marLeft w:val="0"/>
          <w:marRight w:val="720"/>
          <w:marTop w:val="0"/>
          <w:marBottom w:val="0"/>
          <w:divBdr>
            <w:top w:val="none" w:sz="0" w:space="0" w:color="auto"/>
            <w:left w:val="none" w:sz="0" w:space="0" w:color="auto"/>
            <w:bottom w:val="none" w:sz="0" w:space="0" w:color="auto"/>
            <w:right w:val="none" w:sz="0" w:space="0" w:color="auto"/>
          </w:divBdr>
        </w:div>
        <w:div w:id="1832059728">
          <w:marLeft w:val="0"/>
          <w:marRight w:val="720"/>
          <w:marTop w:val="0"/>
          <w:marBottom w:val="0"/>
          <w:divBdr>
            <w:top w:val="none" w:sz="0" w:space="0" w:color="auto"/>
            <w:left w:val="none" w:sz="0" w:space="0" w:color="auto"/>
            <w:bottom w:val="none" w:sz="0" w:space="0" w:color="auto"/>
            <w:right w:val="none" w:sz="0" w:space="0" w:color="auto"/>
          </w:divBdr>
        </w:div>
      </w:divsChild>
    </w:div>
    <w:div w:id="702485862">
      <w:bodyDiv w:val="1"/>
      <w:marLeft w:val="0"/>
      <w:marRight w:val="0"/>
      <w:marTop w:val="0"/>
      <w:marBottom w:val="0"/>
      <w:divBdr>
        <w:top w:val="none" w:sz="0" w:space="0" w:color="auto"/>
        <w:left w:val="none" w:sz="0" w:space="0" w:color="auto"/>
        <w:bottom w:val="none" w:sz="0" w:space="0" w:color="auto"/>
        <w:right w:val="none" w:sz="0" w:space="0" w:color="auto"/>
      </w:divBdr>
    </w:div>
    <w:div w:id="731386513">
      <w:bodyDiv w:val="1"/>
      <w:marLeft w:val="0"/>
      <w:marRight w:val="0"/>
      <w:marTop w:val="0"/>
      <w:marBottom w:val="0"/>
      <w:divBdr>
        <w:top w:val="none" w:sz="0" w:space="0" w:color="auto"/>
        <w:left w:val="none" w:sz="0" w:space="0" w:color="auto"/>
        <w:bottom w:val="none" w:sz="0" w:space="0" w:color="auto"/>
        <w:right w:val="none" w:sz="0" w:space="0" w:color="auto"/>
      </w:divBdr>
      <w:divsChild>
        <w:div w:id="104623439">
          <w:marLeft w:val="0"/>
          <w:marRight w:val="0"/>
          <w:marTop w:val="0"/>
          <w:marBottom w:val="0"/>
          <w:divBdr>
            <w:top w:val="none" w:sz="0" w:space="0" w:color="auto"/>
            <w:left w:val="none" w:sz="0" w:space="0" w:color="auto"/>
            <w:bottom w:val="none" w:sz="0" w:space="0" w:color="auto"/>
            <w:right w:val="none" w:sz="0" w:space="0" w:color="auto"/>
          </w:divBdr>
          <w:divsChild>
            <w:div w:id="65424446">
              <w:marLeft w:val="0"/>
              <w:marRight w:val="0"/>
              <w:marTop w:val="0"/>
              <w:marBottom w:val="600"/>
              <w:divBdr>
                <w:top w:val="none" w:sz="0" w:space="0" w:color="auto"/>
                <w:left w:val="none" w:sz="0" w:space="0" w:color="auto"/>
                <w:bottom w:val="none" w:sz="0" w:space="0" w:color="auto"/>
                <w:right w:val="none" w:sz="0" w:space="0" w:color="auto"/>
              </w:divBdr>
              <w:divsChild>
                <w:div w:id="115877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607484">
          <w:marLeft w:val="0"/>
          <w:marRight w:val="0"/>
          <w:marTop w:val="0"/>
          <w:marBottom w:val="0"/>
          <w:divBdr>
            <w:top w:val="none" w:sz="0" w:space="0" w:color="auto"/>
            <w:left w:val="none" w:sz="0" w:space="0" w:color="auto"/>
            <w:bottom w:val="none" w:sz="0" w:space="0" w:color="auto"/>
            <w:right w:val="none" w:sz="0" w:space="0" w:color="auto"/>
          </w:divBdr>
          <w:divsChild>
            <w:div w:id="1747798902">
              <w:marLeft w:val="0"/>
              <w:marRight w:val="0"/>
              <w:marTop w:val="0"/>
              <w:marBottom w:val="600"/>
              <w:divBdr>
                <w:top w:val="none" w:sz="0" w:space="0" w:color="auto"/>
                <w:left w:val="none" w:sz="0" w:space="0" w:color="auto"/>
                <w:bottom w:val="none" w:sz="0" w:space="0" w:color="auto"/>
                <w:right w:val="none" w:sz="0" w:space="0" w:color="auto"/>
              </w:divBdr>
              <w:divsChild>
                <w:div w:id="1275939231">
                  <w:marLeft w:val="0"/>
                  <w:marRight w:val="0"/>
                  <w:marTop w:val="0"/>
                  <w:marBottom w:val="0"/>
                  <w:divBdr>
                    <w:top w:val="none" w:sz="0" w:space="0" w:color="auto"/>
                    <w:left w:val="none" w:sz="0" w:space="0" w:color="auto"/>
                    <w:bottom w:val="none" w:sz="0" w:space="0" w:color="auto"/>
                    <w:right w:val="none" w:sz="0" w:space="0" w:color="auto"/>
                  </w:divBdr>
                  <w:divsChild>
                    <w:div w:id="110783858">
                      <w:marLeft w:val="0"/>
                      <w:marRight w:val="0"/>
                      <w:marTop w:val="0"/>
                      <w:marBottom w:val="375"/>
                      <w:divBdr>
                        <w:top w:val="none" w:sz="0" w:space="0" w:color="auto"/>
                        <w:left w:val="none" w:sz="0" w:space="0" w:color="auto"/>
                        <w:bottom w:val="none" w:sz="0" w:space="0" w:color="auto"/>
                        <w:right w:val="none" w:sz="0" w:space="0" w:color="auto"/>
                      </w:divBdr>
                      <w:divsChild>
                        <w:div w:id="947808417">
                          <w:marLeft w:val="0"/>
                          <w:marRight w:val="0"/>
                          <w:marTop w:val="0"/>
                          <w:marBottom w:val="0"/>
                          <w:divBdr>
                            <w:top w:val="none" w:sz="0" w:space="0" w:color="auto"/>
                            <w:left w:val="none" w:sz="0" w:space="0" w:color="auto"/>
                            <w:bottom w:val="none" w:sz="0" w:space="0" w:color="auto"/>
                            <w:right w:val="none" w:sz="0" w:space="0" w:color="auto"/>
                          </w:divBdr>
                          <w:divsChild>
                            <w:div w:id="465468223">
                              <w:marLeft w:val="0"/>
                              <w:marRight w:val="0"/>
                              <w:marTop w:val="0"/>
                              <w:marBottom w:val="0"/>
                              <w:divBdr>
                                <w:top w:val="none" w:sz="0" w:space="0" w:color="auto"/>
                                <w:left w:val="none" w:sz="0" w:space="0" w:color="auto"/>
                                <w:bottom w:val="none" w:sz="0" w:space="0" w:color="auto"/>
                                <w:right w:val="none" w:sz="0" w:space="0" w:color="auto"/>
                              </w:divBdr>
                            </w:div>
                            <w:div w:id="1375428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919354">
                      <w:marLeft w:val="0"/>
                      <w:marRight w:val="0"/>
                      <w:marTop w:val="0"/>
                      <w:marBottom w:val="375"/>
                      <w:divBdr>
                        <w:top w:val="none" w:sz="0" w:space="0" w:color="auto"/>
                        <w:left w:val="none" w:sz="0" w:space="0" w:color="auto"/>
                        <w:bottom w:val="none" w:sz="0" w:space="0" w:color="auto"/>
                        <w:right w:val="none" w:sz="0" w:space="0" w:color="auto"/>
                      </w:divBdr>
                      <w:divsChild>
                        <w:div w:id="938484655">
                          <w:marLeft w:val="0"/>
                          <w:marRight w:val="0"/>
                          <w:marTop w:val="0"/>
                          <w:marBottom w:val="0"/>
                          <w:divBdr>
                            <w:top w:val="none" w:sz="0" w:space="0" w:color="auto"/>
                            <w:left w:val="none" w:sz="0" w:space="0" w:color="auto"/>
                            <w:bottom w:val="none" w:sz="0" w:space="0" w:color="auto"/>
                            <w:right w:val="none" w:sz="0" w:space="0" w:color="auto"/>
                          </w:divBdr>
                          <w:divsChild>
                            <w:div w:id="346756589">
                              <w:marLeft w:val="0"/>
                              <w:marRight w:val="0"/>
                              <w:marTop w:val="0"/>
                              <w:marBottom w:val="0"/>
                              <w:divBdr>
                                <w:top w:val="none" w:sz="0" w:space="0" w:color="auto"/>
                                <w:left w:val="none" w:sz="0" w:space="0" w:color="auto"/>
                                <w:bottom w:val="none" w:sz="0" w:space="0" w:color="auto"/>
                                <w:right w:val="none" w:sz="0" w:space="0" w:color="auto"/>
                              </w:divBdr>
                            </w:div>
                            <w:div w:id="114111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31859">
                      <w:marLeft w:val="0"/>
                      <w:marRight w:val="0"/>
                      <w:marTop w:val="0"/>
                      <w:marBottom w:val="375"/>
                      <w:divBdr>
                        <w:top w:val="none" w:sz="0" w:space="0" w:color="auto"/>
                        <w:left w:val="none" w:sz="0" w:space="0" w:color="auto"/>
                        <w:bottom w:val="none" w:sz="0" w:space="0" w:color="auto"/>
                        <w:right w:val="none" w:sz="0" w:space="0" w:color="auto"/>
                      </w:divBdr>
                      <w:divsChild>
                        <w:div w:id="2006475047">
                          <w:marLeft w:val="0"/>
                          <w:marRight w:val="0"/>
                          <w:marTop w:val="0"/>
                          <w:marBottom w:val="0"/>
                          <w:divBdr>
                            <w:top w:val="none" w:sz="0" w:space="0" w:color="auto"/>
                            <w:left w:val="none" w:sz="0" w:space="0" w:color="auto"/>
                            <w:bottom w:val="none" w:sz="0" w:space="0" w:color="auto"/>
                            <w:right w:val="none" w:sz="0" w:space="0" w:color="auto"/>
                          </w:divBdr>
                          <w:divsChild>
                            <w:div w:id="138496020">
                              <w:marLeft w:val="0"/>
                              <w:marRight w:val="0"/>
                              <w:marTop w:val="0"/>
                              <w:marBottom w:val="0"/>
                              <w:divBdr>
                                <w:top w:val="none" w:sz="0" w:space="0" w:color="auto"/>
                                <w:left w:val="none" w:sz="0" w:space="0" w:color="auto"/>
                                <w:bottom w:val="none" w:sz="0" w:space="0" w:color="auto"/>
                                <w:right w:val="none" w:sz="0" w:space="0" w:color="auto"/>
                              </w:divBdr>
                            </w:div>
                            <w:div w:id="85245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5319">
                      <w:marLeft w:val="0"/>
                      <w:marRight w:val="0"/>
                      <w:marTop w:val="0"/>
                      <w:marBottom w:val="375"/>
                      <w:divBdr>
                        <w:top w:val="none" w:sz="0" w:space="0" w:color="auto"/>
                        <w:left w:val="none" w:sz="0" w:space="0" w:color="auto"/>
                        <w:bottom w:val="none" w:sz="0" w:space="0" w:color="auto"/>
                        <w:right w:val="none" w:sz="0" w:space="0" w:color="auto"/>
                      </w:divBdr>
                      <w:divsChild>
                        <w:div w:id="456685236">
                          <w:marLeft w:val="0"/>
                          <w:marRight w:val="0"/>
                          <w:marTop w:val="0"/>
                          <w:marBottom w:val="0"/>
                          <w:divBdr>
                            <w:top w:val="none" w:sz="0" w:space="0" w:color="auto"/>
                            <w:left w:val="none" w:sz="0" w:space="0" w:color="auto"/>
                            <w:bottom w:val="none" w:sz="0" w:space="0" w:color="auto"/>
                            <w:right w:val="none" w:sz="0" w:space="0" w:color="auto"/>
                          </w:divBdr>
                          <w:divsChild>
                            <w:div w:id="1791242978">
                              <w:marLeft w:val="0"/>
                              <w:marRight w:val="0"/>
                              <w:marTop w:val="0"/>
                              <w:marBottom w:val="0"/>
                              <w:divBdr>
                                <w:top w:val="none" w:sz="0" w:space="0" w:color="auto"/>
                                <w:left w:val="none" w:sz="0" w:space="0" w:color="auto"/>
                                <w:bottom w:val="none" w:sz="0" w:space="0" w:color="auto"/>
                                <w:right w:val="none" w:sz="0" w:space="0" w:color="auto"/>
                              </w:divBdr>
                            </w:div>
                            <w:div w:id="213667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6744821">
          <w:marLeft w:val="0"/>
          <w:marRight w:val="0"/>
          <w:marTop w:val="0"/>
          <w:marBottom w:val="0"/>
          <w:divBdr>
            <w:top w:val="none" w:sz="0" w:space="0" w:color="auto"/>
            <w:left w:val="none" w:sz="0" w:space="0" w:color="auto"/>
            <w:bottom w:val="none" w:sz="0" w:space="0" w:color="auto"/>
            <w:right w:val="none" w:sz="0" w:space="0" w:color="auto"/>
          </w:divBdr>
          <w:divsChild>
            <w:div w:id="1802112005">
              <w:marLeft w:val="0"/>
              <w:marRight w:val="0"/>
              <w:marTop w:val="0"/>
              <w:marBottom w:val="600"/>
              <w:divBdr>
                <w:top w:val="none" w:sz="0" w:space="0" w:color="auto"/>
                <w:left w:val="none" w:sz="0" w:space="0" w:color="auto"/>
                <w:bottom w:val="none" w:sz="0" w:space="0" w:color="auto"/>
                <w:right w:val="none" w:sz="0" w:space="0" w:color="auto"/>
              </w:divBdr>
              <w:divsChild>
                <w:div w:id="229313316">
                  <w:marLeft w:val="0"/>
                  <w:marRight w:val="0"/>
                  <w:marTop w:val="0"/>
                  <w:marBottom w:val="0"/>
                  <w:divBdr>
                    <w:top w:val="none" w:sz="0" w:space="0" w:color="auto"/>
                    <w:left w:val="none" w:sz="0" w:space="0" w:color="auto"/>
                    <w:bottom w:val="none" w:sz="0" w:space="0" w:color="auto"/>
                    <w:right w:val="none" w:sz="0" w:space="0" w:color="auto"/>
                  </w:divBdr>
                  <w:divsChild>
                    <w:div w:id="853955648">
                      <w:marLeft w:val="0"/>
                      <w:marRight w:val="0"/>
                      <w:marTop w:val="0"/>
                      <w:marBottom w:val="375"/>
                      <w:divBdr>
                        <w:top w:val="none" w:sz="0" w:space="0" w:color="auto"/>
                        <w:left w:val="none" w:sz="0" w:space="0" w:color="auto"/>
                        <w:bottom w:val="none" w:sz="0" w:space="0" w:color="auto"/>
                        <w:right w:val="none" w:sz="0" w:space="0" w:color="auto"/>
                      </w:divBdr>
                      <w:divsChild>
                        <w:div w:id="110246544">
                          <w:marLeft w:val="0"/>
                          <w:marRight w:val="0"/>
                          <w:marTop w:val="0"/>
                          <w:marBottom w:val="0"/>
                          <w:divBdr>
                            <w:top w:val="none" w:sz="0" w:space="0" w:color="auto"/>
                            <w:left w:val="none" w:sz="0" w:space="0" w:color="auto"/>
                            <w:bottom w:val="none" w:sz="0" w:space="0" w:color="auto"/>
                            <w:right w:val="none" w:sz="0" w:space="0" w:color="auto"/>
                          </w:divBdr>
                          <w:divsChild>
                            <w:div w:id="512960665">
                              <w:marLeft w:val="0"/>
                              <w:marRight w:val="0"/>
                              <w:marTop w:val="0"/>
                              <w:marBottom w:val="0"/>
                              <w:divBdr>
                                <w:top w:val="none" w:sz="0" w:space="0" w:color="auto"/>
                                <w:left w:val="none" w:sz="0" w:space="0" w:color="auto"/>
                                <w:bottom w:val="none" w:sz="0" w:space="0" w:color="auto"/>
                                <w:right w:val="none" w:sz="0" w:space="0" w:color="auto"/>
                              </w:divBdr>
                            </w:div>
                            <w:div w:id="212776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209506">
                      <w:marLeft w:val="0"/>
                      <w:marRight w:val="0"/>
                      <w:marTop w:val="0"/>
                      <w:marBottom w:val="375"/>
                      <w:divBdr>
                        <w:top w:val="none" w:sz="0" w:space="0" w:color="auto"/>
                        <w:left w:val="none" w:sz="0" w:space="0" w:color="auto"/>
                        <w:bottom w:val="none" w:sz="0" w:space="0" w:color="auto"/>
                        <w:right w:val="none" w:sz="0" w:space="0" w:color="auto"/>
                      </w:divBdr>
                      <w:divsChild>
                        <w:div w:id="1027873722">
                          <w:marLeft w:val="0"/>
                          <w:marRight w:val="0"/>
                          <w:marTop w:val="0"/>
                          <w:marBottom w:val="0"/>
                          <w:divBdr>
                            <w:top w:val="none" w:sz="0" w:space="0" w:color="auto"/>
                            <w:left w:val="none" w:sz="0" w:space="0" w:color="auto"/>
                            <w:bottom w:val="none" w:sz="0" w:space="0" w:color="auto"/>
                            <w:right w:val="none" w:sz="0" w:space="0" w:color="auto"/>
                          </w:divBdr>
                          <w:divsChild>
                            <w:div w:id="35129095">
                              <w:marLeft w:val="0"/>
                              <w:marRight w:val="0"/>
                              <w:marTop w:val="0"/>
                              <w:marBottom w:val="0"/>
                              <w:divBdr>
                                <w:top w:val="none" w:sz="0" w:space="0" w:color="auto"/>
                                <w:left w:val="none" w:sz="0" w:space="0" w:color="auto"/>
                                <w:bottom w:val="none" w:sz="0" w:space="0" w:color="auto"/>
                                <w:right w:val="none" w:sz="0" w:space="0" w:color="auto"/>
                              </w:divBdr>
                            </w:div>
                            <w:div w:id="58596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2837572">
          <w:marLeft w:val="0"/>
          <w:marRight w:val="0"/>
          <w:marTop w:val="0"/>
          <w:marBottom w:val="0"/>
          <w:divBdr>
            <w:top w:val="none" w:sz="0" w:space="0" w:color="auto"/>
            <w:left w:val="none" w:sz="0" w:space="0" w:color="auto"/>
            <w:bottom w:val="none" w:sz="0" w:space="0" w:color="auto"/>
            <w:right w:val="none" w:sz="0" w:space="0" w:color="auto"/>
          </w:divBdr>
          <w:divsChild>
            <w:div w:id="1236817230">
              <w:marLeft w:val="0"/>
              <w:marRight w:val="0"/>
              <w:marTop w:val="0"/>
              <w:marBottom w:val="600"/>
              <w:divBdr>
                <w:top w:val="none" w:sz="0" w:space="0" w:color="auto"/>
                <w:left w:val="none" w:sz="0" w:space="0" w:color="auto"/>
                <w:bottom w:val="none" w:sz="0" w:space="0" w:color="auto"/>
                <w:right w:val="none" w:sz="0" w:space="0" w:color="auto"/>
              </w:divBdr>
              <w:divsChild>
                <w:div w:id="90711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231216">
          <w:marLeft w:val="0"/>
          <w:marRight w:val="0"/>
          <w:marTop w:val="0"/>
          <w:marBottom w:val="0"/>
          <w:divBdr>
            <w:top w:val="none" w:sz="0" w:space="0" w:color="auto"/>
            <w:left w:val="none" w:sz="0" w:space="0" w:color="auto"/>
            <w:bottom w:val="none" w:sz="0" w:space="0" w:color="auto"/>
            <w:right w:val="none" w:sz="0" w:space="0" w:color="auto"/>
          </w:divBdr>
          <w:divsChild>
            <w:div w:id="735200347">
              <w:marLeft w:val="0"/>
              <w:marRight w:val="0"/>
              <w:marTop w:val="0"/>
              <w:marBottom w:val="600"/>
              <w:divBdr>
                <w:top w:val="none" w:sz="0" w:space="0" w:color="auto"/>
                <w:left w:val="none" w:sz="0" w:space="0" w:color="auto"/>
                <w:bottom w:val="none" w:sz="0" w:space="0" w:color="auto"/>
                <w:right w:val="none" w:sz="0" w:space="0" w:color="auto"/>
              </w:divBdr>
              <w:divsChild>
                <w:div w:id="70321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927510">
      <w:bodyDiv w:val="1"/>
      <w:marLeft w:val="0"/>
      <w:marRight w:val="0"/>
      <w:marTop w:val="0"/>
      <w:marBottom w:val="0"/>
      <w:divBdr>
        <w:top w:val="none" w:sz="0" w:space="0" w:color="auto"/>
        <w:left w:val="none" w:sz="0" w:space="0" w:color="auto"/>
        <w:bottom w:val="none" w:sz="0" w:space="0" w:color="auto"/>
        <w:right w:val="none" w:sz="0" w:space="0" w:color="auto"/>
      </w:divBdr>
    </w:div>
    <w:div w:id="878467187">
      <w:bodyDiv w:val="1"/>
      <w:marLeft w:val="0"/>
      <w:marRight w:val="0"/>
      <w:marTop w:val="0"/>
      <w:marBottom w:val="0"/>
      <w:divBdr>
        <w:top w:val="none" w:sz="0" w:space="0" w:color="auto"/>
        <w:left w:val="none" w:sz="0" w:space="0" w:color="auto"/>
        <w:bottom w:val="none" w:sz="0" w:space="0" w:color="auto"/>
        <w:right w:val="none" w:sz="0" w:space="0" w:color="auto"/>
      </w:divBdr>
      <w:divsChild>
        <w:div w:id="260724126">
          <w:marLeft w:val="0"/>
          <w:marRight w:val="720"/>
          <w:marTop w:val="0"/>
          <w:marBottom w:val="0"/>
          <w:divBdr>
            <w:top w:val="none" w:sz="0" w:space="0" w:color="auto"/>
            <w:left w:val="none" w:sz="0" w:space="0" w:color="auto"/>
            <w:bottom w:val="none" w:sz="0" w:space="0" w:color="auto"/>
            <w:right w:val="none" w:sz="0" w:space="0" w:color="auto"/>
          </w:divBdr>
        </w:div>
        <w:div w:id="864949950">
          <w:marLeft w:val="0"/>
          <w:marRight w:val="720"/>
          <w:marTop w:val="0"/>
          <w:marBottom w:val="0"/>
          <w:divBdr>
            <w:top w:val="none" w:sz="0" w:space="0" w:color="auto"/>
            <w:left w:val="none" w:sz="0" w:space="0" w:color="auto"/>
            <w:bottom w:val="none" w:sz="0" w:space="0" w:color="auto"/>
            <w:right w:val="none" w:sz="0" w:space="0" w:color="auto"/>
          </w:divBdr>
        </w:div>
        <w:div w:id="1338384376">
          <w:marLeft w:val="0"/>
          <w:marRight w:val="720"/>
          <w:marTop w:val="0"/>
          <w:marBottom w:val="0"/>
          <w:divBdr>
            <w:top w:val="none" w:sz="0" w:space="0" w:color="auto"/>
            <w:left w:val="none" w:sz="0" w:space="0" w:color="auto"/>
            <w:bottom w:val="none" w:sz="0" w:space="0" w:color="auto"/>
            <w:right w:val="none" w:sz="0" w:space="0" w:color="auto"/>
          </w:divBdr>
          <w:divsChild>
            <w:div w:id="9112619">
              <w:marLeft w:val="0"/>
              <w:marRight w:val="0"/>
              <w:marTop w:val="0"/>
              <w:marBottom w:val="0"/>
              <w:divBdr>
                <w:top w:val="none" w:sz="0" w:space="0" w:color="auto"/>
                <w:left w:val="none" w:sz="0" w:space="0" w:color="auto"/>
                <w:bottom w:val="none" w:sz="0" w:space="0" w:color="auto"/>
                <w:right w:val="none" w:sz="0" w:space="0" w:color="auto"/>
              </w:divBdr>
              <w:divsChild>
                <w:div w:id="1981107178">
                  <w:marLeft w:val="0"/>
                  <w:marRight w:val="0"/>
                  <w:marTop w:val="120"/>
                  <w:marBottom w:val="0"/>
                  <w:divBdr>
                    <w:top w:val="none" w:sz="0" w:space="0" w:color="auto"/>
                    <w:left w:val="single" w:sz="18" w:space="12" w:color="A6A8AB"/>
                    <w:bottom w:val="none" w:sz="0" w:space="0" w:color="auto"/>
                    <w:right w:val="none" w:sz="0" w:space="0" w:color="auto"/>
                  </w:divBdr>
                </w:div>
              </w:divsChild>
            </w:div>
          </w:divsChild>
        </w:div>
      </w:divsChild>
    </w:div>
    <w:div w:id="879822124">
      <w:bodyDiv w:val="1"/>
      <w:marLeft w:val="0"/>
      <w:marRight w:val="0"/>
      <w:marTop w:val="0"/>
      <w:marBottom w:val="0"/>
      <w:divBdr>
        <w:top w:val="none" w:sz="0" w:space="0" w:color="auto"/>
        <w:left w:val="none" w:sz="0" w:space="0" w:color="auto"/>
        <w:bottom w:val="none" w:sz="0" w:space="0" w:color="auto"/>
        <w:right w:val="none" w:sz="0" w:space="0" w:color="auto"/>
      </w:divBdr>
    </w:div>
    <w:div w:id="971055259">
      <w:bodyDiv w:val="1"/>
      <w:marLeft w:val="0"/>
      <w:marRight w:val="0"/>
      <w:marTop w:val="0"/>
      <w:marBottom w:val="0"/>
      <w:divBdr>
        <w:top w:val="none" w:sz="0" w:space="0" w:color="auto"/>
        <w:left w:val="none" w:sz="0" w:space="0" w:color="auto"/>
        <w:bottom w:val="none" w:sz="0" w:space="0" w:color="auto"/>
        <w:right w:val="none" w:sz="0" w:space="0" w:color="auto"/>
      </w:divBdr>
    </w:div>
    <w:div w:id="984972960">
      <w:bodyDiv w:val="1"/>
      <w:marLeft w:val="0"/>
      <w:marRight w:val="0"/>
      <w:marTop w:val="0"/>
      <w:marBottom w:val="0"/>
      <w:divBdr>
        <w:top w:val="none" w:sz="0" w:space="0" w:color="auto"/>
        <w:left w:val="none" w:sz="0" w:space="0" w:color="auto"/>
        <w:bottom w:val="none" w:sz="0" w:space="0" w:color="auto"/>
        <w:right w:val="none" w:sz="0" w:space="0" w:color="auto"/>
      </w:divBdr>
    </w:div>
    <w:div w:id="1016809976">
      <w:bodyDiv w:val="1"/>
      <w:marLeft w:val="0"/>
      <w:marRight w:val="0"/>
      <w:marTop w:val="0"/>
      <w:marBottom w:val="0"/>
      <w:divBdr>
        <w:top w:val="none" w:sz="0" w:space="0" w:color="auto"/>
        <w:left w:val="none" w:sz="0" w:space="0" w:color="auto"/>
        <w:bottom w:val="none" w:sz="0" w:space="0" w:color="auto"/>
        <w:right w:val="none" w:sz="0" w:space="0" w:color="auto"/>
      </w:divBdr>
    </w:div>
    <w:div w:id="1091315686">
      <w:bodyDiv w:val="1"/>
      <w:marLeft w:val="0"/>
      <w:marRight w:val="0"/>
      <w:marTop w:val="0"/>
      <w:marBottom w:val="0"/>
      <w:divBdr>
        <w:top w:val="none" w:sz="0" w:space="0" w:color="auto"/>
        <w:left w:val="none" w:sz="0" w:space="0" w:color="auto"/>
        <w:bottom w:val="none" w:sz="0" w:space="0" w:color="auto"/>
        <w:right w:val="none" w:sz="0" w:space="0" w:color="auto"/>
      </w:divBdr>
    </w:div>
    <w:div w:id="1150026217">
      <w:bodyDiv w:val="1"/>
      <w:marLeft w:val="0"/>
      <w:marRight w:val="0"/>
      <w:marTop w:val="0"/>
      <w:marBottom w:val="0"/>
      <w:divBdr>
        <w:top w:val="none" w:sz="0" w:space="0" w:color="auto"/>
        <w:left w:val="none" w:sz="0" w:space="0" w:color="auto"/>
        <w:bottom w:val="none" w:sz="0" w:space="0" w:color="auto"/>
        <w:right w:val="none" w:sz="0" w:space="0" w:color="auto"/>
      </w:divBdr>
      <w:divsChild>
        <w:div w:id="666591692">
          <w:marLeft w:val="0"/>
          <w:marRight w:val="0"/>
          <w:marTop w:val="0"/>
          <w:marBottom w:val="0"/>
          <w:divBdr>
            <w:top w:val="none" w:sz="0" w:space="0" w:color="auto"/>
            <w:left w:val="none" w:sz="0" w:space="0" w:color="auto"/>
            <w:bottom w:val="none" w:sz="0" w:space="0" w:color="auto"/>
            <w:right w:val="none" w:sz="0" w:space="0" w:color="auto"/>
          </w:divBdr>
        </w:div>
        <w:div w:id="1954361782">
          <w:marLeft w:val="0"/>
          <w:marRight w:val="0"/>
          <w:marTop w:val="0"/>
          <w:marBottom w:val="0"/>
          <w:divBdr>
            <w:top w:val="none" w:sz="0" w:space="0" w:color="auto"/>
            <w:left w:val="none" w:sz="0" w:space="0" w:color="auto"/>
            <w:bottom w:val="none" w:sz="0" w:space="0" w:color="auto"/>
            <w:right w:val="none" w:sz="0" w:space="0" w:color="auto"/>
          </w:divBdr>
        </w:div>
        <w:div w:id="433793500">
          <w:marLeft w:val="0"/>
          <w:marRight w:val="0"/>
          <w:marTop w:val="0"/>
          <w:marBottom w:val="0"/>
          <w:divBdr>
            <w:top w:val="none" w:sz="0" w:space="0" w:color="auto"/>
            <w:left w:val="none" w:sz="0" w:space="0" w:color="auto"/>
            <w:bottom w:val="none" w:sz="0" w:space="0" w:color="auto"/>
            <w:right w:val="none" w:sz="0" w:space="0" w:color="auto"/>
          </w:divBdr>
        </w:div>
        <w:div w:id="1676609692">
          <w:marLeft w:val="0"/>
          <w:marRight w:val="0"/>
          <w:marTop w:val="0"/>
          <w:marBottom w:val="0"/>
          <w:divBdr>
            <w:top w:val="none" w:sz="0" w:space="0" w:color="auto"/>
            <w:left w:val="none" w:sz="0" w:space="0" w:color="auto"/>
            <w:bottom w:val="none" w:sz="0" w:space="0" w:color="auto"/>
            <w:right w:val="none" w:sz="0" w:space="0" w:color="auto"/>
          </w:divBdr>
        </w:div>
        <w:div w:id="1364865731">
          <w:marLeft w:val="0"/>
          <w:marRight w:val="0"/>
          <w:marTop w:val="0"/>
          <w:marBottom w:val="0"/>
          <w:divBdr>
            <w:top w:val="none" w:sz="0" w:space="0" w:color="auto"/>
            <w:left w:val="none" w:sz="0" w:space="0" w:color="auto"/>
            <w:bottom w:val="none" w:sz="0" w:space="0" w:color="auto"/>
            <w:right w:val="none" w:sz="0" w:space="0" w:color="auto"/>
          </w:divBdr>
        </w:div>
        <w:div w:id="2046784580">
          <w:marLeft w:val="0"/>
          <w:marRight w:val="0"/>
          <w:marTop w:val="0"/>
          <w:marBottom w:val="0"/>
          <w:divBdr>
            <w:top w:val="none" w:sz="0" w:space="0" w:color="auto"/>
            <w:left w:val="none" w:sz="0" w:space="0" w:color="auto"/>
            <w:bottom w:val="none" w:sz="0" w:space="0" w:color="auto"/>
            <w:right w:val="none" w:sz="0" w:space="0" w:color="auto"/>
          </w:divBdr>
        </w:div>
        <w:div w:id="1958222054">
          <w:marLeft w:val="0"/>
          <w:marRight w:val="0"/>
          <w:marTop w:val="0"/>
          <w:marBottom w:val="0"/>
          <w:divBdr>
            <w:top w:val="none" w:sz="0" w:space="0" w:color="auto"/>
            <w:left w:val="none" w:sz="0" w:space="0" w:color="auto"/>
            <w:bottom w:val="none" w:sz="0" w:space="0" w:color="auto"/>
            <w:right w:val="none" w:sz="0" w:space="0" w:color="auto"/>
          </w:divBdr>
        </w:div>
        <w:div w:id="1366559811">
          <w:marLeft w:val="0"/>
          <w:marRight w:val="0"/>
          <w:marTop w:val="0"/>
          <w:marBottom w:val="0"/>
          <w:divBdr>
            <w:top w:val="none" w:sz="0" w:space="0" w:color="auto"/>
            <w:left w:val="none" w:sz="0" w:space="0" w:color="auto"/>
            <w:bottom w:val="none" w:sz="0" w:space="0" w:color="auto"/>
            <w:right w:val="none" w:sz="0" w:space="0" w:color="auto"/>
          </w:divBdr>
        </w:div>
        <w:div w:id="2112972079">
          <w:marLeft w:val="0"/>
          <w:marRight w:val="0"/>
          <w:marTop w:val="0"/>
          <w:marBottom w:val="0"/>
          <w:divBdr>
            <w:top w:val="none" w:sz="0" w:space="0" w:color="auto"/>
            <w:left w:val="none" w:sz="0" w:space="0" w:color="auto"/>
            <w:bottom w:val="none" w:sz="0" w:space="0" w:color="auto"/>
            <w:right w:val="none" w:sz="0" w:space="0" w:color="auto"/>
          </w:divBdr>
        </w:div>
        <w:div w:id="1381978565">
          <w:marLeft w:val="0"/>
          <w:marRight w:val="0"/>
          <w:marTop w:val="0"/>
          <w:marBottom w:val="0"/>
          <w:divBdr>
            <w:top w:val="none" w:sz="0" w:space="0" w:color="auto"/>
            <w:left w:val="none" w:sz="0" w:space="0" w:color="auto"/>
            <w:bottom w:val="none" w:sz="0" w:space="0" w:color="auto"/>
            <w:right w:val="none" w:sz="0" w:space="0" w:color="auto"/>
          </w:divBdr>
        </w:div>
        <w:div w:id="215747653">
          <w:marLeft w:val="0"/>
          <w:marRight w:val="0"/>
          <w:marTop w:val="0"/>
          <w:marBottom w:val="0"/>
          <w:divBdr>
            <w:top w:val="none" w:sz="0" w:space="0" w:color="auto"/>
            <w:left w:val="none" w:sz="0" w:space="0" w:color="auto"/>
            <w:bottom w:val="none" w:sz="0" w:space="0" w:color="auto"/>
            <w:right w:val="none" w:sz="0" w:space="0" w:color="auto"/>
          </w:divBdr>
        </w:div>
        <w:div w:id="1238399560">
          <w:marLeft w:val="0"/>
          <w:marRight w:val="0"/>
          <w:marTop w:val="0"/>
          <w:marBottom w:val="0"/>
          <w:divBdr>
            <w:top w:val="none" w:sz="0" w:space="0" w:color="auto"/>
            <w:left w:val="none" w:sz="0" w:space="0" w:color="auto"/>
            <w:bottom w:val="none" w:sz="0" w:space="0" w:color="auto"/>
            <w:right w:val="none" w:sz="0" w:space="0" w:color="auto"/>
          </w:divBdr>
        </w:div>
        <w:div w:id="964851735">
          <w:marLeft w:val="0"/>
          <w:marRight w:val="0"/>
          <w:marTop w:val="0"/>
          <w:marBottom w:val="0"/>
          <w:divBdr>
            <w:top w:val="none" w:sz="0" w:space="0" w:color="auto"/>
            <w:left w:val="none" w:sz="0" w:space="0" w:color="auto"/>
            <w:bottom w:val="none" w:sz="0" w:space="0" w:color="auto"/>
            <w:right w:val="none" w:sz="0" w:space="0" w:color="auto"/>
          </w:divBdr>
        </w:div>
        <w:div w:id="779229641">
          <w:marLeft w:val="0"/>
          <w:marRight w:val="0"/>
          <w:marTop w:val="0"/>
          <w:marBottom w:val="0"/>
          <w:divBdr>
            <w:top w:val="none" w:sz="0" w:space="0" w:color="auto"/>
            <w:left w:val="none" w:sz="0" w:space="0" w:color="auto"/>
            <w:bottom w:val="none" w:sz="0" w:space="0" w:color="auto"/>
            <w:right w:val="none" w:sz="0" w:space="0" w:color="auto"/>
          </w:divBdr>
        </w:div>
      </w:divsChild>
    </w:div>
    <w:div w:id="1165366746">
      <w:bodyDiv w:val="1"/>
      <w:marLeft w:val="0"/>
      <w:marRight w:val="0"/>
      <w:marTop w:val="0"/>
      <w:marBottom w:val="0"/>
      <w:divBdr>
        <w:top w:val="none" w:sz="0" w:space="0" w:color="auto"/>
        <w:left w:val="none" w:sz="0" w:space="0" w:color="auto"/>
        <w:bottom w:val="none" w:sz="0" w:space="0" w:color="auto"/>
        <w:right w:val="none" w:sz="0" w:space="0" w:color="auto"/>
      </w:divBdr>
    </w:div>
    <w:div w:id="1232079846">
      <w:bodyDiv w:val="1"/>
      <w:marLeft w:val="0"/>
      <w:marRight w:val="0"/>
      <w:marTop w:val="0"/>
      <w:marBottom w:val="0"/>
      <w:divBdr>
        <w:top w:val="none" w:sz="0" w:space="0" w:color="auto"/>
        <w:left w:val="none" w:sz="0" w:space="0" w:color="auto"/>
        <w:bottom w:val="none" w:sz="0" w:space="0" w:color="auto"/>
        <w:right w:val="none" w:sz="0" w:space="0" w:color="auto"/>
      </w:divBdr>
    </w:div>
    <w:div w:id="1241985192">
      <w:bodyDiv w:val="1"/>
      <w:marLeft w:val="0"/>
      <w:marRight w:val="0"/>
      <w:marTop w:val="0"/>
      <w:marBottom w:val="0"/>
      <w:divBdr>
        <w:top w:val="none" w:sz="0" w:space="0" w:color="auto"/>
        <w:left w:val="none" w:sz="0" w:space="0" w:color="auto"/>
        <w:bottom w:val="none" w:sz="0" w:space="0" w:color="auto"/>
        <w:right w:val="none" w:sz="0" w:space="0" w:color="auto"/>
      </w:divBdr>
    </w:div>
    <w:div w:id="1334841227">
      <w:bodyDiv w:val="1"/>
      <w:marLeft w:val="0"/>
      <w:marRight w:val="0"/>
      <w:marTop w:val="0"/>
      <w:marBottom w:val="0"/>
      <w:divBdr>
        <w:top w:val="none" w:sz="0" w:space="0" w:color="auto"/>
        <w:left w:val="none" w:sz="0" w:space="0" w:color="auto"/>
        <w:bottom w:val="none" w:sz="0" w:space="0" w:color="auto"/>
        <w:right w:val="none" w:sz="0" w:space="0" w:color="auto"/>
      </w:divBdr>
    </w:div>
    <w:div w:id="1373579114">
      <w:bodyDiv w:val="1"/>
      <w:marLeft w:val="0"/>
      <w:marRight w:val="0"/>
      <w:marTop w:val="0"/>
      <w:marBottom w:val="0"/>
      <w:divBdr>
        <w:top w:val="none" w:sz="0" w:space="0" w:color="auto"/>
        <w:left w:val="none" w:sz="0" w:space="0" w:color="auto"/>
        <w:bottom w:val="none" w:sz="0" w:space="0" w:color="auto"/>
        <w:right w:val="none" w:sz="0" w:space="0" w:color="auto"/>
      </w:divBdr>
    </w:div>
    <w:div w:id="1395079455">
      <w:bodyDiv w:val="1"/>
      <w:marLeft w:val="0"/>
      <w:marRight w:val="0"/>
      <w:marTop w:val="0"/>
      <w:marBottom w:val="0"/>
      <w:divBdr>
        <w:top w:val="none" w:sz="0" w:space="0" w:color="auto"/>
        <w:left w:val="none" w:sz="0" w:space="0" w:color="auto"/>
        <w:bottom w:val="none" w:sz="0" w:space="0" w:color="auto"/>
        <w:right w:val="none" w:sz="0" w:space="0" w:color="auto"/>
      </w:divBdr>
    </w:div>
    <w:div w:id="1408264094">
      <w:bodyDiv w:val="1"/>
      <w:marLeft w:val="0"/>
      <w:marRight w:val="0"/>
      <w:marTop w:val="0"/>
      <w:marBottom w:val="0"/>
      <w:divBdr>
        <w:top w:val="none" w:sz="0" w:space="0" w:color="auto"/>
        <w:left w:val="none" w:sz="0" w:space="0" w:color="auto"/>
        <w:bottom w:val="none" w:sz="0" w:space="0" w:color="auto"/>
        <w:right w:val="none" w:sz="0" w:space="0" w:color="auto"/>
      </w:divBdr>
      <w:divsChild>
        <w:div w:id="749498391">
          <w:marLeft w:val="0"/>
          <w:marRight w:val="0"/>
          <w:marTop w:val="0"/>
          <w:marBottom w:val="0"/>
          <w:divBdr>
            <w:top w:val="none" w:sz="0" w:space="0" w:color="auto"/>
            <w:left w:val="none" w:sz="0" w:space="0" w:color="auto"/>
            <w:bottom w:val="none" w:sz="0" w:space="0" w:color="auto"/>
            <w:right w:val="none" w:sz="0" w:space="0" w:color="auto"/>
          </w:divBdr>
        </w:div>
        <w:div w:id="1069155625">
          <w:marLeft w:val="0"/>
          <w:marRight w:val="0"/>
          <w:marTop w:val="0"/>
          <w:marBottom w:val="0"/>
          <w:divBdr>
            <w:top w:val="none" w:sz="0" w:space="0" w:color="auto"/>
            <w:left w:val="none" w:sz="0" w:space="0" w:color="auto"/>
            <w:bottom w:val="none" w:sz="0" w:space="0" w:color="auto"/>
            <w:right w:val="none" w:sz="0" w:space="0" w:color="auto"/>
          </w:divBdr>
        </w:div>
        <w:div w:id="1928726111">
          <w:marLeft w:val="0"/>
          <w:marRight w:val="0"/>
          <w:marTop w:val="0"/>
          <w:marBottom w:val="0"/>
          <w:divBdr>
            <w:top w:val="none" w:sz="0" w:space="0" w:color="auto"/>
            <w:left w:val="none" w:sz="0" w:space="0" w:color="auto"/>
            <w:bottom w:val="none" w:sz="0" w:space="0" w:color="auto"/>
            <w:right w:val="none" w:sz="0" w:space="0" w:color="auto"/>
          </w:divBdr>
        </w:div>
        <w:div w:id="3476983">
          <w:marLeft w:val="0"/>
          <w:marRight w:val="0"/>
          <w:marTop w:val="0"/>
          <w:marBottom w:val="0"/>
          <w:divBdr>
            <w:top w:val="none" w:sz="0" w:space="0" w:color="auto"/>
            <w:left w:val="none" w:sz="0" w:space="0" w:color="auto"/>
            <w:bottom w:val="none" w:sz="0" w:space="0" w:color="auto"/>
            <w:right w:val="none" w:sz="0" w:space="0" w:color="auto"/>
          </w:divBdr>
        </w:div>
        <w:div w:id="1233156113">
          <w:marLeft w:val="0"/>
          <w:marRight w:val="0"/>
          <w:marTop w:val="0"/>
          <w:marBottom w:val="0"/>
          <w:divBdr>
            <w:top w:val="none" w:sz="0" w:space="0" w:color="auto"/>
            <w:left w:val="none" w:sz="0" w:space="0" w:color="auto"/>
            <w:bottom w:val="none" w:sz="0" w:space="0" w:color="auto"/>
            <w:right w:val="none" w:sz="0" w:space="0" w:color="auto"/>
          </w:divBdr>
        </w:div>
      </w:divsChild>
    </w:div>
    <w:div w:id="1569996268">
      <w:bodyDiv w:val="1"/>
      <w:marLeft w:val="0"/>
      <w:marRight w:val="0"/>
      <w:marTop w:val="0"/>
      <w:marBottom w:val="0"/>
      <w:divBdr>
        <w:top w:val="none" w:sz="0" w:space="0" w:color="auto"/>
        <w:left w:val="none" w:sz="0" w:space="0" w:color="auto"/>
        <w:bottom w:val="none" w:sz="0" w:space="0" w:color="auto"/>
        <w:right w:val="none" w:sz="0" w:space="0" w:color="auto"/>
      </w:divBdr>
    </w:div>
    <w:div w:id="1692948067">
      <w:bodyDiv w:val="1"/>
      <w:marLeft w:val="0"/>
      <w:marRight w:val="0"/>
      <w:marTop w:val="0"/>
      <w:marBottom w:val="0"/>
      <w:divBdr>
        <w:top w:val="none" w:sz="0" w:space="0" w:color="auto"/>
        <w:left w:val="none" w:sz="0" w:space="0" w:color="auto"/>
        <w:bottom w:val="none" w:sz="0" w:space="0" w:color="auto"/>
        <w:right w:val="none" w:sz="0" w:space="0" w:color="auto"/>
      </w:divBdr>
    </w:div>
    <w:div w:id="1768428015">
      <w:bodyDiv w:val="1"/>
      <w:marLeft w:val="0"/>
      <w:marRight w:val="0"/>
      <w:marTop w:val="0"/>
      <w:marBottom w:val="0"/>
      <w:divBdr>
        <w:top w:val="none" w:sz="0" w:space="0" w:color="auto"/>
        <w:left w:val="none" w:sz="0" w:space="0" w:color="auto"/>
        <w:bottom w:val="none" w:sz="0" w:space="0" w:color="auto"/>
        <w:right w:val="none" w:sz="0" w:space="0" w:color="auto"/>
      </w:divBdr>
    </w:div>
    <w:div w:id="1841891607">
      <w:bodyDiv w:val="1"/>
      <w:marLeft w:val="0"/>
      <w:marRight w:val="0"/>
      <w:marTop w:val="0"/>
      <w:marBottom w:val="0"/>
      <w:divBdr>
        <w:top w:val="none" w:sz="0" w:space="0" w:color="auto"/>
        <w:left w:val="none" w:sz="0" w:space="0" w:color="auto"/>
        <w:bottom w:val="none" w:sz="0" w:space="0" w:color="auto"/>
        <w:right w:val="none" w:sz="0" w:space="0" w:color="auto"/>
      </w:divBdr>
    </w:div>
    <w:div w:id="1895459883">
      <w:bodyDiv w:val="1"/>
      <w:marLeft w:val="0"/>
      <w:marRight w:val="0"/>
      <w:marTop w:val="0"/>
      <w:marBottom w:val="0"/>
      <w:divBdr>
        <w:top w:val="none" w:sz="0" w:space="0" w:color="auto"/>
        <w:left w:val="none" w:sz="0" w:space="0" w:color="auto"/>
        <w:bottom w:val="none" w:sz="0" w:space="0" w:color="auto"/>
        <w:right w:val="none" w:sz="0" w:space="0" w:color="auto"/>
      </w:divBdr>
    </w:div>
    <w:div w:id="1934895812">
      <w:bodyDiv w:val="1"/>
      <w:marLeft w:val="0"/>
      <w:marRight w:val="0"/>
      <w:marTop w:val="0"/>
      <w:marBottom w:val="0"/>
      <w:divBdr>
        <w:top w:val="none" w:sz="0" w:space="0" w:color="auto"/>
        <w:left w:val="none" w:sz="0" w:space="0" w:color="auto"/>
        <w:bottom w:val="none" w:sz="0" w:space="0" w:color="auto"/>
        <w:right w:val="none" w:sz="0" w:space="0" w:color="auto"/>
      </w:divBdr>
    </w:div>
    <w:div w:id="1935283637">
      <w:bodyDiv w:val="1"/>
      <w:marLeft w:val="0"/>
      <w:marRight w:val="0"/>
      <w:marTop w:val="0"/>
      <w:marBottom w:val="0"/>
      <w:divBdr>
        <w:top w:val="none" w:sz="0" w:space="0" w:color="auto"/>
        <w:left w:val="none" w:sz="0" w:space="0" w:color="auto"/>
        <w:bottom w:val="none" w:sz="0" w:space="0" w:color="auto"/>
        <w:right w:val="none" w:sz="0" w:space="0" w:color="auto"/>
      </w:divBdr>
    </w:div>
    <w:div w:id="1970166905">
      <w:bodyDiv w:val="1"/>
      <w:marLeft w:val="0"/>
      <w:marRight w:val="0"/>
      <w:marTop w:val="0"/>
      <w:marBottom w:val="0"/>
      <w:divBdr>
        <w:top w:val="none" w:sz="0" w:space="0" w:color="auto"/>
        <w:left w:val="none" w:sz="0" w:space="0" w:color="auto"/>
        <w:bottom w:val="none" w:sz="0" w:space="0" w:color="auto"/>
        <w:right w:val="none" w:sz="0" w:space="0" w:color="auto"/>
      </w:divBdr>
    </w:div>
    <w:div w:id="1973826095">
      <w:bodyDiv w:val="1"/>
      <w:marLeft w:val="0"/>
      <w:marRight w:val="0"/>
      <w:marTop w:val="0"/>
      <w:marBottom w:val="0"/>
      <w:divBdr>
        <w:top w:val="none" w:sz="0" w:space="0" w:color="auto"/>
        <w:left w:val="none" w:sz="0" w:space="0" w:color="auto"/>
        <w:bottom w:val="none" w:sz="0" w:space="0" w:color="auto"/>
        <w:right w:val="none" w:sz="0" w:space="0" w:color="auto"/>
      </w:divBdr>
    </w:div>
    <w:div w:id="2017919239">
      <w:bodyDiv w:val="1"/>
      <w:marLeft w:val="0"/>
      <w:marRight w:val="0"/>
      <w:marTop w:val="0"/>
      <w:marBottom w:val="0"/>
      <w:divBdr>
        <w:top w:val="none" w:sz="0" w:space="0" w:color="auto"/>
        <w:left w:val="none" w:sz="0" w:space="0" w:color="auto"/>
        <w:bottom w:val="none" w:sz="0" w:space="0" w:color="auto"/>
        <w:right w:val="none" w:sz="0" w:space="0" w:color="auto"/>
      </w:divBdr>
    </w:div>
    <w:div w:id="2018844583">
      <w:bodyDiv w:val="1"/>
      <w:marLeft w:val="0"/>
      <w:marRight w:val="0"/>
      <w:marTop w:val="0"/>
      <w:marBottom w:val="0"/>
      <w:divBdr>
        <w:top w:val="none" w:sz="0" w:space="0" w:color="auto"/>
        <w:left w:val="none" w:sz="0" w:space="0" w:color="auto"/>
        <w:bottom w:val="none" w:sz="0" w:space="0" w:color="auto"/>
        <w:right w:val="none" w:sz="0" w:space="0" w:color="auto"/>
      </w:divBdr>
    </w:div>
    <w:div w:id="2050109545">
      <w:bodyDiv w:val="1"/>
      <w:marLeft w:val="0"/>
      <w:marRight w:val="0"/>
      <w:marTop w:val="0"/>
      <w:marBottom w:val="0"/>
      <w:divBdr>
        <w:top w:val="none" w:sz="0" w:space="0" w:color="auto"/>
        <w:left w:val="none" w:sz="0" w:space="0" w:color="auto"/>
        <w:bottom w:val="none" w:sz="0" w:space="0" w:color="auto"/>
        <w:right w:val="none" w:sz="0" w:space="0" w:color="auto"/>
      </w:divBdr>
    </w:div>
    <w:div w:id="207758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1.xml"/><Relationship Id="rId18" Type="http://schemas.openxmlformats.org/officeDocument/2006/relationships/image" Target="media/image4.png"/><Relationship Id="rId26" Type="http://schemas.openxmlformats.org/officeDocument/2006/relationships/image" Target="media/image7.png"/><Relationship Id="rId39" Type="http://schemas.openxmlformats.org/officeDocument/2006/relationships/fontTable" Target="fontTable.xml"/><Relationship Id="rId21" Type="http://schemas.openxmlformats.org/officeDocument/2006/relationships/chart" Target="charts/chart5.xml"/><Relationship Id="rId34" Type="http://schemas.openxmlformats.org/officeDocument/2006/relationships/hyperlink" Target="https://www.ons.gov.uk/census/maps" TargetMode="External"/><Relationship Id="rId7" Type="http://schemas.openxmlformats.org/officeDocument/2006/relationships/webSettings" Target="webSettings.xml"/><Relationship Id="rId12" Type="http://schemas.openxmlformats.org/officeDocument/2006/relationships/hyperlink" Target="https://www.ons.gov.uk/peoplepopulationandcommunity/healthandsocialcare/healthandwellbeing/bulletins/generalhealthenglandandwales/census2021" TargetMode="External"/><Relationship Id="rId17" Type="http://schemas.openxmlformats.org/officeDocument/2006/relationships/image" Target="media/image3.png"/><Relationship Id="rId25" Type="http://schemas.openxmlformats.org/officeDocument/2006/relationships/chart" Target="charts/chart7.xml"/><Relationship Id="rId33" Type="http://schemas.openxmlformats.org/officeDocument/2006/relationships/hyperlink" Target="https://www.ons.gov.uk/peoplepopulationandcommunity/populationandmigration/internationalmigration/methodologies/longterminternationalmigrationfrequentlyaskedquestionsandbackgroundnotes"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chart" Target="charts/chart4.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chart" Target="charts/chart6.xml"/><Relationship Id="rId32" Type="http://schemas.openxmlformats.org/officeDocument/2006/relationships/hyperlink" Target="https://www.ons.gov.uk/peoplepopulationandcommunity/populationandmigration/populationestimates/methodologies/qualityandmethodologyinformationqmiforcensus2021"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hyperlink" Target="https://www.ons.gov.uk/peoplepopulationandcommunity/populationandmigration/internationalmigration/bulletins/internationalmigrationenglandandwales/census2021" TargetMode="External"/><Relationship Id="rId36" Type="http://schemas.openxmlformats.org/officeDocument/2006/relationships/hyperlink" Target="https://www.nomisweb.co.uk/sources/census_2011" TargetMode="External"/><Relationship Id="rId10" Type="http://schemas.openxmlformats.org/officeDocument/2006/relationships/hyperlink" Target="https://www.ons.gov.uk/peoplepopulationandcommunity/healthandsocialcare/healthandwellbeing/bulletins/generalhealthenglandandwales/census2021" TargetMode="External"/><Relationship Id="rId19" Type="http://schemas.openxmlformats.org/officeDocument/2006/relationships/image" Target="media/image5.png"/><Relationship Id="rId31" Type="http://schemas.openxmlformats.org/officeDocument/2006/relationships/hyperlink" Target="https://www.ons.gov.uk/visualisations/censusareachanges/E06000016/"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hyperlink" Target="https://www.ons.gov.uk/peoplepopulationandcommunity/healthandsocialcare/healthandwellbeing/bulletins/disabilityenglandandwales/census2021" TargetMode="External"/><Relationship Id="rId27" Type="http://schemas.openxmlformats.org/officeDocument/2006/relationships/chart" Target="charts/chart8.xml"/><Relationship Id="rId30" Type="http://schemas.openxmlformats.org/officeDocument/2006/relationships/chart" Target="charts/chart9.xml"/><Relationship Id="rId35" Type="http://schemas.openxmlformats.org/officeDocument/2006/relationships/hyperlink" Target="https://www.ons.gov.uk/peoplepopulationandcommunity/healthandsocialcare/healthandwellbeing/methodologies/healthdisabilityandunpaidcarequalityinformationforcensus2021" TargetMode="External"/><Relationship Id="rId8" Type="http://schemas.openxmlformats.org/officeDocument/2006/relationships/footnotes" Target="footnotes.xml"/><Relationship Id="rId3"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https://uniofleicester.sharepoint.com/sites/Team_66d7c601-2c13-4263-a062-cb444f5c6083/Shared%20Documents/-%20Health%20Theme/Health.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pieChart>
        <c:varyColors val="1"/>
        <c:ser>
          <c:idx val="0"/>
          <c:order val="0"/>
          <c:dPt>
            <c:idx val="0"/>
            <c:bubble3D val="0"/>
            <c:spPr>
              <a:solidFill>
                <a:schemeClr val="accent6">
                  <a:tint val="54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9E8D-402D-A7C4-966E142B4464}"/>
              </c:ext>
            </c:extLst>
          </c:dPt>
          <c:dPt>
            <c:idx val="1"/>
            <c:bubble3D val="0"/>
            <c:spPr>
              <a:solidFill>
                <a:schemeClr val="accent6">
                  <a:tint val="77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9E8D-402D-A7C4-966E142B4464}"/>
              </c:ext>
            </c:extLst>
          </c:dPt>
          <c:dPt>
            <c:idx val="2"/>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9E8D-402D-A7C4-966E142B4464}"/>
              </c:ext>
            </c:extLst>
          </c:dPt>
          <c:dPt>
            <c:idx val="3"/>
            <c:bubble3D val="0"/>
            <c:spPr>
              <a:solidFill>
                <a:schemeClr val="accent6">
                  <a:shade val="76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9E8D-402D-A7C4-966E142B4464}"/>
              </c:ext>
            </c:extLst>
          </c:dPt>
          <c:dPt>
            <c:idx val="4"/>
            <c:bubble3D val="0"/>
            <c:spPr>
              <a:solidFill>
                <a:schemeClr val="accent6">
                  <a:shade val="53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9E8D-402D-A7C4-966E142B4464}"/>
              </c:ext>
            </c:extLst>
          </c:dPt>
          <c:dLbls>
            <c:dLbl>
              <c:idx val="0"/>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tint val="54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01-9E8D-402D-A7C4-966E142B4464}"/>
                </c:ext>
              </c:extLst>
            </c:dLbl>
            <c:dLbl>
              <c:idx val="1"/>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tint val="77000"/>
                        </a:schemeClr>
                      </a:solidFill>
                      <a:latin typeface="+mn-lt"/>
                      <a:ea typeface="+mn-ea"/>
                      <a:cs typeface="+mn-cs"/>
                    </a:defRPr>
                  </a:pPr>
                  <a:endParaRPr lang="en-US"/>
                </a:p>
              </c:txPr>
              <c:dLblPos val="outEnd"/>
              <c:showLegendKey val="0"/>
              <c:showVal val="0"/>
              <c:showCatName val="1"/>
              <c:showSerName val="0"/>
              <c:showPercent val="1"/>
              <c:showBubbleSize val="0"/>
              <c:extLst>
                <c:ext xmlns:c15="http://schemas.microsoft.com/office/drawing/2012/chart" uri="{CE6537A1-D6FC-4f65-9D91-7224C49458BB}">
                  <c15:layout>
                    <c:manualLayout>
                      <c:w val="0.33315972222222223"/>
                      <c:h val="0.24395946999220572"/>
                    </c:manualLayout>
                  </c15:layout>
                </c:ext>
                <c:ext xmlns:c16="http://schemas.microsoft.com/office/drawing/2014/chart" uri="{C3380CC4-5D6E-409C-BE32-E72D297353CC}">
                  <c16:uniqueId val="{00000003-9E8D-402D-A7C4-966E142B4464}"/>
                </c:ext>
              </c:extLst>
            </c:dLbl>
            <c:dLbl>
              <c:idx val="2"/>
              <c:layout>
                <c:manualLayout>
                  <c:x val="-7.712707786526686E-2"/>
                  <c:y val="0.18319350767046555"/>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4288194444444441"/>
                      <c:h val="0.24395946999220572"/>
                    </c:manualLayout>
                  </c15:layout>
                </c:ext>
                <c:ext xmlns:c16="http://schemas.microsoft.com/office/drawing/2014/chart" uri="{C3380CC4-5D6E-409C-BE32-E72D297353CC}">
                  <c16:uniqueId val="{00000005-9E8D-402D-A7C4-966E142B4464}"/>
                </c:ext>
              </c:extLst>
            </c:dLbl>
            <c:dLbl>
              <c:idx val="3"/>
              <c:layout>
                <c:manualLayout>
                  <c:x val="-6.5548993875765543E-2"/>
                  <c:y val="2.9298948699222139E-3"/>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shade val="76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27760416666666665"/>
                      <c:h val="0.24395946999220572"/>
                    </c:manualLayout>
                  </c15:layout>
                </c:ext>
                <c:ext xmlns:c16="http://schemas.microsoft.com/office/drawing/2014/chart" uri="{C3380CC4-5D6E-409C-BE32-E72D297353CC}">
                  <c16:uniqueId val="{00000007-9E8D-402D-A7C4-966E142B4464}"/>
                </c:ext>
              </c:extLst>
            </c:dLbl>
            <c:dLbl>
              <c:idx val="4"/>
              <c:layout>
                <c:manualLayout>
                  <c:x val="0.18835569327275906"/>
                  <c:y val="0"/>
                </c:manualLayout>
              </c:layout>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shade val="53000"/>
                        </a:schemeClr>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9E8D-402D-A7C4-966E142B4464}"/>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'q1. general health'!$A$3:$A$7</c:f>
              <c:strCache>
                <c:ptCount val="5"/>
                <c:pt idx="0">
                  <c:v>Very good health</c:v>
                </c:pt>
                <c:pt idx="1">
                  <c:v>Good health</c:v>
                </c:pt>
                <c:pt idx="2">
                  <c:v>Fair health</c:v>
                </c:pt>
                <c:pt idx="3">
                  <c:v>Bad health</c:v>
                </c:pt>
                <c:pt idx="4">
                  <c:v>Very bad health</c:v>
                </c:pt>
              </c:strCache>
            </c:strRef>
          </c:cat>
          <c:val>
            <c:numRef>
              <c:f>'q1. general health'!$B$3:$B$7</c:f>
              <c:numCache>
                <c:formatCode>#,##0</c:formatCode>
                <c:ptCount val="5"/>
                <c:pt idx="0">
                  <c:v>179719</c:v>
                </c:pt>
                <c:pt idx="1">
                  <c:v>123425</c:v>
                </c:pt>
                <c:pt idx="2">
                  <c:v>46156</c:v>
                </c:pt>
                <c:pt idx="3">
                  <c:v>14749</c:v>
                </c:pt>
                <c:pt idx="4">
                  <c:v>4522</c:v>
                </c:pt>
              </c:numCache>
            </c:numRef>
          </c:val>
          <c:extLst>
            <c:ext xmlns:c16="http://schemas.microsoft.com/office/drawing/2014/chart" uri="{C3380CC4-5D6E-409C-BE32-E72D297353CC}">
              <c16:uniqueId val="{0000000A-9E8D-402D-A7C4-966E142B4464}"/>
            </c:ext>
          </c:extLst>
        </c:ser>
        <c:dLbls>
          <c:dLblPos val="outEnd"/>
          <c:showLegendKey val="0"/>
          <c:showVal val="0"/>
          <c:showCatName val="1"/>
          <c:showSerName val="0"/>
          <c:showPercent val="0"/>
          <c:showBubbleSize val="0"/>
          <c:showLeaderLines val="1"/>
        </c:dLbls>
        <c:firstSliceAng val="0"/>
      </c:pieChart>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General</a:t>
            </a:r>
            <a:r>
              <a:rPr lang="en-GB" baseline="0"/>
              <a:t> Health in Leicester - 2021</a:t>
            </a:r>
            <a:endParaRPr lang="en-GB"/>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spPr>
            <a:solidFill>
              <a:schemeClr val="accent6"/>
            </a:solidFill>
            <a:ln>
              <a:noFill/>
            </a:ln>
            <a:effectLst/>
          </c:spPr>
          <c:invertIfNegative val="0"/>
          <c:cat>
            <c:strRef>
              <c:f>'q1. general health'!$A$3:$A$7</c:f>
              <c:strCache>
                <c:ptCount val="5"/>
                <c:pt idx="0">
                  <c:v>Very good health</c:v>
                </c:pt>
                <c:pt idx="1">
                  <c:v>Good health</c:v>
                </c:pt>
                <c:pt idx="2">
                  <c:v>Fair health</c:v>
                </c:pt>
                <c:pt idx="3">
                  <c:v>Bad health</c:v>
                </c:pt>
                <c:pt idx="4">
                  <c:v>Very bad health</c:v>
                </c:pt>
              </c:strCache>
            </c:strRef>
          </c:cat>
          <c:val>
            <c:numRef>
              <c:f>'q1. general health'!$B$3:$B$7</c:f>
              <c:numCache>
                <c:formatCode>#,##0</c:formatCode>
                <c:ptCount val="5"/>
                <c:pt idx="0">
                  <c:v>179719</c:v>
                </c:pt>
                <c:pt idx="1">
                  <c:v>123425</c:v>
                </c:pt>
                <c:pt idx="2">
                  <c:v>46156</c:v>
                </c:pt>
                <c:pt idx="3">
                  <c:v>14749</c:v>
                </c:pt>
                <c:pt idx="4">
                  <c:v>4522</c:v>
                </c:pt>
              </c:numCache>
            </c:numRef>
          </c:val>
          <c:extLst>
            <c:ext xmlns:c16="http://schemas.microsoft.com/office/drawing/2014/chart" uri="{C3380CC4-5D6E-409C-BE32-E72D297353CC}">
              <c16:uniqueId val="{00000000-EC4A-43A6-9477-3E32D37DEA0A}"/>
            </c:ext>
          </c:extLst>
        </c:ser>
        <c:dLbls>
          <c:showLegendKey val="0"/>
          <c:showVal val="0"/>
          <c:showCatName val="0"/>
          <c:showSerName val="0"/>
          <c:showPercent val="0"/>
          <c:showBubbleSize val="0"/>
        </c:dLbls>
        <c:gapWidth val="219"/>
        <c:overlap val="-27"/>
        <c:axId val="1352713423"/>
        <c:axId val="1352717999"/>
      </c:barChart>
      <c:catAx>
        <c:axId val="13527134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52717999"/>
        <c:crosses val="autoZero"/>
        <c:auto val="1"/>
        <c:lblAlgn val="ctr"/>
        <c:lblOffset val="100"/>
        <c:noMultiLvlLbl val="0"/>
      </c:catAx>
      <c:valAx>
        <c:axId val="1352717999"/>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352713423"/>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sz="1600" b="1" baseline="0"/>
              <a:t>General health in Leicester between 2001-2021 census data </a:t>
            </a:r>
            <a:endParaRPr lang="en-GB" sz="1600"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'q1. general health'!$A$12</c:f>
              <c:strCache>
                <c:ptCount val="1"/>
                <c:pt idx="0">
                  <c:v>General Health: Very good health</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('q1. general health'!$B$11,'q1. general health'!$D$11,'q1. general health'!$F$11)</c:f>
              <c:numCache>
                <c:formatCode>General</c:formatCode>
                <c:ptCount val="3"/>
                <c:pt idx="0">
                  <c:v>2001</c:v>
                </c:pt>
                <c:pt idx="1">
                  <c:v>2011</c:v>
                </c:pt>
                <c:pt idx="2">
                  <c:v>2021</c:v>
                </c:pt>
              </c:numCache>
              <c:extLst/>
            </c:numRef>
          </c:cat>
          <c:val>
            <c:numRef>
              <c:f>('q1. general health'!$B$12,'q1. general health'!$D$12,'q1. general health'!$F$12)</c:f>
              <c:numCache>
                <c:formatCode>0.0</c:formatCode>
                <c:ptCount val="3"/>
                <c:pt idx="0" formatCode="General">
                  <c:v>0</c:v>
                </c:pt>
                <c:pt idx="1">
                  <c:v>44.903119400677298</c:v>
                </c:pt>
                <c:pt idx="2" formatCode="General">
                  <c:v>48.8</c:v>
                </c:pt>
              </c:numCache>
              <c:extLst/>
            </c:numRef>
          </c:val>
          <c:extLst>
            <c:ext xmlns:c16="http://schemas.microsoft.com/office/drawing/2014/chart" uri="{C3380CC4-5D6E-409C-BE32-E72D297353CC}">
              <c16:uniqueId val="{00000000-0740-45A2-8EFE-253994971939}"/>
            </c:ext>
          </c:extLst>
        </c:ser>
        <c:ser>
          <c:idx val="1"/>
          <c:order val="1"/>
          <c:tx>
            <c:strRef>
              <c:f>'q1. general health'!$A$13</c:f>
              <c:strCache>
                <c:ptCount val="1"/>
                <c:pt idx="0">
                  <c:v>General Health: Good health</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('q1. general health'!$B$11,'q1. general health'!$D$11,'q1. general health'!$F$11)</c:f>
              <c:numCache>
                <c:formatCode>General</c:formatCode>
                <c:ptCount val="3"/>
                <c:pt idx="0">
                  <c:v>2001</c:v>
                </c:pt>
                <c:pt idx="1">
                  <c:v>2011</c:v>
                </c:pt>
                <c:pt idx="2">
                  <c:v>2021</c:v>
                </c:pt>
              </c:numCache>
              <c:extLst/>
            </c:numRef>
          </c:cat>
          <c:val>
            <c:numRef>
              <c:f>('q1. general health'!$B$13,'q1. general health'!$D$13,'q1. general health'!$F$13)</c:f>
              <c:numCache>
                <c:formatCode>0.0</c:formatCode>
                <c:ptCount val="3"/>
                <c:pt idx="0">
                  <c:v>65.763330577847356</c:v>
                </c:pt>
                <c:pt idx="1">
                  <c:v>35.638902616124838</c:v>
                </c:pt>
                <c:pt idx="2" formatCode="General">
                  <c:v>33.5</c:v>
                </c:pt>
              </c:numCache>
              <c:extLst/>
            </c:numRef>
          </c:val>
          <c:extLst>
            <c:ext xmlns:c16="http://schemas.microsoft.com/office/drawing/2014/chart" uri="{C3380CC4-5D6E-409C-BE32-E72D297353CC}">
              <c16:uniqueId val="{00000001-0740-45A2-8EFE-253994971939}"/>
            </c:ext>
          </c:extLst>
        </c:ser>
        <c:ser>
          <c:idx val="2"/>
          <c:order val="2"/>
          <c:tx>
            <c:strRef>
              <c:f>'q1. general health'!$A$14</c:f>
              <c:strCache>
                <c:ptCount val="1"/>
                <c:pt idx="0">
                  <c:v>General Health: Fair health</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('q1. general health'!$B$11,'q1. general health'!$D$11,'q1. general health'!$F$11)</c:f>
              <c:numCache>
                <c:formatCode>General</c:formatCode>
                <c:ptCount val="3"/>
                <c:pt idx="0">
                  <c:v>2001</c:v>
                </c:pt>
                <c:pt idx="1">
                  <c:v>2011</c:v>
                </c:pt>
                <c:pt idx="2">
                  <c:v>2021</c:v>
                </c:pt>
              </c:numCache>
              <c:extLst/>
            </c:numRef>
          </c:cat>
          <c:val>
            <c:numRef>
              <c:f>('q1. general health'!$B$14,'q1. general health'!$D$14,'q1. general health'!$F$14)</c:f>
              <c:numCache>
                <c:formatCode>0.0</c:formatCode>
                <c:ptCount val="3"/>
                <c:pt idx="0">
                  <c:v>24.149030337169066</c:v>
                </c:pt>
                <c:pt idx="1">
                  <c:v>13.424125103459566</c:v>
                </c:pt>
                <c:pt idx="2" formatCode="General">
                  <c:v>12.5</c:v>
                </c:pt>
              </c:numCache>
              <c:extLst/>
            </c:numRef>
          </c:val>
          <c:extLst>
            <c:ext xmlns:c16="http://schemas.microsoft.com/office/drawing/2014/chart" uri="{C3380CC4-5D6E-409C-BE32-E72D297353CC}">
              <c16:uniqueId val="{00000002-0740-45A2-8EFE-253994971939}"/>
            </c:ext>
          </c:extLst>
        </c:ser>
        <c:ser>
          <c:idx val="3"/>
          <c:order val="3"/>
          <c:tx>
            <c:strRef>
              <c:f>'q1. general health'!$A$15</c:f>
              <c:strCache>
                <c:ptCount val="1"/>
                <c:pt idx="0">
                  <c:v>General Health : Not good health</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('q1. general health'!$B$11,'q1. general health'!$D$11,'q1. general health'!$F$11)</c:f>
              <c:numCache>
                <c:formatCode>General</c:formatCode>
                <c:ptCount val="3"/>
                <c:pt idx="0">
                  <c:v>2001</c:v>
                </c:pt>
                <c:pt idx="1">
                  <c:v>2011</c:v>
                </c:pt>
                <c:pt idx="2">
                  <c:v>2021</c:v>
                </c:pt>
              </c:numCache>
              <c:extLst/>
            </c:numRef>
          </c:cat>
          <c:val>
            <c:numRef>
              <c:f>('q1. general health'!$B$15,'q1. general health'!$D$15,'q1. general health'!$F$15)</c:f>
              <c:numCache>
                <c:formatCode>0.0</c:formatCode>
                <c:ptCount val="3"/>
                <c:pt idx="0">
                  <c:v>10.087639084983577</c:v>
                </c:pt>
                <c:pt idx="1">
                  <c:v>49.063027719584404</c:v>
                </c:pt>
                <c:pt idx="2" formatCode="General">
                  <c:v>46</c:v>
                </c:pt>
              </c:numCache>
              <c:extLst/>
            </c:numRef>
          </c:val>
          <c:extLst>
            <c:ext xmlns:c16="http://schemas.microsoft.com/office/drawing/2014/chart" uri="{C3380CC4-5D6E-409C-BE32-E72D297353CC}">
              <c16:uniqueId val="{00000003-0740-45A2-8EFE-253994971939}"/>
            </c:ext>
          </c:extLst>
        </c:ser>
        <c:dLbls>
          <c:dLblPos val="outEnd"/>
          <c:showLegendKey val="0"/>
          <c:showVal val="1"/>
          <c:showCatName val="0"/>
          <c:showSerName val="0"/>
          <c:showPercent val="0"/>
          <c:showBubbleSize val="0"/>
        </c:dLbls>
        <c:gapWidth val="182"/>
        <c:axId val="497326703"/>
        <c:axId val="497325039"/>
      </c:barChart>
      <c:catAx>
        <c:axId val="49732670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Census</a:t>
                </a:r>
                <a:r>
                  <a:rPr lang="en-GB" baseline="0"/>
                  <a:t> year</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7325039"/>
        <c:crosses val="autoZero"/>
        <c:auto val="1"/>
        <c:lblAlgn val="ctr"/>
        <c:lblOffset val="100"/>
        <c:noMultiLvlLbl val="0"/>
      </c:catAx>
      <c:valAx>
        <c:axId val="4973250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Percentage</a:t>
                </a:r>
                <a:r>
                  <a:rPr lang="en-GB" baseline="0"/>
                  <a:t> of census respondents (%)</a:t>
                </a:r>
                <a:endParaRPr lang="en-GB"/>
              </a:p>
            </c:rich>
          </c:tx>
          <c:layout>
            <c:manualLayout>
              <c:xMode val="edge"/>
              <c:yMode val="edge"/>
              <c:x val="2.5867136978248089E-2"/>
              <c:y val="7.8181818181818186E-2"/>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973267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a:t>Comparison</a:t>
            </a:r>
            <a:r>
              <a:rPr lang="en-GB" b="1" baseline="0"/>
              <a:t> of general health in 2011 Census across five areas </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'Area comparisons- health data'!$A$6</c:f>
              <c:strCache>
                <c:ptCount val="1"/>
                <c:pt idx="0">
                  <c:v>General Health: Very good health</c:v>
                </c:pt>
              </c:strCache>
            </c:strRef>
          </c:tx>
          <c:spPr>
            <a:solidFill>
              <a:schemeClr val="accent1"/>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data'!$B$6:$L$6</c:f>
              <c:numCache>
                <c:formatCode>#,##0</c:formatCode>
                <c:ptCount val="5"/>
                <c:pt idx="0">
                  <c:v>148108</c:v>
                </c:pt>
                <c:pt idx="1">
                  <c:v>488568</c:v>
                </c:pt>
                <c:pt idx="2" formatCode="0">
                  <c:v>129032.75</c:v>
                </c:pt>
                <c:pt idx="3">
                  <c:v>141038</c:v>
                </c:pt>
                <c:pt idx="4">
                  <c:v>111837</c:v>
                </c:pt>
              </c:numCache>
            </c:numRef>
          </c:val>
          <c:extLst>
            <c:ext xmlns:c16="http://schemas.microsoft.com/office/drawing/2014/chart" uri="{C3380CC4-5D6E-409C-BE32-E72D297353CC}">
              <c16:uniqueId val="{00000000-3A78-4ED4-A362-8DABB91BFA60}"/>
            </c:ext>
          </c:extLst>
        </c:ser>
        <c:ser>
          <c:idx val="1"/>
          <c:order val="1"/>
          <c:tx>
            <c:strRef>
              <c:f>'Area comparisons- health data'!$A$7</c:f>
              <c:strCache>
                <c:ptCount val="1"/>
                <c:pt idx="0">
                  <c:v>General Health: Good health</c:v>
                </c:pt>
              </c:strCache>
            </c:strRef>
          </c:tx>
          <c:spPr>
            <a:solidFill>
              <a:schemeClr val="accent2"/>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data'!$B$7:$L$7</c:f>
              <c:numCache>
                <c:formatCode>#,##0</c:formatCode>
                <c:ptCount val="5"/>
                <c:pt idx="0">
                  <c:v>117551</c:v>
                </c:pt>
                <c:pt idx="1">
                  <c:v>363904</c:v>
                </c:pt>
                <c:pt idx="2" formatCode="0">
                  <c:v>75912</c:v>
                </c:pt>
                <c:pt idx="3">
                  <c:v>103332</c:v>
                </c:pt>
                <c:pt idx="4">
                  <c:v>87060</c:v>
                </c:pt>
              </c:numCache>
            </c:numRef>
          </c:val>
          <c:extLst>
            <c:ext xmlns:c16="http://schemas.microsoft.com/office/drawing/2014/chart" uri="{C3380CC4-5D6E-409C-BE32-E72D297353CC}">
              <c16:uniqueId val="{00000001-3A78-4ED4-A362-8DABB91BFA60}"/>
            </c:ext>
          </c:extLst>
        </c:ser>
        <c:ser>
          <c:idx val="2"/>
          <c:order val="2"/>
          <c:tx>
            <c:strRef>
              <c:f>'Area comparisons- health data'!$A$8</c:f>
              <c:strCache>
                <c:ptCount val="1"/>
                <c:pt idx="0">
                  <c:v>General Health: Fair health</c:v>
                </c:pt>
              </c:strCache>
            </c:strRef>
          </c:tx>
          <c:spPr>
            <a:solidFill>
              <a:schemeClr val="accent3"/>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data'!$B$8:$L$8</c:f>
              <c:numCache>
                <c:formatCode>#,##0</c:formatCode>
                <c:ptCount val="5"/>
                <c:pt idx="0">
                  <c:v>44278</c:v>
                </c:pt>
                <c:pt idx="1">
                  <c:v>148782</c:v>
                </c:pt>
                <c:pt idx="2" formatCode="0">
                  <c:v>25312.583333333332</c:v>
                </c:pt>
                <c:pt idx="3">
                  <c:v>41581</c:v>
                </c:pt>
                <c:pt idx="4">
                  <c:v>35193</c:v>
                </c:pt>
              </c:numCache>
            </c:numRef>
          </c:val>
          <c:extLst>
            <c:ext xmlns:c16="http://schemas.microsoft.com/office/drawing/2014/chart" uri="{C3380CC4-5D6E-409C-BE32-E72D297353CC}">
              <c16:uniqueId val="{00000002-3A78-4ED4-A362-8DABB91BFA60}"/>
            </c:ext>
          </c:extLst>
        </c:ser>
        <c:ser>
          <c:idx val="3"/>
          <c:order val="3"/>
          <c:tx>
            <c:strRef>
              <c:f>'Area comparisons- health data'!$A$9</c:f>
              <c:strCache>
                <c:ptCount val="1"/>
                <c:pt idx="0">
                  <c:v>General Health : Not good health</c:v>
                </c:pt>
              </c:strCache>
            </c:strRef>
          </c:tx>
          <c:spPr>
            <a:solidFill>
              <a:schemeClr val="accent4"/>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data'!$B$9:$L$9</c:f>
            </c:numRef>
          </c:val>
          <c:extLst>
            <c:ext xmlns:c16="http://schemas.microsoft.com/office/drawing/2014/chart" uri="{C3380CC4-5D6E-409C-BE32-E72D297353CC}">
              <c16:uniqueId val="{00000003-3A78-4ED4-A362-8DABB91BFA60}"/>
            </c:ext>
          </c:extLst>
        </c:ser>
        <c:ser>
          <c:idx val="4"/>
          <c:order val="4"/>
          <c:tx>
            <c:strRef>
              <c:f>'Area comparisons- health data'!$A$10</c:f>
              <c:strCache>
                <c:ptCount val="1"/>
                <c:pt idx="0">
                  <c:v>General Health: Bad health</c:v>
                </c:pt>
              </c:strCache>
            </c:strRef>
          </c:tx>
          <c:spPr>
            <a:solidFill>
              <a:schemeClr val="accent5"/>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data'!$B$10:$L$10</c:f>
              <c:numCache>
                <c:formatCode>#,##0</c:formatCode>
                <c:ptCount val="5"/>
                <c:pt idx="0">
                  <c:v>14972</c:v>
                </c:pt>
                <c:pt idx="1">
                  <c:v>54105</c:v>
                </c:pt>
                <c:pt idx="2" formatCode="0">
                  <c:v>9475.3333333333339</c:v>
                </c:pt>
                <c:pt idx="3">
                  <c:v>15063</c:v>
                </c:pt>
                <c:pt idx="4">
                  <c:v>11413</c:v>
                </c:pt>
              </c:numCache>
            </c:numRef>
          </c:val>
          <c:extLst>
            <c:ext xmlns:c16="http://schemas.microsoft.com/office/drawing/2014/chart" uri="{C3380CC4-5D6E-409C-BE32-E72D297353CC}">
              <c16:uniqueId val="{00000004-3A78-4ED4-A362-8DABB91BFA60}"/>
            </c:ext>
          </c:extLst>
        </c:ser>
        <c:ser>
          <c:idx val="5"/>
          <c:order val="5"/>
          <c:tx>
            <c:strRef>
              <c:f>'Area comparisons- health data'!$A$11</c:f>
              <c:strCache>
                <c:ptCount val="1"/>
                <c:pt idx="0">
                  <c:v>General Health: Very bad health</c:v>
                </c:pt>
              </c:strCache>
            </c:strRef>
          </c:tx>
          <c:spPr>
            <a:solidFill>
              <a:schemeClr val="accent6"/>
            </a:solidFill>
            <a:ln>
              <a:noFill/>
            </a:ln>
            <a:effectLst/>
          </c:spPr>
          <c:invertIfNegative val="0"/>
          <c:cat>
            <c:strRef>
              <c:f>'Area comparisons- health data'!$B$5:$L$5</c:f>
              <c:strCache>
                <c:ptCount val="5"/>
                <c:pt idx="0">
                  <c:v>Leicester</c:v>
                </c:pt>
                <c:pt idx="1">
                  <c:v>Birmingham</c:v>
                </c:pt>
                <c:pt idx="2">
                  <c:v>Inner London*</c:v>
                </c:pt>
                <c:pt idx="3">
                  <c:v>Nottingham</c:v>
                </c:pt>
                <c:pt idx="4">
                  <c:v>Derby</c:v>
                </c:pt>
              </c:strCache>
            </c:strRef>
          </c:cat>
          <c:val>
            <c:numRef>
              <c:f>'Area comparisons- health data'!$B$11:$L$11</c:f>
              <c:numCache>
                <c:formatCode>#,##0</c:formatCode>
                <c:ptCount val="5"/>
                <c:pt idx="0">
                  <c:v>4930</c:v>
                </c:pt>
                <c:pt idx="1">
                  <c:v>17686</c:v>
                </c:pt>
                <c:pt idx="2" formatCode="0">
                  <c:v>3281.75</c:v>
                </c:pt>
                <c:pt idx="3">
                  <c:v>4666</c:v>
                </c:pt>
                <c:pt idx="4">
                  <c:v>3249</c:v>
                </c:pt>
              </c:numCache>
            </c:numRef>
          </c:val>
          <c:extLst>
            <c:ext xmlns:c16="http://schemas.microsoft.com/office/drawing/2014/chart" uri="{C3380CC4-5D6E-409C-BE32-E72D297353CC}">
              <c16:uniqueId val="{00000005-3A78-4ED4-A362-8DABB91BFA60}"/>
            </c:ext>
          </c:extLst>
        </c:ser>
        <c:dLbls>
          <c:showLegendKey val="0"/>
          <c:showVal val="0"/>
          <c:showCatName val="0"/>
          <c:showSerName val="0"/>
          <c:showPercent val="0"/>
          <c:showBubbleSize val="0"/>
        </c:dLbls>
        <c:gapWidth val="219"/>
        <c:overlap val="-27"/>
        <c:axId val="1583851999"/>
        <c:axId val="1583848255"/>
      </c:barChart>
      <c:catAx>
        <c:axId val="158385199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3848255"/>
        <c:crosses val="autoZero"/>
        <c:auto val="1"/>
        <c:lblAlgn val="ctr"/>
        <c:lblOffset val="100"/>
        <c:noMultiLvlLbl val="0"/>
      </c:catAx>
      <c:valAx>
        <c:axId val="158384825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Number</a:t>
                </a:r>
                <a:r>
                  <a:rPr lang="en-GB" baseline="0"/>
                  <a:t> od respondents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8385199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r>
              <a:rPr lang="en-GB" sz="1800" b="1" i="0" baseline="0">
                <a:effectLst/>
              </a:rPr>
              <a:t>Comparison of general health in 2021 Census across five areas </a:t>
            </a:r>
            <a:endParaRPr lang="en-GB">
              <a:effectLst/>
            </a:endParaRPr>
          </a:p>
          <a:p>
            <a:pPr marL="0" marR="0" lvl="0" indent="0" algn="ctr" defTabSz="914400" rtl="0" eaLnBrk="1" fontAlgn="auto" latinLnBrk="0" hangingPunct="1">
              <a:lnSpc>
                <a:spcPct val="100000"/>
              </a:lnSpc>
              <a:spcBef>
                <a:spcPts val="0"/>
              </a:spcBef>
              <a:spcAft>
                <a:spcPts val="0"/>
              </a:spcAft>
              <a:buClrTx/>
              <a:buSzTx/>
              <a:buFontTx/>
              <a:buNone/>
              <a:tabLst/>
              <a:defRPr>
                <a:solidFill>
                  <a:sysClr val="windowText" lastClr="000000">
                    <a:lumMod val="65000"/>
                    <a:lumOff val="35000"/>
                  </a:sysClr>
                </a:solidFill>
              </a:defRPr>
            </a:pPr>
            <a:endParaRPr lang="en-GB"/>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40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tx>
            <c:strRef>
              <c:f>'Area comparisons- health data'!$N$6</c:f>
              <c:strCache>
                <c:ptCount val="1"/>
                <c:pt idx="0">
                  <c:v>General Health: Very good health</c:v>
                </c:pt>
              </c:strCache>
            </c:strRef>
          </c:tx>
          <c:spPr>
            <a:solidFill>
              <a:schemeClr val="accent1"/>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data'!$O$6:$S$6</c:f>
              <c:numCache>
                <c:formatCode>General</c:formatCode>
                <c:ptCount val="5"/>
                <c:pt idx="0">
                  <c:v>179719</c:v>
                </c:pt>
                <c:pt idx="1">
                  <c:v>544500</c:v>
                </c:pt>
                <c:pt idx="2" formatCode="0">
                  <c:v>142994.33333333334</c:v>
                </c:pt>
                <c:pt idx="3">
                  <c:v>153956</c:v>
                </c:pt>
                <c:pt idx="4">
                  <c:v>119809</c:v>
                </c:pt>
              </c:numCache>
            </c:numRef>
          </c:val>
          <c:extLst>
            <c:ext xmlns:c16="http://schemas.microsoft.com/office/drawing/2014/chart" uri="{C3380CC4-5D6E-409C-BE32-E72D297353CC}">
              <c16:uniqueId val="{00000000-4AF7-4DE9-A6C2-ACE4B8D8CEC7}"/>
            </c:ext>
          </c:extLst>
        </c:ser>
        <c:ser>
          <c:idx val="1"/>
          <c:order val="1"/>
          <c:tx>
            <c:strRef>
              <c:f>'Area comparisons- health data'!$N$7</c:f>
              <c:strCache>
                <c:ptCount val="1"/>
                <c:pt idx="0">
                  <c:v>General Health: Good health</c:v>
                </c:pt>
              </c:strCache>
            </c:strRef>
          </c:tx>
          <c:spPr>
            <a:solidFill>
              <a:schemeClr val="accent2"/>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data'!$O$7:$S$7</c:f>
              <c:numCache>
                <c:formatCode>General</c:formatCode>
                <c:ptCount val="5"/>
                <c:pt idx="0">
                  <c:v>123425</c:v>
                </c:pt>
                <c:pt idx="1">
                  <c:v>380993</c:v>
                </c:pt>
                <c:pt idx="2" formatCode="0">
                  <c:v>76424.5</c:v>
                </c:pt>
                <c:pt idx="3">
                  <c:v>108292</c:v>
                </c:pt>
                <c:pt idx="4">
                  <c:v>90551</c:v>
                </c:pt>
              </c:numCache>
            </c:numRef>
          </c:val>
          <c:extLst>
            <c:ext xmlns:c16="http://schemas.microsoft.com/office/drawing/2014/chart" uri="{C3380CC4-5D6E-409C-BE32-E72D297353CC}">
              <c16:uniqueId val="{00000001-4AF7-4DE9-A6C2-ACE4B8D8CEC7}"/>
            </c:ext>
          </c:extLst>
        </c:ser>
        <c:ser>
          <c:idx val="2"/>
          <c:order val="2"/>
          <c:tx>
            <c:strRef>
              <c:f>'Area comparisons- health data'!$N$8</c:f>
              <c:strCache>
                <c:ptCount val="1"/>
                <c:pt idx="0">
                  <c:v>General Health: Fair health</c:v>
                </c:pt>
              </c:strCache>
            </c:strRef>
          </c:tx>
          <c:spPr>
            <a:solidFill>
              <a:schemeClr val="accent3"/>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data'!$O$8:$S$8</c:f>
              <c:numCache>
                <c:formatCode>General</c:formatCode>
                <c:ptCount val="5"/>
                <c:pt idx="0">
                  <c:v>46156</c:v>
                </c:pt>
                <c:pt idx="1">
                  <c:v>150801</c:v>
                </c:pt>
                <c:pt idx="2" formatCode="0">
                  <c:v>24945.666666666668</c:v>
                </c:pt>
                <c:pt idx="3">
                  <c:v>41863</c:v>
                </c:pt>
                <c:pt idx="4">
                  <c:v>35857</c:v>
                </c:pt>
              </c:numCache>
            </c:numRef>
          </c:val>
          <c:extLst>
            <c:ext xmlns:c16="http://schemas.microsoft.com/office/drawing/2014/chart" uri="{C3380CC4-5D6E-409C-BE32-E72D297353CC}">
              <c16:uniqueId val="{00000002-4AF7-4DE9-A6C2-ACE4B8D8CEC7}"/>
            </c:ext>
          </c:extLst>
        </c:ser>
        <c:ser>
          <c:idx val="3"/>
          <c:order val="3"/>
          <c:tx>
            <c:strRef>
              <c:f>'Area comparisons- health data'!$N$9</c:f>
              <c:strCache>
                <c:ptCount val="1"/>
                <c:pt idx="0">
                  <c:v>General Health : Not good health</c:v>
                </c:pt>
              </c:strCache>
            </c:strRef>
          </c:tx>
          <c:spPr>
            <a:solidFill>
              <a:schemeClr val="accent4"/>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data'!$O$9:$S$9</c:f>
            </c:numRef>
          </c:val>
          <c:extLst>
            <c:ext xmlns:c16="http://schemas.microsoft.com/office/drawing/2014/chart" uri="{C3380CC4-5D6E-409C-BE32-E72D297353CC}">
              <c16:uniqueId val="{00000003-4AF7-4DE9-A6C2-ACE4B8D8CEC7}"/>
            </c:ext>
          </c:extLst>
        </c:ser>
        <c:ser>
          <c:idx val="4"/>
          <c:order val="4"/>
          <c:tx>
            <c:strRef>
              <c:f>'Area comparisons- health data'!$N$10</c:f>
              <c:strCache>
                <c:ptCount val="1"/>
                <c:pt idx="0">
                  <c:v>General Health: Bad health</c:v>
                </c:pt>
              </c:strCache>
            </c:strRef>
          </c:tx>
          <c:spPr>
            <a:solidFill>
              <a:schemeClr val="accent5"/>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data'!$O$10:$S$10</c:f>
              <c:numCache>
                <c:formatCode>General</c:formatCode>
                <c:ptCount val="5"/>
                <c:pt idx="0">
                  <c:v>14749</c:v>
                </c:pt>
                <c:pt idx="1">
                  <c:v>51755</c:v>
                </c:pt>
                <c:pt idx="2" formatCode="0">
                  <c:v>8532.75</c:v>
                </c:pt>
                <c:pt idx="3">
                  <c:v>14787</c:v>
                </c:pt>
                <c:pt idx="4">
                  <c:v>11542</c:v>
                </c:pt>
              </c:numCache>
            </c:numRef>
          </c:val>
          <c:extLst>
            <c:ext xmlns:c16="http://schemas.microsoft.com/office/drawing/2014/chart" uri="{C3380CC4-5D6E-409C-BE32-E72D297353CC}">
              <c16:uniqueId val="{00000004-4AF7-4DE9-A6C2-ACE4B8D8CEC7}"/>
            </c:ext>
          </c:extLst>
        </c:ser>
        <c:ser>
          <c:idx val="5"/>
          <c:order val="5"/>
          <c:tx>
            <c:strRef>
              <c:f>'Area comparisons- health data'!$N$11</c:f>
              <c:strCache>
                <c:ptCount val="1"/>
                <c:pt idx="0">
                  <c:v>General Health: Very bad health</c:v>
                </c:pt>
              </c:strCache>
            </c:strRef>
          </c:tx>
          <c:spPr>
            <a:solidFill>
              <a:schemeClr val="accent6"/>
            </a:solidFill>
            <a:ln>
              <a:noFill/>
            </a:ln>
            <a:effectLst/>
          </c:spPr>
          <c:invertIfNegative val="0"/>
          <c:cat>
            <c:strRef>
              <c:f>'Area comparisons- health data'!$O$5:$S$5</c:f>
              <c:strCache>
                <c:ptCount val="5"/>
                <c:pt idx="0">
                  <c:v>Leicester</c:v>
                </c:pt>
                <c:pt idx="1">
                  <c:v>Birmingham</c:v>
                </c:pt>
                <c:pt idx="2">
                  <c:v>Inner London*</c:v>
                </c:pt>
                <c:pt idx="3">
                  <c:v>Nottingham</c:v>
                </c:pt>
                <c:pt idx="4">
                  <c:v>Derby</c:v>
                </c:pt>
              </c:strCache>
            </c:strRef>
          </c:cat>
          <c:val>
            <c:numRef>
              <c:f>'Area comparisons- health data'!$O$11:$S$11</c:f>
              <c:numCache>
                <c:formatCode>General</c:formatCode>
                <c:ptCount val="5"/>
                <c:pt idx="0">
                  <c:v>4522</c:v>
                </c:pt>
                <c:pt idx="1">
                  <c:v>16870</c:v>
                </c:pt>
                <c:pt idx="2" formatCode="0">
                  <c:v>2882.75</c:v>
                </c:pt>
                <c:pt idx="3">
                  <c:v>4734</c:v>
                </c:pt>
                <c:pt idx="4">
                  <c:v>3605</c:v>
                </c:pt>
              </c:numCache>
            </c:numRef>
          </c:val>
          <c:extLst>
            <c:ext xmlns:c16="http://schemas.microsoft.com/office/drawing/2014/chart" uri="{C3380CC4-5D6E-409C-BE32-E72D297353CC}">
              <c16:uniqueId val="{00000005-4AF7-4DE9-A6C2-ACE4B8D8CEC7}"/>
            </c:ext>
          </c:extLst>
        </c:ser>
        <c:dLbls>
          <c:showLegendKey val="0"/>
          <c:showVal val="0"/>
          <c:showCatName val="0"/>
          <c:showSerName val="0"/>
          <c:showPercent val="0"/>
          <c:showBubbleSize val="0"/>
        </c:dLbls>
        <c:gapWidth val="219"/>
        <c:overlap val="-27"/>
        <c:axId val="1698294703"/>
        <c:axId val="1698273071"/>
      </c:barChart>
      <c:catAx>
        <c:axId val="1698294703"/>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98273071"/>
        <c:crosses val="autoZero"/>
        <c:auto val="1"/>
        <c:lblAlgn val="ctr"/>
        <c:lblOffset val="100"/>
        <c:noMultiLvlLbl val="0"/>
      </c:catAx>
      <c:valAx>
        <c:axId val="169827307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Number</a:t>
                </a:r>
                <a:r>
                  <a:rPr lang="en-GB" baseline="0"/>
                  <a:t> of respondents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9829470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a:t>Disability between five English</a:t>
            </a:r>
            <a:r>
              <a:rPr lang="en-GB" b="1" baseline="0"/>
              <a:t> </a:t>
            </a:r>
            <a:r>
              <a:rPr lang="en-GB" b="1"/>
              <a:t>areas</a:t>
            </a:r>
            <a:r>
              <a:rPr lang="en-GB" b="1" baseline="0"/>
              <a:t> from 2011 Census Data </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'Area comparisons- health data'!$A$25</c:f>
              <c:strCache>
                <c:ptCount val="1"/>
                <c:pt idx="0">
                  <c:v>Total: All usual residents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data'!$B$24:$L$24</c:f>
              <c:strCache>
                <c:ptCount val="5"/>
                <c:pt idx="0">
                  <c:v>Leicester</c:v>
                </c:pt>
                <c:pt idx="1">
                  <c:v>Birmingham</c:v>
                </c:pt>
                <c:pt idx="2">
                  <c:v>Inner London*</c:v>
                </c:pt>
                <c:pt idx="3">
                  <c:v>Nottingham</c:v>
                </c:pt>
                <c:pt idx="4">
                  <c:v>Derby</c:v>
                </c:pt>
              </c:strCache>
            </c:strRef>
          </c:cat>
          <c:val>
            <c:numRef>
              <c:f>'Area comparisons- health data'!$B$25:$L$25</c:f>
              <c:numCache>
                <c:formatCode>General</c:formatCode>
                <c:ptCount val="5"/>
              </c:numCache>
            </c:numRef>
          </c:val>
          <c:extLst>
            <c:ext xmlns:c16="http://schemas.microsoft.com/office/drawing/2014/chart" uri="{C3380CC4-5D6E-409C-BE32-E72D297353CC}">
              <c16:uniqueId val="{00000000-718E-4A54-BD85-0853F033F6E9}"/>
            </c:ext>
          </c:extLst>
        </c:ser>
        <c:ser>
          <c:idx val="1"/>
          <c:order val="1"/>
          <c:tx>
            <c:strRef>
              <c:f>'Area comparisons- health data'!$A$26</c:f>
              <c:strCache>
                <c:ptCount val="1"/>
                <c:pt idx="0">
                  <c:v>Disability: day to day activities limited a lot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data'!$B$24:$L$24</c:f>
              <c:strCache>
                <c:ptCount val="5"/>
                <c:pt idx="0">
                  <c:v>Leicester</c:v>
                </c:pt>
                <c:pt idx="1">
                  <c:v>Birmingham</c:v>
                </c:pt>
                <c:pt idx="2">
                  <c:v>Inner London*</c:v>
                </c:pt>
                <c:pt idx="3">
                  <c:v>Nottingham</c:v>
                </c:pt>
                <c:pt idx="4">
                  <c:v>Derby</c:v>
                </c:pt>
              </c:strCache>
            </c:strRef>
          </c:cat>
          <c:val>
            <c:numRef>
              <c:f>'Area comparisons- health data'!$B$26:$L$26</c:f>
              <c:numCache>
                <c:formatCode>General</c:formatCode>
                <c:ptCount val="5"/>
                <c:pt idx="0">
                  <c:v>8.4</c:v>
                </c:pt>
                <c:pt idx="1">
                  <c:v>9.1</c:v>
                </c:pt>
                <c:pt idx="2">
                  <c:v>6.7</c:v>
                </c:pt>
                <c:pt idx="3">
                  <c:v>9.1</c:v>
                </c:pt>
                <c:pt idx="4">
                  <c:v>8.8000000000000007</c:v>
                </c:pt>
              </c:numCache>
            </c:numRef>
          </c:val>
          <c:extLst>
            <c:ext xmlns:c16="http://schemas.microsoft.com/office/drawing/2014/chart" uri="{C3380CC4-5D6E-409C-BE32-E72D297353CC}">
              <c16:uniqueId val="{00000001-718E-4A54-BD85-0853F033F6E9}"/>
            </c:ext>
          </c:extLst>
        </c:ser>
        <c:ser>
          <c:idx val="2"/>
          <c:order val="2"/>
          <c:tx>
            <c:strRef>
              <c:f>'Area comparisons- health data'!$A$27</c:f>
              <c:strCache>
                <c:ptCount val="1"/>
                <c:pt idx="0">
                  <c:v>Disability: Day-to-day activities limited1 a little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data'!$B$24:$L$24</c:f>
              <c:strCache>
                <c:ptCount val="5"/>
                <c:pt idx="0">
                  <c:v>Leicester</c:v>
                </c:pt>
                <c:pt idx="1">
                  <c:v>Birmingham</c:v>
                </c:pt>
                <c:pt idx="2">
                  <c:v>Inner London*</c:v>
                </c:pt>
                <c:pt idx="3">
                  <c:v>Nottingham</c:v>
                </c:pt>
                <c:pt idx="4">
                  <c:v>Derby</c:v>
                </c:pt>
              </c:strCache>
            </c:strRef>
          </c:cat>
          <c:val>
            <c:numRef>
              <c:f>'Area comparisons- health data'!$B$27:$L$27</c:f>
              <c:numCache>
                <c:formatCode>General</c:formatCode>
                <c:ptCount val="5"/>
                <c:pt idx="0">
                  <c:v>9</c:v>
                </c:pt>
                <c:pt idx="1">
                  <c:v>9.3000000000000007</c:v>
                </c:pt>
                <c:pt idx="2">
                  <c:v>6.9</c:v>
                </c:pt>
                <c:pt idx="3">
                  <c:v>9.1</c:v>
                </c:pt>
                <c:pt idx="4">
                  <c:v>9.8000000000000007</c:v>
                </c:pt>
              </c:numCache>
            </c:numRef>
          </c:val>
          <c:extLst>
            <c:ext xmlns:c16="http://schemas.microsoft.com/office/drawing/2014/chart" uri="{C3380CC4-5D6E-409C-BE32-E72D297353CC}">
              <c16:uniqueId val="{00000002-718E-4A54-BD85-0853F033F6E9}"/>
            </c:ext>
          </c:extLst>
        </c:ser>
        <c:ser>
          <c:idx val="3"/>
          <c:order val="3"/>
          <c:tx>
            <c:strRef>
              <c:f>'Area comparisons- health data'!$A$28</c:f>
              <c:strCache>
                <c:ptCount val="1"/>
                <c:pt idx="0">
                  <c:v>Not disabled under the Equality Act: No long term physical or mental health conditions (%)</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data'!$B$24:$L$24</c:f>
              <c:strCache>
                <c:ptCount val="5"/>
                <c:pt idx="0">
                  <c:v>Leicester</c:v>
                </c:pt>
                <c:pt idx="1">
                  <c:v>Birmingham</c:v>
                </c:pt>
                <c:pt idx="2">
                  <c:v>Inner London*</c:v>
                </c:pt>
                <c:pt idx="3">
                  <c:v>Nottingham</c:v>
                </c:pt>
                <c:pt idx="4">
                  <c:v>Derby</c:v>
                </c:pt>
              </c:strCache>
            </c:strRef>
          </c:cat>
          <c:val>
            <c:numRef>
              <c:f>'Area comparisons- health data'!$B$28:$L$28</c:f>
              <c:numCache>
                <c:formatCode>General</c:formatCode>
                <c:ptCount val="5"/>
                <c:pt idx="0">
                  <c:v>82.7</c:v>
                </c:pt>
                <c:pt idx="1">
                  <c:v>81.599999999999994</c:v>
                </c:pt>
                <c:pt idx="2">
                  <c:v>86.3</c:v>
                </c:pt>
                <c:pt idx="3">
                  <c:v>81.900000000000006</c:v>
                </c:pt>
                <c:pt idx="4">
                  <c:v>81.3</c:v>
                </c:pt>
              </c:numCache>
            </c:numRef>
          </c:val>
          <c:extLst>
            <c:ext xmlns:c16="http://schemas.microsoft.com/office/drawing/2014/chart" uri="{C3380CC4-5D6E-409C-BE32-E72D297353CC}">
              <c16:uniqueId val="{00000003-718E-4A54-BD85-0853F033F6E9}"/>
            </c:ext>
          </c:extLst>
        </c:ser>
        <c:dLbls>
          <c:dLblPos val="outEnd"/>
          <c:showLegendKey val="0"/>
          <c:showVal val="1"/>
          <c:showCatName val="0"/>
          <c:showSerName val="0"/>
          <c:showPercent val="0"/>
          <c:showBubbleSize val="0"/>
        </c:dLbls>
        <c:gapWidth val="219"/>
        <c:overlap val="-27"/>
        <c:axId val="465482335"/>
        <c:axId val="465479839"/>
      </c:barChart>
      <c:catAx>
        <c:axId val="465482335"/>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479839"/>
        <c:crosses val="autoZero"/>
        <c:auto val="1"/>
        <c:lblAlgn val="ctr"/>
        <c:lblOffset val="100"/>
        <c:noMultiLvlLbl val="0"/>
      </c:catAx>
      <c:valAx>
        <c:axId val="4654798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r>
                  <a:rPr lang="en-GB" baseline="0"/>
                  <a:t> Percentage of respondents</a:t>
                </a:r>
                <a:endParaRPr lang="en-GB"/>
              </a:p>
            </c:rich>
          </c:tx>
          <c:layout>
            <c:manualLayout>
              <c:xMode val="edge"/>
              <c:yMode val="edge"/>
              <c:x val="3.0555601049035E-2"/>
              <c:y val="0.22530547681539809"/>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482335"/>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Disability between five English areas from 2021 Census Data</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1"/>
          <c:order val="1"/>
          <c:tx>
            <c:strRef>
              <c:f>'Area comparisons- health data'!$N$26</c:f>
              <c:strCache>
                <c:ptCount val="1"/>
                <c:pt idx="0">
                  <c:v>Disability: day to day activities limited a lot (%)</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data'!$O$24:$S$24</c:f>
              <c:strCache>
                <c:ptCount val="5"/>
                <c:pt idx="0">
                  <c:v>Leicester</c:v>
                </c:pt>
                <c:pt idx="1">
                  <c:v>Birmingham</c:v>
                </c:pt>
                <c:pt idx="2">
                  <c:v>Inner London*</c:v>
                </c:pt>
                <c:pt idx="3">
                  <c:v>Nottingham</c:v>
                </c:pt>
                <c:pt idx="4">
                  <c:v>Derby</c:v>
                </c:pt>
              </c:strCache>
            </c:strRef>
          </c:cat>
          <c:val>
            <c:numRef>
              <c:f>'Area comparisons- health data'!$O$26:$S$26</c:f>
              <c:numCache>
                <c:formatCode>0.0</c:formatCode>
                <c:ptCount val="5"/>
                <c:pt idx="0">
                  <c:v>6.9707057798904417</c:v>
                </c:pt>
                <c:pt idx="1">
                  <c:v>8.0641512631024543</c:v>
                </c:pt>
                <c:pt idx="2">
                  <c:v>8.6743355491233398</c:v>
                </c:pt>
                <c:pt idx="3">
                  <c:v>8.196655460523063</c:v>
                </c:pt>
                <c:pt idx="4">
                  <c:v>8.2253102952204582</c:v>
                </c:pt>
              </c:numCache>
            </c:numRef>
          </c:val>
          <c:extLst>
            <c:ext xmlns:c16="http://schemas.microsoft.com/office/drawing/2014/chart" uri="{C3380CC4-5D6E-409C-BE32-E72D297353CC}">
              <c16:uniqueId val="{00000000-66CF-4F40-AE80-51A6D0A0C5A2}"/>
            </c:ext>
          </c:extLst>
        </c:ser>
        <c:ser>
          <c:idx val="2"/>
          <c:order val="2"/>
          <c:tx>
            <c:strRef>
              <c:f>'Area comparisons- health data'!$N$27</c:f>
              <c:strCache>
                <c:ptCount val="1"/>
                <c:pt idx="0">
                  <c:v>Disability: Day-to-day activities limited1 a little (%)</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data'!$O$24:$S$24</c:f>
              <c:strCache>
                <c:ptCount val="5"/>
                <c:pt idx="0">
                  <c:v>Leicester</c:v>
                </c:pt>
                <c:pt idx="1">
                  <c:v>Birmingham</c:v>
                </c:pt>
                <c:pt idx="2">
                  <c:v>Inner London*</c:v>
                </c:pt>
                <c:pt idx="3">
                  <c:v>Nottingham</c:v>
                </c:pt>
                <c:pt idx="4">
                  <c:v>Derby</c:v>
                </c:pt>
              </c:strCache>
            </c:strRef>
          </c:cat>
          <c:val>
            <c:numRef>
              <c:f>'Area comparisons- health data'!$O$27:$S$27</c:f>
              <c:numCache>
                <c:formatCode>0.0</c:formatCode>
                <c:ptCount val="5"/>
                <c:pt idx="0">
                  <c:v>8.5345835673452335</c:v>
                </c:pt>
                <c:pt idx="1">
                  <c:v>9.2352384753855947</c:v>
                </c:pt>
                <c:pt idx="2">
                  <c:v>11.016965317808815</c:v>
                </c:pt>
                <c:pt idx="3">
                  <c:v>10.410280812775003</c:v>
                </c:pt>
                <c:pt idx="4">
                  <c:v>10.537794034373517</c:v>
                </c:pt>
              </c:numCache>
            </c:numRef>
          </c:val>
          <c:extLst>
            <c:ext xmlns:c16="http://schemas.microsoft.com/office/drawing/2014/chart" uri="{C3380CC4-5D6E-409C-BE32-E72D297353CC}">
              <c16:uniqueId val="{00000001-66CF-4F40-AE80-51A6D0A0C5A2}"/>
            </c:ext>
          </c:extLst>
        </c:ser>
        <c:ser>
          <c:idx val="3"/>
          <c:order val="3"/>
          <c:tx>
            <c:strRef>
              <c:f>'Area comparisons- health data'!$N$28</c:f>
              <c:strCache>
                <c:ptCount val="1"/>
                <c:pt idx="0">
                  <c:v>Not disabled under the Equality Act: No long term physical or mental health conditions</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data'!$O$24:$S$24</c:f>
              <c:strCache>
                <c:ptCount val="5"/>
                <c:pt idx="0">
                  <c:v>Leicester</c:v>
                </c:pt>
                <c:pt idx="1">
                  <c:v>Birmingham</c:v>
                </c:pt>
                <c:pt idx="2">
                  <c:v>Inner London*</c:v>
                </c:pt>
                <c:pt idx="3">
                  <c:v>Nottingham</c:v>
                </c:pt>
                <c:pt idx="4">
                  <c:v>Derby</c:v>
                </c:pt>
              </c:strCache>
            </c:strRef>
          </c:cat>
          <c:val>
            <c:numRef>
              <c:f>'Area comparisons- health data'!$O$28:$S$28</c:f>
              <c:numCache>
                <c:formatCode>0.0</c:formatCode>
                <c:ptCount val="5"/>
                <c:pt idx="0">
                  <c:v>79.874433962520115</c:v>
                </c:pt>
                <c:pt idx="1">
                  <c:v>77.57299861387574</c:v>
                </c:pt>
                <c:pt idx="2">
                  <c:v>80.050314437987396</c:v>
                </c:pt>
                <c:pt idx="3">
                  <c:v>75.642087309042367</c:v>
                </c:pt>
                <c:pt idx="4">
                  <c:v>75.104834636751804</c:v>
                </c:pt>
              </c:numCache>
            </c:numRef>
          </c:val>
          <c:extLst>
            <c:ext xmlns:c16="http://schemas.microsoft.com/office/drawing/2014/chart" uri="{C3380CC4-5D6E-409C-BE32-E72D297353CC}">
              <c16:uniqueId val="{00000002-66CF-4F40-AE80-51A6D0A0C5A2}"/>
            </c:ext>
          </c:extLst>
        </c:ser>
        <c:dLbls>
          <c:dLblPos val="outEnd"/>
          <c:showLegendKey val="0"/>
          <c:showVal val="1"/>
          <c:showCatName val="0"/>
          <c:showSerName val="0"/>
          <c:showPercent val="0"/>
          <c:showBubbleSize val="0"/>
        </c:dLbls>
        <c:gapWidth val="219"/>
        <c:overlap val="-27"/>
        <c:axId val="1275710671"/>
        <c:axId val="1275711503"/>
        <c:extLst>
          <c:ext xmlns:c15="http://schemas.microsoft.com/office/drawing/2012/chart" uri="{02D57815-91ED-43cb-92C2-25804820EDAC}">
            <c15:filteredBarSeries>
              <c15:ser>
                <c:idx val="0"/>
                <c:order val="0"/>
                <c:tx>
                  <c:strRef>
                    <c:extLst>
                      <c:ext uri="{02D57815-91ED-43cb-92C2-25804820EDAC}">
                        <c15:formulaRef>
                          <c15:sqref>'Area comparisons- health data'!$N$25</c15:sqref>
                        </c15:formulaRef>
                      </c:ext>
                    </c:extLst>
                    <c:strCache>
                      <c:ptCount val="1"/>
                      <c:pt idx="0">
                        <c:v>Total: All usual residents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'Area comparisons- health data'!$O$24:$S$24</c15:sqref>
                        </c15:formulaRef>
                      </c:ext>
                    </c:extLst>
                    <c:strCache>
                      <c:ptCount val="5"/>
                      <c:pt idx="0">
                        <c:v>Leicester</c:v>
                      </c:pt>
                      <c:pt idx="1">
                        <c:v>Birmingham</c:v>
                      </c:pt>
                      <c:pt idx="2">
                        <c:v>Inner London*</c:v>
                      </c:pt>
                      <c:pt idx="3">
                        <c:v>Nottingham</c:v>
                      </c:pt>
                      <c:pt idx="4">
                        <c:v>Derby</c:v>
                      </c:pt>
                    </c:strCache>
                  </c:strRef>
                </c:cat>
                <c:val>
                  <c:numRef>
                    <c:extLst>
                      <c:ext uri="{02D57815-91ED-43cb-92C2-25804820EDAC}">
                        <c15:formulaRef>
                          <c15:sqref>'Area comparisons- health data'!$O$25:$S$25</c15:sqref>
                        </c15:formulaRef>
                      </c:ext>
                    </c:extLst>
                    <c:numCache>
                      <c:formatCode>General</c:formatCode>
                      <c:ptCount val="5"/>
                      <c:pt idx="0">
                        <c:v>368571</c:v>
                      </c:pt>
                      <c:pt idx="1">
                        <c:v>1144919</c:v>
                      </c:pt>
                      <c:pt idx="2" formatCode="0">
                        <c:v>305810.16666666669</c:v>
                      </c:pt>
                      <c:pt idx="3">
                        <c:v>323632</c:v>
                      </c:pt>
                      <c:pt idx="4">
                        <c:v>261364</c:v>
                      </c:pt>
                    </c:numCache>
                  </c:numRef>
                </c:val>
                <c:extLst>
                  <c:ext xmlns:c16="http://schemas.microsoft.com/office/drawing/2014/chart" uri="{C3380CC4-5D6E-409C-BE32-E72D297353CC}">
                    <c16:uniqueId val="{00000003-66CF-4F40-AE80-51A6D0A0C5A2}"/>
                  </c:ext>
                </c:extLst>
              </c15:ser>
            </c15:filteredBarSeries>
          </c:ext>
        </c:extLst>
      </c:barChart>
      <c:catAx>
        <c:axId val="127571067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5711503"/>
        <c:crosses val="autoZero"/>
        <c:auto val="1"/>
        <c:lblAlgn val="ctr"/>
        <c:lblOffset val="100"/>
        <c:noMultiLvlLbl val="0"/>
      </c:catAx>
      <c:valAx>
        <c:axId val="127571150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 Perecentage of respondents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7571067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a:t>Disability</a:t>
            </a:r>
            <a:r>
              <a:rPr lang="en-GB" b="1" baseline="0"/>
              <a:t> in different areas of Leicestershire -2011 Census data</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1"/>
          <c:order val="1"/>
          <c:tx>
            <c:strRef>
              <c:f>'Leicestershire LA breakdown'!$A$22</c:f>
              <c:strCache>
                <c:ptCount val="1"/>
                <c:pt idx="0">
                  <c:v>Disability: day to day activities limited a lot</c:v>
                </c:pt>
              </c:strCache>
            </c:strRef>
          </c:tx>
          <c:spPr>
            <a:solidFill>
              <a:schemeClr val="accent4"/>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'Leicestershire LA breakdown'!$B$20:$J$20</c:f>
              <c:strCache>
                <c:ptCount val="7"/>
                <c:pt idx="0">
                  <c:v>Blaby</c:v>
                </c:pt>
                <c:pt idx="1">
                  <c:v>Charnwood</c:v>
                </c:pt>
                <c:pt idx="2">
                  <c:v>Harborough</c:v>
                </c:pt>
                <c:pt idx="3">
                  <c:v>Hinckley and Bosworth</c:v>
                </c:pt>
                <c:pt idx="4">
                  <c:v>Melton</c:v>
                </c:pt>
                <c:pt idx="5">
                  <c:v>North West Leicestershire</c:v>
                </c:pt>
                <c:pt idx="6">
                  <c:v>Oadby and Wigston</c:v>
                </c:pt>
              </c:strCache>
            </c:strRef>
          </c:cat>
          <c:val>
            <c:numRef>
              <c:f>'Leicestershire LA breakdown'!$B$22:$J$22</c:f>
              <c:numCache>
                <c:formatCode>General</c:formatCode>
                <c:ptCount val="7"/>
                <c:pt idx="0">
                  <c:v>6.9</c:v>
                </c:pt>
                <c:pt idx="1">
                  <c:v>6.7</c:v>
                </c:pt>
                <c:pt idx="2">
                  <c:v>5.9</c:v>
                </c:pt>
                <c:pt idx="3">
                  <c:v>7.5</c:v>
                </c:pt>
                <c:pt idx="4">
                  <c:v>6.3</c:v>
                </c:pt>
                <c:pt idx="5">
                  <c:v>8.4</c:v>
                </c:pt>
                <c:pt idx="6">
                  <c:v>7.7</c:v>
                </c:pt>
              </c:numCache>
            </c:numRef>
          </c:val>
          <c:extLst>
            <c:ext xmlns:c16="http://schemas.microsoft.com/office/drawing/2014/chart" uri="{C3380CC4-5D6E-409C-BE32-E72D297353CC}">
              <c16:uniqueId val="{00000000-E99E-4DAA-8497-637FACC1B6BC}"/>
            </c:ext>
          </c:extLst>
        </c:ser>
        <c:ser>
          <c:idx val="2"/>
          <c:order val="2"/>
          <c:tx>
            <c:strRef>
              <c:f>'Leicestershire LA breakdown'!$A$23</c:f>
              <c:strCache>
                <c:ptCount val="1"/>
                <c:pt idx="0">
                  <c:v>Disability: Day-to-day activities limited1 a little</c:v>
                </c:pt>
              </c:strCache>
            </c:strRef>
          </c:tx>
          <c:spPr>
            <a:solidFill>
              <a:schemeClr val="accent6"/>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'Leicestershire LA breakdown'!$B$20:$J$20</c:f>
              <c:strCache>
                <c:ptCount val="7"/>
                <c:pt idx="0">
                  <c:v>Blaby</c:v>
                </c:pt>
                <c:pt idx="1">
                  <c:v>Charnwood</c:v>
                </c:pt>
                <c:pt idx="2">
                  <c:v>Harborough</c:v>
                </c:pt>
                <c:pt idx="3">
                  <c:v>Hinckley and Bosworth</c:v>
                </c:pt>
                <c:pt idx="4">
                  <c:v>Melton</c:v>
                </c:pt>
                <c:pt idx="5">
                  <c:v>North West Leicestershire</c:v>
                </c:pt>
                <c:pt idx="6">
                  <c:v>Oadby and Wigston</c:v>
                </c:pt>
              </c:strCache>
            </c:strRef>
          </c:cat>
          <c:val>
            <c:numRef>
              <c:f>'Leicestershire LA breakdown'!$B$23:$J$23</c:f>
              <c:numCache>
                <c:formatCode>General</c:formatCode>
                <c:ptCount val="7"/>
                <c:pt idx="0">
                  <c:v>8.9</c:v>
                </c:pt>
                <c:pt idx="1">
                  <c:v>8.9</c:v>
                </c:pt>
                <c:pt idx="2">
                  <c:v>8.6</c:v>
                </c:pt>
                <c:pt idx="3">
                  <c:v>9.5</c:v>
                </c:pt>
                <c:pt idx="4">
                  <c:v>9.3000000000000007</c:v>
                </c:pt>
                <c:pt idx="5">
                  <c:v>9.6999999999999993</c:v>
                </c:pt>
                <c:pt idx="6">
                  <c:v>9.6</c:v>
                </c:pt>
              </c:numCache>
            </c:numRef>
          </c:val>
          <c:extLst>
            <c:ext xmlns:c16="http://schemas.microsoft.com/office/drawing/2014/chart" uri="{C3380CC4-5D6E-409C-BE32-E72D297353CC}">
              <c16:uniqueId val="{00000001-E99E-4DAA-8497-637FACC1B6BC}"/>
            </c:ext>
          </c:extLst>
        </c:ser>
        <c:ser>
          <c:idx val="3"/>
          <c:order val="3"/>
          <c:tx>
            <c:strRef>
              <c:f>'Leicestershire LA breakdown'!$A$24</c:f>
              <c:strCache>
                <c:ptCount val="1"/>
                <c:pt idx="0">
                  <c:v>Disability: Day-to-day activities not limited</c:v>
                </c:pt>
              </c:strCache>
            </c:strRef>
          </c:tx>
          <c:spPr>
            <a:solidFill>
              <a:schemeClr val="accent2">
                <a:lumMod val="60000"/>
              </a:schemeClr>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'Leicestershire LA breakdown'!$B$20:$J$20</c:f>
              <c:strCache>
                <c:ptCount val="7"/>
                <c:pt idx="0">
                  <c:v>Blaby</c:v>
                </c:pt>
                <c:pt idx="1">
                  <c:v>Charnwood</c:v>
                </c:pt>
                <c:pt idx="2">
                  <c:v>Harborough</c:v>
                </c:pt>
                <c:pt idx="3">
                  <c:v>Hinckley and Bosworth</c:v>
                </c:pt>
                <c:pt idx="4">
                  <c:v>Melton</c:v>
                </c:pt>
                <c:pt idx="5">
                  <c:v>North West Leicestershire</c:v>
                </c:pt>
                <c:pt idx="6">
                  <c:v>Oadby and Wigston</c:v>
                </c:pt>
              </c:strCache>
            </c:strRef>
          </c:cat>
          <c:val>
            <c:numRef>
              <c:f>'Leicestershire LA breakdown'!$B$24:$J$24</c:f>
              <c:numCache>
                <c:formatCode>General</c:formatCode>
                <c:ptCount val="7"/>
                <c:pt idx="0">
                  <c:v>84.2</c:v>
                </c:pt>
                <c:pt idx="1">
                  <c:v>84.4</c:v>
                </c:pt>
                <c:pt idx="2">
                  <c:v>85.4</c:v>
                </c:pt>
                <c:pt idx="3">
                  <c:v>83</c:v>
                </c:pt>
                <c:pt idx="4">
                  <c:v>84.4</c:v>
                </c:pt>
                <c:pt idx="5">
                  <c:v>81.900000000000006</c:v>
                </c:pt>
                <c:pt idx="6">
                  <c:v>82.7</c:v>
                </c:pt>
              </c:numCache>
            </c:numRef>
          </c:val>
          <c:extLst>
            <c:ext xmlns:c16="http://schemas.microsoft.com/office/drawing/2014/chart" uri="{C3380CC4-5D6E-409C-BE32-E72D297353CC}">
              <c16:uniqueId val="{00000002-E99E-4DAA-8497-637FACC1B6BC}"/>
            </c:ext>
          </c:extLst>
        </c:ser>
        <c:dLbls>
          <c:showLegendKey val="0"/>
          <c:showVal val="1"/>
          <c:showCatName val="0"/>
          <c:showSerName val="0"/>
          <c:showPercent val="0"/>
          <c:showBubbleSize val="0"/>
        </c:dLbls>
        <c:gapWidth val="150"/>
        <c:shape val="box"/>
        <c:axId val="465635087"/>
        <c:axId val="465623855"/>
        <c:axId val="0"/>
        <c:extLst>
          <c:ext xmlns:c15="http://schemas.microsoft.com/office/drawing/2012/chart" uri="{02D57815-91ED-43cb-92C2-25804820EDAC}">
            <c15:filteredBarSeries>
              <c15:ser>
                <c:idx val="0"/>
                <c:order val="0"/>
                <c:tx>
                  <c:strRef>
                    <c:extLst>
                      <c:ext uri="{02D57815-91ED-43cb-92C2-25804820EDAC}">
                        <c15:formulaRef>
                          <c15:sqref>'Leicestershire LA breakdown'!$A$21</c15:sqref>
                        </c15:formulaRef>
                      </c:ext>
                    </c:extLst>
                    <c:strCache>
                      <c:ptCount val="1"/>
                      <c:pt idx="0">
                        <c:v>All categories: long term health problem or disability</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uri="{CE6537A1-D6FC-4f65-9D91-7224C49458BB}">
                      <c15:showLeaderLines val="1"/>
                      <c15:leaderLines>
                        <c:spPr>
                          <a:ln w="9525" cap="flat" cmpd="sng" algn="ctr">
                            <a:solidFill>
                              <a:schemeClr val="tx1">
                                <a:lumMod val="35000"/>
                                <a:lumOff val="65000"/>
                              </a:schemeClr>
                            </a:solidFill>
                            <a:round/>
                          </a:ln>
                          <a:effectLst/>
                        </c:spPr>
                      </c15:leaderLines>
                    </c:ext>
                  </c:extLst>
                </c:dLbls>
                <c:cat>
                  <c:strRef>
                    <c:extLst>
                      <c:ext uri="{02D57815-91ED-43cb-92C2-25804820EDAC}">
                        <c15:formulaRef>
                          <c15:sqref>'Leicestershire LA breakdown'!$B$20:$J$20</c15:sqref>
                        </c15:formulaRef>
                      </c:ext>
                    </c:extLst>
                    <c:strCache>
                      <c:ptCount val="7"/>
                      <c:pt idx="0">
                        <c:v>Blaby</c:v>
                      </c:pt>
                      <c:pt idx="1">
                        <c:v>Charnwood</c:v>
                      </c:pt>
                      <c:pt idx="2">
                        <c:v>Harborough</c:v>
                      </c:pt>
                      <c:pt idx="3">
                        <c:v>Hinckley and Bosworth</c:v>
                      </c:pt>
                      <c:pt idx="4">
                        <c:v>Melton</c:v>
                      </c:pt>
                      <c:pt idx="5">
                        <c:v>North West Leicestershire</c:v>
                      </c:pt>
                      <c:pt idx="6">
                        <c:v>Oadby and Wigston</c:v>
                      </c:pt>
                    </c:strCache>
                  </c:strRef>
                </c:cat>
                <c:val>
                  <c:numRef>
                    <c:extLst>
                      <c:ext uri="{02D57815-91ED-43cb-92C2-25804820EDAC}">
                        <c15:formulaRef>
                          <c15:sqref>'Leicestershire LA breakdown'!$B$21:$J$21</c15:sqref>
                        </c15:formulaRef>
                      </c:ext>
                    </c:extLst>
                    <c:numCache>
                      <c:formatCode>General</c:formatCode>
                      <c:ptCount val="7"/>
                    </c:numCache>
                  </c:numRef>
                </c:val>
                <c:extLst>
                  <c:ext xmlns:c16="http://schemas.microsoft.com/office/drawing/2014/chart" uri="{C3380CC4-5D6E-409C-BE32-E72D297353CC}">
                    <c16:uniqueId val="{00000003-E99E-4DAA-8497-637FACC1B6BC}"/>
                  </c:ext>
                </c:extLst>
              </c15:ser>
            </c15:filteredBarSeries>
          </c:ext>
        </c:extLst>
      </c:bar3DChart>
      <c:catAx>
        <c:axId val="465635087"/>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r>
                  <a:rPr lang="en-GB" baseline="0"/>
                  <a:t> within Leicestershire</a:t>
                </a:r>
                <a:endParaRPr lang="en-GB"/>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623855"/>
        <c:crosses val="autoZero"/>
        <c:auto val="1"/>
        <c:lblAlgn val="ctr"/>
        <c:lblOffset val="100"/>
        <c:noMultiLvlLbl val="0"/>
      </c:catAx>
      <c:valAx>
        <c:axId val="46562385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r>
                  <a:rPr lang="en-GB" baseline="0"/>
                  <a:t> Percentage of respondents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6563508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b="1"/>
              <a:t>Provision</a:t>
            </a:r>
            <a:r>
              <a:rPr lang="en-GB" b="1" baseline="0"/>
              <a:t> of unpaid care across five areas</a:t>
            </a:r>
            <a:endParaRPr lang="en-GB" b="1"/>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'Area comparisons- health data'!$A$42</c:f>
              <c:strCache>
                <c:ptCount val="1"/>
                <c:pt idx="0">
                  <c:v>Provides no unpaid care</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data'!$B$41:$L$41</c:f>
              <c:strCache>
                <c:ptCount val="5"/>
                <c:pt idx="0">
                  <c:v>Leicester</c:v>
                </c:pt>
                <c:pt idx="1">
                  <c:v>Birmingham</c:v>
                </c:pt>
                <c:pt idx="2">
                  <c:v>Inner London*</c:v>
                </c:pt>
                <c:pt idx="3">
                  <c:v>Nottingham</c:v>
                </c:pt>
                <c:pt idx="4">
                  <c:v>Derby</c:v>
                </c:pt>
              </c:strCache>
            </c:strRef>
          </c:cat>
          <c:val>
            <c:numRef>
              <c:f>'Area comparisons- health data'!$B$42:$L$42</c:f>
              <c:numCache>
                <c:formatCode>0.0</c:formatCode>
                <c:ptCount val="5"/>
                <c:pt idx="0">
                  <c:v>90.6</c:v>
                </c:pt>
                <c:pt idx="1">
                  <c:v>90</c:v>
                </c:pt>
                <c:pt idx="2">
                  <c:v>92.591666666666654</c:v>
                </c:pt>
                <c:pt idx="3">
                  <c:v>91.2</c:v>
                </c:pt>
                <c:pt idx="4">
                  <c:v>89.7</c:v>
                </c:pt>
              </c:numCache>
            </c:numRef>
          </c:val>
          <c:extLst>
            <c:ext xmlns:c16="http://schemas.microsoft.com/office/drawing/2014/chart" uri="{C3380CC4-5D6E-409C-BE32-E72D297353CC}">
              <c16:uniqueId val="{00000000-B09A-48CB-A04E-0B6653C531CD}"/>
            </c:ext>
          </c:extLst>
        </c:ser>
        <c:ser>
          <c:idx val="1"/>
          <c:order val="1"/>
          <c:tx>
            <c:strRef>
              <c:f>'Area comparisons- health data'!$A$43</c:f>
              <c:strCache>
                <c:ptCount val="1"/>
                <c:pt idx="0">
                  <c:v>Provides 19 hours or less unpaid care a week</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data'!$B$41:$L$41</c:f>
              <c:strCache>
                <c:ptCount val="5"/>
                <c:pt idx="0">
                  <c:v>Leicester</c:v>
                </c:pt>
                <c:pt idx="1">
                  <c:v>Birmingham</c:v>
                </c:pt>
                <c:pt idx="2">
                  <c:v>Inner London*</c:v>
                </c:pt>
                <c:pt idx="3">
                  <c:v>Nottingham</c:v>
                </c:pt>
                <c:pt idx="4">
                  <c:v>Derby</c:v>
                </c:pt>
              </c:strCache>
            </c:strRef>
          </c:cat>
          <c:val>
            <c:numRef>
              <c:f>'Area comparisons- health data'!$B$43:$L$43</c:f>
              <c:numCache>
                <c:formatCode>0.0</c:formatCode>
                <c:ptCount val="5"/>
                <c:pt idx="0">
                  <c:v>5.3</c:v>
                </c:pt>
                <c:pt idx="1">
                  <c:v>5.7</c:v>
                </c:pt>
                <c:pt idx="2">
                  <c:v>4.6083333333333334</c:v>
                </c:pt>
                <c:pt idx="3">
                  <c:v>5</c:v>
                </c:pt>
                <c:pt idx="4">
                  <c:v>6.3</c:v>
                </c:pt>
              </c:numCache>
            </c:numRef>
          </c:val>
          <c:extLst>
            <c:ext xmlns:c16="http://schemas.microsoft.com/office/drawing/2014/chart" uri="{C3380CC4-5D6E-409C-BE32-E72D297353CC}">
              <c16:uniqueId val="{00000001-B09A-48CB-A04E-0B6653C531CD}"/>
            </c:ext>
          </c:extLst>
        </c:ser>
        <c:ser>
          <c:idx val="2"/>
          <c:order val="2"/>
          <c:tx>
            <c:strRef>
              <c:f>'Area comparisons- health data'!$A$44</c:f>
              <c:strCache>
                <c:ptCount val="1"/>
                <c:pt idx="0">
                  <c:v>Provides 20 to 49 hours unpaid care a week</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data'!$B$41:$L$41</c:f>
              <c:strCache>
                <c:ptCount val="5"/>
                <c:pt idx="0">
                  <c:v>Leicester</c:v>
                </c:pt>
                <c:pt idx="1">
                  <c:v>Birmingham</c:v>
                </c:pt>
                <c:pt idx="2">
                  <c:v>Inner London*</c:v>
                </c:pt>
                <c:pt idx="3">
                  <c:v>Nottingham</c:v>
                </c:pt>
                <c:pt idx="4">
                  <c:v>Derby</c:v>
                </c:pt>
              </c:strCache>
            </c:strRef>
          </c:cat>
          <c:val>
            <c:numRef>
              <c:f>'Area comparisons- health data'!$B$44:$L$44</c:f>
              <c:numCache>
                <c:formatCode>0.0</c:formatCode>
                <c:ptCount val="5"/>
                <c:pt idx="0">
                  <c:v>1.7</c:v>
                </c:pt>
                <c:pt idx="1">
                  <c:v>1.6</c:v>
                </c:pt>
                <c:pt idx="2">
                  <c:v>1.1666666666666667</c:v>
                </c:pt>
                <c:pt idx="3">
                  <c:v>1.4</c:v>
                </c:pt>
                <c:pt idx="4">
                  <c:v>1.4</c:v>
                </c:pt>
              </c:numCache>
            </c:numRef>
          </c:val>
          <c:extLst>
            <c:ext xmlns:c16="http://schemas.microsoft.com/office/drawing/2014/chart" uri="{C3380CC4-5D6E-409C-BE32-E72D297353CC}">
              <c16:uniqueId val="{00000002-B09A-48CB-A04E-0B6653C531CD}"/>
            </c:ext>
          </c:extLst>
        </c:ser>
        <c:ser>
          <c:idx val="3"/>
          <c:order val="3"/>
          <c:tx>
            <c:strRef>
              <c:f>'Area comparisons- health data'!$A$45</c:f>
              <c:strCache>
                <c:ptCount val="1"/>
                <c:pt idx="0">
                  <c:v>Provides 50 or more hours unpaid care a week</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'Area comparisons- health data'!$B$41:$L$41</c:f>
              <c:strCache>
                <c:ptCount val="5"/>
                <c:pt idx="0">
                  <c:v>Leicester</c:v>
                </c:pt>
                <c:pt idx="1">
                  <c:v>Birmingham</c:v>
                </c:pt>
                <c:pt idx="2">
                  <c:v>Inner London*</c:v>
                </c:pt>
                <c:pt idx="3">
                  <c:v>Nottingham</c:v>
                </c:pt>
                <c:pt idx="4">
                  <c:v>Derby</c:v>
                </c:pt>
              </c:strCache>
            </c:strRef>
          </c:cat>
          <c:val>
            <c:numRef>
              <c:f>'Area comparisons- health data'!$B$45:$L$45</c:f>
              <c:numCache>
                <c:formatCode>0.0</c:formatCode>
                <c:ptCount val="5"/>
                <c:pt idx="0">
                  <c:v>2.4</c:v>
                </c:pt>
                <c:pt idx="1">
                  <c:v>2.7</c:v>
                </c:pt>
                <c:pt idx="2">
                  <c:v>1.6083333333333336</c:v>
                </c:pt>
                <c:pt idx="3">
                  <c:v>2.4</c:v>
                </c:pt>
                <c:pt idx="4">
                  <c:v>2.5</c:v>
                </c:pt>
              </c:numCache>
            </c:numRef>
          </c:val>
          <c:extLst>
            <c:ext xmlns:c16="http://schemas.microsoft.com/office/drawing/2014/chart" uri="{C3380CC4-5D6E-409C-BE32-E72D297353CC}">
              <c16:uniqueId val="{00000003-B09A-48CB-A04E-0B6653C531CD}"/>
            </c:ext>
          </c:extLst>
        </c:ser>
        <c:dLbls>
          <c:dLblPos val="outEnd"/>
          <c:showLegendKey val="0"/>
          <c:showVal val="1"/>
          <c:showCatName val="0"/>
          <c:showSerName val="0"/>
          <c:showPercent val="0"/>
          <c:showBubbleSize val="0"/>
        </c:dLbls>
        <c:gapWidth val="219"/>
        <c:overlap val="-27"/>
        <c:axId val="1554277919"/>
        <c:axId val="1554286239"/>
      </c:barChart>
      <c:catAx>
        <c:axId val="1554277919"/>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Area</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4286239"/>
        <c:crosses val="autoZero"/>
        <c:auto val="1"/>
        <c:lblAlgn val="ctr"/>
        <c:lblOffset val="100"/>
        <c:noMultiLvlLbl val="0"/>
      </c:catAx>
      <c:valAx>
        <c:axId val="155428623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GB"/>
                  <a:t>%</a:t>
                </a:r>
                <a:r>
                  <a:rPr lang="en-GB" baseline="0"/>
                  <a:t> of respondents</a:t>
                </a:r>
                <a:endParaRPr lang="en-GB"/>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554277919"/>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withinLinearReversed" id="26">
  <a:schemeClr val="accent6"/>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5E637FFE0D7AE438B5564AE703A255A" ma:contentTypeVersion="2" ma:contentTypeDescription="Create a new document." ma:contentTypeScope="" ma:versionID="06596ef1b079cbfa8c65127f7fd0f169">
  <xsd:schema xmlns:xsd="http://www.w3.org/2001/XMLSchema" xmlns:xs="http://www.w3.org/2001/XMLSchema" xmlns:p="http://schemas.microsoft.com/office/2006/metadata/properties" xmlns:ns2="ed5e1536-1b52-4e12-8167-3cdb67a5d14a" targetNamespace="http://schemas.microsoft.com/office/2006/metadata/properties" ma:root="true" ma:fieldsID="1942cb56c59ac124949840f70ebf397a" ns2:_="">
    <xsd:import namespace="ed5e1536-1b52-4e12-8167-3cdb67a5d14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5e1536-1b52-4e12-8167-3cdb67a5d1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150D3E-0708-4F97-83D3-5FB45BC7E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5e1536-1b52-4e12-8167-3cdb67a5d1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684B4-15F9-408B-A073-465B577F8948}">
  <ds:schemaRefs>
    <ds:schemaRef ds:uri="http://schemas.microsoft.com/sharepoint/v3/contenttype/forms"/>
  </ds:schemaRefs>
</ds:datastoreItem>
</file>

<file path=customXml/itemProps3.xml><?xml version="1.0" encoding="utf-8"?>
<ds:datastoreItem xmlns:ds="http://schemas.openxmlformats.org/officeDocument/2006/customXml" ds:itemID="{1AA35012-BE6A-452A-8BD0-64C862F55C79}">
  <ds:schemaRefs>
    <ds:schemaRef ds:uri="http://schemas.microsoft.com/office/infopath/2007/PartnerControls"/>
    <ds:schemaRef ds:uri="http://www.w3.org/XML/1998/namespace"/>
    <ds:schemaRef ds:uri="http://purl.org/dc/terms/"/>
    <ds:schemaRef ds:uri="http://purl.org/dc/dcmitype/"/>
    <ds:schemaRef ds:uri="ed5e1536-1b52-4e12-8167-3cdb67a5d14a"/>
    <ds:schemaRef ds:uri="http://schemas.microsoft.com/office/2006/documentManagement/types"/>
    <ds:schemaRef ds:uri="http://purl.org/dc/elements/1.1/"/>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3938</Words>
  <Characters>22450</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26336</CharactersWithSpaces>
  <SharedDoc>false</SharedDoc>
  <HLinks>
    <vt:vector size="66" baseType="variant">
      <vt:variant>
        <vt:i4>5046399</vt:i4>
      </vt:variant>
      <vt:variant>
        <vt:i4>30</vt:i4>
      </vt:variant>
      <vt:variant>
        <vt:i4>0</vt:i4>
      </vt:variant>
      <vt:variant>
        <vt:i4>5</vt:i4>
      </vt:variant>
      <vt:variant>
        <vt:lpwstr>https://www.nomisweb.co.uk/sources/census_2011</vt:lpwstr>
      </vt:variant>
      <vt:variant>
        <vt:lpwstr/>
      </vt:variant>
      <vt:variant>
        <vt:i4>5963840</vt:i4>
      </vt:variant>
      <vt:variant>
        <vt:i4>27</vt:i4>
      </vt:variant>
      <vt:variant>
        <vt:i4>0</vt:i4>
      </vt:variant>
      <vt:variant>
        <vt:i4>5</vt:i4>
      </vt:variant>
      <vt:variant>
        <vt:lpwstr>https://www.ons.gov.uk/peoplepopulationandcommunity/healthandsocialcare/healthandwellbeing/methodologies/healthdisabilityandunpaidcarequalityinformationforcensus2021</vt:lpwstr>
      </vt:variant>
      <vt:variant>
        <vt:lpwstr/>
      </vt:variant>
      <vt:variant>
        <vt:i4>6750319</vt:i4>
      </vt:variant>
      <vt:variant>
        <vt:i4>24</vt:i4>
      </vt:variant>
      <vt:variant>
        <vt:i4>0</vt:i4>
      </vt:variant>
      <vt:variant>
        <vt:i4>5</vt:i4>
      </vt:variant>
      <vt:variant>
        <vt:lpwstr>https://www.ons.gov.uk/census/maps</vt:lpwstr>
      </vt:variant>
      <vt:variant>
        <vt:lpwstr/>
      </vt:variant>
      <vt:variant>
        <vt:i4>1704002</vt:i4>
      </vt:variant>
      <vt:variant>
        <vt:i4>21</vt:i4>
      </vt:variant>
      <vt:variant>
        <vt:i4>0</vt:i4>
      </vt:variant>
      <vt:variant>
        <vt:i4>5</vt:i4>
      </vt:variant>
      <vt:variant>
        <vt:lpwstr>https://www.ons.gov.uk/census/aboutcensus/censusproducts/analysis/internationalmigrationanalysisplans</vt:lpwstr>
      </vt:variant>
      <vt:variant>
        <vt:lpwstr/>
      </vt:variant>
      <vt:variant>
        <vt:i4>3342379</vt:i4>
      </vt:variant>
      <vt:variant>
        <vt:i4>18</vt:i4>
      </vt:variant>
      <vt:variant>
        <vt:i4>0</vt:i4>
      </vt:variant>
      <vt:variant>
        <vt:i4>5</vt:i4>
      </vt:variant>
      <vt:variant>
        <vt:lpwstr>https://www.ons.gov.uk/peoplepopulationandcommunity/populationandmigration/internationalmigration/methodologies/longterminternationalmigrationfrequentlyaskedquestionsandbackgroundnotes</vt:lpwstr>
      </vt:variant>
      <vt:variant>
        <vt:lpwstr>migration-terms-and-definitions</vt:lpwstr>
      </vt:variant>
      <vt:variant>
        <vt:i4>1245211</vt:i4>
      </vt:variant>
      <vt:variant>
        <vt:i4>15</vt:i4>
      </vt:variant>
      <vt:variant>
        <vt:i4>0</vt:i4>
      </vt:variant>
      <vt:variant>
        <vt:i4>5</vt:i4>
      </vt:variant>
      <vt:variant>
        <vt:lpwstr>https://www.ons.gov.uk/peoplepopulationandcommunity/populationandmigration/populationestimates/methodologies/qualityandmethodologyinformationqmiforcensus2021</vt:lpwstr>
      </vt:variant>
      <vt:variant>
        <vt:lpwstr/>
      </vt:variant>
      <vt:variant>
        <vt:i4>7471219</vt:i4>
      </vt:variant>
      <vt:variant>
        <vt:i4>12</vt:i4>
      </vt:variant>
      <vt:variant>
        <vt:i4>0</vt:i4>
      </vt:variant>
      <vt:variant>
        <vt:i4>5</vt:i4>
      </vt:variant>
      <vt:variant>
        <vt:lpwstr>https://www.ons.gov.uk/visualisations/censusareachanges/E06000016/</vt:lpwstr>
      </vt:variant>
      <vt:variant>
        <vt:lpwstr/>
      </vt:variant>
      <vt:variant>
        <vt:i4>5832797</vt:i4>
      </vt:variant>
      <vt:variant>
        <vt:i4>9</vt:i4>
      </vt:variant>
      <vt:variant>
        <vt:i4>0</vt:i4>
      </vt:variant>
      <vt:variant>
        <vt:i4>5</vt:i4>
      </vt:variant>
      <vt:variant>
        <vt:lpwstr>https://www.ons.gov.uk/peoplepopulationandcommunity/populationandmigration/internationalmigration/bulletins/internationalmigrationenglandandwales/census2021</vt:lpwstr>
      </vt:variant>
      <vt:variant>
        <vt:lpwstr/>
      </vt:variant>
      <vt:variant>
        <vt:i4>4784151</vt:i4>
      </vt:variant>
      <vt:variant>
        <vt:i4>6</vt:i4>
      </vt:variant>
      <vt:variant>
        <vt:i4>0</vt:i4>
      </vt:variant>
      <vt:variant>
        <vt:i4>5</vt:i4>
      </vt:variant>
      <vt:variant>
        <vt:lpwstr>https://www.ons.gov.uk/peoplepopulationandcommunity/healthandsocialcare/healthandwellbeing/bulletins/disabilityenglandandwales/census2021</vt:lpwstr>
      </vt:variant>
      <vt:variant>
        <vt:lpwstr/>
      </vt:variant>
      <vt:variant>
        <vt:i4>851988</vt:i4>
      </vt:variant>
      <vt:variant>
        <vt:i4>3</vt:i4>
      </vt:variant>
      <vt:variant>
        <vt:i4>0</vt:i4>
      </vt:variant>
      <vt:variant>
        <vt:i4>5</vt:i4>
      </vt:variant>
      <vt:variant>
        <vt:lpwstr>https://www.ons.gov.uk/peoplepopulationandcommunity/healthandsocialcare/healthandwellbeing/bulletins/generalhealthenglandandwales/census2021</vt:lpwstr>
      </vt:variant>
      <vt:variant>
        <vt:lpwstr/>
      </vt:variant>
      <vt:variant>
        <vt:i4>851988</vt:i4>
      </vt:variant>
      <vt:variant>
        <vt:i4>0</vt:i4>
      </vt:variant>
      <vt:variant>
        <vt:i4>0</vt:i4>
      </vt:variant>
      <vt:variant>
        <vt:i4>5</vt:i4>
      </vt:variant>
      <vt:variant>
        <vt:lpwstr>https://www.ons.gov.uk/peoplepopulationandcommunity/healthandsocialcare/healthandwellbeing/bulletins/generalhealthenglandandwales/census2021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Zafar, Maaria</dc:creator>
  <cp:keywords/>
  <dc:description/>
  <cp:lastModifiedBy>Kimani, Gloria W.</cp:lastModifiedBy>
  <cp:revision>2</cp:revision>
  <dcterms:created xsi:type="dcterms:W3CDTF">2023-02-08T12:33:00Z</dcterms:created>
  <dcterms:modified xsi:type="dcterms:W3CDTF">2023-02-08T12:33:00Z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0x01010075E637FFE0D7AE438B5564AE703A255A</vt:lpwstr>
  </property>
</Properties>
</file>