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04D8A" w14:textId="11D342D2" w:rsidR="004F656E" w:rsidRDefault="00FF7B44" w:rsidP="005D5256">
      <w:pPr>
        <w:pStyle w:val="Heading1"/>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006418D4" w:rsidRPr="005D5256">
        <w:rPr>
          <w:rFonts w:ascii="Times New Roman" w:hAnsi="Times New Roman" w:cs="Times New Roman"/>
          <w:sz w:val="24"/>
          <w:szCs w:val="24"/>
        </w:rPr>
        <w:t xml:space="preserve">trasbourg’s </w:t>
      </w:r>
      <w:r w:rsidR="00E553C9" w:rsidRPr="005D5256">
        <w:rPr>
          <w:rFonts w:ascii="Times New Roman" w:hAnsi="Times New Roman" w:cs="Times New Roman"/>
          <w:sz w:val="24"/>
          <w:szCs w:val="24"/>
        </w:rPr>
        <w:t>inte</w:t>
      </w:r>
      <w:r w:rsidR="006F7B8D" w:rsidRPr="005D5256">
        <w:rPr>
          <w:rFonts w:ascii="Times New Roman" w:hAnsi="Times New Roman" w:cs="Times New Roman"/>
          <w:sz w:val="24"/>
          <w:szCs w:val="24"/>
        </w:rPr>
        <w:t>grationist</w:t>
      </w:r>
      <w:r w:rsidR="006418D4" w:rsidRPr="005D5256">
        <w:rPr>
          <w:rFonts w:ascii="Times New Roman" w:hAnsi="Times New Roman" w:cs="Times New Roman"/>
          <w:sz w:val="24"/>
          <w:szCs w:val="24"/>
        </w:rPr>
        <w:t xml:space="preserve"> role</w:t>
      </w:r>
      <w:r w:rsidR="00CD4127">
        <w:rPr>
          <w:rFonts w:ascii="Times New Roman" w:hAnsi="Times New Roman" w:cs="Times New Roman"/>
          <w:sz w:val="24"/>
          <w:szCs w:val="24"/>
        </w:rPr>
        <w:t>, or the need for self-restraint</w:t>
      </w:r>
      <w:r w:rsidR="004F656E" w:rsidRPr="005D5256">
        <w:rPr>
          <w:rFonts w:ascii="Times New Roman" w:hAnsi="Times New Roman" w:cs="Times New Roman"/>
          <w:sz w:val="24"/>
          <w:szCs w:val="24"/>
        </w:rPr>
        <w:t>?</w:t>
      </w:r>
    </w:p>
    <w:p w14:paraId="70B735DF" w14:textId="4A443033" w:rsidR="00FF7B44" w:rsidRPr="00FF7B44" w:rsidRDefault="00FF7B44" w:rsidP="00FF7B44">
      <w:r>
        <w:t>(The European Convention on Human Rights Law Review (1) 2020 1-9)</w:t>
      </w:r>
      <w:bookmarkStart w:id="0" w:name="_GoBack"/>
      <w:bookmarkEnd w:id="0"/>
    </w:p>
    <w:p w14:paraId="5F6B5044" w14:textId="77777777" w:rsidR="002C188A" w:rsidRPr="005D5256" w:rsidRDefault="006418D4" w:rsidP="005D5256">
      <w:pPr>
        <w:pStyle w:val="Heading1"/>
        <w:spacing w:line="480" w:lineRule="auto"/>
        <w:jc w:val="both"/>
        <w:rPr>
          <w:rFonts w:ascii="Times New Roman" w:hAnsi="Times New Roman" w:cs="Times New Roman"/>
          <w:sz w:val="24"/>
          <w:szCs w:val="24"/>
        </w:rPr>
      </w:pPr>
      <w:r w:rsidRPr="005D5256">
        <w:rPr>
          <w:rFonts w:ascii="Times New Roman" w:hAnsi="Times New Roman" w:cs="Times New Roman"/>
          <w:sz w:val="24"/>
          <w:szCs w:val="24"/>
        </w:rPr>
        <w:t>Ed Bates.</w:t>
      </w:r>
      <w:r w:rsidR="00551F19" w:rsidRPr="005D5256">
        <w:rPr>
          <w:rStyle w:val="FootnoteReference"/>
          <w:rFonts w:ascii="Times New Roman" w:hAnsi="Times New Roman" w:cs="Times New Roman"/>
          <w:sz w:val="24"/>
          <w:szCs w:val="24"/>
        </w:rPr>
        <w:footnoteReference w:customMarkFollows="1" w:id="1"/>
        <w:sym w:font="Symbol" w:char="F02A"/>
      </w:r>
    </w:p>
    <w:p w14:paraId="32F33631" w14:textId="23624F69" w:rsidR="006B6D6B" w:rsidRPr="005D5256" w:rsidRDefault="00F8302D" w:rsidP="005D5256">
      <w:pPr>
        <w:spacing w:line="480" w:lineRule="auto"/>
        <w:jc w:val="both"/>
        <w:rPr>
          <w:rFonts w:ascii="Times New Roman" w:eastAsiaTheme="majorEastAsia" w:hAnsi="Times New Roman" w:cs="Times New Roman"/>
          <w:sz w:val="24"/>
          <w:szCs w:val="24"/>
        </w:rPr>
      </w:pPr>
      <w:r w:rsidRPr="005D5256">
        <w:rPr>
          <w:rFonts w:ascii="Times New Roman" w:eastAsiaTheme="majorEastAsia" w:hAnsi="Times New Roman" w:cs="Times New Roman"/>
          <w:sz w:val="24"/>
          <w:szCs w:val="24"/>
        </w:rPr>
        <w:t xml:space="preserve">In this piece, I argue </w:t>
      </w:r>
      <w:r w:rsidR="00551F19" w:rsidRPr="005D5256">
        <w:rPr>
          <w:rFonts w:ascii="Times New Roman" w:eastAsiaTheme="majorEastAsia" w:hAnsi="Times New Roman" w:cs="Times New Roman"/>
          <w:sz w:val="24"/>
          <w:szCs w:val="24"/>
        </w:rPr>
        <w:t xml:space="preserve">that </w:t>
      </w:r>
      <w:r w:rsidR="00E344C3" w:rsidRPr="005D5256">
        <w:rPr>
          <w:rFonts w:ascii="Times New Roman" w:eastAsiaTheme="majorEastAsia" w:hAnsi="Times New Roman" w:cs="Times New Roman"/>
          <w:sz w:val="24"/>
          <w:szCs w:val="24"/>
        </w:rPr>
        <w:t>claim</w:t>
      </w:r>
      <w:r w:rsidR="00551F19" w:rsidRPr="005D5256">
        <w:rPr>
          <w:rFonts w:ascii="Times New Roman" w:eastAsiaTheme="majorEastAsia" w:hAnsi="Times New Roman" w:cs="Times New Roman"/>
          <w:sz w:val="24"/>
          <w:szCs w:val="24"/>
        </w:rPr>
        <w:t>s</w:t>
      </w:r>
      <w:r w:rsidR="00E344C3" w:rsidRPr="005D5256">
        <w:rPr>
          <w:rFonts w:ascii="Times New Roman" w:eastAsiaTheme="majorEastAsia" w:hAnsi="Times New Roman" w:cs="Times New Roman"/>
          <w:sz w:val="24"/>
          <w:szCs w:val="24"/>
        </w:rPr>
        <w:t xml:space="preserve"> that </w:t>
      </w:r>
      <w:r w:rsidR="005F1A79" w:rsidRPr="005D5256">
        <w:rPr>
          <w:rFonts w:ascii="Times New Roman" w:eastAsiaTheme="majorEastAsia" w:hAnsi="Times New Roman" w:cs="Times New Roman"/>
          <w:sz w:val="24"/>
          <w:szCs w:val="24"/>
        </w:rPr>
        <w:t>the ECHR</w:t>
      </w:r>
      <w:r w:rsidR="00E344C3" w:rsidRPr="005D5256">
        <w:rPr>
          <w:rFonts w:ascii="Times New Roman" w:eastAsiaTheme="majorEastAsia" w:hAnsi="Times New Roman" w:cs="Times New Roman"/>
          <w:sz w:val="24"/>
          <w:szCs w:val="24"/>
        </w:rPr>
        <w:t xml:space="preserve"> is an </w:t>
      </w:r>
      <w:r w:rsidR="006418D4" w:rsidRPr="005D5256">
        <w:rPr>
          <w:rFonts w:ascii="Times New Roman" w:eastAsiaTheme="majorEastAsia" w:hAnsi="Times New Roman" w:cs="Times New Roman"/>
          <w:sz w:val="24"/>
          <w:szCs w:val="24"/>
        </w:rPr>
        <w:t xml:space="preserve">integrationist instrument </w:t>
      </w:r>
      <w:r w:rsidR="00E7104D" w:rsidRPr="005D5256">
        <w:rPr>
          <w:rFonts w:ascii="Times New Roman" w:eastAsiaTheme="majorEastAsia" w:hAnsi="Times New Roman" w:cs="Times New Roman"/>
          <w:sz w:val="24"/>
          <w:szCs w:val="24"/>
        </w:rPr>
        <w:t>must</w:t>
      </w:r>
      <w:r w:rsidR="00E344C3" w:rsidRPr="005D5256">
        <w:rPr>
          <w:rFonts w:ascii="Times New Roman" w:eastAsiaTheme="majorEastAsia" w:hAnsi="Times New Roman" w:cs="Times New Roman"/>
          <w:sz w:val="24"/>
          <w:szCs w:val="24"/>
        </w:rPr>
        <w:t xml:space="preserve"> be treated with caution</w:t>
      </w:r>
      <w:r w:rsidR="00CD4127">
        <w:rPr>
          <w:rFonts w:ascii="Times New Roman" w:eastAsiaTheme="majorEastAsia" w:hAnsi="Times New Roman" w:cs="Times New Roman"/>
          <w:sz w:val="24"/>
          <w:szCs w:val="24"/>
        </w:rPr>
        <w:t>, and that prude</w:t>
      </w:r>
      <w:r w:rsidR="00D62321">
        <w:rPr>
          <w:rFonts w:ascii="Times New Roman" w:eastAsiaTheme="majorEastAsia" w:hAnsi="Times New Roman" w:cs="Times New Roman"/>
          <w:sz w:val="24"/>
          <w:szCs w:val="24"/>
        </w:rPr>
        <w:t>nt self-restraint is required f</w:t>
      </w:r>
      <w:r w:rsidR="00CD4127">
        <w:rPr>
          <w:rFonts w:ascii="Times New Roman" w:eastAsiaTheme="majorEastAsia" w:hAnsi="Times New Roman" w:cs="Times New Roman"/>
          <w:sz w:val="24"/>
          <w:szCs w:val="24"/>
        </w:rPr>
        <w:t>r</w:t>
      </w:r>
      <w:r w:rsidR="00D62321">
        <w:rPr>
          <w:rFonts w:ascii="Times New Roman" w:eastAsiaTheme="majorEastAsia" w:hAnsi="Times New Roman" w:cs="Times New Roman"/>
          <w:sz w:val="24"/>
          <w:szCs w:val="24"/>
        </w:rPr>
        <w:t>o</w:t>
      </w:r>
      <w:r w:rsidR="00CD4127">
        <w:rPr>
          <w:rFonts w:ascii="Times New Roman" w:eastAsiaTheme="majorEastAsia" w:hAnsi="Times New Roman" w:cs="Times New Roman"/>
          <w:sz w:val="24"/>
          <w:szCs w:val="24"/>
        </w:rPr>
        <w:t>m the Court</w:t>
      </w:r>
      <w:r w:rsidR="006D5FD9" w:rsidRPr="005D5256">
        <w:rPr>
          <w:rFonts w:ascii="Times New Roman" w:eastAsiaTheme="majorEastAsia" w:hAnsi="Times New Roman" w:cs="Times New Roman"/>
          <w:sz w:val="24"/>
          <w:szCs w:val="24"/>
        </w:rPr>
        <w:t>.</w:t>
      </w:r>
      <w:r w:rsidR="005F1A79" w:rsidRPr="005D5256">
        <w:rPr>
          <w:rFonts w:ascii="Times New Roman" w:eastAsiaTheme="majorEastAsia" w:hAnsi="Times New Roman" w:cs="Times New Roman"/>
          <w:sz w:val="24"/>
          <w:szCs w:val="24"/>
        </w:rPr>
        <w:t xml:space="preserve"> </w:t>
      </w:r>
      <w:r w:rsidR="006B6D6B" w:rsidRPr="005D5256">
        <w:rPr>
          <w:rFonts w:ascii="Times New Roman" w:eastAsiaTheme="majorEastAsia" w:hAnsi="Times New Roman" w:cs="Times New Roman"/>
          <w:sz w:val="24"/>
          <w:szCs w:val="24"/>
        </w:rPr>
        <w:t xml:space="preserve">I do so in the spirit </w:t>
      </w:r>
      <w:r w:rsidR="007544F9" w:rsidRPr="005D5256">
        <w:rPr>
          <w:rFonts w:ascii="Times New Roman" w:eastAsiaTheme="majorEastAsia" w:hAnsi="Times New Roman" w:cs="Times New Roman"/>
          <w:sz w:val="24"/>
          <w:szCs w:val="24"/>
        </w:rPr>
        <w:t>indicated</w:t>
      </w:r>
      <w:r w:rsidR="006B6D6B" w:rsidRPr="005D5256">
        <w:rPr>
          <w:rFonts w:ascii="Times New Roman" w:eastAsiaTheme="majorEastAsia" w:hAnsi="Times New Roman" w:cs="Times New Roman"/>
          <w:sz w:val="24"/>
          <w:szCs w:val="24"/>
        </w:rPr>
        <w:t xml:space="preserve"> by former President Luzius Wildhaber</w:t>
      </w:r>
      <w:r w:rsidR="00732424" w:rsidRPr="005D5256">
        <w:rPr>
          <w:rFonts w:ascii="Times New Roman" w:eastAsiaTheme="majorEastAsia" w:hAnsi="Times New Roman" w:cs="Times New Roman"/>
          <w:sz w:val="24"/>
          <w:szCs w:val="24"/>
        </w:rPr>
        <w:t>,</w:t>
      </w:r>
      <w:r w:rsidR="006B6D6B" w:rsidRPr="005D5256">
        <w:rPr>
          <w:rFonts w:ascii="Times New Roman" w:eastAsiaTheme="majorEastAsia" w:hAnsi="Times New Roman" w:cs="Times New Roman"/>
          <w:sz w:val="24"/>
          <w:szCs w:val="24"/>
        </w:rPr>
        <w:t xml:space="preserve"> </w:t>
      </w:r>
      <w:r w:rsidR="00551F19" w:rsidRPr="005D5256">
        <w:rPr>
          <w:rFonts w:ascii="Times New Roman" w:eastAsiaTheme="majorEastAsia" w:hAnsi="Times New Roman" w:cs="Times New Roman"/>
          <w:sz w:val="24"/>
          <w:szCs w:val="24"/>
        </w:rPr>
        <w:t>who once wrote, ‘institutions and states will perish, if those who love them do not criticize them, and if those who criticize them do not love them’.</w:t>
      </w:r>
      <w:r w:rsidR="00A81A61">
        <w:rPr>
          <w:rStyle w:val="FootnoteReference"/>
          <w:rFonts w:ascii="Times New Roman" w:eastAsiaTheme="majorEastAsia" w:hAnsi="Times New Roman" w:cs="Times New Roman"/>
          <w:sz w:val="24"/>
          <w:szCs w:val="24"/>
        </w:rPr>
        <w:footnoteReference w:id="2"/>
      </w:r>
      <w:r w:rsidR="00551F19" w:rsidRPr="005D5256">
        <w:rPr>
          <w:rFonts w:ascii="Times New Roman" w:eastAsiaTheme="majorEastAsia" w:hAnsi="Times New Roman" w:cs="Times New Roman"/>
          <w:sz w:val="24"/>
          <w:szCs w:val="24"/>
        </w:rPr>
        <w:t xml:space="preserve"> I </w:t>
      </w:r>
      <w:r w:rsidR="004F656E" w:rsidRPr="005D5256">
        <w:rPr>
          <w:rFonts w:ascii="Times New Roman" w:eastAsiaTheme="majorEastAsia" w:hAnsi="Times New Roman" w:cs="Times New Roman"/>
          <w:sz w:val="24"/>
          <w:szCs w:val="24"/>
        </w:rPr>
        <w:t xml:space="preserve">also </w:t>
      </w:r>
      <w:r w:rsidR="00551F19" w:rsidRPr="005D5256">
        <w:rPr>
          <w:rFonts w:ascii="Times New Roman" w:eastAsiaTheme="majorEastAsia" w:hAnsi="Times New Roman" w:cs="Times New Roman"/>
          <w:sz w:val="24"/>
          <w:szCs w:val="24"/>
        </w:rPr>
        <w:t xml:space="preserve">have in mind </w:t>
      </w:r>
      <w:r w:rsidR="007544F9" w:rsidRPr="005D5256">
        <w:rPr>
          <w:rFonts w:ascii="Times New Roman" w:eastAsiaTheme="majorEastAsia" w:hAnsi="Times New Roman" w:cs="Times New Roman"/>
          <w:sz w:val="24"/>
          <w:szCs w:val="24"/>
        </w:rPr>
        <w:t xml:space="preserve">comments </w:t>
      </w:r>
      <w:r w:rsidR="004F656E" w:rsidRPr="005D5256">
        <w:rPr>
          <w:rFonts w:ascii="Times New Roman" w:eastAsiaTheme="majorEastAsia" w:hAnsi="Times New Roman" w:cs="Times New Roman"/>
          <w:sz w:val="24"/>
          <w:szCs w:val="24"/>
        </w:rPr>
        <w:t xml:space="preserve">recently </w:t>
      </w:r>
      <w:r w:rsidR="007544F9" w:rsidRPr="005D5256">
        <w:rPr>
          <w:rFonts w:ascii="Times New Roman" w:eastAsiaTheme="majorEastAsia" w:hAnsi="Times New Roman" w:cs="Times New Roman"/>
          <w:sz w:val="24"/>
          <w:szCs w:val="24"/>
        </w:rPr>
        <w:t xml:space="preserve">made by </w:t>
      </w:r>
      <w:r w:rsidR="006B6D6B" w:rsidRPr="005D5256">
        <w:rPr>
          <w:rFonts w:ascii="Times New Roman" w:eastAsiaTheme="majorEastAsia" w:hAnsi="Times New Roman" w:cs="Times New Roman"/>
          <w:sz w:val="24"/>
          <w:szCs w:val="24"/>
        </w:rPr>
        <w:t xml:space="preserve">former Registrar </w:t>
      </w:r>
      <w:r w:rsidR="00732424" w:rsidRPr="005D5256">
        <w:rPr>
          <w:rFonts w:ascii="Times New Roman" w:eastAsiaTheme="majorEastAsia" w:hAnsi="Times New Roman" w:cs="Times New Roman"/>
          <w:sz w:val="24"/>
          <w:szCs w:val="24"/>
        </w:rPr>
        <w:t>(</w:t>
      </w:r>
      <w:r w:rsidR="006B6D6B" w:rsidRPr="005D5256">
        <w:rPr>
          <w:rFonts w:ascii="Times New Roman" w:eastAsiaTheme="majorEastAsia" w:hAnsi="Times New Roman" w:cs="Times New Roman"/>
          <w:sz w:val="24"/>
          <w:szCs w:val="24"/>
        </w:rPr>
        <w:t>and Judge</w:t>
      </w:r>
      <w:r w:rsidR="00732424" w:rsidRPr="005D5256">
        <w:rPr>
          <w:rFonts w:ascii="Times New Roman" w:eastAsiaTheme="majorEastAsia" w:hAnsi="Times New Roman" w:cs="Times New Roman"/>
          <w:sz w:val="24"/>
          <w:szCs w:val="24"/>
        </w:rPr>
        <w:t>)</w:t>
      </w:r>
      <w:r w:rsidR="006B6D6B" w:rsidRPr="005D5256">
        <w:rPr>
          <w:rFonts w:ascii="Times New Roman" w:eastAsiaTheme="majorEastAsia" w:hAnsi="Times New Roman" w:cs="Times New Roman"/>
          <w:sz w:val="24"/>
          <w:szCs w:val="24"/>
        </w:rPr>
        <w:t xml:space="preserve"> Paul Mahoney</w:t>
      </w:r>
      <w:r w:rsidR="00E7104D" w:rsidRPr="005D5256">
        <w:rPr>
          <w:rFonts w:ascii="Times New Roman" w:eastAsiaTheme="majorEastAsia" w:hAnsi="Times New Roman" w:cs="Times New Roman"/>
          <w:sz w:val="24"/>
          <w:szCs w:val="24"/>
        </w:rPr>
        <w:t>,</w:t>
      </w:r>
      <w:r w:rsidR="00551F19" w:rsidRPr="005D5256">
        <w:rPr>
          <w:rFonts w:ascii="Times New Roman" w:eastAsiaTheme="majorEastAsia" w:hAnsi="Times New Roman" w:cs="Times New Roman"/>
          <w:sz w:val="24"/>
          <w:szCs w:val="24"/>
        </w:rPr>
        <w:t xml:space="preserve"> </w:t>
      </w:r>
      <w:r w:rsidR="00755077" w:rsidRPr="005D5256">
        <w:rPr>
          <w:rFonts w:ascii="Times New Roman" w:eastAsiaTheme="majorEastAsia" w:hAnsi="Times New Roman" w:cs="Times New Roman"/>
          <w:sz w:val="24"/>
          <w:szCs w:val="24"/>
        </w:rPr>
        <w:t>lament</w:t>
      </w:r>
      <w:r w:rsidR="00551F19" w:rsidRPr="005D5256">
        <w:rPr>
          <w:rFonts w:ascii="Times New Roman" w:eastAsiaTheme="majorEastAsia" w:hAnsi="Times New Roman" w:cs="Times New Roman"/>
          <w:sz w:val="24"/>
          <w:szCs w:val="24"/>
        </w:rPr>
        <w:t xml:space="preserve">ing </w:t>
      </w:r>
      <w:r w:rsidR="00755077" w:rsidRPr="005D5256">
        <w:rPr>
          <w:rFonts w:ascii="Times New Roman" w:eastAsiaTheme="majorEastAsia" w:hAnsi="Times New Roman" w:cs="Times New Roman"/>
          <w:sz w:val="24"/>
          <w:szCs w:val="24"/>
        </w:rPr>
        <w:t>the absence of ‘self-questioning and openness to criticism’ amongst ‘many leading lights of the European human rights movement’.</w:t>
      </w:r>
      <w:r w:rsidR="00A81A61">
        <w:rPr>
          <w:rStyle w:val="FootnoteReference"/>
          <w:rFonts w:ascii="Times New Roman" w:eastAsiaTheme="majorEastAsia" w:hAnsi="Times New Roman" w:cs="Times New Roman"/>
          <w:sz w:val="24"/>
          <w:szCs w:val="24"/>
        </w:rPr>
        <w:footnoteReference w:id="3"/>
      </w:r>
      <w:r w:rsidR="00755077" w:rsidRPr="005D5256">
        <w:rPr>
          <w:rFonts w:ascii="Times New Roman" w:eastAsiaTheme="majorEastAsia" w:hAnsi="Times New Roman" w:cs="Times New Roman"/>
          <w:sz w:val="24"/>
          <w:szCs w:val="24"/>
        </w:rPr>
        <w:t xml:space="preserve"> He refers to </w:t>
      </w:r>
      <w:r w:rsidR="006B6D6B" w:rsidRPr="005D5256">
        <w:rPr>
          <w:rFonts w:ascii="Times New Roman" w:eastAsiaTheme="majorEastAsia" w:hAnsi="Times New Roman" w:cs="Times New Roman"/>
          <w:sz w:val="24"/>
          <w:szCs w:val="24"/>
        </w:rPr>
        <w:t xml:space="preserve">‘an all too common intolerance in European human rights circles of anyone who dares’ </w:t>
      </w:r>
      <w:r w:rsidR="009C7789" w:rsidRPr="005D5256">
        <w:rPr>
          <w:rFonts w:ascii="Times New Roman" w:eastAsiaTheme="majorEastAsia" w:hAnsi="Times New Roman" w:cs="Times New Roman"/>
          <w:sz w:val="24"/>
          <w:szCs w:val="24"/>
        </w:rPr>
        <w:t xml:space="preserve">break ranks </w:t>
      </w:r>
      <w:r w:rsidR="00732424" w:rsidRPr="005D5256">
        <w:rPr>
          <w:rFonts w:ascii="Times New Roman" w:eastAsiaTheme="majorEastAsia" w:hAnsi="Times New Roman" w:cs="Times New Roman"/>
          <w:sz w:val="24"/>
          <w:szCs w:val="24"/>
        </w:rPr>
        <w:t>by</w:t>
      </w:r>
      <w:r w:rsidR="006B6D6B" w:rsidRPr="005D5256">
        <w:rPr>
          <w:rFonts w:ascii="Times New Roman" w:eastAsiaTheme="majorEastAsia" w:hAnsi="Times New Roman" w:cs="Times New Roman"/>
          <w:sz w:val="24"/>
          <w:szCs w:val="24"/>
        </w:rPr>
        <w:t xml:space="preserve"> question</w:t>
      </w:r>
      <w:r w:rsidR="00732424" w:rsidRPr="005D5256">
        <w:rPr>
          <w:rFonts w:ascii="Times New Roman" w:eastAsiaTheme="majorEastAsia" w:hAnsi="Times New Roman" w:cs="Times New Roman"/>
          <w:sz w:val="24"/>
          <w:szCs w:val="24"/>
        </w:rPr>
        <w:t>ing</w:t>
      </w:r>
      <w:r w:rsidR="006B6D6B" w:rsidRPr="005D5256">
        <w:rPr>
          <w:rFonts w:ascii="Times New Roman" w:eastAsiaTheme="majorEastAsia" w:hAnsi="Times New Roman" w:cs="Times New Roman"/>
          <w:sz w:val="24"/>
          <w:szCs w:val="24"/>
        </w:rPr>
        <w:t xml:space="preserve"> </w:t>
      </w:r>
      <w:r w:rsidR="00732424" w:rsidRPr="005D5256">
        <w:rPr>
          <w:rFonts w:ascii="Times New Roman" w:eastAsiaTheme="majorEastAsia" w:hAnsi="Times New Roman" w:cs="Times New Roman"/>
          <w:sz w:val="24"/>
          <w:szCs w:val="24"/>
        </w:rPr>
        <w:t>Strasbourg</w:t>
      </w:r>
      <w:r w:rsidR="009C7789" w:rsidRPr="005D5256">
        <w:rPr>
          <w:rFonts w:ascii="Times New Roman" w:eastAsiaTheme="majorEastAsia" w:hAnsi="Times New Roman" w:cs="Times New Roman"/>
          <w:sz w:val="24"/>
          <w:szCs w:val="24"/>
        </w:rPr>
        <w:t xml:space="preserve"> - </w:t>
      </w:r>
      <w:r w:rsidR="006B6D6B" w:rsidRPr="005D5256">
        <w:rPr>
          <w:rFonts w:ascii="Times New Roman" w:eastAsiaTheme="majorEastAsia" w:hAnsi="Times New Roman" w:cs="Times New Roman"/>
          <w:sz w:val="24"/>
          <w:szCs w:val="24"/>
        </w:rPr>
        <w:t xml:space="preserve">such individuals </w:t>
      </w:r>
      <w:r w:rsidR="009C7789" w:rsidRPr="005D5256">
        <w:rPr>
          <w:rFonts w:ascii="Times New Roman" w:eastAsiaTheme="majorEastAsia" w:hAnsi="Times New Roman" w:cs="Times New Roman"/>
          <w:sz w:val="24"/>
          <w:szCs w:val="24"/>
        </w:rPr>
        <w:t>are</w:t>
      </w:r>
      <w:r w:rsidR="006B6D6B" w:rsidRPr="005D5256">
        <w:rPr>
          <w:rFonts w:ascii="Times New Roman" w:eastAsiaTheme="majorEastAsia" w:hAnsi="Times New Roman" w:cs="Times New Roman"/>
          <w:sz w:val="24"/>
          <w:szCs w:val="24"/>
        </w:rPr>
        <w:t xml:space="preserve"> viewed as ‘renegades’ or ‘traitors’, not </w:t>
      </w:r>
      <w:r w:rsidR="00732424" w:rsidRPr="005D5256">
        <w:rPr>
          <w:rFonts w:ascii="Times New Roman" w:eastAsiaTheme="majorEastAsia" w:hAnsi="Times New Roman" w:cs="Times New Roman"/>
          <w:sz w:val="24"/>
          <w:szCs w:val="24"/>
        </w:rPr>
        <w:t>‘true human rights “patriots”’!</w:t>
      </w:r>
      <w:r w:rsidR="00A81A61">
        <w:rPr>
          <w:rStyle w:val="FootnoteReference"/>
          <w:rFonts w:ascii="Times New Roman" w:eastAsiaTheme="majorEastAsia" w:hAnsi="Times New Roman" w:cs="Times New Roman"/>
          <w:sz w:val="24"/>
          <w:szCs w:val="24"/>
        </w:rPr>
        <w:footnoteReference w:id="4"/>
      </w:r>
      <w:r w:rsidR="001F478F">
        <w:rPr>
          <w:rFonts w:ascii="Times New Roman" w:eastAsiaTheme="majorEastAsia" w:hAnsi="Times New Roman" w:cs="Times New Roman"/>
          <w:sz w:val="24"/>
          <w:szCs w:val="24"/>
        </w:rPr>
        <w:t xml:space="preserve"> </w:t>
      </w:r>
      <w:r w:rsidR="00374960">
        <w:rPr>
          <w:rFonts w:ascii="Times New Roman" w:eastAsiaTheme="majorEastAsia" w:hAnsi="Times New Roman" w:cs="Times New Roman"/>
          <w:sz w:val="24"/>
          <w:szCs w:val="24"/>
        </w:rPr>
        <w:t xml:space="preserve">I hope the reader will </w:t>
      </w:r>
      <w:r w:rsidR="00E11C53">
        <w:rPr>
          <w:rFonts w:ascii="Times New Roman" w:eastAsiaTheme="majorEastAsia" w:hAnsi="Times New Roman" w:cs="Times New Roman"/>
          <w:sz w:val="24"/>
          <w:szCs w:val="24"/>
        </w:rPr>
        <w:t xml:space="preserve">not see me </w:t>
      </w:r>
      <w:r w:rsidR="001F478F">
        <w:rPr>
          <w:rFonts w:ascii="Times New Roman" w:eastAsiaTheme="majorEastAsia" w:hAnsi="Times New Roman" w:cs="Times New Roman"/>
          <w:sz w:val="24"/>
          <w:szCs w:val="24"/>
        </w:rPr>
        <w:t>in that light</w:t>
      </w:r>
      <w:r w:rsidR="00E11C53">
        <w:rPr>
          <w:rFonts w:ascii="Times New Roman" w:eastAsiaTheme="majorEastAsia" w:hAnsi="Times New Roman" w:cs="Times New Roman"/>
          <w:sz w:val="24"/>
          <w:szCs w:val="24"/>
        </w:rPr>
        <w:t>, tolerat</w:t>
      </w:r>
      <w:r w:rsidR="001F478F">
        <w:rPr>
          <w:rFonts w:ascii="Times New Roman" w:eastAsiaTheme="majorEastAsia" w:hAnsi="Times New Roman" w:cs="Times New Roman"/>
          <w:sz w:val="24"/>
          <w:szCs w:val="24"/>
        </w:rPr>
        <w:t xml:space="preserve">ing </w:t>
      </w:r>
      <w:r w:rsidR="00374960">
        <w:rPr>
          <w:rFonts w:ascii="Times New Roman" w:eastAsiaTheme="majorEastAsia" w:hAnsi="Times New Roman" w:cs="Times New Roman"/>
          <w:sz w:val="24"/>
          <w:szCs w:val="24"/>
        </w:rPr>
        <w:t>this piece</w:t>
      </w:r>
      <w:r w:rsidR="00E11C53">
        <w:rPr>
          <w:rFonts w:ascii="Times New Roman" w:eastAsiaTheme="majorEastAsia" w:hAnsi="Times New Roman" w:cs="Times New Roman"/>
          <w:sz w:val="24"/>
          <w:szCs w:val="24"/>
        </w:rPr>
        <w:t xml:space="preserve">, </w:t>
      </w:r>
      <w:r w:rsidR="000C1EDD">
        <w:rPr>
          <w:rFonts w:ascii="Times New Roman" w:eastAsiaTheme="majorEastAsia" w:hAnsi="Times New Roman" w:cs="Times New Roman"/>
          <w:sz w:val="24"/>
          <w:szCs w:val="24"/>
        </w:rPr>
        <w:t>even if</w:t>
      </w:r>
      <w:r w:rsidR="00E11C53">
        <w:rPr>
          <w:rFonts w:ascii="Times New Roman" w:eastAsiaTheme="majorEastAsia" w:hAnsi="Times New Roman" w:cs="Times New Roman"/>
          <w:sz w:val="24"/>
          <w:szCs w:val="24"/>
        </w:rPr>
        <w:t xml:space="preserve"> my arguments are necessarily brief. They might be provocative; however, noting Mahoney’s </w:t>
      </w:r>
      <w:r w:rsidR="00984427">
        <w:rPr>
          <w:rFonts w:ascii="Times New Roman" w:eastAsiaTheme="majorEastAsia" w:hAnsi="Times New Roman" w:cs="Times New Roman"/>
          <w:sz w:val="24"/>
          <w:szCs w:val="24"/>
        </w:rPr>
        <w:t>observations</w:t>
      </w:r>
      <w:r w:rsidR="00E11C53">
        <w:rPr>
          <w:rFonts w:ascii="Times New Roman" w:eastAsiaTheme="majorEastAsia" w:hAnsi="Times New Roman" w:cs="Times New Roman"/>
          <w:sz w:val="24"/>
          <w:szCs w:val="24"/>
        </w:rPr>
        <w:t xml:space="preserve"> might this be a good thing? </w:t>
      </w:r>
      <w:r w:rsidR="00374960">
        <w:rPr>
          <w:rFonts w:ascii="Times New Roman" w:eastAsiaTheme="majorEastAsia" w:hAnsi="Times New Roman" w:cs="Times New Roman"/>
          <w:sz w:val="24"/>
          <w:szCs w:val="24"/>
        </w:rPr>
        <w:t xml:space="preserve">My ambition is not to </w:t>
      </w:r>
      <w:r w:rsidR="00CF08DD">
        <w:rPr>
          <w:rFonts w:ascii="Times New Roman" w:eastAsiaTheme="majorEastAsia" w:hAnsi="Times New Roman" w:cs="Times New Roman"/>
          <w:sz w:val="24"/>
          <w:szCs w:val="24"/>
        </w:rPr>
        <w:t>question</w:t>
      </w:r>
      <w:r w:rsidR="00374960">
        <w:rPr>
          <w:rFonts w:ascii="Times New Roman" w:eastAsiaTheme="majorEastAsia" w:hAnsi="Times New Roman" w:cs="Times New Roman"/>
          <w:sz w:val="24"/>
          <w:szCs w:val="24"/>
        </w:rPr>
        <w:t xml:space="preserve"> the legitimacy of the Court, but to contribute to a debate about its role </w:t>
      </w:r>
      <w:r w:rsidR="00CF08DD">
        <w:rPr>
          <w:rFonts w:ascii="Times New Roman" w:eastAsiaTheme="majorEastAsia" w:hAnsi="Times New Roman" w:cs="Times New Roman"/>
          <w:sz w:val="24"/>
          <w:szCs w:val="24"/>
        </w:rPr>
        <w:t>and how far it can go</w:t>
      </w:r>
      <w:r w:rsidR="00374960">
        <w:rPr>
          <w:rFonts w:ascii="Times New Roman" w:eastAsiaTheme="majorEastAsia" w:hAnsi="Times New Roman" w:cs="Times New Roman"/>
          <w:sz w:val="24"/>
          <w:szCs w:val="24"/>
        </w:rPr>
        <w:t>.</w:t>
      </w:r>
    </w:p>
    <w:p w14:paraId="3772C873" w14:textId="77777777" w:rsidR="00305721" w:rsidRPr="005D5256" w:rsidRDefault="00975E51" w:rsidP="005D5256">
      <w:pPr>
        <w:pStyle w:val="Heading2"/>
        <w:spacing w:line="480" w:lineRule="auto"/>
        <w:jc w:val="both"/>
        <w:rPr>
          <w:rFonts w:ascii="Times New Roman" w:hAnsi="Times New Roman" w:cs="Times New Roman"/>
          <w:sz w:val="24"/>
          <w:szCs w:val="24"/>
        </w:rPr>
      </w:pPr>
      <w:r w:rsidRPr="005D5256">
        <w:rPr>
          <w:rFonts w:ascii="Times New Roman" w:hAnsi="Times New Roman" w:cs="Times New Roman"/>
          <w:sz w:val="24"/>
          <w:szCs w:val="24"/>
        </w:rPr>
        <w:t>I</w:t>
      </w:r>
    </w:p>
    <w:p w14:paraId="4980A4AA" w14:textId="015335F5" w:rsidR="00A9473D" w:rsidRPr="005D5256" w:rsidRDefault="006D5FD9" w:rsidP="005D5256">
      <w:pPr>
        <w:spacing w:line="480" w:lineRule="auto"/>
        <w:jc w:val="both"/>
        <w:rPr>
          <w:rFonts w:ascii="Times New Roman" w:eastAsiaTheme="majorEastAsia" w:hAnsi="Times New Roman" w:cs="Times New Roman"/>
          <w:sz w:val="24"/>
          <w:szCs w:val="24"/>
        </w:rPr>
      </w:pPr>
      <w:r w:rsidRPr="005D5256">
        <w:rPr>
          <w:rFonts w:ascii="Times New Roman" w:eastAsiaTheme="majorEastAsia" w:hAnsi="Times New Roman" w:cs="Times New Roman"/>
          <w:sz w:val="24"/>
          <w:szCs w:val="24"/>
        </w:rPr>
        <w:t xml:space="preserve">It is abundantly clear </w:t>
      </w:r>
      <w:r w:rsidR="00726D2A" w:rsidRPr="005D5256">
        <w:rPr>
          <w:rFonts w:ascii="Times New Roman" w:eastAsiaTheme="majorEastAsia" w:hAnsi="Times New Roman" w:cs="Times New Roman"/>
          <w:sz w:val="24"/>
          <w:szCs w:val="24"/>
        </w:rPr>
        <w:t>that</w:t>
      </w:r>
      <w:r w:rsidRPr="005D5256">
        <w:rPr>
          <w:rFonts w:ascii="Times New Roman" w:eastAsiaTheme="majorEastAsia" w:hAnsi="Times New Roman" w:cs="Times New Roman"/>
          <w:sz w:val="24"/>
          <w:szCs w:val="24"/>
        </w:rPr>
        <w:t xml:space="preserve"> the </w:t>
      </w:r>
      <w:r w:rsidR="00995CC7" w:rsidRPr="005D5256">
        <w:rPr>
          <w:rFonts w:ascii="Times New Roman" w:eastAsiaTheme="majorEastAsia" w:hAnsi="Times New Roman" w:cs="Times New Roman"/>
          <w:sz w:val="24"/>
          <w:szCs w:val="24"/>
        </w:rPr>
        <w:t>Convention</w:t>
      </w:r>
      <w:r w:rsidRPr="005D5256">
        <w:rPr>
          <w:rFonts w:ascii="Times New Roman" w:eastAsiaTheme="majorEastAsia" w:hAnsi="Times New Roman" w:cs="Times New Roman"/>
          <w:sz w:val="24"/>
          <w:szCs w:val="24"/>
        </w:rPr>
        <w:t xml:space="preserve"> was </w:t>
      </w:r>
      <w:r w:rsidRPr="005D5256">
        <w:rPr>
          <w:rFonts w:ascii="Times New Roman" w:eastAsiaTheme="majorEastAsia" w:hAnsi="Times New Roman" w:cs="Times New Roman"/>
          <w:i/>
          <w:sz w:val="24"/>
          <w:szCs w:val="24"/>
        </w:rPr>
        <w:t>not</w:t>
      </w:r>
      <w:r w:rsidRPr="005D5256">
        <w:rPr>
          <w:rFonts w:ascii="Times New Roman" w:eastAsiaTheme="majorEastAsia" w:hAnsi="Times New Roman" w:cs="Times New Roman"/>
          <w:sz w:val="24"/>
          <w:szCs w:val="24"/>
        </w:rPr>
        <w:t xml:space="preserve"> born as an integrationist instrument</w:t>
      </w:r>
      <w:r w:rsidR="000E319B" w:rsidRPr="005D5256">
        <w:rPr>
          <w:rFonts w:ascii="Times New Roman" w:eastAsiaTheme="majorEastAsia" w:hAnsi="Times New Roman" w:cs="Times New Roman"/>
          <w:sz w:val="24"/>
          <w:szCs w:val="24"/>
        </w:rPr>
        <w:t xml:space="preserve"> but</w:t>
      </w:r>
      <w:r w:rsidRPr="005D5256">
        <w:rPr>
          <w:rFonts w:ascii="Times New Roman" w:eastAsiaTheme="majorEastAsia" w:hAnsi="Times New Roman" w:cs="Times New Roman"/>
          <w:sz w:val="24"/>
          <w:szCs w:val="24"/>
        </w:rPr>
        <w:t xml:space="preserve"> evolved into </w:t>
      </w:r>
      <w:r w:rsidR="003A101A" w:rsidRPr="005D5256">
        <w:rPr>
          <w:rFonts w:ascii="Times New Roman" w:eastAsiaTheme="majorEastAsia" w:hAnsi="Times New Roman" w:cs="Times New Roman"/>
          <w:sz w:val="24"/>
          <w:szCs w:val="24"/>
        </w:rPr>
        <w:t xml:space="preserve">a </w:t>
      </w:r>
      <w:r w:rsidR="003A101A" w:rsidRPr="008D7FBC">
        <w:rPr>
          <w:rFonts w:ascii="Times New Roman" w:eastAsiaTheme="majorEastAsia" w:hAnsi="Times New Roman" w:cs="Times New Roman"/>
          <w:i/>
          <w:sz w:val="24"/>
          <w:szCs w:val="24"/>
        </w:rPr>
        <w:t>version</w:t>
      </w:r>
      <w:r w:rsidR="003A101A" w:rsidRPr="005D5256">
        <w:rPr>
          <w:rFonts w:ascii="Times New Roman" w:eastAsiaTheme="majorEastAsia" w:hAnsi="Times New Roman" w:cs="Times New Roman"/>
          <w:sz w:val="24"/>
          <w:szCs w:val="24"/>
        </w:rPr>
        <w:t xml:space="preserve"> of </w:t>
      </w:r>
      <w:r w:rsidRPr="005D5256">
        <w:rPr>
          <w:rFonts w:ascii="Times New Roman" w:eastAsiaTheme="majorEastAsia" w:hAnsi="Times New Roman" w:cs="Times New Roman"/>
          <w:sz w:val="24"/>
          <w:szCs w:val="24"/>
        </w:rPr>
        <w:t>one. Hence, as President Ryssdal noted</w:t>
      </w:r>
      <w:r w:rsidR="005F1A79" w:rsidRPr="005D5256">
        <w:rPr>
          <w:rFonts w:ascii="Times New Roman" w:eastAsiaTheme="majorEastAsia" w:hAnsi="Times New Roman" w:cs="Times New Roman"/>
          <w:sz w:val="24"/>
          <w:szCs w:val="24"/>
        </w:rPr>
        <w:t xml:space="preserve"> in 1995, </w:t>
      </w:r>
      <w:r w:rsidR="000E319B" w:rsidRPr="005D5256">
        <w:rPr>
          <w:rFonts w:ascii="Times New Roman" w:eastAsiaTheme="majorEastAsia" w:hAnsi="Times New Roman" w:cs="Times New Roman"/>
          <w:sz w:val="24"/>
          <w:szCs w:val="24"/>
        </w:rPr>
        <w:t xml:space="preserve">by then </w:t>
      </w:r>
      <w:r w:rsidRPr="005D5256">
        <w:rPr>
          <w:rFonts w:ascii="Times New Roman" w:eastAsiaTheme="majorEastAsia" w:hAnsi="Times New Roman" w:cs="Times New Roman"/>
          <w:sz w:val="24"/>
          <w:szCs w:val="24"/>
        </w:rPr>
        <w:t>there had been a qualitative evolution in Strasbourg</w:t>
      </w:r>
      <w:r w:rsidR="00AF469C" w:rsidRPr="005D5256">
        <w:rPr>
          <w:rFonts w:ascii="Times New Roman" w:eastAsiaTheme="majorEastAsia" w:hAnsi="Times New Roman" w:cs="Times New Roman"/>
          <w:sz w:val="24"/>
          <w:szCs w:val="24"/>
        </w:rPr>
        <w:t>’s</w:t>
      </w:r>
      <w:r w:rsidRPr="005D5256">
        <w:rPr>
          <w:rFonts w:ascii="Times New Roman" w:eastAsiaTheme="majorEastAsia" w:hAnsi="Times New Roman" w:cs="Times New Roman"/>
          <w:sz w:val="24"/>
          <w:szCs w:val="24"/>
        </w:rPr>
        <w:t xml:space="preserve"> </w:t>
      </w:r>
      <w:r w:rsidR="00AB489D" w:rsidRPr="005D5256">
        <w:rPr>
          <w:rFonts w:ascii="Times New Roman" w:eastAsiaTheme="majorEastAsia" w:hAnsi="Times New Roman" w:cs="Times New Roman"/>
          <w:sz w:val="24"/>
          <w:szCs w:val="24"/>
        </w:rPr>
        <w:t>role</w:t>
      </w:r>
      <w:r w:rsidRPr="005D5256">
        <w:rPr>
          <w:rFonts w:ascii="Times New Roman" w:eastAsiaTheme="majorEastAsia" w:hAnsi="Times New Roman" w:cs="Times New Roman"/>
          <w:sz w:val="24"/>
          <w:szCs w:val="24"/>
        </w:rPr>
        <w:t xml:space="preserve"> </w:t>
      </w:r>
      <w:r w:rsidRPr="005D5256">
        <w:rPr>
          <w:rFonts w:ascii="Times New Roman" w:eastAsiaTheme="majorEastAsia" w:hAnsi="Times New Roman" w:cs="Times New Roman"/>
          <w:i/>
          <w:sz w:val="24"/>
          <w:szCs w:val="24"/>
        </w:rPr>
        <w:t>compared to original expectations</w:t>
      </w:r>
      <w:r w:rsidR="00E5759A" w:rsidRPr="005D5256">
        <w:rPr>
          <w:rFonts w:ascii="Times New Roman" w:eastAsiaTheme="majorEastAsia" w:hAnsi="Times New Roman" w:cs="Times New Roman"/>
          <w:sz w:val="24"/>
          <w:szCs w:val="24"/>
        </w:rPr>
        <w:t xml:space="preserve">. </w:t>
      </w:r>
      <w:r w:rsidRPr="005D5256">
        <w:rPr>
          <w:rFonts w:ascii="Times New Roman" w:eastAsiaTheme="majorEastAsia" w:hAnsi="Times New Roman" w:cs="Times New Roman"/>
          <w:sz w:val="24"/>
          <w:szCs w:val="24"/>
        </w:rPr>
        <w:t xml:space="preserve">It was in </w:t>
      </w:r>
      <w:r w:rsidRPr="005D5256">
        <w:rPr>
          <w:rFonts w:ascii="Times New Roman" w:eastAsiaTheme="majorEastAsia" w:hAnsi="Times New Roman" w:cs="Times New Roman"/>
          <w:sz w:val="24"/>
          <w:szCs w:val="24"/>
        </w:rPr>
        <w:lastRenderedPageBreak/>
        <w:t xml:space="preserve">that sense </w:t>
      </w:r>
      <w:r w:rsidR="00732424" w:rsidRPr="005D5256">
        <w:rPr>
          <w:rFonts w:ascii="Times New Roman" w:eastAsiaTheme="majorEastAsia" w:hAnsi="Times New Roman" w:cs="Times New Roman"/>
          <w:i/>
          <w:sz w:val="24"/>
          <w:szCs w:val="24"/>
        </w:rPr>
        <w:t>only</w:t>
      </w:r>
      <w:r w:rsidR="00732424" w:rsidRPr="005D5256">
        <w:rPr>
          <w:rFonts w:ascii="Times New Roman" w:eastAsiaTheme="majorEastAsia" w:hAnsi="Times New Roman" w:cs="Times New Roman"/>
          <w:sz w:val="24"/>
          <w:szCs w:val="24"/>
        </w:rPr>
        <w:t xml:space="preserve"> </w:t>
      </w:r>
      <w:r w:rsidRPr="005D5256">
        <w:rPr>
          <w:rFonts w:ascii="Times New Roman" w:eastAsiaTheme="majorEastAsia" w:hAnsi="Times New Roman" w:cs="Times New Roman"/>
          <w:sz w:val="24"/>
          <w:szCs w:val="24"/>
        </w:rPr>
        <w:t xml:space="preserve">that </w:t>
      </w:r>
      <w:r w:rsidR="00E5759A" w:rsidRPr="005D5256">
        <w:rPr>
          <w:rFonts w:ascii="Times New Roman" w:eastAsiaTheme="majorEastAsia" w:hAnsi="Times New Roman" w:cs="Times New Roman"/>
          <w:sz w:val="24"/>
          <w:szCs w:val="24"/>
        </w:rPr>
        <w:t>he</w:t>
      </w:r>
      <w:r w:rsidRPr="005D5256">
        <w:rPr>
          <w:rFonts w:ascii="Times New Roman" w:eastAsiaTheme="majorEastAsia" w:hAnsi="Times New Roman" w:cs="Times New Roman"/>
          <w:sz w:val="24"/>
          <w:szCs w:val="24"/>
        </w:rPr>
        <w:t xml:space="preserve"> labelled the court</w:t>
      </w:r>
      <w:r w:rsidR="00837724" w:rsidRPr="005D5256">
        <w:rPr>
          <w:rFonts w:ascii="Times New Roman" w:eastAsiaTheme="majorEastAsia" w:hAnsi="Times New Roman" w:cs="Times New Roman"/>
          <w:sz w:val="24"/>
          <w:szCs w:val="24"/>
        </w:rPr>
        <w:t>,</w:t>
      </w:r>
      <w:r w:rsidRPr="005D5256">
        <w:rPr>
          <w:rFonts w:ascii="Times New Roman" w:eastAsiaTheme="majorEastAsia" w:hAnsi="Times New Roman" w:cs="Times New Roman"/>
          <w:sz w:val="24"/>
          <w:szCs w:val="24"/>
        </w:rPr>
        <w:t xml:space="preserve"> ‘quasi-constitutional’</w:t>
      </w:r>
      <w:r w:rsidR="00A57F79" w:rsidRPr="005D5256">
        <w:rPr>
          <w:rFonts w:ascii="Times New Roman" w:eastAsiaTheme="majorEastAsia" w:hAnsi="Times New Roman" w:cs="Times New Roman"/>
          <w:sz w:val="24"/>
          <w:szCs w:val="24"/>
        </w:rPr>
        <w:t>.</w:t>
      </w:r>
      <w:r w:rsidR="00A81A61">
        <w:rPr>
          <w:rStyle w:val="FootnoteReference"/>
          <w:rFonts w:ascii="Times New Roman" w:eastAsiaTheme="majorEastAsia" w:hAnsi="Times New Roman" w:cs="Times New Roman"/>
          <w:sz w:val="24"/>
          <w:szCs w:val="24"/>
        </w:rPr>
        <w:footnoteReference w:id="5"/>
      </w:r>
      <w:r w:rsidRPr="005D5256">
        <w:rPr>
          <w:rFonts w:ascii="Times New Roman" w:eastAsiaTheme="majorEastAsia" w:hAnsi="Times New Roman" w:cs="Times New Roman"/>
          <w:sz w:val="24"/>
          <w:szCs w:val="24"/>
        </w:rPr>
        <w:t xml:space="preserve"> </w:t>
      </w:r>
      <w:r w:rsidR="00995CC7" w:rsidRPr="005D5256">
        <w:rPr>
          <w:rFonts w:ascii="Times New Roman" w:eastAsiaTheme="majorEastAsia" w:hAnsi="Times New Roman" w:cs="Times New Roman"/>
          <w:sz w:val="24"/>
          <w:szCs w:val="24"/>
        </w:rPr>
        <w:t xml:space="preserve"> Michael O’Boyle </w:t>
      </w:r>
      <w:r w:rsidRPr="005D5256">
        <w:rPr>
          <w:rFonts w:ascii="Times New Roman" w:eastAsiaTheme="majorEastAsia" w:hAnsi="Times New Roman" w:cs="Times New Roman"/>
          <w:sz w:val="24"/>
          <w:szCs w:val="24"/>
        </w:rPr>
        <w:t>referr</w:t>
      </w:r>
      <w:r w:rsidR="00A57F79" w:rsidRPr="005D5256">
        <w:rPr>
          <w:rFonts w:ascii="Times New Roman" w:eastAsiaTheme="majorEastAsia" w:hAnsi="Times New Roman" w:cs="Times New Roman"/>
          <w:sz w:val="24"/>
          <w:szCs w:val="24"/>
        </w:rPr>
        <w:t>ed</w:t>
      </w:r>
      <w:r w:rsidRPr="005D5256">
        <w:rPr>
          <w:rFonts w:ascii="Times New Roman" w:eastAsiaTheme="majorEastAsia" w:hAnsi="Times New Roman" w:cs="Times New Roman"/>
          <w:sz w:val="24"/>
          <w:szCs w:val="24"/>
        </w:rPr>
        <w:t xml:space="preserve"> to a</w:t>
      </w:r>
      <w:r w:rsidR="00995CC7" w:rsidRPr="005D5256">
        <w:rPr>
          <w:rFonts w:ascii="Times New Roman" w:eastAsiaTheme="majorEastAsia" w:hAnsi="Times New Roman" w:cs="Times New Roman"/>
          <w:sz w:val="24"/>
          <w:szCs w:val="24"/>
        </w:rPr>
        <w:t xml:space="preserve"> ‘success story’ that was ‘probably unexpected and unforeseen’, as the Convention system grew ‘imperceptibly’ into ‘a fledgling constitutional system for the protection of human rights’.</w:t>
      </w:r>
      <w:r w:rsidR="00A81A61">
        <w:rPr>
          <w:rStyle w:val="FootnoteReference"/>
          <w:rFonts w:ascii="Times New Roman" w:eastAsiaTheme="majorEastAsia" w:hAnsi="Times New Roman" w:cs="Times New Roman"/>
          <w:sz w:val="24"/>
          <w:szCs w:val="24"/>
        </w:rPr>
        <w:footnoteReference w:id="6"/>
      </w:r>
      <w:r w:rsidR="00A57661" w:rsidRPr="005D5256">
        <w:rPr>
          <w:rFonts w:ascii="Times New Roman" w:eastAsiaTheme="majorEastAsia" w:hAnsi="Times New Roman" w:cs="Times New Roman"/>
          <w:sz w:val="24"/>
          <w:szCs w:val="24"/>
        </w:rPr>
        <w:t xml:space="preserve"> </w:t>
      </w:r>
    </w:p>
    <w:p w14:paraId="6739F322" w14:textId="3029D2CE" w:rsidR="00867E99" w:rsidRPr="005D5256" w:rsidRDefault="00A9473D" w:rsidP="005D5256">
      <w:pPr>
        <w:spacing w:line="480" w:lineRule="auto"/>
        <w:jc w:val="both"/>
        <w:rPr>
          <w:rFonts w:ascii="Times New Roman" w:eastAsiaTheme="majorEastAsia" w:hAnsi="Times New Roman" w:cs="Times New Roman"/>
          <w:sz w:val="24"/>
          <w:szCs w:val="24"/>
        </w:rPr>
      </w:pPr>
      <w:r w:rsidRPr="005D5256">
        <w:rPr>
          <w:rFonts w:ascii="Times New Roman" w:eastAsiaTheme="majorEastAsia" w:hAnsi="Times New Roman" w:cs="Times New Roman"/>
          <w:sz w:val="24"/>
          <w:szCs w:val="24"/>
        </w:rPr>
        <w:t>If</w:t>
      </w:r>
      <w:r w:rsidR="005942A6" w:rsidRPr="005D5256">
        <w:rPr>
          <w:rFonts w:ascii="Times New Roman" w:eastAsiaTheme="majorEastAsia" w:hAnsi="Times New Roman" w:cs="Times New Roman"/>
          <w:sz w:val="24"/>
          <w:szCs w:val="24"/>
        </w:rPr>
        <w:t xml:space="preserve"> one considers </w:t>
      </w:r>
      <w:r w:rsidR="00E7104D" w:rsidRPr="005D5256">
        <w:rPr>
          <w:rFonts w:ascii="Times New Roman" w:eastAsiaTheme="majorEastAsia" w:hAnsi="Times New Roman" w:cs="Times New Roman"/>
          <w:sz w:val="24"/>
          <w:szCs w:val="24"/>
        </w:rPr>
        <w:t xml:space="preserve">the </w:t>
      </w:r>
      <w:r w:rsidR="007A173B" w:rsidRPr="005D5256">
        <w:rPr>
          <w:rFonts w:ascii="Times New Roman" w:eastAsiaTheme="majorEastAsia" w:hAnsi="Times New Roman" w:cs="Times New Roman"/>
          <w:sz w:val="24"/>
          <w:szCs w:val="24"/>
        </w:rPr>
        <w:t>limited footing for ‘collective enforcement’ of ‘certain rights’ (</w:t>
      </w:r>
      <w:r w:rsidR="00E7104D" w:rsidRPr="005D5256">
        <w:rPr>
          <w:rFonts w:ascii="Times New Roman" w:eastAsiaTheme="majorEastAsia" w:hAnsi="Times New Roman" w:cs="Times New Roman"/>
          <w:sz w:val="24"/>
          <w:szCs w:val="24"/>
        </w:rPr>
        <w:t xml:space="preserve">ECHR, </w:t>
      </w:r>
      <w:r w:rsidR="007A173B" w:rsidRPr="005D5256">
        <w:rPr>
          <w:rFonts w:ascii="Times New Roman" w:eastAsiaTheme="majorEastAsia" w:hAnsi="Times New Roman" w:cs="Times New Roman"/>
          <w:sz w:val="24"/>
          <w:szCs w:val="24"/>
        </w:rPr>
        <w:t xml:space="preserve">Preamble) </w:t>
      </w:r>
      <w:r w:rsidR="001F478F">
        <w:rPr>
          <w:rFonts w:ascii="Times New Roman" w:eastAsiaTheme="majorEastAsia" w:hAnsi="Times New Roman" w:cs="Times New Roman"/>
          <w:sz w:val="24"/>
          <w:szCs w:val="24"/>
        </w:rPr>
        <w:t xml:space="preserve">specifically </w:t>
      </w:r>
      <w:r w:rsidR="007A173B" w:rsidRPr="005D5256">
        <w:rPr>
          <w:rFonts w:ascii="Times New Roman" w:eastAsiaTheme="majorEastAsia" w:hAnsi="Times New Roman" w:cs="Times New Roman"/>
          <w:sz w:val="24"/>
          <w:szCs w:val="24"/>
        </w:rPr>
        <w:t xml:space="preserve">envisaged for </w:t>
      </w:r>
      <w:r w:rsidR="009C7789" w:rsidRPr="005D5256">
        <w:rPr>
          <w:rFonts w:ascii="Times New Roman" w:eastAsiaTheme="majorEastAsia" w:hAnsi="Times New Roman" w:cs="Times New Roman"/>
          <w:sz w:val="24"/>
          <w:szCs w:val="24"/>
        </w:rPr>
        <w:t>the</w:t>
      </w:r>
      <w:r w:rsidR="007A173B" w:rsidRPr="005D5256">
        <w:rPr>
          <w:rFonts w:ascii="Times New Roman" w:eastAsiaTheme="majorEastAsia" w:hAnsi="Times New Roman" w:cs="Times New Roman"/>
          <w:sz w:val="24"/>
          <w:szCs w:val="24"/>
        </w:rPr>
        <w:t xml:space="preserve"> Court </w:t>
      </w:r>
      <w:r w:rsidR="009C7789" w:rsidRPr="005D5256">
        <w:rPr>
          <w:rFonts w:ascii="Times New Roman" w:eastAsiaTheme="majorEastAsia" w:hAnsi="Times New Roman" w:cs="Times New Roman"/>
          <w:sz w:val="24"/>
          <w:szCs w:val="24"/>
        </w:rPr>
        <w:t xml:space="preserve">by </w:t>
      </w:r>
      <w:r w:rsidR="007A173B" w:rsidRPr="005D5256">
        <w:rPr>
          <w:rFonts w:ascii="Times New Roman" w:eastAsiaTheme="majorEastAsia" w:hAnsi="Times New Roman" w:cs="Times New Roman"/>
          <w:sz w:val="24"/>
          <w:szCs w:val="24"/>
        </w:rPr>
        <w:t xml:space="preserve">Article 19 ECHR, then </w:t>
      </w:r>
      <w:r w:rsidRPr="005D5256">
        <w:rPr>
          <w:rFonts w:ascii="Times New Roman" w:eastAsiaTheme="majorEastAsia" w:hAnsi="Times New Roman" w:cs="Times New Roman"/>
          <w:sz w:val="24"/>
          <w:szCs w:val="24"/>
        </w:rPr>
        <w:t>the</w:t>
      </w:r>
      <w:r w:rsidR="005F1A79" w:rsidRPr="005D5256">
        <w:rPr>
          <w:rFonts w:ascii="Times New Roman" w:eastAsiaTheme="majorEastAsia" w:hAnsi="Times New Roman" w:cs="Times New Roman"/>
          <w:sz w:val="24"/>
          <w:szCs w:val="24"/>
        </w:rPr>
        <w:t xml:space="preserve"> metamorphization </w:t>
      </w:r>
      <w:r w:rsidRPr="005D5256">
        <w:rPr>
          <w:rFonts w:ascii="Times New Roman" w:eastAsiaTheme="majorEastAsia" w:hAnsi="Times New Roman" w:cs="Times New Roman"/>
          <w:sz w:val="24"/>
          <w:szCs w:val="24"/>
        </w:rPr>
        <w:t>just referred to was remarkable</w:t>
      </w:r>
      <w:r w:rsidR="007A173B" w:rsidRPr="005D5256">
        <w:rPr>
          <w:rFonts w:ascii="Times New Roman" w:eastAsiaTheme="majorEastAsia" w:hAnsi="Times New Roman" w:cs="Times New Roman"/>
          <w:sz w:val="24"/>
          <w:szCs w:val="24"/>
        </w:rPr>
        <w:t xml:space="preserve">. Moreover, it was not </w:t>
      </w:r>
      <w:r w:rsidR="005942A6" w:rsidRPr="005D5256">
        <w:rPr>
          <w:rFonts w:ascii="Times New Roman" w:eastAsiaTheme="majorEastAsia" w:hAnsi="Times New Roman" w:cs="Times New Roman"/>
          <w:sz w:val="24"/>
          <w:szCs w:val="24"/>
        </w:rPr>
        <w:t xml:space="preserve">expressly </w:t>
      </w:r>
      <w:r w:rsidR="005F1A79" w:rsidRPr="005D5256">
        <w:rPr>
          <w:rFonts w:ascii="Times New Roman" w:eastAsiaTheme="majorEastAsia" w:hAnsi="Times New Roman" w:cs="Times New Roman"/>
          <w:sz w:val="24"/>
          <w:szCs w:val="24"/>
        </w:rPr>
        <w:t>endorsed by the States</w:t>
      </w:r>
      <w:r w:rsidRPr="005D5256">
        <w:rPr>
          <w:rFonts w:ascii="Times New Roman" w:eastAsiaTheme="majorEastAsia" w:hAnsi="Times New Roman" w:cs="Times New Roman"/>
          <w:sz w:val="24"/>
          <w:szCs w:val="24"/>
        </w:rPr>
        <w:t>. They acquiesced in it</w:t>
      </w:r>
      <w:r w:rsidR="001A675A" w:rsidRPr="005D5256">
        <w:rPr>
          <w:rFonts w:ascii="Times New Roman" w:eastAsiaTheme="majorEastAsia" w:hAnsi="Times New Roman" w:cs="Times New Roman"/>
          <w:sz w:val="24"/>
          <w:szCs w:val="24"/>
        </w:rPr>
        <w:t>, notably</w:t>
      </w:r>
      <w:r w:rsidR="005942A6" w:rsidRPr="005D5256">
        <w:rPr>
          <w:rFonts w:ascii="Times New Roman" w:eastAsiaTheme="majorEastAsia" w:hAnsi="Times New Roman" w:cs="Times New Roman"/>
          <w:sz w:val="24"/>
          <w:szCs w:val="24"/>
        </w:rPr>
        <w:t xml:space="preserve"> as </w:t>
      </w:r>
      <w:r w:rsidR="005F1A79" w:rsidRPr="005D5256">
        <w:rPr>
          <w:rFonts w:ascii="Times New Roman" w:eastAsiaTheme="majorEastAsia" w:hAnsi="Times New Roman" w:cs="Times New Roman"/>
          <w:sz w:val="24"/>
          <w:szCs w:val="24"/>
        </w:rPr>
        <w:t>they</w:t>
      </w:r>
      <w:r w:rsidRPr="005D5256">
        <w:rPr>
          <w:rFonts w:ascii="Times New Roman" w:eastAsiaTheme="majorEastAsia" w:hAnsi="Times New Roman" w:cs="Times New Roman"/>
          <w:sz w:val="24"/>
          <w:szCs w:val="24"/>
        </w:rPr>
        <w:t xml:space="preserve"> </w:t>
      </w:r>
      <w:r w:rsidR="005F1A79" w:rsidRPr="005D5256">
        <w:rPr>
          <w:rFonts w:ascii="Times New Roman" w:eastAsiaTheme="majorEastAsia" w:hAnsi="Times New Roman" w:cs="Times New Roman"/>
          <w:sz w:val="24"/>
          <w:szCs w:val="24"/>
        </w:rPr>
        <w:t>accepted the significant reforms instituted by</w:t>
      </w:r>
      <w:r w:rsidR="003A0ACA" w:rsidRPr="005D5256">
        <w:rPr>
          <w:rFonts w:ascii="Times New Roman" w:eastAsiaTheme="majorEastAsia" w:hAnsi="Times New Roman" w:cs="Times New Roman"/>
          <w:sz w:val="24"/>
          <w:szCs w:val="24"/>
        </w:rPr>
        <w:t xml:space="preserve"> Protocol 11</w:t>
      </w:r>
      <w:r w:rsidR="00374960">
        <w:rPr>
          <w:rFonts w:ascii="Times New Roman" w:eastAsiaTheme="majorEastAsia" w:hAnsi="Times New Roman" w:cs="Times New Roman"/>
          <w:sz w:val="24"/>
          <w:szCs w:val="24"/>
        </w:rPr>
        <w:t xml:space="preserve"> in the 1990s</w:t>
      </w:r>
      <w:r w:rsidR="00CD4127">
        <w:rPr>
          <w:rFonts w:ascii="Times New Roman" w:eastAsiaTheme="majorEastAsia" w:hAnsi="Times New Roman" w:cs="Times New Roman"/>
          <w:sz w:val="24"/>
          <w:szCs w:val="24"/>
        </w:rPr>
        <w:t xml:space="preserve"> (</w:t>
      </w:r>
      <w:r w:rsidR="001A38B6">
        <w:rPr>
          <w:rFonts w:ascii="Times New Roman" w:eastAsiaTheme="majorEastAsia" w:hAnsi="Times New Roman" w:cs="Times New Roman"/>
          <w:sz w:val="24"/>
          <w:szCs w:val="24"/>
        </w:rPr>
        <w:t>which</w:t>
      </w:r>
      <w:r w:rsidR="00CD4127">
        <w:rPr>
          <w:rFonts w:ascii="Times New Roman" w:eastAsiaTheme="majorEastAsia" w:hAnsi="Times New Roman" w:cs="Times New Roman"/>
          <w:sz w:val="24"/>
          <w:szCs w:val="24"/>
        </w:rPr>
        <w:t xml:space="preserve"> </w:t>
      </w:r>
      <w:r w:rsidR="001A38B6">
        <w:rPr>
          <w:rFonts w:ascii="Times New Roman" w:eastAsiaTheme="majorEastAsia" w:hAnsi="Times New Roman" w:cs="Times New Roman"/>
          <w:sz w:val="24"/>
          <w:szCs w:val="24"/>
        </w:rPr>
        <w:t>occurred</w:t>
      </w:r>
      <w:r w:rsidR="00CD4127">
        <w:rPr>
          <w:rFonts w:ascii="Times New Roman" w:eastAsiaTheme="majorEastAsia" w:hAnsi="Times New Roman" w:cs="Times New Roman"/>
          <w:sz w:val="24"/>
          <w:szCs w:val="24"/>
        </w:rPr>
        <w:t xml:space="preserve"> at a time when subsidiarity was a prominent feature of Strasbourg review)</w:t>
      </w:r>
      <w:r w:rsidR="000E319B" w:rsidRPr="005D5256">
        <w:rPr>
          <w:rFonts w:ascii="Times New Roman" w:eastAsiaTheme="majorEastAsia" w:hAnsi="Times New Roman" w:cs="Times New Roman"/>
          <w:sz w:val="24"/>
          <w:szCs w:val="24"/>
        </w:rPr>
        <w:t>.</w:t>
      </w:r>
      <w:r w:rsidR="00155DB9">
        <w:rPr>
          <w:rStyle w:val="FootnoteReference"/>
          <w:rFonts w:ascii="Times New Roman" w:eastAsiaTheme="majorEastAsia" w:hAnsi="Times New Roman" w:cs="Times New Roman"/>
          <w:sz w:val="24"/>
          <w:szCs w:val="24"/>
        </w:rPr>
        <w:footnoteReference w:id="7"/>
      </w:r>
      <w:r w:rsidR="000E319B" w:rsidRPr="005D5256">
        <w:rPr>
          <w:rFonts w:ascii="Times New Roman" w:eastAsiaTheme="majorEastAsia" w:hAnsi="Times New Roman" w:cs="Times New Roman"/>
          <w:sz w:val="24"/>
          <w:szCs w:val="24"/>
        </w:rPr>
        <w:t xml:space="preserve"> </w:t>
      </w:r>
    </w:p>
    <w:p w14:paraId="35315657" w14:textId="4F89061F" w:rsidR="001716FB" w:rsidRPr="005D5256" w:rsidRDefault="00867E99" w:rsidP="005D5256">
      <w:pPr>
        <w:spacing w:line="480" w:lineRule="auto"/>
        <w:jc w:val="both"/>
        <w:rPr>
          <w:rFonts w:ascii="Times New Roman" w:eastAsiaTheme="majorEastAsia" w:hAnsi="Times New Roman" w:cs="Times New Roman"/>
          <w:sz w:val="24"/>
          <w:szCs w:val="24"/>
        </w:rPr>
      </w:pPr>
      <w:r w:rsidRPr="005D5256">
        <w:rPr>
          <w:rFonts w:ascii="Times New Roman" w:eastAsiaTheme="majorEastAsia" w:hAnsi="Times New Roman" w:cs="Times New Roman"/>
          <w:sz w:val="24"/>
          <w:szCs w:val="24"/>
        </w:rPr>
        <w:t xml:space="preserve">This is a first reason for </w:t>
      </w:r>
      <w:r w:rsidR="006D5FD9" w:rsidRPr="005D5256">
        <w:rPr>
          <w:rFonts w:ascii="Times New Roman" w:eastAsiaTheme="majorEastAsia" w:hAnsi="Times New Roman" w:cs="Times New Roman"/>
          <w:sz w:val="24"/>
          <w:szCs w:val="24"/>
        </w:rPr>
        <w:t>caution</w:t>
      </w:r>
      <w:r w:rsidRPr="005D5256">
        <w:rPr>
          <w:rFonts w:ascii="Times New Roman" w:eastAsiaTheme="majorEastAsia" w:hAnsi="Times New Roman" w:cs="Times New Roman"/>
          <w:sz w:val="24"/>
          <w:szCs w:val="24"/>
        </w:rPr>
        <w:t>ing</w:t>
      </w:r>
      <w:r w:rsidR="006D5FD9" w:rsidRPr="005D5256">
        <w:rPr>
          <w:rFonts w:ascii="Times New Roman" w:eastAsiaTheme="majorEastAsia" w:hAnsi="Times New Roman" w:cs="Times New Roman"/>
          <w:sz w:val="24"/>
          <w:szCs w:val="24"/>
        </w:rPr>
        <w:t xml:space="preserve"> </w:t>
      </w:r>
      <w:r w:rsidR="003C0CDE" w:rsidRPr="005D5256">
        <w:rPr>
          <w:rFonts w:ascii="Times New Roman" w:eastAsiaTheme="majorEastAsia" w:hAnsi="Times New Roman" w:cs="Times New Roman"/>
          <w:sz w:val="24"/>
          <w:szCs w:val="24"/>
        </w:rPr>
        <w:t xml:space="preserve">against sweeping assumptions </w:t>
      </w:r>
      <w:r w:rsidR="005942A6" w:rsidRPr="005D5256">
        <w:rPr>
          <w:rFonts w:ascii="Times New Roman" w:eastAsiaTheme="majorEastAsia" w:hAnsi="Times New Roman" w:cs="Times New Roman"/>
          <w:sz w:val="24"/>
          <w:szCs w:val="24"/>
        </w:rPr>
        <w:t xml:space="preserve">about the Court’s </w:t>
      </w:r>
      <w:r w:rsidR="00945D9C" w:rsidRPr="005D5256">
        <w:rPr>
          <w:rFonts w:ascii="Times New Roman" w:eastAsiaTheme="majorEastAsia" w:hAnsi="Times New Roman" w:cs="Times New Roman"/>
          <w:sz w:val="24"/>
          <w:szCs w:val="24"/>
        </w:rPr>
        <w:t xml:space="preserve">remit and </w:t>
      </w:r>
      <w:r w:rsidR="005942A6" w:rsidRPr="005D5256">
        <w:rPr>
          <w:rFonts w:ascii="Times New Roman" w:eastAsiaTheme="majorEastAsia" w:hAnsi="Times New Roman" w:cs="Times New Roman"/>
          <w:sz w:val="24"/>
          <w:szCs w:val="24"/>
        </w:rPr>
        <w:t>authority</w:t>
      </w:r>
      <w:r w:rsidR="0052108A" w:rsidRPr="005D5256">
        <w:rPr>
          <w:rFonts w:ascii="Times New Roman" w:eastAsiaTheme="majorEastAsia" w:hAnsi="Times New Roman" w:cs="Times New Roman"/>
          <w:sz w:val="24"/>
          <w:szCs w:val="24"/>
        </w:rPr>
        <w:t xml:space="preserve"> </w:t>
      </w:r>
      <w:r w:rsidR="00FF3E64" w:rsidRPr="005D5256">
        <w:rPr>
          <w:rFonts w:ascii="Times New Roman" w:eastAsiaTheme="majorEastAsia" w:hAnsi="Times New Roman" w:cs="Times New Roman"/>
          <w:sz w:val="24"/>
          <w:szCs w:val="24"/>
        </w:rPr>
        <w:t xml:space="preserve">in relation to the Convention </w:t>
      </w:r>
      <w:r w:rsidR="0052108A" w:rsidRPr="005D5256">
        <w:rPr>
          <w:rFonts w:ascii="Times New Roman" w:eastAsiaTheme="majorEastAsia" w:hAnsi="Times New Roman" w:cs="Times New Roman"/>
          <w:sz w:val="24"/>
          <w:szCs w:val="24"/>
        </w:rPr>
        <w:t>as a</w:t>
      </w:r>
      <w:r w:rsidR="00D574D8" w:rsidRPr="005D5256">
        <w:rPr>
          <w:rFonts w:ascii="Times New Roman" w:eastAsiaTheme="majorEastAsia" w:hAnsi="Times New Roman" w:cs="Times New Roman"/>
          <w:sz w:val="24"/>
          <w:szCs w:val="24"/>
        </w:rPr>
        <w:t xml:space="preserve">n </w:t>
      </w:r>
      <w:r w:rsidR="0052108A" w:rsidRPr="005D5256">
        <w:rPr>
          <w:rFonts w:ascii="Times New Roman" w:eastAsiaTheme="majorEastAsia" w:hAnsi="Times New Roman" w:cs="Times New Roman"/>
          <w:sz w:val="24"/>
          <w:szCs w:val="24"/>
        </w:rPr>
        <w:t>integrationist instrument</w:t>
      </w:r>
      <w:r w:rsidR="00732424" w:rsidRPr="005D5256">
        <w:rPr>
          <w:rFonts w:ascii="Times New Roman" w:eastAsiaTheme="majorEastAsia" w:hAnsi="Times New Roman" w:cs="Times New Roman"/>
          <w:sz w:val="24"/>
          <w:szCs w:val="24"/>
        </w:rPr>
        <w:t>. This remains so</w:t>
      </w:r>
      <w:r w:rsidR="00C60043" w:rsidRPr="005D5256">
        <w:rPr>
          <w:rFonts w:ascii="Times New Roman" w:eastAsiaTheme="majorEastAsia" w:hAnsi="Times New Roman" w:cs="Times New Roman"/>
          <w:sz w:val="24"/>
          <w:szCs w:val="24"/>
        </w:rPr>
        <w:t xml:space="preserve">, </w:t>
      </w:r>
      <w:r w:rsidR="00732424" w:rsidRPr="005D5256">
        <w:rPr>
          <w:rFonts w:ascii="Times New Roman" w:eastAsiaTheme="majorEastAsia" w:hAnsi="Times New Roman" w:cs="Times New Roman"/>
          <w:sz w:val="24"/>
          <w:szCs w:val="24"/>
        </w:rPr>
        <w:t>despite</w:t>
      </w:r>
      <w:r w:rsidR="00945D9C" w:rsidRPr="005D5256">
        <w:rPr>
          <w:rFonts w:ascii="Times New Roman" w:eastAsiaTheme="majorEastAsia" w:hAnsi="Times New Roman" w:cs="Times New Roman"/>
          <w:sz w:val="24"/>
          <w:szCs w:val="24"/>
        </w:rPr>
        <w:t xml:space="preserve"> </w:t>
      </w:r>
      <w:r w:rsidR="00732424" w:rsidRPr="005D5256">
        <w:rPr>
          <w:rFonts w:ascii="Times New Roman" w:eastAsiaTheme="majorEastAsia" w:hAnsi="Times New Roman" w:cs="Times New Roman"/>
          <w:sz w:val="24"/>
          <w:szCs w:val="24"/>
        </w:rPr>
        <w:t xml:space="preserve">its status </w:t>
      </w:r>
      <w:r w:rsidR="00D574D8" w:rsidRPr="005D5256">
        <w:rPr>
          <w:rFonts w:ascii="Times New Roman" w:eastAsiaTheme="majorEastAsia" w:hAnsi="Times New Roman" w:cs="Times New Roman"/>
          <w:sz w:val="24"/>
          <w:szCs w:val="24"/>
        </w:rPr>
        <w:t xml:space="preserve">as </w:t>
      </w:r>
      <w:r w:rsidR="00995CC7" w:rsidRPr="005D5256">
        <w:rPr>
          <w:rFonts w:ascii="Times New Roman" w:eastAsiaTheme="majorEastAsia" w:hAnsi="Times New Roman" w:cs="Times New Roman"/>
          <w:sz w:val="24"/>
          <w:szCs w:val="24"/>
        </w:rPr>
        <w:t>a ‘constitutional instrument of European public order’</w:t>
      </w:r>
      <w:r w:rsidR="005F1A79" w:rsidRPr="005D5256">
        <w:rPr>
          <w:rFonts w:ascii="Times New Roman" w:eastAsiaTheme="majorEastAsia" w:hAnsi="Times New Roman" w:cs="Times New Roman"/>
          <w:sz w:val="24"/>
          <w:szCs w:val="24"/>
        </w:rPr>
        <w:t xml:space="preserve"> ((self-)</w:t>
      </w:r>
      <w:r w:rsidR="00FF3E64" w:rsidRPr="005D5256">
        <w:rPr>
          <w:rFonts w:ascii="Times New Roman" w:eastAsiaTheme="majorEastAsia" w:hAnsi="Times New Roman" w:cs="Times New Roman"/>
          <w:sz w:val="24"/>
          <w:szCs w:val="24"/>
        </w:rPr>
        <w:t xml:space="preserve"> </w:t>
      </w:r>
      <w:r w:rsidR="005F1A79" w:rsidRPr="005D5256">
        <w:rPr>
          <w:rFonts w:ascii="Times New Roman" w:eastAsiaTheme="majorEastAsia" w:hAnsi="Times New Roman" w:cs="Times New Roman"/>
          <w:sz w:val="24"/>
          <w:szCs w:val="24"/>
        </w:rPr>
        <w:t>proclaimed by</w:t>
      </w:r>
      <w:r w:rsidR="003C0CDE" w:rsidRPr="005D5256">
        <w:rPr>
          <w:rFonts w:ascii="Times New Roman" w:eastAsiaTheme="majorEastAsia" w:hAnsi="Times New Roman" w:cs="Times New Roman"/>
          <w:sz w:val="24"/>
          <w:szCs w:val="24"/>
        </w:rPr>
        <w:t xml:space="preserve"> </w:t>
      </w:r>
      <w:r w:rsidR="002A2E92" w:rsidRPr="005D5256">
        <w:rPr>
          <w:rFonts w:ascii="Times New Roman" w:eastAsiaTheme="majorEastAsia" w:hAnsi="Times New Roman" w:cs="Times New Roman"/>
          <w:sz w:val="24"/>
          <w:szCs w:val="24"/>
        </w:rPr>
        <w:t>Strasbourg</w:t>
      </w:r>
      <w:r w:rsidR="005F1A79" w:rsidRPr="005D5256">
        <w:rPr>
          <w:rFonts w:ascii="Times New Roman" w:eastAsiaTheme="majorEastAsia" w:hAnsi="Times New Roman" w:cs="Times New Roman"/>
          <w:sz w:val="24"/>
          <w:szCs w:val="24"/>
        </w:rPr>
        <w:t xml:space="preserve">, yet totally </w:t>
      </w:r>
      <w:r w:rsidR="005942A6" w:rsidRPr="005D5256">
        <w:rPr>
          <w:rFonts w:ascii="Times New Roman" w:eastAsiaTheme="majorEastAsia" w:hAnsi="Times New Roman" w:cs="Times New Roman"/>
          <w:sz w:val="24"/>
          <w:szCs w:val="24"/>
        </w:rPr>
        <w:t>opaque as to its meaning</w:t>
      </w:r>
      <w:r w:rsidR="005F1A79" w:rsidRPr="005D5256">
        <w:rPr>
          <w:rFonts w:ascii="Times New Roman" w:eastAsiaTheme="majorEastAsia" w:hAnsi="Times New Roman" w:cs="Times New Roman"/>
          <w:sz w:val="24"/>
          <w:szCs w:val="24"/>
        </w:rPr>
        <w:t>)</w:t>
      </w:r>
      <w:r w:rsidR="003A101A" w:rsidRPr="005D5256">
        <w:rPr>
          <w:rFonts w:ascii="Times New Roman" w:eastAsiaTheme="majorEastAsia" w:hAnsi="Times New Roman" w:cs="Times New Roman"/>
          <w:sz w:val="24"/>
          <w:szCs w:val="24"/>
        </w:rPr>
        <w:t>,</w:t>
      </w:r>
      <w:r w:rsidR="005F1A79" w:rsidRPr="005D5256">
        <w:rPr>
          <w:rFonts w:ascii="Times New Roman" w:eastAsiaTheme="majorEastAsia" w:hAnsi="Times New Roman" w:cs="Times New Roman"/>
          <w:sz w:val="24"/>
          <w:szCs w:val="24"/>
        </w:rPr>
        <w:t xml:space="preserve"> </w:t>
      </w:r>
      <w:r w:rsidR="005942A6" w:rsidRPr="005D5256">
        <w:rPr>
          <w:rFonts w:ascii="Times New Roman" w:eastAsiaTheme="majorEastAsia" w:hAnsi="Times New Roman" w:cs="Times New Roman"/>
          <w:sz w:val="24"/>
          <w:szCs w:val="24"/>
        </w:rPr>
        <w:t>and</w:t>
      </w:r>
      <w:r w:rsidR="003A0ACA" w:rsidRPr="005D5256">
        <w:rPr>
          <w:rFonts w:ascii="Times New Roman" w:eastAsiaTheme="majorEastAsia" w:hAnsi="Times New Roman" w:cs="Times New Roman"/>
          <w:sz w:val="24"/>
          <w:szCs w:val="24"/>
        </w:rPr>
        <w:t xml:space="preserve"> </w:t>
      </w:r>
      <w:r w:rsidR="0052108A" w:rsidRPr="005D5256">
        <w:rPr>
          <w:rFonts w:ascii="Times New Roman" w:eastAsiaTheme="majorEastAsia" w:hAnsi="Times New Roman" w:cs="Times New Roman"/>
          <w:sz w:val="24"/>
          <w:szCs w:val="24"/>
        </w:rPr>
        <w:t xml:space="preserve">talk of </w:t>
      </w:r>
      <w:r w:rsidR="003A0ACA" w:rsidRPr="005D5256">
        <w:rPr>
          <w:rFonts w:ascii="Times New Roman" w:eastAsiaTheme="majorEastAsia" w:hAnsi="Times New Roman" w:cs="Times New Roman"/>
          <w:sz w:val="24"/>
          <w:szCs w:val="24"/>
        </w:rPr>
        <w:t xml:space="preserve">Strasbourg as ‘the </w:t>
      </w:r>
      <w:r w:rsidR="00155DB9">
        <w:rPr>
          <w:rFonts w:ascii="Times New Roman" w:eastAsiaTheme="majorEastAsia" w:hAnsi="Times New Roman" w:cs="Times New Roman"/>
          <w:sz w:val="24"/>
          <w:szCs w:val="24"/>
        </w:rPr>
        <w:t>C</w:t>
      </w:r>
      <w:r w:rsidR="003A0ACA" w:rsidRPr="005D5256">
        <w:rPr>
          <w:rFonts w:ascii="Times New Roman" w:eastAsiaTheme="majorEastAsia" w:hAnsi="Times New Roman" w:cs="Times New Roman"/>
          <w:sz w:val="24"/>
          <w:szCs w:val="24"/>
        </w:rPr>
        <w:t>onscience of Europe’</w:t>
      </w:r>
      <w:r w:rsidR="005F1A79" w:rsidRPr="005D5256">
        <w:rPr>
          <w:rFonts w:ascii="Times New Roman" w:eastAsiaTheme="majorEastAsia" w:hAnsi="Times New Roman" w:cs="Times New Roman"/>
          <w:sz w:val="24"/>
          <w:szCs w:val="24"/>
        </w:rPr>
        <w:t xml:space="preserve">. </w:t>
      </w:r>
    </w:p>
    <w:p w14:paraId="40CA0C2A" w14:textId="1DA9AADD" w:rsidR="0052108A" w:rsidRPr="005D5256" w:rsidRDefault="009C7789" w:rsidP="005D5256">
      <w:pPr>
        <w:spacing w:line="480" w:lineRule="auto"/>
        <w:jc w:val="both"/>
        <w:rPr>
          <w:rFonts w:ascii="Times New Roman" w:eastAsiaTheme="majorEastAsia" w:hAnsi="Times New Roman" w:cs="Times New Roman"/>
          <w:sz w:val="24"/>
          <w:szCs w:val="24"/>
        </w:rPr>
      </w:pPr>
      <w:r w:rsidRPr="005D5256">
        <w:rPr>
          <w:rFonts w:ascii="Times New Roman" w:eastAsiaTheme="majorEastAsia" w:hAnsi="Times New Roman" w:cs="Times New Roman"/>
          <w:sz w:val="24"/>
          <w:szCs w:val="24"/>
        </w:rPr>
        <w:t>However, d</w:t>
      </w:r>
      <w:r w:rsidR="00C60043" w:rsidRPr="005D5256">
        <w:rPr>
          <w:rFonts w:ascii="Times New Roman" w:eastAsiaTheme="majorEastAsia" w:hAnsi="Times New Roman" w:cs="Times New Roman"/>
          <w:sz w:val="24"/>
          <w:szCs w:val="24"/>
        </w:rPr>
        <w:t xml:space="preserve">o </w:t>
      </w:r>
      <w:r w:rsidR="00E7104D" w:rsidRPr="005D5256">
        <w:rPr>
          <w:rFonts w:ascii="Times New Roman" w:eastAsiaTheme="majorEastAsia" w:hAnsi="Times New Roman" w:cs="Times New Roman"/>
          <w:sz w:val="24"/>
          <w:szCs w:val="24"/>
        </w:rPr>
        <w:t>such</w:t>
      </w:r>
      <w:r w:rsidR="00C60043" w:rsidRPr="005D5256">
        <w:rPr>
          <w:rFonts w:ascii="Times New Roman" w:eastAsiaTheme="majorEastAsia" w:hAnsi="Times New Roman" w:cs="Times New Roman"/>
          <w:sz w:val="24"/>
          <w:szCs w:val="24"/>
        </w:rPr>
        <w:t xml:space="preserve"> </w:t>
      </w:r>
      <w:r w:rsidR="001716FB" w:rsidRPr="005D5256">
        <w:rPr>
          <w:rFonts w:ascii="Times New Roman" w:eastAsiaTheme="majorEastAsia" w:hAnsi="Times New Roman" w:cs="Times New Roman"/>
          <w:sz w:val="24"/>
          <w:szCs w:val="24"/>
        </w:rPr>
        <w:t xml:space="preserve">descriptions </w:t>
      </w:r>
      <w:r w:rsidRPr="005D5256">
        <w:rPr>
          <w:rFonts w:ascii="Times New Roman" w:eastAsiaTheme="majorEastAsia" w:hAnsi="Times New Roman" w:cs="Times New Roman"/>
          <w:sz w:val="24"/>
          <w:szCs w:val="24"/>
        </w:rPr>
        <w:t xml:space="preserve">not </w:t>
      </w:r>
      <w:r w:rsidR="00FF3E64" w:rsidRPr="005D5256">
        <w:rPr>
          <w:rFonts w:ascii="Times New Roman" w:eastAsiaTheme="majorEastAsia" w:hAnsi="Times New Roman" w:cs="Times New Roman"/>
          <w:sz w:val="24"/>
          <w:szCs w:val="24"/>
        </w:rPr>
        <w:t xml:space="preserve">risk </w:t>
      </w:r>
      <w:r w:rsidR="003A0ACA" w:rsidRPr="005D5256">
        <w:rPr>
          <w:rFonts w:ascii="Times New Roman" w:eastAsiaTheme="majorEastAsia" w:hAnsi="Times New Roman" w:cs="Times New Roman"/>
          <w:sz w:val="24"/>
          <w:szCs w:val="24"/>
        </w:rPr>
        <w:t>encourag</w:t>
      </w:r>
      <w:r w:rsidR="00FF3E64" w:rsidRPr="005D5256">
        <w:rPr>
          <w:rFonts w:ascii="Times New Roman" w:eastAsiaTheme="majorEastAsia" w:hAnsi="Times New Roman" w:cs="Times New Roman"/>
          <w:sz w:val="24"/>
          <w:szCs w:val="24"/>
        </w:rPr>
        <w:t>ing</w:t>
      </w:r>
      <w:r w:rsidR="003A0ACA" w:rsidRPr="005D5256">
        <w:rPr>
          <w:rFonts w:ascii="Times New Roman" w:eastAsiaTheme="majorEastAsia" w:hAnsi="Times New Roman" w:cs="Times New Roman"/>
          <w:sz w:val="24"/>
          <w:szCs w:val="24"/>
        </w:rPr>
        <w:t xml:space="preserve"> a grand vision for </w:t>
      </w:r>
      <w:r w:rsidR="003A0ACA" w:rsidRPr="008D7FBC">
        <w:rPr>
          <w:rFonts w:ascii="Times New Roman" w:eastAsiaTheme="majorEastAsia" w:hAnsi="Times New Roman" w:cs="Times New Roman"/>
          <w:i/>
          <w:sz w:val="24"/>
          <w:szCs w:val="24"/>
        </w:rPr>
        <w:t>the Court</w:t>
      </w:r>
      <w:r w:rsidR="003A0ACA" w:rsidRPr="005D5256">
        <w:rPr>
          <w:rFonts w:ascii="Times New Roman" w:eastAsiaTheme="majorEastAsia" w:hAnsi="Times New Roman" w:cs="Times New Roman"/>
          <w:sz w:val="24"/>
          <w:szCs w:val="24"/>
        </w:rPr>
        <w:t xml:space="preserve"> as a</w:t>
      </w:r>
      <w:r w:rsidR="001C5678" w:rsidRPr="005D5256">
        <w:rPr>
          <w:rFonts w:ascii="Times New Roman" w:eastAsiaTheme="majorEastAsia" w:hAnsi="Times New Roman" w:cs="Times New Roman"/>
          <w:sz w:val="24"/>
          <w:szCs w:val="24"/>
        </w:rPr>
        <w:t>n</w:t>
      </w:r>
      <w:r w:rsidR="003A0ACA" w:rsidRPr="005D5256">
        <w:rPr>
          <w:rFonts w:ascii="Times New Roman" w:eastAsiaTheme="majorEastAsia" w:hAnsi="Times New Roman" w:cs="Times New Roman"/>
          <w:sz w:val="24"/>
          <w:szCs w:val="24"/>
        </w:rPr>
        <w:t xml:space="preserve"> </w:t>
      </w:r>
      <w:r w:rsidR="001C5678" w:rsidRPr="005D5256">
        <w:rPr>
          <w:rFonts w:ascii="Times New Roman" w:eastAsiaTheme="majorEastAsia" w:hAnsi="Times New Roman" w:cs="Times New Roman"/>
          <w:sz w:val="24"/>
          <w:szCs w:val="24"/>
        </w:rPr>
        <w:t xml:space="preserve">overall </w:t>
      </w:r>
      <w:r w:rsidR="003A0ACA" w:rsidRPr="005D5256">
        <w:rPr>
          <w:rFonts w:ascii="Times New Roman" w:eastAsiaTheme="majorEastAsia" w:hAnsi="Times New Roman" w:cs="Times New Roman"/>
          <w:sz w:val="24"/>
          <w:szCs w:val="24"/>
        </w:rPr>
        <w:t>voice for human rights</w:t>
      </w:r>
      <w:r w:rsidR="00755077" w:rsidRPr="005D5256">
        <w:rPr>
          <w:rFonts w:ascii="Times New Roman" w:eastAsiaTheme="majorEastAsia" w:hAnsi="Times New Roman" w:cs="Times New Roman"/>
          <w:sz w:val="24"/>
          <w:szCs w:val="24"/>
        </w:rPr>
        <w:t xml:space="preserve">, </w:t>
      </w:r>
      <w:r w:rsidRPr="005D5256">
        <w:rPr>
          <w:rFonts w:ascii="Times New Roman" w:eastAsiaTheme="majorEastAsia" w:hAnsi="Times New Roman" w:cs="Times New Roman"/>
          <w:sz w:val="24"/>
          <w:szCs w:val="24"/>
        </w:rPr>
        <w:t xml:space="preserve">way </w:t>
      </w:r>
      <w:r w:rsidR="00755077" w:rsidRPr="005D5256">
        <w:rPr>
          <w:rFonts w:ascii="Times New Roman" w:eastAsiaTheme="majorEastAsia" w:hAnsi="Times New Roman" w:cs="Times New Roman"/>
          <w:i/>
          <w:sz w:val="24"/>
          <w:szCs w:val="24"/>
        </w:rPr>
        <w:t>beyond</w:t>
      </w:r>
      <w:r w:rsidR="00755077" w:rsidRPr="005D5256">
        <w:rPr>
          <w:rFonts w:ascii="Times New Roman" w:eastAsiaTheme="majorEastAsia" w:hAnsi="Times New Roman" w:cs="Times New Roman"/>
          <w:sz w:val="24"/>
          <w:szCs w:val="24"/>
        </w:rPr>
        <w:t xml:space="preserve"> what the States have endorsed</w:t>
      </w:r>
      <w:r w:rsidR="00374960">
        <w:rPr>
          <w:rFonts w:ascii="Times New Roman" w:eastAsiaTheme="majorEastAsia" w:hAnsi="Times New Roman" w:cs="Times New Roman"/>
          <w:sz w:val="24"/>
          <w:szCs w:val="24"/>
        </w:rPr>
        <w:t xml:space="preserve"> via the vehicle of </w:t>
      </w:r>
      <w:r w:rsidR="00374960" w:rsidRPr="008D7FBC">
        <w:rPr>
          <w:rFonts w:ascii="Times New Roman" w:eastAsiaTheme="majorEastAsia" w:hAnsi="Times New Roman" w:cs="Times New Roman"/>
          <w:i/>
          <w:sz w:val="24"/>
          <w:szCs w:val="24"/>
        </w:rPr>
        <w:t>the Convention</w:t>
      </w:r>
      <w:r w:rsidR="00C60043" w:rsidRPr="005D5256">
        <w:rPr>
          <w:rFonts w:ascii="Times New Roman" w:eastAsiaTheme="majorEastAsia" w:hAnsi="Times New Roman" w:cs="Times New Roman"/>
          <w:sz w:val="24"/>
          <w:szCs w:val="24"/>
        </w:rPr>
        <w:t>?</w:t>
      </w:r>
      <w:r w:rsidR="00755077" w:rsidRPr="005D5256">
        <w:rPr>
          <w:rFonts w:ascii="Times New Roman" w:eastAsiaTheme="majorEastAsia" w:hAnsi="Times New Roman" w:cs="Times New Roman"/>
          <w:sz w:val="24"/>
          <w:szCs w:val="24"/>
        </w:rPr>
        <w:t xml:space="preserve"> Wildhaber has expressed concern that some human rights advocates, ‘believe that the Court conceives of its mission as being at the forefront of progressive development, to act as a sort of a indefatigable, widely visible human rights locomotive’.</w:t>
      </w:r>
      <w:r w:rsidR="00155DB9">
        <w:rPr>
          <w:rStyle w:val="FootnoteReference"/>
          <w:rFonts w:ascii="Times New Roman" w:eastAsiaTheme="majorEastAsia" w:hAnsi="Times New Roman" w:cs="Times New Roman"/>
          <w:sz w:val="24"/>
          <w:szCs w:val="24"/>
        </w:rPr>
        <w:footnoteReference w:id="8"/>
      </w:r>
      <w:r w:rsidR="00755077" w:rsidRPr="005D5256">
        <w:rPr>
          <w:rFonts w:ascii="Times New Roman" w:eastAsiaTheme="majorEastAsia" w:hAnsi="Times New Roman" w:cs="Times New Roman"/>
          <w:sz w:val="24"/>
          <w:szCs w:val="24"/>
        </w:rPr>
        <w:t xml:space="preserve"> This may </w:t>
      </w:r>
      <w:r w:rsidR="00732424" w:rsidRPr="005D5256">
        <w:rPr>
          <w:rFonts w:ascii="Times New Roman" w:eastAsiaTheme="majorEastAsia" w:hAnsi="Times New Roman" w:cs="Times New Roman"/>
          <w:sz w:val="24"/>
          <w:szCs w:val="24"/>
        </w:rPr>
        <w:t xml:space="preserve">result in an </w:t>
      </w:r>
      <w:r w:rsidR="00732424" w:rsidRPr="005D5256">
        <w:rPr>
          <w:rFonts w:ascii="Times New Roman" w:eastAsiaTheme="majorEastAsia" w:hAnsi="Times New Roman" w:cs="Times New Roman"/>
          <w:sz w:val="24"/>
          <w:szCs w:val="24"/>
        </w:rPr>
        <w:lastRenderedPageBreak/>
        <w:t>unhelpful,</w:t>
      </w:r>
      <w:r w:rsidR="00FF3E64" w:rsidRPr="005D5256">
        <w:rPr>
          <w:rFonts w:ascii="Times New Roman" w:eastAsiaTheme="majorEastAsia" w:hAnsi="Times New Roman" w:cs="Times New Roman"/>
          <w:sz w:val="24"/>
          <w:szCs w:val="24"/>
        </w:rPr>
        <w:t xml:space="preserve"> binary </w:t>
      </w:r>
      <w:r w:rsidR="00732424" w:rsidRPr="005D5256">
        <w:rPr>
          <w:rFonts w:ascii="Times New Roman" w:eastAsiaTheme="majorEastAsia" w:hAnsi="Times New Roman" w:cs="Times New Roman"/>
          <w:sz w:val="24"/>
          <w:szCs w:val="24"/>
        </w:rPr>
        <w:t xml:space="preserve">attitude: </w:t>
      </w:r>
      <w:r w:rsidR="00FF3E64" w:rsidRPr="005D5256">
        <w:rPr>
          <w:rFonts w:ascii="Times New Roman" w:eastAsiaTheme="majorEastAsia" w:hAnsi="Times New Roman" w:cs="Times New Roman"/>
          <w:sz w:val="24"/>
          <w:szCs w:val="24"/>
        </w:rPr>
        <w:t>the ‘best’ judgments extend human rights, the ‘worst’ fail to do so</w:t>
      </w:r>
      <w:r w:rsidR="00F37FFB" w:rsidRPr="005D5256">
        <w:rPr>
          <w:rFonts w:ascii="Times New Roman" w:eastAsiaTheme="majorEastAsia" w:hAnsi="Times New Roman" w:cs="Times New Roman"/>
          <w:sz w:val="24"/>
          <w:szCs w:val="24"/>
        </w:rPr>
        <w:t>.</w:t>
      </w:r>
      <w:r w:rsidR="007544F9" w:rsidRPr="005D5256">
        <w:rPr>
          <w:rFonts w:ascii="Times New Roman" w:eastAsiaTheme="majorEastAsia" w:hAnsi="Times New Roman" w:cs="Times New Roman"/>
          <w:sz w:val="24"/>
          <w:szCs w:val="24"/>
        </w:rPr>
        <w:t xml:space="preserve"> ‘Unhelpful’ – why?</w:t>
      </w:r>
    </w:p>
    <w:p w14:paraId="224188D1" w14:textId="77777777" w:rsidR="006418D4" w:rsidRPr="005D5256" w:rsidRDefault="00975E51" w:rsidP="005D5256">
      <w:pPr>
        <w:pStyle w:val="Heading2"/>
        <w:spacing w:line="480" w:lineRule="auto"/>
        <w:jc w:val="both"/>
        <w:rPr>
          <w:rFonts w:ascii="Times New Roman" w:hAnsi="Times New Roman" w:cs="Times New Roman"/>
          <w:sz w:val="24"/>
          <w:szCs w:val="24"/>
        </w:rPr>
      </w:pPr>
      <w:r w:rsidRPr="005D5256">
        <w:rPr>
          <w:rFonts w:ascii="Times New Roman" w:hAnsi="Times New Roman" w:cs="Times New Roman"/>
          <w:sz w:val="24"/>
          <w:szCs w:val="24"/>
        </w:rPr>
        <w:t>II</w:t>
      </w:r>
    </w:p>
    <w:p w14:paraId="472A806F" w14:textId="4449CBE9" w:rsidR="007544F9" w:rsidRPr="005D5256" w:rsidRDefault="00E5759A" w:rsidP="005D5256">
      <w:pPr>
        <w:spacing w:line="480" w:lineRule="auto"/>
        <w:jc w:val="both"/>
        <w:rPr>
          <w:rFonts w:ascii="Times New Roman" w:eastAsiaTheme="majorEastAsia" w:hAnsi="Times New Roman" w:cs="Times New Roman"/>
          <w:sz w:val="24"/>
          <w:szCs w:val="24"/>
        </w:rPr>
      </w:pPr>
      <w:r w:rsidRPr="005D5256">
        <w:rPr>
          <w:rFonts w:ascii="Times New Roman" w:eastAsiaTheme="majorEastAsia" w:hAnsi="Times New Roman" w:cs="Times New Roman"/>
          <w:sz w:val="24"/>
          <w:szCs w:val="24"/>
        </w:rPr>
        <w:t xml:space="preserve">Not all the </w:t>
      </w:r>
      <w:r w:rsidR="002C17DA" w:rsidRPr="005D5256">
        <w:rPr>
          <w:rFonts w:ascii="Times New Roman" w:eastAsiaTheme="majorEastAsia" w:hAnsi="Times New Roman" w:cs="Times New Roman"/>
          <w:sz w:val="24"/>
          <w:szCs w:val="24"/>
        </w:rPr>
        <w:t xml:space="preserve">criticism </w:t>
      </w:r>
      <w:r w:rsidRPr="005D5256">
        <w:rPr>
          <w:rFonts w:ascii="Times New Roman" w:eastAsiaTheme="majorEastAsia" w:hAnsi="Times New Roman" w:cs="Times New Roman"/>
          <w:sz w:val="24"/>
          <w:szCs w:val="24"/>
        </w:rPr>
        <w:t xml:space="preserve">directed at </w:t>
      </w:r>
      <w:r w:rsidR="00EC11C8" w:rsidRPr="005D5256">
        <w:rPr>
          <w:rFonts w:ascii="Times New Roman" w:eastAsiaTheme="majorEastAsia" w:hAnsi="Times New Roman" w:cs="Times New Roman"/>
          <w:sz w:val="24"/>
          <w:szCs w:val="24"/>
        </w:rPr>
        <w:t>Strasbourg</w:t>
      </w:r>
      <w:r w:rsidRPr="005D5256">
        <w:rPr>
          <w:rFonts w:ascii="Times New Roman" w:eastAsiaTheme="majorEastAsia" w:hAnsi="Times New Roman" w:cs="Times New Roman"/>
          <w:sz w:val="24"/>
          <w:szCs w:val="24"/>
        </w:rPr>
        <w:t xml:space="preserve"> over recent years</w:t>
      </w:r>
      <w:r w:rsidR="00A56DE3" w:rsidRPr="005D5256">
        <w:rPr>
          <w:rFonts w:ascii="Times New Roman" w:eastAsiaTheme="majorEastAsia" w:hAnsi="Times New Roman" w:cs="Times New Roman"/>
          <w:sz w:val="24"/>
          <w:szCs w:val="24"/>
        </w:rPr>
        <w:t xml:space="preserve"> can just be dismissed as ill-informed, and populist</w:t>
      </w:r>
      <w:r w:rsidR="003A101A" w:rsidRPr="005D5256">
        <w:rPr>
          <w:rFonts w:ascii="Times New Roman" w:eastAsiaTheme="majorEastAsia" w:hAnsi="Times New Roman" w:cs="Times New Roman"/>
          <w:sz w:val="24"/>
          <w:szCs w:val="24"/>
        </w:rPr>
        <w:t xml:space="preserve"> </w:t>
      </w:r>
      <w:r w:rsidR="00755077" w:rsidRPr="005D5256">
        <w:rPr>
          <w:rFonts w:ascii="Times New Roman" w:eastAsiaTheme="majorEastAsia" w:hAnsi="Times New Roman" w:cs="Times New Roman"/>
          <w:sz w:val="24"/>
          <w:szCs w:val="24"/>
        </w:rPr>
        <w:t xml:space="preserve">- </w:t>
      </w:r>
      <w:r w:rsidR="003A101A" w:rsidRPr="005D5256">
        <w:rPr>
          <w:rFonts w:ascii="Times New Roman" w:eastAsiaTheme="majorEastAsia" w:hAnsi="Times New Roman" w:cs="Times New Roman"/>
          <w:sz w:val="24"/>
          <w:szCs w:val="24"/>
        </w:rPr>
        <w:t xml:space="preserve">even if </w:t>
      </w:r>
      <w:r w:rsidR="00951B35" w:rsidRPr="005D5256">
        <w:rPr>
          <w:rFonts w:ascii="Times New Roman" w:eastAsiaTheme="majorEastAsia" w:hAnsi="Times New Roman" w:cs="Times New Roman"/>
          <w:sz w:val="24"/>
          <w:szCs w:val="24"/>
        </w:rPr>
        <w:t>much of it</w:t>
      </w:r>
      <w:r w:rsidR="003A101A" w:rsidRPr="005D5256">
        <w:rPr>
          <w:rFonts w:ascii="Times New Roman" w:eastAsiaTheme="majorEastAsia" w:hAnsi="Times New Roman" w:cs="Times New Roman"/>
          <w:sz w:val="24"/>
          <w:szCs w:val="24"/>
        </w:rPr>
        <w:t xml:space="preserve"> can!</w:t>
      </w:r>
      <w:r w:rsidR="004B62F3" w:rsidRPr="005D5256">
        <w:rPr>
          <w:rFonts w:ascii="Times New Roman" w:eastAsiaTheme="majorEastAsia" w:hAnsi="Times New Roman" w:cs="Times New Roman"/>
          <w:sz w:val="24"/>
          <w:szCs w:val="24"/>
        </w:rPr>
        <w:t xml:space="preserve"> </w:t>
      </w:r>
      <w:r w:rsidR="007544F9" w:rsidRPr="005D5256">
        <w:rPr>
          <w:rFonts w:ascii="Times New Roman" w:eastAsiaTheme="majorEastAsia" w:hAnsi="Times New Roman" w:cs="Times New Roman"/>
          <w:sz w:val="24"/>
          <w:szCs w:val="24"/>
        </w:rPr>
        <w:t xml:space="preserve">As </w:t>
      </w:r>
      <w:r w:rsidR="001A38B6" w:rsidRPr="005D5256">
        <w:rPr>
          <w:rFonts w:ascii="Times New Roman" w:eastAsiaTheme="majorEastAsia" w:hAnsi="Times New Roman" w:cs="Times New Roman"/>
          <w:sz w:val="24"/>
          <w:szCs w:val="24"/>
        </w:rPr>
        <w:t xml:space="preserve">Strasbourg’s </w:t>
      </w:r>
      <w:r w:rsidR="007544F9" w:rsidRPr="005D5256">
        <w:rPr>
          <w:rFonts w:ascii="Times New Roman" w:eastAsiaTheme="majorEastAsia" w:hAnsi="Times New Roman" w:cs="Times New Roman"/>
          <w:sz w:val="24"/>
          <w:szCs w:val="24"/>
        </w:rPr>
        <w:t>jurisprudence extends further and further</w:t>
      </w:r>
      <w:r w:rsidR="007544F9" w:rsidRPr="005D5256">
        <w:rPr>
          <w:rStyle w:val="FootnoteReference"/>
          <w:rFonts w:ascii="Times New Roman" w:eastAsiaTheme="majorEastAsia" w:hAnsi="Times New Roman" w:cs="Times New Roman"/>
          <w:sz w:val="24"/>
          <w:szCs w:val="24"/>
        </w:rPr>
        <w:footnoteReference w:id="9"/>
      </w:r>
      <w:r w:rsidR="007544F9" w:rsidRPr="005D5256">
        <w:rPr>
          <w:rFonts w:ascii="Times New Roman" w:eastAsiaTheme="majorEastAsia" w:hAnsi="Times New Roman" w:cs="Times New Roman"/>
          <w:sz w:val="24"/>
          <w:szCs w:val="24"/>
        </w:rPr>
        <w:t xml:space="preserve"> l</w:t>
      </w:r>
      <w:r w:rsidR="004158A2" w:rsidRPr="005D5256">
        <w:rPr>
          <w:rFonts w:ascii="Times New Roman" w:eastAsiaTheme="majorEastAsia" w:hAnsi="Times New Roman" w:cs="Times New Roman"/>
          <w:sz w:val="24"/>
          <w:szCs w:val="24"/>
        </w:rPr>
        <w:t>egitimacy</w:t>
      </w:r>
      <w:r w:rsidR="00DE27E1" w:rsidRPr="005D5256">
        <w:rPr>
          <w:rFonts w:ascii="Times New Roman" w:eastAsiaTheme="majorEastAsia" w:hAnsi="Times New Roman" w:cs="Times New Roman"/>
          <w:sz w:val="24"/>
          <w:szCs w:val="24"/>
        </w:rPr>
        <w:t>-</w:t>
      </w:r>
      <w:r w:rsidR="004158A2" w:rsidRPr="005D5256">
        <w:rPr>
          <w:rFonts w:ascii="Times New Roman" w:eastAsiaTheme="majorEastAsia" w:hAnsi="Times New Roman" w:cs="Times New Roman"/>
          <w:sz w:val="24"/>
          <w:szCs w:val="24"/>
        </w:rPr>
        <w:t>based</w:t>
      </w:r>
      <w:r w:rsidR="00DE27E1" w:rsidRPr="005D5256">
        <w:rPr>
          <w:rFonts w:ascii="Times New Roman" w:eastAsiaTheme="majorEastAsia" w:hAnsi="Times New Roman" w:cs="Times New Roman"/>
          <w:sz w:val="24"/>
          <w:szCs w:val="24"/>
        </w:rPr>
        <w:t xml:space="preserve"> question</w:t>
      </w:r>
      <w:r w:rsidR="00A57661" w:rsidRPr="005D5256">
        <w:rPr>
          <w:rFonts w:ascii="Times New Roman" w:eastAsiaTheme="majorEastAsia" w:hAnsi="Times New Roman" w:cs="Times New Roman"/>
          <w:sz w:val="24"/>
          <w:szCs w:val="24"/>
        </w:rPr>
        <w:t xml:space="preserve">s about </w:t>
      </w:r>
      <w:r w:rsidR="006D05E1" w:rsidRPr="005D5256">
        <w:rPr>
          <w:rFonts w:ascii="Times New Roman" w:eastAsiaTheme="majorEastAsia" w:hAnsi="Times New Roman" w:cs="Times New Roman"/>
          <w:i/>
          <w:sz w:val="24"/>
          <w:szCs w:val="24"/>
        </w:rPr>
        <w:t>aspects</w:t>
      </w:r>
      <w:r w:rsidR="006D05E1" w:rsidRPr="005D5256">
        <w:rPr>
          <w:rFonts w:ascii="Times New Roman" w:eastAsiaTheme="majorEastAsia" w:hAnsi="Times New Roman" w:cs="Times New Roman"/>
          <w:sz w:val="24"/>
          <w:szCs w:val="24"/>
        </w:rPr>
        <w:t xml:space="preserve"> of </w:t>
      </w:r>
      <w:r w:rsidR="001A38B6">
        <w:rPr>
          <w:rFonts w:ascii="Times New Roman" w:eastAsiaTheme="majorEastAsia" w:hAnsi="Times New Roman" w:cs="Times New Roman"/>
          <w:sz w:val="24"/>
          <w:szCs w:val="24"/>
        </w:rPr>
        <w:t xml:space="preserve">its </w:t>
      </w:r>
      <w:r w:rsidR="001D51B4" w:rsidRPr="005D5256">
        <w:rPr>
          <w:rFonts w:ascii="Times New Roman" w:eastAsiaTheme="majorEastAsia" w:hAnsi="Times New Roman" w:cs="Times New Roman"/>
          <w:sz w:val="24"/>
          <w:szCs w:val="24"/>
        </w:rPr>
        <w:t>role</w:t>
      </w:r>
      <w:r w:rsidRPr="005D5256">
        <w:rPr>
          <w:rFonts w:ascii="Times New Roman" w:eastAsiaTheme="majorEastAsia" w:hAnsi="Times New Roman" w:cs="Times New Roman"/>
          <w:sz w:val="24"/>
          <w:szCs w:val="24"/>
        </w:rPr>
        <w:t xml:space="preserve"> have formed </w:t>
      </w:r>
      <w:r w:rsidR="002C17DA" w:rsidRPr="005D5256">
        <w:rPr>
          <w:rFonts w:ascii="Times New Roman" w:eastAsiaTheme="majorEastAsia" w:hAnsi="Times New Roman" w:cs="Times New Roman"/>
          <w:sz w:val="24"/>
          <w:szCs w:val="24"/>
        </w:rPr>
        <w:t xml:space="preserve">the backdrop to a debate about </w:t>
      </w:r>
      <w:r w:rsidRPr="005D5256">
        <w:rPr>
          <w:rFonts w:ascii="Times New Roman" w:eastAsiaTheme="majorEastAsia" w:hAnsi="Times New Roman" w:cs="Times New Roman"/>
          <w:sz w:val="24"/>
          <w:szCs w:val="24"/>
        </w:rPr>
        <w:t>it</w:t>
      </w:r>
      <w:r w:rsidR="002C17DA" w:rsidRPr="005D5256">
        <w:rPr>
          <w:rFonts w:ascii="Times New Roman" w:eastAsiaTheme="majorEastAsia" w:hAnsi="Times New Roman" w:cs="Times New Roman"/>
          <w:sz w:val="24"/>
          <w:szCs w:val="24"/>
        </w:rPr>
        <w:t xml:space="preserve"> over the 2010s</w:t>
      </w:r>
      <w:r w:rsidR="007544F9" w:rsidRPr="005D5256">
        <w:rPr>
          <w:rFonts w:ascii="Times New Roman" w:eastAsiaTheme="majorEastAsia" w:hAnsi="Times New Roman" w:cs="Times New Roman"/>
          <w:sz w:val="24"/>
          <w:szCs w:val="24"/>
        </w:rPr>
        <w:t>.</w:t>
      </w:r>
    </w:p>
    <w:p w14:paraId="448DF93E" w14:textId="3051DB10" w:rsidR="00046802" w:rsidRPr="005D5256" w:rsidRDefault="00374960" w:rsidP="005D5256">
      <w:pPr>
        <w:spacing w:line="480"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The debate </w:t>
      </w:r>
      <w:r w:rsidR="00046802" w:rsidRPr="005D5256">
        <w:rPr>
          <w:rFonts w:ascii="Times New Roman" w:eastAsiaTheme="majorEastAsia" w:hAnsi="Times New Roman" w:cs="Times New Roman"/>
          <w:sz w:val="24"/>
          <w:szCs w:val="24"/>
        </w:rPr>
        <w:t xml:space="preserve">has </w:t>
      </w:r>
      <w:r w:rsidR="00046802" w:rsidRPr="005D5256">
        <w:rPr>
          <w:rFonts w:ascii="Times New Roman" w:eastAsiaTheme="majorEastAsia" w:hAnsi="Times New Roman" w:cs="Times New Roman"/>
          <w:i/>
          <w:sz w:val="24"/>
          <w:szCs w:val="24"/>
        </w:rPr>
        <w:t>not</w:t>
      </w:r>
      <w:r w:rsidR="00046802" w:rsidRPr="005D5256">
        <w:rPr>
          <w:rFonts w:ascii="Times New Roman" w:eastAsiaTheme="majorEastAsia" w:hAnsi="Times New Roman" w:cs="Times New Roman"/>
          <w:sz w:val="24"/>
          <w:szCs w:val="24"/>
        </w:rPr>
        <w:t xml:space="preserve"> been </w:t>
      </w:r>
      <w:r>
        <w:rPr>
          <w:rFonts w:ascii="Times New Roman" w:eastAsiaTheme="majorEastAsia" w:hAnsi="Times New Roman" w:cs="Times New Roman"/>
          <w:sz w:val="24"/>
          <w:szCs w:val="24"/>
        </w:rPr>
        <w:t xml:space="preserve">in relation to </w:t>
      </w:r>
      <w:r w:rsidR="00046802" w:rsidRPr="005D5256">
        <w:rPr>
          <w:rFonts w:ascii="Times New Roman" w:eastAsiaTheme="majorEastAsia" w:hAnsi="Times New Roman" w:cs="Times New Roman"/>
          <w:sz w:val="24"/>
          <w:szCs w:val="24"/>
        </w:rPr>
        <w:t xml:space="preserve">obvious breaches of human rights, </w:t>
      </w:r>
      <w:r w:rsidR="001716FB" w:rsidRPr="005D5256">
        <w:rPr>
          <w:rFonts w:ascii="Times New Roman" w:eastAsiaTheme="majorEastAsia" w:hAnsi="Times New Roman" w:cs="Times New Roman"/>
          <w:sz w:val="24"/>
          <w:szCs w:val="24"/>
        </w:rPr>
        <w:t>or</w:t>
      </w:r>
      <w:r w:rsidR="000E319B" w:rsidRPr="005D5256">
        <w:rPr>
          <w:rFonts w:ascii="Times New Roman" w:eastAsiaTheme="majorEastAsia" w:hAnsi="Times New Roman" w:cs="Times New Roman"/>
          <w:sz w:val="24"/>
          <w:szCs w:val="24"/>
        </w:rPr>
        <w:t xml:space="preserve"> </w:t>
      </w:r>
      <w:r w:rsidR="00046802" w:rsidRPr="005D5256">
        <w:rPr>
          <w:rFonts w:ascii="Times New Roman" w:eastAsiaTheme="majorEastAsia" w:hAnsi="Times New Roman" w:cs="Times New Roman"/>
          <w:sz w:val="24"/>
          <w:szCs w:val="24"/>
        </w:rPr>
        <w:t>the core, protective</w:t>
      </w:r>
      <w:r w:rsidR="00726D2A" w:rsidRPr="005D5256">
        <w:rPr>
          <w:rFonts w:ascii="Times New Roman" w:eastAsiaTheme="majorEastAsia" w:hAnsi="Times New Roman" w:cs="Times New Roman"/>
          <w:sz w:val="24"/>
          <w:szCs w:val="24"/>
        </w:rPr>
        <w:t>, d</w:t>
      </w:r>
      <w:r w:rsidR="00951B35" w:rsidRPr="005D5256">
        <w:rPr>
          <w:rFonts w:ascii="Times New Roman" w:eastAsiaTheme="majorEastAsia" w:hAnsi="Times New Roman" w:cs="Times New Roman"/>
          <w:sz w:val="24"/>
          <w:szCs w:val="24"/>
        </w:rPr>
        <w:t>emocratic security</w:t>
      </w:r>
      <w:r w:rsidR="00046802" w:rsidRPr="005D5256">
        <w:rPr>
          <w:rFonts w:ascii="Times New Roman" w:eastAsiaTheme="majorEastAsia" w:hAnsi="Times New Roman" w:cs="Times New Roman"/>
          <w:sz w:val="24"/>
          <w:szCs w:val="24"/>
        </w:rPr>
        <w:t xml:space="preserve"> function associated with areas of </w:t>
      </w:r>
      <w:r w:rsidR="00E7104D" w:rsidRPr="005D5256">
        <w:rPr>
          <w:rFonts w:ascii="Times New Roman" w:eastAsiaTheme="majorEastAsia" w:hAnsi="Times New Roman" w:cs="Times New Roman"/>
          <w:sz w:val="24"/>
          <w:szCs w:val="24"/>
        </w:rPr>
        <w:t>Strasbourg’s</w:t>
      </w:r>
      <w:r w:rsidR="00046802" w:rsidRPr="005D5256">
        <w:rPr>
          <w:rFonts w:ascii="Times New Roman" w:eastAsiaTheme="majorEastAsia" w:hAnsi="Times New Roman" w:cs="Times New Roman"/>
          <w:sz w:val="24"/>
          <w:szCs w:val="24"/>
        </w:rPr>
        <w:t xml:space="preserve"> remit in which the States express ‘profound belief’ in paragraph </w:t>
      </w:r>
      <w:r w:rsidR="006325C7" w:rsidRPr="005D5256">
        <w:rPr>
          <w:rFonts w:ascii="Times New Roman" w:eastAsiaTheme="majorEastAsia" w:hAnsi="Times New Roman" w:cs="Times New Roman"/>
          <w:sz w:val="24"/>
          <w:szCs w:val="24"/>
        </w:rPr>
        <w:t>four</w:t>
      </w:r>
      <w:r w:rsidR="00046802" w:rsidRPr="005D5256">
        <w:rPr>
          <w:rFonts w:ascii="Times New Roman" w:eastAsiaTheme="majorEastAsia" w:hAnsi="Times New Roman" w:cs="Times New Roman"/>
          <w:sz w:val="24"/>
          <w:szCs w:val="24"/>
        </w:rPr>
        <w:t xml:space="preserve"> of the Convention’s Preamble. Rather, of relevance is the Preamble’s </w:t>
      </w:r>
      <w:r w:rsidR="00732424" w:rsidRPr="005D5256">
        <w:rPr>
          <w:rFonts w:ascii="Times New Roman" w:eastAsiaTheme="majorEastAsia" w:hAnsi="Times New Roman" w:cs="Times New Roman"/>
          <w:sz w:val="24"/>
          <w:szCs w:val="24"/>
        </w:rPr>
        <w:t>(</w:t>
      </w:r>
      <w:r w:rsidR="00D62321">
        <w:rPr>
          <w:rFonts w:ascii="Times New Roman" w:eastAsiaTheme="majorEastAsia" w:hAnsi="Times New Roman" w:cs="Times New Roman"/>
          <w:sz w:val="24"/>
          <w:szCs w:val="24"/>
        </w:rPr>
        <w:t xml:space="preserve">merely </w:t>
      </w:r>
      <w:r w:rsidR="00732424" w:rsidRPr="005D5256">
        <w:rPr>
          <w:rFonts w:ascii="Times New Roman" w:eastAsiaTheme="majorEastAsia" w:hAnsi="Times New Roman" w:cs="Times New Roman"/>
          <w:sz w:val="24"/>
          <w:szCs w:val="24"/>
        </w:rPr>
        <w:t>passing</w:t>
      </w:r>
      <w:r w:rsidR="007544F9" w:rsidRPr="005D5256">
        <w:rPr>
          <w:rFonts w:ascii="Times New Roman" w:eastAsiaTheme="majorEastAsia" w:hAnsi="Times New Roman" w:cs="Times New Roman"/>
          <w:sz w:val="24"/>
          <w:szCs w:val="24"/>
        </w:rPr>
        <w:t>?</w:t>
      </w:r>
      <w:r w:rsidR="00732424" w:rsidRPr="005D5256">
        <w:rPr>
          <w:rFonts w:ascii="Times New Roman" w:eastAsiaTheme="majorEastAsia" w:hAnsi="Times New Roman" w:cs="Times New Roman"/>
          <w:sz w:val="24"/>
          <w:szCs w:val="24"/>
        </w:rPr>
        <w:t xml:space="preserve">) </w:t>
      </w:r>
      <w:r w:rsidR="00046802" w:rsidRPr="005D5256">
        <w:rPr>
          <w:rFonts w:ascii="Times New Roman" w:eastAsiaTheme="majorEastAsia" w:hAnsi="Times New Roman" w:cs="Times New Roman"/>
          <w:sz w:val="24"/>
          <w:szCs w:val="24"/>
        </w:rPr>
        <w:t>reference to</w:t>
      </w:r>
      <w:r w:rsidR="00116D87" w:rsidRPr="005D5256">
        <w:rPr>
          <w:rFonts w:ascii="Times New Roman" w:eastAsiaTheme="majorEastAsia" w:hAnsi="Times New Roman" w:cs="Times New Roman"/>
          <w:sz w:val="24"/>
          <w:szCs w:val="24"/>
        </w:rPr>
        <w:t>,</w:t>
      </w:r>
      <w:r w:rsidR="00046802" w:rsidRPr="005D5256">
        <w:rPr>
          <w:rFonts w:ascii="Times New Roman" w:eastAsiaTheme="majorEastAsia" w:hAnsi="Times New Roman" w:cs="Times New Roman"/>
          <w:sz w:val="24"/>
          <w:szCs w:val="24"/>
        </w:rPr>
        <w:t xml:space="preserve"> </w:t>
      </w:r>
      <w:r w:rsidR="00732424" w:rsidRPr="005D5256">
        <w:rPr>
          <w:rFonts w:ascii="Times New Roman" w:eastAsiaTheme="majorEastAsia" w:hAnsi="Times New Roman" w:cs="Times New Roman"/>
          <w:sz w:val="24"/>
          <w:szCs w:val="24"/>
        </w:rPr>
        <w:t xml:space="preserve">‘the… </w:t>
      </w:r>
      <w:r w:rsidR="00046802" w:rsidRPr="005D5256">
        <w:rPr>
          <w:rFonts w:ascii="Times New Roman" w:eastAsiaTheme="majorEastAsia" w:hAnsi="Times New Roman" w:cs="Times New Roman"/>
          <w:sz w:val="24"/>
          <w:szCs w:val="24"/>
        </w:rPr>
        <w:t>further realization of Human Rights and Fundamental Freedoms’, and the ‘Council of Europe</w:t>
      </w:r>
      <w:r w:rsidR="00732424" w:rsidRPr="005D5256">
        <w:rPr>
          <w:rFonts w:ascii="Times New Roman" w:eastAsiaTheme="majorEastAsia" w:hAnsi="Times New Roman" w:cs="Times New Roman"/>
          <w:sz w:val="24"/>
          <w:szCs w:val="24"/>
        </w:rPr>
        <w:t>[‘s]</w:t>
      </w:r>
      <w:r w:rsidR="00046802" w:rsidRPr="005D5256">
        <w:rPr>
          <w:rFonts w:ascii="Times New Roman" w:eastAsiaTheme="majorEastAsia" w:hAnsi="Times New Roman" w:cs="Times New Roman"/>
          <w:sz w:val="24"/>
          <w:szCs w:val="24"/>
        </w:rPr>
        <w:t xml:space="preserve">’ agenda of achieving ‘greater unity between its Members’. </w:t>
      </w:r>
    </w:p>
    <w:p w14:paraId="159F8DFA" w14:textId="4F4DB5ED" w:rsidR="000E319B" w:rsidRPr="005D5256" w:rsidRDefault="000E319B" w:rsidP="005D5256">
      <w:pPr>
        <w:spacing w:line="480" w:lineRule="auto"/>
        <w:jc w:val="both"/>
        <w:rPr>
          <w:rFonts w:ascii="Times New Roman" w:eastAsiaTheme="majorEastAsia" w:hAnsi="Times New Roman" w:cs="Times New Roman"/>
          <w:sz w:val="24"/>
          <w:szCs w:val="24"/>
        </w:rPr>
      </w:pPr>
      <w:r w:rsidRPr="005D5256">
        <w:rPr>
          <w:rFonts w:ascii="Times New Roman" w:eastAsiaTheme="majorEastAsia" w:hAnsi="Times New Roman" w:cs="Times New Roman"/>
          <w:sz w:val="24"/>
          <w:szCs w:val="24"/>
        </w:rPr>
        <w:t xml:space="preserve">To </w:t>
      </w:r>
      <w:r w:rsidR="00116D87" w:rsidRPr="005D5256">
        <w:rPr>
          <w:rFonts w:ascii="Times New Roman" w:eastAsiaTheme="majorEastAsia" w:hAnsi="Times New Roman" w:cs="Times New Roman"/>
          <w:sz w:val="24"/>
          <w:szCs w:val="24"/>
        </w:rPr>
        <w:t>the extent that the lat</w:t>
      </w:r>
      <w:r w:rsidR="00D574D8" w:rsidRPr="005D5256">
        <w:rPr>
          <w:rFonts w:ascii="Times New Roman" w:eastAsiaTheme="majorEastAsia" w:hAnsi="Times New Roman" w:cs="Times New Roman"/>
          <w:sz w:val="24"/>
          <w:szCs w:val="24"/>
        </w:rPr>
        <w:t>t</w:t>
      </w:r>
      <w:r w:rsidR="00116D87" w:rsidRPr="005D5256">
        <w:rPr>
          <w:rFonts w:ascii="Times New Roman" w:eastAsiaTheme="majorEastAsia" w:hAnsi="Times New Roman" w:cs="Times New Roman"/>
          <w:sz w:val="24"/>
          <w:szCs w:val="24"/>
        </w:rPr>
        <w:t xml:space="preserve">er </w:t>
      </w:r>
      <w:r w:rsidR="00D62321">
        <w:rPr>
          <w:rFonts w:ascii="Times New Roman" w:eastAsiaTheme="majorEastAsia" w:hAnsi="Times New Roman" w:cs="Times New Roman"/>
          <w:sz w:val="24"/>
          <w:szCs w:val="24"/>
        </w:rPr>
        <w:t xml:space="preserve">may be perceived as </w:t>
      </w:r>
      <w:r w:rsidR="00116D87" w:rsidRPr="005D5256">
        <w:rPr>
          <w:rFonts w:ascii="Times New Roman" w:eastAsiaTheme="majorEastAsia" w:hAnsi="Times New Roman" w:cs="Times New Roman"/>
          <w:sz w:val="24"/>
          <w:szCs w:val="24"/>
        </w:rPr>
        <w:t>encourag</w:t>
      </w:r>
      <w:r w:rsidR="00D62321">
        <w:rPr>
          <w:rFonts w:ascii="Times New Roman" w:eastAsiaTheme="majorEastAsia" w:hAnsi="Times New Roman" w:cs="Times New Roman"/>
          <w:sz w:val="24"/>
          <w:szCs w:val="24"/>
        </w:rPr>
        <w:t>ing</w:t>
      </w:r>
      <w:r w:rsidR="00116D87" w:rsidRPr="005D5256">
        <w:rPr>
          <w:rFonts w:ascii="Times New Roman" w:eastAsiaTheme="majorEastAsia" w:hAnsi="Times New Roman" w:cs="Times New Roman"/>
          <w:sz w:val="24"/>
          <w:szCs w:val="24"/>
        </w:rPr>
        <w:t xml:space="preserve"> an integrationist role</w:t>
      </w:r>
      <w:r w:rsidR="00D62321">
        <w:rPr>
          <w:rFonts w:ascii="Times New Roman" w:eastAsiaTheme="majorEastAsia" w:hAnsi="Times New Roman" w:cs="Times New Roman"/>
          <w:sz w:val="24"/>
          <w:szCs w:val="24"/>
        </w:rPr>
        <w:t xml:space="preserve"> for the Court</w:t>
      </w:r>
      <w:r w:rsidR="00116D87" w:rsidRPr="005D5256">
        <w:rPr>
          <w:rFonts w:ascii="Times New Roman" w:eastAsiaTheme="majorEastAsia" w:hAnsi="Times New Roman" w:cs="Times New Roman"/>
          <w:sz w:val="24"/>
          <w:szCs w:val="24"/>
        </w:rPr>
        <w:t xml:space="preserve">, we recall that a </w:t>
      </w:r>
      <w:r w:rsidR="00046802" w:rsidRPr="005D5256">
        <w:rPr>
          <w:rFonts w:ascii="Times New Roman" w:eastAsiaTheme="majorEastAsia" w:hAnsi="Times New Roman" w:cs="Times New Roman"/>
          <w:sz w:val="24"/>
          <w:szCs w:val="24"/>
        </w:rPr>
        <w:t xml:space="preserve">new, ‘Protocol 15’ paragraph </w:t>
      </w:r>
      <w:r w:rsidR="00116D87" w:rsidRPr="005D5256">
        <w:rPr>
          <w:rFonts w:ascii="Times New Roman" w:eastAsiaTheme="majorEastAsia" w:hAnsi="Times New Roman" w:cs="Times New Roman"/>
          <w:sz w:val="24"/>
          <w:szCs w:val="24"/>
        </w:rPr>
        <w:t xml:space="preserve">is due to be added </w:t>
      </w:r>
      <w:r w:rsidR="00046802" w:rsidRPr="005D5256">
        <w:rPr>
          <w:rFonts w:ascii="Times New Roman" w:eastAsiaTheme="majorEastAsia" w:hAnsi="Times New Roman" w:cs="Times New Roman"/>
          <w:sz w:val="24"/>
          <w:szCs w:val="24"/>
        </w:rPr>
        <w:t xml:space="preserve">to the Convention’s Preamble, referring to the margin of appreciation and subsidiarity. </w:t>
      </w:r>
      <w:r w:rsidR="00726D2A" w:rsidRPr="005D5256">
        <w:rPr>
          <w:rFonts w:ascii="Times New Roman" w:eastAsiaTheme="majorEastAsia" w:hAnsi="Times New Roman" w:cs="Times New Roman"/>
          <w:sz w:val="24"/>
          <w:szCs w:val="24"/>
        </w:rPr>
        <w:t>S</w:t>
      </w:r>
      <w:r w:rsidR="004B62F3" w:rsidRPr="005D5256">
        <w:rPr>
          <w:rFonts w:ascii="Times New Roman" w:eastAsiaTheme="majorEastAsia" w:hAnsi="Times New Roman" w:cs="Times New Roman"/>
          <w:sz w:val="24"/>
          <w:szCs w:val="24"/>
        </w:rPr>
        <w:t xml:space="preserve">ome argue this </w:t>
      </w:r>
      <w:r w:rsidR="00FF3E64" w:rsidRPr="005D5256">
        <w:rPr>
          <w:rFonts w:ascii="Times New Roman" w:eastAsiaTheme="majorEastAsia" w:hAnsi="Times New Roman" w:cs="Times New Roman"/>
          <w:sz w:val="24"/>
          <w:szCs w:val="24"/>
        </w:rPr>
        <w:t>merely</w:t>
      </w:r>
      <w:r w:rsidR="00046802" w:rsidRPr="005D5256">
        <w:rPr>
          <w:rFonts w:ascii="Times New Roman" w:eastAsiaTheme="majorEastAsia" w:hAnsi="Times New Roman" w:cs="Times New Roman"/>
          <w:sz w:val="24"/>
          <w:szCs w:val="24"/>
        </w:rPr>
        <w:t xml:space="preserve"> reiterat</w:t>
      </w:r>
      <w:r w:rsidR="00FF3E64" w:rsidRPr="005D5256">
        <w:rPr>
          <w:rFonts w:ascii="Times New Roman" w:eastAsiaTheme="majorEastAsia" w:hAnsi="Times New Roman" w:cs="Times New Roman"/>
          <w:sz w:val="24"/>
          <w:szCs w:val="24"/>
        </w:rPr>
        <w:t>e</w:t>
      </w:r>
      <w:r w:rsidR="00755077" w:rsidRPr="005D5256">
        <w:rPr>
          <w:rFonts w:ascii="Times New Roman" w:eastAsiaTheme="majorEastAsia" w:hAnsi="Times New Roman" w:cs="Times New Roman"/>
          <w:sz w:val="24"/>
          <w:szCs w:val="24"/>
        </w:rPr>
        <w:t>s</w:t>
      </w:r>
      <w:r w:rsidR="00046802" w:rsidRPr="005D5256">
        <w:rPr>
          <w:rFonts w:ascii="Times New Roman" w:eastAsiaTheme="majorEastAsia" w:hAnsi="Times New Roman" w:cs="Times New Roman"/>
          <w:sz w:val="24"/>
          <w:szCs w:val="24"/>
        </w:rPr>
        <w:t xml:space="preserve"> the </w:t>
      </w:r>
      <w:r w:rsidR="00046802" w:rsidRPr="005D5256">
        <w:rPr>
          <w:rFonts w:ascii="Times New Roman" w:eastAsiaTheme="majorEastAsia" w:hAnsi="Times New Roman" w:cs="Times New Roman"/>
          <w:i/>
          <w:sz w:val="24"/>
          <w:szCs w:val="24"/>
        </w:rPr>
        <w:t>status quo</w:t>
      </w:r>
      <w:r w:rsidR="00726D2A" w:rsidRPr="005D5256">
        <w:rPr>
          <w:rFonts w:ascii="Times New Roman" w:eastAsiaTheme="majorEastAsia" w:hAnsi="Times New Roman" w:cs="Times New Roman"/>
          <w:sz w:val="24"/>
          <w:szCs w:val="24"/>
        </w:rPr>
        <w:t xml:space="preserve">. </w:t>
      </w:r>
      <w:r w:rsidR="004B62F3" w:rsidRPr="005D5256">
        <w:rPr>
          <w:rFonts w:ascii="Times New Roman" w:eastAsiaTheme="majorEastAsia" w:hAnsi="Times New Roman" w:cs="Times New Roman"/>
          <w:sz w:val="24"/>
          <w:szCs w:val="24"/>
        </w:rPr>
        <w:t xml:space="preserve">I suggest it </w:t>
      </w:r>
      <w:r w:rsidR="00167916" w:rsidRPr="005D5256">
        <w:rPr>
          <w:rFonts w:ascii="Times New Roman" w:eastAsiaTheme="majorEastAsia" w:hAnsi="Times New Roman" w:cs="Times New Roman"/>
          <w:sz w:val="24"/>
          <w:szCs w:val="24"/>
        </w:rPr>
        <w:t xml:space="preserve">is </w:t>
      </w:r>
      <w:r w:rsidR="00046802" w:rsidRPr="005D5256">
        <w:rPr>
          <w:rFonts w:ascii="Times New Roman" w:eastAsiaTheme="majorEastAsia" w:hAnsi="Times New Roman" w:cs="Times New Roman"/>
          <w:sz w:val="24"/>
          <w:szCs w:val="24"/>
        </w:rPr>
        <w:t xml:space="preserve">a call for </w:t>
      </w:r>
      <w:r w:rsidR="004B62F3" w:rsidRPr="005D5256">
        <w:rPr>
          <w:rFonts w:ascii="Times New Roman" w:eastAsiaTheme="majorEastAsia" w:hAnsi="Times New Roman" w:cs="Times New Roman"/>
          <w:sz w:val="24"/>
          <w:szCs w:val="24"/>
        </w:rPr>
        <w:t xml:space="preserve">qualified, </w:t>
      </w:r>
      <w:r w:rsidR="00046802" w:rsidRPr="005D5256">
        <w:rPr>
          <w:rFonts w:ascii="Times New Roman" w:eastAsiaTheme="majorEastAsia" w:hAnsi="Times New Roman" w:cs="Times New Roman"/>
          <w:sz w:val="24"/>
          <w:szCs w:val="24"/>
        </w:rPr>
        <w:t>judicial self-restraint</w:t>
      </w:r>
      <w:r w:rsidR="00726D2A" w:rsidRPr="005D5256">
        <w:rPr>
          <w:rFonts w:ascii="Times New Roman" w:eastAsiaTheme="majorEastAsia" w:hAnsi="Times New Roman" w:cs="Times New Roman"/>
          <w:sz w:val="24"/>
          <w:szCs w:val="24"/>
        </w:rPr>
        <w:t>,</w:t>
      </w:r>
      <w:r w:rsidR="001A38B6">
        <w:rPr>
          <w:rStyle w:val="FootnoteReference"/>
          <w:rFonts w:ascii="Times New Roman" w:eastAsiaTheme="majorEastAsia" w:hAnsi="Times New Roman" w:cs="Times New Roman"/>
          <w:sz w:val="24"/>
          <w:szCs w:val="24"/>
        </w:rPr>
        <w:footnoteReference w:id="10"/>
      </w:r>
      <w:r w:rsidR="00726D2A" w:rsidRPr="005D5256">
        <w:rPr>
          <w:rFonts w:ascii="Times New Roman" w:eastAsiaTheme="majorEastAsia" w:hAnsi="Times New Roman" w:cs="Times New Roman"/>
          <w:sz w:val="24"/>
          <w:szCs w:val="24"/>
        </w:rPr>
        <w:t xml:space="preserve"> endorsing </w:t>
      </w:r>
      <w:r w:rsidRPr="005D5256">
        <w:rPr>
          <w:rFonts w:ascii="Times New Roman" w:eastAsiaTheme="majorEastAsia" w:hAnsi="Times New Roman" w:cs="Times New Roman"/>
          <w:sz w:val="24"/>
          <w:szCs w:val="24"/>
        </w:rPr>
        <w:t>a subsidiarity-orientated vision of Strasbourg standard setting, one that</w:t>
      </w:r>
      <w:r w:rsidR="006325C7" w:rsidRPr="005D5256">
        <w:rPr>
          <w:rFonts w:ascii="Times New Roman" w:eastAsiaTheme="majorEastAsia" w:hAnsi="Times New Roman" w:cs="Times New Roman"/>
          <w:sz w:val="24"/>
          <w:szCs w:val="24"/>
        </w:rPr>
        <w:t>, dependent on context</w:t>
      </w:r>
      <w:r w:rsidRPr="005D5256">
        <w:rPr>
          <w:rFonts w:ascii="Times New Roman" w:eastAsiaTheme="majorEastAsia" w:hAnsi="Times New Roman" w:cs="Times New Roman"/>
          <w:sz w:val="24"/>
          <w:szCs w:val="24"/>
        </w:rPr>
        <w:t xml:space="preserve">: </w:t>
      </w:r>
    </w:p>
    <w:p w14:paraId="25166A1E" w14:textId="77777777" w:rsidR="000E319B" w:rsidRPr="005D5256" w:rsidRDefault="006325C7" w:rsidP="005D5256">
      <w:pPr>
        <w:spacing w:line="480" w:lineRule="auto"/>
        <w:ind w:left="720"/>
        <w:jc w:val="both"/>
        <w:rPr>
          <w:rFonts w:ascii="Times New Roman" w:eastAsiaTheme="majorEastAsia" w:hAnsi="Times New Roman" w:cs="Times New Roman"/>
          <w:sz w:val="24"/>
          <w:szCs w:val="24"/>
        </w:rPr>
      </w:pPr>
      <w:r w:rsidRPr="005D5256">
        <w:rPr>
          <w:rFonts w:ascii="Times New Roman" w:eastAsiaTheme="majorEastAsia" w:hAnsi="Times New Roman" w:cs="Times New Roman"/>
          <w:sz w:val="24"/>
          <w:szCs w:val="24"/>
        </w:rPr>
        <w:lastRenderedPageBreak/>
        <w:t>‘</w:t>
      </w:r>
      <w:r w:rsidR="000E319B" w:rsidRPr="005D5256">
        <w:rPr>
          <w:rFonts w:ascii="Times New Roman" w:eastAsiaTheme="majorEastAsia" w:hAnsi="Times New Roman" w:cs="Times New Roman"/>
          <w:sz w:val="24"/>
          <w:szCs w:val="24"/>
        </w:rPr>
        <w:t xml:space="preserve">implies a tolerance of (and even welcome for) the fact that Convention rights can be implemented differently by different Contracting Parties, in keeping with their distinct national conditions, </w:t>
      </w:r>
      <w:r w:rsidR="000E319B" w:rsidRPr="005D5256">
        <w:rPr>
          <w:rFonts w:ascii="Times New Roman" w:eastAsiaTheme="majorEastAsia" w:hAnsi="Times New Roman" w:cs="Times New Roman"/>
          <w:i/>
          <w:sz w:val="24"/>
          <w:szCs w:val="24"/>
        </w:rPr>
        <w:t>provided that they are in fact implemented</w:t>
      </w:r>
      <w:r w:rsidR="000E319B" w:rsidRPr="005D5256">
        <w:rPr>
          <w:rFonts w:ascii="Times New Roman" w:eastAsiaTheme="majorEastAsia" w:hAnsi="Times New Roman" w:cs="Times New Roman"/>
          <w:sz w:val="24"/>
          <w:szCs w:val="24"/>
        </w:rPr>
        <w:t>’</w:t>
      </w:r>
      <w:r w:rsidR="007544F9" w:rsidRPr="005D5256">
        <w:rPr>
          <w:rFonts w:ascii="Times New Roman" w:eastAsiaTheme="majorEastAsia" w:hAnsi="Times New Roman" w:cs="Times New Roman"/>
          <w:sz w:val="24"/>
          <w:szCs w:val="24"/>
        </w:rPr>
        <w:t xml:space="preserve"> (emphasis added)</w:t>
      </w:r>
      <w:r w:rsidR="000E319B" w:rsidRPr="005D5256">
        <w:rPr>
          <w:rFonts w:ascii="Times New Roman" w:eastAsiaTheme="majorEastAsia" w:hAnsi="Times New Roman" w:cs="Times New Roman"/>
          <w:sz w:val="24"/>
          <w:szCs w:val="24"/>
        </w:rPr>
        <w:t>.</w:t>
      </w:r>
      <w:r w:rsidR="000E319B" w:rsidRPr="005D5256">
        <w:rPr>
          <w:rStyle w:val="FootnoteReference"/>
          <w:rFonts w:ascii="Times New Roman" w:eastAsiaTheme="majorEastAsia" w:hAnsi="Times New Roman" w:cs="Times New Roman"/>
          <w:sz w:val="24"/>
          <w:szCs w:val="24"/>
        </w:rPr>
        <w:footnoteReference w:id="11"/>
      </w:r>
      <w:r w:rsidR="000E319B" w:rsidRPr="005D5256">
        <w:rPr>
          <w:rFonts w:ascii="Times New Roman" w:eastAsiaTheme="majorEastAsia" w:hAnsi="Times New Roman" w:cs="Times New Roman"/>
          <w:sz w:val="24"/>
          <w:szCs w:val="24"/>
        </w:rPr>
        <w:t xml:space="preserve"> </w:t>
      </w:r>
    </w:p>
    <w:p w14:paraId="67F1C083" w14:textId="77777777" w:rsidR="00371C12" w:rsidRPr="005D5256" w:rsidRDefault="007544F9" w:rsidP="005D5256">
      <w:pPr>
        <w:spacing w:line="480" w:lineRule="auto"/>
        <w:jc w:val="both"/>
        <w:rPr>
          <w:rFonts w:ascii="Times New Roman" w:eastAsiaTheme="majorEastAsia" w:hAnsi="Times New Roman" w:cs="Times New Roman"/>
          <w:sz w:val="24"/>
          <w:szCs w:val="24"/>
        </w:rPr>
      </w:pPr>
      <w:r w:rsidRPr="005D5256">
        <w:rPr>
          <w:rFonts w:ascii="Times New Roman" w:eastAsiaTheme="majorEastAsia" w:hAnsi="Times New Roman" w:cs="Times New Roman"/>
          <w:sz w:val="24"/>
          <w:szCs w:val="24"/>
        </w:rPr>
        <w:t>Note: t</w:t>
      </w:r>
      <w:r w:rsidR="00371C12" w:rsidRPr="005D5256">
        <w:rPr>
          <w:rFonts w:ascii="Times New Roman" w:eastAsiaTheme="majorEastAsia" w:hAnsi="Times New Roman" w:cs="Times New Roman"/>
          <w:sz w:val="24"/>
          <w:szCs w:val="24"/>
        </w:rPr>
        <w:t xml:space="preserve">his does </w:t>
      </w:r>
      <w:r w:rsidR="00371C12" w:rsidRPr="005D5256">
        <w:rPr>
          <w:rFonts w:ascii="Times New Roman" w:eastAsiaTheme="majorEastAsia" w:hAnsi="Times New Roman" w:cs="Times New Roman"/>
          <w:i/>
          <w:sz w:val="24"/>
          <w:szCs w:val="24"/>
        </w:rPr>
        <w:t>not</w:t>
      </w:r>
      <w:r w:rsidR="00371C12" w:rsidRPr="005D5256">
        <w:rPr>
          <w:rFonts w:ascii="Times New Roman" w:eastAsiaTheme="majorEastAsia" w:hAnsi="Times New Roman" w:cs="Times New Roman"/>
          <w:sz w:val="24"/>
          <w:szCs w:val="24"/>
        </w:rPr>
        <w:t xml:space="preserve"> contest the Convention</w:t>
      </w:r>
      <w:r w:rsidRPr="005D5256">
        <w:rPr>
          <w:rFonts w:ascii="Times New Roman" w:eastAsiaTheme="majorEastAsia" w:hAnsi="Times New Roman" w:cs="Times New Roman"/>
          <w:sz w:val="24"/>
          <w:szCs w:val="24"/>
        </w:rPr>
        <w:t>’s</w:t>
      </w:r>
      <w:r w:rsidR="00371C12" w:rsidRPr="005D5256">
        <w:rPr>
          <w:rFonts w:ascii="Times New Roman" w:eastAsiaTheme="majorEastAsia" w:hAnsi="Times New Roman" w:cs="Times New Roman"/>
          <w:sz w:val="24"/>
          <w:szCs w:val="24"/>
        </w:rPr>
        <w:t xml:space="preserve"> ‘living instrument’</w:t>
      </w:r>
      <w:r w:rsidRPr="005D5256">
        <w:rPr>
          <w:rFonts w:ascii="Times New Roman" w:eastAsiaTheme="majorEastAsia" w:hAnsi="Times New Roman" w:cs="Times New Roman"/>
          <w:sz w:val="24"/>
          <w:szCs w:val="24"/>
        </w:rPr>
        <w:t xml:space="preserve"> quality</w:t>
      </w:r>
      <w:r w:rsidR="00371C12" w:rsidRPr="005D5256">
        <w:rPr>
          <w:rFonts w:ascii="Times New Roman" w:eastAsiaTheme="majorEastAsia" w:hAnsi="Times New Roman" w:cs="Times New Roman"/>
          <w:sz w:val="24"/>
          <w:szCs w:val="24"/>
        </w:rPr>
        <w:t>, or that it can have a reforming influence</w:t>
      </w:r>
      <w:r w:rsidRPr="005D5256">
        <w:rPr>
          <w:rFonts w:ascii="Times New Roman" w:eastAsiaTheme="majorEastAsia" w:hAnsi="Times New Roman" w:cs="Times New Roman"/>
          <w:sz w:val="24"/>
          <w:szCs w:val="24"/>
        </w:rPr>
        <w:t>; however, it suggests that</w:t>
      </w:r>
      <w:r w:rsidR="001716FB" w:rsidRPr="005D5256">
        <w:rPr>
          <w:rFonts w:ascii="Times New Roman" w:eastAsiaTheme="majorEastAsia" w:hAnsi="Times New Roman" w:cs="Times New Roman"/>
          <w:sz w:val="24"/>
          <w:szCs w:val="24"/>
        </w:rPr>
        <w:t>, if it has an integrationist one, it is limited</w:t>
      </w:r>
      <w:r w:rsidRPr="005D5256">
        <w:rPr>
          <w:rFonts w:ascii="Times New Roman" w:eastAsiaTheme="majorEastAsia" w:hAnsi="Times New Roman" w:cs="Times New Roman"/>
          <w:sz w:val="24"/>
          <w:szCs w:val="24"/>
        </w:rPr>
        <w:t xml:space="preserve">. As the emphasised words confirm, the above </w:t>
      </w:r>
      <w:r w:rsidR="00371C12" w:rsidRPr="005D5256">
        <w:rPr>
          <w:rFonts w:ascii="Times New Roman" w:eastAsiaTheme="majorEastAsia" w:hAnsi="Times New Roman" w:cs="Times New Roman"/>
          <w:sz w:val="24"/>
          <w:szCs w:val="24"/>
        </w:rPr>
        <w:t xml:space="preserve">does </w:t>
      </w:r>
      <w:r w:rsidR="00371C12" w:rsidRPr="005D5256">
        <w:rPr>
          <w:rFonts w:ascii="Times New Roman" w:eastAsiaTheme="majorEastAsia" w:hAnsi="Times New Roman" w:cs="Times New Roman"/>
          <w:i/>
          <w:sz w:val="24"/>
          <w:szCs w:val="24"/>
        </w:rPr>
        <w:t>not</w:t>
      </w:r>
      <w:r w:rsidR="00371C12" w:rsidRPr="005D5256">
        <w:rPr>
          <w:rFonts w:ascii="Times New Roman" w:eastAsiaTheme="majorEastAsia" w:hAnsi="Times New Roman" w:cs="Times New Roman"/>
          <w:sz w:val="24"/>
          <w:szCs w:val="24"/>
        </w:rPr>
        <w:t xml:space="preserve"> </w:t>
      </w:r>
      <w:r w:rsidR="00FF3E64" w:rsidRPr="005D5256">
        <w:rPr>
          <w:rFonts w:ascii="Times New Roman" w:eastAsiaTheme="majorEastAsia" w:hAnsi="Times New Roman" w:cs="Times New Roman"/>
          <w:sz w:val="24"/>
          <w:szCs w:val="24"/>
        </w:rPr>
        <w:t>apply to</w:t>
      </w:r>
      <w:r w:rsidR="00371C12" w:rsidRPr="005D5256">
        <w:rPr>
          <w:rFonts w:ascii="Times New Roman" w:eastAsiaTheme="majorEastAsia" w:hAnsi="Times New Roman" w:cs="Times New Roman"/>
          <w:sz w:val="24"/>
          <w:szCs w:val="24"/>
        </w:rPr>
        <w:t xml:space="preserve"> </w:t>
      </w:r>
      <w:r w:rsidR="00FF3E64" w:rsidRPr="005D5256">
        <w:rPr>
          <w:rFonts w:ascii="Times New Roman" w:eastAsiaTheme="majorEastAsia" w:hAnsi="Times New Roman" w:cs="Times New Roman"/>
          <w:sz w:val="24"/>
          <w:szCs w:val="24"/>
        </w:rPr>
        <w:t>Strasbourg’s</w:t>
      </w:r>
      <w:r w:rsidR="00371C12" w:rsidRPr="005D5256">
        <w:rPr>
          <w:rFonts w:ascii="Times New Roman" w:eastAsiaTheme="majorEastAsia" w:hAnsi="Times New Roman" w:cs="Times New Roman"/>
          <w:sz w:val="24"/>
          <w:szCs w:val="24"/>
        </w:rPr>
        <w:t xml:space="preserve"> core, protective/ democratic security function.</w:t>
      </w:r>
    </w:p>
    <w:p w14:paraId="40734399" w14:textId="77777777" w:rsidR="00A24699" w:rsidRPr="005D5256" w:rsidRDefault="00975E51" w:rsidP="005D5256">
      <w:pPr>
        <w:pStyle w:val="Heading2"/>
        <w:spacing w:line="480" w:lineRule="auto"/>
        <w:jc w:val="both"/>
        <w:rPr>
          <w:rFonts w:ascii="Times New Roman" w:hAnsi="Times New Roman" w:cs="Times New Roman"/>
          <w:sz w:val="24"/>
          <w:szCs w:val="24"/>
        </w:rPr>
      </w:pPr>
      <w:r w:rsidRPr="005D5256">
        <w:rPr>
          <w:rFonts w:ascii="Times New Roman" w:hAnsi="Times New Roman" w:cs="Times New Roman"/>
          <w:sz w:val="24"/>
          <w:szCs w:val="24"/>
        </w:rPr>
        <w:t>III</w:t>
      </w:r>
    </w:p>
    <w:p w14:paraId="20F50E8A" w14:textId="73491904" w:rsidR="00AB489D" w:rsidRPr="005D5256" w:rsidRDefault="00755077" w:rsidP="005D5256">
      <w:pPr>
        <w:spacing w:line="480" w:lineRule="auto"/>
        <w:jc w:val="both"/>
        <w:rPr>
          <w:rFonts w:ascii="Times New Roman" w:eastAsiaTheme="majorEastAsia" w:hAnsi="Times New Roman" w:cs="Times New Roman"/>
          <w:sz w:val="24"/>
          <w:szCs w:val="24"/>
        </w:rPr>
      </w:pPr>
      <w:r w:rsidRPr="005D5256">
        <w:rPr>
          <w:rFonts w:ascii="Times New Roman" w:eastAsiaTheme="majorEastAsia" w:hAnsi="Times New Roman" w:cs="Times New Roman"/>
          <w:sz w:val="24"/>
          <w:szCs w:val="24"/>
        </w:rPr>
        <w:t>In my opinion, v</w:t>
      </w:r>
      <w:r w:rsidR="00951B35" w:rsidRPr="005D5256">
        <w:rPr>
          <w:rFonts w:ascii="Times New Roman" w:eastAsiaTheme="majorEastAsia" w:hAnsi="Times New Roman" w:cs="Times New Roman"/>
          <w:sz w:val="24"/>
          <w:szCs w:val="24"/>
        </w:rPr>
        <w:t xml:space="preserve">ery few Strasbourg </w:t>
      </w:r>
      <w:r w:rsidR="00F24BCB">
        <w:rPr>
          <w:rFonts w:ascii="Times New Roman" w:eastAsiaTheme="majorEastAsia" w:hAnsi="Times New Roman" w:cs="Times New Roman"/>
          <w:sz w:val="24"/>
          <w:szCs w:val="24"/>
        </w:rPr>
        <w:t>judgments</w:t>
      </w:r>
      <w:r w:rsidR="00F24BCB" w:rsidRPr="005D5256">
        <w:rPr>
          <w:rFonts w:ascii="Times New Roman" w:eastAsiaTheme="majorEastAsia" w:hAnsi="Times New Roman" w:cs="Times New Roman"/>
          <w:sz w:val="24"/>
          <w:szCs w:val="24"/>
        </w:rPr>
        <w:t xml:space="preserve"> </w:t>
      </w:r>
      <w:r w:rsidR="00951B35" w:rsidRPr="005D5256">
        <w:rPr>
          <w:rFonts w:ascii="Times New Roman" w:eastAsiaTheme="majorEastAsia" w:hAnsi="Times New Roman" w:cs="Times New Roman"/>
          <w:sz w:val="24"/>
          <w:szCs w:val="24"/>
        </w:rPr>
        <w:t xml:space="preserve">have failed to meet this subsidiarity-orientated approach. </w:t>
      </w:r>
      <w:r w:rsidRPr="005D5256">
        <w:rPr>
          <w:rFonts w:ascii="Times New Roman" w:eastAsiaTheme="majorEastAsia" w:hAnsi="Times New Roman" w:cs="Times New Roman"/>
          <w:sz w:val="24"/>
          <w:szCs w:val="24"/>
        </w:rPr>
        <w:t>So, why communicate the above self-restraint, subsidiarity message to Strasbourg</w:t>
      </w:r>
      <w:r w:rsidR="00AB489D" w:rsidRPr="005D5256">
        <w:rPr>
          <w:rFonts w:ascii="Times New Roman" w:eastAsiaTheme="majorEastAsia" w:hAnsi="Times New Roman" w:cs="Times New Roman"/>
          <w:sz w:val="24"/>
          <w:szCs w:val="24"/>
        </w:rPr>
        <w:t xml:space="preserve">? </w:t>
      </w:r>
    </w:p>
    <w:p w14:paraId="2307A7C2" w14:textId="3C9FD4BA" w:rsidR="0070077A" w:rsidRDefault="009C7789" w:rsidP="005D5256">
      <w:pPr>
        <w:spacing w:line="480" w:lineRule="auto"/>
        <w:jc w:val="both"/>
        <w:rPr>
          <w:rFonts w:ascii="Times New Roman" w:eastAsiaTheme="majorEastAsia" w:hAnsi="Times New Roman" w:cs="Times New Roman"/>
          <w:sz w:val="24"/>
          <w:szCs w:val="24"/>
        </w:rPr>
      </w:pPr>
      <w:r w:rsidRPr="005D5256">
        <w:rPr>
          <w:rFonts w:ascii="Times New Roman" w:eastAsiaTheme="majorEastAsia" w:hAnsi="Times New Roman" w:cs="Times New Roman"/>
          <w:sz w:val="24"/>
          <w:szCs w:val="24"/>
        </w:rPr>
        <w:t xml:space="preserve">One reason </w:t>
      </w:r>
      <w:r w:rsidR="00CA19EF">
        <w:rPr>
          <w:rFonts w:ascii="Times New Roman" w:eastAsiaTheme="majorEastAsia" w:hAnsi="Times New Roman" w:cs="Times New Roman"/>
          <w:sz w:val="24"/>
          <w:szCs w:val="24"/>
        </w:rPr>
        <w:t xml:space="preserve">may be a concern that the Court has reached a stage in its development when it is appropriate to do this. Related to this one should recall </w:t>
      </w:r>
      <w:r w:rsidRPr="005D5256">
        <w:rPr>
          <w:rFonts w:ascii="Times New Roman" w:eastAsiaTheme="majorEastAsia" w:hAnsi="Times New Roman" w:cs="Times New Roman"/>
          <w:sz w:val="24"/>
          <w:szCs w:val="24"/>
        </w:rPr>
        <w:t xml:space="preserve">that the Convention is special compared to </w:t>
      </w:r>
      <w:r w:rsidR="006325C7" w:rsidRPr="005D5256">
        <w:rPr>
          <w:rFonts w:ascii="Times New Roman" w:eastAsiaTheme="majorEastAsia" w:hAnsi="Times New Roman" w:cs="Times New Roman"/>
          <w:sz w:val="24"/>
          <w:szCs w:val="24"/>
        </w:rPr>
        <w:t xml:space="preserve">many other international human rights regimes, </w:t>
      </w:r>
      <w:r w:rsidRPr="005D5256">
        <w:rPr>
          <w:rFonts w:ascii="Times New Roman" w:eastAsiaTheme="majorEastAsia" w:hAnsi="Times New Roman" w:cs="Times New Roman"/>
          <w:sz w:val="24"/>
          <w:szCs w:val="24"/>
        </w:rPr>
        <w:t>for it</w:t>
      </w:r>
      <w:r w:rsidR="00FF3E64" w:rsidRPr="005D5256">
        <w:rPr>
          <w:rFonts w:ascii="Times New Roman" w:eastAsiaTheme="majorEastAsia" w:hAnsi="Times New Roman" w:cs="Times New Roman"/>
          <w:sz w:val="24"/>
          <w:szCs w:val="24"/>
        </w:rPr>
        <w:t xml:space="preserve"> licenses </w:t>
      </w:r>
      <w:r w:rsidR="00D62321">
        <w:rPr>
          <w:rFonts w:ascii="Times New Roman" w:eastAsiaTheme="majorEastAsia" w:hAnsi="Times New Roman" w:cs="Times New Roman"/>
          <w:sz w:val="24"/>
          <w:szCs w:val="24"/>
        </w:rPr>
        <w:t>a Court</w:t>
      </w:r>
      <w:r w:rsidR="00D62321" w:rsidRPr="005D5256">
        <w:rPr>
          <w:rFonts w:ascii="Times New Roman" w:eastAsiaTheme="majorEastAsia" w:hAnsi="Times New Roman" w:cs="Times New Roman"/>
          <w:sz w:val="24"/>
          <w:szCs w:val="24"/>
        </w:rPr>
        <w:t xml:space="preserve"> </w:t>
      </w:r>
      <w:r w:rsidR="00755077" w:rsidRPr="005D5256">
        <w:rPr>
          <w:rFonts w:ascii="Times New Roman" w:eastAsiaTheme="majorEastAsia" w:hAnsi="Times New Roman" w:cs="Times New Roman"/>
          <w:sz w:val="24"/>
          <w:szCs w:val="24"/>
        </w:rPr>
        <w:t>to</w:t>
      </w:r>
      <w:r w:rsidR="006325C7" w:rsidRPr="005D5256">
        <w:rPr>
          <w:rFonts w:ascii="Times New Roman" w:eastAsiaTheme="majorEastAsia" w:hAnsi="Times New Roman" w:cs="Times New Roman"/>
          <w:sz w:val="24"/>
          <w:szCs w:val="24"/>
        </w:rPr>
        <w:t xml:space="preserve"> deliver rulings that are legally binding</w:t>
      </w:r>
      <w:r w:rsidRPr="005D5256">
        <w:rPr>
          <w:rFonts w:ascii="Times New Roman" w:eastAsiaTheme="majorEastAsia" w:hAnsi="Times New Roman" w:cs="Times New Roman"/>
          <w:sz w:val="24"/>
          <w:szCs w:val="24"/>
        </w:rPr>
        <w:t xml:space="preserve"> (at international law)</w:t>
      </w:r>
      <w:r w:rsidR="006325C7" w:rsidRPr="005D5256">
        <w:rPr>
          <w:rFonts w:ascii="Times New Roman" w:eastAsiaTheme="majorEastAsia" w:hAnsi="Times New Roman" w:cs="Times New Roman"/>
          <w:sz w:val="24"/>
          <w:szCs w:val="24"/>
        </w:rPr>
        <w:t xml:space="preserve">, setting standards which potentially override national law. </w:t>
      </w:r>
      <w:r w:rsidR="00951B35" w:rsidRPr="005D5256">
        <w:rPr>
          <w:rFonts w:ascii="Times New Roman" w:eastAsiaTheme="majorEastAsia" w:hAnsi="Times New Roman" w:cs="Times New Roman"/>
          <w:sz w:val="24"/>
          <w:szCs w:val="24"/>
        </w:rPr>
        <w:t>Strasbourg</w:t>
      </w:r>
      <w:r w:rsidR="00755077" w:rsidRPr="005D5256">
        <w:rPr>
          <w:rFonts w:ascii="Times New Roman" w:eastAsiaTheme="majorEastAsia" w:hAnsi="Times New Roman" w:cs="Times New Roman"/>
          <w:sz w:val="24"/>
          <w:szCs w:val="24"/>
        </w:rPr>
        <w:t>’s</w:t>
      </w:r>
      <w:r w:rsidR="00951B35" w:rsidRPr="005D5256">
        <w:rPr>
          <w:rFonts w:ascii="Times New Roman" w:eastAsiaTheme="majorEastAsia" w:hAnsi="Times New Roman" w:cs="Times New Roman"/>
          <w:sz w:val="24"/>
          <w:szCs w:val="24"/>
        </w:rPr>
        <w:t xml:space="preserve"> </w:t>
      </w:r>
      <w:r w:rsidR="007544F9" w:rsidRPr="005D5256">
        <w:rPr>
          <w:rFonts w:ascii="Times New Roman" w:eastAsiaTheme="majorEastAsia" w:hAnsi="Times New Roman" w:cs="Times New Roman"/>
          <w:sz w:val="24"/>
          <w:szCs w:val="24"/>
        </w:rPr>
        <w:t xml:space="preserve">legitimate </w:t>
      </w:r>
      <w:r w:rsidR="00FF3E64" w:rsidRPr="005D5256">
        <w:rPr>
          <w:rFonts w:ascii="Times New Roman" w:eastAsiaTheme="majorEastAsia" w:hAnsi="Times New Roman" w:cs="Times New Roman"/>
          <w:sz w:val="24"/>
          <w:szCs w:val="24"/>
        </w:rPr>
        <w:t>ability to</w:t>
      </w:r>
      <w:r w:rsidR="00951B35" w:rsidRPr="005D5256">
        <w:rPr>
          <w:rFonts w:ascii="Times New Roman" w:eastAsiaTheme="majorEastAsia" w:hAnsi="Times New Roman" w:cs="Times New Roman"/>
          <w:sz w:val="24"/>
          <w:szCs w:val="24"/>
        </w:rPr>
        <w:t xml:space="preserve"> do this </w:t>
      </w:r>
      <w:r w:rsidR="00CD14EB" w:rsidRPr="005D5256">
        <w:rPr>
          <w:rFonts w:ascii="Times New Roman" w:eastAsiaTheme="majorEastAsia" w:hAnsi="Times New Roman" w:cs="Times New Roman"/>
          <w:sz w:val="24"/>
          <w:szCs w:val="24"/>
        </w:rPr>
        <w:t xml:space="preserve">should not </w:t>
      </w:r>
      <w:r w:rsidR="00303393" w:rsidRPr="005D5256">
        <w:rPr>
          <w:rFonts w:ascii="Times New Roman" w:eastAsiaTheme="majorEastAsia" w:hAnsi="Times New Roman" w:cs="Times New Roman"/>
          <w:sz w:val="24"/>
          <w:szCs w:val="24"/>
        </w:rPr>
        <w:t>eclipse</w:t>
      </w:r>
      <w:r w:rsidR="00CD14EB" w:rsidRPr="005D5256">
        <w:rPr>
          <w:rFonts w:ascii="Times New Roman" w:eastAsiaTheme="majorEastAsia" w:hAnsi="Times New Roman" w:cs="Times New Roman"/>
          <w:sz w:val="24"/>
          <w:szCs w:val="24"/>
        </w:rPr>
        <w:t xml:space="preserve"> a point once made by</w:t>
      </w:r>
      <w:r w:rsidR="006325C7" w:rsidRPr="005D5256">
        <w:rPr>
          <w:rFonts w:ascii="Times New Roman" w:eastAsiaTheme="majorEastAsia" w:hAnsi="Times New Roman" w:cs="Times New Roman"/>
          <w:sz w:val="24"/>
          <w:szCs w:val="24"/>
        </w:rPr>
        <w:t xml:space="preserve"> </w:t>
      </w:r>
      <w:r w:rsidR="006325C7" w:rsidRPr="005D5256">
        <w:rPr>
          <w:rFonts w:ascii="Times New Roman" w:eastAsiaTheme="majorEastAsia" w:hAnsi="Times New Roman" w:cs="Times New Roman"/>
          <w:sz w:val="24"/>
          <w:szCs w:val="24"/>
        </w:rPr>
        <w:lastRenderedPageBreak/>
        <w:t>P</w:t>
      </w:r>
      <w:r w:rsidR="00CD14EB" w:rsidRPr="005D5256">
        <w:rPr>
          <w:rFonts w:ascii="Times New Roman" w:eastAsiaTheme="majorEastAsia" w:hAnsi="Times New Roman" w:cs="Times New Roman"/>
          <w:sz w:val="24"/>
          <w:szCs w:val="24"/>
        </w:rPr>
        <w:t>rofessors Robertson and Merrills</w:t>
      </w:r>
      <w:r w:rsidR="0070077A">
        <w:rPr>
          <w:rFonts w:ascii="Times New Roman" w:eastAsiaTheme="majorEastAsia" w:hAnsi="Times New Roman" w:cs="Times New Roman"/>
          <w:sz w:val="24"/>
          <w:szCs w:val="24"/>
        </w:rPr>
        <w:t xml:space="preserve"> regarding what could be at stake</w:t>
      </w:r>
      <w:r w:rsidR="006325C7" w:rsidRPr="005D5256">
        <w:rPr>
          <w:rFonts w:ascii="Times New Roman" w:eastAsiaTheme="majorEastAsia" w:hAnsi="Times New Roman" w:cs="Times New Roman"/>
          <w:sz w:val="24"/>
          <w:szCs w:val="24"/>
        </w:rPr>
        <w:t>: membership of the Convention</w:t>
      </w:r>
      <w:r w:rsidR="00FF3E64" w:rsidRPr="005D5256">
        <w:rPr>
          <w:rFonts w:ascii="Times New Roman" w:eastAsiaTheme="majorEastAsia" w:hAnsi="Times New Roman" w:cs="Times New Roman"/>
          <w:sz w:val="24"/>
          <w:szCs w:val="24"/>
        </w:rPr>
        <w:t xml:space="preserve"> </w:t>
      </w:r>
      <w:r w:rsidR="00374960">
        <w:rPr>
          <w:rFonts w:ascii="Times New Roman" w:eastAsiaTheme="majorEastAsia" w:hAnsi="Times New Roman" w:cs="Times New Roman"/>
          <w:sz w:val="24"/>
          <w:szCs w:val="24"/>
        </w:rPr>
        <w:t xml:space="preserve">potentially </w:t>
      </w:r>
      <w:r w:rsidR="006325C7" w:rsidRPr="005D5256">
        <w:rPr>
          <w:rFonts w:ascii="Times New Roman" w:eastAsiaTheme="majorEastAsia" w:hAnsi="Times New Roman" w:cs="Times New Roman"/>
          <w:sz w:val="24"/>
          <w:szCs w:val="24"/>
        </w:rPr>
        <w:t>entails ‘relinquishing an important part of [</w:t>
      </w:r>
      <w:r w:rsidR="00FF3E64" w:rsidRPr="005D5256">
        <w:rPr>
          <w:rFonts w:ascii="Times New Roman" w:eastAsiaTheme="majorEastAsia" w:hAnsi="Times New Roman" w:cs="Times New Roman"/>
          <w:sz w:val="24"/>
          <w:szCs w:val="24"/>
        </w:rPr>
        <w:t>a State’s</w:t>
      </w:r>
      <w:r w:rsidR="006325C7" w:rsidRPr="005D5256">
        <w:rPr>
          <w:rFonts w:ascii="Times New Roman" w:eastAsiaTheme="majorEastAsia" w:hAnsi="Times New Roman" w:cs="Times New Roman"/>
          <w:sz w:val="24"/>
          <w:szCs w:val="24"/>
        </w:rPr>
        <w:t>] political sovereignty’</w:t>
      </w:r>
      <w:r w:rsidR="00374960">
        <w:rPr>
          <w:rFonts w:ascii="Times New Roman" w:eastAsiaTheme="majorEastAsia" w:hAnsi="Times New Roman" w:cs="Times New Roman"/>
          <w:sz w:val="24"/>
          <w:szCs w:val="24"/>
        </w:rPr>
        <w:t>.</w:t>
      </w:r>
      <w:r w:rsidR="00DC13E9">
        <w:rPr>
          <w:rStyle w:val="FootnoteReference"/>
          <w:rFonts w:ascii="Times New Roman" w:eastAsiaTheme="majorEastAsia" w:hAnsi="Times New Roman" w:cs="Times New Roman"/>
          <w:sz w:val="24"/>
          <w:szCs w:val="24"/>
        </w:rPr>
        <w:footnoteReference w:id="12"/>
      </w:r>
      <w:r w:rsidR="00374960">
        <w:rPr>
          <w:rFonts w:ascii="Times New Roman" w:eastAsiaTheme="majorEastAsia" w:hAnsi="Times New Roman" w:cs="Times New Roman"/>
          <w:sz w:val="24"/>
          <w:szCs w:val="24"/>
        </w:rPr>
        <w:t xml:space="preserve"> ‘Potentially’</w:t>
      </w:r>
      <w:r w:rsidR="006325C7" w:rsidRPr="005D5256">
        <w:rPr>
          <w:rFonts w:ascii="Times New Roman" w:eastAsiaTheme="majorEastAsia" w:hAnsi="Times New Roman" w:cs="Times New Roman"/>
          <w:sz w:val="24"/>
          <w:szCs w:val="24"/>
        </w:rPr>
        <w:t xml:space="preserve"> </w:t>
      </w:r>
      <w:r w:rsidR="00374960">
        <w:rPr>
          <w:rFonts w:ascii="Times New Roman" w:eastAsiaTheme="majorEastAsia" w:hAnsi="Times New Roman" w:cs="Times New Roman"/>
          <w:sz w:val="24"/>
          <w:szCs w:val="24"/>
        </w:rPr>
        <w:t>–</w:t>
      </w:r>
      <w:r w:rsidR="006325C7" w:rsidRPr="005D5256">
        <w:rPr>
          <w:rFonts w:ascii="Times New Roman" w:eastAsiaTheme="majorEastAsia" w:hAnsi="Times New Roman" w:cs="Times New Roman"/>
          <w:sz w:val="24"/>
          <w:szCs w:val="24"/>
        </w:rPr>
        <w:t xml:space="preserve"> </w:t>
      </w:r>
      <w:r w:rsidR="00374960">
        <w:rPr>
          <w:rFonts w:ascii="Times New Roman" w:eastAsiaTheme="majorEastAsia" w:hAnsi="Times New Roman" w:cs="Times New Roman"/>
          <w:sz w:val="24"/>
          <w:szCs w:val="24"/>
        </w:rPr>
        <w:t xml:space="preserve">for this would not be so </w:t>
      </w:r>
      <w:r w:rsidR="006325C7" w:rsidRPr="005D5256">
        <w:rPr>
          <w:rFonts w:ascii="Times New Roman" w:eastAsiaTheme="majorEastAsia" w:hAnsi="Times New Roman" w:cs="Times New Roman"/>
          <w:sz w:val="24"/>
          <w:szCs w:val="24"/>
        </w:rPr>
        <w:t>in every case, of course</w:t>
      </w:r>
      <w:r w:rsidR="00984427">
        <w:rPr>
          <w:rFonts w:ascii="Times New Roman" w:eastAsiaTheme="majorEastAsia" w:hAnsi="Times New Roman" w:cs="Times New Roman"/>
          <w:sz w:val="24"/>
          <w:szCs w:val="24"/>
        </w:rPr>
        <w:t>. However</w:t>
      </w:r>
      <w:r w:rsidR="006325C7" w:rsidRPr="005D5256">
        <w:rPr>
          <w:rFonts w:ascii="Times New Roman" w:eastAsiaTheme="majorEastAsia" w:hAnsi="Times New Roman" w:cs="Times New Roman"/>
          <w:sz w:val="24"/>
          <w:szCs w:val="24"/>
        </w:rPr>
        <w:t xml:space="preserve">, </w:t>
      </w:r>
      <w:r w:rsidR="00D62321" w:rsidRPr="00D62321">
        <w:rPr>
          <w:rFonts w:ascii="Times New Roman" w:eastAsiaTheme="majorEastAsia" w:hAnsi="Times New Roman" w:cs="Times New Roman"/>
          <w:sz w:val="24"/>
          <w:szCs w:val="24"/>
        </w:rPr>
        <w:t>Robertson and Merrills</w:t>
      </w:r>
      <w:r w:rsidR="00D62321">
        <w:rPr>
          <w:rFonts w:ascii="Times New Roman" w:eastAsiaTheme="majorEastAsia" w:hAnsi="Times New Roman" w:cs="Times New Roman"/>
          <w:sz w:val="24"/>
          <w:szCs w:val="24"/>
        </w:rPr>
        <w:t xml:space="preserve">’ point </w:t>
      </w:r>
      <w:r w:rsidR="00984427">
        <w:rPr>
          <w:rFonts w:ascii="Times New Roman" w:eastAsiaTheme="majorEastAsia" w:hAnsi="Times New Roman" w:cs="Times New Roman"/>
          <w:sz w:val="24"/>
          <w:szCs w:val="24"/>
        </w:rPr>
        <w:t xml:space="preserve">highlights why some States may wish to communicate a ‘Protocol 15’-subsidiarity message to </w:t>
      </w:r>
      <w:r w:rsidR="001A38B6">
        <w:rPr>
          <w:rFonts w:ascii="Times New Roman" w:eastAsiaTheme="majorEastAsia" w:hAnsi="Times New Roman" w:cs="Times New Roman"/>
          <w:sz w:val="24"/>
          <w:szCs w:val="24"/>
        </w:rPr>
        <w:t>the</w:t>
      </w:r>
      <w:r w:rsidR="00984427">
        <w:rPr>
          <w:rFonts w:ascii="Times New Roman" w:eastAsiaTheme="majorEastAsia" w:hAnsi="Times New Roman" w:cs="Times New Roman"/>
          <w:sz w:val="24"/>
          <w:szCs w:val="24"/>
        </w:rPr>
        <w:t xml:space="preserve"> Court</w:t>
      </w:r>
      <w:r w:rsidR="0063094D">
        <w:rPr>
          <w:rFonts w:ascii="Times New Roman" w:eastAsiaTheme="majorEastAsia" w:hAnsi="Times New Roman" w:cs="Times New Roman"/>
          <w:sz w:val="24"/>
          <w:szCs w:val="24"/>
        </w:rPr>
        <w:t xml:space="preserve">. It is subject to no ‘democratic override’, and might be encouraged to </w:t>
      </w:r>
      <w:r w:rsidR="006325C7" w:rsidRPr="005D5256">
        <w:rPr>
          <w:rFonts w:ascii="Times New Roman" w:eastAsiaTheme="majorEastAsia" w:hAnsi="Times New Roman" w:cs="Times New Roman"/>
          <w:sz w:val="24"/>
          <w:szCs w:val="24"/>
        </w:rPr>
        <w:t>assume a dynamic integrationist role</w:t>
      </w:r>
      <w:r w:rsidR="0063094D">
        <w:rPr>
          <w:rFonts w:ascii="Times New Roman" w:eastAsiaTheme="majorEastAsia" w:hAnsi="Times New Roman" w:cs="Times New Roman"/>
          <w:sz w:val="24"/>
          <w:szCs w:val="24"/>
        </w:rPr>
        <w:t xml:space="preserve"> from some stakeholders, as with those Wildhaber suggests </w:t>
      </w:r>
      <w:r w:rsidR="001A38B6">
        <w:rPr>
          <w:rFonts w:ascii="Times New Roman" w:eastAsiaTheme="majorEastAsia" w:hAnsi="Times New Roman" w:cs="Times New Roman"/>
          <w:sz w:val="24"/>
          <w:szCs w:val="24"/>
        </w:rPr>
        <w:t>eye</w:t>
      </w:r>
      <w:r w:rsidR="0063094D">
        <w:rPr>
          <w:rFonts w:ascii="Times New Roman" w:eastAsiaTheme="majorEastAsia" w:hAnsi="Times New Roman" w:cs="Times New Roman"/>
          <w:sz w:val="24"/>
          <w:szCs w:val="24"/>
        </w:rPr>
        <w:t xml:space="preserve"> the Court as a </w:t>
      </w:r>
      <w:r w:rsidR="00D62321">
        <w:rPr>
          <w:rFonts w:ascii="Times New Roman" w:eastAsiaTheme="majorEastAsia" w:hAnsi="Times New Roman" w:cs="Times New Roman"/>
          <w:sz w:val="24"/>
          <w:szCs w:val="24"/>
        </w:rPr>
        <w:t xml:space="preserve">type of </w:t>
      </w:r>
      <w:r w:rsidR="00CB0CFD" w:rsidRPr="005D5256">
        <w:rPr>
          <w:rFonts w:ascii="Times New Roman" w:eastAsiaTheme="majorEastAsia" w:hAnsi="Times New Roman" w:cs="Times New Roman"/>
          <w:sz w:val="24"/>
          <w:szCs w:val="24"/>
        </w:rPr>
        <w:t>human rights locomotive.</w:t>
      </w:r>
      <w:r w:rsidR="006325C7" w:rsidRPr="005D5256">
        <w:rPr>
          <w:rFonts w:ascii="Times New Roman" w:eastAsiaTheme="majorEastAsia" w:hAnsi="Times New Roman" w:cs="Times New Roman"/>
          <w:sz w:val="24"/>
          <w:szCs w:val="24"/>
        </w:rPr>
        <w:t xml:space="preserve"> </w:t>
      </w:r>
    </w:p>
    <w:p w14:paraId="743B8252" w14:textId="019D092E" w:rsidR="006325C7" w:rsidRPr="005D5256" w:rsidRDefault="0070077A" w:rsidP="005D5256">
      <w:pPr>
        <w:spacing w:line="480"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It would be understandable if </w:t>
      </w:r>
      <w:r w:rsidRPr="00931CD5">
        <w:rPr>
          <w:rFonts w:ascii="Times New Roman" w:eastAsiaTheme="majorEastAsia" w:hAnsi="Times New Roman" w:cs="Times New Roman"/>
          <w:sz w:val="24"/>
          <w:szCs w:val="24"/>
        </w:rPr>
        <w:t xml:space="preserve">civil society looks to the Court to take the lead on certain human rights issues because, unlike many other relevant regimes of human rights control, the Strasbourg system establishes a Court that may deliver legally binding judgments. However, some States might maintain that their willingness to set up </w:t>
      </w:r>
      <w:r>
        <w:rPr>
          <w:rFonts w:ascii="Times New Roman" w:eastAsiaTheme="majorEastAsia" w:hAnsi="Times New Roman" w:cs="Times New Roman"/>
          <w:sz w:val="24"/>
          <w:szCs w:val="24"/>
        </w:rPr>
        <w:t xml:space="preserve">such </w:t>
      </w:r>
      <w:r w:rsidRPr="00931CD5">
        <w:rPr>
          <w:rFonts w:ascii="Times New Roman" w:eastAsiaTheme="majorEastAsia" w:hAnsi="Times New Roman" w:cs="Times New Roman"/>
          <w:sz w:val="24"/>
          <w:szCs w:val="24"/>
        </w:rPr>
        <w:t xml:space="preserve">a system </w:t>
      </w:r>
      <w:r>
        <w:rPr>
          <w:rFonts w:ascii="Times New Roman" w:eastAsiaTheme="majorEastAsia" w:hAnsi="Times New Roman" w:cs="Times New Roman"/>
          <w:sz w:val="24"/>
          <w:szCs w:val="24"/>
        </w:rPr>
        <w:t xml:space="preserve">– one </w:t>
      </w:r>
      <w:r w:rsidRPr="00931CD5">
        <w:rPr>
          <w:rFonts w:ascii="Times New Roman" w:eastAsiaTheme="majorEastAsia" w:hAnsi="Times New Roman" w:cs="Times New Roman"/>
          <w:sz w:val="24"/>
          <w:szCs w:val="24"/>
        </w:rPr>
        <w:t>that is more advanced than many others</w:t>
      </w:r>
      <w:r>
        <w:rPr>
          <w:rFonts w:ascii="Times New Roman" w:eastAsiaTheme="majorEastAsia" w:hAnsi="Times New Roman" w:cs="Times New Roman"/>
          <w:sz w:val="24"/>
          <w:szCs w:val="24"/>
        </w:rPr>
        <w:t>, and with the potentially intrusive qualities identified by Robertson and Merrills -,</w:t>
      </w:r>
      <w:r w:rsidRPr="00931CD5">
        <w:rPr>
          <w:rFonts w:ascii="Times New Roman" w:eastAsiaTheme="majorEastAsia" w:hAnsi="Times New Roman" w:cs="Times New Roman"/>
          <w:sz w:val="24"/>
          <w:szCs w:val="24"/>
        </w:rPr>
        <w:t xml:space="preserve"> is precisely why Strasbourg should tread carefully</w:t>
      </w:r>
    </w:p>
    <w:p w14:paraId="2A037ADA" w14:textId="573852A7" w:rsidR="00825063" w:rsidRPr="005D5256" w:rsidRDefault="0070077A" w:rsidP="005D5256">
      <w:pPr>
        <w:spacing w:line="480"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Hence, </w:t>
      </w:r>
      <w:r w:rsidR="00E323A0" w:rsidRPr="005D5256">
        <w:rPr>
          <w:rFonts w:ascii="Times New Roman" w:eastAsiaTheme="majorEastAsia" w:hAnsi="Times New Roman" w:cs="Times New Roman"/>
          <w:sz w:val="24"/>
          <w:szCs w:val="24"/>
        </w:rPr>
        <w:t>Robertson and Merrills</w:t>
      </w:r>
      <w:r w:rsidR="007A173B" w:rsidRPr="005D5256">
        <w:rPr>
          <w:rFonts w:ascii="Times New Roman" w:eastAsiaTheme="majorEastAsia" w:hAnsi="Times New Roman" w:cs="Times New Roman"/>
          <w:sz w:val="24"/>
          <w:szCs w:val="24"/>
        </w:rPr>
        <w:t>’ point</w:t>
      </w:r>
      <w:r w:rsidR="00C60043" w:rsidRPr="005D5256">
        <w:rPr>
          <w:rFonts w:ascii="Times New Roman" w:eastAsiaTheme="majorEastAsia" w:hAnsi="Times New Roman" w:cs="Times New Roman"/>
          <w:sz w:val="24"/>
          <w:szCs w:val="24"/>
        </w:rPr>
        <w:t xml:space="preserve"> also relate</w:t>
      </w:r>
      <w:r w:rsidR="007544F9" w:rsidRPr="005D5256">
        <w:rPr>
          <w:rFonts w:ascii="Times New Roman" w:eastAsiaTheme="majorEastAsia" w:hAnsi="Times New Roman" w:cs="Times New Roman"/>
          <w:sz w:val="24"/>
          <w:szCs w:val="24"/>
        </w:rPr>
        <w:t>s</w:t>
      </w:r>
      <w:r w:rsidR="00C60043" w:rsidRPr="005D5256">
        <w:rPr>
          <w:rFonts w:ascii="Times New Roman" w:eastAsiaTheme="majorEastAsia" w:hAnsi="Times New Roman" w:cs="Times New Roman"/>
          <w:sz w:val="24"/>
          <w:szCs w:val="24"/>
        </w:rPr>
        <w:t xml:space="preserve"> to </w:t>
      </w:r>
      <w:r w:rsidR="007A173B" w:rsidRPr="005D5256">
        <w:rPr>
          <w:rFonts w:ascii="Times New Roman" w:eastAsiaTheme="majorEastAsia" w:hAnsi="Times New Roman" w:cs="Times New Roman"/>
          <w:sz w:val="24"/>
          <w:szCs w:val="24"/>
        </w:rPr>
        <w:t xml:space="preserve">how far the States </w:t>
      </w:r>
      <w:r w:rsidR="00E7104D" w:rsidRPr="005D5256">
        <w:rPr>
          <w:rFonts w:ascii="Times New Roman" w:eastAsiaTheme="majorEastAsia" w:hAnsi="Times New Roman" w:cs="Times New Roman"/>
          <w:sz w:val="24"/>
          <w:szCs w:val="24"/>
        </w:rPr>
        <w:t>may be</w:t>
      </w:r>
      <w:r w:rsidR="007A173B" w:rsidRPr="005D5256">
        <w:rPr>
          <w:rFonts w:ascii="Times New Roman" w:eastAsiaTheme="majorEastAsia" w:hAnsi="Times New Roman" w:cs="Times New Roman"/>
          <w:sz w:val="24"/>
          <w:szCs w:val="24"/>
        </w:rPr>
        <w:t xml:space="preserve"> prepared to let the special legal regime they have instituted</w:t>
      </w:r>
      <w:r w:rsidR="009C7789" w:rsidRPr="005D5256">
        <w:rPr>
          <w:rFonts w:ascii="Times New Roman" w:eastAsiaTheme="majorEastAsia" w:hAnsi="Times New Roman" w:cs="Times New Roman"/>
          <w:sz w:val="24"/>
          <w:szCs w:val="24"/>
        </w:rPr>
        <w:t xml:space="preserve"> be developed by Strasbourg</w:t>
      </w:r>
      <w:r w:rsidR="007A173B" w:rsidRPr="005D5256">
        <w:rPr>
          <w:rFonts w:ascii="Times New Roman" w:eastAsiaTheme="majorEastAsia" w:hAnsi="Times New Roman" w:cs="Times New Roman"/>
          <w:sz w:val="24"/>
          <w:szCs w:val="24"/>
        </w:rPr>
        <w:t xml:space="preserve">, </w:t>
      </w:r>
      <w:r w:rsidR="0063094D">
        <w:rPr>
          <w:rFonts w:ascii="Times New Roman" w:eastAsiaTheme="majorEastAsia" w:hAnsi="Times New Roman" w:cs="Times New Roman"/>
          <w:sz w:val="24"/>
          <w:szCs w:val="24"/>
        </w:rPr>
        <w:t>and the issues that can arise</w:t>
      </w:r>
      <w:r w:rsidR="007A173B" w:rsidRPr="005D5256">
        <w:rPr>
          <w:rFonts w:ascii="Times New Roman" w:eastAsiaTheme="majorEastAsia" w:hAnsi="Times New Roman" w:cs="Times New Roman"/>
          <w:sz w:val="24"/>
          <w:szCs w:val="24"/>
        </w:rPr>
        <w:t xml:space="preserve">. </w:t>
      </w:r>
      <w:r w:rsidR="0063094D">
        <w:rPr>
          <w:rFonts w:ascii="Times New Roman" w:eastAsiaTheme="majorEastAsia" w:hAnsi="Times New Roman" w:cs="Times New Roman"/>
          <w:sz w:val="24"/>
          <w:szCs w:val="24"/>
        </w:rPr>
        <w:t xml:space="preserve">If Strasbourg is too bold, </w:t>
      </w:r>
      <w:r w:rsidR="007A173B" w:rsidRPr="005D5256">
        <w:rPr>
          <w:rFonts w:ascii="Times New Roman" w:eastAsiaTheme="majorEastAsia" w:hAnsi="Times New Roman" w:cs="Times New Roman"/>
          <w:sz w:val="24"/>
          <w:szCs w:val="24"/>
        </w:rPr>
        <w:t xml:space="preserve">State confidence </w:t>
      </w:r>
      <w:r w:rsidR="007544F9" w:rsidRPr="005D5256">
        <w:rPr>
          <w:rFonts w:ascii="Times New Roman" w:eastAsiaTheme="majorEastAsia" w:hAnsi="Times New Roman" w:cs="Times New Roman"/>
          <w:sz w:val="24"/>
          <w:szCs w:val="24"/>
        </w:rPr>
        <w:t xml:space="preserve">in the legitimacy of </w:t>
      </w:r>
      <w:r w:rsidR="0063094D">
        <w:rPr>
          <w:rFonts w:ascii="Times New Roman" w:eastAsiaTheme="majorEastAsia" w:hAnsi="Times New Roman" w:cs="Times New Roman"/>
          <w:sz w:val="24"/>
          <w:szCs w:val="24"/>
        </w:rPr>
        <w:t>its</w:t>
      </w:r>
      <w:r w:rsidR="0063094D" w:rsidRPr="005D5256">
        <w:rPr>
          <w:rFonts w:ascii="Times New Roman" w:eastAsiaTheme="majorEastAsia" w:hAnsi="Times New Roman" w:cs="Times New Roman"/>
          <w:sz w:val="24"/>
          <w:szCs w:val="24"/>
        </w:rPr>
        <w:t xml:space="preserve"> </w:t>
      </w:r>
      <w:r w:rsidR="007544F9" w:rsidRPr="005D5256">
        <w:rPr>
          <w:rFonts w:ascii="Times New Roman" w:eastAsiaTheme="majorEastAsia" w:hAnsi="Times New Roman" w:cs="Times New Roman"/>
          <w:sz w:val="24"/>
          <w:szCs w:val="24"/>
        </w:rPr>
        <w:t xml:space="preserve">role </w:t>
      </w:r>
      <w:r w:rsidR="009C7789" w:rsidRPr="005D5256">
        <w:rPr>
          <w:rFonts w:ascii="Times New Roman" w:eastAsiaTheme="majorEastAsia" w:hAnsi="Times New Roman" w:cs="Times New Roman"/>
          <w:sz w:val="24"/>
          <w:szCs w:val="24"/>
        </w:rPr>
        <w:t>may become an issue</w:t>
      </w:r>
      <w:r w:rsidR="007A173B" w:rsidRPr="005D5256">
        <w:rPr>
          <w:rFonts w:ascii="Times New Roman" w:eastAsiaTheme="majorEastAsia" w:hAnsi="Times New Roman" w:cs="Times New Roman"/>
          <w:sz w:val="24"/>
          <w:szCs w:val="24"/>
        </w:rPr>
        <w:t xml:space="preserve">. </w:t>
      </w:r>
      <w:r w:rsidR="00951B35" w:rsidRPr="005D5256">
        <w:rPr>
          <w:rFonts w:ascii="Times New Roman" w:eastAsiaTheme="majorEastAsia" w:hAnsi="Times New Roman" w:cs="Times New Roman"/>
          <w:sz w:val="24"/>
          <w:szCs w:val="24"/>
        </w:rPr>
        <w:t>As</w:t>
      </w:r>
      <w:r w:rsidR="00825063" w:rsidRPr="005D5256">
        <w:rPr>
          <w:rFonts w:ascii="Times New Roman" w:eastAsiaTheme="majorEastAsia" w:hAnsi="Times New Roman" w:cs="Times New Roman"/>
          <w:sz w:val="24"/>
          <w:szCs w:val="24"/>
        </w:rPr>
        <w:t xml:space="preserve"> a former British Lord Chancellor </w:t>
      </w:r>
      <w:r w:rsidR="00B75A01" w:rsidRPr="005D5256">
        <w:rPr>
          <w:rFonts w:ascii="Times New Roman" w:eastAsiaTheme="majorEastAsia" w:hAnsi="Times New Roman" w:cs="Times New Roman"/>
          <w:sz w:val="24"/>
          <w:szCs w:val="24"/>
        </w:rPr>
        <w:t xml:space="preserve">(Lord Mackay) </w:t>
      </w:r>
      <w:r w:rsidR="00825063" w:rsidRPr="005D5256">
        <w:rPr>
          <w:rFonts w:ascii="Times New Roman" w:eastAsiaTheme="majorEastAsia" w:hAnsi="Times New Roman" w:cs="Times New Roman"/>
          <w:sz w:val="24"/>
          <w:szCs w:val="24"/>
        </w:rPr>
        <w:t xml:space="preserve">once put it: </w:t>
      </w:r>
    </w:p>
    <w:p w14:paraId="628CC8CC" w14:textId="348DA8E4" w:rsidR="00825063" w:rsidRPr="005D5256" w:rsidRDefault="00825063" w:rsidP="005D5256">
      <w:pPr>
        <w:spacing w:line="480" w:lineRule="auto"/>
        <w:ind w:left="720"/>
        <w:jc w:val="both"/>
        <w:rPr>
          <w:rFonts w:ascii="Times New Roman" w:eastAsiaTheme="majorEastAsia" w:hAnsi="Times New Roman" w:cs="Times New Roman"/>
          <w:sz w:val="24"/>
          <w:szCs w:val="24"/>
        </w:rPr>
      </w:pPr>
      <w:r w:rsidRPr="005D5256">
        <w:rPr>
          <w:rFonts w:ascii="Times New Roman" w:eastAsiaTheme="majorEastAsia" w:hAnsi="Times New Roman" w:cs="Times New Roman"/>
          <w:sz w:val="24"/>
          <w:szCs w:val="24"/>
        </w:rPr>
        <w:t xml:space="preserve">‘when a court moves out of the uncontroversial territory of condemning obvious breaches of the Convention… into areas where opinions may reasonably differ… then questions may arise about the source of the authority of the Court to make these </w:t>
      </w:r>
      <w:r w:rsidRPr="005D5256">
        <w:rPr>
          <w:rFonts w:ascii="Times New Roman" w:eastAsiaTheme="majorEastAsia" w:hAnsi="Times New Roman" w:cs="Times New Roman"/>
          <w:sz w:val="24"/>
          <w:szCs w:val="24"/>
        </w:rPr>
        <w:lastRenderedPageBreak/>
        <w:t>judgments, and the consent of member States on which the system rests may be threatened’.</w:t>
      </w:r>
      <w:r w:rsidR="00DC13E9">
        <w:rPr>
          <w:rStyle w:val="FootnoteReference"/>
          <w:rFonts w:ascii="Times New Roman" w:eastAsiaTheme="majorEastAsia" w:hAnsi="Times New Roman" w:cs="Times New Roman"/>
          <w:sz w:val="24"/>
          <w:szCs w:val="24"/>
        </w:rPr>
        <w:footnoteReference w:id="13"/>
      </w:r>
    </w:p>
    <w:p w14:paraId="4E001E83" w14:textId="14EAB567" w:rsidR="007544F9" w:rsidRPr="005D5256" w:rsidRDefault="007544F9" w:rsidP="005D5256">
      <w:pPr>
        <w:spacing w:line="480" w:lineRule="auto"/>
        <w:jc w:val="both"/>
        <w:rPr>
          <w:rFonts w:ascii="Times New Roman" w:eastAsiaTheme="majorEastAsia" w:hAnsi="Times New Roman" w:cs="Times New Roman"/>
          <w:sz w:val="24"/>
          <w:szCs w:val="24"/>
        </w:rPr>
      </w:pPr>
      <w:r w:rsidRPr="005D5256">
        <w:rPr>
          <w:rFonts w:ascii="Times New Roman" w:eastAsiaTheme="majorEastAsia" w:hAnsi="Times New Roman" w:cs="Times New Roman"/>
          <w:sz w:val="24"/>
          <w:szCs w:val="24"/>
        </w:rPr>
        <w:t xml:space="preserve">In short, </w:t>
      </w:r>
      <w:r w:rsidR="00703B94" w:rsidRPr="005D5256">
        <w:rPr>
          <w:rFonts w:ascii="Times New Roman" w:eastAsiaTheme="majorEastAsia" w:hAnsi="Times New Roman" w:cs="Times New Roman"/>
          <w:sz w:val="24"/>
          <w:szCs w:val="24"/>
        </w:rPr>
        <w:t>Strasbourg should be cautious about enlarging its j</w:t>
      </w:r>
      <w:r w:rsidR="001716FB" w:rsidRPr="005D5256">
        <w:rPr>
          <w:rFonts w:ascii="Times New Roman" w:eastAsiaTheme="majorEastAsia" w:hAnsi="Times New Roman" w:cs="Times New Roman"/>
          <w:sz w:val="24"/>
          <w:szCs w:val="24"/>
        </w:rPr>
        <w:t xml:space="preserve">urisdiction too far, to avoid </w:t>
      </w:r>
      <w:r w:rsidR="00825063" w:rsidRPr="005D5256">
        <w:rPr>
          <w:rFonts w:ascii="Times New Roman" w:eastAsiaTheme="majorEastAsia" w:hAnsi="Times New Roman" w:cs="Times New Roman"/>
          <w:sz w:val="24"/>
          <w:szCs w:val="24"/>
        </w:rPr>
        <w:t>provoking a ‘damaging reaction’</w:t>
      </w:r>
      <w:r w:rsidR="00DC13E9">
        <w:rPr>
          <w:rStyle w:val="FootnoteReference"/>
          <w:rFonts w:ascii="Times New Roman" w:eastAsiaTheme="majorEastAsia" w:hAnsi="Times New Roman" w:cs="Times New Roman"/>
          <w:sz w:val="24"/>
          <w:szCs w:val="24"/>
        </w:rPr>
        <w:footnoteReference w:id="14"/>
      </w:r>
      <w:r w:rsidR="00825063" w:rsidRPr="005D5256">
        <w:rPr>
          <w:rFonts w:ascii="Times New Roman" w:eastAsiaTheme="majorEastAsia" w:hAnsi="Times New Roman" w:cs="Times New Roman"/>
          <w:sz w:val="24"/>
          <w:szCs w:val="24"/>
        </w:rPr>
        <w:t xml:space="preserve"> </w:t>
      </w:r>
      <w:r w:rsidR="00D574D8" w:rsidRPr="005D5256">
        <w:rPr>
          <w:rFonts w:ascii="Times New Roman" w:eastAsiaTheme="majorEastAsia" w:hAnsi="Times New Roman" w:cs="Times New Roman"/>
          <w:sz w:val="24"/>
          <w:szCs w:val="24"/>
        </w:rPr>
        <w:t xml:space="preserve">(Mackay) </w:t>
      </w:r>
      <w:r w:rsidR="00825063" w:rsidRPr="005D5256">
        <w:rPr>
          <w:rFonts w:ascii="Times New Roman" w:eastAsiaTheme="majorEastAsia" w:hAnsi="Times New Roman" w:cs="Times New Roman"/>
          <w:sz w:val="24"/>
          <w:szCs w:val="24"/>
        </w:rPr>
        <w:t>from the States</w:t>
      </w:r>
      <w:r w:rsidR="00E11C53">
        <w:rPr>
          <w:rFonts w:ascii="Times New Roman" w:eastAsiaTheme="majorEastAsia" w:hAnsi="Times New Roman" w:cs="Times New Roman"/>
          <w:sz w:val="24"/>
          <w:szCs w:val="24"/>
        </w:rPr>
        <w:t>, who might reasonably protest that the Court has (illegitima</w:t>
      </w:r>
      <w:r w:rsidR="00F24BCB">
        <w:rPr>
          <w:rFonts w:ascii="Times New Roman" w:eastAsiaTheme="majorEastAsia" w:hAnsi="Times New Roman" w:cs="Times New Roman"/>
          <w:sz w:val="24"/>
          <w:szCs w:val="24"/>
        </w:rPr>
        <w:t>tely</w:t>
      </w:r>
      <w:r w:rsidR="00E11C53">
        <w:rPr>
          <w:rFonts w:ascii="Times New Roman" w:eastAsiaTheme="majorEastAsia" w:hAnsi="Times New Roman" w:cs="Times New Roman"/>
          <w:sz w:val="24"/>
          <w:szCs w:val="24"/>
        </w:rPr>
        <w:t>) absorbed too much power, in relation to matters</w:t>
      </w:r>
      <w:r w:rsidR="00D62321">
        <w:rPr>
          <w:rFonts w:ascii="Times New Roman" w:eastAsiaTheme="majorEastAsia" w:hAnsi="Times New Roman" w:cs="Times New Roman"/>
          <w:sz w:val="24"/>
          <w:szCs w:val="24"/>
        </w:rPr>
        <w:t xml:space="preserve"> not properly within its scope.</w:t>
      </w:r>
      <w:r w:rsidR="00825063" w:rsidRPr="005D5256">
        <w:rPr>
          <w:rFonts w:ascii="Times New Roman" w:eastAsiaTheme="majorEastAsia" w:hAnsi="Times New Roman" w:cs="Times New Roman"/>
          <w:sz w:val="24"/>
          <w:szCs w:val="24"/>
        </w:rPr>
        <w:t xml:space="preserve"> </w:t>
      </w:r>
      <w:r w:rsidR="00FD1339" w:rsidRPr="005D5256">
        <w:rPr>
          <w:rFonts w:ascii="Times New Roman" w:eastAsiaTheme="majorEastAsia" w:hAnsi="Times New Roman" w:cs="Times New Roman"/>
          <w:sz w:val="24"/>
          <w:szCs w:val="24"/>
        </w:rPr>
        <w:t xml:space="preserve">And </w:t>
      </w:r>
      <w:r w:rsidR="00E11C53">
        <w:rPr>
          <w:rFonts w:ascii="Times New Roman" w:eastAsiaTheme="majorEastAsia" w:hAnsi="Times New Roman" w:cs="Times New Roman"/>
          <w:sz w:val="24"/>
          <w:szCs w:val="24"/>
        </w:rPr>
        <w:t>could</w:t>
      </w:r>
      <w:r w:rsidR="00E11C53" w:rsidRPr="005D5256">
        <w:rPr>
          <w:rFonts w:ascii="Times New Roman" w:eastAsiaTheme="majorEastAsia" w:hAnsi="Times New Roman" w:cs="Times New Roman"/>
          <w:sz w:val="24"/>
          <w:szCs w:val="24"/>
        </w:rPr>
        <w:t xml:space="preserve"> </w:t>
      </w:r>
      <w:r w:rsidR="00FD1339" w:rsidRPr="005D5256">
        <w:rPr>
          <w:rFonts w:ascii="Times New Roman" w:eastAsiaTheme="majorEastAsia" w:hAnsi="Times New Roman" w:cs="Times New Roman"/>
          <w:sz w:val="24"/>
          <w:szCs w:val="24"/>
        </w:rPr>
        <w:t xml:space="preserve">these considerations apply even more in an era when many States have incorporated Convention rights into the fabric of </w:t>
      </w:r>
      <w:r w:rsidR="001716FB" w:rsidRPr="005D5256">
        <w:rPr>
          <w:rFonts w:ascii="Times New Roman" w:eastAsiaTheme="majorEastAsia" w:hAnsi="Times New Roman" w:cs="Times New Roman"/>
          <w:sz w:val="24"/>
          <w:szCs w:val="24"/>
        </w:rPr>
        <w:t xml:space="preserve">their </w:t>
      </w:r>
      <w:r w:rsidR="00FD1339" w:rsidRPr="005D5256">
        <w:rPr>
          <w:rFonts w:ascii="Times New Roman" w:eastAsiaTheme="majorEastAsia" w:hAnsi="Times New Roman" w:cs="Times New Roman"/>
          <w:sz w:val="24"/>
          <w:szCs w:val="24"/>
        </w:rPr>
        <w:t>domestic law?</w:t>
      </w:r>
    </w:p>
    <w:p w14:paraId="759F70B6" w14:textId="77777777" w:rsidR="00E23BD4" w:rsidRPr="005D5256" w:rsidRDefault="004A4049" w:rsidP="005D5256">
      <w:pPr>
        <w:spacing w:line="480" w:lineRule="auto"/>
        <w:jc w:val="both"/>
        <w:rPr>
          <w:rFonts w:ascii="Times New Roman" w:eastAsiaTheme="majorEastAsia" w:hAnsi="Times New Roman" w:cs="Times New Roman"/>
          <w:sz w:val="24"/>
          <w:szCs w:val="24"/>
        </w:rPr>
      </w:pPr>
      <w:r w:rsidRPr="005D5256">
        <w:rPr>
          <w:rFonts w:ascii="Times New Roman" w:eastAsiaTheme="majorEastAsia" w:hAnsi="Times New Roman" w:cs="Times New Roman"/>
          <w:sz w:val="24"/>
          <w:szCs w:val="24"/>
        </w:rPr>
        <w:t>If so</w:t>
      </w:r>
      <w:r w:rsidR="00703B94" w:rsidRPr="005D5256">
        <w:rPr>
          <w:rFonts w:ascii="Times New Roman" w:eastAsiaTheme="majorEastAsia" w:hAnsi="Times New Roman" w:cs="Times New Roman"/>
          <w:sz w:val="24"/>
          <w:szCs w:val="24"/>
        </w:rPr>
        <w:t xml:space="preserve">, a </w:t>
      </w:r>
      <w:r w:rsidR="00FD1339" w:rsidRPr="005D5256">
        <w:rPr>
          <w:rFonts w:ascii="Times New Roman" w:eastAsiaTheme="majorEastAsia" w:hAnsi="Times New Roman" w:cs="Times New Roman"/>
          <w:sz w:val="24"/>
          <w:szCs w:val="24"/>
        </w:rPr>
        <w:t>gentle</w:t>
      </w:r>
      <w:r w:rsidR="00E7104D" w:rsidRPr="005D5256">
        <w:rPr>
          <w:rFonts w:ascii="Times New Roman" w:eastAsiaTheme="majorEastAsia" w:hAnsi="Times New Roman" w:cs="Times New Roman"/>
          <w:sz w:val="24"/>
          <w:szCs w:val="24"/>
        </w:rPr>
        <w:t>, qualified</w:t>
      </w:r>
      <w:r w:rsidR="00FD1339" w:rsidRPr="005D5256">
        <w:rPr>
          <w:rFonts w:ascii="Times New Roman" w:eastAsiaTheme="majorEastAsia" w:hAnsi="Times New Roman" w:cs="Times New Roman"/>
          <w:sz w:val="24"/>
          <w:szCs w:val="24"/>
        </w:rPr>
        <w:t xml:space="preserve"> </w:t>
      </w:r>
      <w:r w:rsidR="00703B94" w:rsidRPr="005D5256">
        <w:rPr>
          <w:rFonts w:ascii="Times New Roman" w:eastAsiaTheme="majorEastAsia" w:hAnsi="Times New Roman" w:cs="Times New Roman"/>
          <w:sz w:val="24"/>
          <w:szCs w:val="24"/>
        </w:rPr>
        <w:t xml:space="preserve">reminder that there should be limits to Strasbourg’s integrationist role may be appropriate. </w:t>
      </w:r>
      <w:r w:rsidR="00E23BD4" w:rsidRPr="005D5256">
        <w:rPr>
          <w:rFonts w:ascii="Times New Roman" w:eastAsiaTheme="majorEastAsia" w:hAnsi="Times New Roman" w:cs="Times New Roman"/>
          <w:sz w:val="24"/>
          <w:szCs w:val="24"/>
        </w:rPr>
        <w:t xml:space="preserve">It </w:t>
      </w:r>
      <w:r w:rsidR="00376F70" w:rsidRPr="005D5256">
        <w:rPr>
          <w:rFonts w:ascii="Times New Roman" w:eastAsiaTheme="majorEastAsia" w:hAnsi="Times New Roman" w:cs="Times New Roman"/>
          <w:sz w:val="24"/>
          <w:szCs w:val="24"/>
        </w:rPr>
        <w:t xml:space="preserve">may encourage </w:t>
      </w:r>
      <w:r w:rsidR="00E7104D" w:rsidRPr="005D5256">
        <w:rPr>
          <w:rFonts w:ascii="Times New Roman" w:eastAsiaTheme="majorEastAsia" w:hAnsi="Times New Roman" w:cs="Times New Roman"/>
          <w:sz w:val="24"/>
          <w:szCs w:val="24"/>
        </w:rPr>
        <w:t xml:space="preserve">the </w:t>
      </w:r>
      <w:r w:rsidR="00303393" w:rsidRPr="005D5256">
        <w:rPr>
          <w:rFonts w:ascii="Times New Roman" w:eastAsiaTheme="majorEastAsia" w:hAnsi="Times New Roman" w:cs="Times New Roman"/>
          <w:sz w:val="24"/>
          <w:szCs w:val="24"/>
        </w:rPr>
        <w:t>‘self-questioning’ Mahoney calls for</w:t>
      </w:r>
      <w:r w:rsidR="00376F70" w:rsidRPr="005D5256">
        <w:rPr>
          <w:rFonts w:ascii="Times New Roman" w:eastAsiaTheme="majorEastAsia" w:hAnsi="Times New Roman" w:cs="Times New Roman"/>
          <w:sz w:val="24"/>
          <w:szCs w:val="24"/>
        </w:rPr>
        <w:t xml:space="preserve">, </w:t>
      </w:r>
      <w:r w:rsidR="00E23BD4" w:rsidRPr="005D5256">
        <w:rPr>
          <w:rFonts w:ascii="Times New Roman" w:eastAsiaTheme="majorEastAsia" w:hAnsi="Times New Roman" w:cs="Times New Roman"/>
          <w:sz w:val="24"/>
          <w:szCs w:val="24"/>
        </w:rPr>
        <w:t>plac</w:t>
      </w:r>
      <w:r w:rsidR="00376F70" w:rsidRPr="005D5256">
        <w:rPr>
          <w:rFonts w:ascii="Times New Roman" w:eastAsiaTheme="majorEastAsia" w:hAnsi="Times New Roman" w:cs="Times New Roman"/>
          <w:sz w:val="24"/>
          <w:szCs w:val="24"/>
        </w:rPr>
        <w:t>ing</w:t>
      </w:r>
      <w:r w:rsidR="00E23BD4" w:rsidRPr="005D5256">
        <w:rPr>
          <w:rFonts w:ascii="Times New Roman" w:eastAsiaTheme="majorEastAsia" w:hAnsi="Times New Roman" w:cs="Times New Roman"/>
          <w:sz w:val="24"/>
          <w:szCs w:val="24"/>
        </w:rPr>
        <w:t xml:space="preserve"> the onus on </w:t>
      </w:r>
      <w:r w:rsidR="00376F70" w:rsidRPr="005D5256">
        <w:rPr>
          <w:rFonts w:ascii="Times New Roman" w:eastAsiaTheme="majorEastAsia" w:hAnsi="Times New Roman" w:cs="Times New Roman"/>
          <w:sz w:val="24"/>
          <w:szCs w:val="24"/>
        </w:rPr>
        <w:t>Strasbourg</w:t>
      </w:r>
      <w:r w:rsidR="00E23BD4" w:rsidRPr="005D5256">
        <w:rPr>
          <w:rFonts w:ascii="Times New Roman" w:eastAsiaTheme="majorEastAsia" w:hAnsi="Times New Roman" w:cs="Times New Roman"/>
          <w:sz w:val="24"/>
          <w:szCs w:val="24"/>
        </w:rPr>
        <w:t xml:space="preserve"> to ask why the </w:t>
      </w:r>
      <w:r w:rsidR="00FD1339" w:rsidRPr="005D5256">
        <w:rPr>
          <w:rFonts w:ascii="Times New Roman" w:eastAsiaTheme="majorEastAsia" w:hAnsi="Times New Roman" w:cs="Times New Roman"/>
          <w:sz w:val="24"/>
          <w:szCs w:val="24"/>
        </w:rPr>
        <w:t xml:space="preserve">Protocol 15 </w:t>
      </w:r>
      <w:r w:rsidR="00E23BD4" w:rsidRPr="005D5256">
        <w:rPr>
          <w:rFonts w:ascii="Times New Roman" w:eastAsiaTheme="majorEastAsia" w:hAnsi="Times New Roman" w:cs="Times New Roman"/>
          <w:sz w:val="24"/>
          <w:szCs w:val="24"/>
        </w:rPr>
        <w:t xml:space="preserve">subsidiarity-orientated vision of human rights protection referred to above is incompatible with the Convention, </w:t>
      </w:r>
      <w:r w:rsidR="00E23BD4" w:rsidRPr="005D5256">
        <w:rPr>
          <w:rFonts w:ascii="Times New Roman" w:eastAsiaTheme="majorEastAsia" w:hAnsi="Times New Roman" w:cs="Times New Roman"/>
          <w:i/>
          <w:sz w:val="24"/>
          <w:szCs w:val="24"/>
        </w:rPr>
        <w:t>if</w:t>
      </w:r>
      <w:r w:rsidR="00E23BD4" w:rsidRPr="005D5256">
        <w:rPr>
          <w:rFonts w:ascii="Times New Roman" w:eastAsiaTheme="majorEastAsia" w:hAnsi="Times New Roman" w:cs="Times New Roman"/>
          <w:sz w:val="24"/>
          <w:szCs w:val="24"/>
        </w:rPr>
        <w:t xml:space="preserve"> the States are faithfully implementing Convention rights (and noting Article 53 of the Convention). </w:t>
      </w:r>
    </w:p>
    <w:p w14:paraId="00B3F041" w14:textId="29CB3B28" w:rsidR="00F01A71" w:rsidRPr="005D5256" w:rsidRDefault="007A173B" w:rsidP="005D5256">
      <w:pPr>
        <w:spacing w:line="480" w:lineRule="auto"/>
        <w:jc w:val="both"/>
        <w:rPr>
          <w:rFonts w:ascii="Times New Roman" w:eastAsiaTheme="majorEastAsia" w:hAnsi="Times New Roman" w:cs="Times New Roman"/>
          <w:sz w:val="24"/>
          <w:szCs w:val="24"/>
        </w:rPr>
      </w:pPr>
      <w:r w:rsidRPr="005D5256">
        <w:rPr>
          <w:rFonts w:ascii="Times New Roman" w:eastAsiaTheme="majorEastAsia" w:hAnsi="Times New Roman" w:cs="Times New Roman"/>
          <w:sz w:val="24"/>
          <w:szCs w:val="24"/>
        </w:rPr>
        <w:t>Would</w:t>
      </w:r>
      <w:r w:rsidR="0070077A">
        <w:rPr>
          <w:rFonts w:ascii="Times New Roman" w:eastAsiaTheme="majorEastAsia" w:hAnsi="Times New Roman" w:cs="Times New Roman"/>
          <w:sz w:val="24"/>
          <w:szCs w:val="24"/>
        </w:rPr>
        <w:t xml:space="preserve"> </w:t>
      </w:r>
      <w:r w:rsidR="00F01A71" w:rsidRPr="005D5256">
        <w:rPr>
          <w:rFonts w:ascii="Times New Roman" w:eastAsiaTheme="majorEastAsia" w:hAnsi="Times New Roman" w:cs="Times New Roman"/>
          <w:sz w:val="24"/>
          <w:szCs w:val="24"/>
        </w:rPr>
        <w:t xml:space="preserve">such a reminder interfere with Strasbourg’s independence? </w:t>
      </w:r>
      <w:r w:rsidR="00536723">
        <w:rPr>
          <w:rFonts w:ascii="Times New Roman" w:eastAsiaTheme="majorEastAsia" w:hAnsi="Times New Roman" w:cs="Times New Roman"/>
          <w:sz w:val="24"/>
          <w:szCs w:val="24"/>
        </w:rPr>
        <w:t>Perhaps that depends on how one perceives the Court in the first place.</w:t>
      </w:r>
    </w:p>
    <w:p w14:paraId="1214A417" w14:textId="236BD0FE" w:rsidR="00376F70" w:rsidRDefault="00E23BD4" w:rsidP="005D5256">
      <w:pPr>
        <w:spacing w:line="480" w:lineRule="auto"/>
        <w:jc w:val="both"/>
        <w:rPr>
          <w:rFonts w:ascii="Times New Roman" w:eastAsiaTheme="majorEastAsia" w:hAnsi="Times New Roman" w:cs="Times New Roman"/>
          <w:sz w:val="24"/>
          <w:szCs w:val="24"/>
        </w:rPr>
      </w:pPr>
      <w:r w:rsidRPr="005D5256">
        <w:rPr>
          <w:rFonts w:ascii="Times New Roman" w:eastAsiaTheme="majorEastAsia" w:hAnsi="Times New Roman" w:cs="Times New Roman"/>
          <w:sz w:val="24"/>
          <w:szCs w:val="24"/>
        </w:rPr>
        <w:t xml:space="preserve">Those </w:t>
      </w:r>
      <w:r w:rsidR="002A1372" w:rsidRPr="005D5256">
        <w:rPr>
          <w:rFonts w:ascii="Times New Roman" w:eastAsiaTheme="majorEastAsia" w:hAnsi="Times New Roman" w:cs="Times New Roman"/>
          <w:sz w:val="24"/>
          <w:szCs w:val="24"/>
        </w:rPr>
        <w:t xml:space="preserve">who advocate a grander role for Strasbourg </w:t>
      </w:r>
      <w:r w:rsidR="00536723">
        <w:rPr>
          <w:rFonts w:ascii="Times New Roman" w:eastAsiaTheme="majorEastAsia" w:hAnsi="Times New Roman" w:cs="Times New Roman"/>
          <w:sz w:val="24"/>
          <w:szCs w:val="24"/>
        </w:rPr>
        <w:t xml:space="preserve">– perhaps as a type of ‘Conscience of Europe’ - </w:t>
      </w:r>
      <w:r w:rsidR="002A1372" w:rsidRPr="005D5256">
        <w:rPr>
          <w:rFonts w:ascii="Times New Roman" w:eastAsiaTheme="majorEastAsia" w:hAnsi="Times New Roman" w:cs="Times New Roman"/>
          <w:sz w:val="24"/>
          <w:szCs w:val="24"/>
        </w:rPr>
        <w:t xml:space="preserve">may insist </w:t>
      </w:r>
      <w:r w:rsidR="00536723">
        <w:rPr>
          <w:rFonts w:ascii="Times New Roman" w:eastAsiaTheme="majorEastAsia" w:hAnsi="Times New Roman" w:cs="Times New Roman"/>
          <w:sz w:val="24"/>
          <w:szCs w:val="24"/>
        </w:rPr>
        <w:t>the reminder in issue is an interference with the Court’s independence</w:t>
      </w:r>
      <w:r w:rsidR="002A1372" w:rsidRPr="005D5256">
        <w:rPr>
          <w:rFonts w:ascii="Times New Roman" w:eastAsiaTheme="majorEastAsia" w:hAnsi="Times New Roman" w:cs="Times New Roman"/>
          <w:sz w:val="24"/>
          <w:szCs w:val="24"/>
        </w:rPr>
        <w:t xml:space="preserve">. </w:t>
      </w:r>
      <w:r w:rsidR="007A173B" w:rsidRPr="005D5256">
        <w:rPr>
          <w:rFonts w:ascii="Times New Roman" w:eastAsiaTheme="majorEastAsia" w:hAnsi="Times New Roman" w:cs="Times New Roman"/>
          <w:sz w:val="24"/>
          <w:szCs w:val="24"/>
        </w:rPr>
        <w:t xml:space="preserve">If so, I respectfully </w:t>
      </w:r>
      <w:r w:rsidRPr="005D5256">
        <w:rPr>
          <w:rFonts w:ascii="Times New Roman" w:eastAsiaTheme="majorEastAsia" w:hAnsi="Times New Roman" w:cs="Times New Roman"/>
          <w:sz w:val="24"/>
          <w:szCs w:val="24"/>
        </w:rPr>
        <w:t xml:space="preserve">suggest they </w:t>
      </w:r>
      <w:r w:rsidR="007A173B" w:rsidRPr="005D5256">
        <w:rPr>
          <w:rFonts w:ascii="Times New Roman" w:eastAsiaTheme="majorEastAsia" w:hAnsi="Times New Roman" w:cs="Times New Roman"/>
          <w:sz w:val="24"/>
          <w:szCs w:val="24"/>
        </w:rPr>
        <w:t xml:space="preserve">should </w:t>
      </w:r>
      <w:r w:rsidR="00E11C53">
        <w:rPr>
          <w:rFonts w:ascii="Times New Roman" w:eastAsiaTheme="majorEastAsia" w:hAnsi="Times New Roman" w:cs="Times New Roman"/>
          <w:sz w:val="24"/>
          <w:szCs w:val="24"/>
        </w:rPr>
        <w:t xml:space="preserve">not only properly articulate and </w:t>
      </w:r>
      <w:r w:rsidR="007A173B" w:rsidRPr="005D5256">
        <w:rPr>
          <w:rFonts w:ascii="Times New Roman" w:eastAsiaTheme="majorEastAsia" w:hAnsi="Times New Roman" w:cs="Times New Roman"/>
          <w:sz w:val="24"/>
          <w:szCs w:val="24"/>
        </w:rPr>
        <w:t xml:space="preserve">justify </w:t>
      </w:r>
      <w:r w:rsidR="00FD1339" w:rsidRPr="005D5256">
        <w:rPr>
          <w:rFonts w:ascii="Times New Roman" w:eastAsiaTheme="majorEastAsia" w:hAnsi="Times New Roman" w:cs="Times New Roman"/>
          <w:sz w:val="24"/>
          <w:szCs w:val="24"/>
        </w:rPr>
        <w:t>the basis for that grander role</w:t>
      </w:r>
      <w:r w:rsidR="005A7BAE">
        <w:rPr>
          <w:rFonts w:ascii="Times New Roman" w:eastAsiaTheme="majorEastAsia" w:hAnsi="Times New Roman" w:cs="Times New Roman"/>
          <w:sz w:val="24"/>
          <w:szCs w:val="24"/>
        </w:rPr>
        <w:t xml:space="preserve"> through an analysis of what the </w:t>
      </w:r>
      <w:r w:rsidR="00536723">
        <w:rPr>
          <w:rFonts w:ascii="Times New Roman" w:eastAsiaTheme="majorEastAsia" w:hAnsi="Times New Roman" w:cs="Times New Roman"/>
          <w:sz w:val="24"/>
          <w:szCs w:val="24"/>
        </w:rPr>
        <w:t>Convention</w:t>
      </w:r>
      <w:r w:rsidR="005A7BAE">
        <w:rPr>
          <w:rFonts w:ascii="Times New Roman" w:eastAsiaTheme="majorEastAsia" w:hAnsi="Times New Roman" w:cs="Times New Roman"/>
          <w:sz w:val="24"/>
          <w:szCs w:val="24"/>
        </w:rPr>
        <w:t xml:space="preserve"> is</w:t>
      </w:r>
      <w:r w:rsidR="00D62321">
        <w:rPr>
          <w:rFonts w:ascii="Times New Roman" w:eastAsiaTheme="majorEastAsia" w:hAnsi="Times New Roman" w:cs="Times New Roman"/>
          <w:sz w:val="24"/>
          <w:szCs w:val="24"/>
        </w:rPr>
        <w:t xml:space="preserve"> (rather than what they would like it to be)</w:t>
      </w:r>
      <w:r w:rsidR="00FD1339" w:rsidRPr="005D5256">
        <w:rPr>
          <w:rFonts w:ascii="Times New Roman" w:eastAsiaTheme="majorEastAsia" w:hAnsi="Times New Roman" w:cs="Times New Roman"/>
          <w:sz w:val="24"/>
          <w:szCs w:val="24"/>
        </w:rPr>
        <w:t xml:space="preserve">, </w:t>
      </w:r>
      <w:r w:rsidR="00E11C53">
        <w:rPr>
          <w:rFonts w:ascii="Times New Roman" w:eastAsiaTheme="majorEastAsia" w:hAnsi="Times New Roman" w:cs="Times New Roman"/>
          <w:i/>
          <w:sz w:val="24"/>
          <w:szCs w:val="24"/>
        </w:rPr>
        <w:t xml:space="preserve"> but also</w:t>
      </w:r>
      <w:r w:rsidR="00E11C53" w:rsidRPr="005D5256">
        <w:rPr>
          <w:rFonts w:ascii="Times New Roman" w:eastAsiaTheme="majorEastAsia" w:hAnsi="Times New Roman" w:cs="Times New Roman"/>
          <w:sz w:val="24"/>
          <w:szCs w:val="24"/>
        </w:rPr>
        <w:t xml:space="preserve"> </w:t>
      </w:r>
      <w:r w:rsidR="00FD1339" w:rsidRPr="005D5256">
        <w:rPr>
          <w:rFonts w:ascii="Times New Roman" w:eastAsiaTheme="majorEastAsia" w:hAnsi="Times New Roman" w:cs="Times New Roman"/>
          <w:sz w:val="24"/>
          <w:szCs w:val="24"/>
        </w:rPr>
        <w:t xml:space="preserve">how </w:t>
      </w:r>
      <w:r w:rsidR="001716FB" w:rsidRPr="005D5256">
        <w:rPr>
          <w:rFonts w:ascii="Times New Roman" w:eastAsiaTheme="majorEastAsia" w:hAnsi="Times New Roman" w:cs="Times New Roman"/>
          <w:sz w:val="24"/>
          <w:szCs w:val="24"/>
        </w:rPr>
        <w:t xml:space="preserve">the States have clearly endorsed </w:t>
      </w:r>
      <w:r w:rsidR="005A7BAE">
        <w:rPr>
          <w:rFonts w:ascii="Times New Roman" w:eastAsiaTheme="majorEastAsia" w:hAnsi="Times New Roman" w:cs="Times New Roman"/>
          <w:sz w:val="24"/>
          <w:szCs w:val="24"/>
        </w:rPr>
        <w:t>this vision of the Convention</w:t>
      </w:r>
      <w:r w:rsidR="00FD1339" w:rsidRPr="005D5256">
        <w:rPr>
          <w:rFonts w:ascii="Times New Roman" w:eastAsiaTheme="majorEastAsia" w:hAnsi="Times New Roman" w:cs="Times New Roman"/>
          <w:sz w:val="24"/>
          <w:szCs w:val="24"/>
        </w:rPr>
        <w:t xml:space="preserve">, </w:t>
      </w:r>
      <w:r w:rsidR="002A1372" w:rsidRPr="005D5256">
        <w:rPr>
          <w:rFonts w:ascii="Times New Roman" w:eastAsiaTheme="majorEastAsia" w:hAnsi="Times New Roman" w:cs="Times New Roman"/>
          <w:sz w:val="24"/>
          <w:szCs w:val="24"/>
        </w:rPr>
        <w:t>and so</w:t>
      </w:r>
      <w:r w:rsidR="00FD1339" w:rsidRPr="005D5256">
        <w:rPr>
          <w:rFonts w:ascii="Times New Roman" w:eastAsiaTheme="majorEastAsia" w:hAnsi="Times New Roman" w:cs="Times New Roman"/>
          <w:sz w:val="24"/>
          <w:szCs w:val="24"/>
        </w:rPr>
        <w:t xml:space="preserve"> </w:t>
      </w:r>
      <w:r w:rsidR="005A7BAE">
        <w:rPr>
          <w:rFonts w:ascii="Times New Roman" w:eastAsiaTheme="majorEastAsia" w:hAnsi="Times New Roman" w:cs="Times New Roman"/>
          <w:sz w:val="24"/>
          <w:szCs w:val="24"/>
        </w:rPr>
        <w:t xml:space="preserve">how in that regard </w:t>
      </w:r>
      <w:r w:rsidR="001716FB" w:rsidRPr="005D5256">
        <w:rPr>
          <w:rFonts w:ascii="Times New Roman" w:eastAsiaTheme="majorEastAsia" w:hAnsi="Times New Roman" w:cs="Times New Roman"/>
          <w:sz w:val="24"/>
          <w:szCs w:val="24"/>
        </w:rPr>
        <w:t>Strasbourg’s</w:t>
      </w:r>
      <w:r w:rsidR="00FD1339" w:rsidRPr="005D5256">
        <w:rPr>
          <w:rFonts w:ascii="Times New Roman" w:eastAsiaTheme="majorEastAsia" w:hAnsi="Times New Roman" w:cs="Times New Roman"/>
          <w:sz w:val="24"/>
          <w:szCs w:val="24"/>
        </w:rPr>
        <w:t xml:space="preserve"> independence </w:t>
      </w:r>
      <w:r w:rsidR="005A7BAE">
        <w:rPr>
          <w:rFonts w:ascii="Times New Roman" w:eastAsiaTheme="majorEastAsia" w:hAnsi="Times New Roman" w:cs="Times New Roman"/>
          <w:sz w:val="24"/>
          <w:szCs w:val="24"/>
        </w:rPr>
        <w:t>should be protected</w:t>
      </w:r>
      <w:r w:rsidR="009C7789" w:rsidRPr="005D5256">
        <w:rPr>
          <w:rFonts w:ascii="Times New Roman" w:eastAsiaTheme="majorEastAsia" w:hAnsi="Times New Roman" w:cs="Times New Roman"/>
          <w:sz w:val="24"/>
          <w:szCs w:val="24"/>
        </w:rPr>
        <w:t xml:space="preserve">. </w:t>
      </w:r>
      <w:r w:rsidR="0070077A">
        <w:rPr>
          <w:rFonts w:ascii="Times New Roman" w:eastAsiaTheme="majorEastAsia" w:hAnsi="Times New Roman" w:cs="Times New Roman"/>
          <w:sz w:val="24"/>
          <w:szCs w:val="24"/>
        </w:rPr>
        <w:t>I do not doubt that some strong points may be made here. That said, k</w:t>
      </w:r>
      <w:r w:rsidR="009C7789" w:rsidRPr="005D5256">
        <w:rPr>
          <w:rFonts w:ascii="Times New Roman" w:eastAsiaTheme="majorEastAsia" w:hAnsi="Times New Roman" w:cs="Times New Roman"/>
          <w:sz w:val="24"/>
          <w:szCs w:val="24"/>
        </w:rPr>
        <w:t xml:space="preserve">eeping in mind the factors identified in </w:t>
      </w:r>
      <w:r w:rsidR="001716FB" w:rsidRPr="005D5256">
        <w:rPr>
          <w:rFonts w:ascii="Times New Roman" w:eastAsiaTheme="majorEastAsia" w:hAnsi="Times New Roman" w:cs="Times New Roman"/>
          <w:sz w:val="24"/>
          <w:szCs w:val="24"/>
        </w:rPr>
        <w:t xml:space="preserve">the </w:t>
      </w:r>
      <w:r w:rsidR="009C7789" w:rsidRPr="005D5256">
        <w:rPr>
          <w:rFonts w:ascii="Times New Roman" w:eastAsiaTheme="majorEastAsia" w:hAnsi="Times New Roman" w:cs="Times New Roman"/>
          <w:sz w:val="24"/>
          <w:szCs w:val="24"/>
        </w:rPr>
        <w:t xml:space="preserve">sections </w:t>
      </w:r>
      <w:r w:rsidR="001716FB" w:rsidRPr="005D5256">
        <w:rPr>
          <w:rFonts w:ascii="Times New Roman" w:eastAsiaTheme="majorEastAsia" w:hAnsi="Times New Roman" w:cs="Times New Roman"/>
          <w:sz w:val="24"/>
          <w:szCs w:val="24"/>
        </w:rPr>
        <w:t>above</w:t>
      </w:r>
      <w:r w:rsidR="009C7789" w:rsidRPr="005D5256">
        <w:rPr>
          <w:rFonts w:ascii="Times New Roman" w:eastAsiaTheme="majorEastAsia" w:hAnsi="Times New Roman" w:cs="Times New Roman"/>
          <w:sz w:val="24"/>
          <w:szCs w:val="24"/>
        </w:rPr>
        <w:t xml:space="preserve">, </w:t>
      </w:r>
      <w:r w:rsidR="00D62321">
        <w:rPr>
          <w:rFonts w:ascii="Times New Roman" w:eastAsiaTheme="majorEastAsia" w:hAnsi="Times New Roman" w:cs="Times New Roman"/>
          <w:sz w:val="24"/>
          <w:szCs w:val="24"/>
        </w:rPr>
        <w:lastRenderedPageBreak/>
        <w:t>advocates of a grander role for Strasbourg should</w:t>
      </w:r>
      <w:r w:rsidR="00D62321" w:rsidRPr="005D5256">
        <w:rPr>
          <w:rFonts w:ascii="Times New Roman" w:eastAsiaTheme="majorEastAsia" w:hAnsi="Times New Roman" w:cs="Times New Roman"/>
          <w:sz w:val="24"/>
          <w:szCs w:val="24"/>
        </w:rPr>
        <w:t xml:space="preserve"> </w:t>
      </w:r>
      <w:r w:rsidR="009C7789" w:rsidRPr="005D5256">
        <w:rPr>
          <w:rFonts w:ascii="Times New Roman" w:eastAsiaTheme="majorEastAsia" w:hAnsi="Times New Roman" w:cs="Times New Roman"/>
          <w:sz w:val="24"/>
          <w:szCs w:val="24"/>
        </w:rPr>
        <w:t>a</w:t>
      </w:r>
      <w:r w:rsidRPr="005D5256">
        <w:rPr>
          <w:rFonts w:ascii="Times New Roman" w:eastAsiaTheme="majorEastAsia" w:hAnsi="Times New Roman" w:cs="Times New Roman"/>
          <w:sz w:val="24"/>
          <w:szCs w:val="24"/>
        </w:rPr>
        <w:t>void the ‘intolerance’ Mahoney refers to</w:t>
      </w:r>
      <w:r w:rsidR="00FD1339" w:rsidRPr="005D5256">
        <w:rPr>
          <w:rFonts w:ascii="Times New Roman" w:eastAsiaTheme="majorEastAsia" w:hAnsi="Times New Roman" w:cs="Times New Roman"/>
          <w:sz w:val="24"/>
          <w:szCs w:val="24"/>
        </w:rPr>
        <w:t xml:space="preserve">, </w:t>
      </w:r>
      <w:r w:rsidR="00D62321">
        <w:rPr>
          <w:rFonts w:ascii="Times New Roman" w:eastAsiaTheme="majorEastAsia" w:hAnsi="Times New Roman" w:cs="Times New Roman"/>
          <w:sz w:val="24"/>
          <w:szCs w:val="24"/>
        </w:rPr>
        <w:t xml:space="preserve">by attempts to shut down the </w:t>
      </w:r>
      <w:r w:rsidR="007A173B" w:rsidRPr="005D5256">
        <w:rPr>
          <w:rFonts w:ascii="Times New Roman" w:eastAsiaTheme="majorEastAsia" w:hAnsi="Times New Roman" w:cs="Times New Roman"/>
          <w:sz w:val="24"/>
          <w:szCs w:val="24"/>
        </w:rPr>
        <w:t>debate</w:t>
      </w:r>
      <w:r w:rsidR="005A7BAE">
        <w:rPr>
          <w:rFonts w:ascii="Times New Roman" w:eastAsiaTheme="majorEastAsia" w:hAnsi="Times New Roman" w:cs="Times New Roman"/>
          <w:sz w:val="24"/>
          <w:szCs w:val="24"/>
        </w:rPr>
        <w:t>. In my experience, this occur</w:t>
      </w:r>
      <w:r w:rsidR="00993596">
        <w:rPr>
          <w:rFonts w:ascii="Times New Roman" w:eastAsiaTheme="majorEastAsia" w:hAnsi="Times New Roman" w:cs="Times New Roman"/>
          <w:sz w:val="24"/>
          <w:szCs w:val="24"/>
        </w:rPr>
        <w:t>s</w:t>
      </w:r>
      <w:r w:rsidR="005A7BAE">
        <w:rPr>
          <w:rFonts w:ascii="Times New Roman" w:eastAsiaTheme="majorEastAsia" w:hAnsi="Times New Roman" w:cs="Times New Roman"/>
          <w:sz w:val="24"/>
          <w:szCs w:val="24"/>
        </w:rPr>
        <w:t xml:space="preserve"> when </w:t>
      </w:r>
      <w:r w:rsidRPr="005D5256">
        <w:rPr>
          <w:rFonts w:ascii="Times New Roman" w:eastAsiaTheme="majorEastAsia" w:hAnsi="Times New Roman" w:cs="Times New Roman"/>
          <w:sz w:val="24"/>
          <w:szCs w:val="24"/>
        </w:rPr>
        <w:t xml:space="preserve">Article 46(1) </w:t>
      </w:r>
      <w:r w:rsidR="005A7BAE">
        <w:rPr>
          <w:rFonts w:ascii="Times New Roman" w:eastAsiaTheme="majorEastAsia" w:hAnsi="Times New Roman" w:cs="Times New Roman"/>
          <w:sz w:val="24"/>
          <w:szCs w:val="24"/>
        </w:rPr>
        <w:t xml:space="preserve">is cited </w:t>
      </w:r>
      <w:r w:rsidRPr="005D5256">
        <w:rPr>
          <w:rFonts w:ascii="Times New Roman" w:eastAsiaTheme="majorEastAsia" w:hAnsi="Times New Roman" w:cs="Times New Roman"/>
          <w:sz w:val="24"/>
          <w:szCs w:val="24"/>
        </w:rPr>
        <w:t xml:space="preserve">in an almost </w:t>
      </w:r>
      <w:r w:rsidRPr="005D5256">
        <w:rPr>
          <w:rFonts w:ascii="Times New Roman" w:eastAsiaTheme="majorEastAsia" w:hAnsi="Times New Roman" w:cs="Times New Roman"/>
          <w:i/>
          <w:sz w:val="24"/>
          <w:szCs w:val="24"/>
        </w:rPr>
        <w:t>caveat emptor</w:t>
      </w:r>
      <w:r w:rsidRPr="005D5256">
        <w:rPr>
          <w:rFonts w:ascii="Times New Roman" w:eastAsiaTheme="majorEastAsia" w:hAnsi="Times New Roman" w:cs="Times New Roman"/>
          <w:sz w:val="24"/>
          <w:szCs w:val="24"/>
        </w:rPr>
        <w:t xml:space="preserve"> way</w:t>
      </w:r>
      <w:r w:rsidR="005A7BAE">
        <w:rPr>
          <w:rFonts w:ascii="Times New Roman" w:eastAsiaTheme="majorEastAsia" w:hAnsi="Times New Roman" w:cs="Times New Roman"/>
          <w:sz w:val="24"/>
          <w:szCs w:val="24"/>
        </w:rPr>
        <w:t xml:space="preserve"> (the argument being, in effect, that the States handed the Court a blank cheque in terms of its remit </w:t>
      </w:r>
      <w:r w:rsidR="00993596">
        <w:rPr>
          <w:rFonts w:ascii="Times New Roman" w:eastAsiaTheme="majorEastAsia" w:hAnsi="Times New Roman" w:cs="Times New Roman"/>
          <w:sz w:val="24"/>
          <w:szCs w:val="24"/>
        </w:rPr>
        <w:t xml:space="preserve">in relation to national law, so must put up and shut up </w:t>
      </w:r>
      <w:r w:rsidR="005A7BAE">
        <w:rPr>
          <w:rFonts w:ascii="Times New Roman" w:eastAsiaTheme="majorEastAsia" w:hAnsi="Times New Roman" w:cs="Times New Roman"/>
          <w:sz w:val="24"/>
          <w:szCs w:val="24"/>
        </w:rPr>
        <w:t>– really?)</w:t>
      </w:r>
      <w:r w:rsidR="00536723">
        <w:rPr>
          <w:rFonts w:ascii="Times New Roman" w:eastAsiaTheme="majorEastAsia" w:hAnsi="Times New Roman" w:cs="Times New Roman"/>
          <w:sz w:val="24"/>
          <w:szCs w:val="24"/>
        </w:rPr>
        <w:t>.</w:t>
      </w:r>
      <w:r w:rsidRPr="005D5256">
        <w:rPr>
          <w:rStyle w:val="FootnoteReference"/>
          <w:rFonts w:ascii="Times New Roman" w:eastAsiaTheme="majorEastAsia" w:hAnsi="Times New Roman" w:cs="Times New Roman"/>
          <w:sz w:val="24"/>
          <w:szCs w:val="24"/>
        </w:rPr>
        <w:footnoteReference w:id="15"/>
      </w:r>
      <w:r w:rsidRPr="005D5256">
        <w:rPr>
          <w:rFonts w:ascii="Times New Roman" w:eastAsiaTheme="majorEastAsia" w:hAnsi="Times New Roman" w:cs="Times New Roman"/>
          <w:sz w:val="24"/>
          <w:szCs w:val="24"/>
        </w:rPr>
        <w:t xml:space="preserve"> </w:t>
      </w:r>
      <w:r w:rsidR="00536723">
        <w:rPr>
          <w:rFonts w:ascii="Times New Roman" w:eastAsiaTheme="majorEastAsia" w:hAnsi="Times New Roman" w:cs="Times New Roman"/>
          <w:sz w:val="24"/>
          <w:szCs w:val="24"/>
        </w:rPr>
        <w:t xml:space="preserve">Also familiar are </w:t>
      </w:r>
      <w:r w:rsidR="005A7BAE">
        <w:rPr>
          <w:rFonts w:ascii="Times New Roman" w:eastAsiaTheme="majorEastAsia" w:hAnsi="Times New Roman" w:cs="Times New Roman"/>
          <w:sz w:val="24"/>
          <w:szCs w:val="24"/>
        </w:rPr>
        <w:t xml:space="preserve">sweeping </w:t>
      </w:r>
      <w:r w:rsidRPr="005D5256">
        <w:rPr>
          <w:rFonts w:ascii="Times New Roman" w:eastAsiaTheme="majorEastAsia" w:hAnsi="Times New Roman" w:cs="Times New Roman"/>
          <w:sz w:val="24"/>
          <w:szCs w:val="24"/>
        </w:rPr>
        <w:t xml:space="preserve">claims that </w:t>
      </w:r>
      <w:r w:rsidR="005A7BAE" w:rsidRPr="005D5256">
        <w:rPr>
          <w:rFonts w:ascii="Times New Roman" w:eastAsiaTheme="majorEastAsia" w:hAnsi="Times New Roman" w:cs="Times New Roman"/>
          <w:sz w:val="24"/>
          <w:szCs w:val="24"/>
        </w:rPr>
        <w:t>the Convention</w:t>
      </w:r>
      <w:r w:rsidR="005A7BAE">
        <w:rPr>
          <w:rFonts w:ascii="Times New Roman" w:eastAsiaTheme="majorEastAsia" w:hAnsi="Times New Roman" w:cs="Times New Roman"/>
          <w:sz w:val="24"/>
          <w:szCs w:val="24"/>
        </w:rPr>
        <w:t>’s</w:t>
      </w:r>
      <w:r w:rsidR="005A7BAE" w:rsidRPr="005D5256">
        <w:rPr>
          <w:rFonts w:ascii="Times New Roman" w:eastAsiaTheme="majorEastAsia" w:hAnsi="Times New Roman" w:cs="Times New Roman"/>
          <w:sz w:val="24"/>
          <w:szCs w:val="24"/>
        </w:rPr>
        <w:t xml:space="preserve"> </w:t>
      </w:r>
      <w:r w:rsidR="005A7BAE">
        <w:rPr>
          <w:rFonts w:ascii="Times New Roman" w:eastAsiaTheme="majorEastAsia" w:hAnsi="Times New Roman" w:cs="Times New Roman"/>
          <w:sz w:val="24"/>
          <w:szCs w:val="24"/>
        </w:rPr>
        <w:t xml:space="preserve">status </w:t>
      </w:r>
      <w:r w:rsidR="005A7BAE" w:rsidRPr="005D5256">
        <w:rPr>
          <w:rFonts w:ascii="Times New Roman" w:eastAsiaTheme="majorEastAsia" w:hAnsi="Times New Roman" w:cs="Times New Roman"/>
          <w:sz w:val="24"/>
          <w:szCs w:val="24"/>
        </w:rPr>
        <w:t>as a ‘living instrument’</w:t>
      </w:r>
      <w:r w:rsidR="003A36E9">
        <w:rPr>
          <w:rStyle w:val="FootnoteReference"/>
          <w:rFonts w:ascii="Times New Roman" w:eastAsiaTheme="majorEastAsia" w:hAnsi="Times New Roman" w:cs="Times New Roman"/>
          <w:sz w:val="24"/>
          <w:szCs w:val="24"/>
        </w:rPr>
        <w:footnoteReference w:id="16"/>
      </w:r>
      <w:r w:rsidR="005A7BAE">
        <w:rPr>
          <w:rFonts w:ascii="Times New Roman" w:eastAsiaTheme="majorEastAsia" w:hAnsi="Times New Roman" w:cs="Times New Roman"/>
          <w:sz w:val="24"/>
          <w:szCs w:val="24"/>
        </w:rPr>
        <w:t xml:space="preserve"> </w:t>
      </w:r>
      <w:r w:rsidR="003A36E9">
        <w:rPr>
          <w:rFonts w:ascii="Times New Roman" w:eastAsiaTheme="majorEastAsia" w:hAnsi="Times New Roman" w:cs="Times New Roman"/>
          <w:sz w:val="24"/>
          <w:szCs w:val="24"/>
        </w:rPr>
        <w:t xml:space="preserve">to be interpreted in present day conditions </w:t>
      </w:r>
      <w:r w:rsidR="005A7BAE">
        <w:rPr>
          <w:rFonts w:ascii="Times New Roman" w:eastAsiaTheme="majorEastAsia" w:hAnsi="Times New Roman" w:cs="Times New Roman"/>
          <w:sz w:val="24"/>
          <w:szCs w:val="24"/>
        </w:rPr>
        <w:t xml:space="preserve">is </w:t>
      </w:r>
      <w:r w:rsidR="00993596">
        <w:rPr>
          <w:rFonts w:ascii="Times New Roman" w:eastAsiaTheme="majorEastAsia" w:hAnsi="Times New Roman" w:cs="Times New Roman"/>
          <w:sz w:val="24"/>
          <w:szCs w:val="24"/>
        </w:rPr>
        <w:t xml:space="preserve">the </w:t>
      </w:r>
      <w:r w:rsidR="0063094D">
        <w:rPr>
          <w:rFonts w:ascii="Times New Roman" w:eastAsiaTheme="majorEastAsia" w:hAnsi="Times New Roman" w:cs="Times New Roman"/>
          <w:sz w:val="24"/>
          <w:szCs w:val="24"/>
        </w:rPr>
        <w:t xml:space="preserve">entire, invincible </w:t>
      </w:r>
      <w:r w:rsidR="005A7BAE">
        <w:rPr>
          <w:rFonts w:ascii="Times New Roman" w:eastAsiaTheme="majorEastAsia" w:hAnsi="Times New Roman" w:cs="Times New Roman"/>
          <w:sz w:val="24"/>
          <w:szCs w:val="24"/>
        </w:rPr>
        <w:t xml:space="preserve">explanation for Strasbourg’s expansion in power and influence over the decades (yes, of course, </w:t>
      </w:r>
      <w:r w:rsidR="00993596">
        <w:rPr>
          <w:rFonts w:ascii="Times New Roman" w:eastAsiaTheme="majorEastAsia" w:hAnsi="Times New Roman" w:cs="Times New Roman"/>
          <w:sz w:val="24"/>
          <w:szCs w:val="24"/>
        </w:rPr>
        <w:t>that doctrine</w:t>
      </w:r>
      <w:r w:rsidR="005A7BAE">
        <w:rPr>
          <w:rFonts w:ascii="Times New Roman" w:eastAsiaTheme="majorEastAsia" w:hAnsi="Times New Roman" w:cs="Times New Roman"/>
          <w:sz w:val="24"/>
          <w:szCs w:val="24"/>
        </w:rPr>
        <w:t xml:space="preserve"> is </w:t>
      </w:r>
      <w:r w:rsidR="00993596">
        <w:rPr>
          <w:rFonts w:ascii="Times New Roman" w:eastAsiaTheme="majorEastAsia" w:hAnsi="Times New Roman" w:cs="Times New Roman"/>
          <w:sz w:val="24"/>
          <w:szCs w:val="24"/>
        </w:rPr>
        <w:t>of</w:t>
      </w:r>
      <w:r w:rsidR="005A7BAE">
        <w:rPr>
          <w:rFonts w:ascii="Times New Roman" w:eastAsiaTheme="majorEastAsia" w:hAnsi="Times New Roman" w:cs="Times New Roman"/>
          <w:sz w:val="24"/>
          <w:szCs w:val="24"/>
        </w:rPr>
        <w:t xml:space="preserve"> major significance – but does </w:t>
      </w:r>
      <w:r w:rsidR="00993596">
        <w:rPr>
          <w:rFonts w:ascii="Times New Roman" w:eastAsiaTheme="majorEastAsia" w:hAnsi="Times New Roman" w:cs="Times New Roman"/>
          <w:sz w:val="24"/>
          <w:szCs w:val="24"/>
        </w:rPr>
        <w:t>it</w:t>
      </w:r>
      <w:r w:rsidR="005A7BAE">
        <w:rPr>
          <w:rFonts w:ascii="Times New Roman" w:eastAsiaTheme="majorEastAsia" w:hAnsi="Times New Roman" w:cs="Times New Roman"/>
          <w:sz w:val="24"/>
          <w:szCs w:val="24"/>
        </w:rPr>
        <w:t xml:space="preserve"> not risk becoming a stock or catch-all response, and is more not required</w:t>
      </w:r>
      <w:r w:rsidR="00993596">
        <w:rPr>
          <w:rFonts w:ascii="Times New Roman" w:eastAsiaTheme="majorEastAsia" w:hAnsi="Times New Roman" w:cs="Times New Roman"/>
          <w:sz w:val="24"/>
          <w:szCs w:val="24"/>
        </w:rPr>
        <w:t xml:space="preserve"> by way of justification</w:t>
      </w:r>
      <w:r w:rsidR="003A36E9">
        <w:rPr>
          <w:rFonts w:ascii="Times New Roman" w:eastAsiaTheme="majorEastAsia" w:hAnsi="Times New Roman" w:cs="Times New Roman"/>
          <w:sz w:val="24"/>
          <w:szCs w:val="24"/>
        </w:rPr>
        <w:t xml:space="preserve"> for claims that the Convention is an integrationist document</w:t>
      </w:r>
      <w:r w:rsidR="005A7BAE">
        <w:rPr>
          <w:rFonts w:ascii="Times New Roman" w:eastAsiaTheme="majorEastAsia" w:hAnsi="Times New Roman" w:cs="Times New Roman"/>
          <w:sz w:val="24"/>
          <w:szCs w:val="24"/>
        </w:rPr>
        <w:t>?)</w:t>
      </w:r>
      <w:r w:rsidRPr="005D5256">
        <w:rPr>
          <w:rFonts w:ascii="Times New Roman" w:eastAsiaTheme="majorEastAsia" w:hAnsi="Times New Roman" w:cs="Times New Roman"/>
          <w:sz w:val="24"/>
          <w:szCs w:val="24"/>
        </w:rPr>
        <w:t xml:space="preserve">. </w:t>
      </w:r>
      <w:r w:rsidR="00D62321">
        <w:rPr>
          <w:rFonts w:ascii="Times New Roman" w:eastAsiaTheme="majorEastAsia" w:hAnsi="Times New Roman" w:cs="Times New Roman"/>
          <w:sz w:val="24"/>
          <w:szCs w:val="24"/>
        </w:rPr>
        <w:t>The real questions to ask are, what type of ‘living instrument’ is the Convention, and why were the States prepared to grant the Court Article 46(1) power</w:t>
      </w:r>
      <w:r w:rsidR="00C74758">
        <w:rPr>
          <w:rFonts w:ascii="Times New Roman" w:eastAsiaTheme="majorEastAsia" w:hAnsi="Times New Roman" w:cs="Times New Roman"/>
          <w:sz w:val="24"/>
          <w:szCs w:val="24"/>
        </w:rPr>
        <w:t>, and tolerate this to date</w:t>
      </w:r>
      <w:r w:rsidR="00D62321">
        <w:rPr>
          <w:rFonts w:ascii="Times New Roman" w:eastAsiaTheme="majorEastAsia" w:hAnsi="Times New Roman" w:cs="Times New Roman"/>
          <w:sz w:val="24"/>
          <w:szCs w:val="24"/>
        </w:rPr>
        <w:t xml:space="preserve">? </w:t>
      </w:r>
      <w:r w:rsidR="00C74758">
        <w:rPr>
          <w:rFonts w:ascii="Times New Roman" w:eastAsiaTheme="majorEastAsia" w:hAnsi="Times New Roman" w:cs="Times New Roman"/>
          <w:sz w:val="24"/>
          <w:szCs w:val="24"/>
        </w:rPr>
        <w:t>Putting i</w:t>
      </w:r>
      <w:r w:rsidR="001A38B6">
        <w:rPr>
          <w:rFonts w:ascii="Times New Roman" w:eastAsiaTheme="majorEastAsia" w:hAnsi="Times New Roman" w:cs="Times New Roman"/>
          <w:sz w:val="24"/>
          <w:szCs w:val="24"/>
        </w:rPr>
        <w:t>t</w:t>
      </w:r>
      <w:r w:rsidR="00C74758">
        <w:rPr>
          <w:rFonts w:ascii="Times New Roman" w:eastAsiaTheme="majorEastAsia" w:hAnsi="Times New Roman" w:cs="Times New Roman"/>
          <w:sz w:val="24"/>
          <w:szCs w:val="24"/>
        </w:rPr>
        <w:t xml:space="preserve"> that way encourages consideration</w:t>
      </w:r>
      <w:r w:rsidR="00FD1339" w:rsidRPr="005D5256">
        <w:rPr>
          <w:rFonts w:ascii="Times New Roman" w:eastAsiaTheme="majorEastAsia" w:hAnsi="Times New Roman" w:cs="Times New Roman"/>
          <w:sz w:val="24"/>
          <w:szCs w:val="24"/>
        </w:rPr>
        <w:t xml:space="preserve"> </w:t>
      </w:r>
      <w:r w:rsidR="001A38B6">
        <w:rPr>
          <w:rFonts w:ascii="Times New Roman" w:eastAsiaTheme="majorEastAsia" w:hAnsi="Times New Roman" w:cs="Times New Roman"/>
          <w:sz w:val="24"/>
          <w:szCs w:val="24"/>
        </w:rPr>
        <w:t xml:space="preserve">of </w:t>
      </w:r>
      <w:r w:rsidR="00BF6D81" w:rsidRPr="005D5256">
        <w:rPr>
          <w:rFonts w:ascii="Times New Roman" w:eastAsiaTheme="majorEastAsia" w:hAnsi="Times New Roman" w:cs="Times New Roman"/>
          <w:sz w:val="24"/>
          <w:szCs w:val="24"/>
        </w:rPr>
        <w:t xml:space="preserve">the legitimacy </w:t>
      </w:r>
      <w:r w:rsidR="00301F55">
        <w:rPr>
          <w:rFonts w:ascii="Times New Roman" w:eastAsiaTheme="majorEastAsia" w:hAnsi="Times New Roman" w:cs="Times New Roman"/>
          <w:sz w:val="24"/>
          <w:szCs w:val="24"/>
        </w:rPr>
        <w:t>issues</w:t>
      </w:r>
      <w:r w:rsidR="00301F55" w:rsidRPr="005D5256">
        <w:rPr>
          <w:rFonts w:ascii="Times New Roman" w:eastAsiaTheme="majorEastAsia" w:hAnsi="Times New Roman" w:cs="Times New Roman"/>
          <w:sz w:val="24"/>
          <w:szCs w:val="24"/>
        </w:rPr>
        <w:t xml:space="preserve"> </w:t>
      </w:r>
      <w:r w:rsidR="00BF6D81" w:rsidRPr="005D5256">
        <w:rPr>
          <w:rFonts w:ascii="Times New Roman" w:eastAsiaTheme="majorEastAsia" w:hAnsi="Times New Roman" w:cs="Times New Roman"/>
          <w:sz w:val="24"/>
          <w:szCs w:val="24"/>
        </w:rPr>
        <w:t xml:space="preserve">that </w:t>
      </w:r>
      <w:r w:rsidR="00301F55">
        <w:rPr>
          <w:rFonts w:ascii="Times New Roman" w:eastAsiaTheme="majorEastAsia" w:hAnsi="Times New Roman" w:cs="Times New Roman"/>
          <w:sz w:val="24"/>
          <w:szCs w:val="24"/>
        </w:rPr>
        <w:t xml:space="preserve">may </w:t>
      </w:r>
      <w:r w:rsidR="00BF6D81" w:rsidRPr="005D5256">
        <w:rPr>
          <w:rFonts w:ascii="Times New Roman" w:eastAsiaTheme="majorEastAsia" w:hAnsi="Times New Roman" w:cs="Times New Roman"/>
          <w:sz w:val="24"/>
          <w:szCs w:val="24"/>
        </w:rPr>
        <w:t xml:space="preserve">arise regarding the </w:t>
      </w:r>
      <w:r w:rsidRPr="005D5256">
        <w:rPr>
          <w:rFonts w:ascii="Times New Roman" w:eastAsiaTheme="majorEastAsia" w:hAnsi="Times New Roman" w:cs="Times New Roman"/>
          <w:sz w:val="24"/>
          <w:szCs w:val="24"/>
        </w:rPr>
        <w:t xml:space="preserve">absorption of power by Strasbourg which a bold understanding of </w:t>
      </w:r>
      <w:r w:rsidR="00C74758">
        <w:rPr>
          <w:rFonts w:ascii="Times New Roman" w:eastAsiaTheme="majorEastAsia" w:hAnsi="Times New Roman" w:cs="Times New Roman"/>
          <w:sz w:val="24"/>
          <w:szCs w:val="24"/>
        </w:rPr>
        <w:t xml:space="preserve">the Convention </w:t>
      </w:r>
      <w:r w:rsidRPr="005D5256">
        <w:rPr>
          <w:rFonts w:ascii="Times New Roman" w:eastAsiaTheme="majorEastAsia" w:hAnsi="Times New Roman" w:cs="Times New Roman"/>
          <w:sz w:val="24"/>
          <w:szCs w:val="24"/>
        </w:rPr>
        <w:t>an integrationist instrument implies</w:t>
      </w:r>
      <w:r w:rsidR="002A1372" w:rsidRPr="005D5256">
        <w:rPr>
          <w:rFonts w:ascii="Times New Roman" w:eastAsiaTheme="majorEastAsia" w:hAnsi="Times New Roman" w:cs="Times New Roman"/>
          <w:sz w:val="24"/>
          <w:szCs w:val="24"/>
        </w:rPr>
        <w:t xml:space="preserve">, and why the subsidiarity-orientated direction I suggest Protocol 15 endorses </w:t>
      </w:r>
      <w:r w:rsidR="00C74758">
        <w:rPr>
          <w:rFonts w:ascii="Times New Roman" w:eastAsiaTheme="majorEastAsia" w:hAnsi="Times New Roman" w:cs="Times New Roman"/>
          <w:sz w:val="24"/>
          <w:szCs w:val="24"/>
        </w:rPr>
        <w:t>may or may not be</w:t>
      </w:r>
      <w:r w:rsidR="00C74758" w:rsidRPr="005D5256">
        <w:rPr>
          <w:rFonts w:ascii="Times New Roman" w:eastAsiaTheme="majorEastAsia" w:hAnsi="Times New Roman" w:cs="Times New Roman"/>
          <w:sz w:val="24"/>
          <w:szCs w:val="24"/>
        </w:rPr>
        <w:t xml:space="preserve"> </w:t>
      </w:r>
      <w:r w:rsidR="002A1372" w:rsidRPr="005D5256">
        <w:rPr>
          <w:rFonts w:ascii="Times New Roman" w:eastAsiaTheme="majorEastAsia" w:hAnsi="Times New Roman" w:cs="Times New Roman"/>
          <w:sz w:val="24"/>
          <w:szCs w:val="24"/>
        </w:rPr>
        <w:t>valid</w:t>
      </w:r>
      <w:r w:rsidRPr="005D5256">
        <w:rPr>
          <w:rFonts w:ascii="Times New Roman" w:eastAsiaTheme="majorEastAsia" w:hAnsi="Times New Roman" w:cs="Times New Roman"/>
          <w:sz w:val="24"/>
          <w:szCs w:val="24"/>
        </w:rPr>
        <w:t xml:space="preserve">. </w:t>
      </w:r>
      <w:r w:rsidR="00FD1339" w:rsidRPr="005D5256">
        <w:rPr>
          <w:rFonts w:ascii="Times New Roman" w:eastAsiaTheme="majorEastAsia" w:hAnsi="Times New Roman" w:cs="Times New Roman"/>
          <w:sz w:val="24"/>
          <w:szCs w:val="24"/>
        </w:rPr>
        <w:t>The point about the need for State endorsement</w:t>
      </w:r>
      <w:r w:rsidR="002A1372" w:rsidRPr="005D5256">
        <w:rPr>
          <w:rFonts w:ascii="Times New Roman" w:eastAsiaTheme="majorEastAsia" w:hAnsi="Times New Roman" w:cs="Times New Roman"/>
          <w:sz w:val="24"/>
          <w:szCs w:val="24"/>
        </w:rPr>
        <w:t xml:space="preserve"> cannot just be ignored</w:t>
      </w:r>
      <w:r w:rsidR="00536723">
        <w:rPr>
          <w:rFonts w:ascii="Times New Roman" w:eastAsiaTheme="majorEastAsia" w:hAnsi="Times New Roman" w:cs="Times New Roman"/>
          <w:sz w:val="24"/>
          <w:szCs w:val="24"/>
        </w:rPr>
        <w:t>.</w:t>
      </w:r>
      <w:r w:rsidR="002A1372" w:rsidRPr="005D5256">
        <w:rPr>
          <w:rFonts w:ascii="Times New Roman" w:eastAsiaTheme="majorEastAsia" w:hAnsi="Times New Roman" w:cs="Times New Roman"/>
          <w:sz w:val="24"/>
          <w:szCs w:val="24"/>
        </w:rPr>
        <w:t xml:space="preserve"> It </w:t>
      </w:r>
      <w:r w:rsidR="00FD1339" w:rsidRPr="005D5256">
        <w:rPr>
          <w:rFonts w:ascii="Times New Roman" w:eastAsiaTheme="majorEastAsia" w:hAnsi="Times New Roman" w:cs="Times New Roman"/>
          <w:sz w:val="24"/>
          <w:szCs w:val="24"/>
        </w:rPr>
        <w:t>relates back to</w:t>
      </w:r>
      <w:r w:rsidR="00BF6D81" w:rsidRPr="005D5256">
        <w:rPr>
          <w:rFonts w:ascii="Times New Roman" w:eastAsiaTheme="majorEastAsia" w:hAnsi="Times New Roman" w:cs="Times New Roman"/>
          <w:sz w:val="24"/>
          <w:szCs w:val="24"/>
        </w:rPr>
        <w:t xml:space="preserve"> </w:t>
      </w:r>
      <w:r w:rsidR="00C74758">
        <w:rPr>
          <w:rFonts w:ascii="Times New Roman" w:eastAsiaTheme="majorEastAsia" w:hAnsi="Times New Roman" w:cs="Times New Roman"/>
          <w:sz w:val="24"/>
          <w:szCs w:val="24"/>
        </w:rPr>
        <w:t xml:space="preserve">the point Robertson and Merrills </w:t>
      </w:r>
      <w:r w:rsidR="001A38B6">
        <w:rPr>
          <w:rFonts w:ascii="Times New Roman" w:eastAsiaTheme="majorEastAsia" w:hAnsi="Times New Roman" w:cs="Times New Roman"/>
          <w:sz w:val="24"/>
          <w:szCs w:val="24"/>
        </w:rPr>
        <w:t>eluded  to</w:t>
      </w:r>
      <w:r w:rsidR="00C74758">
        <w:rPr>
          <w:rFonts w:ascii="Times New Roman" w:eastAsiaTheme="majorEastAsia" w:hAnsi="Times New Roman" w:cs="Times New Roman"/>
          <w:sz w:val="24"/>
          <w:szCs w:val="24"/>
        </w:rPr>
        <w:t xml:space="preserve">, i.e. </w:t>
      </w:r>
      <w:r w:rsidR="00BF6D81" w:rsidRPr="005D5256">
        <w:rPr>
          <w:rFonts w:ascii="Times New Roman" w:eastAsiaTheme="majorEastAsia" w:hAnsi="Times New Roman" w:cs="Times New Roman"/>
          <w:sz w:val="24"/>
          <w:szCs w:val="24"/>
        </w:rPr>
        <w:t>Strasbourg’s</w:t>
      </w:r>
      <w:r w:rsidRPr="005D5256">
        <w:rPr>
          <w:rFonts w:ascii="Times New Roman" w:eastAsiaTheme="majorEastAsia" w:hAnsi="Times New Roman" w:cs="Times New Roman"/>
          <w:sz w:val="24"/>
          <w:szCs w:val="24"/>
        </w:rPr>
        <w:t xml:space="preserve"> </w:t>
      </w:r>
      <w:r w:rsidR="00FD1339" w:rsidRPr="005D5256">
        <w:rPr>
          <w:rFonts w:ascii="Times New Roman" w:eastAsiaTheme="majorEastAsia" w:hAnsi="Times New Roman" w:cs="Times New Roman"/>
          <w:sz w:val="24"/>
          <w:szCs w:val="24"/>
        </w:rPr>
        <w:t xml:space="preserve">legitimacy </w:t>
      </w:r>
      <w:r w:rsidR="001A38B6">
        <w:rPr>
          <w:rFonts w:ascii="Times New Roman" w:eastAsiaTheme="majorEastAsia" w:hAnsi="Times New Roman" w:cs="Times New Roman"/>
          <w:sz w:val="24"/>
          <w:szCs w:val="24"/>
        </w:rPr>
        <w:t>to</w:t>
      </w:r>
      <w:r w:rsidR="001A38B6" w:rsidRPr="005D5256">
        <w:rPr>
          <w:rFonts w:ascii="Times New Roman" w:eastAsiaTheme="majorEastAsia" w:hAnsi="Times New Roman" w:cs="Times New Roman"/>
          <w:sz w:val="24"/>
          <w:szCs w:val="24"/>
        </w:rPr>
        <w:t xml:space="preserve"> </w:t>
      </w:r>
      <w:r w:rsidR="00C74758">
        <w:rPr>
          <w:rFonts w:ascii="Times New Roman" w:eastAsiaTheme="majorEastAsia" w:hAnsi="Times New Roman" w:cs="Times New Roman"/>
          <w:sz w:val="24"/>
          <w:szCs w:val="24"/>
        </w:rPr>
        <w:t xml:space="preserve">act in </w:t>
      </w:r>
      <w:r w:rsidR="00FD1339" w:rsidRPr="005D5256">
        <w:rPr>
          <w:rFonts w:ascii="Times New Roman" w:eastAsiaTheme="majorEastAsia" w:hAnsi="Times New Roman" w:cs="Times New Roman"/>
          <w:sz w:val="24"/>
          <w:szCs w:val="24"/>
        </w:rPr>
        <w:t xml:space="preserve">certain fields, and the </w:t>
      </w:r>
      <w:r w:rsidRPr="005D5256">
        <w:rPr>
          <w:rFonts w:ascii="Times New Roman" w:eastAsiaTheme="majorEastAsia" w:hAnsi="Times New Roman" w:cs="Times New Roman"/>
          <w:sz w:val="24"/>
          <w:szCs w:val="24"/>
        </w:rPr>
        <w:t xml:space="preserve">need </w:t>
      </w:r>
      <w:r w:rsidR="00C74758">
        <w:rPr>
          <w:rFonts w:ascii="Times New Roman" w:eastAsiaTheme="majorEastAsia" w:hAnsi="Times New Roman" w:cs="Times New Roman"/>
          <w:sz w:val="24"/>
          <w:szCs w:val="24"/>
        </w:rPr>
        <w:t xml:space="preserve">for it </w:t>
      </w:r>
      <w:r w:rsidRPr="005D5256">
        <w:rPr>
          <w:rFonts w:ascii="Times New Roman" w:eastAsiaTheme="majorEastAsia" w:hAnsi="Times New Roman" w:cs="Times New Roman"/>
          <w:sz w:val="24"/>
          <w:szCs w:val="24"/>
        </w:rPr>
        <w:t>to tread a careful path</w:t>
      </w:r>
      <w:r w:rsidR="00C74758">
        <w:rPr>
          <w:rFonts w:ascii="Times New Roman" w:eastAsiaTheme="majorEastAsia" w:hAnsi="Times New Roman" w:cs="Times New Roman"/>
          <w:sz w:val="24"/>
          <w:szCs w:val="24"/>
        </w:rPr>
        <w:t xml:space="preserve"> </w:t>
      </w:r>
      <w:r w:rsidRPr="005D5256">
        <w:rPr>
          <w:rFonts w:ascii="Times New Roman" w:eastAsiaTheme="majorEastAsia" w:hAnsi="Times New Roman" w:cs="Times New Roman"/>
          <w:sz w:val="24"/>
          <w:szCs w:val="24"/>
        </w:rPr>
        <w:t xml:space="preserve">by not expanding its influence too far, so as to </w:t>
      </w:r>
      <w:r w:rsidR="00C74758" w:rsidRPr="008D7FBC">
        <w:rPr>
          <w:rFonts w:ascii="Times New Roman" w:eastAsiaTheme="majorEastAsia" w:hAnsi="Times New Roman" w:cs="Times New Roman"/>
          <w:i/>
          <w:sz w:val="24"/>
          <w:szCs w:val="24"/>
        </w:rPr>
        <w:t>avoid</w:t>
      </w:r>
      <w:r w:rsidR="00C74758">
        <w:rPr>
          <w:rFonts w:ascii="Times New Roman" w:eastAsiaTheme="majorEastAsia" w:hAnsi="Times New Roman" w:cs="Times New Roman"/>
          <w:sz w:val="24"/>
          <w:szCs w:val="24"/>
        </w:rPr>
        <w:t xml:space="preserve"> a situation whereby</w:t>
      </w:r>
      <w:r w:rsidRPr="005D5256">
        <w:rPr>
          <w:rFonts w:ascii="Times New Roman" w:eastAsiaTheme="majorEastAsia" w:hAnsi="Times New Roman" w:cs="Times New Roman"/>
          <w:sz w:val="24"/>
          <w:szCs w:val="24"/>
        </w:rPr>
        <w:t xml:space="preserve">, ‘the consent of the Member States </w:t>
      </w:r>
      <w:r w:rsidR="00260062" w:rsidRPr="005D5256">
        <w:rPr>
          <w:rFonts w:ascii="Times New Roman" w:eastAsiaTheme="majorEastAsia" w:hAnsi="Times New Roman" w:cs="Times New Roman"/>
          <w:sz w:val="24"/>
          <w:szCs w:val="24"/>
        </w:rPr>
        <w:t xml:space="preserve">[including their democratically legitimate institutions] </w:t>
      </w:r>
      <w:r w:rsidRPr="005D5256">
        <w:rPr>
          <w:rFonts w:ascii="Times New Roman" w:eastAsiaTheme="majorEastAsia" w:hAnsi="Times New Roman" w:cs="Times New Roman"/>
          <w:sz w:val="24"/>
          <w:szCs w:val="24"/>
        </w:rPr>
        <w:t xml:space="preserve">on which </w:t>
      </w:r>
      <w:r w:rsidR="00BF6D81" w:rsidRPr="005D5256">
        <w:rPr>
          <w:rFonts w:ascii="Times New Roman" w:eastAsiaTheme="majorEastAsia" w:hAnsi="Times New Roman" w:cs="Times New Roman"/>
          <w:sz w:val="24"/>
          <w:szCs w:val="24"/>
        </w:rPr>
        <w:t>the system rests’ (Mackay)</w:t>
      </w:r>
      <w:r w:rsidR="00C74758">
        <w:rPr>
          <w:rFonts w:ascii="Times New Roman" w:eastAsiaTheme="majorEastAsia" w:hAnsi="Times New Roman" w:cs="Times New Roman"/>
          <w:sz w:val="24"/>
          <w:szCs w:val="24"/>
        </w:rPr>
        <w:t xml:space="preserve"> is threatened</w:t>
      </w:r>
      <w:r w:rsidR="00BF6D81" w:rsidRPr="005D5256">
        <w:rPr>
          <w:rFonts w:ascii="Times New Roman" w:eastAsiaTheme="majorEastAsia" w:hAnsi="Times New Roman" w:cs="Times New Roman"/>
          <w:sz w:val="24"/>
          <w:szCs w:val="24"/>
        </w:rPr>
        <w:t>.</w:t>
      </w:r>
      <w:r w:rsidR="00536723">
        <w:rPr>
          <w:rFonts w:ascii="Times New Roman" w:eastAsiaTheme="majorEastAsia" w:hAnsi="Times New Roman" w:cs="Times New Roman"/>
          <w:sz w:val="24"/>
          <w:szCs w:val="24"/>
        </w:rPr>
        <w:t xml:space="preserve"> </w:t>
      </w:r>
    </w:p>
    <w:p w14:paraId="685FBFE7" w14:textId="04073230" w:rsidR="00CE176F" w:rsidRPr="005D5256" w:rsidRDefault="00CE176F" w:rsidP="005D5256">
      <w:pPr>
        <w:spacing w:line="480" w:lineRule="auto"/>
        <w:jc w:val="both"/>
        <w:rPr>
          <w:rFonts w:ascii="Times New Roman" w:eastAsiaTheme="majorEastAsia" w:hAnsi="Times New Roman" w:cs="Times New Roman"/>
          <w:sz w:val="24"/>
          <w:szCs w:val="24"/>
        </w:rPr>
      </w:pPr>
      <w:r w:rsidRPr="001F7177">
        <w:rPr>
          <w:rFonts w:ascii="Times New Roman" w:eastAsiaTheme="majorEastAsia" w:hAnsi="Times New Roman" w:cs="Times New Roman"/>
          <w:sz w:val="24"/>
          <w:szCs w:val="24"/>
        </w:rPr>
        <w:t>Of course, I am not arguing that Strasbourg’s aim should be to avoid upsetting States</w:t>
      </w:r>
      <w:r>
        <w:rPr>
          <w:rFonts w:ascii="Times New Roman" w:eastAsiaTheme="majorEastAsia" w:hAnsi="Times New Roman" w:cs="Times New Roman"/>
          <w:sz w:val="24"/>
          <w:szCs w:val="24"/>
        </w:rPr>
        <w:t>!</w:t>
      </w:r>
      <w:r w:rsidRPr="001F7177">
        <w:rPr>
          <w:rFonts w:ascii="Times New Roman" w:eastAsiaTheme="majorEastAsia" w:hAnsi="Times New Roman" w:cs="Times New Roman"/>
          <w:sz w:val="24"/>
          <w:szCs w:val="24"/>
        </w:rPr>
        <w:t xml:space="preserve"> Rather, I am suggesting that </w:t>
      </w:r>
      <w:r w:rsidR="00B47223">
        <w:rPr>
          <w:rFonts w:ascii="Times New Roman" w:eastAsiaTheme="majorEastAsia" w:hAnsi="Times New Roman" w:cs="Times New Roman"/>
          <w:sz w:val="24"/>
          <w:szCs w:val="24"/>
        </w:rPr>
        <w:t xml:space="preserve">a </w:t>
      </w:r>
      <w:r>
        <w:rPr>
          <w:rFonts w:ascii="Times New Roman" w:eastAsiaTheme="majorEastAsia" w:hAnsi="Times New Roman" w:cs="Times New Roman"/>
          <w:sz w:val="24"/>
          <w:szCs w:val="24"/>
        </w:rPr>
        <w:t xml:space="preserve">stage needs to be avoided when </w:t>
      </w:r>
      <w:r w:rsidRPr="00BB48ED">
        <w:rPr>
          <w:rFonts w:ascii="Times New Roman" w:eastAsiaTheme="majorEastAsia" w:hAnsi="Times New Roman" w:cs="Times New Roman"/>
          <w:sz w:val="24"/>
          <w:szCs w:val="24"/>
        </w:rPr>
        <w:t xml:space="preserve">the argument might arise that the States </w:t>
      </w:r>
      <w:r w:rsidR="00F24BCB">
        <w:rPr>
          <w:rFonts w:ascii="Times New Roman" w:eastAsiaTheme="majorEastAsia" w:hAnsi="Times New Roman" w:cs="Times New Roman"/>
          <w:sz w:val="24"/>
          <w:szCs w:val="24"/>
        </w:rPr>
        <w:lastRenderedPageBreak/>
        <w:t>may reasonably maintain that they</w:t>
      </w:r>
      <w:r w:rsidRPr="00BB48ED">
        <w:rPr>
          <w:rFonts w:ascii="Times New Roman" w:eastAsiaTheme="majorEastAsia" w:hAnsi="Times New Roman" w:cs="Times New Roman"/>
          <w:sz w:val="24"/>
          <w:szCs w:val="24"/>
        </w:rPr>
        <w:t xml:space="preserve"> </w:t>
      </w:r>
      <w:r w:rsidR="00B47223">
        <w:rPr>
          <w:rFonts w:ascii="Times New Roman" w:eastAsiaTheme="majorEastAsia" w:hAnsi="Times New Roman" w:cs="Times New Roman"/>
          <w:sz w:val="24"/>
          <w:szCs w:val="24"/>
        </w:rPr>
        <w:t xml:space="preserve">are </w:t>
      </w:r>
      <w:r w:rsidRPr="00BB48ED">
        <w:rPr>
          <w:rFonts w:ascii="Times New Roman" w:eastAsiaTheme="majorEastAsia" w:hAnsi="Times New Roman" w:cs="Times New Roman"/>
          <w:sz w:val="24"/>
          <w:szCs w:val="24"/>
        </w:rPr>
        <w:t xml:space="preserve">entitled to be less cooperative with a Court that has become too enthusiastic at </w:t>
      </w:r>
      <w:r>
        <w:rPr>
          <w:rFonts w:ascii="Times New Roman" w:eastAsiaTheme="majorEastAsia" w:hAnsi="Times New Roman" w:cs="Times New Roman"/>
          <w:sz w:val="24"/>
          <w:szCs w:val="24"/>
        </w:rPr>
        <w:t>protecting</w:t>
      </w:r>
      <w:r w:rsidRPr="00BB48ED">
        <w:rPr>
          <w:rFonts w:ascii="Times New Roman" w:eastAsiaTheme="majorEastAsia" w:hAnsi="Times New Roman" w:cs="Times New Roman"/>
          <w:sz w:val="24"/>
          <w:szCs w:val="24"/>
        </w:rPr>
        <w:t xml:space="preserve"> human rights in domains where </w:t>
      </w:r>
      <w:r w:rsidR="00B47223">
        <w:rPr>
          <w:rFonts w:ascii="Times New Roman" w:eastAsiaTheme="majorEastAsia" w:hAnsi="Times New Roman" w:cs="Times New Roman"/>
          <w:sz w:val="24"/>
          <w:szCs w:val="24"/>
        </w:rPr>
        <w:t>they (</w:t>
      </w:r>
      <w:r w:rsidRPr="00BB48ED">
        <w:rPr>
          <w:rFonts w:ascii="Times New Roman" w:eastAsiaTheme="majorEastAsia" w:hAnsi="Times New Roman" w:cs="Times New Roman"/>
          <w:sz w:val="24"/>
          <w:szCs w:val="24"/>
        </w:rPr>
        <w:t>the States</w:t>
      </w:r>
      <w:r w:rsidR="00B47223">
        <w:rPr>
          <w:rFonts w:ascii="Times New Roman" w:eastAsiaTheme="majorEastAsia" w:hAnsi="Times New Roman" w:cs="Times New Roman"/>
          <w:sz w:val="24"/>
          <w:szCs w:val="24"/>
        </w:rPr>
        <w:t>)</w:t>
      </w:r>
      <w:r w:rsidRPr="00BB48ED">
        <w:rPr>
          <w:rFonts w:ascii="Times New Roman" w:eastAsiaTheme="majorEastAsia" w:hAnsi="Times New Roman" w:cs="Times New Roman"/>
          <w:sz w:val="24"/>
          <w:szCs w:val="24"/>
        </w:rPr>
        <w:t xml:space="preserve"> </w:t>
      </w:r>
      <w:r w:rsidRPr="001F7177">
        <w:rPr>
          <w:rFonts w:ascii="Times New Roman" w:eastAsiaTheme="majorEastAsia" w:hAnsi="Times New Roman" w:cs="Times New Roman"/>
          <w:i/>
          <w:sz w:val="24"/>
          <w:szCs w:val="24"/>
        </w:rPr>
        <w:t>may</w:t>
      </w:r>
      <w:r w:rsidRPr="00BB48ED">
        <w:rPr>
          <w:rFonts w:ascii="Times New Roman" w:eastAsiaTheme="majorEastAsia" w:hAnsi="Times New Roman" w:cs="Times New Roman"/>
          <w:sz w:val="24"/>
          <w:szCs w:val="24"/>
        </w:rPr>
        <w:t xml:space="preserve"> reasonably have a </w:t>
      </w:r>
      <w:r>
        <w:rPr>
          <w:rFonts w:ascii="Times New Roman" w:eastAsiaTheme="majorEastAsia" w:hAnsi="Times New Roman" w:cs="Times New Roman"/>
          <w:sz w:val="24"/>
          <w:szCs w:val="24"/>
        </w:rPr>
        <w:t>variation of approaches. ‘Entitled’ -</w:t>
      </w:r>
      <w:r w:rsidRPr="00BB48ED">
        <w:rPr>
          <w:rFonts w:ascii="Times New Roman" w:eastAsiaTheme="majorEastAsia" w:hAnsi="Times New Roman" w:cs="Times New Roman"/>
          <w:sz w:val="24"/>
          <w:szCs w:val="24"/>
        </w:rPr>
        <w:t xml:space="preserve"> because those States </w:t>
      </w:r>
      <w:r w:rsidR="00F24BCB">
        <w:rPr>
          <w:rFonts w:ascii="Times New Roman" w:eastAsiaTheme="majorEastAsia" w:hAnsi="Times New Roman" w:cs="Times New Roman"/>
          <w:sz w:val="24"/>
          <w:szCs w:val="24"/>
        </w:rPr>
        <w:t xml:space="preserve">may reasonably argue that they </w:t>
      </w:r>
      <w:r w:rsidRPr="00BB48ED">
        <w:rPr>
          <w:rFonts w:ascii="Times New Roman" w:eastAsiaTheme="majorEastAsia" w:hAnsi="Times New Roman" w:cs="Times New Roman"/>
          <w:sz w:val="24"/>
          <w:szCs w:val="24"/>
        </w:rPr>
        <w:t xml:space="preserve">have </w:t>
      </w:r>
      <w:r w:rsidRPr="001F7177">
        <w:rPr>
          <w:rFonts w:ascii="Times New Roman" w:eastAsiaTheme="majorEastAsia" w:hAnsi="Times New Roman" w:cs="Times New Roman"/>
          <w:i/>
          <w:sz w:val="24"/>
          <w:szCs w:val="24"/>
        </w:rPr>
        <w:t>not</w:t>
      </w:r>
      <w:r w:rsidRPr="00BB48ED">
        <w:rPr>
          <w:rFonts w:ascii="Times New Roman" w:eastAsiaTheme="majorEastAsia" w:hAnsi="Times New Roman" w:cs="Times New Roman"/>
          <w:sz w:val="24"/>
          <w:szCs w:val="24"/>
        </w:rPr>
        <w:t xml:space="preserve"> consented to </w:t>
      </w:r>
      <w:r w:rsidRPr="001F7177">
        <w:rPr>
          <w:rFonts w:ascii="Times New Roman" w:eastAsiaTheme="majorEastAsia" w:hAnsi="Times New Roman" w:cs="Times New Roman"/>
          <w:i/>
          <w:sz w:val="24"/>
          <w:szCs w:val="24"/>
        </w:rPr>
        <w:t>the Court’s</w:t>
      </w:r>
      <w:r w:rsidRPr="00BB48ED">
        <w:rPr>
          <w:rFonts w:ascii="Times New Roman" w:eastAsiaTheme="majorEastAsia" w:hAnsi="Times New Roman" w:cs="Times New Roman"/>
          <w:sz w:val="24"/>
          <w:szCs w:val="24"/>
        </w:rPr>
        <w:t xml:space="preserve"> absorption of such power through the vehicle of </w:t>
      </w:r>
      <w:r w:rsidRPr="001F7177">
        <w:rPr>
          <w:rFonts w:ascii="Times New Roman" w:eastAsiaTheme="majorEastAsia" w:hAnsi="Times New Roman" w:cs="Times New Roman"/>
          <w:i/>
          <w:sz w:val="24"/>
          <w:szCs w:val="24"/>
        </w:rPr>
        <w:t>the Convention</w:t>
      </w:r>
      <w:r>
        <w:rPr>
          <w:rFonts w:ascii="Times New Roman" w:eastAsiaTheme="majorEastAsia" w:hAnsi="Times New Roman" w:cs="Times New Roman"/>
          <w:i/>
          <w:sz w:val="24"/>
          <w:szCs w:val="24"/>
        </w:rPr>
        <w:t xml:space="preserve"> </w:t>
      </w:r>
      <w:r>
        <w:rPr>
          <w:rFonts w:ascii="Times New Roman" w:eastAsiaTheme="majorEastAsia" w:hAnsi="Times New Roman" w:cs="Times New Roman"/>
          <w:sz w:val="24"/>
          <w:szCs w:val="24"/>
        </w:rPr>
        <w:t xml:space="preserve">in that it is not an integrationist instrument </w:t>
      </w:r>
      <w:r w:rsidRPr="001F7177">
        <w:rPr>
          <w:rFonts w:ascii="Times New Roman" w:eastAsiaTheme="majorEastAsia" w:hAnsi="Times New Roman" w:cs="Times New Roman"/>
          <w:sz w:val="24"/>
          <w:szCs w:val="24"/>
        </w:rPr>
        <w:t>(or so the argument would run)</w:t>
      </w:r>
      <w:r w:rsidRPr="00AF440F">
        <w:rPr>
          <w:rFonts w:ascii="Times New Roman" w:eastAsiaTheme="majorEastAsia" w:hAnsi="Times New Roman" w:cs="Times New Roman"/>
          <w:sz w:val="24"/>
          <w:szCs w:val="24"/>
        </w:rPr>
        <w:t>.</w:t>
      </w:r>
      <w:r w:rsidR="00F24BCB">
        <w:rPr>
          <w:rFonts w:ascii="Times New Roman" w:eastAsiaTheme="majorEastAsia" w:hAnsi="Times New Roman" w:cs="Times New Roman"/>
          <w:sz w:val="24"/>
          <w:szCs w:val="24"/>
        </w:rPr>
        <w:t xml:space="preserve"> Here let us note that the Convention is older than the Court:</w:t>
      </w:r>
      <w:r w:rsidR="00F24BCB">
        <w:rPr>
          <w:rStyle w:val="FootnoteReference"/>
          <w:rFonts w:ascii="Times New Roman" w:eastAsiaTheme="majorEastAsia" w:hAnsi="Times New Roman" w:cs="Times New Roman"/>
          <w:sz w:val="24"/>
          <w:szCs w:val="24"/>
        </w:rPr>
        <w:footnoteReference w:id="17"/>
      </w:r>
      <w:r w:rsidR="00F24BCB">
        <w:rPr>
          <w:rFonts w:ascii="Times New Roman" w:eastAsiaTheme="majorEastAsia" w:hAnsi="Times New Roman" w:cs="Times New Roman"/>
          <w:sz w:val="24"/>
          <w:szCs w:val="24"/>
        </w:rPr>
        <w:t xml:space="preserve"> the two are not the same – the Court is not the Convention itself, but serves the Convention system, i.e. the special legal regime the Convention establishes</w:t>
      </w:r>
      <w:r w:rsidR="00F24BCB" w:rsidRPr="005D5256">
        <w:rPr>
          <w:rFonts w:ascii="Times New Roman" w:eastAsiaTheme="majorEastAsia" w:hAnsi="Times New Roman" w:cs="Times New Roman"/>
          <w:sz w:val="24"/>
          <w:szCs w:val="24"/>
        </w:rPr>
        <w:t xml:space="preserve">. </w:t>
      </w:r>
      <w:r w:rsidR="00F24BCB">
        <w:rPr>
          <w:rFonts w:ascii="Times New Roman" w:eastAsiaTheme="majorEastAsia" w:hAnsi="Times New Roman" w:cs="Times New Roman"/>
          <w:sz w:val="24"/>
          <w:szCs w:val="24"/>
        </w:rPr>
        <w:t>In the final analysis, the Court owes its jurisdiction to the Convention, which is an international treaty, reliant on the political will of the States.</w:t>
      </w:r>
      <w:r w:rsidR="00F24BCB">
        <w:rPr>
          <w:rStyle w:val="FootnoteReference"/>
          <w:rFonts w:ascii="Times New Roman" w:eastAsiaTheme="majorEastAsia" w:hAnsi="Times New Roman" w:cs="Times New Roman"/>
          <w:sz w:val="24"/>
          <w:szCs w:val="24"/>
        </w:rPr>
        <w:footnoteReference w:id="18"/>
      </w:r>
    </w:p>
    <w:p w14:paraId="3CE7BBDB" w14:textId="77777777" w:rsidR="00FD1339" w:rsidRPr="005D5256" w:rsidRDefault="00FD1339" w:rsidP="005D5256">
      <w:pPr>
        <w:pStyle w:val="Heading2"/>
        <w:jc w:val="both"/>
        <w:rPr>
          <w:rFonts w:ascii="Times New Roman" w:hAnsi="Times New Roman" w:cs="Times New Roman"/>
        </w:rPr>
      </w:pPr>
      <w:r w:rsidRPr="005D5256">
        <w:rPr>
          <w:rFonts w:ascii="Times New Roman" w:hAnsi="Times New Roman" w:cs="Times New Roman"/>
        </w:rPr>
        <w:t>IV</w:t>
      </w:r>
    </w:p>
    <w:p w14:paraId="66DAE667" w14:textId="2D9BF697" w:rsidR="007415BD" w:rsidRDefault="00FD1339" w:rsidP="005D5256">
      <w:pPr>
        <w:spacing w:line="480" w:lineRule="auto"/>
        <w:jc w:val="both"/>
        <w:rPr>
          <w:rFonts w:ascii="Times New Roman" w:eastAsiaTheme="majorEastAsia" w:hAnsi="Times New Roman" w:cs="Times New Roman"/>
          <w:sz w:val="24"/>
          <w:szCs w:val="24"/>
        </w:rPr>
      </w:pPr>
      <w:r w:rsidRPr="005D5256">
        <w:rPr>
          <w:rFonts w:ascii="Times New Roman" w:eastAsiaTheme="majorEastAsia" w:hAnsi="Times New Roman" w:cs="Times New Roman"/>
          <w:sz w:val="24"/>
          <w:szCs w:val="24"/>
        </w:rPr>
        <w:t>Without denying that the</w:t>
      </w:r>
      <w:r w:rsidR="00376F70" w:rsidRPr="005D5256">
        <w:rPr>
          <w:rFonts w:ascii="Times New Roman" w:eastAsiaTheme="majorEastAsia" w:hAnsi="Times New Roman" w:cs="Times New Roman"/>
          <w:sz w:val="24"/>
          <w:szCs w:val="24"/>
        </w:rPr>
        <w:t xml:space="preserve"> Convention</w:t>
      </w:r>
      <w:r w:rsidRPr="005D5256">
        <w:rPr>
          <w:rFonts w:ascii="Times New Roman" w:eastAsiaTheme="majorEastAsia" w:hAnsi="Times New Roman" w:cs="Times New Roman"/>
          <w:sz w:val="24"/>
          <w:szCs w:val="24"/>
        </w:rPr>
        <w:t xml:space="preserve"> is a</w:t>
      </w:r>
      <w:r w:rsidR="00376F70" w:rsidRPr="005D5256">
        <w:rPr>
          <w:rFonts w:ascii="Times New Roman" w:eastAsiaTheme="majorEastAsia" w:hAnsi="Times New Roman" w:cs="Times New Roman"/>
          <w:sz w:val="24"/>
          <w:szCs w:val="24"/>
        </w:rPr>
        <w:t xml:space="preserve"> ‘living instrument’</w:t>
      </w:r>
      <w:r w:rsidRPr="005D5256">
        <w:rPr>
          <w:rFonts w:ascii="Times New Roman" w:eastAsiaTheme="majorEastAsia" w:hAnsi="Times New Roman" w:cs="Times New Roman"/>
          <w:sz w:val="24"/>
          <w:szCs w:val="24"/>
        </w:rPr>
        <w:t xml:space="preserve">, </w:t>
      </w:r>
      <w:r w:rsidR="001E6B60">
        <w:rPr>
          <w:rFonts w:ascii="Times New Roman" w:eastAsiaTheme="majorEastAsia" w:hAnsi="Times New Roman" w:cs="Times New Roman"/>
          <w:sz w:val="24"/>
          <w:szCs w:val="24"/>
        </w:rPr>
        <w:t>m</w:t>
      </w:r>
      <w:r w:rsidR="00AE7DC0" w:rsidRPr="005D5256">
        <w:rPr>
          <w:rFonts w:ascii="Times New Roman" w:eastAsiaTheme="majorEastAsia" w:hAnsi="Times New Roman" w:cs="Times New Roman"/>
          <w:sz w:val="24"/>
          <w:szCs w:val="24"/>
        </w:rPr>
        <w:t xml:space="preserve">y aim has been to </w:t>
      </w:r>
      <w:r w:rsidR="00C74758">
        <w:rPr>
          <w:rFonts w:ascii="Times New Roman" w:eastAsiaTheme="majorEastAsia" w:hAnsi="Times New Roman" w:cs="Times New Roman"/>
          <w:sz w:val="24"/>
          <w:szCs w:val="24"/>
        </w:rPr>
        <w:t xml:space="preserve">provoke consideration of </w:t>
      </w:r>
      <w:r w:rsidR="00D50AB7" w:rsidRPr="005D5256">
        <w:rPr>
          <w:rFonts w:ascii="Times New Roman" w:eastAsiaTheme="majorEastAsia" w:hAnsi="Times New Roman" w:cs="Times New Roman"/>
          <w:sz w:val="24"/>
          <w:szCs w:val="24"/>
        </w:rPr>
        <w:t>whether distinctions can be made between</w:t>
      </w:r>
      <w:r w:rsidR="008A17F1" w:rsidRPr="005D5256">
        <w:rPr>
          <w:rFonts w:ascii="Times New Roman" w:eastAsiaTheme="majorEastAsia" w:hAnsi="Times New Roman" w:cs="Times New Roman"/>
          <w:sz w:val="24"/>
          <w:szCs w:val="24"/>
        </w:rPr>
        <w:t>, on the one hand,</w:t>
      </w:r>
      <w:r w:rsidR="00D50AB7" w:rsidRPr="005D5256">
        <w:rPr>
          <w:rFonts w:ascii="Times New Roman" w:eastAsiaTheme="majorEastAsia" w:hAnsi="Times New Roman" w:cs="Times New Roman"/>
          <w:sz w:val="24"/>
          <w:szCs w:val="24"/>
        </w:rPr>
        <w:t xml:space="preserve"> </w:t>
      </w:r>
      <w:r w:rsidR="00F37FFB" w:rsidRPr="005D5256">
        <w:rPr>
          <w:rFonts w:ascii="Times New Roman" w:eastAsiaTheme="majorEastAsia" w:hAnsi="Times New Roman" w:cs="Times New Roman"/>
          <w:sz w:val="24"/>
          <w:szCs w:val="24"/>
        </w:rPr>
        <w:t>what role a court of Human Rights should ideally have</w:t>
      </w:r>
      <w:r w:rsidR="00D574D8" w:rsidRPr="005D5256">
        <w:rPr>
          <w:rFonts w:ascii="Times New Roman" w:eastAsiaTheme="majorEastAsia" w:hAnsi="Times New Roman" w:cs="Times New Roman"/>
          <w:sz w:val="24"/>
          <w:szCs w:val="24"/>
        </w:rPr>
        <w:t xml:space="preserve"> (and so the form international human rights law should ideally take) </w:t>
      </w:r>
      <w:r w:rsidR="00D50AB7" w:rsidRPr="005D5256">
        <w:rPr>
          <w:rFonts w:ascii="Times New Roman" w:eastAsiaTheme="majorEastAsia" w:hAnsi="Times New Roman" w:cs="Times New Roman"/>
          <w:sz w:val="24"/>
          <w:szCs w:val="24"/>
        </w:rPr>
        <w:t>and</w:t>
      </w:r>
      <w:r w:rsidR="008A17F1" w:rsidRPr="005D5256">
        <w:rPr>
          <w:rFonts w:ascii="Times New Roman" w:eastAsiaTheme="majorEastAsia" w:hAnsi="Times New Roman" w:cs="Times New Roman"/>
          <w:sz w:val="24"/>
          <w:szCs w:val="24"/>
        </w:rPr>
        <w:t>, on the other,</w:t>
      </w:r>
      <w:r w:rsidR="00F37FFB" w:rsidRPr="005D5256">
        <w:rPr>
          <w:rFonts w:ascii="Times New Roman" w:eastAsiaTheme="majorEastAsia" w:hAnsi="Times New Roman" w:cs="Times New Roman"/>
          <w:sz w:val="24"/>
          <w:szCs w:val="24"/>
        </w:rPr>
        <w:t xml:space="preserve"> what role the Strasbourg Court, </w:t>
      </w:r>
      <w:r w:rsidR="00F37FFB" w:rsidRPr="005D5256">
        <w:rPr>
          <w:rFonts w:ascii="Times New Roman" w:eastAsiaTheme="majorEastAsia" w:hAnsi="Times New Roman" w:cs="Times New Roman"/>
          <w:i/>
          <w:sz w:val="24"/>
          <w:szCs w:val="24"/>
        </w:rPr>
        <w:t>mandated by the Convention</w:t>
      </w:r>
      <w:r w:rsidR="00301F55">
        <w:rPr>
          <w:rFonts w:ascii="Times New Roman" w:eastAsiaTheme="majorEastAsia" w:hAnsi="Times New Roman" w:cs="Times New Roman"/>
          <w:i/>
          <w:sz w:val="24"/>
          <w:szCs w:val="24"/>
        </w:rPr>
        <w:t xml:space="preserve"> (and so the States)</w:t>
      </w:r>
      <w:r w:rsidR="00F37FFB" w:rsidRPr="005D5256">
        <w:rPr>
          <w:rFonts w:ascii="Times New Roman" w:eastAsiaTheme="majorEastAsia" w:hAnsi="Times New Roman" w:cs="Times New Roman"/>
          <w:sz w:val="24"/>
          <w:szCs w:val="24"/>
        </w:rPr>
        <w:t>, actually has.</w:t>
      </w:r>
      <w:r w:rsidR="00BF6D81" w:rsidRPr="005D5256">
        <w:rPr>
          <w:rFonts w:ascii="Times New Roman" w:eastAsiaTheme="majorEastAsia" w:hAnsi="Times New Roman" w:cs="Times New Roman"/>
          <w:sz w:val="24"/>
          <w:szCs w:val="24"/>
        </w:rPr>
        <w:t xml:space="preserve"> I believe </w:t>
      </w:r>
      <w:r w:rsidR="00301F55">
        <w:rPr>
          <w:rFonts w:ascii="Times New Roman" w:eastAsiaTheme="majorEastAsia" w:hAnsi="Times New Roman" w:cs="Times New Roman"/>
          <w:sz w:val="24"/>
          <w:szCs w:val="24"/>
        </w:rPr>
        <w:t>this</w:t>
      </w:r>
      <w:r w:rsidR="00301F55" w:rsidRPr="005D5256">
        <w:rPr>
          <w:rFonts w:ascii="Times New Roman" w:eastAsiaTheme="majorEastAsia" w:hAnsi="Times New Roman" w:cs="Times New Roman"/>
          <w:sz w:val="24"/>
          <w:szCs w:val="24"/>
        </w:rPr>
        <w:t xml:space="preserve"> </w:t>
      </w:r>
      <w:r w:rsidR="00BF6D81" w:rsidRPr="005D5256">
        <w:rPr>
          <w:rFonts w:ascii="Times New Roman" w:eastAsiaTheme="majorEastAsia" w:hAnsi="Times New Roman" w:cs="Times New Roman"/>
          <w:sz w:val="24"/>
          <w:szCs w:val="24"/>
        </w:rPr>
        <w:t xml:space="preserve">question will </w:t>
      </w:r>
      <w:r w:rsidR="001A413D" w:rsidRPr="005D5256">
        <w:rPr>
          <w:rFonts w:ascii="Times New Roman" w:eastAsiaTheme="majorEastAsia" w:hAnsi="Times New Roman" w:cs="Times New Roman"/>
          <w:sz w:val="24"/>
          <w:szCs w:val="24"/>
        </w:rPr>
        <w:t xml:space="preserve">be </w:t>
      </w:r>
      <w:r w:rsidR="00301F55">
        <w:rPr>
          <w:rFonts w:ascii="Times New Roman" w:eastAsiaTheme="majorEastAsia" w:hAnsi="Times New Roman" w:cs="Times New Roman"/>
          <w:sz w:val="24"/>
          <w:szCs w:val="24"/>
        </w:rPr>
        <w:t xml:space="preserve">a </w:t>
      </w:r>
      <w:r w:rsidR="001A413D" w:rsidRPr="005D5256">
        <w:rPr>
          <w:rFonts w:ascii="Times New Roman" w:eastAsiaTheme="majorEastAsia" w:hAnsi="Times New Roman" w:cs="Times New Roman"/>
          <w:sz w:val="24"/>
          <w:szCs w:val="24"/>
        </w:rPr>
        <w:t xml:space="preserve">vital </w:t>
      </w:r>
      <w:r w:rsidR="00301F55">
        <w:rPr>
          <w:rFonts w:ascii="Times New Roman" w:eastAsiaTheme="majorEastAsia" w:hAnsi="Times New Roman" w:cs="Times New Roman"/>
          <w:sz w:val="24"/>
          <w:szCs w:val="24"/>
        </w:rPr>
        <w:t xml:space="preserve">consideration for </w:t>
      </w:r>
      <w:r w:rsidR="001A413D" w:rsidRPr="005D5256">
        <w:rPr>
          <w:rFonts w:ascii="Times New Roman" w:eastAsiaTheme="majorEastAsia" w:hAnsi="Times New Roman" w:cs="Times New Roman"/>
          <w:sz w:val="24"/>
          <w:szCs w:val="24"/>
        </w:rPr>
        <w:t xml:space="preserve">the future of the </w:t>
      </w:r>
      <w:r w:rsidR="00BF6D81" w:rsidRPr="005D5256">
        <w:rPr>
          <w:rFonts w:ascii="Times New Roman" w:eastAsiaTheme="majorEastAsia" w:hAnsi="Times New Roman" w:cs="Times New Roman"/>
          <w:sz w:val="24"/>
          <w:szCs w:val="24"/>
        </w:rPr>
        <w:t>Convention</w:t>
      </w:r>
      <w:r w:rsidR="001A413D" w:rsidRPr="005D5256">
        <w:rPr>
          <w:rFonts w:ascii="Times New Roman" w:eastAsiaTheme="majorEastAsia" w:hAnsi="Times New Roman" w:cs="Times New Roman"/>
          <w:sz w:val="24"/>
          <w:szCs w:val="24"/>
        </w:rPr>
        <w:t>, as it</w:t>
      </w:r>
      <w:r w:rsidR="00BF6D81" w:rsidRPr="005D5256">
        <w:rPr>
          <w:rFonts w:ascii="Times New Roman" w:eastAsiaTheme="majorEastAsia" w:hAnsi="Times New Roman" w:cs="Times New Roman"/>
          <w:sz w:val="24"/>
          <w:szCs w:val="24"/>
        </w:rPr>
        <w:t xml:space="preserve"> passes seventy and looks to its centenary</w:t>
      </w:r>
      <w:r w:rsidR="001723C6">
        <w:rPr>
          <w:rFonts w:ascii="Times New Roman" w:eastAsiaTheme="majorEastAsia" w:hAnsi="Times New Roman" w:cs="Times New Roman"/>
          <w:sz w:val="24"/>
          <w:szCs w:val="24"/>
        </w:rPr>
        <w:t xml:space="preserve">. </w:t>
      </w:r>
    </w:p>
    <w:p w14:paraId="78FC830D" w14:textId="70BACDA2" w:rsidR="001466CB" w:rsidRPr="00BB48ED" w:rsidRDefault="00544D8D" w:rsidP="001466CB">
      <w:pPr>
        <w:spacing w:line="480" w:lineRule="auto"/>
        <w:jc w:val="both"/>
        <w:rPr>
          <w:rFonts w:ascii="Times New Roman" w:eastAsiaTheme="majorEastAsia" w:hAnsi="Times New Roman" w:cs="Times New Roman"/>
          <w:sz w:val="24"/>
          <w:szCs w:val="24"/>
        </w:rPr>
      </w:pPr>
      <w:r w:rsidRPr="00BB48ED">
        <w:rPr>
          <w:rFonts w:ascii="Times New Roman" w:eastAsiaTheme="majorEastAsia" w:hAnsi="Times New Roman" w:cs="Times New Roman"/>
          <w:sz w:val="24"/>
          <w:szCs w:val="24"/>
        </w:rPr>
        <w:t xml:space="preserve">I wish to see </w:t>
      </w:r>
      <w:r w:rsidR="007415BD" w:rsidRPr="00BB48ED">
        <w:rPr>
          <w:rFonts w:ascii="Times New Roman" w:eastAsiaTheme="majorEastAsia" w:hAnsi="Times New Roman" w:cs="Times New Roman"/>
          <w:sz w:val="24"/>
          <w:szCs w:val="24"/>
        </w:rPr>
        <w:t xml:space="preserve">the Convention and its Court </w:t>
      </w:r>
      <w:r w:rsidRPr="00BB48ED">
        <w:rPr>
          <w:rFonts w:ascii="Times New Roman" w:eastAsiaTheme="majorEastAsia" w:hAnsi="Times New Roman" w:cs="Times New Roman"/>
          <w:sz w:val="24"/>
          <w:szCs w:val="24"/>
        </w:rPr>
        <w:t>flourish</w:t>
      </w:r>
      <w:r w:rsidR="007415BD" w:rsidRPr="00BB48ED">
        <w:rPr>
          <w:rFonts w:ascii="Times New Roman" w:eastAsiaTheme="majorEastAsia" w:hAnsi="Times New Roman" w:cs="Times New Roman"/>
          <w:sz w:val="24"/>
          <w:szCs w:val="24"/>
        </w:rPr>
        <w:t xml:space="preserve"> in the years to come</w:t>
      </w:r>
      <w:r w:rsidRPr="00BB48ED">
        <w:rPr>
          <w:rFonts w:ascii="Times New Roman" w:eastAsiaTheme="majorEastAsia" w:hAnsi="Times New Roman" w:cs="Times New Roman"/>
          <w:sz w:val="24"/>
          <w:szCs w:val="24"/>
        </w:rPr>
        <w:t xml:space="preserve">, </w:t>
      </w:r>
      <w:r w:rsidR="00530661" w:rsidRPr="00BB48ED">
        <w:rPr>
          <w:rFonts w:ascii="Times New Roman" w:eastAsiaTheme="majorEastAsia" w:hAnsi="Times New Roman" w:cs="Times New Roman"/>
          <w:sz w:val="24"/>
          <w:szCs w:val="24"/>
        </w:rPr>
        <w:t>but</w:t>
      </w:r>
      <w:r w:rsidR="0075332D" w:rsidRPr="00BB48ED">
        <w:rPr>
          <w:rFonts w:ascii="Times New Roman" w:eastAsiaTheme="majorEastAsia" w:hAnsi="Times New Roman" w:cs="Times New Roman"/>
          <w:sz w:val="24"/>
          <w:szCs w:val="24"/>
        </w:rPr>
        <w:t xml:space="preserve"> for the reasons I have set out,</w:t>
      </w:r>
      <w:r w:rsidR="001A413D" w:rsidRPr="00BB48ED">
        <w:rPr>
          <w:rFonts w:ascii="Times New Roman" w:eastAsiaTheme="majorEastAsia" w:hAnsi="Times New Roman" w:cs="Times New Roman"/>
          <w:sz w:val="24"/>
          <w:szCs w:val="24"/>
        </w:rPr>
        <w:t xml:space="preserve"> believe that this </w:t>
      </w:r>
      <w:r w:rsidR="00D574D8" w:rsidRPr="00BB48ED">
        <w:rPr>
          <w:rFonts w:ascii="Times New Roman" w:eastAsiaTheme="majorEastAsia" w:hAnsi="Times New Roman" w:cs="Times New Roman"/>
          <w:sz w:val="24"/>
          <w:szCs w:val="24"/>
        </w:rPr>
        <w:t xml:space="preserve">may </w:t>
      </w:r>
      <w:r w:rsidR="001A413D" w:rsidRPr="00BB48ED">
        <w:rPr>
          <w:rFonts w:ascii="Times New Roman" w:eastAsiaTheme="majorEastAsia" w:hAnsi="Times New Roman" w:cs="Times New Roman"/>
          <w:sz w:val="24"/>
          <w:szCs w:val="24"/>
        </w:rPr>
        <w:t xml:space="preserve">require </w:t>
      </w:r>
      <w:r w:rsidR="007415BD" w:rsidRPr="00BB48ED">
        <w:rPr>
          <w:rFonts w:ascii="Times New Roman" w:eastAsiaTheme="majorEastAsia" w:hAnsi="Times New Roman" w:cs="Times New Roman"/>
          <w:sz w:val="24"/>
          <w:szCs w:val="24"/>
        </w:rPr>
        <w:t xml:space="preserve">the latter </w:t>
      </w:r>
      <w:r w:rsidR="001A413D" w:rsidRPr="00BB48ED">
        <w:rPr>
          <w:rFonts w:ascii="Times New Roman" w:eastAsiaTheme="majorEastAsia" w:hAnsi="Times New Roman" w:cs="Times New Roman"/>
          <w:sz w:val="24"/>
          <w:szCs w:val="24"/>
        </w:rPr>
        <w:t xml:space="preserve">to </w:t>
      </w:r>
      <w:r w:rsidR="00584D24">
        <w:rPr>
          <w:rFonts w:ascii="Times New Roman" w:eastAsiaTheme="majorEastAsia" w:hAnsi="Times New Roman" w:cs="Times New Roman"/>
          <w:sz w:val="24"/>
          <w:szCs w:val="24"/>
        </w:rPr>
        <w:t xml:space="preserve">continue to </w:t>
      </w:r>
      <w:r w:rsidR="001A413D" w:rsidRPr="00BB48ED">
        <w:rPr>
          <w:rFonts w:ascii="Times New Roman" w:eastAsiaTheme="majorEastAsia" w:hAnsi="Times New Roman" w:cs="Times New Roman"/>
          <w:sz w:val="24"/>
          <w:szCs w:val="24"/>
        </w:rPr>
        <w:t>operate</w:t>
      </w:r>
      <w:r w:rsidRPr="00BB48ED">
        <w:rPr>
          <w:rFonts w:ascii="Times New Roman" w:eastAsiaTheme="majorEastAsia" w:hAnsi="Times New Roman" w:cs="Times New Roman"/>
          <w:sz w:val="24"/>
          <w:szCs w:val="24"/>
        </w:rPr>
        <w:t xml:space="preserve"> </w:t>
      </w:r>
      <w:r w:rsidR="00584D24" w:rsidRPr="008D7FBC">
        <w:rPr>
          <w:rFonts w:ascii="Times New Roman" w:eastAsiaTheme="majorEastAsia" w:hAnsi="Times New Roman" w:cs="Times New Roman"/>
          <w:i/>
          <w:sz w:val="24"/>
          <w:szCs w:val="24"/>
        </w:rPr>
        <w:t>some</w:t>
      </w:r>
      <w:r w:rsidR="00584D24">
        <w:rPr>
          <w:rFonts w:ascii="Times New Roman" w:eastAsiaTheme="majorEastAsia" w:hAnsi="Times New Roman" w:cs="Times New Roman"/>
          <w:sz w:val="24"/>
          <w:szCs w:val="24"/>
        </w:rPr>
        <w:t xml:space="preserve"> prudent </w:t>
      </w:r>
      <w:r w:rsidRPr="00BB48ED">
        <w:rPr>
          <w:rFonts w:ascii="Times New Roman" w:eastAsiaTheme="majorEastAsia" w:hAnsi="Times New Roman" w:cs="Times New Roman"/>
          <w:sz w:val="24"/>
          <w:szCs w:val="24"/>
        </w:rPr>
        <w:t xml:space="preserve">self-restraint in </w:t>
      </w:r>
      <w:r w:rsidRPr="008D7FBC">
        <w:rPr>
          <w:rFonts w:ascii="Times New Roman" w:eastAsiaTheme="majorEastAsia" w:hAnsi="Times New Roman" w:cs="Times New Roman"/>
          <w:i/>
          <w:sz w:val="24"/>
          <w:szCs w:val="24"/>
        </w:rPr>
        <w:t>some</w:t>
      </w:r>
      <w:r w:rsidRPr="00BB48ED">
        <w:rPr>
          <w:rFonts w:ascii="Times New Roman" w:eastAsiaTheme="majorEastAsia" w:hAnsi="Times New Roman" w:cs="Times New Roman"/>
          <w:sz w:val="24"/>
          <w:szCs w:val="24"/>
        </w:rPr>
        <w:t xml:space="preserve"> fields</w:t>
      </w:r>
      <w:r w:rsidR="00E0191D" w:rsidRPr="00BB48ED">
        <w:rPr>
          <w:rFonts w:ascii="Times New Roman" w:eastAsiaTheme="majorEastAsia" w:hAnsi="Times New Roman" w:cs="Times New Roman"/>
          <w:sz w:val="24"/>
          <w:szCs w:val="24"/>
        </w:rPr>
        <w:t xml:space="preserve">. </w:t>
      </w:r>
      <w:r w:rsidR="00654C74" w:rsidRPr="008D7FBC">
        <w:rPr>
          <w:rFonts w:ascii="Times New Roman" w:eastAsiaTheme="majorEastAsia" w:hAnsi="Times New Roman" w:cs="Times New Roman"/>
          <w:sz w:val="24"/>
          <w:szCs w:val="24"/>
        </w:rPr>
        <w:t xml:space="preserve">I recognise that </w:t>
      </w:r>
      <w:r w:rsidR="00BB48ED" w:rsidRPr="008D7FBC">
        <w:rPr>
          <w:rFonts w:ascii="Times New Roman" w:eastAsiaTheme="majorEastAsia" w:hAnsi="Times New Roman" w:cs="Times New Roman"/>
          <w:sz w:val="24"/>
          <w:szCs w:val="24"/>
        </w:rPr>
        <w:t xml:space="preserve">my position </w:t>
      </w:r>
      <w:r w:rsidR="00CE176F">
        <w:rPr>
          <w:rFonts w:ascii="Times New Roman" w:eastAsiaTheme="majorEastAsia" w:hAnsi="Times New Roman" w:cs="Times New Roman"/>
          <w:sz w:val="24"/>
          <w:szCs w:val="24"/>
        </w:rPr>
        <w:t xml:space="preserve">is made from the luxury of academia, and </w:t>
      </w:r>
      <w:r w:rsidR="0070077A">
        <w:rPr>
          <w:rFonts w:ascii="Times New Roman" w:eastAsiaTheme="majorEastAsia" w:hAnsi="Times New Roman" w:cs="Times New Roman"/>
          <w:sz w:val="24"/>
          <w:szCs w:val="24"/>
        </w:rPr>
        <w:t>would</w:t>
      </w:r>
      <w:r w:rsidR="00BB48ED" w:rsidRPr="008D7FBC">
        <w:rPr>
          <w:rFonts w:ascii="Times New Roman" w:eastAsiaTheme="majorEastAsia" w:hAnsi="Times New Roman" w:cs="Times New Roman"/>
          <w:sz w:val="24"/>
          <w:szCs w:val="24"/>
        </w:rPr>
        <w:t xml:space="preserve"> give rise to </w:t>
      </w:r>
      <w:r w:rsidR="00E0191D" w:rsidRPr="008D7FBC">
        <w:rPr>
          <w:rFonts w:ascii="Times New Roman" w:eastAsiaTheme="majorEastAsia" w:hAnsi="Times New Roman" w:cs="Times New Roman"/>
          <w:sz w:val="24"/>
          <w:szCs w:val="24"/>
        </w:rPr>
        <w:t>dilemma</w:t>
      </w:r>
      <w:r w:rsidR="00CE176F">
        <w:rPr>
          <w:rFonts w:ascii="Times New Roman" w:eastAsiaTheme="majorEastAsia" w:hAnsi="Times New Roman" w:cs="Times New Roman"/>
          <w:sz w:val="24"/>
          <w:szCs w:val="24"/>
        </w:rPr>
        <w:t>s</w:t>
      </w:r>
      <w:r w:rsidR="00E0191D" w:rsidRPr="008D7FBC">
        <w:rPr>
          <w:rFonts w:ascii="Times New Roman" w:eastAsiaTheme="majorEastAsia" w:hAnsi="Times New Roman" w:cs="Times New Roman"/>
          <w:sz w:val="24"/>
          <w:szCs w:val="24"/>
        </w:rPr>
        <w:t xml:space="preserve"> </w:t>
      </w:r>
      <w:r w:rsidR="00654C74" w:rsidRPr="008D7FBC">
        <w:rPr>
          <w:rFonts w:ascii="Times New Roman" w:eastAsiaTheme="majorEastAsia" w:hAnsi="Times New Roman" w:cs="Times New Roman"/>
          <w:sz w:val="24"/>
          <w:szCs w:val="24"/>
        </w:rPr>
        <w:t>for the Strasbourg judge</w:t>
      </w:r>
      <w:r w:rsidR="00CE176F">
        <w:rPr>
          <w:rFonts w:ascii="Times New Roman" w:eastAsiaTheme="majorEastAsia" w:hAnsi="Times New Roman" w:cs="Times New Roman"/>
          <w:sz w:val="24"/>
          <w:szCs w:val="24"/>
        </w:rPr>
        <w:t xml:space="preserve"> reluctant to disappoint applicants in fields where the Court </w:t>
      </w:r>
      <w:r w:rsidR="003D1A0C">
        <w:rPr>
          <w:rFonts w:ascii="Times New Roman" w:eastAsiaTheme="majorEastAsia" w:hAnsi="Times New Roman" w:cs="Times New Roman"/>
          <w:sz w:val="24"/>
          <w:szCs w:val="24"/>
        </w:rPr>
        <w:t>has the potential to</w:t>
      </w:r>
      <w:r w:rsidR="00CE176F">
        <w:rPr>
          <w:rFonts w:ascii="Times New Roman" w:eastAsiaTheme="majorEastAsia" w:hAnsi="Times New Roman" w:cs="Times New Roman"/>
          <w:sz w:val="24"/>
          <w:szCs w:val="24"/>
        </w:rPr>
        <w:t xml:space="preserve"> make a difference.</w:t>
      </w:r>
      <w:r w:rsidR="00CE176F" w:rsidRPr="00CE176F">
        <w:rPr>
          <w:rFonts w:ascii="Times New Roman" w:eastAsiaTheme="majorEastAsia" w:hAnsi="Times New Roman" w:cs="Times New Roman"/>
          <w:sz w:val="24"/>
          <w:szCs w:val="24"/>
        </w:rPr>
        <w:t xml:space="preserve"> </w:t>
      </w:r>
      <w:r w:rsidR="00584D24">
        <w:rPr>
          <w:rFonts w:ascii="Times New Roman" w:eastAsiaTheme="majorEastAsia" w:hAnsi="Times New Roman" w:cs="Times New Roman"/>
          <w:sz w:val="24"/>
          <w:szCs w:val="24"/>
        </w:rPr>
        <w:t>Indeed, b</w:t>
      </w:r>
      <w:r w:rsidR="00CE176F" w:rsidRPr="00D54F2B">
        <w:rPr>
          <w:rFonts w:ascii="Times New Roman" w:eastAsiaTheme="majorEastAsia" w:hAnsi="Times New Roman" w:cs="Times New Roman"/>
          <w:sz w:val="24"/>
          <w:szCs w:val="24"/>
        </w:rPr>
        <w:t xml:space="preserve">y not finding a violation of </w:t>
      </w:r>
      <w:r w:rsidR="00CE176F" w:rsidRPr="00D54F2B">
        <w:rPr>
          <w:rFonts w:ascii="Times New Roman" w:eastAsiaTheme="majorEastAsia" w:hAnsi="Times New Roman" w:cs="Times New Roman"/>
          <w:sz w:val="24"/>
          <w:szCs w:val="24"/>
        </w:rPr>
        <w:lastRenderedPageBreak/>
        <w:t xml:space="preserve">the Convention does the Court not risk appearing to condone some </w:t>
      </w:r>
      <w:r w:rsidR="00CE176F" w:rsidRPr="00BB48ED">
        <w:rPr>
          <w:rFonts w:ascii="Times New Roman" w:eastAsiaTheme="majorEastAsia" w:hAnsi="Times New Roman" w:cs="Times New Roman"/>
          <w:sz w:val="24"/>
          <w:szCs w:val="24"/>
        </w:rPr>
        <w:t>situations that</w:t>
      </w:r>
      <w:r w:rsidR="00CE176F" w:rsidRPr="00455BD9">
        <w:rPr>
          <w:rFonts w:ascii="Times New Roman" w:eastAsiaTheme="majorEastAsia" w:hAnsi="Times New Roman" w:cs="Times New Roman"/>
          <w:sz w:val="24"/>
          <w:szCs w:val="24"/>
        </w:rPr>
        <w:t xml:space="preserve"> </w:t>
      </w:r>
      <w:r w:rsidR="00CE176F" w:rsidRPr="00730DD5">
        <w:rPr>
          <w:rFonts w:ascii="Times New Roman" w:eastAsiaTheme="majorEastAsia" w:hAnsi="Times New Roman" w:cs="Times New Roman"/>
          <w:sz w:val="24"/>
          <w:szCs w:val="24"/>
        </w:rPr>
        <w:t>should be criticised</w:t>
      </w:r>
      <w:r w:rsidR="00CE176F">
        <w:rPr>
          <w:rFonts w:ascii="Times New Roman" w:eastAsiaTheme="majorEastAsia" w:hAnsi="Times New Roman" w:cs="Times New Roman"/>
          <w:sz w:val="24"/>
          <w:szCs w:val="24"/>
        </w:rPr>
        <w:t xml:space="preserve"> </w:t>
      </w:r>
      <w:r w:rsidR="00CE176F" w:rsidRPr="00D54F2B">
        <w:rPr>
          <w:rFonts w:ascii="Times New Roman" w:eastAsiaTheme="majorEastAsia" w:hAnsi="Times New Roman" w:cs="Times New Roman"/>
          <w:sz w:val="24"/>
          <w:szCs w:val="24"/>
        </w:rPr>
        <w:t xml:space="preserve">from a liberal-minded human rights </w:t>
      </w:r>
      <w:r w:rsidR="003D1A0C">
        <w:rPr>
          <w:rFonts w:ascii="Times New Roman" w:eastAsiaTheme="majorEastAsia" w:hAnsi="Times New Roman" w:cs="Times New Roman"/>
          <w:sz w:val="24"/>
          <w:szCs w:val="24"/>
        </w:rPr>
        <w:t>perspective</w:t>
      </w:r>
      <w:r w:rsidR="00CE176F" w:rsidRPr="00D54F2B">
        <w:rPr>
          <w:rFonts w:ascii="Times New Roman" w:eastAsiaTheme="majorEastAsia" w:hAnsi="Times New Roman" w:cs="Times New Roman"/>
          <w:sz w:val="24"/>
          <w:szCs w:val="24"/>
        </w:rPr>
        <w:t>?</w:t>
      </w:r>
      <w:r w:rsidR="00584D24">
        <w:rPr>
          <w:rFonts w:ascii="Times New Roman" w:eastAsiaTheme="majorEastAsia" w:hAnsi="Times New Roman" w:cs="Times New Roman"/>
          <w:sz w:val="24"/>
          <w:szCs w:val="24"/>
        </w:rPr>
        <w:t xml:space="preserve"> </w:t>
      </w:r>
      <w:r w:rsidR="001A38B6">
        <w:rPr>
          <w:rFonts w:ascii="Times New Roman" w:eastAsiaTheme="majorEastAsia" w:hAnsi="Times New Roman" w:cs="Times New Roman"/>
          <w:sz w:val="24"/>
          <w:szCs w:val="24"/>
        </w:rPr>
        <w:t>Hence, t</w:t>
      </w:r>
      <w:r w:rsidR="00BB48ED" w:rsidRPr="008D7FBC">
        <w:rPr>
          <w:rFonts w:ascii="Times New Roman" w:eastAsiaTheme="majorEastAsia" w:hAnsi="Times New Roman" w:cs="Times New Roman"/>
          <w:sz w:val="24"/>
          <w:szCs w:val="24"/>
        </w:rPr>
        <w:t xml:space="preserve">he Court’s failure to </w:t>
      </w:r>
      <w:r w:rsidR="00301F55">
        <w:rPr>
          <w:rFonts w:ascii="Times New Roman" w:eastAsiaTheme="majorEastAsia" w:hAnsi="Times New Roman" w:cs="Times New Roman"/>
          <w:sz w:val="24"/>
          <w:szCs w:val="24"/>
        </w:rPr>
        <w:t>find violations in some contexts</w:t>
      </w:r>
      <w:r w:rsidR="00BB48ED" w:rsidRPr="008D7FBC">
        <w:rPr>
          <w:rFonts w:ascii="Times New Roman" w:eastAsiaTheme="majorEastAsia" w:hAnsi="Times New Roman" w:cs="Times New Roman"/>
          <w:sz w:val="24"/>
          <w:szCs w:val="24"/>
        </w:rPr>
        <w:t xml:space="preserve"> may well incur the </w:t>
      </w:r>
      <w:r w:rsidR="00BB48ED" w:rsidRPr="00BB48ED">
        <w:rPr>
          <w:rFonts w:ascii="Times New Roman" w:eastAsiaTheme="majorEastAsia" w:hAnsi="Times New Roman" w:cs="Times New Roman"/>
          <w:sz w:val="24"/>
          <w:szCs w:val="24"/>
        </w:rPr>
        <w:t>disenchantment and criticism of future contributors to this journal</w:t>
      </w:r>
      <w:r w:rsidR="00584D24">
        <w:rPr>
          <w:rFonts w:ascii="Times New Roman" w:eastAsiaTheme="majorEastAsia" w:hAnsi="Times New Roman" w:cs="Times New Roman"/>
          <w:sz w:val="24"/>
          <w:szCs w:val="24"/>
        </w:rPr>
        <w:t>, eager to correct it</w:t>
      </w:r>
      <w:r w:rsidR="00931CD5">
        <w:rPr>
          <w:rFonts w:ascii="Times New Roman" w:eastAsiaTheme="majorEastAsia" w:hAnsi="Times New Roman" w:cs="Times New Roman"/>
          <w:sz w:val="24"/>
          <w:szCs w:val="24"/>
        </w:rPr>
        <w:t xml:space="preserve"> and see Strasbourg catalyse </w:t>
      </w:r>
      <w:r w:rsidR="00507815">
        <w:rPr>
          <w:rFonts w:ascii="Times New Roman" w:eastAsiaTheme="majorEastAsia" w:hAnsi="Times New Roman" w:cs="Times New Roman"/>
          <w:sz w:val="24"/>
          <w:szCs w:val="24"/>
        </w:rPr>
        <w:t xml:space="preserve">change in </w:t>
      </w:r>
      <w:r w:rsidR="00931CD5">
        <w:rPr>
          <w:rFonts w:ascii="Times New Roman" w:eastAsiaTheme="majorEastAsia" w:hAnsi="Times New Roman" w:cs="Times New Roman"/>
          <w:sz w:val="24"/>
          <w:szCs w:val="24"/>
        </w:rPr>
        <w:t>their chosen field of law</w:t>
      </w:r>
      <w:r w:rsidR="00BB48ED" w:rsidRPr="00BB48ED">
        <w:rPr>
          <w:rFonts w:ascii="Times New Roman" w:eastAsiaTheme="majorEastAsia" w:hAnsi="Times New Roman" w:cs="Times New Roman"/>
          <w:sz w:val="24"/>
          <w:szCs w:val="24"/>
        </w:rPr>
        <w:t>.</w:t>
      </w:r>
      <w:r w:rsidR="00BB48ED">
        <w:rPr>
          <w:rFonts w:ascii="Times New Roman" w:eastAsiaTheme="majorEastAsia" w:hAnsi="Times New Roman" w:cs="Times New Roman"/>
          <w:sz w:val="24"/>
          <w:szCs w:val="24"/>
        </w:rPr>
        <w:t xml:space="preserve"> </w:t>
      </w:r>
      <w:r w:rsidR="00AF440F">
        <w:rPr>
          <w:rFonts w:ascii="Times New Roman" w:eastAsiaTheme="majorEastAsia" w:hAnsi="Times New Roman" w:cs="Times New Roman"/>
          <w:sz w:val="24"/>
          <w:szCs w:val="24"/>
        </w:rPr>
        <w:t>Yet i</w:t>
      </w:r>
      <w:r w:rsidR="00BB48ED">
        <w:rPr>
          <w:rFonts w:ascii="Times New Roman" w:eastAsiaTheme="majorEastAsia" w:hAnsi="Times New Roman" w:cs="Times New Roman"/>
          <w:sz w:val="24"/>
          <w:szCs w:val="24"/>
        </w:rPr>
        <w:t xml:space="preserve">f so, I encourage </w:t>
      </w:r>
      <w:r w:rsidR="00AF440F">
        <w:rPr>
          <w:rFonts w:ascii="Times New Roman" w:eastAsiaTheme="majorEastAsia" w:hAnsi="Times New Roman" w:cs="Times New Roman"/>
          <w:sz w:val="24"/>
          <w:szCs w:val="24"/>
        </w:rPr>
        <w:t xml:space="preserve">those contributors to articulate why the matter is a violation of the European Convention on Human Rights </w:t>
      </w:r>
      <w:r w:rsidR="00301F55">
        <w:rPr>
          <w:rFonts w:ascii="Times New Roman" w:eastAsiaTheme="majorEastAsia" w:hAnsi="Times New Roman" w:cs="Times New Roman"/>
          <w:sz w:val="24"/>
          <w:szCs w:val="24"/>
        </w:rPr>
        <w:t>specifically</w:t>
      </w:r>
      <w:r w:rsidR="00AF440F">
        <w:rPr>
          <w:rFonts w:ascii="Times New Roman" w:eastAsiaTheme="majorEastAsia" w:hAnsi="Times New Roman" w:cs="Times New Roman"/>
          <w:sz w:val="24"/>
          <w:szCs w:val="24"/>
        </w:rPr>
        <w:t xml:space="preserve"> and to at least be alert to the </w:t>
      </w:r>
      <w:r w:rsidR="00584D24">
        <w:rPr>
          <w:rFonts w:ascii="Times New Roman" w:eastAsiaTheme="majorEastAsia" w:hAnsi="Times New Roman" w:cs="Times New Roman"/>
          <w:sz w:val="24"/>
          <w:szCs w:val="24"/>
        </w:rPr>
        <w:t xml:space="preserve">(inconvenient?) </w:t>
      </w:r>
      <w:r w:rsidR="00AF440F">
        <w:rPr>
          <w:rFonts w:ascii="Times New Roman" w:eastAsiaTheme="majorEastAsia" w:hAnsi="Times New Roman" w:cs="Times New Roman"/>
          <w:sz w:val="24"/>
          <w:szCs w:val="24"/>
        </w:rPr>
        <w:t>wider considerations I have sought to draw attention to</w:t>
      </w:r>
      <w:r w:rsidR="00584D24">
        <w:rPr>
          <w:rFonts w:ascii="Times New Roman" w:eastAsiaTheme="majorEastAsia" w:hAnsi="Times New Roman" w:cs="Times New Roman"/>
          <w:sz w:val="24"/>
          <w:szCs w:val="24"/>
        </w:rPr>
        <w:t>,</w:t>
      </w:r>
      <w:r w:rsidR="00301F55">
        <w:rPr>
          <w:rFonts w:ascii="Times New Roman" w:eastAsiaTheme="majorEastAsia" w:hAnsi="Times New Roman" w:cs="Times New Roman"/>
          <w:sz w:val="24"/>
          <w:szCs w:val="24"/>
        </w:rPr>
        <w:t xml:space="preserve"> and some of the </w:t>
      </w:r>
      <w:r w:rsidR="00584D24">
        <w:rPr>
          <w:rFonts w:ascii="Times New Roman" w:eastAsiaTheme="majorEastAsia" w:hAnsi="Times New Roman" w:cs="Times New Roman"/>
          <w:sz w:val="24"/>
          <w:szCs w:val="24"/>
        </w:rPr>
        <w:t xml:space="preserve">potential </w:t>
      </w:r>
      <w:r w:rsidR="00301F55">
        <w:rPr>
          <w:rFonts w:ascii="Times New Roman" w:eastAsiaTheme="majorEastAsia" w:hAnsi="Times New Roman" w:cs="Times New Roman"/>
          <w:sz w:val="24"/>
          <w:szCs w:val="24"/>
        </w:rPr>
        <w:t xml:space="preserve">dilemmas </w:t>
      </w:r>
      <w:r w:rsidR="00584D24">
        <w:rPr>
          <w:rFonts w:ascii="Times New Roman" w:eastAsiaTheme="majorEastAsia" w:hAnsi="Times New Roman" w:cs="Times New Roman"/>
          <w:sz w:val="24"/>
          <w:szCs w:val="24"/>
        </w:rPr>
        <w:t>occurring</w:t>
      </w:r>
      <w:r w:rsidR="00301F55">
        <w:rPr>
          <w:rFonts w:ascii="Times New Roman" w:eastAsiaTheme="majorEastAsia" w:hAnsi="Times New Roman" w:cs="Times New Roman"/>
          <w:sz w:val="24"/>
          <w:szCs w:val="24"/>
        </w:rPr>
        <w:t xml:space="preserve"> </w:t>
      </w:r>
      <w:r w:rsidR="00584D24">
        <w:rPr>
          <w:rFonts w:ascii="Times New Roman" w:eastAsiaTheme="majorEastAsia" w:hAnsi="Times New Roman" w:cs="Times New Roman"/>
          <w:sz w:val="24"/>
          <w:szCs w:val="24"/>
        </w:rPr>
        <w:t xml:space="preserve">there </w:t>
      </w:r>
      <w:r w:rsidR="003D1A0C">
        <w:rPr>
          <w:rFonts w:ascii="Times New Roman" w:eastAsiaTheme="majorEastAsia" w:hAnsi="Times New Roman" w:cs="Times New Roman"/>
          <w:sz w:val="24"/>
          <w:szCs w:val="24"/>
        </w:rPr>
        <w:t>in relation to</w:t>
      </w:r>
      <w:r w:rsidR="00584D24">
        <w:rPr>
          <w:rFonts w:ascii="Times New Roman" w:eastAsiaTheme="majorEastAsia" w:hAnsi="Times New Roman" w:cs="Times New Roman"/>
          <w:sz w:val="24"/>
          <w:szCs w:val="24"/>
        </w:rPr>
        <w:t xml:space="preserve"> the Court’s longer-term future</w:t>
      </w:r>
      <w:r w:rsidR="00AF440F">
        <w:rPr>
          <w:rFonts w:ascii="Times New Roman" w:eastAsiaTheme="majorEastAsia" w:hAnsi="Times New Roman" w:cs="Times New Roman"/>
          <w:sz w:val="24"/>
          <w:szCs w:val="24"/>
        </w:rPr>
        <w:t>.</w:t>
      </w:r>
      <w:r w:rsidR="00931CD5">
        <w:rPr>
          <w:rFonts w:ascii="Times New Roman" w:eastAsiaTheme="majorEastAsia" w:hAnsi="Times New Roman" w:cs="Times New Roman"/>
          <w:sz w:val="24"/>
          <w:szCs w:val="24"/>
        </w:rPr>
        <w:t xml:space="preserve"> A failure to do so may </w:t>
      </w:r>
      <w:r w:rsidR="001466CB" w:rsidRPr="00931CD5">
        <w:rPr>
          <w:rFonts w:ascii="Times New Roman" w:eastAsiaTheme="majorEastAsia" w:hAnsi="Times New Roman" w:cs="Times New Roman"/>
          <w:sz w:val="24"/>
          <w:szCs w:val="24"/>
        </w:rPr>
        <w:t xml:space="preserve">risk attempts by </w:t>
      </w:r>
      <w:r w:rsidR="00931CD5">
        <w:rPr>
          <w:rFonts w:ascii="Times New Roman" w:eastAsiaTheme="majorEastAsia" w:hAnsi="Times New Roman" w:cs="Times New Roman"/>
          <w:sz w:val="24"/>
          <w:szCs w:val="24"/>
        </w:rPr>
        <w:t xml:space="preserve">some </w:t>
      </w:r>
      <w:r w:rsidR="001466CB" w:rsidRPr="00931CD5">
        <w:rPr>
          <w:rFonts w:ascii="Times New Roman" w:eastAsiaTheme="majorEastAsia" w:hAnsi="Times New Roman" w:cs="Times New Roman"/>
          <w:sz w:val="24"/>
          <w:szCs w:val="24"/>
        </w:rPr>
        <w:t>States to curtail the Court’s power</w:t>
      </w:r>
      <w:r w:rsidR="00931CD5">
        <w:rPr>
          <w:rFonts w:ascii="Times New Roman" w:eastAsiaTheme="majorEastAsia" w:hAnsi="Times New Roman" w:cs="Times New Roman"/>
          <w:sz w:val="24"/>
          <w:szCs w:val="24"/>
        </w:rPr>
        <w:t xml:space="preserve"> as the ‘Conscience of Europe’, </w:t>
      </w:r>
      <w:r w:rsidR="00507815">
        <w:rPr>
          <w:rFonts w:ascii="Times New Roman" w:eastAsiaTheme="majorEastAsia" w:hAnsi="Times New Roman" w:cs="Times New Roman"/>
          <w:sz w:val="24"/>
          <w:szCs w:val="24"/>
        </w:rPr>
        <w:t xml:space="preserve">leading to </w:t>
      </w:r>
      <w:r w:rsidR="00931CD5">
        <w:rPr>
          <w:rFonts w:ascii="Times New Roman" w:eastAsiaTheme="majorEastAsia" w:hAnsi="Times New Roman" w:cs="Times New Roman"/>
          <w:sz w:val="24"/>
          <w:szCs w:val="24"/>
        </w:rPr>
        <w:t xml:space="preserve">a situation in which </w:t>
      </w:r>
      <w:r w:rsidR="00507815">
        <w:rPr>
          <w:rFonts w:ascii="Times New Roman" w:eastAsiaTheme="majorEastAsia" w:hAnsi="Times New Roman" w:cs="Times New Roman"/>
          <w:sz w:val="24"/>
          <w:szCs w:val="24"/>
        </w:rPr>
        <w:t xml:space="preserve">ultimately </w:t>
      </w:r>
      <w:r w:rsidR="00931CD5">
        <w:rPr>
          <w:rFonts w:ascii="Times New Roman" w:eastAsiaTheme="majorEastAsia" w:hAnsi="Times New Roman" w:cs="Times New Roman"/>
          <w:sz w:val="24"/>
          <w:szCs w:val="24"/>
        </w:rPr>
        <w:t xml:space="preserve">more </w:t>
      </w:r>
      <w:r w:rsidR="00507815">
        <w:rPr>
          <w:rFonts w:ascii="Times New Roman" w:eastAsiaTheme="majorEastAsia" w:hAnsi="Times New Roman" w:cs="Times New Roman"/>
          <w:sz w:val="24"/>
          <w:szCs w:val="24"/>
        </w:rPr>
        <w:t>is</w:t>
      </w:r>
      <w:r w:rsidR="00931CD5">
        <w:rPr>
          <w:rFonts w:ascii="Times New Roman" w:eastAsiaTheme="majorEastAsia" w:hAnsi="Times New Roman" w:cs="Times New Roman"/>
          <w:sz w:val="24"/>
          <w:szCs w:val="24"/>
        </w:rPr>
        <w:t xml:space="preserve"> lost than gained</w:t>
      </w:r>
      <w:r w:rsidR="001466CB" w:rsidRPr="00931CD5">
        <w:rPr>
          <w:rFonts w:ascii="Times New Roman" w:eastAsiaTheme="majorEastAsia" w:hAnsi="Times New Roman" w:cs="Times New Roman"/>
          <w:sz w:val="24"/>
          <w:szCs w:val="24"/>
        </w:rPr>
        <w:t>.</w:t>
      </w:r>
      <w:r w:rsidR="001466CB">
        <w:rPr>
          <w:rFonts w:ascii="Times New Roman" w:eastAsiaTheme="majorEastAsia" w:hAnsi="Times New Roman" w:cs="Times New Roman"/>
          <w:sz w:val="24"/>
          <w:szCs w:val="24"/>
        </w:rPr>
        <w:t xml:space="preserve"> </w:t>
      </w:r>
      <w:r w:rsidR="001466CB" w:rsidRPr="005D5256">
        <w:rPr>
          <w:rFonts w:ascii="Times New Roman" w:eastAsiaTheme="majorEastAsia" w:hAnsi="Times New Roman" w:cs="Times New Roman"/>
          <w:sz w:val="24"/>
          <w:szCs w:val="24"/>
        </w:rPr>
        <w:t>S</w:t>
      </w:r>
      <w:r w:rsidR="001466CB">
        <w:rPr>
          <w:rFonts w:ascii="Times New Roman" w:eastAsiaTheme="majorEastAsia" w:hAnsi="Times New Roman" w:cs="Times New Roman"/>
          <w:sz w:val="24"/>
          <w:szCs w:val="24"/>
        </w:rPr>
        <w:t>een this way, prudent s</w:t>
      </w:r>
      <w:r w:rsidR="001466CB" w:rsidRPr="005D5256">
        <w:rPr>
          <w:rFonts w:ascii="Times New Roman" w:eastAsiaTheme="majorEastAsia" w:hAnsi="Times New Roman" w:cs="Times New Roman"/>
          <w:sz w:val="24"/>
          <w:szCs w:val="24"/>
        </w:rPr>
        <w:t xml:space="preserve">elf-restraint </w:t>
      </w:r>
      <w:r w:rsidR="00931CD5">
        <w:rPr>
          <w:rFonts w:ascii="Times New Roman" w:eastAsiaTheme="majorEastAsia" w:hAnsi="Times New Roman" w:cs="Times New Roman"/>
          <w:sz w:val="24"/>
          <w:szCs w:val="24"/>
        </w:rPr>
        <w:t xml:space="preserve">may not be so negative, and especially, I suggest, as there </w:t>
      </w:r>
      <w:r w:rsidR="00AC799E">
        <w:rPr>
          <w:rFonts w:ascii="Times New Roman" w:eastAsiaTheme="majorEastAsia" w:hAnsi="Times New Roman" w:cs="Times New Roman"/>
          <w:sz w:val="24"/>
          <w:szCs w:val="24"/>
        </w:rPr>
        <w:t>may be</w:t>
      </w:r>
      <w:r w:rsidR="00931CD5">
        <w:rPr>
          <w:rFonts w:ascii="Times New Roman" w:eastAsiaTheme="majorEastAsia" w:hAnsi="Times New Roman" w:cs="Times New Roman"/>
          <w:sz w:val="24"/>
          <w:szCs w:val="24"/>
        </w:rPr>
        <w:t xml:space="preserve"> a further consideration</w:t>
      </w:r>
      <w:r w:rsidR="00507815">
        <w:rPr>
          <w:rFonts w:ascii="Times New Roman" w:eastAsiaTheme="majorEastAsia" w:hAnsi="Times New Roman" w:cs="Times New Roman"/>
          <w:sz w:val="24"/>
          <w:szCs w:val="24"/>
        </w:rPr>
        <w:t>s</w:t>
      </w:r>
      <w:r w:rsidR="00931CD5">
        <w:rPr>
          <w:rFonts w:ascii="Times New Roman" w:eastAsiaTheme="majorEastAsia" w:hAnsi="Times New Roman" w:cs="Times New Roman"/>
          <w:sz w:val="24"/>
          <w:szCs w:val="24"/>
        </w:rPr>
        <w:t xml:space="preserve"> </w:t>
      </w:r>
      <w:r w:rsidR="00AC799E">
        <w:rPr>
          <w:rFonts w:ascii="Times New Roman" w:eastAsiaTheme="majorEastAsia" w:hAnsi="Times New Roman" w:cs="Times New Roman"/>
          <w:sz w:val="24"/>
          <w:szCs w:val="24"/>
        </w:rPr>
        <w:t xml:space="preserve">emerging </w:t>
      </w:r>
      <w:r w:rsidR="00931CD5">
        <w:rPr>
          <w:rFonts w:ascii="Times New Roman" w:eastAsiaTheme="majorEastAsia" w:hAnsi="Times New Roman" w:cs="Times New Roman"/>
          <w:sz w:val="24"/>
          <w:szCs w:val="24"/>
        </w:rPr>
        <w:t>here</w:t>
      </w:r>
      <w:r w:rsidR="00F24BCB">
        <w:rPr>
          <w:rFonts w:ascii="Times New Roman" w:eastAsiaTheme="majorEastAsia" w:hAnsi="Times New Roman" w:cs="Times New Roman"/>
          <w:sz w:val="24"/>
          <w:szCs w:val="24"/>
        </w:rPr>
        <w:t xml:space="preserve"> for the future of the Convention system</w:t>
      </w:r>
      <w:r w:rsidR="00931CD5">
        <w:rPr>
          <w:rFonts w:ascii="Times New Roman" w:eastAsiaTheme="majorEastAsia" w:hAnsi="Times New Roman" w:cs="Times New Roman"/>
          <w:sz w:val="24"/>
          <w:szCs w:val="24"/>
        </w:rPr>
        <w:t xml:space="preserve">. If self-restraint </w:t>
      </w:r>
      <w:r w:rsidR="001466CB" w:rsidRPr="005D5256">
        <w:rPr>
          <w:rFonts w:ascii="Times New Roman" w:eastAsiaTheme="majorEastAsia" w:hAnsi="Times New Roman" w:cs="Times New Roman"/>
          <w:sz w:val="24"/>
          <w:szCs w:val="24"/>
        </w:rPr>
        <w:t>mean</w:t>
      </w:r>
      <w:r w:rsidR="00931CD5">
        <w:rPr>
          <w:rFonts w:ascii="Times New Roman" w:eastAsiaTheme="majorEastAsia" w:hAnsi="Times New Roman" w:cs="Times New Roman"/>
          <w:sz w:val="24"/>
          <w:szCs w:val="24"/>
        </w:rPr>
        <w:t>s</w:t>
      </w:r>
      <w:r w:rsidR="001466CB" w:rsidRPr="005D5256">
        <w:rPr>
          <w:rFonts w:ascii="Times New Roman" w:eastAsiaTheme="majorEastAsia" w:hAnsi="Times New Roman" w:cs="Times New Roman"/>
          <w:sz w:val="24"/>
          <w:szCs w:val="24"/>
        </w:rPr>
        <w:t xml:space="preserve"> that Strasbourg gains greater State support, </w:t>
      </w:r>
      <w:r w:rsidR="001466CB">
        <w:rPr>
          <w:rFonts w:ascii="Times New Roman" w:eastAsiaTheme="majorEastAsia" w:hAnsi="Times New Roman" w:cs="Times New Roman"/>
          <w:sz w:val="24"/>
          <w:szCs w:val="24"/>
        </w:rPr>
        <w:t>setting the foundations for a more durable Convention system</w:t>
      </w:r>
      <w:r w:rsidR="00931CD5">
        <w:rPr>
          <w:rFonts w:ascii="Times New Roman" w:eastAsiaTheme="majorEastAsia" w:hAnsi="Times New Roman" w:cs="Times New Roman"/>
          <w:sz w:val="24"/>
          <w:szCs w:val="24"/>
        </w:rPr>
        <w:t xml:space="preserve">, that system </w:t>
      </w:r>
      <w:r w:rsidR="001466CB">
        <w:rPr>
          <w:rFonts w:ascii="Times New Roman" w:eastAsiaTheme="majorEastAsia" w:hAnsi="Times New Roman" w:cs="Times New Roman"/>
          <w:sz w:val="24"/>
          <w:szCs w:val="24"/>
        </w:rPr>
        <w:t xml:space="preserve">may be </w:t>
      </w:r>
      <w:r w:rsidR="001466CB" w:rsidRPr="005D5256">
        <w:rPr>
          <w:rFonts w:ascii="Times New Roman" w:eastAsiaTheme="majorEastAsia" w:hAnsi="Times New Roman" w:cs="Times New Roman"/>
          <w:sz w:val="24"/>
          <w:szCs w:val="24"/>
        </w:rPr>
        <w:t xml:space="preserve">in a better position to perform the core, protective, democratic security function that the States express ‘profound belief’ in </w:t>
      </w:r>
      <w:r w:rsidR="001466CB">
        <w:rPr>
          <w:rFonts w:ascii="Times New Roman" w:eastAsiaTheme="majorEastAsia" w:hAnsi="Times New Roman" w:cs="Times New Roman"/>
          <w:sz w:val="24"/>
          <w:szCs w:val="24"/>
        </w:rPr>
        <w:t xml:space="preserve">in </w:t>
      </w:r>
      <w:r w:rsidR="001466CB" w:rsidRPr="005D5256">
        <w:rPr>
          <w:rFonts w:ascii="Times New Roman" w:eastAsiaTheme="majorEastAsia" w:hAnsi="Times New Roman" w:cs="Times New Roman"/>
          <w:sz w:val="24"/>
          <w:szCs w:val="24"/>
        </w:rPr>
        <w:t>paragraph four of the Convention’s Preamble</w:t>
      </w:r>
      <w:r w:rsidR="00931CD5">
        <w:rPr>
          <w:rFonts w:ascii="Times New Roman" w:eastAsiaTheme="majorEastAsia" w:hAnsi="Times New Roman" w:cs="Times New Roman"/>
          <w:sz w:val="24"/>
          <w:szCs w:val="24"/>
        </w:rPr>
        <w:t>. Over the las</w:t>
      </w:r>
      <w:r w:rsidR="00AC799E">
        <w:rPr>
          <w:rFonts w:ascii="Times New Roman" w:eastAsiaTheme="majorEastAsia" w:hAnsi="Times New Roman" w:cs="Times New Roman"/>
          <w:sz w:val="24"/>
          <w:szCs w:val="24"/>
        </w:rPr>
        <w:t>t</w:t>
      </w:r>
      <w:r w:rsidR="00931CD5">
        <w:rPr>
          <w:rFonts w:ascii="Times New Roman" w:eastAsiaTheme="majorEastAsia" w:hAnsi="Times New Roman" w:cs="Times New Roman"/>
          <w:sz w:val="24"/>
          <w:szCs w:val="24"/>
        </w:rPr>
        <w:t xml:space="preserve"> few years that role </w:t>
      </w:r>
      <w:r w:rsidR="001466CB">
        <w:rPr>
          <w:rFonts w:ascii="Times New Roman" w:eastAsiaTheme="majorEastAsia" w:hAnsi="Times New Roman" w:cs="Times New Roman"/>
          <w:sz w:val="24"/>
          <w:szCs w:val="24"/>
        </w:rPr>
        <w:t xml:space="preserve">has come to the fore, especially </w:t>
      </w:r>
      <w:r w:rsidR="00931CD5">
        <w:rPr>
          <w:rFonts w:ascii="Times New Roman" w:eastAsiaTheme="majorEastAsia" w:hAnsi="Times New Roman" w:cs="Times New Roman"/>
          <w:sz w:val="24"/>
          <w:szCs w:val="24"/>
        </w:rPr>
        <w:t xml:space="preserve">in cases </w:t>
      </w:r>
      <w:r w:rsidR="001466CB">
        <w:rPr>
          <w:rFonts w:ascii="Times New Roman" w:eastAsiaTheme="majorEastAsia" w:hAnsi="Times New Roman" w:cs="Times New Roman"/>
          <w:sz w:val="24"/>
          <w:szCs w:val="24"/>
        </w:rPr>
        <w:t>raising Article 18 issues</w:t>
      </w:r>
      <w:r w:rsidR="001466CB" w:rsidRPr="005D5256">
        <w:rPr>
          <w:rFonts w:ascii="Times New Roman" w:eastAsiaTheme="majorEastAsia" w:hAnsi="Times New Roman" w:cs="Times New Roman"/>
          <w:sz w:val="24"/>
          <w:szCs w:val="24"/>
        </w:rPr>
        <w:t xml:space="preserve">. It was in </w:t>
      </w:r>
      <w:r w:rsidR="001466CB">
        <w:rPr>
          <w:rFonts w:ascii="Times New Roman" w:eastAsiaTheme="majorEastAsia" w:hAnsi="Times New Roman" w:cs="Times New Roman"/>
          <w:sz w:val="24"/>
          <w:szCs w:val="24"/>
        </w:rPr>
        <w:t>such</w:t>
      </w:r>
      <w:r w:rsidR="001466CB" w:rsidRPr="005D5256">
        <w:rPr>
          <w:rFonts w:ascii="Times New Roman" w:eastAsiaTheme="majorEastAsia" w:hAnsi="Times New Roman" w:cs="Times New Roman"/>
          <w:sz w:val="24"/>
          <w:szCs w:val="24"/>
        </w:rPr>
        <w:t xml:space="preserve"> context</w:t>
      </w:r>
      <w:r w:rsidR="001466CB">
        <w:rPr>
          <w:rFonts w:ascii="Times New Roman" w:eastAsiaTheme="majorEastAsia" w:hAnsi="Times New Roman" w:cs="Times New Roman"/>
          <w:sz w:val="24"/>
          <w:szCs w:val="24"/>
        </w:rPr>
        <w:t>s</w:t>
      </w:r>
      <w:r w:rsidR="001466CB" w:rsidRPr="005D5256">
        <w:rPr>
          <w:rFonts w:ascii="Times New Roman" w:eastAsiaTheme="majorEastAsia" w:hAnsi="Times New Roman" w:cs="Times New Roman"/>
          <w:sz w:val="24"/>
          <w:szCs w:val="24"/>
        </w:rPr>
        <w:t xml:space="preserve"> that the phrase ‘</w:t>
      </w:r>
      <w:r w:rsidR="00931CD5">
        <w:rPr>
          <w:rFonts w:ascii="Times New Roman" w:eastAsiaTheme="majorEastAsia" w:hAnsi="Times New Roman" w:cs="Times New Roman"/>
          <w:sz w:val="24"/>
          <w:szCs w:val="24"/>
        </w:rPr>
        <w:t>C</w:t>
      </w:r>
      <w:r w:rsidR="001466CB" w:rsidRPr="005D5256">
        <w:rPr>
          <w:rFonts w:ascii="Times New Roman" w:eastAsiaTheme="majorEastAsia" w:hAnsi="Times New Roman" w:cs="Times New Roman"/>
          <w:sz w:val="24"/>
          <w:szCs w:val="24"/>
        </w:rPr>
        <w:t xml:space="preserve">onscience of Europe’ </w:t>
      </w:r>
      <w:r w:rsidR="001466CB">
        <w:rPr>
          <w:rFonts w:ascii="Times New Roman" w:eastAsiaTheme="majorEastAsia" w:hAnsi="Times New Roman" w:cs="Times New Roman"/>
          <w:sz w:val="24"/>
          <w:szCs w:val="24"/>
        </w:rPr>
        <w:t xml:space="preserve">would appear to originate, </w:t>
      </w:r>
      <w:r w:rsidR="00BF45CD">
        <w:rPr>
          <w:rFonts w:ascii="Times New Roman" w:eastAsiaTheme="majorEastAsia" w:hAnsi="Times New Roman" w:cs="Times New Roman"/>
          <w:sz w:val="24"/>
          <w:szCs w:val="24"/>
        </w:rPr>
        <w:t>back in 1949, when one of the Convention’s founding fathers, Pierre-Henri Teitgen, first advocated a European Court of Human Rights.</w:t>
      </w:r>
      <w:r w:rsidR="001466CB">
        <w:rPr>
          <w:rFonts w:ascii="Times New Roman" w:eastAsiaTheme="majorEastAsia" w:hAnsi="Times New Roman" w:cs="Times New Roman"/>
          <w:sz w:val="24"/>
          <w:szCs w:val="24"/>
        </w:rPr>
        <w:t xml:space="preserve"> </w:t>
      </w:r>
      <w:r w:rsidR="003A36E9">
        <w:rPr>
          <w:rStyle w:val="FootnoteReference"/>
          <w:rFonts w:ascii="Times New Roman" w:eastAsiaTheme="majorEastAsia" w:hAnsi="Times New Roman" w:cs="Times New Roman"/>
          <w:sz w:val="24"/>
          <w:szCs w:val="24"/>
        </w:rPr>
        <w:footnoteReference w:id="19"/>
      </w:r>
    </w:p>
    <w:p w14:paraId="2E091D59" w14:textId="77777777" w:rsidR="00A17AF0" w:rsidRPr="005D5256" w:rsidRDefault="00726D2A" w:rsidP="005D5256">
      <w:pPr>
        <w:spacing w:line="480" w:lineRule="auto"/>
        <w:jc w:val="both"/>
        <w:rPr>
          <w:rFonts w:ascii="Times New Roman" w:eastAsiaTheme="majorEastAsia" w:hAnsi="Times New Roman" w:cs="Times New Roman"/>
          <w:sz w:val="24"/>
          <w:szCs w:val="24"/>
        </w:rPr>
      </w:pPr>
      <w:r w:rsidRPr="005D5256">
        <w:rPr>
          <w:rFonts w:ascii="Times New Roman" w:eastAsiaTheme="majorEastAsia" w:hAnsi="Times New Roman" w:cs="Times New Roman"/>
          <w:sz w:val="24"/>
          <w:szCs w:val="24"/>
        </w:rPr>
        <w:t>END.</w:t>
      </w:r>
    </w:p>
    <w:sectPr w:rsidR="00A17AF0" w:rsidRPr="005D5256">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783485" w16cid:durableId="21C3F6AE"/>
  <w16cid:commentId w16cid:paraId="6883B3A5" w16cid:durableId="21C3F6AF"/>
  <w16cid:commentId w16cid:paraId="1F8FBF46" w16cid:durableId="21C3F6B0"/>
  <w16cid:commentId w16cid:paraId="68A99D58" w16cid:durableId="21C3F6B1"/>
  <w16cid:commentId w16cid:paraId="4E062CA8" w16cid:durableId="21C3F6B2"/>
  <w16cid:commentId w16cid:paraId="5DEC1441" w16cid:durableId="21C3F6B3"/>
  <w16cid:commentId w16cid:paraId="44D1D8AE" w16cid:durableId="21C3F6B4"/>
  <w16cid:commentId w16cid:paraId="41726799" w16cid:durableId="21C3F6B5"/>
  <w16cid:commentId w16cid:paraId="5CFD30FF" w16cid:durableId="21C3F6B6"/>
  <w16cid:commentId w16cid:paraId="7CEB2B64" w16cid:durableId="21C3F6B7"/>
  <w16cid:commentId w16cid:paraId="784D8D5C" w16cid:durableId="21C3F6B8"/>
  <w16cid:commentId w16cid:paraId="523503BF" w16cid:durableId="21C3F6B9"/>
  <w16cid:commentId w16cid:paraId="56DDA401" w16cid:durableId="21C3F6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FF78E" w14:textId="77777777" w:rsidR="0014578E" w:rsidRDefault="0014578E" w:rsidP="001D4FF2">
      <w:pPr>
        <w:spacing w:after="0" w:line="240" w:lineRule="auto"/>
      </w:pPr>
      <w:r>
        <w:separator/>
      </w:r>
    </w:p>
  </w:endnote>
  <w:endnote w:type="continuationSeparator" w:id="0">
    <w:p w14:paraId="5275D3FD" w14:textId="77777777" w:rsidR="0014578E" w:rsidRDefault="0014578E" w:rsidP="001D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406501"/>
      <w:docPartObj>
        <w:docPartGallery w:val="Page Numbers (Bottom of Page)"/>
        <w:docPartUnique/>
      </w:docPartObj>
    </w:sdtPr>
    <w:sdtEndPr>
      <w:rPr>
        <w:noProof/>
      </w:rPr>
    </w:sdtEndPr>
    <w:sdtContent>
      <w:p w14:paraId="536F25C2" w14:textId="07812733" w:rsidR="00D62321" w:rsidRDefault="00D62321">
        <w:pPr>
          <w:pStyle w:val="Footer"/>
          <w:jc w:val="center"/>
        </w:pPr>
        <w:r>
          <w:fldChar w:fldCharType="begin"/>
        </w:r>
        <w:r>
          <w:instrText xml:space="preserve"> PAGE   \* MERGEFORMAT </w:instrText>
        </w:r>
        <w:r>
          <w:fldChar w:fldCharType="separate"/>
        </w:r>
        <w:r w:rsidR="00D238A2">
          <w:rPr>
            <w:noProof/>
          </w:rPr>
          <w:t>2</w:t>
        </w:r>
        <w:r>
          <w:rPr>
            <w:noProof/>
          </w:rPr>
          <w:fldChar w:fldCharType="end"/>
        </w:r>
      </w:p>
    </w:sdtContent>
  </w:sdt>
  <w:p w14:paraId="259941B4" w14:textId="77777777" w:rsidR="00D62321" w:rsidRDefault="00D62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72C22" w14:textId="77777777" w:rsidR="0014578E" w:rsidRDefault="0014578E" w:rsidP="001D4FF2">
      <w:pPr>
        <w:spacing w:after="0" w:line="240" w:lineRule="auto"/>
      </w:pPr>
      <w:r>
        <w:separator/>
      </w:r>
    </w:p>
  </w:footnote>
  <w:footnote w:type="continuationSeparator" w:id="0">
    <w:p w14:paraId="7CFDACFA" w14:textId="77777777" w:rsidR="0014578E" w:rsidRDefault="0014578E" w:rsidP="001D4FF2">
      <w:pPr>
        <w:spacing w:after="0" w:line="240" w:lineRule="auto"/>
      </w:pPr>
      <w:r>
        <w:continuationSeparator/>
      </w:r>
    </w:p>
  </w:footnote>
  <w:footnote w:id="1">
    <w:p w14:paraId="4F03357E" w14:textId="7DF9B687" w:rsidR="00551F19" w:rsidRDefault="00551F19">
      <w:pPr>
        <w:pStyle w:val="FootnoteText"/>
      </w:pPr>
      <w:r w:rsidRPr="00551F19">
        <w:rPr>
          <w:rStyle w:val="FootnoteReference"/>
        </w:rPr>
        <w:sym w:font="Symbol" w:char="F02A"/>
      </w:r>
      <w:r>
        <w:t xml:space="preserve"> Associate Professor, University of Leicester. </w:t>
      </w:r>
      <w:r w:rsidRPr="00551F19">
        <w:t xml:space="preserve">This has been written without </w:t>
      </w:r>
      <w:r>
        <w:t xml:space="preserve">prior </w:t>
      </w:r>
      <w:r w:rsidRPr="00551F19">
        <w:t>sight of Judge Rozakis’ opinion piece</w:t>
      </w:r>
      <w:r w:rsidR="004E7927">
        <w:t>.</w:t>
      </w:r>
    </w:p>
  </w:footnote>
  <w:footnote w:id="2">
    <w:p w14:paraId="6DF1FCA0" w14:textId="0E202E98" w:rsidR="00A81A61" w:rsidRDefault="00A81A61" w:rsidP="00155DB9">
      <w:pPr>
        <w:pStyle w:val="FootnoteText"/>
      </w:pPr>
      <w:r>
        <w:rPr>
          <w:rStyle w:val="FootnoteReference"/>
        </w:rPr>
        <w:footnoteRef/>
      </w:r>
      <w:r>
        <w:t xml:space="preserve"> L Wildhaber, </w:t>
      </w:r>
      <w:r w:rsidR="00155DB9">
        <w:t xml:space="preserve">‘Recent criticism of the European Court of Human Rights’ in Gerhard Hafner et al (eds), </w:t>
      </w:r>
      <w:r w:rsidR="00155DB9" w:rsidRPr="008D7FBC">
        <w:rPr>
          <w:i/>
        </w:rPr>
        <w:t>Völkerrecht und die Dynamik der Menschenrechte: liber amicorum Wolfram Karl</w:t>
      </w:r>
      <w:r w:rsidR="00155DB9">
        <w:t xml:space="preserve">, (Wien, 2012) 160 at </w:t>
      </w:r>
      <w:r w:rsidR="00E94FF1">
        <w:t>162.</w:t>
      </w:r>
      <w:r w:rsidR="00155DB9">
        <w:t xml:space="preserve"> </w:t>
      </w:r>
    </w:p>
  </w:footnote>
  <w:footnote w:id="3">
    <w:p w14:paraId="480CBC32" w14:textId="03A828E8" w:rsidR="00A81A61" w:rsidRDefault="00A81A61">
      <w:pPr>
        <w:pStyle w:val="FootnoteText"/>
      </w:pPr>
      <w:r>
        <w:rPr>
          <w:rStyle w:val="FootnoteReference"/>
        </w:rPr>
        <w:footnoteRef/>
      </w:r>
      <w:r>
        <w:t xml:space="preserve"> P Mahoney, ‘</w:t>
      </w:r>
      <w:r w:rsidR="00797EF0">
        <w:t>Preface’</w:t>
      </w:r>
      <w:r>
        <w:t xml:space="preserve"> in </w:t>
      </w:r>
      <w:r w:rsidR="00797EF0">
        <w:t xml:space="preserve">M </w:t>
      </w:r>
      <w:r w:rsidRPr="00797EF0">
        <w:t>Bossuyt</w:t>
      </w:r>
      <w:r w:rsidR="00797EF0" w:rsidRPr="00797EF0">
        <w:t xml:space="preserve">, </w:t>
      </w:r>
      <w:r w:rsidR="00797EF0" w:rsidRPr="008D7FBC">
        <w:rPr>
          <w:i/>
        </w:rPr>
        <w:t>International Protection of Human Rights: Balanced Critical, Realistic</w:t>
      </w:r>
      <w:r w:rsidR="00797EF0">
        <w:t xml:space="preserve"> (Intersentia, 2016) xi at xi.</w:t>
      </w:r>
    </w:p>
  </w:footnote>
  <w:footnote w:id="4">
    <w:p w14:paraId="75601839" w14:textId="18FCD800" w:rsidR="00A81A61" w:rsidRDefault="00A81A61">
      <w:pPr>
        <w:pStyle w:val="FootnoteText"/>
      </w:pPr>
      <w:r>
        <w:rPr>
          <w:rStyle w:val="FootnoteReference"/>
        </w:rPr>
        <w:footnoteRef/>
      </w:r>
      <w:r>
        <w:t xml:space="preserve"> Ibid.</w:t>
      </w:r>
    </w:p>
  </w:footnote>
  <w:footnote w:id="5">
    <w:p w14:paraId="439F2C3F" w14:textId="3FBB00C7" w:rsidR="00A81A61" w:rsidRDefault="00A81A61" w:rsidP="00A81A61">
      <w:pPr>
        <w:pStyle w:val="FootnoteText"/>
      </w:pPr>
      <w:r>
        <w:rPr>
          <w:rStyle w:val="FootnoteReference"/>
        </w:rPr>
        <w:footnoteRef/>
      </w:r>
      <w:r>
        <w:t xml:space="preserve"> R Ryssdal, ‘The coming of age of the European Convention on Human Rights’, (1996) 1, EHRLR, 18 at 22.</w:t>
      </w:r>
    </w:p>
  </w:footnote>
  <w:footnote w:id="6">
    <w:p w14:paraId="7049A017" w14:textId="7236A9FC" w:rsidR="00A81A61" w:rsidRDefault="00A81A61">
      <w:pPr>
        <w:pStyle w:val="FootnoteText"/>
      </w:pPr>
      <w:r>
        <w:rPr>
          <w:rStyle w:val="FootnoteReference"/>
        </w:rPr>
        <w:footnoteRef/>
      </w:r>
      <w:r>
        <w:t xml:space="preserve"> M O’Boyle, </w:t>
      </w:r>
      <w:r w:rsidR="006127DF">
        <w:t>‘Reflections on the Effectiveness of the European System for the Protection of Human Rights’</w:t>
      </w:r>
      <w:r w:rsidR="00E94FF1">
        <w:t xml:space="preserve">, in A </w:t>
      </w:r>
      <w:r w:rsidRPr="00E94FF1">
        <w:t>Bayefsky</w:t>
      </w:r>
      <w:r w:rsidR="00E94FF1">
        <w:t xml:space="preserve">, </w:t>
      </w:r>
      <w:r w:rsidR="00E94FF1" w:rsidRPr="008D7FBC">
        <w:rPr>
          <w:i/>
        </w:rPr>
        <w:t>The UN Human Rights Treaty System in the 21st Century</w:t>
      </w:r>
      <w:r w:rsidR="00E94FF1">
        <w:t>, (</w:t>
      </w:r>
      <w:r w:rsidR="00E94FF1" w:rsidRPr="00E94FF1">
        <w:t>Brill</w:t>
      </w:r>
      <w:r w:rsidR="00E94FF1">
        <w:t xml:space="preserve">, </w:t>
      </w:r>
      <w:r w:rsidR="00E94FF1" w:rsidRPr="00E94FF1">
        <w:t>2000</w:t>
      </w:r>
      <w:r w:rsidR="00E94FF1">
        <w:t>) 169 at 169.</w:t>
      </w:r>
    </w:p>
  </w:footnote>
  <w:footnote w:id="7">
    <w:p w14:paraId="5F2CB31B" w14:textId="78133DF9" w:rsidR="00155DB9" w:rsidRDefault="00155DB9">
      <w:pPr>
        <w:pStyle w:val="FootnoteText"/>
      </w:pPr>
      <w:r>
        <w:rPr>
          <w:rStyle w:val="FootnoteReference"/>
        </w:rPr>
        <w:footnoteRef/>
      </w:r>
      <w:r>
        <w:t xml:space="preserve"> See fn </w:t>
      </w:r>
      <w:r w:rsidR="00CC75B2">
        <w:t>10</w:t>
      </w:r>
      <w:r>
        <w:t xml:space="preserve"> below (Petzold).</w:t>
      </w:r>
    </w:p>
  </w:footnote>
  <w:footnote w:id="8">
    <w:p w14:paraId="110CA78C" w14:textId="7190E43A" w:rsidR="00155DB9" w:rsidRDefault="00155DB9" w:rsidP="00155DB9">
      <w:pPr>
        <w:pStyle w:val="FootnoteText"/>
      </w:pPr>
      <w:r>
        <w:rPr>
          <w:rStyle w:val="FootnoteReference"/>
        </w:rPr>
        <w:footnoteRef/>
      </w:r>
      <w:r>
        <w:t xml:space="preserve"> L Wildhaber, ‘No consensus on consensus? The practice of the European Court of Human Rights’</w:t>
      </w:r>
      <w:r w:rsidR="00CC75B2">
        <w:t>,</w:t>
      </w:r>
      <w:r>
        <w:t xml:space="preserve"> (2013) 33, HRLJ 248 at </w:t>
      </w:r>
      <w:r w:rsidRPr="00155DB9">
        <w:t>256.</w:t>
      </w:r>
    </w:p>
  </w:footnote>
  <w:footnote w:id="9">
    <w:p w14:paraId="4927FE1C" w14:textId="274604EF" w:rsidR="007544F9" w:rsidRDefault="007544F9" w:rsidP="007544F9">
      <w:pPr>
        <w:pStyle w:val="FootnoteText"/>
      </w:pPr>
      <w:r>
        <w:rPr>
          <w:rStyle w:val="FootnoteReference"/>
        </w:rPr>
        <w:footnoteRef/>
      </w:r>
      <w:r>
        <w:t xml:space="preserve"> A Hudocs search indicates that since 1998</w:t>
      </w:r>
      <w:r w:rsidR="001F478F">
        <w:t>, i.e. Protocol 11,</w:t>
      </w:r>
      <w:r>
        <w:t xml:space="preserve"> the ‘new’ Court has delivered over 4,500 judgments which it ranks as either category one or two in </w:t>
      </w:r>
      <w:r w:rsidR="001716FB">
        <w:t xml:space="preserve">legal </w:t>
      </w:r>
      <w:r>
        <w:t>importance.</w:t>
      </w:r>
    </w:p>
  </w:footnote>
  <w:footnote w:id="10">
    <w:p w14:paraId="25659846" w14:textId="50F3DE46" w:rsidR="001A38B6" w:rsidRDefault="001A38B6">
      <w:pPr>
        <w:pStyle w:val="FootnoteText"/>
      </w:pPr>
      <w:r>
        <w:rPr>
          <w:rStyle w:val="FootnoteReference"/>
        </w:rPr>
        <w:footnoteRef/>
      </w:r>
      <w:r>
        <w:t xml:space="preserve"> </w:t>
      </w:r>
      <w:r w:rsidR="00155DB9">
        <w:t xml:space="preserve">For further comment, see E Bates, </w:t>
      </w:r>
      <w:r w:rsidR="00DC13E9">
        <w:t>‘Activism and self-restraint: the margin of appreciation's Strasbourg career— its coming of age?’ (2016) 36 HRLJ 261.</w:t>
      </w:r>
    </w:p>
  </w:footnote>
  <w:footnote w:id="11">
    <w:p w14:paraId="2E490AD6" w14:textId="36242FA5" w:rsidR="00CD4127" w:rsidRPr="00213823" w:rsidRDefault="000E319B" w:rsidP="00CD4127">
      <w:pPr>
        <w:pStyle w:val="EndnoteText"/>
        <w:jc w:val="both"/>
        <w:rPr>
          <w:rFonts w:asciiTheme="majorHAnsi" w:hAnsiTheme="majorHAnsi" w:cstheme="majorHAnsi"/>
        </w:rPr>
      </w:pPr>
      <w:r w:rsidRPr="007E64FD">
        <w:rPr>
          <w:rStyle w:val="FootnoteReference"/>
        </w:rPr>
        <w:footnoteRef/>
      </w:r>
      <w:r w:rsidR="00303393">
        <w:t xml:space="preserve"> Appendix to </w:t>
      </w:r>
      <w:r w:rsidR="00303393" w:rsidRPr="00303393">
        <w:t>CDDH contribution to the Ministerial Conference organised by the United Kingdom Chairmanship of the Committee of Ministers Adopted by the CDDH on 10 February 2012</w:t>
      </w:r>
      <w:r w:rsidR="00303393">
        <w:t xml:space="preserve"> (para 14).</w:t>
      </w:r>
      <w:r w:rsidR="00CD4127">
        <w:t xml:space="preserve"> </w:t>
      </w:r>
      <w:r w:rsidR="00CA19EF">
        <w:t>What is stated in this passage accord</w:t>
      </w:r>
      <w:r w:rsidR="00984427">
        <w:t>s</w:t>
      </w:r>
      <w:r w:rsidR="00CA19EF">
        <w:t xml:space="preserve"> with the </w:t>
      </w:r>
      <w:r w:rsidR="00CD4127">
        <w:t xml:space="preserve">classic account of what subsidiarity entails for the Strasbourg Court, at least up to the 1990s, </w:t>
      </w:r>
      <w:r w:rsidR="00CA19EF">
        <w:t xml:space="preserve">as </w:t>
      </w:r>
      <w:r w:rsidR="00CD4127">
        <w:t xml:space="preserve">found in </w:t>
      </w:r>
      <w:r w:rsidR="00CD4127" w:rsidRPr="00CD4127">
        <w:t xml:space="preserve">H Petzold ‘The Convention and the principle of subsidiarity’ in R MacDonald, F Matscher, H Petzold (eds), </w:t>
      </w:r>
      <w:r w:rsidR="00CD4127" w:rsidRPr="008D7FBC">
        <w:rPr>
          <w:i/>
        </w:rPr>
        <w:t>The European System for the Protection of Human Rights</w:t>
      </w:r>
      <w:r w:rsidR="00CD4127" w:rsidRPr="00CD4127">
        <w:t>, (Dordrecht: Martinus Nijhoff , 1993).</w:t>
      </w:r>
      <w:r w:rsidR="00CD4127">
        <w:t xml:space="preserve"> Heribert Petzold was the Court’s Registrar </w:t>
      </w:r>
      <w:r w:rsidR="00CA19EF">
        <w:t xml:space="preserve">1995-1998 (Deputy, 1975-1995). He </w:t>
      </w:r>
      <w:r w:rsidR="00CA19EF" w:rsidRPr="00213823">
        <w:rPr>
          <w:rFonts w:asciiTheme="majorHAnsi" w:hAnsiTheme="majorHAnsi" w:cstheme="majorHAnsi"/>
        </w:rPr>
        <w:t>identif</w:t>
      </w:r>
      <w:r w:rsidR="00CA19EF">
        <w:rPr>
          <w:rFonts w:asciiTheme="majorHAnsi" w:hAnsiTheme="majorHAnsi" w:cstheme="majorHAnsi"/>
        </w:rPr>
        <w:t>ied</w:t>
      </w:r>
      <w:r w:rsidR="00CD4127" w:rsidRPr="00213823">
        <w:rPr>
          <w:rFonts w:asciiTheme="majorHAnsi" w:hAnsiTheme="majorHAnsi" w:cstheme="majorHAnsi"/>
        </w:rPr>
        <w:t xml:space="preserve"> ‘the concept of subsidiarity’ as underlying ‘three crucial features of the [Convention] system’. Firstly, the non-exhaustive nature of the Convention’s protection, it protecting only certain rights, and with the States ‘free to provide better protection under their law or any other agreement’. Second, ‘running throughout the Convention’, as its institutions had continually stressed, was ‘the understanding that the national authorities, in accordance with the traditional role of the State, are generally in a better position than the supervisory European bodies to strike the balance between the interests of the community and the protection of the individual’s fundamental rights the search for which is inherent in the whole of the Convention’. To which end, he went on: ‘[t]hese two characteristics condition the search for common standards of human rights protection in the Convention community: uniformity may result in particular instances from the need to protect effectively the individual’s rights and freedoms, but – and this is the third feature of the system – uniformity is not at all the concern of the Convention’. Strasbourg’s role in interpreting the Convention was not to impose ‘uniform solutions but standards of conduct which will vary in each society of the Convention community; this necessarily entails a choice of the means of implementation for each Contracting State’</w:t>
      </w:r>
      <w:r w:rsidR="00DC13E9">
        <w:rPr>
          <w:rFonts w:asciiTheme="majorHAnsi" w:hAnsiTheme="majorHAnsi" w:cstheme="majorHAnsi"/>
        </w:rPr>
        <w:t>,</w:t>
      </w:r>
      <w:r w:rsidR="00CD4127" w:rsidRPr="00213823">
        <w:rPr>
          <w:rFonts w:asciiTheme="majorHAnsi" w:hAnsiTheme="majorHAnsi" w:cstheme="majorHAnsi"/>
        </w:rPr>
        <w:t xml:space="preserve"> Petzold at pp 60-61.</w:t>
      </w:r>
    </w:p>
    <w:p w14:paraId="1E4C621F" w14:textId="136F4224" w:rsidR="000E319B" w:rsidRPr="007E64FD" w:rsidRDefault="000E319B" w:rsidP="000E319B">
      <w:pPr>
        <w:pStyle w:val="FootnoteText"/>
      </w:pPr>
    </w:p>
  </w:footnote>
  <w:footnote w:id="12">
    <w:p w14:paraId="235CE95C" w14:textId="58AB43E5" w:rsidR="00DC13E9" w:rsidRDefault="00DC13E9">
      <w:pPr>
        <w:pStyle w:val="FootnoteText"/>
      </w:pPr>
      <w:r>
        <w:rPr>
          <w:rStyle w:val="FootnoteReference"/>
        </w:rPr>
        <w:footnoteRef/>
      </w:r>
      <w:r>
        <w:t xml:space="preserve"> </w:t>
      </w:r>
      <w:r w:rsidRPr="00DC13E9">
        <w:t xml:space="preserve">A H Robertson and J G Merrills, </w:t>
      </w:r>
      <w:r w:rsidRPr="008D7FBC">
        <w:rPr>
          <w:i/>
        </w:rPr>
        <w:t>Human Rights in the world: An Introduction to the Study of the International Protection of Human Rights</w:t>
      </w:r>
      <w:r w:rsidRPr="00DC13E9">
        <w:t xml:space="preserve">, (Manchester University Press: 4th ed. (1996), at </w:t>
      </w:r>
      <w:r w:rsidR="00797EF0">
        <w:t>339.</w:t>
      </w:r>
    </w:p>
  </w:footnote>
  <w:footnote w:id="13">
    <w:p w14:paraId="39951031" w14:textId="08A39185" w:rsidR="00DC13E9" w:rsidRDefault="00DC13E9">
      <w:pPr>
        <w:pStyle w:val="FootnoteText"/>
      </w:pPr>
      <w:r>
        <w:rPr>
          <w:rStyle w:val="FootnoteReference"/>
        </w:rPr>
        <w:footnoteRef/>
      </w:r>
      <w:r>
        <w:t xml:space="preserve"> </w:t>
      </w:r>
      <w:r w:rsidRPr="00DC13E9">
        <w:t>Lord Mackay of Clashfern</w:t>
      </w:r>
      <w:r>
        <w:t>, ‘</w:t>
      </w:r>
      <w:r w:rsidRPr="00DC13E9">
        <w:t>The margin of appreciation and the need for balance</w:t>
      </w:r>
      <w:r>
        <w:t xml:space="preserve">’, in </w:t>
      </w:r>
      <w:r w:rsidRPr="00DC13E9">
        <w:t xml:space="preserve">Mahoney, Paul </w:t>
      </w:r>
      <w:r>
        <w:t xml:space="preserve">et al </w:t>
      </w:r>
      <w:r w:rsidRPr="00DC13E9">
        <w:t>(ed.)</w:t>
      </w:r>
      <w:r>
        <w:t xml:space="preserve">, </w:t>
      </w:r>
      <w:r w:rsidRPr="008D7FBC">
        <w:rPr>
          <w:i/>
        </w:rPr>
        <w:t>Protecting human rights: the European perspective, studies in memory of Rolv Ryssdal</w:t>
      </w:r>
      <w:r>
        <w:t>, (</w:t>
      </w:r>
      <w:r w:rsidRPr="00DC13E9">
        <w:t>Köln</w:t>
      </w:r>
      <w:r>
        <w:t xml:space="preserve">, </w:t>
      </w:r>
      <w:r w:rsidRPr="00DC13E9">
        <w:t>Carl</w:t>
      </w:r>
      <w:r w:rsidR="00CC75B2">
        <w:t xml:space="preserve"> H</w:t>
      </w:r>
      <w:r w:rsidRPr="00DC13E9">
        <w:t>eymanns Verlag, 2000</w:t>
      </w:r>
      <w:r>
        <w:t>)</w:t>
      </w:r>
      <w:r w:rsidR="00797EF0">
        <w:t xml:space="preserve"> </w:t>
      </w:r>
      <w:r w:rsidRPr="00DC13E9">
        <w:t>837</w:t>
      </w:r>
      <w:r>
        <w:t xml:space="preserve"> at </w:t>
      </w:r>
      <w:r w:rsidR="00797EF0">
        <w:rPr>
          <w:sz w:val="28"/>
        </w:rPr>
        <w:t>838</w:t>
      </w:r>
      <w:r>
        <w:t>.</w:t>
      </w:r>
    </w:p>
  </w:footnote>
  <w:footnote w:id="14">
    <w:p w14:paraId="465EA0C9" w14:textId="0612541E" w:rsidR="00DC13E9" w:rsidRDefault="00DC13E9">
      <w:pPr>
        <w:pStyle w:val="FootnoteText"/>
      </w:pPr>
      <w:r>
        <w:rPr>
          <w:rStyle w:val="FootnoteReference"/>
        </w:rPr>
        <w:footnoteRef/>
      </w:r>
      <w:r>
        <w:t xml:space="preserve"> Ibid at </w:t>
      </w:r>
      <w:r w:rsidR="00797EF0">
        <w:t>842</w:t>
      </w:r>
      <w:r>
        <w:t>.</w:t>
      </w:r>
    </w:p>
  </w:footnote>
  <w:footnote w:id="15">
    <w:p w14:paraId="735D12F4" w14:textId="0831AA3D" w:rsidR="00E23BD4" w:rsidRDefault="00E23BD4" w:rsidP="00E23BD4">
      <w:pPr>
        <w:pStyle w:val="FootnoteText"/>
      </w:pPr>
      <w:r>
        <w:rPr>
          <w:rStyle w:val="FootnoteReference"/>
        </w:rPr>
        <w:footnoteRef/>
      </w:r>
      <w:r w:rsidR="00C9050C">
        <w:t xml:space="preserve"> I</w:t>
      </w:r>
      <w:r>
        <w:t xml:space="preserve">f the States had foreseen Strasbourg’s vastly expanded role since 1950, is it credible that they would not have redrafted Article 46(1), eg to provide some sort of check </w:t>
      </w:r>
      <w:r w:rsidR="00DC13E9">
        <w:t xml:space="preserve">in relation to </w:t>
      </w:r>
      <w:r>
        <w:t>the Court?</w:t>
      </w:r>
      <w:r w:rsidR="0063094D">
        <w:t xml:space="preserve"> Can the new Protocol 15 Preamble paragraph, and the message it communicates, be seen </w:t>
      </w:r>
      <w:r w:rsidR="00DC13E9">
        <w:t>against this backdrop</w:t>
      </w:r>
      <w:r w:rsidR="0063094D">
        <w:t>?</w:t>
      </w:r>
    </w:p>
  </w:footnote>
  <w:footnote w:id="16">
    <w:p w14:paraId="62EB8922" w14:textId="7881DB98" w:rsidR="003A36E9" w:rsidRDefault="003A36E9">
      <w:pPr>
        <w:pStyle w:val="FootnoteText"/>
      </w:pPr>
      <w:r>
        <w:rPr>
          <w:rStyle w:val="FootnoteReference"/>
        </w:rPr>
        <w:footnoteRef/>
      </w:r>
      <w:r>
        <w:t xml:space="preserve"> Cf </w:t>
      </w:r>
      <w:r w:rsidRPr="008D7FBC">
        <w:rPr>
          <w:i/>
        </w:rPr>
        <w:t>Tyrer v United Kingdom</w:t>
      </w:r>
      <w:r>
        <w:t xml:space="preserve"> hudocs (1978) para 31.</w:t>
      </w:r>
    </w:p>
  </w:footnote>
  <w:footnote w:id="17">
    <w:p w14:paraId="7C7F44A1" w14:textId="77777777" w:rsidR="00F24BCB" w:rsidRDefault="00F24BCB" w:rsidP="00F24BCB">
      <w:pPr>
        <w:pStyle w:val="FootnoteText"/>
      </w:pPr>
      <w:r>
        <w:rPr>
          <w:rStyle w:val="FootnoteReference"/>
        </w:rPr>
        <w:footnoteRef/>
      </w:r>
      <w:r>
        <w:t xml:space="preserve"> The Convention was opened for signature on 4 November 1950. The conditions required for the institution of the Court were established in 1959.</w:t>
      </w:r>
    </w:p>
  </w:footnote>
  <w:footnote w:id="18">
    <w:p w14:paraId="3978DD3C" w14:textId="20A61622" w:rsidR="00F24BCB" w:rsidRDefault="00F24BCB" w:rsidP="00F24BCB">
      <w:pPr>
        <w:pStyle w:val="FootnoteText"/>
      </w:pPr>
      <w:r>
        <w:rPr>
          <w:rStyle w:val="FootnoteReference"/>
        </w:rPr>
        <w:footnoteRef/>
      </w:r>
      <w:r>
        <w:t xml:space="preserve"> </w:t>
      </w:r>
      <w:r w:rsidRPr="003A36E9">
        <w:t xml:space="preserve"> As Professors van Dijk and G van Hoof once put it: ‘The success or failure of international instruments, including those like the European Convention, in the end depend on the political will of the States involved. Legal arguments, however cogent they may be, in the final analysis seldom override political considerations when States feel their vital interests are at stake’. P van Dijk/G van Hoof, </w:t>
      </w:r>
      <w:r w:rsidRPr="008D7FBC">
        <w:rPr>
          <w:i/>
        </w:rPr>
        <w:t>Theory and Practice of the European Convention on Human Rights</w:t>
      </w:r>
      <w:r w:rsidRPr="003A36E9">
        <w:t xml:space="preserve"> (2nd edn 1990), p 618</w:t>
      </w:r>
    </w:p>
  </w:footnote>
  <w:footnote w:id="19">
    <w:p w14:paraId="1202A1DC" w14:textId="745CA77F" w:rsidR="00E94FF1" w:rsidRDefault="003A36E9" w:rsidP="00E94FF1">
      <w:pPr>
        <w:pStyle w:val="FootnoteText"/>
      </w:pPr>
      <w:r>
        <w:rPr>
          <w:rStyle w:val="FootnoteReference"/>
        </w:rPr>
        <w:footnoteRef/>
      </w:r>
      <w:r>
        <w:t xml:space="preserve"> </w:t>
      </w:r>
      <w:r w:rsidR="00E94FF1">
        <w:t>Pierre-Henri Teitgen (‘It is necessary to intervene before it is too late. A conscience must exist somewhere which will sound the alarm to the minds of a nation, menaced by this progressive corruption, to war[n] them of the peril and to show them that they are progressing down a long road which leads far, sometimes</w:t>
      </w:r>
    </w:p>
    <w:p w14:paraId="50179666" w14:textId="6E2AF9FC" w:rsidR="00E94FF1" w:rsidRDefault="00E94FF1" w:rsidP="00E94FF1">
      <w:pPr>
        <w:pStyle w:val="FootnoteText"/>
      </w:pPr>
      <w:r>
        <w:t>even to Buchenwald or Dachau’), in A Roberston (ed), Collected Edition of the ‘travaux préparatoires’ of the ECHR, (The Hague: M. Nijhoff , 1975–1985) Vol I at 292.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E8B"/>
    <w:multiLevelType w:val="hybridMultilevel"/>
    <w:tmpl w:val="171025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5104AC"/>
    <w:multiLevelType w:val="hybridMultilevel"/>
    <w:tmpl w:val="DE26D098"/>
    <w:lvl w:ilvl="0" w:tplc="D2CC9C98">
      <w:start w:val="1"/>
      <w:numFmt w:val="decimal"/>
      <w:lvlText w:val="%1)"/>
      <w:lvlJc w:val="left"/>
      <w:pPr>
        <w:ind w:left="720" w:hanging="360"/>
      </w:pPr>
      <w:rPr>
        <w:rFonts w:eastAsia="FangSong"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313D7E"/>
    <w:multiLevelType w:val="hybridMultilevel"/>
    <w:tmpl w:val="DE26D098"/>
    <w:lvl w:ilvl="0" w:tplc="D2CC9C98">
      <w:start w:val="1"/>
      <w:numFmt w:val="decimal"/>
      <w:lvlText w:val="%1)"/>
      <w:lvlJc w:val="left"/>
      <w:pPr>
        <w:ind w:left="720" w:hanging="360"/>
      </w:pPr>
      <w:rPr>
        <w:rFonts w:eastAsia="FangSong"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9C3915"/>
    <w:multiLevelType w:val="hybridMultilevel"/>
    <w:tmpl w:val="66067B2A"/>
    <w:lvl w:ilvl="0" w:tplc="3F32E05A">
      <w:numFmt w:val="bullet"/>
      <w:lvlText w:val="-"/>
      <w:lvlJc w:val="left"/>
      <w:pPr>
        <w:ind w:left="720" w:hanging="360"/>
      </w:pPr>
      <w:rPr>
        <w:rFonts w:ascii="Garamond" w:eastAsiaTheme="majorEastAsia"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784C55"/>
    <w:multiLevelType w:val="hybridMultilevel"/>
    <w:tmpl w:val="F952514A"/>
    <w:lvl w:ilvl="0" w:tplc="F0382F7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A70B4D"/>
    <w:multiLevelType w:val="hybridMultilevel"/>
    <w:tmpl w:val="6066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837144"/>
    <w:multiLevelType w:val="hybridMultilevel"/>
    <w:tmpl w:val="DE26D098"/>
    <w:lvl w:ilvl="0" w:tplc="D2CC9C98">
      <w:start w:val="1"/>
      <w:numFmt w:val="decimal"/>
      <w:lvlText w:val="%1)"/>
      <w:lvlJc w:val="left"/>
      <w:pPr>
        <w:ind w:left="720" w:hanging="360"/>
      </w:pPr>
      <w:rPr>
        <w:rFonts w:eastAsia="FangSong"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D4"/>
    <w:rsid w:val="00025AAF"/>
    <w:rsid w:val="00046802"/>
    <w:rsid w:val="00050A86"/>
    <w:rsid w:val="000634FD"/>
    <w:rsid w:val="000669A0"/>
    <w:rsid w:val="00073A63"/>
    <w:rsid w:val="00082897"/>
    <w:rsid w:val="0009559B"/>
    <w:rsid w:val="000A4FC1"/>
    <w:rsid w:val="000B201D"/>
    <w:rsid w:val="000C1EDD"/>
    <w:rsid w:val="000E319B"/>
    <w:rsid w:val="000F100D"/>
    <w:rsid w:val="000F53C5"/>
    <w:rsid w:val="001031ED"/>
    <w:rsid w:val="001146AB"/>
    <w:rsid w:val="00116D87"/>
    <w:rsid w:val="001264DF"/>
    <w:rsid w:val="00141945"/>
    <w:rsid w:val="0014578E"/>
    <w:rsid w:val="001466CB"/>
    <w:rsid w:val="00151810"/>
    <w:rsid w:val="00152EE6"/>
    <w:rsid w:val="00155DB9"/>
    <w:rsid w:val="00167916"/>
    <w:rsid w:val="00171570"/>
    <w:rsid w:val="001716FB"/>
    <w:rsid w:val="001723C6"/>
    <w:rsid w:val="00186E43"/>
    <w:rsid w:val="00192AE1"/>
    <w:rsid w:val="00193F08"/>
    <w:rsid w:val="001A38B6"/>
    <w:rsid w:val="001A413D"/>
    <w:rsid w:val="001A675A"/>
    <w:rsid w:val="001C5678"/>
    <w:rsid w:val="001D4FF2"/>
    <w:rsid w:val="001D51B4"/>
    <w:rsid w:val="001E6B60"/>
    <w:rsid w:val="001E7361"/>
    <w:rsid w:val="001F3625"/>
    <w:rsid w:val="001F3E20"/>
    <w:rsid w:val="001F478F"/>
    <w:rsid w:val="00203297"/>
    <w:rsid w:val="0020521A"/>
    <w:rsid w:val="002052E9"/>
    <w:rsid w:val="00205635"/>
    <w:rsid w:val="00207524"/>
    <w:rsid w:val="00221EAB"/>
    <w:rsid w:val="00233E03"/>
    <w:rsid w:val="002412A7"/>
    <w:rsid w:val="00247822"/>
    <w:rsid w:val="00247EBF"/>
    <w:rsid w:val="00260062"/>
    <w:rsid w:val="00260EF5"/>
    <w:rsid w:val="00282BBD"/>
    <w:rsid w:val="002A1372"/>
    <w:rsid w:val="002A1E2F"/>
    <w:rsid w:val="002A2E92"/>
    <w:rsid w:val="002C17DA"/>
    <w:rsid w:val="002C188A"/>
    <w:rsid w:val="002D1896"/>
    <w:rsid w:val="002D5F34"/>
    <w:rsid w:val="002E1CAC"/>
    <w:rsid w:val="002E5E24"/>
    <w:rsid w:val="002F5048"/>
    <w:rsid w:val="00301F55"/>
    <w:rsid w:val="00303393"/>
    <w:rsid w:val="00305721"/>
    <w:rsid w:val="00337D31"/>
    <w:rsid w:val="003477B5"/>
    <w:rsid w:val="00350D85"/>
    <w:rsid w:val="0035632B"/>
    <w:rsid w:val="00371C12"/>
    <w:rsid w:val="00374960"/>
    <w:rsid w:val="00376F70"/>
    <w:rsid w:val="003846FD"/>
    <w:rsid w:val="00392494"/>
    <w:rsid w:val="0039277E"/>
    <w:rsid w:val="003A0ACA"/>
    <w:rsid w:val="003A101A"/>
    <w:rsid w:val="003A109A"/>
    <w:rsid w:val="003A36E9"/>
    <w:rsid w:val="003A52B6"/>
    <w:rsid w:val="003C0CDE"/>
    <w:rsid w:val="003C1485"/>
    <w:rsid w:val="003C4839"/>
    <w:rsid w:val="003D1A0C"/>
    <w:rsid w:val="003D3B71"/>
    <w:rsid w:val="003D4EA1"/>
    <w:rsid w:val="003D61BA"/>
    <w:rsid w:val="003D642E"/>
    <w:rsid w:val="00406FD5"/>
    <w:rsid w:val="00407C9D"/>
    <w:rsid w:val="00410ED9"/>
    <w:rsid w:val="00412EFA"/>
    <w:rsid w:val="004158A2"/>
    <w:rsid w:val="00417AE7"/>
    <w:rsid w:val="00417F47"/>
    <w:rsid w:val="00430571"/>
    <w:rsid w:val="0043729D"/>
    <w:rsid w:val="00440DCF"/>
    <w:rsid w:val="00455BD9"/>
    <w:rsid w:val="004565FC"/>
    <w:rsid w:val="0046772B"/>
    <w:rsid w:val="00472C74"/>
    <w:rsid w:val="00480E9A"/>
    <w:rsid w:val="00482FB9"/>
    <w:rsid w:val="004916DD"/>
    <w:rsid w:val="004A4049"/>
    <w:rsid w:val="004A6445"/>
    <w:rsid w:val="004B62F3"/>
    <w:rsid w:val="004B7087"/>
    <w:rsid w:val="004C3386"/>
    <w:rsid w:val="004D141F"/>
    <w:rsid w:val="004E7927"/>
    <w:rsid w:val="004F656E"/>
    <w:rsid w:val="00507815"/>
    <w:rsid w:val="0052108A"/>
    <w:rsid w:val="00523285"/>
    <w:rsid w:val="00523F11"/>
    <w:rsid w:val="00530661"/>
    <w:rsid w:val="00536723"/>
    <w:rsid w:val="00540BDF"/>
    <w:rsid w:val="00541BCC"/>
    <w:rsid w:val="00544D8D"/>
    <w:rsid w:val="00545AB2"/>
    <w:rsid w:val="00551F19"/>
    <w:rsid w:val="00557D0F"/>
    <w:rsid w:val="00563B3B"/>
    <w:rsid w:val="00564215"/>
    <w:rsid w:val="005679F3"/>
    <w:rsid w:val="0057565F"/>
    <w:rsid w:val="00584D24"/>
    <w:rsid w:val="005942A6"/>
    <w:rsid w:val="005A7BAE"/>
    <w:rsid w:val="005D1D4B"/>
    <w:rsid w:val="005D5256"/>
    <w:rsid w:val="005E2993"/>
    <w:rsid w:val="005F09AE"/>
    <w:rsid w:val="005F1A79"/>
    <w:rsid w:val="006029F1"/>
    <w:rsid w:val="00611188"/>
    <w:rsid w:val="006127DF"/>
    <w:rsid w:val="0061508A"/>
    <w:rsid w:val="0063094D"/>
    <w:rsid w:val="006325C7"/>
    <w:rsid w:val="006343F4"/>
    <w:rsid w:val="006418D4"/>
    <w:rsid w:val="00642A5D"/>
    <w:rsid w:val="00654C74"/>
    <w:rsid w:val="006568BC"/>
    <w:rsid w:val="00662005"/>
    <w:rsid w:val="00673269"/>
    <w:rsid w:val="006B6D6B"/>
    <w:rsid w:val="006D05E1"/>
    <w:rsid w:val="006D5FD9"/>
    <w:rsid w:val="006D6377"/>
    <w:rsid w:val="006E4F94"/>
    <w:rsid w:val="006E6160"/>
    <w:rsid w:val="006F575C"/>
    <w:rsid w:val="006F7B8D"/>
    <w:rsid w:val="0070077A"/>
    <w:rsid w:val="00703B94"/>
    <w:rsid w:val="007042B9"/>
    <w:rsid w:val="007106B0"/>
    <w:rsid w:val="007133F8"/>
    <w:rsid w:val="00714BE8"/>
    <w:rsid w:val="00726D2A"/>
    <w:rsid w:val="00732424"/>
    <w:rsid w:val="007415BD"/>
    <w:rsid w:val="00746CD7"/>
    <w:rsid w:val="00747136"/>
    <w:rsid w:val="0075332D"/>
    <w:rsid w:val="007544F9"/>
    <w:rsid w:val="00755077"/>
    <w:rsid w:val="00765BD4"/>
    <w:rsid w:val="007675A7"/>
    <w:rsid w:val="007840E0"/>
    <w:rsid w:val="00797EF0"/>
    <w:rsid w:val="007A173B"/>
    <w:rsid w:val="007A1DAE"/>
    <w:rsid w:val="007B2643"/>
    <w:rsid w:val="007E5479"/>
    <w:rsid w:val="007E59AC"/>
    <w:rsid w:val="007E64FD"/>
    <w:rsid w:val="008141E2"/>
    <w:rsid w:val="00816E4C"/>
    <w:rsid w:val="00821780"/>
    <w:rsid w:val="00825063"/>
    <w:rsid w:val="0083552B"/>
    <w:rsid w:val="00836E08"/>
    <w:rsid w:val="00837724"/>
    <w:rsid w:val="00852DE0"/>
    <w:rsid w:val="00860ECA"/>
    <w:rsid w:val="00864EF5"/>
    <w:rsid w:val="00867E99"/>
    <w:rsid w:val="008767AB"/>
    <w:rsid w:val="00877C12"/>
    <w:rsid w:val="00891888"/>
    <w:rsid w:val="00897E9E"/>
    <w:rsid w:val="008A17F1"/>
    <w:rsid w:val="008A297B"/>
    <w:rsid w:val="008C16EF"/>
    <w:rsid w:val="008C7114"/>
    <w:rsid w:val="008D0604"/>
    <w:rsid w:val="008D3F98"/>
    <w:rsid w:val="008D7FBC"/>
    <w:rsid w:val="008E3C3B"/>
    <w:rsid w:val="008E4152"/>
    <w:rsid w:val="008E66F6"/>
    <w:rsid w:val="008F3298"/>
    <w:rsid w:val="0091186F"/>
    <w:rsid w:val="009119C0"/>
    <w:rsid w:val="00931CD5"/>
    <w:rsid w:val="00935E98"/>
    <w:rsid w:val="00945D9C"/>
    <w:rsid w:val="00950666"/>
    <w:rsid w:val="00951B35"/>
    <w:rsid w:val="0095427A"/>
    <w:rsid w:val="00963759"/>
    <w:rsid w:val="00966773"/>
    <w:rsid w:val="00975E51"/>
    <w:rsid w:val="00976A92"/>
    <w:rsid w:val="009813B6"/>
    <w:rsid w:val="00984427"/>
    <w:rsid w:val="00991084"/>
    <w:rsid w:val="00992EB9"/>
    <w:rsid w:val="00993596"/>
    <w:rsid w:val="00995CC7"/>
    <w:rsid w:val="009B4D46"/>
    <w:rsid w:val="009C7789"/>
    <w:rsid w:val="00A10799"/>
    <w:rsid w:val="00A11AF2"/>
    <w:rsid w:val="00A145A7"/>
    <w:rsid w:val="00A17AF0"/>
    <w:rsid w:val="00A20958"/>
    <w:rsid w:val="00A2286B"/>
    <w:rsid w:val="00A22A8D"/>
    <w:rsid w:val="00A24699"/>
    <w:rsid w:val="00A349E7"/>
    <w:rsid w:val="00A533A1"/>
    <w:rsid w:val="00A56DE3"/>
    <w:rsid w:val="00A57661"/>
    <w:rsid w:val="00A57F79"/>
    <w:rsid w:val="00A67E2E"/>
    <w:rsid w:val="00A73552"/>
    <w:rsid w:val="00A81A61"/>
    <w:rsid w:val="00A84C75"/>
    <w:rsid w:val="00A87B62"/>
    <w:rsid w:val="00A9473D"/>
    <w:rsid w:val="00AA48CF"/>
    <w:rsid w:val="00AA5C41"/>
    <w:rsid w:val="00AB489D"/>
    <w:rsid w:val="00AB57F7"/>
    <w:rsid w:val="00AB66DC"/>
    <w:rsid w:val="00AC32B4"/>
    <w:rsid w:val="00AC799E"/>
    <w:rsid w:val="00AE7DC0"/>
    <w:rsid w:val="00AF29F8"/>
    <w:rsid w:val="00AF440F"/>
    <w:rsid w:val="00AF469C"/>
    <w:rsid w:val="00B016AC"/>
    <w:rsid w:val="00B47223"/>
    <w:rsid w:val="00B536F4"/>
    <w:rsid w:val="00B5398F"/>
    <w:rsid w:val="00B57D01"/>
    <w:rsid w:val="00B65ABA"/>
    <w:rsid w:val="00B75A01"/>
    <w:rsid w:val="00B82910"/>
    <w:rsid w:val="00B835C6"/>
    <w:rsid w:val="00B86CD2"/>
    <w:rsid w:val="00B96D16"/>
    <w:rsid w:val="00BA5DE3"/>
    <w:rsid w:val="00BB48ED"/>
    <w:rsid w:val="00BC02CF"/>
    <w:rsid w:val="00BD5C32"/>
    <w:rsid w:val="00BD7CC8"/>
    <w:rsid w:val="00BE6DC9"/>
    <w:rsid w:val="00BF45CD"/>
    <w:rsid w:val="00BF4E43"/>
    <w:rsid w:val="00BF6CB0"/>
    <w:rsid w:val="00BF6D81"/>
    <w:rsid w:val="00BF7EFF"/>
    <w:rsid w:val="00C068B6"/>
    <w:rsid w:val="00C102AD"/>
    <w:rsid w:val="00C20124"/>
    <w:rsid w:val="00C30E3D"/>
    <w:rsid w:val="00C34034"/>
    <w:rsid w:val="00C4387C"/>
    <w:rsid w:val="00C60043"/>
    <w:rsid w:val="00C60F46"/>
    <w:rsid w:val="00C61811"/>
    <w:rsid w:val="00C62CF2"/>
    <w:rsid w:val="00C67CEA"/>
    <w:rsid w:val="00C74758"/>
    <w:rsid w:val="00C84082"/>
    <w:rsid w:val="00C9050C"/>
    <w:rsid w:val="00C95CD5"/>
    <w:rsid w:val="00CA19EF"/>
    <w:rsid w:val="00CB0CFD"/>
    <w:rsid w:val="00CB7084"/>
    <w:rsid w:val="00CC37D9"/>
    <w:rsid w:val="00CC75B2"/>
    <w:rsid w:val="00CD14EB"/>
    <w:rsid w:val="00CD1EE8"/>
    <w:rsid w:val="00CD4127"/>
    <w:rsid w:val="00CE0C4C"/>
    <w:rsid w:val="00CE1183"/>
    <w:rsid w:val="00CE176F"/>
    <w:rsid w:val="00CE1FA6"/>
    <w:rsid w:val="00CE7C15"/>
    <w:rsid w:val="00CF08DD"/>
    <w:rsid w:val="00CF78C5"/>
    <w:rsid w:val="00D006E3"/>
    <w:rsid w:val="00D12A31"/>
    <w:rsid w:val="00D15148"/>
    <w:rsid w:val="00D238A2"/>
    <w:rsid w:val="00D50AB7"/>
    <w:rsid w:val="00D515E3"/>
    <w:rsid w:val="00D52662"/>
    <w:rsid w:val="00D574D8"/>
    <w:rsid w:val="00D62321"/>
    <w:rsid w:val="00D96FB8"/>
    <w:rsid w:val="00DA4655"/>
    <w:rsid w:val="00DB44EB"/>
    <w:rsid w:val="00DC13E9"/>
    <w:rsid w:val="00DD4B21"/>
    <w:rsid w:val="00DD4B24"/>
    <w:rsid w:val="00DE27E1"/>
    <w:rsid w:val="00DE5B78"/>
    <w:rsid w:val="00DF1EF1"/>
    <w:rsid w:val="00DF27F5"/>
    <w:rsid w:val="00DF4AFA"/>
    <w:rsid w:val="00E0191D"/>
    <w:rsid w:val="00E02E51"/>
    <w:rsid w:val="00E05E49"/>
    <w:rsid w:val="00E11C53"/>
    <w:rsid w:val="00E23BD4"/>
    <w:rsid w:val="00E25B21"/>
    <w:rsid w:val="00E26B7F"/>
    <w:rsid w:val="00E319D1"/>
    <w:rsid w:val="00E31A97"/>
    <w:rsid w:val="00E323A0"/>
    <w:rsid w:val="00E344C3"/>
    <w:rsid w:val="00E43F40"/>
    <w:rsid w:val="00E45E59"/>
    <w:rsid w:val="00E553C9"/>
    <w:rsid w:val="00E5759A"/>
    <w:rsid w:val="00E7104D"/>
    <w:rsid w:val="00E710DA"/>
    <w:rsid w:val="00E717C1"/>
    <w:rsid w:val="00E72FF2"/>
    <w:rsid w:val="00E80424"/>
    <w:rsid w:val="00E832AA"/>
    <w:rsid w:val="00E94FF1"/>
    <w:rsid w:val="00EA587A"/>
    <w:rsid w:val="00EB3ADF"/>
    <w:rsid w:val="00EC11C8"/>
    <w:rsid w:val="00EC7565"/>
    <w:rsid w:val="00EF2562"/>
    <w:rsid w:val="00F01A71"/>
    <w:rsid w:val="00F06BF5"/>
    <w:rsid w:val="00F20149"/>
    <w:rsid w:val="00F24BCB"/>
    <w:rsid w:val="00F268AB"/>
    <w:rsid w:val="00F37FFB"/>
    <w:rsid w:val="00F413E8"/>
    <w:rsid w:val="00F53BF3"/>
    <w:rsid w:val="00F6460F"/>
    <w:rsid w:val="00F8302D"/>
    <w:rsid w:val="00F93823"/>
    <w:rsid w:val="00FC179E"/>
    <w:rsid w:val="00FC3027"/>
    <w:rsid w:val="00FD1339"/>
    <w:rsid w:val="00FD7C0C"/>
    <w:rsid w:val="00FE5BCE"/>
    <w:rsid w:val="00FF3E64"/>
    <w:rsid w:val="00FF56E9"/>
    <w:rsid w:val="00FF7B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292C9"/>
  <w15:chartTrackingRefBased/>
  <w15:docId w15:val="{995CFA80-BE1A-4825-9A4C-085AAE64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1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46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8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46FD"/>
    <w:rPr>
      <w:rFonts w:asciiTheme="majorHAnsi" w:eastAsiaTheme="majorEastAsia" w:hAnsiTheme="majorHAnsi" w:cstheme="majorBidi"/>
      <w:color w:val="2E74B5" w:themeColor="accent1" w:themeShade="BF"/>
      <w:sz w:val="26"/>
      <w:szCs w:val="26"/>
    </w:rPr>
  </w:style>
  <w:style w:type="paragraph" w:styleId="FootnoteText">
    <w:name w:val="footnote text"/>
    <w:aliases w:val="Footnote Text Char1,Footnote Text Char Char,Footnote Text Char1 Char Char,Footnote Text Char Char Char Char,Footnote Text Char Char1 Char,Footnote Text Char1 Char,Footnote Text Char Char Char,Char,Footnote Text Char1 Char Char Char Char"/>
    <w:basedOn w:val="Normal"/>
    <w:link w:val="FootnoteTextChar"/>
    <w:uiPriority w:val="99"/>
    <w:unhideWhenUsed/>
    <w:qFormat/>
    <w:rsid w:val="001D4FF2"/>
    <w:pPr>
      <w:spacing w:after="0" w:line="240" w:lineRule="auto"/>
    </w:pPr>
    <w:rPr>
      <w:sz w:val="20"/>
      <w:szCs w:val="20"/>
    </w:rPr>
  </w:style>
  <w:style w:type="character" w:customStyle="1" w:styleId="FootnoteTextChar">
    <w:name w:val="Footnote Text Char"/>
    <w:aliases w:val="Footnote Text Char1 Char1,Footnote Text Char Char Char1,Footnote Text Char1 Char Char Char,Footnote Text Char Char Char Char Char,Footnote Text Char Char1 Char Char,Footnote Text Char1 Char Char1,Footnote Text Char Char Char Char1"/>
    <w:basedOn w:val="DefaultParagraphFont"/>
    <w:link w:val="FootnoteText"/>
    <w:uiPriority w:val="99"/>
    <w:rsid w:val="001D4FF2"/>
    <w:rPr>
      <w:sz w:val="20"/>
      <w:szCs w:val="20"/>
    </w:rPr>
  </w:style>
  <w:style w:type="character" w:styleId="FootnoteReference">
    <w:name w:val="footnote reference"/>
    <w:aliases w:val="Footnote Reference Superscript,BVI fnr_TEST,BVI fnrTEST,BVI fnr"/>
    <w:basedOn w:val="DefaultParagraphFont"/>
    <w:uiPriority w:val="99"/>
    <w:unhideWhenUsed/>
    <w:qFormat/>
    <w:rsid w:val="001D4FF2"/>
    <w:rPr>
      <w:vertAlign w:val="superscript"/>
    </w:rPr>
  </w:style>
  <w:style w:type="paragraph" w:styleId="BalloonText">
    <w:name w:val="Balloon Text"/>
    <w:basedOn w:val="Normal"/>
    <w:link w:val="BalloonTextChar"/>
    <w:uiPriority w:val="99"/>
    <w:semiHidden/>
    <w:unhideWhenUsed/>
    <w:rsid w:val="00C06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8B6"/>
    <w:rPr>
      <w:rFonts w:ascii="Segoe UI" w:hAnsi="Segoe UI" w:cs="Segoe UI"/>
      <w:sz w:val="18"/>
      <w:szCs w:val="18"/>
    </w:rPr>
  </w:style>
  <w:style w:type="paragraph" w:styleId="ListParagraph">
    <w:name w:val="List Paragraph"/>
    <w:basedOn w:val="Normal"/>
    <w:uiPriority w:val="34"/>
    <w:qFormat/>
    <w:rsid w:val="00A22A8D"/>
    <w:pPr>
      <w:ind w:left="720"/>
      <w:contextualSpacing/>
    </w:pPr>
  </w:style>
  <w:style w:type="character" w:styleId="CommentReference">
    <w:name w:val="annotation reference"/>
    <w:basedOn w:val="DefaultParagraphFont"/>
    <w:uiPriority w:val="99"/>
    <w:semiHidden/>
    <w:unhideWhenUsed/>
    <w:rsid w:val="003C4839"/>
    <w:rPr>
      <w:sz w:val="16"/>
      <w:szCs w:val="16"/>
    </w:rPr>
  </w:style>
  <w:style w:type="paragraph" w:styleId="CommentText">
    <w:name w:val="annotation text"/>
    <w:basedOn w:val="Normal"/>
    <w:link w:val="CommentTextChar"/>
    <w:uiPriority w:val="99"/>
    <w:semiHidden/>
    <w:unhideWhenUsed/>
    <w:rsid w:val="003C4839"/>
    <w:pPr>
      <w:spacing w:line="240" w:lineRule="auto"/>
    </w:pPr>
    <w:rPr>
      <w:sz w:val="20"/>
      <w:szCs w:val="20"/>
    </w:rPr>
  </w:style>
  <w:style w:type="character" w:customStyle="1" w:styleId="CommentTextChar">
    <w:name w:val="Comment Text Char"/>
    <w:basedOn w:val="DefaultParagraphFont"/>
    <w:link w:val="CommentText"/>
    <w:uiPriority w:val="99"/>
    <w:semiHidden/>
    <w:rsid w:val="003C4839"/>
    <w:rPr>
      <w:sz w:val="20"/>
      <w:szCs w:val="20"/>
    </w:rPr>
  </w:style>
  <w:style w:type="paragraph" w:styleId="CommentSubject">
    <w:name w:val="annotation subject"/>
    <w:basedOn w:val="CommentText"/>
    <w:next w:val="CommentText"/>
    <w:link w:val="CommentSubjectChar"/>
    <w:uiPriority w:val="99"/>
    <w:semiHidden/>
    <w:unhideWhenUsed/>
    <w:rsid w:val="003C4839"/>
    <w:rPr>
      <w:b/>
      <w:bCs/>
    </w:rPr>
  </w:style>
  <w:style w:type="character" w:customStyle="1" w:styleId="CommentSubjectChar">
    <w:name w:val="Comment Subject Char"/>
    <w:basedOn w:val="CommentTextChar"/>
    <w:link w:val="CommentSubject"/>
    <w:uiPriority w:val="99"/>
    <w:semiHidden/>
    <w:rsid w:val="003C4839"/>
    <w:rPr>
      <w:b/>
      <w:bCs/>
      <w:sz w:val="20"/>
      <w:szCs w:val="20"/>
    </w:rPr>
  </w:style>
  <w:style w:type="paragraph" w:styleId="EndnoteText">
    <w:name w:val="endnote text"/>
    <w:basedOn w:val="Normal"/>
    <w:link w:val="EndnoteTextChar"/>
    <w:uiPriority w:val="99"/>
    <w:unhideWhenUsed/>
    <w:rsid w:val="00CD4127"/>
    <w:pPr>
      <w:spacing w:after="0" w:line="240" w:lineRule="auto"/>
    </w:pPr>
    <w:rPr>
      <w:rFonts w:eastAsiaTheme="minorEastAsia"/>
      <w:sz w:val="20"/>
      <w:szCs w:val="20"/>
      <w:lang w:eastAsia="zh-CN"/>
    </w:rPr>
  </w:style>
  <w:style w:type="character" w:customStyle="1" w:styleId="EndnoteTextChar">
    <w:name w:val="Endnote Text Char"/>
    <w:basedOn w:val="DefaultParagraphFont"/>
    <w:link w:val="EndnoteText"/>
    <w:uiPriority w:val="99"/>
    <w:rsid w:val="00CD4127"/>
    <w:rPr>
      <w:rFonts w:eastAsiaTheme="minorEastAsia"/>
      <w:sz w:val="20"/>
      <w:szCs w:val="20"/>
      <w:lang w:eastAsia="zh-CN"/>
    </w:rPr>
  </w:style>
  <w:style w:type="paragraph" w:styleId="Header">
    <w:name w:val="header"/>
    <w:basedOn w:val="Normal"/>
    <w:link w:val="HeaderChar"/>
    <w:uiPriority w:val="99"/>
    <w:unhideWhenUsed/>
    <w:rsid w:val="00D62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321"/>
  </w:style>
  <w:style w:type="paragraph" w:styleId="Footer">
    <w:name w:val="footer"/>
    <w:basedOn w:val="Normal"/>
    <w:link w:val="FooterChar"/>
    <w:uiPriority w:val="99"/>
    <w:unhideWhenUsed/>
    <w:rsid w:val="00D62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4EB2D-F239-438A-9AFD-8C004FF9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2401</Words>
  <Characters>12643</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Ed (Dr.)</dc:creator>
  <cp:keywords/>
  <dc:description/>
  <cp:lastModifiedBy>Bates, Ed (Dr.)</cp:lastModifiedBy>
  <cp:revision>6</cp:revision>
  <cp:lastPrinted>2020-01-21T16:51:00Z</cp:lastPrinted>
  <dcterms:created xsi:type="dcterms:W3CDTF">2020-02-14T16:36:00Z</dcterms:created>
  <dcterms:modified xsi:type="dcterms:W3CDTF">2020-02-14T16:38:00Z</dcterms:modified>
</cp:coreProperties>
</file>