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0B27" w14:textId="1620DE5F" w:rsidR="00FB4E13" w:rsidRPr="00F90AB6" w:rsidRDefault="00FB4E13" w:rsidP="00FB4E13">
      <w:pPr>
        <w:pStyle w:val="arttitl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2" w:right="-284"/>
        <w:jc w:val="center"/>
        <w:rPr>
          <w:rFonts w:ascii="Times New Roman" w:hAnsi="Times New Roman" w:cs="Times New Roman"/>
          <w:b w:val="0"/>
          <w:bCs w:val="0"/>
          <w:sz w:val="24"/>
          <w:szCs w:val="24"/>
        </w:rPr>
      </w:pPr>
      <w:bookmarkStart w:id="0" w:name="OLE_LINK5"/>
      <w:bookmarkStart w:id="1" w:name="OLE_LINK6"/>
      <w:r w:rsidRPr="003B7806">
        <w:rPr>
          <w:rFonts w:ascii="Times New Roman" w:hAnsi="Times New Roman" w:cs="Times New Roman"/>
          <w:b w:val="0"/>
          <w:bCs w:val="0"/>
          <w:sz w:val="24"/>
          <w:szCs w:val="24"/>
        </w:rPr>
        <w:t xml:space="preserve">Mechanisms of Perceptual Learning: </w:t>
      </w:r>
      <w:r w:rsidR="00FE7FA1" w:rsidRPr="003B7806">
        <w:rPr>
          <w:rFonts w:ascii="Times New Roman" w:hAnsi="Times New Roman" w:cs="Times New Roman"/>
          <w:b w:val="0"/>
          <w:bCs w:val="0"/>
          <w:sz w:val="24"/>
          <w:szCs w:val="24"/>
        </w:rPr>
        <w:t xml:space="preserve">Prolonged </w:t>
      </w:r>
      <w:r w:rsidRPr="003B7806">
        <w:rPr>
          <w:rFonts w:ascii="Times New Roman" w:hAnsi="Times New Roman" w:cs="Times New Roman"/>
          <w:b w:val="0"/>
          <w:bCs w:val="0"/>
          <w:sz w:val="24"/>
          <w:szCs w:val="24"/>
        </w:rPr>
        <w:t>Intermixed Pre-exposure Reduce</w:t>
      </w:r>
      <w:r w:rsidR="003E685C" w:rsidRPr="003B7806">
        <w:rPr>
          <w:rFonts w:ascii="Times New Roman" w:hAnsi="Times New Roman" w:cs="Times New Roman"/>
          <w:b w:val="0"/>
          <w:bCs w:val="0"/>
          <w:sz w:val="24"/>
          <w:szCs w:val="24"/>
        </w:rPr>
        <w:t>s</w:t>
      </w:r>
      <w:r w:rsidRPr="003B7806">
        <w:rPr>
          <w:rFonts w:ascii="Times New Roman" w:hAnsi="Times New Roman" w:cs="Times New Roman"/>
          <w:b w:val="0"/>
          <w:bCs w:val="0"/>
          <w:sz w:val="24"/>
          <w:szCs w:val="24"/>
        </w:rPr>
        <w:t xml:space="preserve"> the Effectiveness of the Unique and the </w:t>
      </w:r>
      <w:r w:rsidR="003E685C" w:rsidRPr="003B7806">
        <w:rPr>
          <w:rFonts w:ascii="Times New Roman" w:hAnsi="Times New Roman" w:cs="Times New Roman"/>
          <w:b w:val="0"/>
          <w:bCs w:val="0"/>
          <w:sz w:val="24"/>
          <w:szCs w:val="24"/>
        </w:rPr>
        <w:t>Common Elements</w:t>
      </w:r>
    </w:p>
    <w:p w14:paraId="76F3B4FA" w14:textId="77777777" w:rsidR="00FB4E13" w:rsidRPr="00F90AB6" w:rsidRDefault="00FB4E13" w:rsidP="00CF758B">
      <w:pPr>
        <w:pStyle w:val="arttitl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2" w:right="-284"/>
        <w:jc w:val="center"/>
        <w:rPr>
          <w:rFonts w:ascii="Times New Roman" w:hAnsi="Times New Roman" w:cs="Times New Roman"/>
          <w:b w:val="0"/>
          <w:bCs w:val="0"/>
          <w:sz w:val="24"/>
          <w:szCs w:val="24"/>
        </w:rPr>
      </w:pPr>
    </w:p>
    <w:bookmarkEnd w:id="0"/>
    <w:bookmarkEnd w:id="1"/>
    <w:p w14:paraId="7E72C48A" w14:textId="77777777" w:rsidR="0048337D" w:rsidRPr="006A6FAF" w:rsidRDefault="005D4CD8"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r w:rsidRPr="006A6FAF">
        <w:rPr>
          <w:lang w:val="es-ES"/>
        </w:rPr>
        <w:t>Sandra Ballesta</w:t>
      </w:r>
      <w:r w:rsidR="008A3FFC" w:rsidRPr="006A6FAF">
        <w:rPr>
          <w:lang w:val="es-ES"/>
        </w:rPr>
        <w:t xml:space="preserve">, </w:t>
      </w:r>
      <w:r w:rsidR="00C36DAB" w:rsidRPr="006A6FAF">
        <w:rPr>
          <w:lang w:val="es-ES"/>
        </w:rPr>
        <w:t xml:space="preserve">and </w:t>
      </w:r>
      <w:r w:rsidR="008A3FFC" w:rsidRPr="006A6FAF">
        <w:rPr>
          <w:lang w:val="es-ES"/>
        </w:rPr>
        <w:t>Celia Gordón</w:t>
      </w:r>
    </w:p>
    <w:p w14:paraId="13EAEDBA" w14:textId="77777777" w:rsidR="0048337D" w:rsidRPr="006A6FAF" w:rsidRDefault="0048337D" w:rsidP="0048337D">
      <w:pPr>
        <w:pStyle w:val="a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val="0"/>
          <w:iCs w:val="0"/>
          <w:lang w:val="es-ES"/>
        </w:rPr>
      </w:pPr>
      <w:proofErr w:type="spellStart"/>
      <w:r w:rsidRPr="006A6FAF">
        <w:rPr>
          <w:i w:val="0"/>
          <w:iCs w:val="0"/>
          <w:lang w:val="es-ES"/>
        </w:rPr>
        <w:t>Universitat</w:t>
      </w:r>
      <w:proofErr w:type="spellEnd"/>
      <w:r w:rsidRPr="006A6FAF">
        <w:rPr>
          <w:i w:val="0"/>
          <w:iCs w:val="0"/>
          <w:lang w:val="es-ES"/>
        </w:rPr>
        <w:t xml:space="preserve"> de Barcelona</w:t>
      </w:r>
    </w:p>
    <w:p w14:paraId="36AEBB55" w14:textId="77777777" w:rsidR="00E74653" w:rsidRPr="006A6FAF" w:rsidRDefault="00E74653"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p>
    <w:p w14:paraId="68557FA6" w14:textId="77777777" w:rsidR="0048337D" w:rsidRPr="006A6FAF" w:rsidRDefault="0048337D"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r w:rsidRPr="006A6FAF">
        <w:rPr>
          <w:lang w:val="es-ES"/>
        </w:rPr>
        <w:t>Jose Prados</w:t>
      </w:r>
    </w:p>
    <w:p w14:paraId="330EDFFE" w14:textId="77777777" w:rsidR="0048337D" w:rsidRPr="006A6FAF" w:rsidRDefault="0048337D"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proofErr w:type="spellStart"/>
      <w:r w:rsidRPr="006A6FAF">
        <w:rPr>
          <w:lang w:val="es-ES"/>
        </w:rPr>
        <w:t>University</w:t>
      </w:r>
      <w:proofErr w:type="spellEnd"/>
      <w:r w:rsidRPr="006A6FAF">
        <w:rPr>
          <w:lang w:val="es-ES"/>
        </w:rPr>
        <w:t xml:space="preserve"> of Leicester</w:t>
      </w:r>
    </w:p>
    <w:p w14:paraId="5CB3E133" w14:textId="77777777" w:rsidR="000A0228" w:rsidRPr="006A6FAF" w:rsidRDefault="000A0228"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p>
    <w:p w14:paraId="7BD337C4" w14:textId="77777777" w:rsidR="0048337D" w:rsidRPr="006A6FAF" w:rsidRDefault="000A0228"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r w:rsidRPr="006A6FAF">
        <w:rPr>
          <w:lang w:val="es-ES"/>
        </w:rPr>
        <w:t>Antonio A. Artigas</w:t>
      </w:r>
    </w:p>
    <w:p w14:paraId="710F5D06" w14:textId="77777777" w:rsidR="000A0228" w:rsidRPr="006A6FAF" w:rsidRDefault="000A0228" w:rsidP="000A0228">
      <w:pPr>
        <w:pStyle w:val="a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val="0"/>
          <w:iCs w:val="0"/>
          <w:lang w:val="es-ES"/>
        </w:rPr>
      </w:pPr>
      <w:proofErr w:type="spellStart"/>
      <w:r w:rsidRPr="006A6FAF">
        <w:rPr>
          <w:i w:val="0"/>
          <w:iCs w:val="0"/>
          <w:lang w:val="es-ES"/>
        </w:rPr>
        <w:t>Universitat</w:t>
      </w:r>
      <w:proofErr w:type="spellEnd"/>
      <w:r w:rsidRPr="006A6FAF">
        <w:rPr>
          <w:i w:val="0"/>
          <w:iCs w:val="0"/>
          <w:lang w:val="es-ES"/>
        </w:rPr>
        <w:t xml:space="preserve"> de Barcelona</w:t>
      </w:r>
    </w:p>
    <w:p w14:paraId="7570B513" w14:textId="77777777" w:rsidR="000A0228" w:rsidRPr="006A6FAF" w:rsidRDefault="000A0228" w:rsidP="0048337D">
      <w:pPr>
        <w:pStyle w:val="aug"/>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lang w:val="es-ES"/>
        </w:rPr>
      </w:pPr>
    </w:p>
    <w:p w14:paraId="7FDF8A84" w14:textId="77777777" w:rsidR="00E74653" w:rsidRPr="006A6FAF" w:rsidRDefault="00E74653" w:rsidP="00E74653">
      <w:pPr>
        <w:pStyle w:val="BodyText"/>
        <w:spacing w:line="480" w:lineRule="auto"/>
        <w:jc w:val="left"/>
        <w:rPr>
          <w:sz w:val="24"/>
          <w:szCs w:val="24"/>
        </w:rPr>
      </w:pPr>
    </w:p>
    <w:p w14:paraId="3DD1EA75" w14:textId="77777777" w:rsidR="00E74653" w:rsidRPr="00953FFF" w:rsidRDefault="00E74653" w:rsidP="00E74653">
      <w:pPr>
        <w:pStyle w:val="BodyText"/>
        <w:spacing w:line="480" w:lineRule="auto"/>
        <w:jc w:val="left"/>
        <w:rPr>
          <w:sz w:val="24"/>
          <w:szCs w:val="24"/>
        </w:rPr>
      </w:pPr>
      <w:proofErr w:type="spellStart"/>
      <w:r w:rsidRPr="00953FFF">
        <w:rPr>
          <w:sz w:val="24"/>
          <w:szCs w:val="24"/>
        </w:rPr>
        <w:t>Author</w:t>
      </w:r>
      <w:proofErr w:type="spellEnd"/>
      <w:r w:rsidRPr="00953FFF">
        <w:rPr>
          <w:sz w:val="24"/>
          <w:szCs w:val="24"/>
        </w:rPr>
        <w:t xml:space="preserve"> Note:</w:t>
      </w:r>
    </w:p>
    <w:p w14:paraId="391C51C3" w14:textId="77777777" w:rsidR="00E74653" w:rsidRPr="00953FFF" w:rsidRDefault="005D4CD8" w:rsidP="00E74653">
      <w:pPr>
        <w:spacing w:line="480" w:lineRule="auto"/>
        <w:rPr>
          <w:sz w:val="24"/>
          <w:szCs w:val="24"/>
        </w:rPr>
      </w:pPr>
      <w:r w:rsidRPr="00953FFF">
        <w:rPr>
          <w:sz w:val="24"/>
          <w:szCs w:val="24"/>
        </w:rPr>
        <w:t>Sandra Ballesta</w:t>
      </w:r>
      <w:r w:rsidR="002A380C" w:rsidRPr="00953FFF">
        <w:rPr>
          <w:sz w:val="24"/>
          <w:szCs w:val="24"/>
        </w:rPr>
        <w:t xml:space="preserve">, </w:t>
      </w:r>
      <w:r w:rsidR="008A3FFC" w:rsidRPr="00953FFF">
        <w:rPr>
          <w:sz w:val="24"/>
          <w:szCs w:val="24"/>
        </w:rPr>
        <w:t>Celia Gordón</w:t>
      </w:r>
      <w:r w:rsidR="002A380C" w:rsidRPr="00953FFF">
        <w:rPr>
          <w:sz w:val="24"/>
          <w:szCs w:val="24"/>
        </w:rPr>
        <w:t xml:space="preserve"> and Antonio A. Artigas, </w:t>
      </w:r>
      <w:proofErr w:type="spellStart"/>
      <w:r w:rsidR="00E74653" w:rsidRPr="00953FFF">
        <w:rPr>
          <w:i/>
          <w:sz w:val="24"/>
          <w:szCs w:val="24"/>
        </w:rPr>
        <w:t>Departament</w:t>
      </w:r>
      <w:proofErr w:type="spellEnd"/>
      <w:r w:rsidR="00E74653" w:rsidRPr="00953FFF">
        <w:rPr>
          <w:i/>
          <w:sz w:val="24"/>
          <w:szCs w:val="24"/>
        </w:rPr>
        <w:t xml:space="preserve"> de </w:t>
      </w:r>
      <w:proofErr w:type="spellStart"/>
      <w:r w:rsidR="003A58FC" w:rsidRPr="00953FFF">
        <w:rPr>
          <w:i/>
          <w:sz w:val="24"/>
          <w:szCs w:val="24"/>
        </w:rPr>
        <w:t>Cognició</w:t>
      </w:r>
      <w:proofErr w:type="spellEnd"/>
      <w:r w:rsidR="003A58FC" w:rsidRPr="00953FFF">
        <w:rPr>
          <w:i/>
          <w:sz w:val="24"/>
          <w:szCs w:val="24"/>
        </w:rPr>
        <w:t xml:space="preserve">, </w:t>
      </w:r>
      <w:proofErr w:type="spellStart"/>
      <w:r w:rsidR="003A58FC" w:rsidRPr="00953FFF">
        <w:rPr>
          <w:i/>
          <w:sz w:val="24"/>
          <w:szCs w:val="24"/>
        </w:rPr>
        <w:t>Desenvolupament</w:t>
      </w:r>
      <w:proofErr w:type="spellEnd"/>
      <w:r w:rsidR="003A58FC" w:rsidRPr="00953FFF">
        <w:rPr>
          <w:i/>
          <w:sz w:val="24"/>
          <w:szCs w:val="24"/>
        </w:rPr>
        <w:t xml:space="preserve"> i </w:t>
      </w:r>
      <w:proofErr w:type="spellStart"/>
      <w:r w:rsidR="003A58FC" w:rsidRPr="00953FFF">
        <w:rPr>
          <w:i/>
          <w:sz w:val="24"/>
          <w:szCs w:val="24"/>
        </w:rPr>
        <w:t>Psicologia</w:t>
      </w:r>
      <w:proofErr w:type="spellEnd"/>
      <w:r w:rsidR="003A58FC" w:rsidRPr="00953FFF">
        <w:rPr>
          <w:i/>
          <w:sz w:val="24"/>
          <w:szCs w:val="24"/>
        </w:rPr>
        <w:t xml:space="preserve"> de </w:t>
      </w:r>
      <w:proofErr w:type="spellStart"/>
      <w:r w:rsidR="003A58FC" w:rsidRPr="00953FFF">
        <w:rPr>
          <w:i/>
          <w:sz w:val="24"/>
          <w:szCs w:val="24"/>
        </w:rPr>
        <w:t>l’Educació</w:t>
      </w:r>
      <w:proofErr w:type="spellEnd"/>
      <w:r w:rsidR="003A58FC" w:rsidRPr="00953FFF">
        <w:rPr>
          <w:i/>
          <w:sz w:val="24"/>
          <w:szCs w:val="24"/>
        </w:rPr>
        <w:t xml:space="preserve"> </w:t>
      </w:r>
      <w:r w:rsidR="00E74653" w:rsidRPr="00953FFF">
        <w:rPr>
          <w:sz w:val="24"/>
          <w:szCs w:val="24"/>
        </w:rPr>
        <w:t xml:space="preserve">and </w:t>
      </w:r>
      <w:proofErr w:type="spellStart"/>
      <w:r w:rsidR="00E74653" w:rsidRPr="00953FFF">
        <w:rPr>
          <w:i/>
          <w:sz w:val="24"/>
          <w:szCs w:val="24"/>
        </w:rPr>
        <w:t>Institut</w:t>
      </w:r>
      <w:proofErr w:type="spellEnd"/>
      <w:r w:rsidR="00E74653" w:rsidRPr="00953FFF">
        <w:rPr>
          <w:i/>
          <w:sz w:val="24"/>
          <w:szCs w:val="24"/>
        </w:rPr>
        <w:t xml:space="preserve"> de </w:t>
      </w:r>
      <w:proofErr w:type="spellStart"/>
      <w:r w:rsidR="00983B4B" w:rsidRPr="00953FFF">
        <w:rPr>
          <w:i/>
          <w:sz w:val="24"/>
          <w:szCs w:val="24"/>
        </w:rPr>
        <w:t>Neurociències</w:t>
      </w:r>
      <w:proofErr w:type="spellEnd"/>
      <w:r w:rsidR="00E74653" w:rsidRPr="00953FFF">
        <w:rPr>
          <w:sz w:val="24"/>
          <w:szCs w:val="24"/>
        </w:rPr>
        <w:t xml:space="preserve">, </w:t>
      </w:r>
      <w:proofErr w:type="spellStart"/>
      <w:r w:rsidR="00E74653" w:rsidRPr="00953FFF">
        <w:rPr>
          <w:i/>
          <w:sz w:val="24"/>
          <w:szCs w:val="24"/>
        </w:rPr>
        <w:t>Universitat</w:t>
      </w:r>
      <w:proofErr w:type="spellEnd"/>
      <w:r w:rsidR="00E74653" w:rsidRPr="00953FFF">
        <w:rPr>
          <w:i/>
          <w:sz w:val="24"/>
          <w:szCs w:val="24"/>
        </w:rPr>
        <w:t xml:space="preserve"> de Barcelona</w:t>
      </w:r>
      <w:r w:rsidR="00E74653" w:rsidRPr="00953FFF">
        <w:rPr>
          <w:sz w:val="24"/>
          <w:szCs w:val="24"/>
        </w:rPr>
        <w:t xml:space="preserve">, </w:t>
      </w:r>
      <w:proofErr w:type="spellStart"/>
      <w:r w:rsidR="00E74653" w:rsidRPr="00953FFF">
        <w:rPr>
          <w:sz w:val="24"/>
          <w:szCs w:val="24"/>
        </w:rPr>
        <w:t>Spain</w:t>
      </w:r>
      <w:proofErr w:type="spellEnd"/>
      <w:r w:rsidR="00E74653" w:rsidRPr="00953FFF">
        <w:rPr>
          <w:sz w:val="24"/>
          <w:szCs w:val="24"/>
        </w:rPr>
        <w:t xml:space="preserve">; Jose Prados, </w:t>
      </w:r>
      <w:proofErr w:type="spellStart"/>
      <w:r w:rsidR="00172502" w:rsidRPr="00953FFF">
        <w:rPr>
          <w:sz w:val="24"/>
          <w:szCs w:val="24"/>
        </w:rPr>
        <w:t>Department</w:t>
      </w:r>
      <w:proofErr w:type="spellEnd"/>
      <w:r w:rsidR="00172502" w:rsidRPr="00953FFF">
        <w:rPr>
          <w:sz w:val="24"/>
          <w:szCs w:val="24"/>
        </w:rPr>
        <w:t xml:space="preserve"> of </w:t>
      </w:r>
      <w:proofErr w:type="spellStart"/>
      <w:r w:rsidR="00172502" w:rsidRPr="00953FFF">
        <w:rPr>
          <w:sz w:val="24"/>
          <w:szCs w:val="24"/>
        </w:rPr>
        <w:t>Neuroscience</w:t>
      </w:r>
      <w:proofErr w:type="spellEnd"/>
      <w:r w:rsidR="00172502" w:rsidRPr="00953FFF">
        <w:rPr>
          <w:sz w:val="24"/>
          <w:szCs w:val="24"/>
        </w:rPr>
        <w:t xml:space="preserve">, Psychology and </w:t>
      </w:r>
      <w:proofErr w:type="spellStart"/>
      <w:r w:rsidR="00172502" w:rsidRPr="00953FFF">
        <w:rPr>
          <w:sz w:val="24"/>
          <w:szCs w:val="24"/>
        </w:rPr>
        <w:t>Behaviour</w:t>
      </w:r>
      <w:proofErr w:type="spellEnd"/>
      <w:r w:rsidR="00E74653" w:rsidRPr="00953FFF">
        <w:rPr>
          <w:sz w:val="24"/>
          <w:szCs w:val="24"/>
        </w:rPr>
        <w:t xml:space="preserve">, </w:t>
      </w:r>
      <w:proofErr w:type="spellStart"/>
      <w:r w:rsidR="00E74653" w:rsidRPr="00953FFF">
        <w:rPr>
          <w:sz w:val="24"/>
          <w:szCs w:val="24"/>
        </w:rPr>
        <w:t>University</w:t>
      </w:r>
      <w:proofErr w:type="spellEnd"/>
      <w:r w:rsidR="00E74653" w:rsidRPr="00953FFF">
        <w:rPr>
          <w:sz w:val="24"/>
          <w:szCs w:val="24"/>
        </w:rPr>
        <w:t xml:space="preserve"> of Leicester, </w:t>
      </w:r>
      <w:proofErr w:type="spellStart"/>
      <w:r w:rsidR="00E74653" w:rsidRPr="00953FFF">
        <w:rPr>
          <w:sz w:val="24"/>
          <w:szCs w:val="24"/>
        </w:rPr>
        <w:t>United</w:t>
      </w:r>
      <w:proofErr w:type="spellEnd"/>
      <w:r w:rsidR="00E74653" w:rsidRPr="00953FFF">
        <w:rPr>
          <w:sz w:val="24"/>
          <w:szCs w:val="24"/>
        </w:rPr>
        <w:t xml:space="preserve"> </w:t>
      </w:r>
      <w:proofErr w:type="spellStart"/>
      <w:r w:rsidR="00E74653" w:rsidRPr="00953FFF">
        <w:rPr>
          <w:sz w:val="24"/>
          <w:szCs w:val="24"/>
        </w:rPr>
        <w:t>Kingdom</w:t>
      </w:r>
      <w:proofErr w:type="spellEnd"/>
      <w:r w:rsidR="00E74653" w:rsidRPr="00953FFF">
        <w:rPr>
          <w:sz w:val="24"/>
          <w:szCs w:val="24"/>
        </w:rPr>
        <w:t xml:space="preserve">. </w:t>
      </w:r>
    </w:p>
    <w:p w14:paraId="0E7975B7" w14:textId="3276603C" w:rsidR="003A58FC" w:rsidRPr="00F90AB6" w:rsidRDefault="00E74653" w:rsidP="003A58FC">
      <w:pPr>
        <w:spacing w:line="480" w:lineRule="auto"/>
        <w:rPr>
          <w:sz w:val="24"/>
          <w:szCs w:val="24"/>
          <w:lang w:val="en-US"/>
        </w:rPr>
      </w:pPr>
      <w:r w:rsidRPr="00F90AB6">
        <w:rPr>
          <w:sz w:val="24"/>
          <w:szCs w:val="24"/>
          <w:lang w:val="en-US"/>
        </w:rPr>
        <w:t>This work was su</w:t>
      </w:r>
      <w:r w:rsidR="00556A51">
        <w:rPr>
          <w:sz w:val="24"/>
          <w:szCs w:val="24"/>
          <w:lang w:val="en-US"/>
        </w:rPr>
        <w:t>pported by a grant (Ref: PSI2019-109233GB-</w:t>
      </w:r>
      <w:bookmarkStart w:id="2" w:name="_GoBack"/>
      <w:bookmarkEnd w:id="2"/>
      <w:r w:rsidR="00556A51">
        <w:rPr>
          <w:sz w:val="24"/>
          <w:szCs w:val="24"/>
          <w:lang w:val="en-US"/>
        </w:rPr>
        <w:t>100</w:t>
      </w:r>
      <w:r w:rsidRPr="00F90AB6">
        <w:rPr>
          <w:sz w:val="24"/>
          <w:szCs w:val="24"/>
          <w:lang w:val="en-US"/>
        </w:rPr>
        <w:t xml:space="preserve">) from the Spanish </w:t>
      </w:r>
      <w:proofErr w:type="spellStart"/>
      <w:r w:rsidRPr="00F90AB6">
        <w:rPr>
          <w:i/>
          <w:iCs/>
          <w:sz w:val="24"/>
          <w:szCs w:val="24"/>
          <w:lang w:val="en-US"/>
        </w:rPr>
        <w:t>Ministerio</w:t>
      </w:r>
      <w:proofErr w:type="spellEnd"/>
      <w:r w:rsidRPr="00F90AB6">
        <w:rPr>
          <w:i/>
          <w:iCs/>
          <w:sz w:val="24"/>
          <w:szCs w:val="24"/>
          <w:lang w:val="en-US"/>
        </w:rPr>
        <w:t xml:space="preserve"> de </w:t>
      </w:r>
      <w:proofErr w:type="spellStart"/>
      <w:r w:rsidRPr="00F90AB6">
        <w:rPr>
          <w:i/>
          <w:iCs/>
          <w:sz w:val="24"/>
          <w:szCs w:val="24"/>
          <w:lang w:val="en-US"/>
        </w:rPr>
        <w:t>Ciencia</w:t>
      </w:r>
      <w:proofErr w:type="spellEnd"/>
      <w:r w:rsidRPr="00F90AB6">
        <w:rPr>
          <w:i/>
          <w:iCs/>
          <w:sz w:val="24"/>
          <w:szCs w:val="24"/>
          <w:lang w:val="en-US"/>
        </w:rPr>
        <w:t xml:space="preserve"> e </w:t>
      </w:r>
      <w:proofErr w:type="spellStart"/>
      <w:r w:rsidRPr="00F90AB6">
        <w:rPr>
          <w:i/>
          <w:iCs/>
          <w:sz w:val="24"/>
          <w:szCs w:val="24"/>
          <w:lang w:val="en-US"/>
        </w:rPr>
        <w:t>Innovación</w:t>
      </w:r>
      <w:proofErr w:type="spellEnd"/>
      <w:r w:rsidRPr="00F90AB6">
        <w:rPr>
          <w:i/>
          <w:iCs/>
          <w:sz w:val="24"/>
          <w:szCs w:val="24"/>
          <w:lang w:val="en-US"/>
        </w:rPr>
        <w:t xml:space="preserve"> </w:t>
      </w:r>
      <w:r w:rsidR="007A128B">
        <w:rPr>
          <w:sz w:val="24"/>
          <w:szCs w:val="24"/>
          <w:lang w:val="en-US"/>
        </w:rPr>
        <w:t>to</w:t>
      </w:r>
      <w:r w:rsidR="00556A51">
        <w:rPr>
          <w:sz w:val="24"/>
          <w:szCs w:val="24"/>
          <w:lang w:val="en-US"/>
        </w:rPr>
        <w:t xml:space="preserve"> the authors</w:t>
      </w:r>
      <w:r w:rsidRPr="00F90AB6">
        <w:rPr>
          <w:sz w:val="24"/>
          <w:szCs w:val="24"/>
          <w:lang w:val="en-US"/>
        </w:rPr>
        <w:t>.</w:t>
      </w:r>
    </w:p>
    <w:p w14:paraId="64A5B915" w14:textId="77777777" w:rsidR="003A58FC" w:rsidRPr="00F90AB6" w:rsidRDefault="00E74653" w:rsidP="00EE26F7">
      <w:pPr>
        <w:spacing w:line="480" w:lineRule="auto"/>
        <w:rPr>
          <w:sz w:val="24"/>
          <w:szCs w:val="24"/>
          <w:lang w:val="en-US"/>
        </w:rPr>
      </w:pPr>
      <w:r w:rsidRPr="00F90AB6">
        <w:rPr>
          <w:sz w:val="24"/>
          <w:szCs w:val="24"/>
          <w:lang w:val="en-US"/>
        </w:rPr>
        <w:t xml:space="preserve">Correspondence concerning this article should be addressed to </w:t>
      </w:r>
      <w:r w:rsidR="00F746E7" w:rsidRPr="00F90AB6">
        <w:rPr>
          <w:sz w:val="24"/>
          <w:szCs w:val="24"/>
          <w:lang w:val="en-US"/>
        </w:rPr>
        <w:t xml:space="preserve">Antonio A. Artigas, </w:t>
      </w:r>
      <w:r w:rsidR="003A58FC" w:rsidRPr="00F90AB6">
        <w:rPr>
          <w:sz w:val="24"/>
          <w:szCs w:val="24"/>
          <w:lang w:val="en-US"/>
        </w:rPr>
        <w:t>email:</w:t>
      </w:r>
      <w:r w:rsidRPr="00F90AB6">
        <w:rPr>
          <w:sz w:val="24"/>
          <w:szCs w:val="24"/>
          <w:lang w:val="en-US"/>
        </w:rPr>
        <w:t xml:space="preserve"> </w:t>
      </w:r>
      <w:hyperlink r:id="rId8" w:history="1">
        <w:r w:rsidR="00E3736E" w:rsidRPr="00F90AB6">
          <w:rPr>
            <w:rStyle w:val="Hyperlink"/>
            <w:sz w:val="24"/>
            <w:szCs w:val="24"/>
            <w:lang w:val="en-US"/>
          </w:rPr>
          <w:t>talvarez@ub.edu</w:t>
        </w:r>
      </w:hyperlink>
      <w:r w:rsidR="00E3736E" w:rsidRPr="00F90AB6">
        <w:rPr>
          <w:sz w:val="24"/>
          <w:szCs w:val="24"/>
          <w:lang w:val="en-US"/>
        </w:rPr>
        <w:t xml:space="preserve">; or Jose Prados, e-mail: </w:t>
      </w:r>
      <w:hyperlink r:id="rId9" w:history="1">
        <w:r w:rsidR="00E3736E" w:rsidRPr="00F90AB6">
          <w:rPr>
            <w:rStyle w:val="Hyperlink"/>
            <w:sz w:val="24"/>
            <w:szCs w:val="24"/>
            <w:lang w:val="en-US"/>
          </w:rPr>
          <w:t>jpg19@le.ac.uk</w:t>
        </w:r>
      </w:hyperlink>
      <w:r w:rsidR="00E3736E" w:rsidRPr="00F90AB6">
        <w:rPr>
          <w:sz w:val="24"/>
          <w:szCs w:val="24"/>
          <w:lang w:val="en-US"/>
        </w:rPr>
        <w:t xml:space="preserve"> </w:t>
      </w:r>
    </w:p>
    <w:p w14:paraId="44BA3F08" w14:textId="77777777" w:rsidR="0048337D" w:rsidRPr="00F90AB6" w:rsidRDefault="00F07898" w:rsidP="003A58FC">
      <w:pPr>
        <w:spacing w:line="480" w:lineRule="auto"/>
        <w:jc w:val="center"/>
        <w:rPr>
          <w:sz w:val="24"/>
          <w:szCs w:val="24"/>
          <w:lang w:val="en-US"/>
        </w:rPr>
      </w:pPr>
      <w:r w:rsidRPr="00F90AB6">
        <w:rPr>
          <w:sz w:val="24"/>
          <w:szCs w:val="24"/>
          <w:lang w:val="en-US"/>
        </w:rPr>
        <w:br w:type="page"/>
      </w:r>
      <w:r w:rsidR="0048337D" w:rsidRPr="00F90AB6">
        <w:rPr>
          <w:sz w:val="24"/>
          <w:szCs w:val="24"/>
          <w:lang w:val="en-US"/>
        </w:rPr>
        <w:lastRenderedPageBreak/>
        <w:t>Abstract</w:t>
      </w:r>
    </w:p>
    <w:p w14:paraId="3810FF08" w14:textId="77777777" w:rsidR="00F07898" w:rsidRPr="00FB4E13" w:rsidRDefault="00581536" w:rsidP="00581536">
      <w:pPr>
        <w:spacing w:line="480" w:lineRule="auto"/>
        <w:ind w:firstLine="567"/>
        <w:rPr>
          <w:color w:val="000000" w:themeColor="text1"/>
          <w:sz w:val="24"/>
          <w:szCs w:val="24"/>
          <w:lang w:val="en-US"/>
        </w:rPr>
      </w:pPr>
      <w:r w:rsidRPr="00FB4E13">
        <w:rPr>
          <w:color w:val="000000" w:themeColor="text1"/>
          <w:sz w:val="24"/>
          <w:szCs w:val="24"/>
          <w:lang w:val="en-US"/>
        </w:rPr>
        <w:t xml:space="preserve">In three experiments, rats were given intermixed or blocked pre-exposure to two similar compound stimuli, AX and BX. </w:t>
      </w:r>
      <w:r w:rsidR="00FB4E13" w:rsidRPr="00FB4E13">
        <w:rPr>
          <w:color w:val="000000" w:themeColor="text1"/>
          <w:sz w:val="24"/>
          <w:szCs w:val="24"/>
          <w:lang w:val="en-US"/>
        </w:rPr>
        <w:t xml:space="preserve">In Experiment 1, following pre-exposure, animals were given appetitive conditioning training with the compound AX. A subsequent generalization test showed better discrimination between AX and BX in the group given intermixed than in the one given blocked pre-exposure. Experiments 2 and 3 assessed the nature of the learning mechanisms underlying this instance of the perceptual learning effect. Experiment 2 </w:t>
      </w:r>
      <w:r w:rsidR="0004378F" w:rsidRPr="00FB4E13">
        <w:rPr>
          <w:rFonts w:cstheme="minorHAnsi"/>
          <w:color w:val="000000" w:themeColor="text1"/>
          <w:sz w:val="24"/>
          <w:szCs w:val="24"/>
          <w:lang w:val="en-US" w:eastAsia="en-GB"/>
        </w:rPr>
        <w:t xml:space="preserve">assessed the associability of the common </w:t>
      </w:r>
      <w:r w:rsidR="00300EE2" w:rsidRPr="00FB4E13">
        <w:rPr>
          <w:rFonts w:cstheme="minorHAnsi"/>
          <w:color w:val="000000" w:themeColor="text1"/>
          <w:sz w:val="24"/>
          <w:szCs w:val="24"/>
          <w:lang w:val="en-US" w:eastAsia="en-GB"/>
        </w:rPr>
        <w:t xml:space="preserve">and unique </w:t>
      </w:r>
      <w:r w:rsidR="0004378F" w:rsidRPr="00FB4E13">
        <w:rPr>
          <w:rFonts w:cstheme="minorHAnsi"/>
          <w:color w:val="000000" w:themeColor="text1"/>
          <w:sz w:val="24"/>
          <w:szCs w:val="24"/>
          <w:lang w:val="en-US" w:eastAsia="en-GB"/>
        </w:rPr>
        <w:t>element</w:t>
      </w:r>
      <w:r w:rsidR="00300EE2" w:rsidRPr="00FB4E13">
        <w:rPr>
          <w:rFonts w:cstheme="minorHAnsi"/>
          <w:color w:val="000000" w:themeColor="text1"/>
          <w:sz w:val="24"/>
          <w:szCs w:val="24"/>
          <w:lang w:val="en-US" w:eastAsia="en-GB"/>
        </w:rPr>
        <w:t>s</w:t>
      </w:r>
      <w:r w:rsidR="0004378F" w:rsidRPr="00FB4E13">
        <w:rPr>
          <w:rFonts w:cstheme="minorHAnsi"/>
          <w:color w:val="000000" w:themeColor="text1"/>
          <w:sz w:val="24"/>
          <w:szCs w:val="24"/>
          <w:lang w:val="en-US" w:eastAsia="en-GB"/>
        </w:rPr>
        <w:t xml:space="preserve"> </w:t>
      </w:r>
      <w:r w:rsidR="00300EE2" w:rsidRPr="00FB4E13">
        <w:rPr>
          <w:rFonts w:cstheme="minorHAnsi"/>
          <w:color w:val="000000" w:themeColor="text1"/>
          <w:sz w:val="24"/>
          <w:szCs w:val="24"/>
          <w:lang w:val="en-US" w:eastAsia="en-GB"/>
        </w:rPr>
        <w:t>(</w:t>
      </w:r>
      <w:r w:rsidR="0004378F" w:rsidRPr="00FB4E13">
        <w:rPr>
          <w:rFonts w:cstheme="minorHAnsi"/>
          <w:color w:val="000000" w:themeColor="text1"/>
          <w:sz w:val="24"/>
          <w:szCs w:val="24"/>
          <w:lang w:val="en-US" w:eastAsia="en-GB"/>
        </w:rPr>
        <w:t xml:space="preserve">X </w:t>
      </w:r>
      <w:r w:rsidR="00300EE2" w:rsidRPr="00FB4E13">
        <w:rPr>
          <w:rFonts w:cstheme="minorHAnsi"/>
          <w:color w:val="000000" w:themeColor="text1"/>
          <w:sz w:val="24"/>
          <w:szCs w:val="24"/>
          <w:lang w:val="en-US" w:eastAsia="en-GB"/>
        </w:rPr>
        <w:t>and</w:t>
      </w:r>
      <w:r w:rsidR="0004378F" w:rsidRPr="00FB4E13">
        <w:rPr>
          <w:rFonts w:cstheme="minorHAnsi"/>
          <w:color w:val="000000" w:themeColor="text1"/>
          <w:sz w:val="24"/>
          <w:szCs w:val="24"/>
          <w:lang w:val="en-US" w:eastAsia="en-GB"/>
        </w:rPr>
        <w:t xml:space="preserve"> A</w:t>
      </w:r>
      <w:r w:rsidR="00300EE2" w:rsidRPr="00FB4E13">
        <w:rPr>
          <w:rFonts w:cstheme="minorHAnsi"/>
          <w:color w:val="000000" w:themeColor="text1"/>
          <w:sz w:val="24"/>
          <w:szCs w:val="24"/>
          <w:lang w:val="en-US" w:eastAsia="en-GB"/>
        </w:rPr>
        <w:t>)</w:t>
      </w:r>
      <w:r w:rsidR="00FB4E13" w:rsidRPr="00FB4E13">
        <w:rPr>
          <w:rFonts w:cstheme="minorHAnsi"/>
          <w:color w:val="000000" w:themeColor="text1"/>
          <w:sz w:val="24"/>
          <w:szCs w:val="24"/>
          <w:lang w:val="en-US" w:eastAsia="en-GB"/>
        </w:rPr>
        <w:t xml:space="preserve">; </w:t>
      </w:r>
      <w:r w:rsidR="0004378F" w:rsidRPr="00FB4E13">
        <w:rPr>
          <w:rFonts w:cstheme="minorHAnsi"/>
          <w:color w:val="000000" w:themeColor="text1"/>
          <w:sz w:val="24"/>
          <w:szCs w:val="24"/>
          <w:lang w:val="en-US" w:eastAsia="en-GB"/>
        </w:rPr>
        <w:t xml:space="preserve">animals in the group given intermixed pre-exposure showed poorer conditioning with both the X and the A elements than those given blocked pre-exposure. </w:t>
      </w:r>
      <w:r w:rsidR="004118B6" w:rsidRPr="00FB4E13">
        <w:rPr>
          <w:color w:val="000000" w:themeColor="text1"/>
          <w:sz w:val="24"/>
          <w:szCs w:val="24"/>
          <w:lang w:val="en-US"/>
        </w:rPr>
        <w:t xml:space="preserve">Experiment </w:t>
      </w:r>
      <w:r w:rsidR="00310698" w:rsidRPr="00FB4E13">
        <w:rPr>
          <w:color w:val="000000" w:themeColor="text1"/>
          <w:sz w:val="24"/>
          <w:szCs w:val="24"/>
          <w:lang w:val="en-US"/>
        </w:rPr>
        <w:t>3</w:t>
      </w:r>
      <w:r w:rsidR="004118B6" w:rsidRPr="00FB4E13">
        <w:rPr>
          <w:color w:val="000000" w:themeColor="text1"/>
          <w:sz w:val="24"/>
          <w:szCs w:val="24"/>
          <w:lang w:val="en-US"/>
        </w:rPr>
        <w:t xml:space="preserve"> </w:t>
      </w:r>
      <w:r w:rsidR="00FB4E13" w:rsidRPr="00FB4E13">
        <w:rPr>
          <w:color w:val="000000" w:themeColor="text1"/>
          <w:sz w:val="24"/>
          <w:szCs w:val="24"/>
          <w:lang w:val="en-US"/>
        </w:rPr>
        <w:t xml:space="preserve">further </w:t>
      </w:r>
      <w:r w:rsidR="004118B6" w:rsidRPr="00FB4E13">
        <w:rPr>
          <w:color w:val="000000" w:themeColor="text1"/>
          <w:sz w:val="24"/>
          <w:szCs w:val="24"/>
          <w:lang w:val="en-US"/>
        </w:rPr>
        <w:t>assessed the perceptual effectiveness of the distinctive element A</w:t>
      </w:r>
      <w:r w:rsidR="00DF3BEC" w:rsidRPr="00FB4E13">
        <w:rPr>
          <w:color w:val="000000" w:themeColor="text1"/>
          <w:sz w:val="24"/>
          <w:szCs w:val="24"/>
          <w:lang w:val="en-US"/>
        </w:rPr>
        <w:t xml:space="preserve"> </w:t>
      </w:r>
      <w:r w:rsidR="00FB4E13" w:rsidRPr="00FB4E13">
        <w:rPr>
          <w:color w:val="000000" w:themeColor="text1"/>
          <w:sz w:val="24"/>
          <w:szCs w:val="24"/>
          <w:lang w:val="en-US"/>
        </w:rPr>
        <w:t>using a superimposition test (the capacity of A to interfere with the conditioned response commanded by an independent conditioned stimulus). Th</w:t>
      </w:r>
      <w:r w:rsidR="004118B6" w:rsidRPr="00FB4E13">
        <w:rPr>
          <w:color w:val="000000" w:themeColor="text1"/>
          <w:sz w:val="24"/>
          <w:szCs w:val="24"/>
          <w:lang w:val="en-US"/>
        </w:rPr>
        <w:t>e results showed, in line with the outcome of Experiment</w:t>
      </w:r>
      <w:r w:rsidR="00FB4E13" w:rsidRPr="00FB4E13">
        <w:rPr>
          <w:color w:val="000000" w:themeColor="text1"/>
          <w:sz w:val="24"/>
          <w:szCs w:val="24"/>
          <w:lang w:val="en-US"/>
        </w:rPr>
        <w:t xml:space="preserve"> 2</w:t>
      </w:r>
      <w:r w:rsidR="00FB4E13">
        <w:rPr>
          <w:color w:val="000000" w:themeColor="text1"/>
          <w:sz w:val="24"/>
          <w:szCs w:val="24"/>
          <w:lang w:val="en-US"/>
        </w:rPr>
        <w:t xml:space="preserve">, </w:t>
      </w:r>
      <w:r w:rsidR="004118B6" w:rsidRPr="00FB4E13">
        <w:rPr>
          <w:color w:val="000000" w:themeColor="text1"/>
          <w:sz w:val="24"/>
          <w:szCs w:val="24"/>
          <w:lang w:val="en-US"/>
        </w:rPr>
        <w:t xml:space="preserve">that </w:t>
      </w:r>
      <w:r w:rsidR="00FB4E13">
        <w:rPr>
          <w:color w:val="000000" w:themeColor="text1"/>
          <w:sz w:val="24"/>
          <w:szCs w:val="24"/>
          <w:lang w:val="en-US"/>
        </w:rPr>
        <w:t>the unique</w:t>
      </w:r>
      <w:r w:rsidR="004118B6" w:rsidRPr="00FB4E13">
        <w:rPr>
          <w:color w:val="000000" w:themeColor="text1"/>
          <w:sz w:val="24"/>
          <w:szCs w:val="24"/>
          <w:lang w:val="en-US"/>
        </w:rPr>
        <w:t xml:space="preserve"> </w:t>
      </w:r>
      <w:r w:rsidR="00FB4E13">
        <w:rPr>
          <w:color w:val="000000" w:themeColor="text1"/>
          <w:sz w:val="24"/>
          <w:szCs w:val="24"/>
          <w:lang w:val="en-US"/>
        </w:rPr>
        <w:t xml:space="preserve">element A </w:t>
      </w:r>
      <w:r w:rsidR="004118B6" w:rsidRPr="00FB4E13">
        <w:rPr>
          <w:color w:val="000000" w:themeColor="text1"/>
          <w:sz w:val="24"/>
          <w:szCs w:val="24"/>
          <w:lang w:val="en-US"/>
        </w:rPr>
        <w:t xml:space="preserve">is more salient following blocked </w:t>
      </w:r>
      <w:r w:rsidR="00FB4E13" w:rsidRPr="00FB4E13">
        <w:rPr>
          <w:color w:val="000000" w:themeColor="text1"/>
          <w:sz w:val="24"/>
          <w:szCs w:val="24"/>
          <w:lang w:val="en-US"/>
        </w:rPr>
        <w:t xml:space="preserve">than intermixed </w:t>
      </w:r>
      <w:r w:rsidR="004118B6" w:rsidRPr="00FB4E13">
        <w:rPr>
          <w:color w:val="000000" w:themeColor="text1"/>
          <w:sz w:val="24"/>
          <w:szCs w:val="24"/>
          <w:lang w:val="en-US"/>
        </w:rPr>
        <w:t>pre-exposure</w:t>
      </w:r>
      <w:r w:rsidR="00152AFF" w:rsidRPr="00FB4E13">
        <w:rPr>
          <w:color w:val="000000" w:themeColor="text1"/>
          <w:sz w:val="24"/>
          <w:szCs w:val="24"/>
          <w:lang w:val="en-US"/>
        </w:rPr>
        <w:t>. The</w:t>
      </w:r>
      <w:r w:rsidR="00FB4E13">
        <w:rPr>
          <w:color w:val="000000" w:themeColor="text1"/>
          <w:sz w:val="24"/>
          <w:szCs w:val="24"/>
          <w:lang w:val="en-US"/>
        </w:rPr>
        <w:t>se</w:t>
      </w:r>
      <w:r w:rsidR="00152AFF" w:rsidRPr="00FB4E13">
        <w:rPr>
          <w:color w:val="000000" w:themeColor="text1"/>
          <w:sz w:val="24"/>
          <w:szCs w:val="24"/>
          <w:lang w:val="en-US"/>
        </w:rPr>
        <w:t xml:space="preserve"> results are discussed by reference to current theories of perceptual learning.</w:t>
      </w:r>
    </w:p>
    <w:p w14:paraId="7F14A9AC" w14:textId="77777777" w:rsidR="00503449" w:rsidRPr="00F90AB6" w:rsidRDefault="00503449" w:rsidP="008F3A11">
      <w:pPr>
        <w:spacing w:line="480" w:lineRule="auto"/>
        <w:ind w:firstLine="567"/>
        <w:rPr>
          <w:color w:val="000000"/>
          <w:sz w:val="24"/>
          <w:szCs w:val="16"/>
          <w:lang w:val="en-US" w:eastAsia="en-GB"/>
        </w:rPr>
      </w:pPr>
    </w:p>
    <w:p w14:paraId="56BE2E88" w14:textId="77777777" w:rsidR="00F07898" w:rsidRPr="00F90AB6" w:rsidRDefault="00F07898">
      <w:pPr>
        <w:autoSpaceDE/>
        <w:autoSpaceDN/>
        <w:spacing w:after="200" w:line="276" w:lineRule="auto"/>
        <w:rPr>
          <w:i/>
          <w:iCs/>
          <w:sz w:val="24"/>
          <w:szCs w:val="24"/>
          <w:lang w:val="en-US"/>
        </w:rPr>
      </w:pPr>
      <w:r w:rsidRPr="00F90AB6">
        <w:rPr>
          <w:i/>
          <w:iCs/>
          <w:sz w:val="24"/>
          <w:szCs w:val="24"/>
          <w:lang w:val="en-US"/>
        </w:rPr>
        <w:br w:type="page"/>
      </w:r>
    </w:p>
    <w:p w14:paraId="590C0BC5" w14:textId="60209097" w:rsidR="00A35FAA" w:rsidRDefault="00FA3041" w:rsidP="00A35FAA">
      <w:pPr>
        <w:tabs>
          <w:tab w:val="center" w:pos="4700"/>
          <w:tab w:val="left" w:pos="5873"/>
        </w:tabs>
        <w:spacing w:line="480" w:lineRule="auto"/>
        <w:ind w:right="-45" w:firstLine="567"/>
        <w:rPr>
          <w:color w:val="000000" w:themeColor="text1"/>
          <w:sz w:val="24"/>
          <w:szCs w:val="24"/>
          <w:lang w:val="en-US"/>
        </w:rPr>
      </w:pPr>
      <w:r w:rsidRPr="00F90AB6">
        <w:rPr>
          <w:sz w:val="24"/>
          <w:szCs w:val="24"/>
          <w:lang w:val="en-US"/>
        </w:rPr>
        <w:lastRenderedPageBreak/>
        <w:t xml:space="preserve">Mere exposure to a stimulus is known to trigger learning processes that change </w:t>
      </w:r>
      <w:r w:rsidR="00A35FAA">
        <w:rPr>
          <w:sz w:val="24"/>
          <w:szCs w:val="24"/>
          <w:lang w:val="en-US"/>
        </w:rPr>
        <w:t xml:space="preserve">its </w:t>
      </w:r>
      <w:r w:rsidRPr="00F90AB6">
        <w:rPr>
          <w:sz w:val="24"/>
          <w:szCs w:val="24"/>
          <w:lang w:val="en-US"/>
        </w:rPr>
        <w:t>ability to serve as a classically conditioned stimulus</w:t>
      </w:r>
      <w:r w:rsidR="00F61348" w:rsidRPr="00F90AB6">
        <w:rPr>
          <w:sz w:val="24"/>
          <w:szCs w:val="24"/>
          <w:lang w:val="en-US"/>
        </w:rPr>
        <w:t xml:space="preserve"> or CS</w:t>
      </w:r>
      <w:r w:rsidR="00E3736E" w:rsidRPr="00F90AB6">
        <w:rPr>
          <w:sz w:val="24"/>
          <w:szCs w:val="24"/>
          <w:lang w:val="en-US"/>
        </w:rPr>
        <w:t>; an example would be the latent inhibition procedure</w:t>
      </w:r>
      <w:r w:rsidR="002A380C">
        <w:rPr>
          <w:sz w:val="24"/>
          <w:szCs w:val="24"/>
          <w:lang w:val="en-US"/>
        </w:rPr>
        <w:t xml:space="preserve"> (e.g., </w:t>
      </w:r>
      <w:proofErr w:type="spellStart"/>
      <w:r w:rsidR="002A380C">
        <w:rPr>
          <w:sz w:val="24"/>
          <w:szCs w:val="24"/>
          <w:lang w:val="en-US"/>
        </w:rPr>
        <w:t>Lubow</w:t>
      </w:r>
      <w:proofErr w:type="spellEnd"/>
      <w:r w:rsidR="002A380C">
        <w:rPr>
          <w:sz w:val="24"/>
          <w:szCs w:val="24"/>
          <w:lang w:val="en-US"/>
        </w:rPr>
        <w:t xml:space="preserve">, </w:t>
      </w:r>
      <w:r w:rsidR="000E7D07" w:rsidRPr="00F90AB6">
        <w:rPr>
          <w:sz w:val="24"/>
          <w:szCs w:val="24"/>
          <w:lang w:val="en-US"/>
        </w:rPr>
        <w:t>2010). S</w:t>
      </w:r>
      <w:r w:rsidR="00163746" w:rsidRPr="00F90AB6">
        <w:rPr>
          <w:sz w:val="24"/>
          <w:szCs w:val="24"/>
          <w:lang w:val="en-US"/>
        </w:rPr>
        <w:t>i</w:t>
      </w:r>
      <w:r w:rsidR="000E7D07" w:rsidRPr="00F90AB6">
        <w:rPr>
          <w:sz w:val="24"/>
          <w:szCs w:val="24"/>
          <w:lang w:val="en-US"/>
        </w:rPr>
        <w:t xml:space="preserve">milarly, </w:t>
      </w:r>
      <w:r w:rsidRPr="00F90AB6">
        <w:rPr>
          <w:sz w:val="24"/>
          <w:szCs w:val="24"/>
          <w:lang w:val="en-US"/>
        </w:rPr>
        <w:t xml:space="preserve">exposure to more than one stimulus without explicit consequences has been shown to modify their discriminability (e.g., Hall, 1991). </w:t>
      </w:r>
      <w:r w:rsidR="00845F14" w:rsidRPr="00F90AB6">
        <w:rPr>
          <w:sz w:val="24"/>
          <w:szCs w:val="24"/>
          <w:lang w:val="en-US"/>
        </w:rPr>
        <w:t>For example</w:t>
      </w:r>
      <w:r w:rsidRPr="00F90AB6">
        <w:rPr>
          <w:sz w:val="24"/>
          <w:szCs w:val="24"/>
          <w:lang w:val="en-US"/>
        </w:rPr>
        <w:t xml:space="preserve">, </w:t>
      </w:r>
      <w:r w:rsidR="000E7D07" w:rsidRPr="00F90AB6">
        <w:rPr>
          <w:sz w:val="24"/>
          <w:szCs w:val="24"/>
          <w:lang w:val="en-US"/>
        </w:rPr>
        <w:t xml:space="preserve">intermixed </w:t>
      </w:r>
      <w:r w:rsidRPr="00F90AB6">
        <w:rPr>
          <w:sz w:val="24"/>
          <w:szCs w:val="24"/>
          <w:lang w:val="en-US"/>
        </w:rPr>
        <w:t>exposure to two similar stimuli sharing common elements, AX and BX, where A and B refer to the unique elements of each stimulus and X to their common</w:t>
      </w:r>
      <w:r w:rsidR="000E7D07" w:rsidRPr="00F90AB6">
        <w:rPr>
          <w:sz w:val="24"/>
          <w:szCs w:val="24"/>
          <w:lang w:val="en-US"/>
        </w:rPr>
        <w:t xml:space="preserve"> features, has been shown to result in improved </w:t>
      </w:r>
      <w:r w:rsidR="00163746" w:rsidRPr="00F90AB6">
        <w:rPr>
          <w:sz w:val="24"/>
          <w:szCs w:val="24"/>
          <w:lang w:val="en-US"/>
        </w:rPr>
        <w:t xml:space="preserve">discrimination—comparison made to a group in which AX and BX are exposed in separate blocks of </w:t>
      </w:r>
      <w:r w:rsidR="00163746" w:rsidRPr="00440D72">
        <w:rPr>
          <w:sz w:val="24"/>
          <w:szCs w:val="24"/>
          <w:lang w:val="en-US"/>
        </w:rPr>
        <w:t xml:space="preserve">trials </w:t>
      </w:r>
      <w:r w:rsidR="000E7D07" w:rsidRPr="00440D72">
        <w:rPr>
          <w:sz w:val="24"/>
          <w:szCs w:val="24"/>
          <w:lang w:val="en-US"/>
        </w:rPr>
        <w:t xml:space="preserve">(e.g., </w:t>
      </w:r>
      <w:r w:rsidR="007A128B">
        <w:rPr>
          <w:sz w:val="24"/>
          <w:szCs w:val="24"/>
          <w:lang w:val="en-US"/>
        </w:rPr>
        <w:t>Honey</w:t>
      </w:r>
      <w:r w:rsidR="002A0BD0">
        <w:rPr>
          <w:sz w:val="24"/>
          <w:szCs w:val="24"/>
          <w:lang w:val="en-US"/>
        </w:rPr>
        <w:t>,</w:t>
      </w:r>
      <w:r w:rsidR="002A0BD0" w:rsidRPr="002A0BD0">
        <w:rPr>
          <w:lang w:val="en-US"/>
        </w:rPr>
        <w:t xml:space="preserve"> </w:t>
      </w:r>
      <w:r w:rsidR="002A0BD0" w:rsidRPr="002A0BD0">
        <w:rPr>
          <w:sz w:val="24"/>
          <w:szCs w:val="24"/>
          <w:lang w:val="en-US"/>
        </w:rPr>
        <w:t>Bateson</w:t>
      </w:r>
      <w:r w:rsidR="002A0BD0">
        <w:rPr>
          <w:sz w:val="24"/>
          <w:szCs w:val="24"/>
          <w:lang w:val="en-US"/>
        </w:rPr>
        <w:t xml:space="preserve"> </w:t>
      </w:r>
      <w:r w:rsidR="002A0BD0" w:rsidRPr="002A0BD0">
        <w:rPr>
          <w:sz w:val="24"/>
          <w:szCs w:val="24"/>
          <w:lang w:val="en-US"/>
        </w:rPr>
        <w:t>&amp; Horn</w:t>
      </w:r>
      <w:r w:rsidR="0052187D" w:rsidRPr="00440D72">
        <w:rPr>
          <w:sz w:val="24"/>
          <w:szCs w:val="24"/>
          <w:lang w:val="en-US"/>
        </w:rPr>
        <w:t xml:space="preserve">, </w:t>
      </w:r>
      <w:r w:rsidR="00AB4023" w:rsidRPr="00440D72">
        <w:rPr>
          <w:sz w:val="24"/>
          <w:szCs w:val="24"/>
          <w:lang w:val="en-US"/>
        </w:rPr>
        <w:t xml:space="preserve">1994; </w:t>
      </w:r>
      <w:r w:rsidR="007A128B">
        <w:rPr>
          <w:sz w:val="24"/>
          <w:szCs w:val="24"/>
          <w:lang w:val="en-US"/>
        </w:rPr>
        <w:t>Prados</w:t>
      </w:r>
      <w:r w:rsidR="002A0BD0">
        <w:rPr>
          <w:sz w:val="24"/>
          <w:szCs w:val="24"/>
          <w:lang w:val="en-US"/>
        </w:rPr>
        <w:t xml:space="preserve">, </w:t>
      </w:r>
      <w:r w:rsidR="002A0BD0">
        <w:rPr>
          <w:sz w:val="24"/>
          <w:szCs w:val="24"/>
          <w:lang w:val="en-GB"/>
        </w:rPr>
        <w:t xml:space="preserve">Hall &amp; </w:t>
      </w:r>
      <w:r w:rsidR="002A0BD0" w:rsidRPr="00454174">
        <w:rPr>
          <w:sz w:val="24"/>
          <w:szCs w:val="24"/>
          <w:lang w:val="en-GB"/>
        </w:rPr>
        <w:t>Leonard</w:t>
      </w:r>
      <w:r w:rsidR="0045682F" w:rsidRPr="00440D72">
        <w:rPr>
          <w:sz w:val="24"/>
          <w:szCs w:val="24"/>
          <w:lang w:val="en-US"/>
        </w:rPr>
        <w:t xml:space="preserve">, 2004; </w:t>
      </w:r>
      <w:r w:rsidR="000E7D07" w:rsidRPr="00440D72">
        <w:rPr>
          <w:sz w:val="24"/>
          <w:szCs w:val="24"/>
          <w:lang w:val="en-US"/>
        </w:rPr>
        <w:t xml:space="preserve">Symonds &amp; Hall, 1995). </w:t>
      </w:r>
      <w:r w:rsidR="000E7D07" w:rsidRPr="00F90AB6">
        <w:rPr>
          <w:sz w:val="24"/>
          <w:szCs w:val="24"/>
          <w:lang w:val="en-US"/>
        </w:rPr>
        <w:t xml:space="preserve">This </w:t>
      </w:r>
      <w:r w:rsidR="00163746" w:rsidRPr="00F90AB6">
        <w:rPr>
          <w:sz w:val="24"/>
          <w:szCs w:val="24"/>
          <w:lang w:val="en-US"/>
        </w:rPr>
        <w:t>intermixed/blocked effect</w:t>
      </w:r>
      <w:r w:rsidR="005D48B7" w:rsidRPr="00F90AB6">
        <w:rPr>
          <w:sz w:val="24"/>
          <w:szCs w:val="24"/>
          <w:lang w:val="en-US"/>
        </w:rPr>
        <w:t xml:space="preserve">, </w:t>
      </w:r>
      <w:r w:rsidR="00163746" w:rsidRPr="00F90AB6">
        <w:rPr>
          <w:sz w:val="24"/>
          <w:szCs w:val="24"/>
          <w:lang w:val="en-US"/>
        </w:rPr>
        <w:t xml:space="preserve">an instance of </w:t>
      </w:r>
      <w:r w:rsidR="000E7D07" w:rsidRPr="00F90AB6">
        <w:rPr>
          <w:sz w:val="24"/>
          <w:szCs w:val="24"/>
          <w:lang w:val="en-US"/>
        </w:rPr>
        <w:t>perceptual learning</w:t>
      </w:r>
      <w:r w:rsidR="00163746" w:rsidRPr="00F90AB6">
        <w:rPr>
          <w:sz w:val="24"/>
          <w:szCs w:val="24"/>
          <w:lang w:val="en-US"/>
        </w:rPr>
        <w:t>,</w:t>
      </w:r>
      <w:r w:rsidR="000E7D07" w:rsidRPr="00F90AB6">
        <w:rPr>
          <w:sz w:val="24"/>
          <w:szCs w:val="24"/>
          <w:lang w:val="en-US"/>
        </w:rPr>
        <w:t xml:space="preserve"> has</w:t>
      </w:r>
      <w:r w:rsidRPr="00F90AB6">
        <w:rPr>
          <w:sz w:val="24"/>
          <w:szCs w:val="24"/>
          <w:lang w:val="en-US"/>
        </w:rPr>
        <w:t xml:space="preserve"> been intensively researched </w:t>
      </w:r>
      <w:r w:rsidR="000E7D07" w:rsidRPr="00F90AB6">
        <w:rPr>
          <w:sz w:val="24"/>
          <w:szCs w:val="24"/>
          <w:lang w:val="en-US"/>
        </w:rPr>
        <w:t xml:space="preserve">and several </w:t>
      </w:r>
      <w:r w:rsidR="00854E4F">
        <w:rPr>
          <w:sz w:val="24"/>
          <w:szCs w:val="24"/>
          <w:lang w:val="en-US"/>
        </w:rPr>
        <w:t>processes</w:t>
      </w:r>
      <w:r w:rsidR="000E7D07" w:rsidRPr="00F90AB6">
        <w:rPr>
          <w:sz w:val="24"/>
          <w:szCs w:val="24"/>
          <w:lang w:val="en-US"/>
        </w:rPr>
        <w:t xml:space="preserve"> have been shown to contribute to the enhanced discriminability between AX and BX</w:t>
      </w:r>
      <w:r w:rsidR="00163746" w:rsidRPr="00F90AB6">
        <w:rPr>
          <w:sz w:val="24"/>
          <w:szCs w:val="24"/>
          <w:lang w:val="en-US"/>
        </w:rPr>
        <w:t xml:space="preserve"> after intermixed pre-exposure</w:t>
      </w:r>
      <w:r w:rsidR="001B7E4E" w:rsidRPr="001B7E4E">
        <w:rPr>
          <w:color w:val="000000" w:themeColor="text1"/>
          <w:sz w:val="24"/>
          <w:szCs w:val="24"/>
          <w:lang w:val="en-US"/>
        </w:rPr>
        <w:t>.</w:t>
      </w:r>
      <w:r w:rsidR="00A35FAA">
        <w:rPr>
          <w:color w:val="000000" w:themeColor="text1"/>
          <w:sz w:val="24"/>
          <w:szCs w:val="24"/>
          <w:lang w:val="en-US"/>
        </w:rPr>
        <w:t xml:space="preserve"> </w:t>
      </w:r>
      <w:r w:rsidR="001B7E4E" w:rsidRPr="001B7E4E">
        <w:rPr>
          <w:color w:val="000000" w:themeColor="text1"/>
          <w:sz w:val="24"/>
          <w:szCs w:val="24"/>
          <w:lang w:val="en-US"/>
        </w:rPr>
        <w:t>T</w:t>
      </w:r>
      <w:r w:rsidR="003972D1" w:rsidRPr="001B7E4E">
        <w:rPr>
          <w:color w:val="000000" w:themeColor="text1"/>
          <w:sz w:val="24"/>
          <w:szCs w:val="24"/>
          <w:lang w:val="en-US"/>
        </w:rPr>
        <w:t xml:space="preserve">he </w:t>
      </w:r>
      <w:r w:rsidR="004969CC" w:rsidRPr="001B7E4E">
        <w:rPr>
          <w:color w:val="000000" w:themeColor="text1"/>
          <w:sz w:val="24"/>
          <w:szCs w:val="24"/>
          <w:lang w:val="en-US"/>
        </w:rPr>
        <w:t>basic</w:t>
      </w:r>
      <w:r w:rsidR="003972D1" w:rsidRPr="001B7E4E">
        <w:rPr>
          <w:color w:val="000000" w:themeColor="text1"/>
          <w:sz w:val="24"/>
          <w:szCs w:val="24"/>
          <w:lang w:val="en-US"/>
        </w:rPr>
        <w:t xml:space="preserve"> mechanism</w:t>
      </w:r>
      <w:r w:rsidR="00452244" w:rsidRPr="001B7E4E">
        <w:rPr>
          <w:color w:val="000000" w:themeColor="text1"/>
          <w:sz w:val="24"/>
          <w:szCs w:val="24"/>
          <w:lang w:val="en-US"/>
        </w:rPr>
        <w:t xml:space="preserve"> </w:t>
      </w:r>
      <w:r w:rsidR="004969CC" w:rsidRPr="001B7E4E">
        <w:rPr>
          <w:color w:val="000000" w:themeColor="text1"/>
          <w:sz w:val="24"/>
          <w:szCs w:val="24"/>
          <w:lang w:val="en-US"/>
        </w:rPr>
        <w:t>enhancing the discriminability of AX and BX seems</w:t>
      </w:r>
      <w:r w:rsidR="00452244" w:rsidRPr="001B7E4E">
        <w:rPr>
          <w:color w:val="000000" w:themeColor="text1"/>
          <w:sz w:val="24"/>
          <w:szCs w:val="24"/>
          <w:lang w:val="en-US"/>
        </w:rPr>
        <w:t xml:space="preserve"> to be associative in nature</w:t>
      </w:r>
      <w:r w:rsidR="007579BD" w:rsidRPr="001B7E4E">
        <w:rPr>
          <w:color w:val="000000" w:themeColor="text1"/>
          <w:sz w:val="24"/>
          <w:szCs w:val="24"/>
          <w:lang w:val="en-US"/>
        </w:rPr>
        <w:t xml:space="preserve">. According to McLaren and Mackintosh (2000) and Hall (2003), pre-exposure allows for the establishment of </w:t>
      </w:r>
      <w:r w:rsidR="00F3448B">
        <w:rPr>
          <w:color w:val="000000" w:themeColor="text1"/>
          <w:sz w:val="24"/>
          <w:szCs w:val="24"/>
          <w:lang w:val="en-US"/>
        </w:rPr>
        <w:t xml:space="preserve">excitatory </w:t>
      </w:r>
      <w:r w:rsidR="007579BD" w:rsidRPr="001B7E4E">
        <w:rPr>
          <w:color w:val="000000" w:themeColor="text1"/>
          <w:sz w:val="24"/>
          <w:szCs w:val="24"/>
          <w:lang w:val="en-US"/>
        </w:rPr>
        <w:t>associations betwee</w:t>
      </w:r>
      <w:r w:rsidR="00F3448B">
        <w:rPr>
          <w:color w:val="000000" w:themeColor="text1"/>
          <w:sz w:val="24"/>
          <w:szCs w:val="24"/>
          <w:lang w:val="en-US"/>
        </w:rPr>
        <w:t>n the elements of the</w:t>
      </w:r>
      <w:r w:rsidR="00183B2F">
        <w:rPr>
          <w:color w:val="000000" w:themeColor="text1"/>
          <w:sz w:val="24"/>
          <w:szCs w:val="24"/>
          <w:lang w:val="en-US"/>
        </w:rPr>
        <w:t xml:space="preserve"> compound:</w:t>
      </w:r>
      <w:r w:rsidR="00F3448B">
        <w:rPr>
          <w:color w:val="000000" w:themeColor="text1"/>
          <w:sz w:val="24"/>
          <w:szCs w:val="24"/>
          <w:lang w:val="en-US"/>
        </w:rPr>
        <w:t xml:space="preserve"> </w:t>
      </w:r>
      <w:r w:rsidR="007579BD" w:rsidRPr="001B7E4E">
        <w:rPr>
          <w:color w:val="000000" w:themeColor="text1"/>
          <w:sz w:val="24"/>
          <w:szCs w:val="24"/>
          <w:lang w:val="en-US"/>
        </w:rPr>
        <w:t>between</w:t>
      </w:r>
      <w:r w:rsidR="00183B2F">
        <w:rPr>
          <w:color w:val="000000" w:themeColor="text1"/>
          <w:sz w:val="24"/>
          <w:szCs w:val="24"/>
          <w:lang w:val="en-US"/>
        </w:rPr>
        <w:t xml:space="preserve"> A and X</w:t>
      </w:r>
      <w:r w:rsidR="00A35FAA">
        <w:rPr>
          <w:color w:val="000000" w:themeColor="text1"/>
          <w:sz w:val="24"/>
          <w:szCs w:val="24"/>
          <w:lang w:val="en-US"/>
        </w:rPr>
        <w:t xml:space="preserve"> and between B and X</w:t>
      </w:r>
      <w:r w:rsidR="00F3448B">
        <w:rPr>
          <w:color w:val="000000" w:themeColor="text1"/>
          <w:sz w:val="24"/>
          <w:szCs w:val="24"/>
          <w:lang w:val="en-US"/>
        </w:rPr>
        <w:t xml:space="preserve"> (see, for example, Polack &amp; Miller, 2018</w:t>
      </w:r>
      <w:r w:rsidR="00EF1F08">
        <w:rPr>
          <w:color w:val="000000" w:themeColor="text1"/>
          <w:sz w:val="24"/>
          <w:szCs w:val="24"/>
          <w:lang w:val="en-US"/>
        </w:rPr>
        <w:t xml:space="preserve">; </w:t>
      </w:r>
      <w:r w:rsidR="00D413FA">
        <w:rPr>
          <w:color w:val="000000" w:themeColor="text1"/>
          <w:sz w:val="24"/>
          <w:szCs w:val="24"/>
          <w:lang w:val="en-US"/>
        </w:rPr>
        <w:t>Rodriguez &amp; Alonso, 2014</w:t>
      </w:r>
      <w:r w:rsidR="00F3448B">
        <w:rPr>
          <w:color w:val="000000" w:themeColor="text1"/>
          <w:sz w:val="24"/>
          <w:szCs w:val="24"/>
          <w:lang w:val="en-US"/>
        </w:rPr>
        <w:t>)</w:t>
      </w:r>
      <w:r w:rsidR="00A35FAA">
        <w:rPr>
          <w:color w:val="000000" w:themeColor="text1"/>
          <w:sz w:val="24"/>
          <w:szCs w:val="24"/>
          <w:lang w:val="en-US"/>
        </w:rPr>
        <w:t>.</w:t>
      </w:r>
    </w:p>
    <w:p w14:paraId="3E2C61C7" w14:textId="7BB0A7F5" w:rsidR="007A128B" w:rsidRPr="00A35FAA" w:rsidRDefault="001B7E4E" w:rsidP="00A35FAA">
      <w:pPr>
        <w:tabs>
          <w:tab w:val="center" w:pos="4700"/>
          <w:tab w:val="left" w:pos="5873"/>
        </w:tabs>
        <w:spacing w:line="480" w:lineRule="auto"/>
        <w:ind w:right="-45" w:firstLine="567"/>
        <w:rPr>
          <w:color w:val="000000" w:themeColor="text1"/>
          <w:sz w:val="24"/>
          <w:szCs w:val="24"/>
          <w:lang w:val="en-US"/>
        </w:rPr>
      </w:pPr>
      <w:r>
        <w:rPr>
          <w:color w:val="000000" w:themeColor="text1"/>
          <w:sz w:val="24"/>
          <w:szCs w:val="24"/>
          <w:lang w:val="en-US"/>
        </w:rPr>
        <w:t>Although this</w:t>
      </w:r>
      <w:r w:rsidR="007579BD" w:rsidRPr="001B7E4E">
        <w:rPr>
          <w:color w:val="000000" w:themeColor="text1"/>
          <w:sz w:val="24"/>
          <w:szCs w:val="24"/>
          <w:lang w:val="en-US"/>
        </w:rPr>
        <w:t xml:space="preserve"> within-compound associations </w:t>
      </w:r>
      <w:r w:rsidR="00A35FAA">
        <w:rPr>
          <w:color w:val="000000" w:themeColor="text1"/>
          <w:sz w:val="24"/>
          <w:szCs w:val="24"/>
          <w:lang w:val="en-US"/>
        </w:rPr>
        <w:t xml:space="preserve">would </w:t>
      </w:r>
      <w:r w:rsidR="007579BD" w:rsidRPr="001B7E4E">
        <w:rPr>
          <w:color w:val="000000" w:themeColor="text1"/>
          <w:sz w:val="24"/>
          <w:szCs w:val="24"/>
          <w:lang w:val="en-US"/>
        </w:rPr>
        <w:t>increase the mediated generalization (through the common element, X) between</w:t>
      </w:r>
      <w:r w:rsidRPr="001B7E4E">
        <w:rPr>
          <w:color w:val="000000" w:themeColor="text1"/>
          <w:sz w:val="24"/>
          <w:szCs w:val="24"/>
          <w:lang w:val="en-US"/>
        </w:rPr>
        <w:t xml:space="preserve"> the compound stimuli AX and BX</w:t>
      </w:r>
      <w:r>
        <w:rPr>
          <w:sz w:val="24"/>
          <w:szCs w:val="24"/>
          <w:lang w:val="en-US"/>
        </w:rPr>
        <w:t>,</w:t>
      </w:r>
      <w:r w:rsidR="00945F0B">
        <w:rPr>
          <w:sz w:val="24"/>
          <w:szCs w:val="24"/>
          <w:lang w:val="en-US"/>
        </w:rPr>
        <w:t xml:space="preserve"> </w:t>
      </w:r>
      <w:r w:rsidR="00A35FAA">
        <w:rPr>
          <w:sz w:val="24"/>
          <w:szCs w:val="24"/>
          <w:lang w:val="en-US"/>
        </w:rPr>
        <w:t xml:space="preserve">other </w:t>
      </w:r>
      <w:r w:rsidR="00854E4F">
        <w:rPr>
          <w:sz w:val="24"/>
          <w:szCs w:val="24"/>
          <w:lang w:val="en-US"/>
        </w:rPr>
        <w:t>learning processes</w:t>
      </w:r>
      <w:r w:rsidR="00A35FAA">
        <w:rPr>
          <w:sz w:val="24"/>
          <w:szCs w:val="24"/>
          <w:lang w:val="en-US"/>
        </w:rPr>
        <w:t xml:space="preserve"> counteract this tendency and contribute to enhance their discriminability. There is a strong body </w:t>
      </w:r>
      <w:r w:rsidR="00945F0B">
        <w:rPr>
          <w:sz w:val="24"/>
          <w:szCs w:val="24"/>
          <w:lang w:val="en-US"/>
        </w:rPr>
        <w:t xml:space="preserve">of evidence </w:t>
      </w:r>
      <w:r>
        <w:rPr>
          <w:sz w:val="24"/>
          <w:szCs w:val="24"/>
          <w:lang w:val="en-US"/>
        </w:rPr>
        <w:t>i</w:t>
      </w:r>
      <w:r w:rsidR="00A35FAA">
        <w:rPr>
          <w:sz w:val="24"/>
          <w:szCs w:val="24"/>
          <w:lang w:val="en-US"/>
        </w:rPr>
        <w:t>ndicating</w:t>
      </w:r>
      <w:r w:rsidR="00945F0B">
        <w:rPr>
          <w:sz w:val="24"/>
          <w:szCs w:val="24"/>
          <w:lang w:val="en-US"/>
        </w:rPr>
        <w:t xml:space="preserve"> that </w:t>
      </w:r>
      <w:r w:rsidR="00FC0EFA">
        <w:rPr>
          <w:sz w:val="24"/>
          <w:szCs w:val="24"/>
          <w:lang w:val="en-US"/>
        </w:rPr>
        <w:t xml:space="preserve">differential processing of the unique </w:t>
      </w:r>
      <w:r w:rsidR="004969CC">
        <w:rPr>
          <w:sz w:val="24"/>
          <w:szCs w:val="24"/>
          <w:lang w:val="en-US"/>
        </w:rPr>
        <w:t xml:space="preserve">features </w:t>
      </w:r>
      <w:r w:rsidR="00FC0EFA">
        <w:rPr>
          <w:sz w:val="24"/>
          <w:szCs w:val="24"/>
          <w:lang w:val="en-US"/>
        </w:rPr>
        <w:t>(A and B) in the intermixed and blocked pre-exposure procedures determines the intermixed/blocked effect.</w:t>
      </w:r>
      <w:r w:rsidR="00945F0B">
        <w:rPr>
          <w:sz w:val="24"/>
          <w:szCs w:val="24"/>
          <w:lang w:val="en-US"/>
        </w:rPr>
        <w:t xml:space="preserve"> </w:t>
      </w:r>
      <w:r w:rsidR="00FC0EFA">
        <w:rPr>
          <w:sz w:val="24"/>
          <w:szCs w:val="24"/>
          <w:lang w:val="en-US"/>
        </w:rPr>
        <w:t xml:space="preserve">Once the within-compound associations are established, the </w:t>
      </w:r>
      <w:r w:rsidR="007A128B">
        <w:rPr>
          <w:sz w:val="24"/>
          <w:szCs w:val="24"/>
          <w:lang w:val="en-US"/>
        </w:rPr>
        <w:t xml:space="preserve">elements A and B </w:t>
      </w:r>
      <w:r w:rsidR="00FC0EFA">
        <w:rPr>
          <w:sz w:val="24"/>
          <w:szCs w:val="24"/>
          <w:lang w:val="en-US"/>
        </w:rPr>
        <w:t>can</w:t>
      </w:r>
      <w:r w:rsidR="007A128B">
        <w:rPr>
          <w:sz w:val="24"/>
          <w:szCs w:val="24"/>
          <w:lang w:val="en-US"/>
        </w:rPr>
        <w:t xml:space="preserve"> </w:t>
      </w:r>
      <w:r w:rsidR="0041524F">
        <w:rPr>
          <w:sz w:val="24"/>
          <w:szCs w:val="24"/>
          <w:lang w:val="en-US"/>
        </w:rPr>
        <w:t xml:space="preserve">be </w:t>
      </w:r>
      <w:r w:rsidR="007A128B">
        <w:rPr>
          <w:sz w:val="24"/>
          <w:szCs w:val="24"/>
          <w:lang w:val="en-US"/>
        </w:rPr>
        <w:t xml:space="preserve">associatively activated </w:t>
      </w:r>
      <w:r w:rsidR="007A128B" w:rsidRPr="00F90AB6">
        <w:rPr>
          <w:sz w:val="24"/>
          <w:szCs w:val="24"/>
          <w:lang w:val="en-US"/>
        </w:rPr>
        <w:t xml:space="preserve">in the intermixed pre-exposure procedure </w:t>
      </w:r>
      <w:r w:rsidR="007A128B">
        <w:rPr>
          <w:sz w:val="24"/>
          <w:szCs w:val="24"/>
          <w:lang w:val="en-US"/>
        </w:rPr>
        <w:t xml:space="preserve">(B is activated by X in the AX trials by virtue of its </w:t>
      </w:r>
      <w:r w:rsidR="007A128B">
        <w:rPr>
          <w:sz w:val="24"/>
          <w:szCs w:val="24"/>
          <w:lang w:val="en-US"/>
        </w:rPr>
        <w:lastRenderedPageBreak/>
        <w:t xml:space="preserve">association with the common element; and A in the BX trials). </w:t>
      </w:r>
      <w:r w:rsidR="00FC0EFA">
        <w:rPr>
          <w:sz w:val="24"/>
          <w:szCs w:val="24"/>
          <w:lang w:val="en-US"/>
        </w:rPr>
        <w:t>On the contrary, the blocked pre-exposure procedure offers very limited opportunities for the associative activation of the unique elements. A</w:t>
      </w:r>
      <w:r w:rsidR="007A128B">
        <w:rPr>
          <w:sz w:val="24"/>
          <w:szCs w:val="24"/>
          <w:lang w:val="en-US"/>
        </w:rPr>
        <w:t xml:space="preserve">ssociative activation of the unique elements </w:t>
      </w:r>
      <w:r w:rsidR="00FC0EFA">
        <w:rPr>
          <w:sz w:val="24"/>
          <w:szCs w:val="24"/>
          <w:lang w:val="en-US"/>
        </w:rPr>
        <w:t xml:space="preserve">in the intermixed schedule </w:t>
      </w:r>
      <w:r w:rsidR="007A128B">
        <w:rPr>
          <w:sz w:val="24"/>
          <w:szCs w:val="24"/>
          <w:lang w:val="en-US"/>
        </w:rPr>
        <w:t>has been argued to counteract the X mediated generalization in two different ways.</w:t>
      </w:r>
      <w:r w:rsidR="0041524F">
        <w:rPr>
          <w:sz w:val="24"/>
          <w:szCs w:val="24"/>
          <w:lang w:val="en-US"/>
        </w:rPr>
        <w:t xml:space="preserve"> </w:t>
      </w:r>
    </w:p>
    <w:p w14:paraId="47AFE7A2" w14:textId="2888BD30" w:rsidR="00991F84" w:rsidRPr="00F90AB6" w:rsidRDefault="00653B79" w:rsidP="00653B79">
      <w:pPr>
        <w:tabs>
          <w:tab w:val="center" w:pos="4700"/>
          <w:tab w:val="left" w:pos="5873"/>
        </w:tabs>
        <w:spacing w:line="480" w:lineRule="auto"/>
        <w:ind w:right="-45" w:firstLine="567"/>
        <w:rPr>
          <w:sz w:val="24"/>
          <w:szCs w:val="24"/>
          <w:lang w:val="en-US"/>
        </w:rPr>
      </w:pPr>
      <w:r w:rsidRPr="00F90AB6">
        <w:rPr>
          <w:sz w:val="24"/>
          <w:szCs w:val="24"/>
          <w:lang w:val="en-US"/>
        </w:rPr>
        <w:t xml:space="preserve">McLaren </w:t>
      </w:r>
      <w:r w:rsidR="00FE7FA1">
        <w:rPr>
          <w:sz w:val="24"/>
          <w:szCs w:val="24"/>
          <w:lang w:val="en-US"/>
        </w:rPr>
        <w:t>and</w:t>
      </w:r>
      <w:r w:rsidRPr="00F90AB6">
        <w:rPr>
          <w:sz w:val="24"/>
          <w:szCs w:val="24"/>
          <w:lang w:val="en-US"/>
        </w:rPr>
        <w:t xml:space="preserve"> Mackintosh (2000; see also McLaren, Kaye &amp; Mackintosh, 1989) suggested that </w:t>
      </w:r>
      <w:r w:rsidR="00845F14" w:rsidRPr="00F90AB6">
        <w:rPr>
          <w:sz w:val="24"/>
          <w:szCs w:val="24"/>
          <w:lang w:val="en-US"/>
        </w:rPr>
        <w:t>associative activation of the unique elements A and B in alternating trials would</w:t>
      </w:r>
      <w:r w:rsidRPr="00F90AB6">
        <w:rPr>
          <w:sz w:val="24"/>
          <w:szCs w:val="24"/>
          <w:lang w:val="en-US"/>
        </w:rPr>
        <w:t xml:space="preserve"> result in the establishment of inhibitory associations between the</w:t>
      </w:r>
      <w:r w:rsidR="00845F14" w:rsidRPr="00F90AB6">
        <w:rPr>
          <w:sz w:val="24"/>
          <w:szCs w:val="24"/>
          <w:lang w:val="en-US"/>
        </w:rPr>
        <w:t>m</w:t>
      </w:r>
      <w:r w:rsidRPr="00F90AB6">
        <w:rPr>
          <w:sz w:val="24"/>
          <w:szCs w:val="24"/>
          <w:lang w:val="en-US"/>
        </w:rPr>
        <w:t xml:space="preserve">. The development of such inhibitory links would require the completion of several steps: first, the development of excitatory links between the unique and common elements (A—X </w:t>
      </w:r>
      <w:r w:rsidRPr="00404584">
        <w:rPr>
          <w:sz w:val="24"/>
          <w:szCs w:val="24"/>
          <w:lang w:val="en-US"/>
        </w:rPr>
        <w:t xml:space="preserve">and B—X); this would allow an effective associative activation of A in the BX trials (and B in the AX trials). Given that A and B </w:t>
      </w:r>
      <w:r w:rsidR="00404584" w:rsidRPr="00404584">
        <w:rPr>
          <w:sz w:val="24"/>
          <w:szCs w:val="24"/>
          <w:lang w:val="en-US"/>
        </w:rPr>
        <w:t>are</w:t>
      </w:r>
      <w:r w:rsidRPr="00404584">
        <w:rPr>
          <w:sz w:val="24"/>
          <w:szCs w:val="24"/>
          <w:lang w:val="en-US"/>
        </w:rPr>
        <w:t xml:space="preserve"> predictors of the absence of each other, according to standard learning theory we could expect the establishment of inhibitory links between A and B that would eventually match the strength of the within compound excitatory associations. </w:t>
      </w:r>
      <w:r w:rsidR="007A128B">
        <w:rPr>
          <w:sz w:val="24"/>
          <w:szCs w:val="24"/>
          <w:lang w:val="en-US"/>
        </w:rPr>
        <w:t>The</w:t>
      </w:r>
      <w:r w:rsidR="00991F84" w:rsidRPr="00F90AB6">
        <w:rPr>
          <w:sz w:val="24"/>
          <w:szCs w:val="24"/>
          <w:lang w:val="en-US"/>
        </w:rPr>
        <w:t xml:space="preserve"> establishment of effective inhibitory links between the unique elements would require a relat</w:t>
      </w:r>
      <w:r w:rsidR="00EF1F08">
        <w:rPr>
          <w:sz w:val="24"/>
          <w:szCs w:val="24"/>
          <w:lang w:val="en-US"/>
        </w:rPr>
        <w:t>ively long pre-exposure phase. The intermixed/blocked effect has been typically investigated in flavor discrimination tasks in which</w:t>
      </w:r>
      <w:r w:rsidR="00991F84" w:rsidRPr="00F90AB6">
        <w:rPr>
          <w:sz w:val="24"/>
          <w:szCs w:val="24"/>
          <w:lang w:val="en-US"/>
        </w:rPr>
        <w:t xml:space="preserve"> animals are given four pre-exposure trials with each </w:t>
      </w:r>
      <w:r w:rsidR="00EF1F08">
        <w:rPr>
          <w:sz w:val="24"/>
          <w:szCs w:val="24"/>
          <w:lang w:val="en-US"/>
        </w:rPr>
        <w:t xml:space="preserve">flavor </w:t>
      </w:r>
      <w:r w:rsidR="00991F84" w:rsidRPr="00F90AB6">
        <w:rPr>
          <w:sz w:val="24"/>
          <w:szCs w:val="24"/>
          <w:lang w:val="en-US"/>
        </w:rPr>
        <w:t xml:space="preserve">compound stimulus </w:t>
      </w:r>
      <w:r w:rsidR="00291005">
        <w:rPr>
          <w:sz w:val="24"/>
          <w:szCs w:val="24"/>
          <w:lang w:val="en-US"/>
        </w:rPr>
        <w:t xml:space="preserve">(Symonds &amp; Hall, 1995). </w:t>
      </w:r>
      <w:r w:rsidR="00291005" w:rsidRPr="00860BCB">
        <w:rPr>
          <w:sz w:val="24"/>
          <w:szCs w:val="24"/>
          <w:lang w:val="en-US"/>
        </w:rPr>
        <w:t>Artigas</w:t>
      </w:r>
      <w:r w:rsidR="00FE7FA1">
        <w:rPr>
          <w:sz w:val="24"/>
          <w:szCs w:val="24"/>
          <w:lang w:val="en-US"/>
        </w:rPr>
        <w:t>, Sansa and</w:t>
      </w:r>
      <w:r w:rsidR="00860BCB" w:rsidRPr="00860BCB">
        <w:rPr>
          <w:sz w:val="24"/>
          <w:szCs w:val="24"/>
          <w:lang w:val="en-US"/>
        </w:rPr>
        <w:t xml:space="preserve"> Prados</w:t>
      </w:r>
      <w:r w:rsidR="0052187D" w:rsidRPr="00860BCB">
        <w:rPr>
          <w:sz w:val="24"/>
          <w:szCs w:val="24"/>
          <w:lang w:val="en-US"/>
        </w:rPr>
        <w:t xml:space="preserve"> </w:t>
      </w:r>
      <w:r w:rsidR="00991F84" w:rsidRPr="00860BCB">
        <w:rPr>
          <w:sz w:val="24"/>
          <w:szCs w:val="24"/>
          <w:lang w:val="en-US"/>
        </w:rPr>
        <w:t>(</w:t>
      </w:r>
      <w:r w:rsidR="00991F84" w:rsidRPr="00F90AB6">
        <w:rPr>
          <w:sz w:val="24"/>
          <w:szCs w:val="24"/>
          <w:lang w:val="en-US"/>
        </w:rPr>
        <w:t>2006) compared the development of inhibitory links</w:t>
      </w:r>
      <w:r w:rsidR="00404584">
        <w:rPr>
          <w:sz w:val="24"/>
          <w:szCs w:val="24"/>
          <w:lang w:val="en-US"/>
        </w:rPr>
        <w:t xml:space="preserve"> </w:t>
      </w:r>
      <w:r w:rsidR="00991F84" w:rsidRPr="00F90AB6">
        <w:rPr>
          <w:sz w:val="24"/>
          <w:szCs w:val="24"/>
          <w:lang w:val="en-US"/>
        </w:rPr>
        <w:t>following short and long pre-exposure (4 and 10 trials)</w:t>
      </w:r>
      <w:r w:rsidR="00921423" w:rsidRPr="00921423">
        <w:rPr>
          <w:color w:val="000000" w:themeColor="text1"/>
          <w:sz w:val="24"/>
          <w:szCs w:val="24"/>
          <w:lang w:val="en-US"/>
        </w:rPr>
        <w:t>.</w:t>
      </w:r>
      <w:r w:rsidR="00991F84" w:rsidRPr="006A4385">
        <w:rPr>
          <w:color w:val="FF0000"/>
          <w:sz w:val="24"/>
          <w:szCs w:val="24"/>
          <w:lang w:val="en-US"/>
        </w:rPr>
        <w:t xml:space="preserve"> </w:t>
      </w:r>
      <w:r w:rsidR="00991F84" w:rsidRPr="00F90AB6">
        <w:rPr>
          <w:sz w:val="24"/>
          <w:szCs w:val="24"/>
          <w:lang w:val="en-US"/>
        </w:rPr>
        <w:t>Retardation and summation tests showed evidence of the establishment of inhibitory links between the unique elements only after long pre-</w:t>
      </w:r>
      <w:r w:rsidR="00991F84" w:rsidRPr="00404584">
        <w:rPr>
          <w:sz w:val="24"/>
          <w:szCs w:val="24"/>
          <w:lang w:val="en-US"/>
        </w:rPr>
        <w:t>exposure</w:t>
      </w:r>
      <w:r w:rsidR="00404584" w:rsidRPr="00404584">
        <w:rPr>
          <w:sz w:val="24"/>
          <w:szCs w:val="24"/>
          <w:lang w:val="en-US"/>
        </w:rPr>
        <w:t xml:space="preserve"> (t</w:t>
      </w:r>
      <w:r w:rsidR="002A0BD0">
        <w:rPr>
          <w:sz w:val="24"/>
          <w:szCs w:val="24"/>
          <w:lang w:val="en-US"/>
        </w:rPr>
        <w:t xml:space="preserve">he Espinet effect, see </w:t>
      </w:r>
      <w:r w:rsidR="00860BCB">
        <w:rPr>
          <w:sz w:val="24"/>
          <w:szCs w:val="24"/>
          <w:lang w:val="en-US"/>
        </w:rPr>
        <w:t>Artigas, Chamizo &amp;</w:t>
      </w:r>
      <w:r w:rsidR="00F3448B">
        <w:rPr>
          <w:sz w:val="24"/>
          <w:szCs w:val="24"/>
          <w:lang w:val="en-US"/>
        </w:rPr>
        <w:t xml:space="preserve"> </w:t>
      </w:r>
      <w:proofErr w:type="spellStart"/>
      <w:r w:rsidR="00F3448B">
        <w:rPr>
          <w:sz w:val="24"/>
          <w:szCs w:val="24"/>
          <w:lang w:val="en-US"/>
        </w:rPr>
        <w:t>Peris</w:t>
      </w:r>
      <w:proofErr w:type="spellEnd"/>
      <w:r w:rsidR="00F3448B">
        <w:rPr>
          <w:sz w:val="24"/>
          <w:szCs w:val="24"/>
          <w:lang w:val="en-US"/>
        </w:rPr>
        <w:t xml:space="preserve">, 2001; </w:t>
      </w:r>
      <w:proofErr w:type="spellStart"/>
      <w:r w:rsidR="002A0BD0">
        <w:rPr>
          <w:sz w:val="24"/>
          <w:szCs w:val="24"/>
          <w:lang w:val="en-US"/>
        </w:rPr>
        <w:t>Espinet</w:t>
      </w:r>
      <w:proofErr w:type="spellEnd"/>
      <w:r w:rsidR="002A0BD0">
        <w:rPr>
          <w:sz w:val="24"/>
          <w:szCs w:val="24"/>
          <w:lang w:val="en-US"/>
        </w:rPr>
        <w:t xml:space="preserve">, </w:t>
      </w:r>
      <w:proofErr w:type="spellStart"/>
      <w:r w:rsidR="002A0BD0">
        <w:rPr>
          <w:sz w:val="24"/>
          <w:szCs w:val="24"/>
          <w:lang w:val="en-US"/>
        </w:rPr>
        <w:t>Iraola</w:t>
      </w:r>
      <w:proofErr w:type="spellEnd"/>
      <w:r w:rsidR="002A0BD0">
        <w:rPr>
          <w:sz w:val="24"/>
          <w:szCs w:val="24"/>
          <w:lang w:val="en-US"/>
        </w:rPr>
        <w:t>, Bennett &amp; Mackintosh</w:t>
      </w:r>
      <w:r w:rsidR="00404584" w:rsidRPr="00404584">
        <w:rPr>
          <w:sz w:val="24"/>
          <w:szCs w:val="24"/>
          <w:lang w:val="en-US"/>
        </w:rPr>
        <w:t>, 1995</w:t>
      </w:r>
      <w:r w:rsidR="002A0BD0">
        <w:rPr>
          <w:sz w:val="24"/>
          <w:szCs w:val="24"/>
          <w:lang w:val="en-US"/>
        </w:rPr>
        <w:t>;</w:t>
      </w:r>
      <w:r w:rsidR="00F3448B">
        <w:rPr>
          <w:sz w:val="24"/>
          <w:szCs w:val="24"/>
          <w:lang w:val="en-US"/>
        </w:rPr>
        <w:t xml:space="preserve"> see also Polack &amp; Miller, 2018, for converging evidence about the development of inhibitory associations following intermixed prolonged pre-exposure using a fear conditioning task</w:t>
      </w:r>
      <w:r w:rsidR="00404584" w:rsidRPr="00404584">
        <w:rPr>
          <w:sz w:val="24"/>
          <w:szCs w:val="24"/>
          <w:lang w:val="en-US"/>
        </w:rPr>
        <w:t>)</w:t>
      </w:r>
      <w:r w:rsidR="00991F84" w:rsidRPr="00404584">
        <w:rPr>
          <w:sz w:val="24"/>
          <w:szCs w:val="24"/>
          <w:lang w:val="en-US"/>
        </w:rPr>
        <w:t xml:space="preserve">. </w:t>
      </w:r>
      <w:r w:rsidR="00991F84" w:rsidRPr="00F90AB6">
        <w:rPr>
          <w:sz w:val="24"/>
          <w:szCs w:val="24"/>
          <w:lang w:val="en-US"/>
        </w:rPr>
        <w:t xml:space="preserve">However, </w:t>
      </w:r>
      <w:r w:rsidR="00991F84" w:rsidRPr="00F90AB6">
        <w:rPr>
          <w:sz w:val="24"/>
          <w:szCs w:val="24"/>
          <w:lang w:val="en-US"/>
        </w:rPr>
        <w:lastRenderedPageBreak/>
        <w:t>they observed the intermixed/blocked effect (improved discrimination between AX and BX) both after short and long pre-exposure. This study suggests that although the perceptual lear</w:t>
      </w:r>
      <w:r w:rsidR="00845F14" w:rsidRPr="00F90AB6">
        <w:rPr>
          <w:sz w:val="24"/>
          <w:szCs w:val="24"/>
          <w:lang w:val="en-US"/>
        </w:rPr>
        <w:t>ning effect can indeed depend o</w:t>
      </w:r>
      <w:r w:rsidR="00991F84" w:rsidRPr="00F90AB6">
        <w:rPr>
          <w:sz w:val="24"/>
          <w:szCs w:val="24"/>
          <w:lang w:val="en-US"/>
        </w:rPr>
        <w:t xml:space="preserve">n the establishment of inhibitory links under some circumstances (long pre-exposure; see for additional evidence </w:t>
      </w:r>
      <w:r w:rsidR="002A0BD0">
        <w:rPr>
          <w:sz w:val="24"/>
          <w:szCs w:val="24"/>
          <w:lang w:val="en-US"/>
        </w:rPr>
        <w:t xml:space="preserve">Bennett, </w:t>
      </w:r>
      <w:proofErr w:type="spellStart"/>
      <w:r w:rsidR="002A0BD0">
        <w:rPr>
          <w:sz w:val="24"/>
          <w:szCs w:val="24"/>
          <w:lang w:val="en-US"/>
        </w:rPr>
        <w:t>Scahill</w:t>
      </w:r>
      <w:proofErr w:type="spellEnd"/>
      <w:r w:rsidR="002A0BD0">
        <w:rPr>
          <w:sz w:val="24"/>
          <w:szCs w:val="24"/>
          <w:lang w:val="en-US"/>
        </w:rPr>
        <w:t xml:space="preserve">, Griffiths &amp; Mackintosh, </w:t>
      </w:r>
      <w:r w:rsidR="00532E64">
        <w:rPr>
          <w:sz w:val="24"/>
          <w:szCs w:val="24"/>
          <w:lang w:val="en-US"/>
        </w:rPr>
        <w:t xml:space="preserve">1999; </w:t>
      </w:r>
      <w:r w:rsidR="003C4146">
        <w:rPr>
          <w:sz w:val="24"/>
          <w:szCs w:val="24"/>
          <w:lang w:val="en-US"/>
        </w:rPr>
        <w:t xml:space="preserve">and </w:t>
      </w:r>
      <w:r w:rsidR="00C25D85">
        <w:rPr>
          <w:sz w:val="24"/>
          <w:szCs w:val="24"/>
          <w:lang w:val="en-US"/>
        </w:rPr>
        <w:t xml:space="preserve">in human flavor aversion, </w:t>
      </w:r>
      <w:r w:rsidR="00532E64">
        <w:rPr>
          <w:sz w:val="24"/>
          <w:szCs w:val="24"/>
          <w:lang w:val="en-US"/>
        </w:rPr>
        <w:t xml:space="preserve">Mundy, Dwyer </w:t>
      </w:r>
      <w:r w:rsidR="00532E64" w:rsidRPr="00454174">
        <w:rPr>
          <w:sz w:val="24"/>
          <w:szCs w:val="24"/>
          <w:lang w:val="en-US"/>
        </w:rPr>
        <w:t>&amp; Honey</w:t>
      </w:r>
      <w:r w:rsidR="00921423">
        <w:rPr>
          <w:sz w:val="24"/>
          <w:szCs w:val="24"/>
          <w:lang w:val="en-US"/>
        </w:rPr>
        <w:t xml:space="preserve">, </w:t>
      </w:r>
      <w:r w:rsidR="00991F84" w:rsidRPr="00F90AB6">
        <w:rPr>
          <w:sz w:val="24"/>
          <w:szCs w:val="24"/>
          <w:lang w:val="en-US"/>
        </w:rPr>
        <w:t>2006) a different mechanis</w:t>
      </w:r>
      <w:r w:rsidR="00845F14" w:rsidRPr="00F90AB6">
        <w:rPr>
          <w:sz w:val="24"/>
          <w:szCs w:val="24"/>
          <w:lang w:val="en-US"/>
        </w:rPr>
        <w:t>m</w:t>
      </w:r>
      <w:r w:rsidR="00991F84" w:rsidRPr="00F90AB6">
        <w:rPr>
          <w:sz w:val="24"/>
          <w:szCs w:val="24"/>
          <w:lang w:val="en-US"/>
        </w:rPr>
        <w:t xml:space="preserve"> seems to be responsible for the effect when the animals are given short pre-exposure to AX and BX.</w:t>
      </w:r>
    </w:p>
    <w:p w14:paraId="4256119C" w14:textId="5F5BC125" w:rsidR="00882B6A" w:rsidRPr="00F90AB6" w:rsidRDefault="00991F84" w:rsidP="00F346F9">
      <w:pPr>
        <w:tabs>
          <w:tab w:val="center" w:pos="4700"/>
          <w:tab w:val="left" w:pos="5873"/>
        </w:tabs>
        <w:spacing w:line="480" w:lineRule="auto"/>
        <w:ind w:right="-45" w:firstLine="567"/>
        <w:rPr>
          <w:sz w:val="24"/>
          <w:szCs w:val="24"/>
          <w:lang w:val="en-US"/>
        </w:rPr>
      </w:pPr>
      <w:r w:rsidRPr="00F90AB6">
        <w:rPr>
          <w:sz w:val="24"/>
          <w:szCs w:val="24"/>
          <w:lang w:val="en-US"/>
        </w:rPr>
        <w:t>As an alternative, Hall (2003) has proposed that</w:t>
      </w:r>
      <w:r w:rsidR="001F3E48" w:rsidRPr="00F90AB6">
        <w:rPr>
          <w:sz w:val="24"/>
          <w:szCs w:val="24"/>
          <w:lang w:val="en-US"/>
        </w:rPr>
        <w:t xml:space="preserve"> a</w:t>
      </w:r>
      <w:r w:rsidR="007579BD" w:rsidRPr="00F90AB6">
        <w:rPr>
          <w:sz w:val="24"/>
          <w:szCs w:val="24"/>
          <w:lang w:val="en-US"/>
        </w:rPr>
        <w:t xml:space="preserve">ssociative activation </w:t>
      </w:r>
      <w:r w:rsidR="00882B6A" w:rsidRPr="00F90AB6">
        <w:rPr>
          <w:sz w:val="24"/>
          <w:szCs w:val="24"/>
          <w:lang w:val="en-US"/>
        </w:rPr>
        <w:t xml:space="preserve">of the unique elements A and B </w:t>
      </w:r>
      <w:r w:rsidR="001F3E48" w:rsidRPr="00F90AB6">
        <w:rPr>
          <w:sz w:val="24"/>
          <w:szCs w:val="24"/>
          <w:lang w:val="en-US"/>
        </w:rPr>
        <w:t>protects the</w:t>
      </w:r>
      <w:r w:rsidR="00882B6A" w:rsidRPr="00F90AB6">
        <w:rPr>
          <w:sz w:val="24"/>
          <w:szCs w:val="24"/>
          <w:lang w:val="en-US"/>
        </w:rPr>
        <w:t>ir</w:t>
      </w:r>
      <w:r w:rsidR="001F3E48" w:rsidRPr="00F90AB6">
        <w:rPr>
          <w:sz w:val="24"/>
          <w:szCs w:val="24"/>
          <w:lang w:val="en-US"/>
        </w:rPr>
        <w:t xml:space="preserve"> salience or effectiveness </w:t>
      </w:r>
      <w:r w:rsidR="00882B6A" w:rsidRPr="00F90AB6">
        <w:rPr>
          <w:sz w:val="24"/>
          <w:szCs w:val="24"/>
          <w:lang w:val="en-US"/>
        </w:rPr>
        <w:t>in the intermixed b</w:t>
      </w:r>
      <w:r w:rsidR="00B379DB" w:rsidRPr="00F90AB6">
        <w:rPr>
          <w:sz w:val="24"/>
          <w:szCs w:val="24"/>
          <w:lang w:val="en-US"/>
        </w:rPr>
        <w:t>ut not in the blocked procedure—</w:t>
      </w:r>
      <w:r w:rsidR="00882B6A" w:rsidRPr="00F90AB6">
        <w:rPr>
          <w:sz w:val="24"/>
          <w:szCs w:val="24"/>
          <w:lang w:val="en-US"/>
        </w:rPr>
        <w:t>in which the opportunities for the associative activation of the unique elements are limited</w:t>
      </w:r>
      <w:r w:rsidR="00C25D85">
        <w:rPr>
          <w:sz w:val="24"/>
          <w:szCs w:val="24"/>
          <w:lang w:val="en-US"/>
        </w:rPr>
        <w:t xml:space="preserve"> (see Hall, Prados &amp; Sansa, 2</w:t>
      </w:r>
      <w:r w:rsidR="003C4146">
        <w:rPr>
          <w:sz w:val="24"/>
          <w:szCs w:val="24"/>
          <w:lang w:val="en-US"/>
        </w:rPr>
        <w:t>005, for independent evidence on</w:t>
      </w:r>
      <w:r w:rsidR="00C25D85">
        <w:rPr>
          <w:sz w:val="24"/>
          <w:szCs w:val="24"/>
          <w:lang w:val="en-US"/>
        </w:rPr>
        <w:t xml:space="preserve"> the role of associative activation in the modulation of the salience of stimuli)</w:t>
      </w:r>
      <w:r w:rsidR="00882B6A" w:rsidRPr="00F90AB6">
        <w:rPr>
          <w:sz w:val="24"/>
          <w:szCs w:val="24"/>
          <w:lang w:val="en-US"/>
        </w:rPr>
        <w:t>. Following intermixed pre-exposure, the more salient</w:t>
      </w:r>
      <w:r w:rsidR="007579BD" w:rsidRPr="00F90AB6">
        <w:rPr>
          <w:sz w:val="24"/>
          <w:szCs w:val="24"/>
          <w:lang w:val="en-US"/>
        </w:rPr>
        <w:t xml:space="preserve"> A and B </w:t>
      </w:r>
      <w:r w:rsidR="00882B6A" w:rsidRPr="00F90AB6">
        <w:rPr>
          <w:sz w:val="24"/>
          <w:szCs w:val="24"/>
          <w:lang w:val="en-US"/>
        </w:rPr>
        <w:t>elements facilitat</w:t>
      </w:r>
      <w:r w:rsidR="00653B79" w:rsidRPr="00F90AB6">
        <w:rPr>
          <w:sz w:val="24"/>
          <w:szCs w:val="24"/>
          <w:lang w:val="en-US"/>
        </w:rPr>
        <w:t>e</w:t>
      </w:r>
      <w:r w:rsidR="00882B6A" w:rsidRPr="00F90AB6">
        <w:rPr>
          <w:sz w:val="24"/>
          <w:szCs w:val="24"/>
          <w:lang w:val="en-US"/>
        </w:rPr>
        <w:t xml:space="preserve"> the </w:t>
      </w:r>
      <w:r w:rsidR="007579BD" w:rsidRPr="00F90AB6">
        <w:rPr>
          <w:sz w:val="24"/>
          <w:szCs w:val="24"/>
          <w:lang w:val="en-US"/>
        </w:rPr>
        <w:t>discrimination between AX and BX (</w:t>
      </w:r>
      <w:proofErr w:type="spellStart"/>
      <w:r w:rsidR="001F3E48" w:rsidRPr="00F90AB6">
        <w:rPr>
          <w:sz w:val="24"/>
          <w:szCs w:val="24"/>
          <w:lang w:val="en-US"/>
        </w:rPr>
        <w:t>e</w:t>
      </w:r>
      <w:proofErr w:type="gramStart"/>
      <w:r w:rsidR="001F3E48" w:rsidRPr="00F90AB6">
        <w:rPr>
          <w:sz w:val="24"/>
          <w:szCs w:val="24"/>
          <w:lang w:val="en-US"/>
        </w:rPr>
        <w:t>,g</w:t>
      </w:r>
      <w:proofErr w:type="spellEnd"/>
      <w:proofErr w:type="gramEnd"/>
      <w:r w:rsidR="001F3E48" w:rsidRPr="00F90AB6">
        <w:rPr>
          <w:sz w:val="24"/>
          <w:szCs w:val="24"/>
          <w:lang w:val="en-US"/>
        </w:rPr>
        <w:t xml:space="preserve">., </w:t>
      </w:r>
      <w:r w:rsidR="00FE7FA1">
        <w:rPr>
          <w:sz w:val="24"/>
          <w:szCs w:val="24"/>
          <w:lang w:val="en-US"/>
        </w:rPr>
        <w:t>Artigas, Sansa, Blair, Hall &amp; Prados,</w:t>
      </w:r>
      <w:r w:rsidR="00860F8D" w:rsidRPr="00F90AB6">
        <w:rPr>
          <w:sz w:val="24"/>
          <w:szCs w:val="24"/>
          <w:lang w:val="en-US"/>
        </w:rPr>
        <w:t xml:space="preserve"> </w:t>
      </w:r>
      <w:r w:rsidR="001F3E48" w:rsidRPr="00F90AB6">
        <w:rPr>
          <w:sz w:val="24"/>
          <w:szCs w:val="24"/>
          <w:lang w:val="en-US"/>
        </w:rPr>
        <w:t xml:space="preserve">2006; Blair &amp; </w:t>
      </w:r>
      <w:r w:rsidR="007579BD" w:rsidRPr="00F90AB6">
        <w:rPr>
          <w:sz w:val="24"/>
          <w:szCs w:val="24"/>
          <w:lang w:val="en-US"/>
        </w:rPr>
        <w:t xml:space="preserve">Hall, 2003). </w:t>
      </w:r>
      <w:r w:rsidR="00653B79" w:rsidRPr="00F90AB6">
        <w:rPr>
          <w:sz w:val="24"/>
          <w:szCs w:val="24"/>
          <w:lang w:val="en-US"/>
        </w:rPr>
        <w:t>Blair and Hall (2003) report</w:t>
      </w:r>
      <w:r w:rsidR="00B66FCB" w:rsidRPr="00F90AB6">
        <w:rPr>
          <w:sz w:val="24"/>
          <w:szCs w:val="24"/>
          <w:lang w:val="en-US"/>
        </w:rPr>
        <w:t xml:space="preserve"> an ingenious procedure to assess the intermixed/blocked effect using a within-subjects procedure: animals were given intermixed pre-e</w:t>
      </w:r>
      <w:r w:rsidR="00C25D85">
        <w:rPr>
          <w:sz w:val="24"/>
          <w:szCs w:val="24"/>
          <w:lang w:val="en-US"/>
        </w:rPr>
        <w:t xml:space="preserve">xposure </w:t>
      </w:r>
      <w:r w:rsidR="00B66FCB" w:rsidRPr="00F90AB6">
        <w:rPr>
          <w:sz w:val="24"/>
          <w:szCs w:val="24"/>
          <w:lang w:val="en-US"/>
        </w:rPr>
        <w:t>to AX and BX preceded or followed by a separate block of trials</w:t>
      </w:r>
      <w:r w:rsidR="003C4146">
        <w:rPr>
          <w:sz w:val="24"/>
          <w:szCs w:val="24"/>
          <w:lang w:val="en-US"/>
        </w:rPr>
        <w:t xml:space="preserve"> with a third similar compound, CX</w:t>
      </w:r>
      <w:r w:rsidR="00B66FCB" w:rsidRPr="00F90AB6">
        <w:rPr>
          <w:sz w:val="24"/>
          <w:szCs w:val="24"/>
          <w:lang w:val="en-US"/>
        </w:rPr>
        <w:t xml:space="preserve">. Generalization tests showed that a conditioned aversion to AX generalized more readily to </w:t>
      </w:r>
      <w:r w:rsidR="00B379DB" w:rsidRPr="00F90AB6">
        <w:rPr>
          <w:sz w:val="24"/>
          <w:szCs w:val="24"/>
          <w:lang w:val="en-US"/>
        </w:rPr>
        <w:t xml:space="preserve">the CX than to the BX compound, </w:t>
      </w:r>
      <w:r w:rsidR="00B66FCB" w:rsidRPr="00F90AB6">
        <w:rPr>
          <w:sz w:val="24"/>
          <w:szCs w:val="24"/>
          <w:lang w:val="en-US"/>
        </w:rPr>
        <w:t xml:space="preserve">showing that </w:t>
      </w:r>
      <w:r w:rsidR="005E49E1" w:rsidRPr="00F90AB6">
        <w:rPr>
          <w:sz w:val="24"/>
          <w:szCs w:val="24"/>
          <w:lang w:val="en-US"/>
        </w:rPr>
        <w:t>animals discriminate well between compound stimuli pre-exposed in alternation</w:t>
      </w:r>
      <w:r w:rsidR="003C4146">
        <w:rPr>
          <w:sz w:val="24"/>
          <w:szCs w:val="24"/>
          <w:lang w:val="en-US"/>
        </w:rPr>
        <w:t xml:space="preserve"> (AX and BX)</w:t>
      </w:r>
      <w:r w:rsidR="005E49E1" w:rsidRPr="00F90AB6">
        <w:rPr>
          <w:sz w:val="24"/>
          <w:szCs w:val="24"/>
          <w:lang w:val="en-US"/>
        </w:rPr>
        <w:t xml:space="preserve"> but not so well between those pre-exposed in different blocks of trials</w:t>
      </w:r>
      <w:r w:rsidR="003C4146">
        <w:rPr>
          <w:sz w:val="24"/>
          <w:szCs w:val="24"/>
          <w:lang w:val="en-US"/>
        </w:rPr>
        <w:t xml:space="preserve"> (AX and CX)</w:t>
      </w:r>
      <w:r w:rsidR="005E49E1" w:rsidRPr="00F90AB6">
        <w:rPr>
          <w:sz w:val="24"/>
          <w:szCs w:val="24"/>
          <w:lang w:val="en-US"/>
        </w:rPr>
        <w:t>. Blair and Hall reported additional evidence indicating that the unique element B, pre-exposed in alternation, was more salient than the unique element C</w:t>
      </w:r>
      <w:r w:rsidR="00B379DB" w:rsidRPr="00F90AB6">
        <w:rPr>
          <w:sz w:val="24"/>
          <w:szCs w:val="24"/>
          <w:lang w:val="en-US"/>
        </w:rPr>
        <w:t>,</w:t>
      </w:r>
      <w:r w:rsidR="005E49E1" w:rsidRPr="00F90AB6">
        <w:rPr>
          <w:sz w:val="24"/>
          <w:szCs w:val="24"/>
          <w:lang w:val="en-US"/>
        </w:rPr>
        <w:t xml:space="preserve"> pre-exposed </w:t>
      </w:r>
      <w:r w:rsidR="00B379DB" w:rsidRPr="00F90AB6">
        <w:rPr>
          <w:sz w:val="24"/>
          <w:szCs w:val="24"/>
          <w:lang w:val="en-US"/>
        </w:rPr>
        <w:t>in a separate block of trials. F</w:t>
      </w:r>
      <w:r w:rsidR="005E49E1" w:rsidRPr="00F90AB6">
        <w:rPr>
          <w:sz w:val="24"/>
          <w:szCs w:val="24"/>
          <w:lang w:val="en-US"/>
        </w:rPr>
        <w:t xml:space="preserve">ollowing pre-exposure to AX, BX and CX, the animals were given conditioning trials with a new stimulus, Y, </w:t>
      </w:r>
      <w:r w:rsidR="005E49E1" w:rsidRPr="00F90AB6">
        <w:rPr>
          <w:sz w:val="24"/>
          <w:szCs w:val="24"/>
          <w:lang w:val="en-US"/>
        </w:rPr>
        <w:lastRenderedPageBreak/>
        <w:t>followed by test trials with the compounds YB and YC</w:t>
      </w:r>
      <w:r w:rsidR="00F62DE2">
        <w:rPr>
          <w:sz w:val="24"/>
          <w:szCs w:val="24"/>
          <w:lang w:val="en-US"/>
        </w:rPr>
        <w:t>—a superimposition test</w:t>
      </w:r>
      <w:r w:rsidR="005E49E1" w:rsidRPr="00F90AB6">
        <w:rPr>
          <w:sz w:val="24"/>
          <w:szCs w:val="24"/>
          <w:lang w:val="en-US"/>
        </w:rPr>
        <w:t>. The results showed that</w:t>
      </w:r>
      <w:r w:rsidR="00921423">
        <w:rPr>
          <w:sz w:val="24"/>
          <w:szCs w:val="24"/>
          <w:lang w:val="en-US"/>
        </w:rPr>
        <w:t xml:space="preserve">, although the animals received the same level of pre-exposure to B and C, </w:t>
      </w:r>
      <w:r w:rsidR="005E49E1" w:rsidRPr="00F90AB6">
        <w:rPr>
          <w:sz w:val="24"/>
          <w:szCs w:val="24"/>
          <w:lang w:val="en-US"/>
        </w:rPr>
        <w:t xml:space="preserve">the presence of B interfered with the expression of the aversive conditioned response to Y </w:t>
      </w:r>
      <w:r w:rsidR="00FB5EE5" w:rsidRPr="00F90AB6">
        <w:rPr>
          <w:sz w:val="24"/>
          <w:szCs w:val="24"/>
          <w:lang w:val="en-US"/>
        </w:rPr>
        <w:t>significantly more</w:t>
      </w:r>
      <w:r w:rsidR="005E49E1" w:rsidRPr="00F90AB6">
        <w:rPr>
          <w:sz w:val="24"/>
          <w:szCs w:val="24"/>
          <w:lang w:val="en-US"/>
        </w:rPr>
        <w:t xml:space="preserve"> than the presence </w:t>
      </w:r>
      <w:r w:rsidR="008C50D3">
        <w:rPr>
          <w:sz w:val="24"/>
          <w:szCs w:val="24"/>
          <w:lang w:val="en-US"/>
        </w:rPr>
        <w:t>of the C element. Additional evidence for the protected salience</w:t>
      </w:r>
      <w:r w:rsidR="00A35FAA">
        <w:rPr>
          <w:sz w:val="24"/>
          <w:szCs w:val="24"/>
          <w:lang w:val="en-US"/>
        </w:rPr>
        <w:t xml:space="preserve"> </w:t>
      </w:r>
      <w:r w:rsidR="008C50D3">
        <w:rPr>
          <w:sz w:val="24"/>
          <w:szCs w:val="24"/>
          <w:lang w:val="en-US"/>
        </w:rPr>
        <w:t>of the unique elements during the intermixed pre-exposure procedure has been reported by Mondragon and Hall (2002).</w:t>
      </w:r>
      <w:r w:rsidR="005E49E1" w:rsidRPr="00F90AB6">
        <w:rPr>
          <w:sz w:val="24"/>
          <w:szCs w:val="24"/>
          <w:lang w:val="en-US"/>
        </w:rPr>
        <w:t xml:space="preserve"> </w:t>
      </w:r>
    </w:p>
    <w:p w14:paraId="7AEE6CC1" w14:textId="3501E88C" w:rsidR="00A35FAA" w:rsidRDefault="008C50D3" w:rsidP="008C50D3">
      <w:pPr>
        <w:tabs>
          <w:tab w:val="center" w:pos="4700"/>
          <w:tab w:val="left" w:pos="5873"/>
        </w:tabs>
        <w:spacing w:line="480" w:lineRule="auto"/>
        <w:ind w:right="-45" w:firstLine="567"/>
        <w:rPr>
          <w:sz w:val="24"/>
          <w:szCs w:val="24"/>
          <w:lang w:val="en-US"/>
        </w:rPr>
      </w:pPr>
      <w:r w:rsidRPr="00F90AB6">
        <w:rPr>
          <w:sz w:val="24"/>
          <w:szCs w:val="24"/>
          <w:lang w:val="en-US"/>
        </w:rPr>
        <w:t>The two approaches reviewed above suggest that perceptual learning, exemplified by the intermixed/blocked effect, can be multi-determined. Although the two theories considered rely upon different associative mechanisms, they share the emphasis on the role of the unique elements A and B in the intermixed/blocked effect. According to these accounts, however, the salience or effectiveness of the common element X would be similar after both schedules of pre-exposure</w:t>
      </w:r>
      <w:r w:rsidR="00C25D85">
        <w:rPr>
          <w:sz w:val="24"/>
          <w:szCs w:val="24"/>
          <w:lang w:val="en-US"/>
        </w:rPr>
        <w:t>: the element X, present in every trial, is never associatively activated and receives equal amounts of pre-exposure in both pre-exposure procedures</w:t>
      </w:r>
      <w:r w:rsidRPr="00F90AB6">
        <w:rPr>
          <w:sz w:val="24"/>
          <w:szCs w:val="24"/>
          <w:lang w:val="en-US"/>
        </w:rPr>
        <w:t>. This would suggest that the common element X does not play a significant role in the intermixed/blocked effect.</w:t>
      </w:r>
      <w:r>
        <w:rPr>
          <w:sz w:val="24"/>
          <w:szCs w:val="24"/>
          <w:lang w:val="en-US"/>
        </w:rPr>
        <w:t xml:space="preserve"> </w:t>
      </w:r>
      <w:r w:rsidR="00C25D85">
        <w:rPr>
          <w:sz w:val="24"/>
          <w:szCs w:val="24"/>
          <w:lang w:val="en-US"/>
        </w:rPr>
        <w:t>A</w:t>
      </w:r>
      <w:r>
        <w:rPr>
          <w:sz w:val="24"/>
          <w:szCs w:val="24"/>
          <w:lang w:val="en-US"/>
        </w:rPr>
        <w:t xml:space="preserve"> number of studies have assessed the salience of the X element following intermixed and blocked pre-exposure and using a v</w:t>
      </w:r>
      <w:r w:rsidR="001E6CC8">
        <w:rPr>
          <w:sz w:val="24"/>
          <w:szCs w:val="24"/>
          <w:lang w:val="en-US"/>
        </w:rPr>
        <w:t>ariety of strategies</w:t>
      </w:r>
      <w:r w:rsidR="004D1712">
        <w:rPr>
          <w:sz w:val="24"/>
          <w:szCs w:val="24"/>
          <w:lang w:val="en-US"/>
        </w:rPr>
        <w:t xml:space="preserve">. </w:t>
      </w:r>
    </w:p>
    <w:p w14:paraId="27CF1536" w14:textId="0DEFCB42" w:rsidR="00C2701B" w:rsidRDefault="004D1712" w:rsidP="008C50D3">
      <w:pPr>
        <w:tabs>
          <w:tab w:val="center" w:pos="4700"/>
          <w:tab w:val="left" w:pos="5873"/>
        </w:tabs>
        <w:spacing w:line="480" w:lineRule="auto"/>
        <w:ind w:right="-45" w:firstLine="567"/>
        <w:rPr>
          <w:sz w:val="24"/>
          <w:szCs w:val="24"/>
          <w:lang w:val="en-US"/>
        </w:rPr>
      </w:pPr>
      <w:r>
        <w:rPr>
          <w:sz w:val="24"/>
          <w:szCs w:val="24"/>
          <w:lang w:val="en-US"/>
        </w:rPr>
        <w:t xml:space="preserve">Bennet and </w:t>
      </w:r>
      <w:r w:rsidR="008C50D3">
        <w:rPr>
          <w:sz w:val="24"/>
          <w:szCs w:val="24"/>
          <w:lang w:val="en-US"/>
        </w:rPr>
        <w:t xml:space="preserve">Mackintosh (1999) </w:t>
      </w:r>
      <w:r>
        <w:rPr>
          <w:sz w:val="24"/>
          <w:szCs w:val="24"/>
          <w:lang w:val="en-US"/>
        </w:rPr>
        <w:t xml:space="preserve">and Mondragon and Hall (2002), using a flavor aversion preparation, assessed the </w:t>
      </w:r>
      <w:r w:rsidR="003C4146">
        <w:rPr>
          <w:sz w:val="24"/>
          <w:szCs w:val="24"/>
          <w:lang w:val="en-US"/>
        </w:rPr>
        <w:t>associability</w:t>
      </w:r>
      <w:r>
        <w:rPr>
          <w:sz w:val="24"/>
          <w:szCs w:val="24"/>
          <w:lang w:val="en-US"/>
        </w:rPr>
        <w:t xml:space="preserve"> of the common element X when used as a conditioned stimulus. The two studies failed to observe any differences in conditioning following intermixed and blocked pre-exposure to AX and BX. However, Mondragon and Hall (2002) found evidence that X was more resistant to extinction after blocked pre-exposure. This result could be taken as evidence for better learning during the acquisition phase, suggesting that </w:t>
      </w:r>
      <w:r w:rsidR="00A35FAA">
        <w:rPr>
          <w:sz w:val="24"/>
          <w:szCs w:val="24"/>
          <w:lang w:val="en-US"/>
        </w:rPr>
        <w:t xml:space="preserve">the </w:t>
      </w:r>
      <w:r>
        <w:rPr>
          <w:sz w:val="24"/>
          <w:szCs w:val="24"/>
          <w:lang w:val="en-US"/>
        </w:rPr>
        <w:t xml:space="preserve">common element acquires higher associative strength. However, as the authors of the study pointed out, it could also reflect the rate at </w:t>
      </w:r>
      <w:r>
        <w:rPr>
          <w:sz w:val="24"/>
          <w:szCs w:val="24"/>
          <w:lang w:val="en-US"/>
        </w:rPr>
        <w:lastRenderedPageBreak/>
        <w:t xml:space="preserve">which the animals learn during the extinction phase: higher levels of extinction in the intermixed </w:t>
      </w:r>
      <w:r w:rsidR="00C2701B">
        <w:rPr>
          <w:sz w:val="24"/>
          <w:szCs w:val="24"/>
          <w:lang w:val="en-US"/>
        </w:rPr>
        <w:t>condition</w:t>
      </w:r>
      <w:r>
        <w:rPr>
          <w:sz w:val="24"/>
          <w:szCs w:val="24"/>
          <w:lang w:val="en-US"/>
        </w:rPr>
        <w:t xml:space="preserve"> could indicate that the common element X is actually more salient or effective than in the blocked pre-exposure procedure. Hall (2020a) reports a number of very similar experiments </w:t>
      </w:r>
      <w:r w:rsidR="00C2701B">
        <w:rPr>
          <w:sz w:val="24"/>
          <w:szCs w:val="24"/>
          <w:lang w:val="en-US"/>
        </w:rPr>
        <w:t>(</w:t>
      </w:r>
      <w:r>
        <w:rPr>
          <w:sz w:val="24"/>
          <w:szCs w:val="24"/>
          <w:lang w:val="en-US"/>
        </w:rPr>
        <w:t>using flavor aversion</w:t>
      </w:r>
      <w:r w:rsidR="00C2701B">
        <w:rPr>
          <w:sz w:val="24"/>
          <w:szCs w:val="24"/>
          <w:lang w:val="en-US"/>
        </w:rPr>
        <w:t>)</w:t>
      </w:r>
      <w:r>
        <w:rPr>
          <w:sz w:val="24"/>
          <w:szCs w:val="24"/>
          <w:lang w:val="en-US"/>
        </w:rPr>
        <w:t xml:space="preserve"> which failed to observe any differences in the rates of acquisition and extinction of the X element following intermixed and blocked pre-exposure. </w:t>
      </w:r>
      <w:r w:rsidR="00C2701B">
        <w:rPr>
          <w:sz w:val="24"/>
          <w:szCs w:val="24"/>
          <w:lang w:val="en-US"/>
        </w:rPr>
        <w:t>Additionally, the perceptual effectiveness of X was assessed by measuring its capacity to interfere with the expression of a conditioned response commanded by an effective CS (a superimposition test). These experiments revealed no differences between the intermixed and block</w:t>
      </w:r>
      <w:r w:rsidR="003C4146">
        <w:rPr>
          <w:sz w:val="24"/>
          <w:szCs w:val="24"/>
          <w:lang w:val="en-US"/>
        </w:rPr>
        <w:t>ed</w:t>
      </w:r>
      <w:r w:rsidR="00C2701B">
        <w:rPr>
          <w:sz w:val="24"/>
          <w:szCs w:val="24"/>
          <w:lang w:val="en-US"/>
        </w:rPr>
        <w:t xml:space="preserve"> conditions, reinforcing the notion that the salience of the common element X is not differentially affected by the intermixed and blocked pre-exposure procedures</w:t>
      </w:r>
      <w:r w:rsidR="00C25D85">
        <w:rPr>
          <w:sz w:val="24"/>
          <w:szCs w:val="24"/>
          <w:lang w:val="en-US"/>
        </w:rPr>
        <w:t xml:space="preserve"> (Hall, 2020a)</w:t>
      </w:r>
      <w:r w:rsidR="00C2701B">
        <w:rPr>
          <w:sz w:val="24"/>
          <w:szCs w:val="24"/>
          <w:lang w:val="en-US"/>
        </w:rPr>
        <w:t>.</w:t>
      </w:r>
    </w:p>
    <w:p w14:paraId="4E6D7E13" w14:textId="29FC501A" w:rsidR="00C41B32" w:rsidRDefault="00C2701B" w:rsidP="007F4002">
      <w:pPr>
        <w:tabs>
          <w:tab w:val="center" w:pos="4700"/>
          <w:tab w:val="left" w:pos="5873"/>
        </w:tabs>
        <w:spacing w:line="480" w:lineRule="auto"/>
        <w:ind w:right="-45" w:firstLine="567"/>
        <w:rPr>
          <w:sz w:val="24"/>
          <w:szCs w:val="24"/>
          <w:lang w:val="en-US"/>
        </w:rPr>
      </w:pPr>
      <w:r>
        <w:rPr>
          <w:color w:val="000000" w:themeColor="text1"/>
          <w:sz w:val="24"/>
          <w:szCs w:val="24"/>
          <w:lang w:val="en-US"/>
        </w:rPr>
        <w:t xml:space="preserve">In contrast with the studies that have used flavor aversion conditioning, studies using a standard </w:t>
      </w:r>
      <w:r w:rsidR="007B46E1">
        <w:rPr>
          <w:color w:val="000000" w:themeColor="text1"/>
          <w:sz w:val="24"/>
          <w:szCs w:val="24"/>
          <w:lang w:val="en-US"/>
        </w:rPr>
        <w:t xml:space="preserve">Pavlovian </w:t>
      </w:r>
      <w:r>
        <w:rPr>
          <w:color w:val="000000" w:themeColor="text1"/>
          <w:sz w:val="24"/>
          <w:szCs w:val="24"/>
          <w:lang w:val="en-US"/>
        </w:rPr>
        <w:t>appetitive task have reported some evidence to suggest that the salience of the common element could be better preserved in the blocked than in the intermixed condition</w:t>
      </w:r>
      <w:r w:rsidR="008C50D3" w:rsidRPr="006A4385">
        <w:rPr>
          <w:color w:val="000000" w:themeColor="text1"/>
          <w:sz w:val="24"/>
          <w:szCs w:val="24"/>
          <w:lang w:val="en-US"/>
        </w:rPr>
        <w:t xml:space="preserve">. </w:t>
      </w:r>
      <w:r w:rsidR="00FE7FA1">
        <w:rPr>
          <w:sz w:val="24"/>
          <w:szCs w:val="24"/>
          <w:lang w:val="en-US"/>
        </w:rPr>
        <w:t>Mondragon and</w:t>
      </w:r>
      <w:r w:rsidR="008C50D3" w:rsidRPr="00F90AB6">
        <w:rPr>
          <w:sz w:val="24"/>
          <w:szCs w:val="24"/>
          <w:lang w:val="en-US"/>
        </w:rPr>
        <w:t xml:space="preserve"> Murphy (2010) gave rats pre-exposure to two similar </w:t>
      </w:r>
      <w:r w:rsidR="007F4002">
        <w:rPr>
          <w:sz w:val="24"/>
          <w:szCs w:val="24"/>
          <w:lang w:val="en-US"/>
        </w:rPr>
        <w:t xml:space="preserve">auditory </w:t>
      </w:r>
      <w:r w:rsidR="008C50D3" w:rsidRPr="00F90AB6">
        <w:rPr>
          <w:sz w:val="24"/>
          <w:szCs w:val="24"/>
          <w:lang w:val="en-US"/>
        </w:rPr>
        <w:t xml:space="preserve">stimuli, AX and BX, according to an intermixed or a blocked procedure. </w:t>
      </w:r>
      <w:r w:rsidR="007B46E1">
        <w:rPr>
          <w:sz w:val="24"/>
          <w:szCs w:val="24"/>
          <w:lang w:val="en-US"/>
        </w:rPr>
        <w:t xml:space="preserve">This was followed by conditioning trials in which AX was reinforced with a food-US and, finally, test trials with the BX compound (a generalization test). </w:t>
      </w:r>
      <w:r w:rsidR="008C50D3" w:rsidRPr="00F90AB6">
        <w:rPr>
          <w:sz w:val="24"/>
          <w:szCs w:val="24"/>
          <w:lang w:val="en-US"/>
        </w:rPr>
        <w:t>The animals showed better discrimination between AX and BX following intermixed than blocked pre-exposur</w:t>
      </w:r>
      <w:r w:rsidR="007F4002">
        <w:rPr>
          <w:sz w:val="24"/>
          <w:szCs w:val="24"/>
          <w:lang w:val="en-US"/>
        </w:rPr>
        <w:t>e, the basic intermixed/blocked effect. I</w:t>
      </w:r>
      <w:r w:rsidR="008C50D3" w:rsidRPr="00F90AB6">
        <w:rPr>
          <w:sz w:val="24"/>
          <w:szCs w:val="24"/>
          <w:lang w:val="en-US"/>
        </w:rPr>
        <w:t>nterestingly, in two separate experiments Mondragon and Murphy also found evidence that X was less salient or effective following intermixed than blocked pre-exposure. When the animals were given conditioning trials with the X element</w:t>
      </w:r>
      <w:r w:rsidR="008C50D3" w:rsidRPr="007F4002">
        <w:rPr>
          <w:color w:val="000000" w:themeColor="text1"/>
          <w:sz w:val="24"/>
          <w:szCs w:val="24"/>
          <w:lang w:val="en-US"/>
        </w:rPr>
        <w:t>,</w:t>
      </w:r>
      <w:r w:rsidRPr="007F4002">
        <w:rPr>
          <w:color w:val="000000" w:themeColor="text1"/>
          <w:sz w:val="24"/>
          <w:szCs w:val="24"/>
          <w:lang w:val="en-US"/>
        </w:rPr>
        <w:t xml:space="preserve"> </w:t>
      </w:r>
      <w:r w:rsidR="008C50D3" w:rsidRPr="007F4002">
        <w:rPr>
          <w:color w:val="000000" w:themeColor="text1"/>
          <w:sz w:val="24"/>
          <w:szCs w:val="24"/>
          <w:lang w:val="en-US"/>
        </w:rPr>
        <w:t>although there were no differences in t</w:t>
      </w:r>
      <w:r w:rsidR="00A35FAA">
        <w:rPr>
          <w:color w:val="000000" w:themeColor="text1"/>
          <w:sz w:val="24"/>
          <w:szCs w:val="24"/>
          <w:lang w:val="en-US"/>
        </w:rPr>
        <w:t>he acquisition of the conditioned</w:t>
      </w:r>
      <w:r w:rsidR="008C50D3" w:rsidRPr="007F4002">
        <w:rPr>
          <w:color w:val="000000" w:themeColor="text1"/>
          <w:sz w:val="24"/>
          <w:szCs w:val="24"/>
          <w:lang w:val="en-US"/>
        </w:rPr>
        <w:t xml:space="preserve"> response, subsequent test trials showed better extinction in the group that had bee</w:t>
      </w:r>
      <w:r w:rsidR="007F4002" w:rsidRPr="007F4002">
        <w:rPr>
          <w:color w:val="000000" w:themeColor="text1"/>
          <w:sz w:val="24"/>
          <w:szCs w:val="24"/>
          <w:lang w:val="en-US"/>
        </w:rPr>
        <w:t xml:space="preserve">n given intermixed pre-exposure. However, as suggested above, </w:t>
      </w:r>
      <w:r w:rsidR="007F4002" w:rsidRPr="007F4002">
        <w:rPr>
          <w:color w:val="000000" w:themeColor="text1"/>
          <w:sz w:val="24"/>
          <w:szCs w:val="24"/>
          <w:lang w:val="en-US"/>
        </w:rPr>
        <w:lastRenderedPageBreak/>
        <w:t>this could be evidence for higher extinction learning in the intermixed condition (which might suggest that X is actually more salient than in the blocked condition).</w:t>
      </w:r>
      <w:r w:rsidR="00A35FAA">
        <w:rPr>
          <w:color w:val="000000" w:themeColor="text1"/>
          <w:sz w:val="24"/>
          <w:szCs w:val="24"/>
          <w:lang w:val="en-US"/>
        </w:rPr>
        <w:t xml:space="preserve"> I</w:t>
      </w:r>
      <w:r w:rsidR="007F4002">
        <w:rPr>
          <w:color w:val="000000" w:themeColor="text1"/>
          <w:sz w:val="24"/>
          <w:szCs w:val="24"/>
          <w:lang w:val="en-US"/>
        </w:rPr>
        <w:t xml:space="preserve">n a final experiment, they found that </w:t>
      </w:r>
      <w:r w:rsidR="008C50D3" w:rsidRPr="007F4002">
        <w:rPr>
          <w:color w:val="000000" w:themeColor="text1"/>
          <w:sz w:val="24"/>
          <w:szCs w:val="24"/>
          <w:lang w:val="en-US"/>
        </w:rPr>
        <w:t xml:space="preserve">the X element was more effective in the group given blocked pre-exposure </w:t>
      </w:r>
      <w:r w:rsidR="008C50D3" w:rsidRPr="00F90AB6">
        <w:rPr>
          <w:sz w:val="24"/>
          <w:szCs w:val="24"/>
          <w:lang w:val="en-US"/>
        </w:rPr>
        <w:t>in overshadowing the acquisition of a condit</w:t>
      </w:r>
      <w:r w:rsidR="007B46E1">
        <w:rPr>
          <w:sz w:val="24"/>
          <w:szCs w:val="24"/>
          <w:lang w:val="en-US"/>
        </w:rPr>
        <w:t xml:space="preserve">ioned response by a new element, </w:t>
      </w:r>
      <w:r w:rsidR="008C50D3" w:rsidRPr="00F90AB6">
        <w:rPr>
          <w:sz w:val="24"/>
          <w:szCs w:val="24"/>
          <w:lang w:val="en-US"/>
        </w:rPr>
        <w:t>Y</w:t>
      </w:r>
      <w:r w:rsidR="007B46E1">
        <w:rPr>
          <w:sz w:val="24"/>
          <w:szCs w:val="24"/>
          <w:lang w:val="en-US"/>
        </w:rPr>
        <w:t>,</w:t>
      </w:r>
      <w:r w:rsidR="008C50D3" w:rsidRPr="00F90AB6">
        <w:rPr>
          <w:sz w:val="24"/>
          <w:szCs w:val="24"/>
          <w:lang w:val="en-US"/>
        </w:rPr>
        <w:t xml:space="preserve"> in YX conditioning trials (Mondragon &amp; Murphy, 2010, Experiment 4).</w:t>
      </w:r>
      <w:r w:rsidR="00C41B32" w:rsidRPr="00C41B32">
        <w:rPr>
          <w:sz w:val="24"/>
          <w:szCs w:val="24"/>
          <w:lang w:val="en-US"/>
        </w:rPr>
        <w:t xml:space="preserve"> </w:t>
      </w:r>
    </w:p>
    <w:p w14:paraId="011163C3" w14:textId="32936B02" w:rsidR="00B5643B" w:rsidRDefault="00C41B32" w:rsidP="00197485">
      <w:pPr>
        <w:tabs>
          <w:tab w:val="center" w:pos="4700"/>
          <w:tab w:val="left" w:pos="5873"/>
        </w:tabs>
        <w:spacing w:line="480" w:lineRule="auto"/>
        <w:ind w:right="-45" w:firstLine="567"/>
        <w:rPr>
          <w:sz w:val="24"/>
          <w:szCs w:val="24"/>
          <w:lang w:val="en-US"/>
        </w:rPr>
      </w:pPr>
      <w:r>
        <w:rPr>
          <w:sz w:val="24"/>
          <w:szCs w:val="24"/>
          <w:lang w:val="en-US"/>
        </w:rPr>
        <w:t xml:space="preserve">The suggestion that the salience of X might be better preserved in the blocked than in the intermixed pre-exposure procedure led </w:t>
      </w:r>
      <w:r w:rsidRPr="00F90AB6">
        <w:rPr>
          <w:sz w:val="24"/>
          <w:szCs w:val="24"/>
          <w:lang w:val="en-US"/>
        </w:rPr>
        <w:t xml:space="preserve">Artigas </w:t>
      </w:r>
      <w:r>
        <w:rPr>
          <w:sz w:val="24"/>
          <w:szCs w:val="24"/>
          <w:lang w:val="en-US"/>
        </w:rPr>
        <w:t>and</w:t>
      </w:r>
      <w:r w:rsidRPr="00F90AB6">
        <w:rPr>
          <w:sz w:val="24"/>
          <w:szCs w:val="24"/>
          <w:lang w:val="en-US"/>
        </w:rPr>
        <w:t xml:space="preserve"> Prados (2014</w:t>
      </w:r>
      <w:r>
        <w:rPr>
          <w:sz w:val="24"/>
          <w:szCs w:val="24"/>
          <w:lang w:val="en-US"/>
        </w:rPr>
        <w:t>; 2017</w:t>
      </w:r>
      <w:r w:rsidRPr="00F90AB6">
        <w:rPr>
          <w:sz w:val="24"/>
          <w:szCs w:val="24"/>
          <w:lang w:val="en-US"/>
        </w:rPr>
        <w:t>)</w:t>
      </w:r>
      <w:r>
        <w:rPr>
          <w:sz w:val="24"/>
          <w:szCs w:val="24"/>
          <w:lang w:val="en-US"/>
        </w:rPr>
        <w:t xml:space="preserve"> to hypothesize that pre-exposure to AX and BX could improve the discrimination between </w:t>
      </w:r>
      <w:r w:rsidR="00A35FAA">
        <w:rPr>
          <w:sz w:val="24"/>
          <w:szCs w:val="24"/>
          <w:lang w:val="en-US"/>
        </w:rPr>
        <w:t xml:space="preserve">two new compound stimuli, </w:t>
      </w:r>
      <w:r>
        <w:rPr>
          <w:sz w:val="24"/>
          <w:szCs w:val="24"/>
          <w:lang w:val="en-US"/>
        </w:rPr>
        <w:t>NX and ZX</w:t>
      </w:r>
      <w:r w:rsidR="00A35FAA">
        <w:rPr>
          <w:sz w:val="24"/>
          <w:szCs w:val="24"/>
          <w:lang w:val="en-US"/>
        </w:rPr>
        <w:t>, on the condition</w:t>
      </w:r>
      <w:r w:rsidR="007B46E1">
        <w:rPr>
          <w:sz w:val="24"/>
          <w:szCs w:val="24"/>
          <w:lang w:val="en-US"/>
        </w:rPr>
        <w:t xml:space="preserve"> that</w:t>
      </w:r>
      <w:r w:rsidR="00A35FAA">
        <w:rPr>
          <w:sz w:val="24"/>
          <w:szCs w:val="24"/>
          <w:lang w:val="en-US"/>
        </w:rPr>
        <w:t xml:space="preserve"> they shared the same common elements</w:t>
      </w:r>
      <w:r>
        <w:rPr>
          <w:sz w:val="24"/>
          <w:szCs w:val="24"/>
          <w:lang w:val="en-US"/>
        </w:rPr>
        <w:t xml:space="preserve">. Assuming that no generalization is observed from </w:t>
      </w:r>
      <w:r w:rsidR="00794ABC">
        <w:rPr>
          <w:sz w:val="24"/>
          <w:szCs w:val="24"/>
          <w:lang w:val="en-US"/>
        </w:rPr>
        <w:t xml:space="preserve">the pre-exposed unique features, </w:t>
      </w:r>
      <w:r>
        <w:rPr>
          <w:sz w:val="24"/>
          <w:szCs w:val="24"/>
          <w:lang w:val="en-US"/>
        </w:rPr>
        <w:t>A and B</w:t>
      </w:r>
      <w:r w:rsidR="00794ABC">
        <w:rPr>
          <w:sz w:val="24"/>
          <w:szCs w:val="24"/>
          <w:lang w:val="en-US"/>
        </w:rPr>
        <w:t>,</w:t>
      </w:r>
      <w:r>
        <w:rPr>
          <w:sz w:val="24"/>
          <w:szCs w:val="24"/>
          <w:lang w:val="en-US"/>
        </w:rPr>
        <w:t xml:space="preserve"> to </w:t>
      </w:r>
      <w:r w:rsidR="00794ABC">
        <w:rPr>
          <w:sz w:val="24"/>
          <w:szCs w:val="24"/>
          <w:lang w:val="en-US"/>
        </w:rPr>
        <w:t xml:space="preserve">the novel features used in a test, </w:t>
      </w:r>
      <w:r>
        <w:rPr>
          <w:sz w:val="24"/>
          <w:szCs w:val="24"/>
          <w:lang w:val="en-US"/>
        </w:rPr>
        <w:t>N and Z, this perceptual learning transfer could be taken as additional evidence for the differential salience of X after intermixed and blocked pre-exposure. I</w:t>
      </w:r>
      <w:r w:rsidRPr="00F90AB6">
        <w:rPr>
          <w:sz w:val="24"/>
          <w:szCs w:val="24"/>
          <w:lang w:val="en-US"/>
        </w:rPr>
        <w:t xml:space="preserve">n </w:t>
      </w:r>
      <w:r>
        <w:rPr>
          <w:sz w:val="24"/>
          <w:szCs w:val="24"/>
          <w:lang w:val="en-US"/>
        </w:rPr>
        <w:t>two</w:t>
      </w:r>
      <w:r w:rsidRPr="00F90AB6">
        <w:rPr>
          <w:sz w:val="24"/>
          <w:szCs w:val="24"/>
          <w:lang w:val="en-US"/>
        </w:rPr>
        <w:t xml:space="preserve"> series of experiments using flavor aversion and appetitive conditioning procedures, Artigas and Prados </w:t>
      </w:r>
      <w:r>
        <w:rPr>
          <w:sz w:val="24"/>
          <w:szCs w:val="24"/>
          <w:lang w:val="en-US"/>
        </w:rPr>
        <w:t xml:space="preserve">reported this perceptual learning transfer effect, reinforcing the </w:t>
      </w:r>
      <w:r w:rsidR="00794ABC">
        <w:rPr>
          <w:sz w:val="24"/>
          <w:szCs w:val="24"/>
          <w:lang w:val="en-US"/>
        </w:rPr>
        <w:t>notion that blocked pre-exposure triggers learning mechanisms that preserve the salience of the common element X. Some doubts have been cast on this conclusion on the basis that generalization from the highly salient unique features A and B could be generalized to N and Z</w:t>
      </w:r>
      <w:r w:rsidR="00FB4E13">
        <w:rPr>
          <w:sz w:val="24"/>
          <w:szCs w:val="24"/>
          <w:lang w:val="en-US"/>
        </w:rPr>
        <w:t xml:space="preserve"> (e.g., Hall, </w:t>
      </w:r>
      <w:r w:rsidR="005B0B71">
        <w:rPr>
          <w:sz w:val="24"/>
          <w:szCs w:val="24"/>
          <w:lang w:val="en-US"/>
        </w:rPr>
        <w:t>2020b</w:t>
      </w:r>
      <w:r w:rsidR="00FB4E13">
        <w:rPr>
          <w:sz w:val="24"/>
          <w:szCs w:val="24"/>
          <w:lang w:val="en-US"/>
        </w:rPr>
        <w:t>)</w:t>
      </w:r>
      <w:r w:rsidR="00794ABC">
        <w:rPr>
          <w:sz w:val="24"/>
          <w:szCs w:val="24"/>
          <w:lang w:val="en-US"/>
        </w:rPr>
        <w:t>. This possibility was castoff in the experiments using aversion conditioning, where the two pairs of stimuli (AB and NZ) belonged to different sensory modalities, flavors and odors</w:t>
      </w:r>
      <w:r w:rsidR="003C4146">
        <w:rPr>
          <w:sz w:val="24"/>
          <w:szCs w:val="24"/>
          <w:lang w:val="en-US"/>
        </w:rPr>
        <w:t xml:space="preserve"> (Artigas &amp; Prados, 2014)</w:t>
      </w:r>
      <w:r w:rsidR="00794ABC">
        <w:rPr>
          <w:sz w:val="24"/>
          <w:szCs w:val="24"/>
          <w:lang w:val="en-US"/>
        </w:rPr>
        <w:t>. In the experiments using an appetitive conditioning task, however, this possibility could not be easily avoided, since the two pairs of stimul</w:t>
      </w:r>
      <w:r w:rsidR="003C4146">
        <w:rPr>
          <w:sz w:val="24"/>
          <w:szCs w:val="24"/>
          <w:lang w:val="en-US"/>
        </w:rPr>
        <w:t>i belonged to the same modality—</w:t>
      </w:r>
      <w:r w:rsidR="00794ABC">
        <w:rPr>
          <w:sz w:val="24"/>
          <w:szCs w:val="24"/>
          <w:lang w:val="en-US"/>
        </w:rPr>
        <w:t>they were all pure tones</w:t>
      </w:r>
      <w:r w:rsidR="003C4146">
        <w:rPr>
          <w:sz w:val="24"/>
          <w:szCs w:val="24"/>
          <w:lang w:val="en-US"/>
        </w:rPr>
        <w:t xml:space="preserve"> (Artigas &amp; Prados, 2017</w:t>
      </w:r>
      <w:r w:rsidR="009E39E9">
        <w:rPr>
          <w:sz w:val="24"/>
          <w:szCs w:val="24"/>
          <w:lang w:val="en-US"/>
        </w:rPr>
        <w:t>).</w:t>
      </w:r>
    </w:p>
    <w:p w14:paraId="5C7D02DE" w14:textId="5BC51EEA" w:rsidR="009E39E9" w:rsidRDefault="009E39E9" w:rsidP="00197485">
      <w:pPr>
        <w:tabs>
          <w:tab w:val="center" w:pos="4700"/>
          <w:tab w:val="left" w:pos="5873"/>
        </w:tabs>
        <w:spacing w:line="480" w:lineRule="auto"/>
        <w:ind w:right="-45" w:firstLine="567"/>
        <w:rPr>
          <w:sz w:val="24"/>
          <w:szCs w:val="24"/>
          <w:lang w:val="en-US"/>
        </w:rPr>
      </w:pPr>
      <w:r>
        <w:rPr>
          <w:sz w:val="24"/>
          <w:szCs w:val="24"/>
          <w:lang w:val="en-US"/>
        </w:rPr>
        <w:t xml:space="preserve">All in all, the evidence supporting the notion that intermixed and blocked pre-exposure differentially affect the salience of the common element X is limited: we can </w:t>
      </w:r>
      <w:r>
        <w:rPr>
          <w:sz w:val="24"/>
          <w:szCs w:val="24"/>
          <w:lang w:val="en-US"/>
        </w:rPr>
        <w:lastRenderedPageBreak/>
        <w:t>rely on a single experiment, using an appetitive task, in which the X element was found to be a more effective overshadowing cue after blocked than intermixed pre-exposure (Mondragon &amp; Murphy, 2010); and the perceptual learning transfer reported by Artigas and Prados (2014) using an aversive conditioning task.</w:t>
      </w:r>
    </w:p>
    <w:p w14:paraId="7F7497C4" w14:textId="253AF2C9" w:rsidR="009842AD" w:rsidRDefault="00FB552F" w:rsidP="007A5C79">
      <w:pPr>
        <w:tabs>
          <w:tab w:val="center" w:pos="4700"/>
          <w:tab w:val="left" w:pos="5873"/>
        </w:tabs>
        <w:spacing w:line="480" w:lineRule="auto"/>
        <w:ind w:right="-45" w:firstLine="567"/>
        <w:rPr>
          <w:sz w:val="24"/>
          <w:szCs w:val="24"/>
          <w:lang w:val="en-US"/>
        </w:rPr>
      </w:pPr>
      <w:r w:rsidRPr="009842AD">
        <w:rPr>
          <w:sz w:val="24"/>
          <w:szCs w:val="24"/>
          <w:lang w:val="en-US"/>
        </w:rPr>
        <w:t>The existent literature (reviewed above) has shown that the salience of the unique elements tends to be protected in the intermixed pre-exposure procedure (e.g., Artigas, Sansa, Blair et al., 2006; Blair &amp; Hall, 2003; Mondragon &amp; Hall, 2002). However, some studies (</w:t>
      </w:r>
      <w:proofErr w:type="spellStart"/>
      <w:r w:rsidRPr="009842AD">
        <w:rPr>
          <w:sz w:val="24"/>
          <w:szCs w:val="24"/>
          <w:lang w:val="en-US"/>
        </w:rPr>
        <w:t>Contel</w:t>
      </w:r>
      <w:proofErr w:type="spellEnd"/>
      <w:r w:rsidRPr="009842AD">
        <w:rPr>
          <w:sz w:val="24"/>
          <w:szCs w:val="24"/>
          <w:lang w:val="en-US"/>
        </w:rPr>
        <w:t xml:space="preserve">, Sansa, Artigas </w:t>
      </w:r>
      <w:r w:rsidR="005B0B71">
        <w:rPr>
          <w:sz w:val="24"/>
          <w:szCs w:val="24"/>
          <w:lang w:val="en-US"/>
        </w:rPr>
        <w:t>&amp;</w:t>
      </w:r>
      <w:r w:rsidRPr="009842AD">
        <w:rPr>
          <w:sz w:val="24"/>
          <w:szCs w:val="24"/>
          <w:lang w:val="en-US"/>
        </w:rPr>
        <w:t xml:space="preserve"> Prados, 2011; see also Prados, 2000; Trobalon, 1998) have shown that the salience of the unique elements decreases as exposure lengthens. Following a short or a long amount of pre-exposure to AX and BX, </w:t>
      </w:r>
      <w:proofErr w:type="spellStart"/>
      <w:r w:rsidRPr="009842AD">
        <w:rPr>
          <w:sz w:val="24"/>
          <w:szCs w:val="24"/>
          <w:lang w:val="en-US"/>
        </w:rPr>
        <w:t>Contel</w:t>
      </w:r>
      <w:proofErr w:type="spellEnd"/>
      <w:r w:rsidRPr="009842AD">
        <w:rPr>
          <w:sz w:val="24"/>
          <w:szCs w:val="24"/>
          <w:lang w:val="en-US"/>
        </w:rPr>
        <w:t xml:space="preserve"> et al, (2011) gave to all animals taste aversion conditioning trials with the AX compound, and this was followed by a preference test with the A and X elements presented simultaneously. With short pre-exposure (four exposure trials to each compound)</w:t>
      </w:r>
      <w:r w:rsidRPr="006440D9">
        <w:rPr>
          <w:sz w:val="24"/>
          <w:szCs w:val="24"/>
          <w:lang w:val="en-US"/>
        </w:rPr>
        <w:t xml:space="preserve">, </w:t>
      </w:r>
      <w:r w:rsidR="00823AB1" w:rsidRPr="006440D9">
        <w:rPr>
          <w:sz w:val="24"/>
          <w:szCs w:val="24"/>
          <w:lang w:val="en-US"/>
        </w:rPr>
        <w:t xml:space="preserve">in comparison to blocked </w:t>
      </w:r>
      <w:r w:rsidR="006440D9" w:rsidRPr="006440D9">
        <w:rPr>
          <w:sz w:val="24"/>
          <w:szCs w:val="24"/>
          <w:lang w:val="en-US"/>
        </w:rPr>
        <w:t xml:space="preserve">animals, </w:t>
      </w:r>
      <w:r w:rsidRPr="006440D9">
        <w:rPr>
          <w:sz w:val="24"/>
          <w:szCs w:val="24"/>
          <w:lang w:val="en-US"/>
        </w:rPr>
        <w:t xml:space="preserve">the intermixed condition </w:t>
      </w:r>
      <w:r w:rsidR="00757F73" w:rsidRPr="006440D9">
        <w:rPr>
          <w:sz w:val="24"/>
          <w:szCs w:val="24"/>
          <w:lang w:val="en-US"/>
        </w:rPr>
        <w:t>showed a larger rejection</w:t>
      </w:r>
      <w:r w:rsidR="00823AB1" w:rsidRPr="006440D9">
        <w:rPr>
          <w:sz w:val="24"/>
          <w:szCs w:val="24"/>
          <w:lang w:val="en-US"/>
        </w:rPr>
        <w:t xml:space="preserve"> </w:t>
      </w:r>
      <w:r w:rsidR="00757F73" w:rsidRPr="006440D9">
        <w:rPr>
          <w:sz w:val="24"/>
          <w:szCs w:val="24"/>
          <w:lang w:val="en-US"/>
        </w:rPr>
        <w:t>of the</w:t>
      </w:r>
      <w:r w:rsidRPr="006440D9">
        <w:rPr>
          <w:sz w:val="24"/>
          <w:szCs w:val="24"/>
          <w:lang w:val="en-US"/>
        </w:rPr>
        <w:t xml:space="preserve"> A </w:t>
      </w:r>
      <w:r w:rsidR="00C8530C" w:rsidRPr="006440D9">
        <w:rPr>
          <w:sz w:val="24"/>
          <w:szCs w:val="24"/>
          <w:lang w:val="en-US"/>
        </w:rPr>
        <w:t>flavor</w:t>
      </w:r>
      <w:r w:rsidRPr="006440D9">
        <w:rPr>
          <w:sz w:val="24"/>
          <w:szCs w:val="24"/>
          <w:lang w:val="en-US"/>
        </w:rPr>
        <w:t xml:space="preserve"> </w:t>
      </w:r>
      <w:r w:rsidR="009842AD" w:rsidRPr="006440D9">
        <w:rPr>
          <w:sz w:val="24"/>
          <w:szCs w:val="24"/>
          <w:lang w:val="en-US"/>
        </w:rPr>
        <w:t>in favor of the X element</w:t>
      </w:r>
      <w:r w:rsidR="001967FE" w:rsidRPr="006440D9">
        <w:rPr>
          <w:sz w:val="24"/>
          <w:szCs w:val="24"/>
          <w:lang w:val="en-US"/>
        </w:rPr>
        <w:t xml:space="preserve"> suggesting </w:t>
      </w:r>
      <w:r w:rsidRPr="006440D9">
        <w:rPr>
          <w:sz w:val="24"/>
          <w:szCs w:val="24"/>
          <w:lang w:val="en-US"/>
        </w:rPr>
        <w:t xml:space="preserve">that the associability of the </w:t>
      </w:r>
      <w:proofErr w:type="gramStart"/>
      <w:r w:rsidRPr="006440D9">
        <w:rPr>
          <w:sz w:val="24"/>
          <w:szCs w:val="24"/>
          <w:lang w:val="en-US"/>
        </w:rPr>
        <w:t>A</w:t>
      </w:r>
      <w:proofErr w:type="gramEnd"/>
      <w:r w:rsidRPr="006440D9">
        <w:rPr>
          <w:sz w:val="24"/>
          <w:szCs w:val="24"/>
          <w:lang w:val="en-US"/>
        </w:rPr>
        <w:t xml:space="preserve"> element was relatively high as a result of</w:t>
      </w:r>
      <w:r w:rsidR="00823AB1" w:rsidRPr="006440D9">
        <w:rPr>
          <w:sz w:val="24"/>
          <w:szCs w:val="24"/>
          <w:lang w:val="en-US"/>
        </w:rPr>
        <w:t xml:space="preserve"> the</w:t>
      </w:r>
      <w:r w:rsidRPr="006440D9">
        <w:rPr>
          <w:sz w:val="24"/>
          <w:szCs w:val="24"/>
          <w:lang w:val="en-US"/>
        </w:rPr>
        <w:t xml:space="preserve"> </w:t>
      </w:r>
      <w:r w:rsidR="009842AD" w:rsidRPr="006440D9">
        <w:rPr>
          <w:sz w:val="24"/>
          <w:szCs w:val="24"/>
          <w:lang w:val="en-US"/>
        </w:rPr>
        <w:t xml:space="preserve">short </w:t>
      </w:r>
      <w:r w:rsidRPr="006440D9">
        <w:rPr>
          <w:sz w:val="24"/>
          <w:szCs w:val="24"/>
          <w:lang w:val="en-US"/>
        </w:rPr>
        <w:t>intermixed</w:t>
      </w:r>
      <w:r w:rsidR="00823AB1" w:rsidRPr="006440D9">
        <w:rPr>
          <w:sz w:val="24"/>
          <w:szCs w:val="24"/>
          <w:lang w:val="en-US"/>
        </w:rPr>
        <w:t xml:space="preserve"> pre-exposure</w:t>
      </w:r>
      <w:r w:rsidRPr="006440D9">
        <w:rPr>
          <w:sz w:val="24"/>
          <w:szCs w:val="24"/>
          <w:lang w:val="en-US"/>
        </w:rPr>
        <w:t>. With long</w:t>
      </w:r>
      <w:r w:rsidRPr="009842AD">
        <w:rPr>
          <w:sz w:val="24"/>
          <w:szCs w:val="24"/>
          <w:lang w:val="en-US"/>
        </w:rPr>
        <w:t xml:space="preserve"> pre-exposure (eight pre-exposure trials to each compound) these differences disappeared, indicating that the salience of the unique elements that was transiently high had been significantly reduced with additional pre-exposure trials.</w:t>
      </w:r>
      <w:r w:rsidR="009842AD">
        <w:rPr>
          <w:sz w:val="24"/>
          <w:szCs w:val="24"/>
          <w:lang w:val="en-US"/>
        </w:rPr>
        <w:t xml:space="preserve"> </w:t>
      </w:r>
    </w:p>
    <w:p w14:paraId="2DEED762" w14:textId="655594D4" w:rsidR="00CD32CD" w:rsidRPr="009842AD" w:rsidRDefault="009E39E9" w:rsidP="007A5C79">
      <w:pPr>
        <w:tabs>
          <w:tab w:val="center" w:pos="4700"/>
          <w:tab w:val="left" w:pos="5873"/>
        </w:tabs>
        <w:spacing w:line="480" w:lineRule="auto"/>
        <w:ind w:right="-45" w:firstLine="567"/>
        <w:rPr>
          <w:sz w:val="24"/>
          <w:szCs w:val="24"/>
          <w:lang w:val="en-GB"/>
        </w:rPr>
      </w:pPr>
      <w:r>
        <w:rPr>
          <w:sz w:val="24"/>
          <w:szCs w:val="24"/>
          <w:lang w:val="en-US"/>
        </w:rPr>
        <w:t xml:space="preserve">The results reported </w:t>
      </w:r>
      <w:r w:rsidR="0063196A">
        <w:rPr>
          <w:sz w:val="24"/>
          <w:szCs w:val="24"/>
          <w:lang w:val="en-US"/>
        </w:rPr>
        <w:t xml:space="preserve">by </w:t>
      </w:r>
      <w:proofErr w:type="spellStart"/>
      <w:r w:rsidR="0063196A">
        <w:rPr>
          <w:sz w:val="24"/>
          <w:szCs w:val="24"/>
          <w:lang w:val="en-US"/>
        </w:rPr>
        <w:t>Contel</w:t>
      </w:r>
      <w:proofErr w:type="spellEnd"/>
      <w:r w:rsidR="0063196A">
        <w:rPr>
          <w:sz w:val="24"/>
          <w:szCs w:val="24"/>
          <w:lang w:val="en-US"/>
        </w:rPr>
        <w:t xml:space="preserve"> et al. (201</w:t>
      </w:r>
      <w:r w:rsidR="005B0B71">
        <w:rPr>
          <w:sz w:val="24"/>
          <w:szCs w:val="24"/>
          <w:lang w:val="en-US"/>
        </w:rPr>
        <w:t>1</w:t>
      </w:r>
      <w:r w:rsidR="0063196A">
        <w:rPr>
          <w:sz w:val="24"/>
          <w:szCs w:val="24"/>
          <w:lang w:val="en-US"/>
        </w:rPr>
        <w:t xml:space="preserve">) strongly suggest that the length of </w:t>
      </w:r>
      <w:r w:rsidR="009842AD">
        <w:rPr>
          <w:sz w:val="24"/>
          <w:szCs w:val="24"/>
          <w:lang w:val="en-US"/>
        </w:rPr>
        <w:t xml:space="preserve">pre-exposure </w:t>
      </w:r>
      <w:r w:rsidR="0063196A">
        <w:rPr>
          <w:sz w:val="24"/>
          <w:szCs w:val="24"/>
          <w:lang w:val="en-US"/>
        </w:rPr>
        <w:t xml:space="preserve">can play an important role in the modulation of the </w:t>
      </w:r>
      <w:r>
        <w:rPr>
          <w:sz w:val="24"/>
          <w:szCs w:val="24"/>
          <w:lang w:val="en-US"/>
        </w:rPr>
        <w:t>effectiveness</w:t>
      </w:r>
      <w:r w:rsidR="001E6CC8">
        <w:rPr>
          <w:sz w:val="24"/>
          <w:szCs w:val="24"/>
          <w:lang w:val="en-US"/>
        </w:rPr>
        <w:t xml:space="preserve"> of the </w:t>
      </w:r>
      <w:r w:rsidR="0063196A">
        <w:rPr>
          <w:sz w:val="24"/>
          <w:szCs w:val="24"/>
          <w:lang w:val="en-US"/>
        </w:rPr>
        <w:t xml:space="preserve">unique elements; it could also, of course, affect the salience or effectiveness of the common element X. Independently of the nature of the processes triggered by pre-exposure, the effect of these processes would be gradual and would </w:t>
      </w:r>
      <w:r>
        <w:rPr>
          <w:sz w:val="24"/>
          <w:szCs w:val="24"/>
          <w:lang w:val="en-US"/>
        </w:rPr>
        <w:t>require</w:t>
      </w:r>
      <w:r w:rsidR="00FB552F" w:rsidRPr="009842AD">
        <w:rPr>
          <w:sz w:val="24"/>
          <w:szCs w:val="24"/>
          <w:lang w:val="en-US"/>
        </w:rPr>
        <w:t xml:space="preserve"> </w:t>
      </w:r>
      <w:r w:rsidR="0063196A">
        <w:rPr>
          <w:sz w:val="24"/>
          <w:szCs w:val="24"/>
          <w:lang w:val="en-US"/>
        </w:rPr>
        <w:t>some time to differentially alter the salience of the unique and common elements in the intermixed and blocked pre-</w:t>
      </w:r>
      <w:r w:rsidR="0063196A">
        <w:rPr>
          <w:sz w:val="24"/>
          <w:szCs w:val="24"/>
          <w:lang w:val="en-US"/>
        </w:rPr>
        <w:lastRenderedPageBreak/>
        <w:t xml:space="preserve">exposure conditions. Assuming the salience or effectiveness of the common element X is differentially affected in the different pre-exposure procedures, a more </w:t>
      </w:r>
      <w:r w:rsidR="007A5C79" w:rsidRPr="009842AD">
        <w:rPr>
          <w:sz w:val="24"/>
          <w:szCs w:val="24"/>
          <w:lang w:val="en-GB"/>
        </w:rPr>
        <w:t>reliable effect could emerge</w:t>
      </w:r>
      <w:r w:rsidR="007A5C79" w:rsidRPr="009842AD">
        <w:rPr>
          <w:sz w:val="24"/>
          <w:szCs w:val="24"/>
          <w:lang w:val="en-US"/>
        </w:rPr>
        <w:t xml:space="preserve"> </w:t>
      </w:r>
      <w:r w:rsidR="00FB552F" w:rsidRPr="009842AD">
        <w:rPr>
          <w:sz w:val="24"/>
          <w:szCs w:val="24"/>
          <w:lang w:val="en-GB"/>
        </w:rPr>
        <w:t xml:space="preserve">extending the amount of pre-exposure used in previous studies </w:t>
      </w:r>
      <w:r w:rsidR="001849CC">
        <w:rPr>
          <w:sz w:val="24"/>
          <w:szCs w:val="24"/>
          <w:lang w:val="en-GB"/>
        </w:rPr>
        <w:t xml:space="preserve">using auditory compound stimuli and an appetitive task </w:t>
      </w:r>
      <w:r w:rsidR="0063196A">
        <w:rPr>
          <w:sz w:val="24"/>
          <w:szCs w:val="24"/>
          <w:lang w:val="en-GB"/>
        </w:rPr>
        <w:t>(Mondragon &amp; Murphy, 2010; Artigas &amp; Prados, 2017).</w:t>
      </w:r>
      <w:r w:rsidR="007A5C79" w:rsidRPr="009842AD">
        <w:rPr>
          <w:sz w:val="24"/>
          <w:szCs w:val="24"/>
          <w:lang w:val="en-GB"/>
        </w:rPr>
        <w:t xml:space="preserve"> </w:t>
      </w:r>
      <w:r w:rsidR="00FB552F" w:rsidRPr="009842AD">
        <w:rPr>
          <w:sz w:val="24"/>
          <w:szCs w:val="24"/>
          <w:lang w:val="en-GB"/>
        </w:rPr>
        <w:t>I</w:t>
      </w:r>
      <w:r w:rsidR="00CD32CD" w:rsidRPr="009842AD">
        <w:rPr>
          <w:sz w:val="24"/>
          <w:szCs w:val="24"/>
          <w:lang w:val="en-US"/>
        </w:rPr>
        <w:t>t</w:t>
      </w:r>
      <w:r w:rsidR="00CD32CD" w:rsidRPr="009842AD">
        <w:rPr>
          <w:sz w:val="24"/>
          <w:szCs w:val="24"/>
          <w:lang w:val="en-GB"/>
        </w:rPr>
        <w:t xml:space="preserve"> could be the case that, with the level of pre-exposure used in </w:t>
      </w:r>
      <w:r w:rsidR="0063196A">
        <w:rPr>
          <w:sz w:val="24"/>
          <w:szCs w:val="24"/>
          <w:lang w:val="en-GB"/>
        </w:rPr>
        <w:t>these</w:t>
      </w:r>
      <w:r w:rsidR="007A5C79" w:rsidRPr="009842AD">
        <w:rPr>
          <w:sz w:val="24"/>
          <w:szCs w:val="24"/>
          <w:lang w:val="en-GB"/>
        </w:rPr>
        <w:t xml:space="preserve"> </w:t>
      </w:r>
      <w:r w:rsidR="001849CC">
        <w:rPr>
          <w:sz w:val="24"/>
          <w:szCs w:val="24"/>
          <w:lang w:val="en-GB"/>
        </w:rPr>
        <w:t>experiments</w:t>
      </w:r>
      <w:r w:rsidR="00CD32CD" w:rsidRPr="009842AD">
        <w:rPr>
          <w:sz w:val="24"/>
          <w:szCs w:val="24"/>
          <w:lang w:val="en-GB"/>
        </w:rPr>
        <w:t>, although the modified</w:t>
      </w:r>
      <w:r w:rsidR="001E6CC8">
        <w:rPr>
          <w:sz w:val="24"/>
          <w:szCs w:val="24"/>
          <w:lang w:val="en-GB"/>
        </w:rPr>
        <w:t xml:space="preserve"> salience of the common element</w:t>
      </w:r>
      <w:r w:rsidR="00CD32CD" w:rsidRPr="009842AD">
        <w:rPr>
          <w:sz w:val="24"/>
          <w:szCs w:val="24"/>
          <w:lang w:val="en-GB"/>
        </w:rPr>
        <w:t xml:space="preserve"> affect</w:t>
      </w:r>
      <w:r w:rsidR="001849CC">
        <w:rPr>
          <w:sz w:val="24"/>
          <w:szCs w:val="24"/>
          <w:lang w:val="en-GB"/>
        </w:rPr>
        <w:t>s</w:t>
      </w:r>
      <w:r w:rsidR="00CD32CD" w:rsidRPr="009842AD">
        <w:rPr>
          <w:sz w:val="24"/>
          <w:szCs w:val="24"/>
          <w:lang w:val="en-GB"/>
        </w:rPr>
        <w:t xml:space="preserve"> the ease at which animals discriminate between the compound stimuli AX and BX, it is not sufficient to guarantee an effect </w:t>
      </w:r>
      <w:r w:rsidR="007A5C79" w:rsidRPr="009842AD">
        <w:rPr>
          <w:sz w:val="24"/>
          <w:szCs w:val="24"/>
          <w:lang w:val="en-GB"/>
        </w:rPr>
        <w:t xml:space="preserve">on the acquisition of associative strength when the common element X is used as </w:t>
      </w:r>
      <w:r w:rsidR="00251FC9">
        <w:rPr>
          <w:sz w:val="24"/>
          <w:szCs w:val="24"/>
          <w:lang w:val="en-GB"/>
        </w:rPr>
        <w:t xml:space="preserve">a </w:t>
      </w:r>
      <w:r w:rsidR="007A5C79" w:rsidRPr="009842AD">
        <w:rPr>
          <w:sz w:val="24"/>
          <w:szCs w:val="24"/>
          <w:lang w:val="en-GB"/>
        </w:rPr>
        <w:t>CSs in Pavlovian conditioning.</w:t>
      </w:r>
    </w:p>
    <w:p w14:paraId="3277697A" w14:textId="510BFA02" w:rsidR="00A63257" w:rsidRDefault="008E5DF3" w:rsidP="00E549BD">
      <w:pPr>
        <w:tabs>
          <w:tab w:val="center" w:pos="4700"/>
          <w:tab w:val="left" w:pos="5873"/>
        </w:tabs>
        <w:spacing w:line="480" w:lineRule="auto"/>
        <w:ind w:right="-45" w:firstLine="567"/>
        <w:rPr>
          <w:sz w:val="24"/>
          <w:szCs w:val="24"/>
          <w:lang w:val="en-US"/>
        </w:rPr>
      </w:pPr>
      <w:r>
        <w:rPr>
          <w:sz w:val="24"/>
          <w:szCs w:val="24"/>
          <w:lang w:val="en-US"/>
        </w:rPr>
        <w:t xml:space="preserve">The experiments reported below were designed with the primary objective of assessing this issue. Experiment 1 aimed to replicate the basic intermixed/blocked effect reported by Mondragon and Murphy (2010) and Artigas and Prados (2017) under slightly different pre-exposure conditions, with a prolonged pre-exposure (4 days; 20 pre-exposure trials to each compound instead of the 2 days and 10 pre-exposure trials used in the previous experiments). Experiment 2 assessed the </w:t>
      </w:r>
      <w:r w:rsidR="001849CC">
        <w:rPr>
          <w:sz w:val="24"/>
          <w:szCs w:val="24"/>
          <w:lang w:val="en-US"/>
        </w:rPr>
        <w:t>associability</w:t>
      </w:r>
      <w:r>
        <w:rPr>
          <w:sz w:val="24"/>
          <w:szCs w:val="24"/>
          <w:lang w:val="en-US"/>
        </w:rPr>
        <w:t xml:space="preserve"> of X and the unique element A (that had not yet been assessed in this appetitive task) under the same pre-exposure conditions of Experiment 1, as well as using the same pre-exposure parameters of previous</w:t>
      </w:r>
      <w:r w:rsidR="001849CC">
        <w:rPr>
          <w:sz w:val="24"/>
          <w:szCs w:val="24"/>
          <w:lang w:val="en-US"/>
        </w:rPr>
        <w:t xml:space="preserve"> experiments (2 days /10 trials</w:t>
      </w:r>
      <w:r>
        <w:rPr>
          <w:sz w:val="24"/>
          <w:szCs w:val="24"/>
          <w:lang w:val="en-US"/>
        </w:rPr>
        <w:t xml:space="preserve">). Experiment 3 extended the assessment of the salience </w:t>
      </w:r>
      <w:r w:rsidR="001849CC">
        <w:rPr>
          <w:sz w:val="24"/>
          <w:szCs w:val="24"/>
          <w:lang w:val="en-US"/>
        </w:rPr>
        <w:t xml:space="preserve">or perceptual effectiveness </w:t>
      </w:r>
      <w:r>
        <w:rPr>
          <w:sz w:val="24"/>
          <w:szCs w:val="24"/>
          <w:lang w:val="en-US"/>
        </w:rPr>
        <w:t>of the unique element, A, using a superimposition test.</w:t>
      </w:r>
    </w:p>
    <w:p w14:paraId="2A1648BC" w14:textId="77777777" w:rsidR="00D579FB" w:rsidRPr="00D579FB" w:rsidRDefault="00D579FB" w:rsidP="00D579FB">
      <w:pPr>
        <w:tabs>
          <w:tab w:val="center" w:pos="4700"/>
          <w:tab w:val="left" w:pos="5873"/>
        </w:tabs>
        <w:autoSpaceDE/>
        <w:autoSpaceDN/>
        <w:spacing w:after="160" w:line="480" w:lineRule="auto"/>
        <w:ind w:right="-45"/>
        <w:jc w:val="center"/>
        <w:rPr>
          <w:rFonts w:eastAsia="Calibri"/>
          <w:color w:val="000000" w:themeColor="text1"/>
          <w:sz w:val="24"/>
          <w:szCs w:val="24"/>
          <w:lang w:val="en-US"/>
        </w:rPr>
      </w:pPr>
      <w:r w:rsidRPr="00D579FB">
        <w:rPr>
          <w:rFonts w:eastAsia="Calibri"/>
          <w:color w:val="000000" w:themeColor="text1"/>
          <w:sz w:val="24"/>
          <w:szCs w:val="24"/>
          <w:lang w:val="en-US"/>
        </w:rPr>
        <w:t>Experiment 1</w:t>
      </w:r>
    </w:p>
    <w:p w14:paraId="443960C5" w14:textId="28A2F9D4" w:rsidR="00D579FB" w:rsidRPr="00D579FB" w:rsidRDefault="001E6CC8" w:rsidP="00D579FB">
      <w:pPr>
        <w:tabs>
          <w:tab w:val="center" w:pos="4700"/>
          <w:tab w:val="left" w:pos="5873"/>
        </w:tabs>
        <w:autoSpaceDE/>
        <w:autoSpaceDN/>
        <w:spacing w:after="160" w:line="480" w:lineRule="auto"/>
        <w:ind w:right="-45" w:firstLine="567"/>
        <w:rPr>
          <w:rFonts w:eastAsia="Calibri"/>
          <w:color w:val="000000" w:themeColor="text1"/>
          <w:sz w:val="24"/>
          <w:szCs w:val="24"/>
          <w:lang w:val="en-US"/>
        </w:rPr>
      </w:pPr>
      <w:r w:rsidRPr="00CD32CD">
        <w:rPr>
          <w:sz w:val="24"/>
          <w:szCs w:val="24"/>
          <w:lang w:val="en-GB"/>
        </w:rPr>
        <w:t>Since the length of pre-exposure seems to play a role in the modulation of the salience of the unique elements</w:t>
      </w:r>
      <w:r>
        <w:rPr>
          <w:sz w:val="24"/>
          <w:szCs w:val="24"/>
          <w:lang w:val="en-GB"/>
        </w:rPr>
        <w:t xml:space="preserve"> in flavour aversion tasks</w:t>
      </w:r>
      <w:r w:rsidRPr="00CD32CD">
        <w:rPr>
          <w:sz w:val="24"/>
          <w:szCs w:val="24"/>
          <w:lang w:val="en-GB"/>
        </w:rPr>
        <w:t xml:space="preserve"> (i.e., A</w:t>
      </w:r>
      <w:r>
        <w:rPr>
          <w:sz w:val="24"/>
          <w:szCs w:val="24"/>
          <w:lang w:val="en-GB"/>
        </w:rPr>
        <w:t xml:space="preserve">; see </w:t>
      </w:r>
      <w:proofErr w:type="spellStart"/>
      <w:r>
        <w:rPr>
          <w:sz w:val="24"/>
          <w:szCs w:val="24"/>
          <w:lang w:val="en-GB"/>
        </w:rPr>
        <w:t>Contel</w:t>
      </w:r>
      <w:proofErr w:type="spellEnd"/>
      <w:r>
        <w:rPr>
          <w:sz w:val="24"/>
          <w:szCs w:val="24"/>
          <w:lang w:val="en-GB"/>
        </w:rPr>
        <w:t xml:space="preserve"> et al., 2012</w:t>
      </w:r>
      <w:r w:rsidRPr="00CD32CD">
        <w:rPr>
          <w:sz w:val="24"/>
          <w:szCs w:val="24"/>
          <w:lang w:val="en-GB"/>
        </w:rPr>
        <w:t>), we wanted to expand the parametric conditions under which the perceptual learning effect is assessed using an appetitive conditioning task.</w:t>
      </w:r>
      <w:r>
        <w:rPr>
          <w:sz w:val="24"/>
          <w:szCs w:val="24"/>
          <w:lang w:val="en-GB"/>
        </w:rPr>
        <w:t xml:space="preserve"> </w:t>
      </w:r>
      <w:r w:rsidR="00D579FB">
        <w:rPr>
          <w:rFonts w:eastAsia="Calibri"/>
          <w:color w:val="000000" w:themeColor="text1"/>
          <w:sz w:val="24"/>
          <w:szCs w:val="24"/>
          <w:lang w:val="en-US"/>
        </w:rPr>
        <w:t xml:space="preserve">In previous reports </w:t>
      </w:r>
      <w:r w:rsidR="00D579FB">
        <w:rPr>
          <w:rFonts w:eastAsia="Calibri"/>
          <w:color w:val="000000" w:themeColor="text1"/>
          <w:sz w:val="24"/>
          <w:szCs w:val="24"/>
          <w:lang w:val="en-US"/>
        </w:rPr>
        <w:lastRenderedPageBreak/>
        <w:t xml:space="preserve">(Artigas &amp; Prados, 2017; Mondragon &amp; Murphy, 2010) the animals were given </w:t>
      </w:r>
      <w:r w:rsidR="002B5041" w:rsidRPr="0063196A">
        <w:rPr>
          <w:rFonts w:eastAsia="Calibri"/>
          <w:color w:val="000000" w:themeColor="text1"/>
          <w:sz w:val="24"/>
          <w:szCs w:val="24"/>
          <w:lang w:val="en-US"/>
        </w:rPr>
        <w:t>10</w:t>
      </w:r>
      <w:r w:rsidR="00D579FB">
        <w:rPr>
          <w:rFonts w:eastAsia="Calibri"/>
          <w:color w:val="000000" w:themeColor="text1"/>
          <w:sz w:val="24"/>
          <w:szCs w:val="24"/>
          <w:lang w:val="en-US"/>
        </w:rPr>
        <w:t xml:space="preserve"> pre-exposure trials to each compound, AX and BX. In the present experiment</w:t>
      </w:r>
      <w:r w:rsidR="009812C9">
        <w:rPr>
          <w:rFonts w:eastAsia="Calibri"/>
          <w:color w:val="000000" w:themeColor="text1"/>
          <w:sz w:val="24"/>
          <w:szCs w:val="24"/>
          <w:lang w:val="en-US"/>
        </w:rPr>
        <w:t xml:space="preserve"> we </w:t>
      </w:r>
      <w:r w:rsidR="009974A4">
        <w:rPr>
          <w:rFonts w:eastAsia="Calibri"/>
          <w:color w:val="000000" w:themeColor="text1"/>
          <w:sz w:val="24"/>
          <w:szCs w:val="24"/>
          <w:lang w:val="en-US"/>
        </w:rPr>
        <w:t>extended</w:t>
      </w:r>
      <w:r w:rsidR="009812C9">
        <w:rPr>
          <w:rFonts w:eastAsia="Calibri"/>
          <w:color w:val="000000" w:themeColor="text1"/>
          <w:sz w:val="24"/>
          <w:szCs w:val="24"/>
          <w:lang w:val="en-US"/>
        </w:rPr>
        <w:t xml:space="preserve"> the amount of pre-exposure to </w:t>
      </w:r>
      <w:r w:rsidR="002B5041" w:rsidRPr="009974A4">
        <w:rPr>
          <w:rFonts w:eastAsia="Calibri"/>
          <w:color w:val="000000" w:themeColor="text1"/>
          <w:sz w:val="24"/>
          <w:szCs w:val="24"/>
          <w:lang w:val="en-US"/>
        </w:rPr>
        <w:t>20</w:t>
      </w:r>
      <w:r w:rsidR="009812C9">
        <w:rPr>
          <w:rFonts w:eastAsia="Calibri"/>
          <w:color w:val="000000" w:themeColor="text1"/>
          <w:sz w:val="24"/>
          <w:szCs w:val="24"/>
          <w:lang w:val="en-US"/>
        </w:rPr>
        <w:t xml:space="preserve"> pre-exposure trials per compound. </w:t>
      </w:r>
      <w:r w:rsidR="007308E2">
        <w:rPr>
          <w:rFonts w:eastAsia="Calibri"/>
          <w:color w:val="000000" w:themeColor="text1"/>
          <w:sz w:val="24"/>
          <w:szCs w:val="24"/>
          <w:lang w:val="en-US"/>
        </w:rPr>
        <w:t>A</w:t>
      </w:r>
      <w:r w:rsidR="00D579FB" w:rsidRPr="00D579FB">
        <w:rPr>
          <w:rFonts w:eastAsia="Calibri"/>
          <w:color w:val="000000" w:themeColor="text1"/>
          <w:sz w:val="24"/>
          <w:szCs w:val="24"/>
          <w:lang w:val="en-US"/>
        </w:rPr>
        <w:t xml:space="preserve">nimals in the group intermixed were given presentations of AX and BX in an alternated schedule (AX, BX, AX, BX . . .), whereas animals in the group blocked were exposed to the same stimuli in two separate blocks of identical trials (AX, AX . . . BX, BX). Following the pre-exposure phase all the animals were given conditioning trials in which the AX compound was paired with the presentation of a food unconditioned stimulus (US). </w:t>
      </w:r>
      <w:r w:rsidR="007308E2">
        <w:rPr>
          <w:rFonts w:eastAsia="Calibri"/>
          <w:color w:val="000000" w:themeColor="text1"/>
          <w:sz w:val="24"/>
          <w:szCs w:val="24"/>
          <w:lang w:val="en-US"/>
        </w:rPr>
        <w:t>The animals were then given a</w:t>
      </w:r>
      <w:r w:rsidR="00D579FB" w:rsidRPr="00D579FB">
        <w:rPr>
          <w:rFonts w:eastAsia="Calibri"/>
          <w:color w:val="000000" w:themeColor="text1"/>
          <w:sz w:val="24"/>
          <w:szCs w:val="24"/>
          <w:lang w:val="en-US"/>
        </w:rPr>
        <w:t xml:space="preserve"> generalization test </w:t>
      </w:r>
      <w:r w:rsidR="007308E2">
        <w:rPr>
          <w:rFonts w:eastAsia="Calibri"/>
          <w:color w:val="000000" w:themeColor="text1"/>
          <w:sz w:val="24"/>
          <w:szCs w:val="24"/>
          <w:lang w:val="en-US"/>
        </w:rPr>
        <w:t>with the</w:t>
      </w:r>
      <w:r w:rsidR="00D579FB" w:rsidRPr="00D579FB">
        <w:rPr>
          <w:rFonts w:eastAsia="Calibri"/>
          <w:color w:val="000000" w:themeColor="text1"/>
          <w:sz w:val="24"/>
          <w:szCs w:val="24"/>
          <w:lang w:val="en-US"/>
        </w:rPr>
        <w:t xml:space="preserve"> BX </w:t>
      </w:r>
      <w:r w:rsidR="007308E2">
        <w:rPr>
          <w:rFonts w:eastAsia="Calibri"/>
          <w:color w:val="000000" w:themeColor="text1"/>
          <w:sz w:val="24"/>
          <w:szCs w:val="24"/>
          <w:lang w:val="en-US"/>
        </w:rPr>
        <w:t xml:space="preserve">compound </w:t>
      </w:r>
      <w:r w:rsidR="00D579FB" w:rsidRPr="00D579FB">
        <w:rPr>
          <w:rFonts w:eastAsia="Calibri"/>
          <w:color w:val="000000" w:themeColor="text1"/>
          <w:sz w:val="24"/>
          <w:szCs w:val="24"/>
          <w:lang w:val="en-US"/>
        </w:rPr>
        <w:t>(see experimental</w:t>
      </w:r>
      <w:r w:rsidR="007308E2">
        <w:rPr>
          <w:rFonts w:eastAsia="Calibri"/>
          <w:color w:val="000000" w:themeColor="text1"/>
          <w:sz w:val="24"/>
          <w:szCs w:val="24"/>
          <w:lang w:val="en-US"/>
        </w:rPr>
        <w:t xml:space="preserve"> designs in Table 1).</w:t>
      </w:r>
    </w:p>
    <w:p w14:paraId="68423BA8" w14:textId="77777777" w:rsidR="00D579FB" w:rsidRPr="009812C9" w:rsidRDefault="00D579FB" w:rsidP="00D579FB">
      <w:pPr>
        <w:tabs>
          <w:tab w:val="center" w:pos="4700"/>
          <w:tab w:val="left" w:pos="5873"/>
        </w:tabs>
        <w:spacing w:line="480" w:lineRule="auto"/>
        <w:ind w:right="-45"/>
        <w:jc w:val="center"/>
        <w:rPr>
          <w:i/>
          <w:color w:val="000000" w:themeColor="text1"/>
          <w:sz w:val="24"/>
          <w:szCs w:val="24"/>
          <w:lang w:val="en-US"/>
        </w:rPr>
      </w:pPr>
      <w:r w:rsidRPr="009812C9">
        <w:rPr>
          <w:i/>
          <w:color w:val="000000" w:themeColor="text1"/>
          <w:sz w:val="24"/>
          <w:szCs w:val="24"/>
          <w:lang w:val="en-US"/>
        </w:rPr>
        <w:t>Table 1 around here</w:t>
      </w:r>
    </w:p>
    <w:p w14:paraId="4FF790EB" w14:textId="77777777" w:rsidR="00D579FB" w:rsidRPr="009812C9" w:rsidRDefault="00D579FB" w:rsidP="00D579FB">
      <w:pPr>
        <w:tabs>
          <w:tab w:val="center" w:pos="4700"/>
          <w:tab w:val="left" w:pos="5873"/>
        </w:tabs>
        <w:autoSpaceDE/>
        <w:autoSpaceDN/>
        <w:spacing w:after="160" w:line="480" w:lineRule="auto"/>
        <w:ind w:right="-45"/>
        <w:jc w:val="center"/>
        <w:rPr>
          <w:rFonts w:eastAsia="Calibri"/>
          <w:color w:val="000000" w:themeColor="text1"/>
          <w:sz w:val="24"/>
          <w:szCs w:val="24"/>
          <w:lang w:val="en-US"/>
        </w:rPr>
      </w:pPr>
      <w:r w:rsidRPr="009812C9">
        <w:rPr>
          <w:rFonts w:eastAsia="Calibri"/>
          <w:color w:val="000000" w:themeColor="text1"/>
          <w:sz w:val="24"/>
          <w:szCs w:val="24"/>
          <w:lang w:val="en-US"/>
        </w:rPr>
        <w:t>Method</w:t>
      </w:r>
    </w:p>
    <w:p w14:paraId="677F6EFF" w14:textId="77777777" w:rsidR="00D579FB" w:rsidRPr="009812C9" w:rsidRDefault="00D579FB" w:rsidP="00D579FB">
      <w:pPr>
        <w:tabs>
          <w:tab w:val="center" w:pos="4700"/>
          <w:tab w:val="left" w:pos="5873"/>
        </w:tabs>
        <w:autoSpaceDE/>
        <w:autoSpaceDN/>
        <w:spacing w:after="160" w:line="480" w:lineRule="auto"/>
        <w:ind w:right="-45" w:firstLine="567"/>
        <w:rPr>
          <w:rFonts w:eastAsia="Calibri"/>
          <w:i/>
          <w:color w:val="000000" w:themeColor="text1"/>
          <w:sz w:val="24"/>
          <w:szCs w:val="24"/>
          <w:lang w:val="en-US"/>
        </w:rPr>
      </w:pPr>
      <w:r w:rsidRPr="009812C9">
        <w:rPr>
          <w:rFonts w:eastAsia="Calibri"/>
          <w:i/>
          <w:color w:val="000000" w:themeColor="text1"/>
          <w:sz w:val="24"/>
          <w:szCs w:val="24"/>
          <w:lang w:val="en-US"/>
        </w:rPr>
        <w:t>Subjects</w:t>
      </w:r>
    </w:p>
    <w:p w14:paraId="1ED20E7F" w14:textId="77777777" w:rsidR="009812C9" w:rsidRPr="00F90AB6" w:rsidRDefault="00D579FB" w:rsidP="009812C9">
      <w:pPr>
        <w:tabs>
          <w:tab w:val="center" w:pos="4700"/>
          <w:tab w:val="left" w:pos="5873"/>
        </w:tabs>
        <w:spacing w:line="480" w:lineRule="auto"/>
        <w:ind w:right="-45" w:firstLine="567"/>
        <w:rPr>
          <w:sz w:val="24"/>
          <w:szCs w:val="24"/>
          <w:lang w:val="en-US"/>
        </w:rPr>
      </w:pPr>
      <w:r w:rsidRPr="009812C9">
        <w:rPr>
          <w:rFonts w:eastAsia="Calibri"/>
          <w:color w:val="000000" w:themeColor="text1"/>
          <w:sz w:val="24"/>
          <w:szCs w:val="24"/>
          <w:lang w:val="en-US"/>
        </w:rPr>
        <w:t xml:space="preserve">The subjects of Experiment 1 were 16 experimentally naïve hooded Long Evans rats, 8 males with an ad lib body weight range 376:437 g, and 8 females with an ad lib body weight range 213:265 g at the beginning of experiment. They were housed in standard transparent plastic cages, 24 × 50 × 14.5 cm, in groups of two or three animals, in a colony room that was artificially lit from 9:00 a.m. to 9:00 p.m. daily, with free access to water. The animals were handled, weighed, and fed a restricted amount of food at the end of each session to keep them at 85% of their ad lib body weight for the course of the experiment. </w:t>
      </w:r>
      <w:r w:rsidR="009812C9" w:rsidRPr="00F90AB6">
        <w:rPr>
          <w:sz w:val="24"/>
          <w:szCs w:val="24"/>
          <w:lang w:val="en-US"/>
        </w:rPr>
        <w:t>In the two days that preceded the start of the experiment, the animals were presented with 10 pellets per animal mixed with the usual diet to reduce neophobia to the reinforcer in the appetitive conditioning task.</w:t>
      </w:r>
      <w:r w:rsidR="009812C9">
        <w:rPr>
          <w:sz w:val="24"/>
          <w:szCs w:val="24"/>
          <w:lang w:val="en-US"/>
        </w:rPr>
        <w:t xml:space="preserve"> They were assigned, at random, to two experimental groups matched by sex: Intermixed and Blocked.</w:t>
      </w:r>
    </w:p>
    <w:p w14:paraId="65F7F6F6" w14:textId="77777777" w:rsidR="00D579FB" w:rsidRPr="009812C9" w:rsidRDefault="00D579FB" w:rsidP="00D579FB">
      <w:pPr>
        <w:tabs>
          <w:tab w:val="center" w:pos="4700"/>
          <w:tab w:val="left" w:pos="5873"/>
        </w:tabs>
        <w:autoSpaceDE/>
        <w:autoSpaceDN/>
        <w:spacing w:after="160" w:line="480" w:lineRule="auto"/>
        <w:ind w:right="-45" w:firstLine="567"/>
        <w:rPr>
          <w:rFonts w:eastAsia="Calibri"/>
          <w:i/>
          <w:color w:val="000000" w:themeColor="text1"/>
          <w:sz w:val="24"/>
          <w:szCs w:val="24"/>
          <w:lang w:val="en-US"/>
        </w:rPr>
      </w:pPr>
      <w:r w:rsidRPr="009812C9">
        <w:rPr>
          <w:rFonts w:eastAsia="Calibri"/>
          <w:i/>
          <w:color w:val="000000" w:themeColor="text1"/>
          <w:sz w:val="24"/>
          <w:szCs w:val="24"/>
          <w:lang w:val="en-US"/>
        </w:rPr>
        <w:lastRenderedPageBreak/>
        <w:t>Apparatus</w:t>
      </w:r>
    </w:p>
    <w:p w14:paraId="74CA31AD" w14:textId="6F0280E8" w:rsidR="00D579FB" w:rsidRPr="009812C9" w:rsidRDefault="00D579FB" w:rsidP="00D579FB">
      <w:pPr>
        <w:tabs>
          <w:tab w:val="center" w:pos="4700"/>
          <w:tab w:val="left" w:pos="5873"/>
        </w:tabs>
        <w:autoSpaceDE/>
        <w:autoSpaceDN/>
        <w:spacing w:after="160" w:line="480" w:lineRule="auto"/>
        <w:ind w:right="-45" w:firstLine="567"/>
        <w:rPr>
          <w:rFonts w:eastAsia="Calibri"/>
          <w:color w:val="000000" w:themeColor="text1"/>
          <w:sz w:val="24"/>
          <w:szCs w:val="24"/>
          <w:lang w:val="en-US"/>
        </w:rPr>
      </w:pPr>
      <w:r w:rsidRPr="009812C9">
        <w:rPr>
          <w:rFonts w:eastAsia="Calibri"/>
          <w:color w:val="000000" w:themeColor="text1"/>
          <w:sz w:val="24"/>
          <w:szCs w:val="24"/>
          <w:lang w:val="en-US"/>
        </w:rPr>
        <w:t>Four identical Mo</w:t>
      </w:r>
      <w:r w:rsidR="00F43407">
        <w:rPr>
          <w:rFonts w:eastAsia="Calibri"/>
          <w:color w:val="000000" w:themeColor="text1"/>
          <w:sz w:val="24"/>
          <w:szCs w:val="24"/>
          <w:lang w:val="en-US"/>
        </w:rPr>
        <w:t>dular Operant Box chambers (25cm×25cm×25</w:t>
      </w:r>
      <w:r w:rsidRPr="009812C9">
        <w:rPr>
          <w:rFonts w:eastAsia="Calibri"/>
          <w:color w:val="000000" w:themeColor="text1"/>
          <w:sz w:val="24"/>
          <w:szCs w:val="24"/>
          <w:lang w:val="en-US"/>
        </w:rPr>
        <w:t xml:space="preserve"> cm) from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 (Model LE1005,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were used. The chambers were inserted in sound- and light-attenuating boxes (Model LE26,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with background noise produced by ventilation fans (≈70 dB). Each chamber was dimly illuminated by a shielded </w:t>
      </w:r>
      <w:proofErr w:type="spellStart"/>
      <w:r w:rsidRPr="009812C9">
        <w:rPr>
          <w:rFonts w:eastAsia="Calibri"/>
          <w:color w:val="000000" w:themeColor="text1"/>
          <w:sz w:val="24"/>
          <w:szCs w:val="24"/>
          <w:lang w:val="en-US"/>
        </w:rPr>
        <w:t>houselight</w:t>
      </w:r>
      <w:proofErr w:type="spellEnd"/>
      <w:r w:rsidRPr="009812C9">
        <w:rPr>
          <w:rFonts w:eastAsia="Calibri"/>
          <w:color w:val="000000" w:themeColor="text1"/>
          <w:sz w:val="24"/>
          <w:szCs w:val="24"/>
          <w:lang w:val="en-US"/>
        </w:rPr>
        <w:t xml:space="preserve"> operating at 20 V located on the wall opposite to the food tray. The floor of each chamber consisted of 20 tubular stainless steel bars; these bars were perpendicular to the wall where the food tray was located (Model LE100501,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This wall and the opposite one were made of aluminum; the ceiling and remaining walls were of clear methacrylate. A magazine pellet dispenser (Model LE100550,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delivered 45-mg Dustless Precision Pellets (Bio Serv; Rodent Purified Diet) into the food tray. A head entry into the food tray was recorded by interruption of a LED photocell (Model LE105-51,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Two speakers (Model LE100543, </w:t>
      </w:r>
      <w:proofErr w:type="spellStart"/>
      <w:r w:rsidRPr="009812C9">
        <w:rPr>
          <w:rFonts w:eastAsia="Calibri"/>
          <w:color w:val="000000" w:themeColor="text1"/>
          <w:sz w:val="24"/>
          <w:szCs w:val="24"/>
          <w:lang w:val="en-US"/>
        </w:rPr>
        <w:t>Panlab</w:t>
      </w:r>
      <w:proofErr w:type="spellEnd"/>
      <w:r w:rsidRPr="009812C9">
        <w:rPr>
          <w:rFonts w:eastAsia="Calibri"/>
          <w:color w:val="000000" w:themeColor="text1"/>
          <w:sz w:val="24"/>
          <w:szCs w:val="24"/>
          <w:lang w:val="en-US"/>
        </w:rPr>
        <w:t xml:space="preserve">/Harvard Apparatus) were attached to the top sides of the front wall. The left speaker could deliver </w:t>
      </w:r>
      <w:r w:rsidR="009812C9">
        <w:rPr>
          <w:rFonts w:eastAsia="Calibri"/>
          <w:color w:val="000000" w:themeColor="text1"/>
          <w:sz w:val="24"/>
          <w:szCs w:val="24"/>
          <w:lang w:val="en-US"/>
        </w:rPr>
        <w:t>two</w:t>
      </w:r>
      <w:r w:rsidRPr="009812C9">
        <w:rPr>
          <w:rFonts w:eastAsia="Calibri"/>
          <w:color w:val="000000" w:themeColor="text1"/>
          <w:sz w:val="24"/>
          <w:szCs w:val="24"/>
          <w:lang w:val="en-US"/>
        </w:rPr>
        <w:t xml:space="preserve"> differ</w:t>
      </w:r>
      <w:r w:rsidR="009812C9">
        <w:rPr>
          <w:rFonts w:eastAsia="Calibri"/>
          <w:color w:val="000000" w:themeColor="text1"/>
          <w:sz w:val="24"/>
          <w:szCs w:val="24"/>
          <w:lang w:val="en-US"/>
        </w:rPr>
        <w:t>ent 15-s tones. A</w:t>
      </w:r>
      <w:r w:rsidRPr="009812C9">
        <w:rPr>
          <w:rFonts w:eastAsia="Calibri"/>
          <w:color w:val="000000" w:themeColor="text1"/>
          <w:sz w:val="24"/>
          <w:szCs w:val="24"/>
          <w:lang w:val="en-US"/>
        </w:rPr>
        <w:t xml:space="preserve"> 3.2 kHz (80dB) and a 9.5 kHz (80 dB) tone</w:t>
      </w:r>
      <w:r w:rsidR="009812C9">
        <w:rPr>
          <w:rFonts w:eastAsia="Calibri"/>
          <w:color w:val="000000" w:themeColor="text1"/>
          <w:sz w:val="24"/>
          <w:szCs w:val="24"/>
          <w:lang w:val="en-US"/>
        </w:rPr>
        <w:t>s</w:t>
      </w:r>
      <w:r w:rsidRPr="009812C9">
        <w:rPr>
          <w:rFonts w:eastAsia="Calibri"/>
          <w:color w:val="000000" w:themeColor="text1"/>
          <w:sz w:val="24"/>
          <w:szCs w:val="24"/>
          <w:lang w:val="en-US"/>
        </w:rPr>
        <w:t xml:space="preserve"> were used as the elements A and B of the experimental design. The right speaker delivered a 75 dB white noise, the X ele</w:t>
      </w:r>
      <w:r w:rsidR="00437348">
        <w:rPr>
          <w:rFonts w:eastAsia="Calibri"/>
          <w:color w:val="000000" w:themeColor="text1"/>
          <w:sz w:val="24"/>
          <w:szCs w:val="24"/>
          <w:lang w:val="en-US"/>
        </w:rPr>
        <w:t>ment of the experimental design</w:t>
      </w:r>
      <w:r w:rsidRPr="009812C9">
        <w:rPr>
          <w:rFonts w:eastAsia="Calibri"/>
          <w:color w:val="000000" w:themeColor="text1"/>
          <w:sz w:val="24"/>
          <w:szCs w:val="24"/>
          <w:lang w:val="en-US"/>
        </w:rPr>
        <w:t xml:space="preserve">. A computer running the </w:t>
      </w:r>
      <w:proofErr w:type="spellStart"/>
      <w:r w:rsidRPr="009812C9">
        <w:rPr>
          <w:rFonts w:eastAsia="Calibri"/>
          <w:color w:val="000000" w:themeColor="text1"/>
          <w:sz w:val="24"/>
          <w:szCs w:val="24"/>
          <w:lang w:val="en-US"/>
        </w:rPr>
        <w:t>Packwin</w:t>
      </w:r>
      <w:proofErr w:type="spellEnd"/>
      <w:r w:rsidRPr="009812C9">
        <w:rPr>
          <w:rFonts w:eastAsia="Calibri"/>
          <w:color w:val="000000" w:themeColor="text1"/>
          <w:sz w:val="24"/>
          <w:szCs w:val="24"/>
          <w:lang w:val="en-US"/>
        </w:rPr>
        <w:t xml:space="preserve"> software platform 2.0 for Windows XP controlled experimental events.</w:t>
      </w:r>
    </w:p>
    <w:p w14:paraId="0BE0B2C9" w14:textId="77777777" w:rsidR="00D579FB" w:rsidRPr="009812C9" w:rsidRDefault="00D579FB" w:rsidP="00D579FB">
      <w:pPr>
        <w:tabs>
          <w:tab w:val="center" w:pos="4700"/>
          <w:tab w:val="left" w:pos="5873"/>
        </w:tabs>
        <w:autoSpaceDE/>
        <w:autoSpaceDN/>
        <w:spacing w:after="160" w:line="480" w:lineRule="auto"/>
        <w:ind w:right="-45" w:firstLine="567"/>
        <w:rPr>
          <w:rFonts w:eastAsia="Calibri"/>
          <w:i/>
          <w:color w:val="000000" w:themeColor="text1"/>
          <w:sz w:val="24"/>
          <w:szCs w:val="24"/>
          <w:lang w:val="en-US"/>
        </w:rPr>
      </w:pPr>
      <w:r w:rsidRPr="009812C9">
        <w:rPr>
          <w:rFonts w:eastAsia="Calibri"/>
          <w:i/>
          <w:color w:val="000000" w:themeColor="text1"/>
          <w:sz w:val="24"/>
          <w:szCs w:val="24"/>
          <w:lang w:val="en-US"/>
        </w:rPr>
        <w:t>Procedure</w:t>
      </w:r>
    </w:p>
    <w:p w14:paraId="46378317" w14:textId="47D9FC2F" w:rsidR="00D579FB" w:rsidRPr="009812C9" w:rsidRDefault="00D579FB" w:rsidP="00D579FB">
      <w:pPr>
        <w:tabs>
          <w:tab w:val="center" w:pos="4700"/>
          <w:tab w:val="left" w:pos="5873"/>
        </w:tabs>
        <w:autoSpaceDE/>
        <w:autoSpaceDN/>
        <w:spacing w:after="160" w:line="480" w:lineRule="auto"/>
        <w:ind w:right="-45" w:firstLine="567"/>
        <w:rPr>
          <w:rFonts w:eastAsia="Calibri"/>
          <w:color w:val="000000" w:themeColor="text1"/>
          <w:sz w:val="24"/>
          <w:szCs w:val="24"/>
          <w:lang w:val="en-US"/>
        </w:rPr>
      </w:pPr>
      <w:r w:rsidRPr="009812C9">
        <w:rPr>
          <w:rFonts w:eastAsia="Calibri"/>
          <w:color w:val="000000" w:themeColor="text1"/>
          <w:sz w:val="24"/>
          <w:szCs w:val="24"/>
          <w:lang w:val="en-US"/>
        </w:rPr>
        <w:t>There were three phases in the experiment: pre</w:t>
      </w:r>
      <w:r w:rsidR="00437348">
        <w:rPr>
          <w:rFonts w:eastAsia="Calibri"/>
          <w:color w:val="000000" w:themeColor="text1"/>
          <w:sz w:val="24"/>
          <w:szCs w:val="24"/>
          <w:lang w:val="en-US"/>
        </w:rPr>
        <w:t>-</w:t>
      </w:r>
      <w:r w:rsidRPr="009812C9">
        <w:rPr>
          <w:rFonts w:eastAsia="Calibri"/>
          <w:color w:val="000000" w:themeColor="text1"/>
          <w:sz w:val="24"/>
          <w:szCs w:val="24"/>
          <w:lang w:val="en-US"/>
        </w:rPr>
        <w:t xml:space="preserve">exposure, conditioning, and test. Throughout the experiment, rats were presented with trials separated by a variable ITI with a mean of 240 s. During the first 4 days of </w:t>
      </w:r>
      <w:r w:rsidR="00437348">
        <w:rPr>
          <w:rFonts w:eastAsia="Calibri"/>
          <w:color w:val="000000" w:themeColor="text1"/>
          <w:sz w:val="24"/>
          <w:szCs w:val="24"/>
          <w:lang w:val="en-US"/>
        </w:rPr>
        <w:t>pre-exposure</w:t>
      </w:r>
      <w:r w:rsidRPr="009812C9">
        <w:rPr>
          <w:rFonts w:eastAsia="Calibri"/>
          <w:color w:val="000000" w:themeColor="text1"/>
          <w:sz w:val="24"/>
          <w:szCs w:val="24"/>
          <w:lang w:val="en-US"/>
        </w:rPr>
        <w:t xml:space="preserve">, animals were exposed to the compound stimuli AX and BX (five presentations of each compound every day). The identity of the first stimulus was counterbalanced changing every day and the initial </w:t>
      </w:r>
      <w:r w:rsidRPr="009812C9">
        <w:rPr>
          <w:rFonts w:eastAsia="Calibri"/>
          <w:color w:val="000000" w:themeColor="text1"/>
          <w:sz w:val="24"/>
          <w:szCs w:val="24"/>
          <w:lang w:val="en-US"/>
        </w:rPr>
        <w:lastRenderedPageBreak/>
        <w:t>order (counterbalanced) in which the stim</w:t>
      </w:r>
      <w:r w:rsidR="00BF771F">
        <w:rPr>
          <w:rFonts w:eastAsia="Calibri"/>
          <w:color w:val="000000" w:themeColor="text1"/>
          <w:sz w:val="24"/>
          <w:szCs w:val="24"/>
          <w:lang w:val="en-US"/>
        </w:rPr>
        <w:t>uli were exposed in days 1 and 3</w:t>
      </w:r>
      <w:r w:rsidRPr="009812C9">
        <w:rPr>
          <w:rFonts w:eastAsia="Calibri"/>
          <w:color w:val="000000" w:themeColor="text1"/>
          <w:sz w:val="24"/>
          <w:szCs w:val="24"/>
          <w:lang w:val="en-US"/>
        </w:rPr>
        <w:t xml:space="preserve"> was reve</w:t>
      </w:r>
      <w:r w:rsidR="00BF771F">
        <w:rPr>
          <w:rFonts w:eastAsia="Calibri"/>
          <w:color w:val="000000" w:themeColor="text1"/>
          <w:sz w:val="24"/>
          <w:szCs w:val="24"/>
          <w:lang w:val="en-US"/>
        </w:rPr>
        <w:t>rsed on days 2</w:t>
      </w:r>
      <w:r w:rsidR="00DF2999">
        <w:rPr>
          <w:rFonts w:eastAsia="Calibri"/>
          <w:color w:val="000000" w:themeColor="text1"/>
          <w:sz w:val="24"/>
          <w:szCs w:val="24"/>
          <w:lang w:val="en-US"/>
        </w:rPr>
        <w:t xml:space="preserve"> and 4. In the group I</w:t>
      </w:r>
      <w:r w:rsidRPr="009812C9">
        <w:rPr>
          <w:rFonts w:eastAsia="Calibri"/>
          <w:color w:val="000000" w:themeColor="text1"/>
          <w:sz w:val="24"/>
          <w:szCs w:val="24"/>
          <w:lang w:val="en-US"/>
        </w:rPr>
        <w:t>ntermixed the stimuli were exposed in an alternated fas</w:t>
      </w:r>
      <w:r w:rsidR="00437348">
        <w:rPr>
          <w:rFonts w:eastAsia="Calibri"/>
          <w:color w:val="000000" w:themeColor="text1"/>
          <w:sz w:val="24"/>
          <w:szCs w:val="24"/>
          <w:lang w:val="en-US"/>
        </w:rPr>
        <w:t>hion (e.g., AX, BX, AX, BX…</w:t>
      </w:r>
      <w:r w:rsidR="00DF2999">
        <w:rPr>
          <w:rFonts w:eastAsia="Calibri"/>
          <w:color w:val="000000" w:themeColor="text1"/>
          <w:sz w:val="24"/>
          <w:szCs w:val="24"/>
          <w:lang w:val="en-US"/>
        </w:rPr>
        <w:t>). In the group B</w:t>
      </w:r>
      <w:r w:rsidRPr="009812C9">
        <w:rPr>
          <w:rFonts w:eastAsia="Calibri"/>
          <w:color w:val="000000" w:themeColor="text1"/>
          <w:sz w:val="24"/>
          <w:szCs w:val="24"/>
          <w:lang w:val="en-US"/>
        </w:rPr>
        <w:t>locked the stimuli were presented in separate blocks of ide</w:t>
      </w:r>
      <w:r w:rsidR="00437348">
        <w:rPr>
          <w:rFonts w:eastAsia="Calibri"/>
          <w:color w:val="000000" w:themeColor="text1"/>
          <w:sz w:val="24"/>
          <w:szCs w:val="24"/>
          <w:lang w:val="en-US"/>
        </w:rPr>
        <w:t xml:space="preserve">ntical trials (e.g., AX, AX… </w:t>
      </w:r>
      <w:r w:rsidRPr="009812C9">
        <w:rPr>
          <w:rFonts w:eastAsia="Calibri"/>
          <w:color w:val="000000" w:themeColor="text1"/>
          <w:sz w:val="24"/>
          <w:szCs w:val="24"/>
          <w:lang w:val="en-US"/>
        </w:rPr>
        <w:t xml:space="preserve"> BX, BX). Two sessions of conditioning followed, each of which comprised 10 presentations of AX followed by two pellets of food. During the final day of the experiment, the animals were given a test in which the compound BX was presented six times in extinction. The amount of time the animals kept their head in the food tray was recorded during the stimulus presentation (CS period) and during the 15 s that preceded it (the Pre-CS period). A difference score in which time responding during the Pre-CS was subtracted from that recorded during the CS was computed and used as a response measure.</w:t>
      </w:r>
    </w:p>
    <w:p w14:paraId="5AACDA6D" w14:textId="77777777" w:rsidR="00D579FB" w:rsidRPr="00437348" w:rsidRDefault="00D579FB" w:rsidP="00D579FB">
      <w:pPr>
        <w:tabs>
          <w:tab w:val="center" w:pos="4700"/>
          <w:tab w:val="left" w:pos="5873"/>
        </w:tabs>
        <w:autoSpaceDE/>
        <w:autoSpaceDN/>
        <w:spacing w:after="160" w:line="480" w:lineRule="auto"/>
        <w:ind w:right="-45" w:firstLine="567"/>
        <w:rPr>
          <w:rFonts w:eastAsia="Calibri"/>
          <w:i/>
          <w:color w:val="000000" w:themeColor="text1"/>
          <w:sz w:val="24"/>
          <w:szCs w:val="24"/>
          <w:lang w:val="en-US"/>
        </w:rPr>
      </w:pPr>
      <w:r w:rsidRPr="00437348">
        <w:rPr>
          <w:rFonts w:eastAsia="Calibri"/>
          <w:i/>
          <w:color w:val="000000" w:themeColor="text1"/>
          <w:sz w:val="24"/>
          <w:szCs w:val="24"/>
          <w:lang w:val="en-US"/>
        </w:rPr>
        <w:t>Data analysis</w:t>
      </w:r>
    </w:p>
    <w:p w14:paraId="344475F8" w14:textId="77777777" w:rsidR="00437348" w:rsidRPr="00F90AB6" w:rsidRDefault="00437348" w:rsidP="00437348">
      <w:pPr>
        <w:tabs>
          <w:tab w:val="center" w:pos="4275"/>
          <w:tab w:val="left" w:pos="5352"/>
          <w:tab w:val="left" w:pos="9072"/>
        </w:tabs>
        <w:spacing w:line="480" w:lineRule="auto"/>
        <w:ind w:right="-45" w:firstLine="567"/>
        <w:rPr>
          <w:sz w:val="24"/>
          <w:szCs w:val="24"/>
          <w:lang w:val="en-US"/>
        </w:rPr>
      </w:pPr>
      <w:r w:rsidRPr="00F90AB6">
        <w:rPr>
          <w:sz w:val="24"/>
          <w:szCs w:val="24"/>
          <w:lang w:val="en-US"/>
        </w:rPr>
        <w:t xml:space="preserve">The analysis of this measure of performance was conducted with analyses of variance (ANOVA) using a rejection criterion of </w:t>
      </w:r>
      <w:r w:rsidRPr="00F90AB6">
        <w:rPr>
          <w:i/>
          <w:sz w:val="24"/>
          <w:szCs w:val="24"/>
          <w:lang w:val="en-US"/>
        </w:rPr>
        <w:t>p</w:t>
      </w:r>
      <w:r w:rsidRPr="00F90AB6">
        <w:rPr>
          <w:sz w:val="24"/>
          <w:szCs w:val="24"/>
          <w:lang w:val="en-US"/>
        </w:rPr>
        <w:t>&lt;.05. The reported effect size for ANOVA with more than one factor is partial eta squared (</w:t>
      </w:r>
      <w:r w:rsidRPr="00F90AB6">
        <w:rPr>
          <w:i/>
          <w:sz w:val="24"/>
          <w:szCs w:val="24"/>
          <w:lang w:val="en-US"/>
        </w:rPr>
        <w:t>η</w:t>
      </w:r>
      <w:r w:rsidRPr="00F90AB6">
        <w:rPr>
          <w:i/>
          <w:sz w:val="24"/>
          <w:szCs w:val="24"/>
          <w:vertAlign w:val="subscript"/>
          <w:lang w:val="en-US"/>
        </w:rPr>
        <w:t>p</w:t>
      </w:r>
      <w:r w:rsidRPr="00F90AB6">
        <w:rPr>
          <w:i/>
          <w:sz w:val="24"/>
          <w:szCs w:val="24"/>
          <w:vertAlign w:val="superscript"/>
          <w:lang w:val="en-US"/>
        </w:rPr>
        <w:t>2</w:t>
      </w:r>
      <w:r w:rsidRPr="00F90AB6">
        <w:rPr>
          <w:sz w:val="24"/>
          <w:szCs w:val="24"/>
          <w:lang w:val="en-US"/>
        </w:rPr>
        <w:t>), while for comparisons between two means it is eta squared (</w:t>
      </w:r>
      <w:r w:rsidRPr="00F90AB6">
        <w:rPr>
          <w:i/>
          <w:sz w:val="24"/>
          <w:szCs w:val="24"/>
          <w:lang w:val="en-US"/>
        </w:rPr>
        <w:t>η</w:t>
      </w:r>
      <w:r w:rsidRPr="00F90AB6">
        <w:rPr>
          <w:i/>
          <w:sz w:val="24"/>
          <w:szCs w:val="24"/>
          <w:vertAlign w:val="superscript"/>
          <w:lang w:val="en-US"/>
        </w:rPr>
        <w:t>2</w:t>
      </w:r>
      <w:r w:rsidRPr="00F90AB6">
        <w:rPr>
          <w:sz w:val="24"/>
          <w:szCs w:val="24"/>
          <w:lang w:val="en-US"/>
        </w:rPr>
        <w:t xml:space="preserve">). For both measures of effect size, 95% confidence intervals (CIs) were computed using the method reported by </w:t>
      </w:r>
      <w:r>
        <w:rPr>
          <w:sz w:val="24"/>
          <w:szCs w:val="24"/>
          <w:lang w:val="en-US"/>
        </w:rPr>
        <w:t>Nelson (2016</w:t>
      </w:r>
      <w:r w:rsidRPr="00F90AB6">
        <w:rPr>
          <w:sz w:val="24"/>
          <w:szCs w:val="24"/>
          <w:lang w:val="en-US"/>
        </w:rPr>
        <w:t>).</w:t>
      </w:r>
    </w:p>
    <w:p w14:paraId="416E73ED" w14:textId="77777777" w:rsidR="00D579FB" w:rsidRPr="00437348" w:rsidRDefault="00D579FB" w:rsidP="00D579FB">
      <w:pPr>
        <w:tabs>
          <w:tab w:val="center" w:pos="4275"/>
          <w:tab w:val="left" w:pos="5352"/>
          <w:tab w:val="left" w:pos="9072"/>
        </w:tabs>
        <w:spacing w:line="480" w:lineRule="auto"/>
        <w:ind w:right="-45"/>
        <w:jc w:val="center"/>
        <w:rPr>
          <w:color w:val="000000" w:themeColor="text1"/>
          <w:sz w:val="24"/>
          <w:szCs w:val="24"/>
          <w:lang w:val="en-US"/>
        </w:rPr>
      </w:pPr>
      <w:r w:rsidRPr="00437348">
        <w:rPr>
          <w:color w:val="000000" w:themeColor="text1"/>
          <w:sz w:val="24"/>
          <w:szCs w:val="24"/>
          <w:lang w:val="en-US"/>
        </w:rPr>
        <w:t>Results and discussion</w:t>
      </w:r>
    </w:p>
    <w:p w14:paraId="631D1B3C" w14:textId="192129D2" w:rsidR="00B470BA" w:rsidRPr="00B46114" w:rsidRDefault="005564A6" w:rsidP="00D579FB">
      <w:pPr>
        <w:adjustRightInd w:val="0"/>
        <w:spacing w:line="480" w:lineRule="auto"/>
        <w:ind w:firstLine="567"/>
        <w:rPr>
          <w:lang w:val="en-US"/>
        </w:rPr>
      </w:pPr>
      <w:r w:rsidRPr="009D1533">
        <w:rPr>
          <w:color w:val="000000" w:themeColor="text1"/>
          <w:sz w:val="24"/>
          <w:szCs w:val="24"/>
          <w:lang w:val="en-US" w:eastAsia="en-GB"/>
        </w:rPr>
        <w:t xml:space="preserve">One animal in Group Blocked </w:t>
      </w:r>
      <w:r w:rsidR="00B3773E" w:rsidRPr="009D1533">
        <w:rPr>
          <w:color w:val="000000" w:themeColor="text1"/>
          <w:sz w:val="24"/>
          <w:szCs w:val="24"/>
          <w:lang w:val="en-US" w:eastAsia="en-GB"/>
        </w:rPr>
        <w:t>only showed magazine activity in three of the twenty conditioning trials with the compound AX</w:t>
      </w:r>
      <w:r w:rsidR="001F19C2">
        <w:rPr>
          <w:color w:val="000000" w:themeColor="text1"/>
          <w:sz w:val="24"/>
          <w:szCs w:val="24"/>
          <w:lang w:val="en-US" w:eastAsia="en-GB"/>
        </w:rPr>
        <w:t xml:space="preserve"> (trials 7</w:t>
      </w:r>
      <w:r w:rsidR="009D1533">
        <w:rPr>
          <w:color w:val="000000" w:themeColor="text1"/>
          <w:sz w:val="24"/>
          <w:szCs w:val="24"/>
          <w:lang w:val="en-US" w:eastAsia="en-GB"/>
        </w:rPr>
        <w:t>, 14 and 18)</w:t>
      </w:r>
      <w:r w:rsidR="00B3773E" w:rsidRPr="009D1533">
        <w:rPr>
          <w:color w:val="000000" w:themeColor="text1"/>
          <w:sz w:val="24"/>
          <w:szCs w:val="24"/>
          <w:lang w:val="en-US" w:eastAsia="en-GB"/>
        </w:rPr>
        <w:t xml:space="preserve">, showing a total of </w:t>
      </w:r>
      <w:r w:rsidR="00EA25A9">
        <w:rPr>
          <w:color w:val="000000" w:themeColor="text1"/>
          <w:sz w:val="24"/>
          <w:szCs w:val="24"/>
          <w:lang w:val="en-US" w:eastAsia="en-GB"/>
        </w:rPr>
        <w:t>5.68</w:t>
      </w:r>
      <w:r w:rsidR="00B3773E" w:rsidRPr="009D1533">
        <w:rPr>
          <w:color w:val="000000" w:themeColor="text1"/>
          <w:sz w:val="24"/>
          <w:szCs w:val="24"/>
          <w:lang w:val="en-US" w:eastAsia="en-GB"/>
        </w:rPr>
        <w:t xml:space="preserve"> s </w:t>
      </w:r>
      <w:r w:rsidR="009D1533">
        <w:rPr>
          <w:color w:val="000000" w:themeColor="text1"/>
          <w:sz w:val="24"/>
          <w:szCs w:val="24"/>
          <w:lang w:val="en-US" w:eastAsia="en-GB"/>
        </w:rPr>
        <w:t xml:space="preserve">of magazine activity </w:t>
      </w:r>
      <w:r w:rsidR="00B3773E" w:rsidRPr="009D1533">
        <w:rPr>
          <w:color w:val="000000" w:themeColor="text1"/>
          <w:sz w:val="24"/>
          <w:szCs w:val="24"/>
          <w:lang w:val="en-US" w:eastAsia="en-GB"/>
        </w:rPr>
        <w:t xml:space="preserve">in the Pre-CS periods, and </w:t>
      </w:r>
      <w:r w:rsidR="00EA25A9">
        <w:rPr>
          <w:color w:val="000000" w:themeColor="text1"/>
          <w:sz w:val="24"/>
          <w:szCs w:val="24"/>
          <w:lang w:val="en-US" w:eastAsia="en-GB"/>
        </w:rPr>
        <w:t>3.95</w:t>
      </w:r>
      <w:r w:rsidR="00B3773E" w:rsidRPr="009D1533">
        <w:rPr>
          <w:color w:val="000000" w:themeColor="text1"/>
          <w:sz w:val="24"/>
          <w:szCs w:val="24"/>
          <w:lang w:val="en-US" w:eastAsia="en-GB"/>
        </w:rPr>
        <w:t xml:space="preserve"> s in the presence of the CS. The </w:t>
      </w:r>
      <w:r w:rsidR="00F43407">
        <w:rPr>
          <w:color w:val="000000" w:themeColor="text1"/>
          <w:sz w:val="24"/>
          <w:szCs w:val="24"/>
          <w:lang w:val="en-US" w:eastAsia="en-GB"/>
        </w:rPr>
        <w:t>unusual</w:t>
      </w:r>
      <w:r w:rsidR="00B3773E" w:rsidRPr="009D1533">
        <w:rPr>
          <w:color w:val="000000" w:themeColor="text1"/>
          <w:sz w:val="24"/>
          <w:szCs w:val="24"/>
          <w:lang w:val="en-US" w:eastAsia="en-GB"/>
        </w:rPr>
        <w:t xml:space="preserve"> low level of magazine activity and the negative </w:t>
      </w:r>
      <w:r w:rsidR="009D1533">
        <w:rPr>
          <w:color w:val="000000" w:themeColor="text1"/>
          <w:sz w:val="24"/>
          <w:szCs w:val="24"/>
          <w:lang w:val="en-US" w:eastAsia="en-GB"/>
        </w:rPr>
        <w:t xml:space="preserve">overall </w:t>
      </w:r>
      <w:r w:rsidR="00B3773E" w:rsidRPr="009D1533">
        <w:rPr>
          <w:color w:val="000000" w:themeColor="text1"/>
          <w:sz w:val="24"/>
          <w:szCs w:val="24"/>
          <w:lang w:val="en-US" w:eastAsia="en-GB"/>
        </w:rPr>
        <w:t xml:space="preserve">CS - Pre-CS score </w:t>
      </w:r>
      <w:r w:rsidR="00EA25A9">
        <w:rPr>
          <w:color w:val="000000" w:themeColor="text1"/>
          <w:sz w:val="24"/>
          <w:szCs w:val="24"/>
          <w:lang w:val="en-US" w:eastAsia="en-GB"/>
        </w:rPr>
        <w:t>(-1.7</w:t>
      </w:r>
      <w:r w:rsidR="00B3773E" w:rsidRPr="009D1533">
        <w:rPr>
          <w:color w:val="000000" w:themeColor="text1"/>
          <w:sz w:val="24"/>
          <w:szCs w:val="24"/>
          <w:lang w:val="en-US" w:eastAsia="en-GB"/>
        </w:rPr>
        <w:t xml:space="preserve">3 s) </w:t>
      </w:r>
      <w:r w:rsidR="009D1533">
        <w:rPr>
          <w:color w:val="000000" w:themeColor="text1"/>
          <w:sz w:val="24"/>
          <w:szCs w:val="24"/>
          <w:lang w:val="en-US" w:eastAsia="en-GB"/>
        </w:rPr>
        <w:t>indicates</w:t>
      </w:r>
      <w:r w:rsidR="00B3773E" w:rsidRPr="009D1533">
        <w:rPr>
          <w:color w:val="000000" w:themeColor="text1"/>
          <w:sz w:val="24"/>
          <w:szCs w:val="24"/>
          <w:lang w:val="en-US" w:eastAsia="en-GB"/>
        </w:rPr>
        <w:t xml:space="preserve"> that the animal did not develop a conditioned response to the CS and</w:t>
      </w:r>
      <w:r w:rsidR="00024669">
        <w:rPr>
          <w:color w:val="000000" w:themeColor="text1"/>
          <w:sz w:val="24"/>
          <w:szCs w:val="24"/>
          <w:lang w:val="en-US" w:eastAsia="en-GB"/>
        </w:rPr>
        <w:t xml:space="preserve"> </w:t>
      </w:r>
      <w:r w:rsidR="00B3773E" w:rsidRPr="009D1533">
        <w:rPr>
          <w:color w:val="000000" w:themeColor="text1"/>
          <w:sz w:val="24"/>
          <w:szCs w:val="24"/>
          <w:lang w:val="en-US" w:eastAsia="en-GB"/>
        </w:rPr>
        <w:t>would be pointless to measure the generalization</w:t>
      </w:r>
      <w:r w:rsidR="009D1533">
        <w:rPr>
          <w:color w:val="000000" w:themeColor="text1"/>
          <w:sz w:val="24"/>
          <w:szCs w:val="24"/>
          <w:lang w:val="en-US" w:eastAsia="en-GB"/>
        </w:rPr>
        <w:t xml:space="preserve"> of the conditioned response to </w:t>
      </w:r>
      <w:r w:rsidR="009D1533">
        <w:rPr>
          <w:color w:val="000000" w:themeColor="text1"/>
          <w:sz w:val="24"/>
          <w:szCs w:val="24"/>
          <w:lang w:val="en-US" w:eastAsia="en-GB"/>
        </w:rPr>
        <w:lastRenderedPageBreak/>
        <w:t>t</w:t>
      </w:r>
      <w:r w:rsidR="00B3773E" w:rsidRPr="009D1533">
        <w:rPr>
          <w:color w:val="000000" w:themeColor="text1"/>
          <w:sz w:val="24"/>
          <w:szCs w:val="24"/>
          <w:lang w:val="en-US" w:eastAsia="en-GB"/>
        </w:rPr>
        <w:t xml:space="preserve">he compound BX. </w:t>
      </w:r>
      <w:r w:rsidR="009D1533" w:rsidRPr="009D1533">
        <w:rPr>
          <w:color w:val="000000" w:themeColor="text1"/>
          <w:sz w:val="24"/>
          <w:szCs w:val="24"/>
          <w:lang w:val="en-US" w:eastAsia="en-GB"/>
        </w:rPr>
        <w:t xml:space="preserve">The </w:t>
      </w:r>
      <w:r w:rsidRPr="009D1533">
        <w:rPr>
          <w:color w:val="000000" w:themeColor="text1"/>
          <w:sz w:val="24"/>
          <w:szCs w:val="24"/>
          <w:lang w:val="en-US" w:eastAsia="en-GB"/>
        </w:rPr>
        <w:t xml:space="preserve">data </w:t>
      </w:r>
      <w:r w:rsidR="009D1533" w:rsidRPr="009D1533">
        <w:rPr>
          <w:color w:val="000000" w:themeColor="text1"/>
          <w:sz w:val="24"/>
          <w:szCs w:val="24"/>
          <w:lang w:val="en-US" w:eastAsia="en-GB"/>
        </w:rPr>
        <w:t xml:space="preserve">from this animal </w:t>
      </w:r>
      <w:r w:rsidRPr="009D1533">
        <w:rPr>
          <w:color w:val="000000" w:themeColor="text1"/>
          <w:sz w:val="24"/>
          <w:szCs w:val="24"/>
          <w:lang w:val="en-US" w:eastAsia="en-GB"/>
        </w:rPr>
        <w:t xml:space="preserve">were </w:t>
      </w:r>
      <w:r w:rsidR="009D1533" w:rsidRPr="009D1533">
        <w:rPr>
          <w:color w:val="000000" w:themeColor="text1"/>
          <w:sz w:val="24"/>
          <w:szCs w:val="24"/>
          <w:lang w:val="en-US" w:eastAsia="en-GB"/>
        </w:rPr>
        <w:t xml:space="preserve">therefore </w:t>
      </w:r>
      <w:r w:rsidRPr="009D1533">
        <w:rPr>
          <w:color w:val="000000" w:themeColor="text1"/>
          <w:sz w:val="24"/>
          <w:szCs w:val="24"/>
          <w:lang w:val="en-US" w:eastAsia="en-GB"/>
        </w:rPr>
        <w:t>exclu</w:t>
      </w:r>
      <w:r w:rsidR="00B470BA" w:rsidRPr="009D1533">
        <w:rPr>
          <w:color w:val="000000" w:themeColor="text1"/>
          <w:sz w:val="24"/>
          <w:szCs w:val="24"/>
          <w:lang w:val="en-US" w:eastAsia="en-GB"/>
        </w:rPr>
        <w:t>ded from the analyses</w:t>
      </w:r>
      <w:r w:rsidR="00B2069A" w:rsidRPr="009D1533">
        <w:rPr>
          <w:color w:val="000000" w:themeColor="text1"/>
          <w:sz w:val="24"/>
          <w:szCs w:val="24"/>
          <w:lang w:val="en-US" w:eastAsia="en-GB"/>
        </w:rPr>
        <w:t>.</w:t>
      </w:r>
    </w:p>
    <w:p w14:paraId="5EA07A58" w14:textId="162719A0" w:rsidR="00D579FB" w:rsidRPr="00437348" w:rsidRDefault="00D579FB" w:rsidP="00D579FB">
      <w:pPr>
        <w:adjustRightInd w:val="0"/>
        <w:spacing w:line="480" w:lineRule="auto"/>
        <w:ind w:firstLine="567"/>
        <w:rPr>
          <w:color w:val="000000" w:themeColor="text1"/>
          <w:sz w:val="24"/>
          <w:szCs w:val="24"/>
          <w:lang w:val="en-US" w:eastAsia="en-GB"/>
        </w:rPr>
      </w:pPr>
      <w:r w:rsidRPr="00437348">
        <w:rPr>
          <w:color w:val="000000" w:themeColor="text1"/>
          <w:sz w:val="24"/>
          <w:szCs w:val="24"/>
          <w:lang w:val="en-US" w:eastAsia="en-GB"/>
        </w:rPr>
        <w:t xml:space="preserve">Figure 1 shows the group means for the magazine approach response during the conditioning trials with the compound AX. </w:t>
      </w:r>
      <w:r w:rsidR="00437348">
        <w:rPr>
          <w:color w:val="000000" w:themeColor="text1"/>
          <w:sz w:val="24"/>
          <w:szCs w:val="24"/>
          <w:lang w:val="en-US"/>
        </w:rPr>
        <w:t>An</w:t>
      </w:r>
      <w:r w:rsidRPr="00437348">
        <w:rPr>
          <w:color w:val="000000" w:themeColor="text1"/>
          <w:sz w:val="24"/>
          <w:szCs w:val="24"/>
          <w:lang w:val="en-US"/>
        </w:rPr>
        <w:t xml:space="preserve"> </w:t>
      </w:r>
      <w:r w:rsidRPr="00437348">
        <w:rPr>
          <w:color w:val="000000" w:themeColor="text1"/>
          <w:sz w:val="24"/>
          <w:szCs w:val="24"/>
          <w:lang w:val="en-US" w:eastAsia="en-GB"/>
        </w:rPr>
        <w:t xml:space="preserve">ANOVA with Pre-exposure (Intermixed </w:t>
      </w:r>
      <w:r w:rsidRPr="00437348">
        <w:rPr>
          <w:i/>
          <w:color w:val="000000" w:themeColor="text1"/>
          <w:sz w:val="24"/>
          <w:szCs w:val="24"/>
          <w:lang w:val="en-US" w:eastAsia="en-GB"/>
        </w:rPr>
        <w:t>vs.</w:t>
      </w:r>
      <w:r w:rsidRPr="00437348">
        <w:rPr>
          <w:color w:val="000000" w:themeColor="text1"/>
          <w:sz w:val="24"/>
          <w:szCs w:val="24"/>
          <w:lang w:val="en-US" w:eastAsia="en-GB"/>
        </w:rPr>
        <w:t xml:space="preserve"> Blocked) and Blocks of Trials as factors showed a significant effect of </w:t>
      </w:r>
      <w:r w:rsidRPr="00437348">
        <w:rPr>
          <w:color w:val="000000" w:themeColor="text1"/>
          <w:sz w:val="24"/>
          <w:szCs w:val="24"/>
          <w:lang w:val="en-US"/>
        </w:rPr>
        <w:t>Blocks of Trials</w:t>
      </w:r>
      <w:r w:rsidRPr="00437348">
        <w:rPr>
          <w:color w:val="000000" w:themeColor="text1"/>
          <w:sz w:val="24"/>
          <w:szCs w:val="24"/>
          <w:lang w:val="en-US" w:eastAsia="en-GB"/>
        </w:rPr>
        <w:t xml:space="preserve">, </w:t>
      </w:r>
      <w:r w:rsidRPr="00437348">
        <w:rPr>
          <w:i/>
          <w:color w:val="000000" w:themeColor="text1"/>
          <w:sz w:val="24"/>
          <w:szCs w:val="24"/>
          <w:lang w:val="en-US" w:eastAsia="en-GB"/>
        </w:rPr>
        <w:t>F</w:t>
      </w:r>
      <w:r w:rsidRPr="00437348">
        <w:rPr>
          <w:color w:val="000000" w:themeColor="text1"/>
          <w:sz w:val="24"/>
          <w:szCs w:val="24"/>
          <w:lang w:val="en-US" w:eastAsia="en-GB"/>
        </w:rPr>
        <w:t xml:space="preserve">(3,39)=21.03, </w:t>
      </w:r>
      <w:r w:rsidRPr="00437348">
        <w:rPr>
          <w:color w:val="000000" w:themeColor="text1"/>
          <w:sz w:val="24"/>
          <w:szCs w:val="24"/>
          <w:shd w:val="clear" w:color="auto" w:fill="FFFFFF"/>
          <w:lang w:val="en-GB"/>
        </w:rPr>
        <w:t xml:space="preserve">mean squared </w:t>
      </w:r>
      <w:r w:rsidRPr="009D1533">
        <w:rPr>
          <w:color w:val="000000" w:themeColor="text1"/>
          <w:sz w:val="24"/>
          <w:szCs w:val="24"/>
          <w:shd w:val="clear" w:color="auto" w:fill="FFFFFF"/>
          <w:lang w:val="en-GB"/>
        </w:rPr>
        <w:t>error </w:t>
      </w:r>
      <w:r w:rsidRPr="009D1533">
        <w:rPr>
          <w:i/>
          <w:iCs/>
          <w:color w:val="000000" w:themeColor="text1"/>
          <w:sz w:val="24"/>
          <w:szCs w:val="24"/>
          <w:shd w:val="clear" w:color="auto" w:fill="FFFFFF"/>
          <w:lang w:val="en-GB"/>
        </w:rPr>
        <w:t>(MSE)</w:t>
      </w:r>
      <w:r w:rsidR="00DF2999" w:rsidRPr="009D1533">
        <w:rPr>
          <w:color w:val="000000" w:themeColor="text1"/>
          <w:sz w:val="24"/>
          <w:szCs w:val="24"/>
          <w:shd w:val="clear" w:color="auto" w:fill="FFFFFF"/>
          <w:lang w:val="en-GB"/>
        </w:rPr>
        <w:t>=</w:t>
      </w:r>
      <w:r w:rsidR="00995207" w:rsidRPr="009D1533">
        <w:rPr>
          <w:color w:val="000000" w:themeColor="text1"/>
          <w:sz w:val="24"/>
          <w:szCs w:val="24"/>
          <w:shd w:val="clear" w:color="auto" w:fill="FFFFFF"/>
          <w:lang w:val="en-GB"/>
        </w:rPr>
        <w:t>87</w:t>
      </w:r>
      <w:r w:rsidR="00437348" w:rsidRPr="009D1533">
        <w:rPr>
          <w:color w:val="000000" w:themeColor="text1"/>
          <w:sz w:val="24"/>
          <w:szCs w:val="24"/>
          <w:shd w:val="clear" w:color="auto" w:fill="FFFFFF"/>
          <w:lang w:val="en-GB"/>
        </w:rPr>
        <w:t>.</w:t>
      </w:r>
      <w:r w:rsidR="009D1533" w:rsidRPr="009D1533">
        <w:rPr>
          <w:color w:val="000000" w:themeColor="text1"/>
          <w:sz w:val="24"/>
          <w:szCs w:val="24"/>
          <w:shd w:val="clear" w:color="auto" w:fill="FFFFFF"/>
          <w:lang w:val="en-GB"/>
        </w:rPr>
        <w:t>59</w:t>
      </w:r>
      <w:r w:rsidRPr="009D1533">
        <w:rPr>
          <w:color w:val="000000" w:themeColor="text1"/>
          <w:sz w:val="24"/>
          <w:szCs w:val="24"/>
          <w:shd w:val="clear" w:color="auto" w:fill="FFFFFF"/>
          <w:lang w:val="en-GB"/>
        </w:rPr>
        <w:t>,</w:t>
      </w:r>
      <w:r w:rsidRPr="00437348">
        <w:rPr>
          <w:color w:val="000000" w:themeColor="text1"/>
          <w:sz w:val="24"/>
          <w:szCs w:val="24"/>
          <w:lang w:val="en-US" w:eastAsia="en-GB"/>
        </w:rPr>
        <w:t xml:space="preserve"> </w:t>
      </w:r>
      <w:r w:rsidRPr="00437348">
        <w:rPr>
          <w:i/>
          <w:color w:val="000000" w:themeColor="text1"/>
          <w:sz w:val="24"/>
          <w:szCs w:val="24"/>
          <w:lang w:val="en-US" w:eastAsia="en-GB"/>
        </w:rPr>
        <w:t>p</w:t>
      </w:r>
      <w:r w:rsidRPr="00437348">
        <w:rPr>
          <w:color w:val="000000" w:themeColor="text1"/>
          <w:sz w:val="24"/>
          <w:szCs w:val="24"/>
          <w:lang w:val="en-US" w:eastAsia="en-GB"/>
        </w:rPr>
        <w:t>&lt;.01,</w:t>
      </w:r>
      <w:r w:rsidRPr="00437348">
        <w:rPr>
          <w:color w:val="000000" w:themeColor="text1"/>
          <w:sz w:val="24"/>
          <w:szCs w:val="24"/>
          <w:shd w:val="clear" w:color="auto" w:fill="FFFFFF"/>
          <w:lang w:val="en-GB"/>
        </w:rPr>
        <w:t xml:space="preserve"> </w:t>
      </w:r>
      <w:r w:rsidRPr="00437348">
        <w:rPr>
          <w:i/>
          <w:color w:val="000000" w:themeColor="text1"/>
          <w:sz w:val="24"/>
          <w:szCs w:val="24"/>
          <w:lang w:val="en-US"/>
        </w:rPr>
        <w:t>η</w:t>
      </w:r>
      <w:r w:rsidRPr="00437348">
        <w:rPr>
          <w:i/>
          <w:color w:val="000000" w:themeColor="text1"/>
          <w:sz w:val="24"/>
          <w:szCs w:val="24"/>
          <w:vertAlign w:val="subscript"/>
          <w:lang w:val="en-US"/>
        </w:rPr>
        <w:t>p</w:t>
      </w:r>
      <w:r w:rsidRPr="00437348">
        <w:rPr>
          <w:i/>
          <w:color w:val="000000" w:themeColor="text1"/>
          <w:sz w:val="24"/>
          <w:szCs w:val="24"/>
          <w:vertAlign w:val="superscript"/>
          <w:lang w:val="en-US"/>
        </w:rPr>
        <w:t>2</w:t>
      </w:r>
      <w:r w:rsidRPr="00437348">
        <w:rPr>
          <w:color w:val="000000" w:themeColor="text1"/>
          <w:sz w:val="24"/>
          <w:szCs w:val="24"/>
          <w:lang w:val="en-US"/>
        </w:rPr>
        <w:t>=.62, 95% CI [.38, .72], the Pre-exposure factor an</w:t>
      </w:r>
      <w:r w:rsidR="00437348">
        <w:rPr>
          <w:color w:val="000000" w:themeColor="text1"/>
          <w:sz w:val="24"/>
          <w:szCs w:val="24"/>
          <w:lang w:val="en-US"/>
        </w:rPr>
        <w:t>d the Pre-exposure x Blocks of T</w:t>
      </w:r>
      <w:r w:rsidRPr="00437348">
        <w:rPr>
          <w:color w:val="000000" w:themeColor="text1"/>
          <w:sz w:val="24"/>
          <w:szCs w:val="24"/>
          <w:lang w:val="en-US"/>
        </w:rPr>
        <w:t xml:space="preserve">rials interaction were non-significant, </w:t>
      </w:r>
      <w:r w:rsidR="00995207" w:rsidRPr="00437348">
        <w:rPr>
          <w:color w:val="000000" w:themeColor="text1"/>
          <w:sz w:val="24"/>
          <w:szCs w:val="24"/>
          <w:lang w:val="en-US"/>
        </w:rPr>
        <w:t xml:space="preserve">maximum </w:t>
      </w:r>
      <w:r w:rsidR="00995207" w:rsidRPr="009D1533">
        <w:rPr>
          <w:i/>
          <w:color w:val="000000" w:themeColor="text1"/>
          <w:sz w:val="24"/>
          <w:szCs w:val="24"/>
          <w:lang w:val="en-US"/>
        </w:rPr>
        <w:t>F</w:t>
      </w:r>
      <w:r w:rsidR="00995207" w:rsidRPr="009D1533">
        <w:rPr>
          <w:color w:val="000000" w:themeColor="text1"/>
          <w:sz w:val="24"/>
          <w:szCs w:val="24"/>
          <w:lang w:val="en-US"/>
        </w:rPr>
        <w:t>(1,13)=3.18.</w:t>
      </w:r>
    </w:p>
    <w:p w14:paraId="4D826E3D" w14:textId="0C9FDA79" w:rsidR="00D579FB" w:rsidRPr="00437348" w:rsidRDefault="00D579FB" w:rsidP="00D579FB">
      <w:pPr>
        <w:adjustRightInd w:val="0"/>
        <w:spacing w:line="480" w:lineRule="auto"/>
        <w:ind w:firstLine="567"/>
        <w:rPr>
          <w:i/>
          <w:color w:val="000000" w:themeColor="text1"/>
          <w:sz w:val="24"/>
          <w:szCs w:val="24"/>
          <w:lang w:val="en-US" w:eastAsia="en-GB"/>
        </w:rPr>
      </w:pPr>
      <w:r w:rsidRPr="00437348">
        <w:rPr>
          <w:color w:val="000000" w:themeColor="text1"/>
          <w:sz w:val="24"/>
          <w:szCs w:val="24"/>
          <w:lang w:val="en-US"/>
        </w:rPr>
        <w:t xml:space="preserve">The same analyses were carried out on the Pre-CS scores during the conditioning phase of the experiment. </w:t>
      </w:r>
      <w:r w:rsidR="002141DE" w:rsidRPr="00437348">
        <w:rPr>
          <w:color w:val="000000" w:themeColor="text1"/>
          <w:sz w:val="24"/>
          <w:szCs w:val="24"/>
          <w:lang w:val="en-US"/>
        </w:rPr>
        <w:t>The overall mean Pre-CS scores for the four blo</w:t>
      </w:r>
      <w:r w:rsidR="00DF2999">
        <w:rPr>
          <w:color w:val="000000" w:themeColor="text1"/>
          <w:sz w:val="24"/>
          <w:szCs w:val="24"/>
          <w:lang w:val="en-US"/>
        </w:rPr>
        <w:t>cks of conditioning trials were</w:t>
      </w:r>
      <w:r w:rsidR="002141DE" w:rsidRPr="00437348">
        <w:rPr>
          <w:color w:val="000000" w:themeColor="text1"/>
          <w:sz w:val="24"/>
          <w:szCs w:val="24"/>
          <w:lang w:val="en-US"/>
        </w:rPr>
        <w:t xml:space="preserve"> 1.99 (</w:t>
      </w:r>
      <w:r w:rsidR="002141DE" w:rsidRPr="00437348">
        <w:rPr>
          <w:i/>
          <w:color w:val="000000" w:themeColor="text1"/>
          <w:sz w:val="24"/>
          <w:szCs w:val="24"/>
          <w:lang w:val="en-US"/>
        </w:rPr>
        <w:t xml:space="preserve">Standard Error Mean, SEM </w:t>
      </w:r>
      <w:r w:rsidR="00DF2999">
        <w:rPr>
          <w:color w:val="000000" w:themeColor="text1"/>
          <w:sz w:val="24"/>
          <w:szCs w:val="24"/>
          <w:lang w:val="en-US"/>
        </w:rPr>
        <w:t>±.37) for group Intermixed</w:t>
      </w:r>
      <w:r w:rsidR="002141DE" w:rsidRPr="00437348">
        <w:rPr>
          <w:color w:val="000000" w:themeColor="text1"/>
          <w:sz w:val="24"/>
          <w:szCs w:val="24"/>
          <w:lang w:val="en-US"/>
        </w:rPr>
        <w:t xml:space="preserve"> and 1.84 (±.39) for group Blocked.</w:t>
      </w:r>
      <w:r w:rsidR="002141DE">
        <w:rPr>
          <w:color w:val="000000" w:themeColor="text1"/>
          <w:sz w:val="24"/>
          <w:szCs w:val="24"/>
          <w:lang w:val="en-US"/>
        </w:rPr>
        <w:t xml:space="preserve"> </w:t>
      </w:r>
      <w:r w:rsidRPr="00437348">
        <w:rPr>
          <w:color w:val="000000" w:themeColor="text1"/>
          <w:sz w:val="24"/>
          <w:szCs w:val="24"/>
          <w:lang w:val="en-US"/>
        </w:rPr>
        <w:t xml:space="preserve">An ANOVA with Pre-exposure (Intermixed </w:t>
      </w:r>
      <w:r w:rsidRPr="00437348">
        <w:rPr>
          <w:i/>
          <w:color w:val="000000" w:themeColor="text1"/>
          <w:sz w:val="24"/>
          <w:szCs w:val="24"/>
          <w:lang w:val="en-US"/>
        </w:rPr>
        <w:t>vs.</w:t>
      </w:r>
      <w:r w:rsidRPr="00437348">
        <w:rPr>
          <w:color w:val="000000" w:themeColor="text1"/>
          <w:sz w:val="24"/>
          <w:szCs w:val="24"/>
          <w:lang w:val="en-US"/>
        </w:rPr>
        <w:t xml:space="preserve"> Blocked) and Blocks of Trials as factors showed no significant effects, maximum </w:t>
      </w:r>
      <w:proofErr w:type="gramStart"/>
      <w:r w:rsidRPr="00437348">
        <w:rPr>
          <w:i/>
          <w:color w:val="000000" w:themeColor="text1"/>
          <w:sz w:val="24"/>
          <w:szCs w:val="24"/>
          <w:lang w:val="en-US"/>
        </w:rPr>
        <w:t>F</w:t>
      </w:r>
      <w:r w:rsidRPr="00437348">
        <w:rPr>
          <w:color w:val="000000" w:themeColor="text1"/>
          <w:sz w:val="24"/>
          <w:szCs w:val="24"/>
          <w:lang w:val="en-US"/>
        </w:rPr>
        <w:t>(</w:t>
      </w:r>
      <w:proofErr w:type="gramEnd"/>
      <w:r w:rsidRPr="00437348">
        <w:rPr>
          <w:color w:val="000000" w:themeColor="text1"/>
          <w:sz w:val="24"/>
          <w:szCs w:val="24"/>
          <w:lang w:val="en-US"/>
        </w:rPr>
        <w:t xml:space="preserve">3,39)=2.52. </w:t>
      </w:r>
    </w:p>
    <w:p w14:paraId="1FCC060F" w14:textId="77777777" w:rsidR="00D579FB" w:rsidRPr="00437348" w:rsidRDefault="00D579FB" w:rsidP="00D579FB">
      <w:pPr>
        <w:adjustRightInd w:val="0"/>
        <w:spacing w:line="480" w:lineRule="auto"/>
        <w:jc w:val="center"/>
        <w:rPr>
          <w:i/>
          <w:color w:val="000000" w:themeColor="text1"/>
          <w:sz w:val="24"/>
          <w:szCs w:val="24"/>
          <w:lang w:val="en-US" w:eastAsia="en-GB"/>
        </w:rPr>
      </w:pPr>
      <w:r w:rsidRPr="00437348">
        <w:rPr>
          <w:i/>
          <w:color w:val="000000" w:themeColor="text1"/>
          <w:sz w:val="24"/>
          <w:szCs w:val="24"/>
          <w:lang w:val="en-US" w:eastAsia="en-GB"/>
        </w:rPr>
        <w:t>Figure 1 around here</w:t>
      </w:r>
    </w:p>
    <w:p w14:paraId="71113680" w14:textId="581626D9" w:rsidR="00D579FB" w:rsidRPr="00437348" w:rsidRDefault="00D579FB" w:rsidP="00D579FB">
      <w:pPr>
        <w:adjustRightInd w:val="0"/>
        <w:spacing w:line="480" w:lineRule="auto"/>
        <w:ind w:firstLine="567"/>
        <w:rPr>
          <w:color w:val="000000" w:themeColor="text1"/>
          <w:sz w:val="24"/>
          <w:szCs w:val="24"/>
          <w:lang w:val="en-US"/>
        </w:rPr>
      </w:pPr>
      <w:r w:rsidRPr="00437348">
        <w:rPr>
          <w:color w:val="000000" w:themeColor="text1"/>
          <w:sz w:val="24"/>
          <w:szCs w:val="24"/>
          <w:lang w:val="en-US"/>
        </w:rPr>
        <w:t>Figure 2 shows the group means for the magazine approach</w:t>
      </w:r>
      <w:r w:rsidRPr="00437348">
        <w:rPr>
          <w:color w:val="000000" w:themeColor="text1"/>
          <w:lang w:val="en-US"/>
        </w:rPr>
        <w:t xml:space="preserve"> </w:t>
      </w:r>
      <w:r w:rsidRPr="00437348">
        <w:rPr>
          <w:color w:val="000000" w:themeColor="text1"/>
          <w:sz w:val="24"/>
          <w:szCs w:val="24"/>
          <w:lang w:val="en-US"/>
        </w:rPr>
        <w:t>response during the generalization test with the BX compound</w:t>
      </w:r>
      <w:r w:rsidRPr="009974A4">
        <w:rPr>
          <w:color w:val="000000" w:themeColor="text1"/>
          <w:sz w:val="24"/>
          <w:szCs w:val="24"/>
          <w:lang w:val="en-US"/>
        </w:rPr>
        <w:t>. A</w:t>
      </w:r>
      <w:r w:rsidR="009974A4">
        <w:rPr>
          <w:color w:val="000000" w:themeColor="text1"/>
          <w:sz w:val="24"/>
          <w:szCs w:val="24"/>
          <w:lang w:val="en-US"/>
        </w:rPr>
        <w:t xml:space="preserve"> one-way</w:t>
      </w:r>
      <w:r w:rsidRPr="009974A4">
        <w:rPr>
          <w:color w:val="000000" w:themeColor="text1"/>
          <w:lang w:val="en-US"/>
        </w:rPr>
        <w:t xml:space="preserve"> </w:t>
      </w:r>
      <w:r w:rsidRPr="009974A4">
        <w:rPr>
          <w:color w:val="000000" w:themeColor="text1"/>
          <w:sz w:val="24"/>
          <w:szCs w:val="24"/>
          <w:lang w:val="en-US"/>
        </w:rPr>
        <w:t>ANOVA</w:t>
      </w:r>
      <w:r w:rsidR="00F741EA" w:rsidRPr="009974A4">
        <w:rPr>
          <w:color w:val="000000" w:themeColor="text1"/>
          <w:sz w:val="24"/>
          <w:szCs w:val="24"/>
          <w:lang w:val="en-US"/>
        </w:rPr>
        <w:t xml:space="preserve"> performed </w:t>
      </w:r>
      <w:r w:rsidR="009974A4" w:rsidRPr="009974A4">
        <w:rPr>
          <w:color w:val="000000" w:themeColor="text1"/>
          <w:sz w:val="24"/>
          <w:szCs w:val="24"/>
          <w:lang w:val="en-US"/>
        </w:rPr>
        <w:t>on</w:t>
      </w:r>
      <w:r w:rsidR="00F741EA" w:rsidRPr="009974A4">
        <w:rPr>
          <w:color w:val="000000" w:themeColor="text1"/>
          <w:sz w:val="24"/>
          <w:szCs w:val="24"/>
          <w:lang w:val="en-US"/>
        </w:rPr>
        <w:t xml:space="preserve"> the test data</w:t>
      </w:r>
      <w:r w:rsidRPr="00437348">
        <w:rPr>
          <w:color w:val="000000" w:themeColor="text1"/>
          <w:sz w:val="24"/>
          <w:szCs w:val="24"/>
          <w:lang w:val="en-US"/>
        </w:rPr>
        <w:t xml:space="preserve"> showed a significant </w:t>
      </w:r>
      <w:r w:rsidR="009974A4">
        <w:rPr>
          <w:color w:val="000000" w:themeColor="text1"/>
          <w:sz w:val="24"/>
          <w:szCs w:val="24"/>
          <w:lang w:val="en-US"/>
        </w:rPr>
        <w:t>difference between the groups Intermixed and Blocked</w:t>
      </w:r>
      <w:r w:rsidRPr="00437348">
        <w:rPr>
          <w:color w:val="000000" w:themeColor="text1"/>
          <w:sz w:val="24"/>
          <w:szCs w:val="24"/>
          <w:lang w:val="en-US"/>
        </w:rPr>
        <w:t xml:space="preserve">, </w:t>
      </w:r>
      <w:proofErr w:type="gramStart"/>
      <w:r w:rsidRPr="00437348">
        <w:rPr>
          <w:i/>
          <w:color w:val="000000" w:themeColor="text1"/>
          <w:sz w:val="24"/>
          <w:szCs w:val="24"/>
          <w:lang w:val="en-US"/>
        </w:rPr>
        <w:t>F</w:t>
      </w:r>
      <w:r w:rsidRPr="00437348">
        <w:rPr>
          <w:color w:val="000000" w:themeColor="text1"/>
          <w:sz w:val="24"/>
          <w:szCs w:val="24"/>
          <w:lang w:val="en-US"/>
        </w:rPr>
        <w:t>(</w:t>
      </w:r>
      <w:proofErr w:type="gramEnd"/>
      <w:r w:rsidRPr="00437348">
        <w:rPr>
          <w:color w:val="000000" w:themeColor="text1"/>
          <w:sz w:val="24"/>
          <w:szCs w:val="24"/>
          <w:lang w:val="en-US"/>
        </w:rPr>
        <w:t>1,</w:t>
      </w:r>
      <w:r w:rsidR="009974A4">
        <w:rPr>
          <w:color w:val="000000" w:themeColor="text1"/>
          <w:sz w:val="24"/>
          <w:szCs w:val="24"/>
          <w:lang w:val="en-US"/>
        </w:rPr>
        <w:t>13)=</w:t>
      </w:r>
      <w:r w:rsidRPr="00437348">
        <w:rPr>
          <w:color w:val="000000" w:themeColor="text1"/>
          <w:sz w:val="24"/>
          <w:szCs w:val="24"/>
          <w:lang w:val="en-US"/>
        </w:rPr>
        <w:t xml:space="preserve">5.27, </w:t>
      </w:r>
      <w:r w:rsidRPr="00437348">
        <w:rPr>
          <w:i/>
          <w:iCs/>
          <w:color w:val="000000" w:themeColor="text1"/>
          <w:sz w:val="24"/>
          <w:szCs w:val="24"/>
          <w:shd w:val="clear" w:color="auto" w:fill="FFFFFF"/>
          <w:lang w:val="en-GB"/>
        </w:rPr>
        <w:t>MSE</w:t>
      </w:r>
      <w:r w:rsidR="00DF2999">
        <w:rPr>
          <w:color w:val="000000" w:themeColor="text1"/>
          <w:sz w:val="24"/>
          <w:szCs w:val="24"/>
          <w:shd w:val="clear" w:color="auto" w:fill="FFFFFF"/>
          <w:lang w:val="en-GB"/>
        </w:rPr>
        <w:t>=</w:t>
      </w:r>
      <w:r w:rsidR="00F741EA">
        <w:rPr>
          <w:color w:val="000000" w:themeColor="text1"/>
          <w:sz w:val="24"/>
          <w:szCs w:val="24"/>
          <w:shd w:val="clear" w:color="auto" w:fill="FFFFFF"/>
          <w:lang w:val="en-GB"/>
        </w:rPr>
        <w:t>33.88</w:t>
      </w:r>
      <w:r w:rsidRPr="00437348">
        <w:rPr>
          <w:color w:val="000000" w:themeColor="text1"/>
          <w:sz w:val="24"/>
          <w:szCs w:val="24"/>
          <w:shd w:val="clear" w:color="auto" w:fill="FFFFFF"/>
          <w:lang w:val="en-GB"/>
        </w:rPr>
        <w:t>,</w:t>
      </w:r>
      <w:r w:rsidRPr="00437348">
        <w:rPr>
          <w:color w:val="000000" w:themeColor="text1"/>
          <w:sz w:val="24"/>
          <w:szCs w:val="24"/>
          <w:lang w:val="en-US" w:eastAsia="en-GB"/>
        </w:rPr>
        <w:t xml:space="preserve"> </w:t>
      </w:r>
      <w:r w:rsidRPr="00437348">
        <w:rPr>
          <w:i/>
          <w:color w:val="000000" w:themeColor="text1"/>
          <w:sz w:val="24"/>
          <w:szCs w:val="24"/>
          <w:lang w:val="en-US" w:eastAsia="en-GB"/>
        </w:rPr>
        <w:t>p</w:t>
      </w:r>
      <w:r w:rsidRPr="00437348">
        <w:rPr>
          <w:color w:val="000000" w:themeColor="text1"/>
          <w:sz w:val="24"/>
          <w:szCs w:val="24"/>
          <w:lang w:val="en-US" w:eastAsia="en-GB"/>
        </w:rPr>
        <w:t>=.</w:t>
      </w:r>
      <w:r w:rsidRPr="00437348">
        <w:rPr>
          <w:color w:val="000000" w:themeColor="text1"/>
          <w:sz w:val="24"/>
          <w:szCs w:val="24"/>
          <w:lang w:val="en-US"/>
        </w:rPr>
        <w:t xml:space="preserve">04, </w:t>
      </w:r>
      <w:r w:rsidRPr="00437348">
        <w:rPr>
          <w:i/>
          <w:color w:val="000000" w:themeColor="text1"/>
          <w:sz w:val="24"/>
          <w:szCs w:val="24"/>
          <w:lang w:val="en-US"/>
        </w:rPr>
        <w:t>η</w:t>
      </w:r>
      <w:r w:rsidRPr="00437348">
        <w:rPr>
          <w:i/>
          <w:color w:val="000000" w:themeColor="text1"/>
          <w:sz w:val="24"/>
          <w:szCs w:val="24"/>
          <w:vertAlign w:val="subscript"/>
          <w:lang w:val="en-US"/>
        </w:rPr>
        <w:t>p</w:t>
      </w:r>
      <w:r w:rsidRPr="00437348">
        <w:rPr>
          <w:i/>
          <w:color w:val="000000" w:themeColor="text1"/>
          <w:sz w:val="24"/>
          <w:szCs w:val="24"/>
          <w:vertAlign w:val="superscript"/>
          <w:lang w:val="en-US"/>
        </w:rPr>
        <w:t>2</w:t>
      </w:r>
      <w:r w:rsidRPr="00437348">
        <w:rPr>
          <w:color w:val="000000" w:themeColor="text1"/>
          <w:sz w:val="24"/>
          <w:szCs w:val="24"/>
          <w:lang w:val="en-US"/>
        </w:rPr>
        <w:t xml:space="preserve">=.29, 95% CI [.00,.56]. </w:t>
      </w:r>
    </w:p>
    <w:p w14:paraId="3C64D086" w14:textId="4181DF81" w:rsidR="005941BD" w:rsidRPr="005941BD" w:rsidRDefault="00DF2999" w:rsidP="005941BD">
      <w:pPr>
        <w:adjustRightInd w:val="0"/>
        <w:spacing w:line="480" w:lineRule="auto"/>
        <w:ind w:firstLine="567"/>
        <w:rPr>
          <w:color w:val="000000" w:themeColor="text1"/>
          <w:sz w:val="24"/>
          <w:szCs w:val="24"/>
          <w:lang w:val="en-US"/>
        </w:rPr>
      </w:pPr>
      <w:r>
        <w:rPr>
          <w:color w:val="000000" w:themeColor="text1"/>
          <w:sz w:val="24"/>
          <w:szCs w:val="24"/>
          <w:lang w:val="en-US"/>
        </w:rPr>
        <w:t>The same analyse</w:t>
      </w:r>
      <w:r w:rsidR="00877DF2" w:rsidRPr="009974A4">
        <w:rPr>
          <w:color w:val="000000" w:themeColor="text1"/>
          <w:sz w:val="24"/>
          <w:szCs w:val="24"/>
          <w:lang w:val="en-US"/>
        </w:rPr>
        <w:t xml:space="preserve">s </w:t>
      </w:r>
      <w:r w:rsidR="005941BD" w:rsidRPr="009974A4">
        <w:rPr>
          <w:color w:val="000000" w:themeColor="text1"/>
          <w:sz w:val="24"/>
          <w:szCs w:val="24"/>
          <w:lang w:val="en-US"/>
        </w:rPr>
        <w:t>were carried out on the Pre-C</w:t>
      </w:r>
      <w:r w:rsidR="002141DE">
        <w:rPr>
          <w:color w:val="000000" w:themeColor="text1"/>
          <w:sz w:val="24"/>
          <w:szCs w:val="24"/>
          <w:lang w:val="en-US"/>
        </w:rPr>
        <w:t xml:space="preserve">S scores during the test phase. </w:t>
      </w:r>
      <w:r w:rsidR="002141DE" w:rsidRPr="005941BD">
        <w:rPr>
          <w:color w:val="000000" w:themeColor="text1"/>
          <w:sz w:val="24"/>
          <w:szCs w:val="24"/>
          <w:lang w:val="en-US"/>
        </w:rPr>
        <w:t>The overall mean Pre-CS scores for the</w:t>
      </w:r>
      <w:r>
        <w:rPr>
          <w:color w:val="000000" w:themeColor="text1"/>
          <w:sz w:val="24"/>
          <w:szCs w:val="24"/>
          <w:lang w:val="en-US"/>
        </w:rPr>
        <w:t xml:space="preserve"> two blocks of test trials were</w:t>
      </w:r>
      <w:r w:rsidR="002141DE" w:rsidRPr="005941BD">
        <w:rPr>
          <w:color w:val="000000" w:themeColor="text1"/>
          <w:sz w:val="24"/>
          <w:szCs w:val="24"/>
          <w:lang w:val="en-US"/>
        </w:rPr>
        <w:t xml:space="preserve"> 1.64 (</w:t>
      </w:r>
      <w:r w:rsidR="002141DE" w:rsidRPr="005941BD">
        <w:rPr>
          <w:i/>
          <w:color w:val="000000" w:themeColor="text1"/>
          <w:sz w:val="24"/>
          <w:szCs w:val="24"/>
          <w:lang w:val="en-US"/>
        </w:rPr>
        <w:t>SEM</w:t>
      </w:r>
      <w:r>
        <w:rPr>
          <w:color w:val="000000" w:themeColor="text1"/>
          <w:sz w:val="24"/>
          <w:szCs w:val="24"/>
          <w:lang w:val="en-US"/>
        </w:rPr>
        <w:t xml:space="preserve"> ±.45) for group Intermixed</w:t>
      </w:r>
      <w:r w:rsidR="002141DE" w:rsidRPr="005941BD">
        <w:rPr>
          <w:color w:val="000000" w:themeColor="text1"/>
          <w:sz w:val="24"/>
          <w:szCs w:val="24"/>
          <w:lang w:val="en-US"/>
        </w:rPr>
        <w:t xml:space="preserve"> and .92 (±.49) for group Blocked. </w:t>
      </w:r>
      <w:r w:rsidR="005941BD" w:rsidRPr="009974A4">
        <w:rPr>
          <w:color w:val="000000" w:themeColor="text1"/>
          <w:sz w:val="24"/>
          <w:szCs w:val="24"/>
          <w:lang w:val="en-US"/>
        </w:rPr>
        <w:t>A</w:t>
      </w:r>
      <w:r w:rsidR="009974A4">
        <w:rPr>
          <w:color w:val="000000" w:themeColor="text1"/>
          <w:sz w:val="24"/>
          <w:szCs w:val="24"/>
          <w:lang w:val="en-US"/>
        </w:rPr>
        <w:t xml:space="preserve"> one-way</w:t>
      </w:r>
      <w:r w:rsidR="005941BD" w:rsidRPr="009974A4">
        <w:rPr>
          <w:color w:val="000000" w:themeColor="text1"/>
          <w:sz w:val="24"/>
          <w:szCs w:val="24"/>
          <w:lang w:val="en-US"/>
        </w:rPr>
        <w:t xml:space="preserve"> ANOVA </w:t>
      </w:r>
      <w:r w:rsidR="009974A4">
        <w:rPr>
          <w:color w:val="000000" w:themeColor="text1"/>
          <w:sz w:val="24"/>
          <w:szCs w:val="24"/>
          <w:lang w:val="en-US"/>
        </w:rPr>
        <w:t>revealed no differences between the two groups</w:t>
      </w:r>
      <w:r w:rsidR="00877DF2" w:rsidRPr="009974A4">
        <w:rPr>
          <w:color w:val="000000" w:themeColor="text1"/>
          <w:sz w:val="24"/>
          <w:szCs w:val="24"/>
          <w:lang w:val="en-US"/>
        </w:rPr>
        <w:t>,</w:t>
      </w:r>
      <w:r w:rsidR="00877DF2">
        <w:rPr>
          <w:color w:val="000000" w:themeColor="text1"/>
          <w:sz w:val="24"/>
          <w:szCs w:val="24"/>
          <w:lang w:val="en-US"/>
        </w:rPr>
        <w:t xml:space="preserve"> </w:t>
      </w:r>
      <w:proofErr w:type="gramStart"/>
      <w:r w:rsidR="005941BD" w:rsidRPr="005941BD">
        <w:rPr>
          <w:i/>
          <w:color w:val="000000" w:themeColor="text1"/>
          <w:sz w:val="24"/>
          <w:szCs w:val="24"/>
          <w:lang w:val="en-US"/>
        </w:rPr>
        <w:t>F</w:t>
      </w:r>
      <w:r w:rsidR="005941BD" w:rsidRPr="005941BD">
        <w:rPr>
          <w:color w:val="000000" w:themeColor="text1"/>
          <w:sz w:val="24"/>
          <w:szCs w:val="24"/>
          <w:lang w:val="en-US"/>
        </w:rPr>
        <w:t>(</w:t>
      </w:r>
      <w:proofErr w:type="gramEnd"/>
      <w:r w:rsidR="005941BD" w:rsidRPr="005941BD">
        <w:rPr>
          <w:color w:val="000000" w:themeColor="text1"/>
          <w:sz w:val="24"/>
          <w:szCs w:val="24"/>
          <w:lang w:val="en-US"/>
        </w:rPr>
        <w:t xml:space="preserve">1,13)=1.14. </w:t>
      </w:r>
    </w:p>
    <w:p w14:paraId="02A0809F" w14:textId="77777777" w:rsidR="00D579FB" w:rsidRPr="005941BD" w:rsidRDefault="00D579FB" w:rsidP="00D579FB">
      <w:pPr>
        <w:adjustRightInd w:val="0"/>
        <w:spacing w:line="480" w:lineRule="auto"/>
        <w:jc w:val="center"/>
        <w:rPr>
          <w:i/>
          <w:color w:val="000000" w:themeColor="text1"/>
          <w:sz w:val="24"/>
          <w:szCs w:val="24"/>
          <w:lang w:val="en-US" w:eastAsia="en-GB"/>
        </w:rPr>
      </w:pPr>
      <w:r w:rsidRPr="005941BD">
        <w:rPr>
          <w:i/>
          <w:color w:val="000000" w:themeColor="text1"/>
          <w:sz w:val="24"/>
          <w:szCs w:val="24"/>
          <w:lang w:val="en-US" w:eastAsia="en-GB"/>
        </w:rPr>
        <w:t>Figure 2 around here</w:t>
      </w:r>
    </w:p>
    <w:p w14:paraId="6273025E" w14:textId="0D0CF669" w:rsidR="0063099E" w:rsidRDefault="00C3502C" w:rsidP="00D579FB">
      <w:pPr>
        <w:adjustRightInd w:val="0"/>
        <w:spacing w:line="480" w:lineRule="auto"/>
        <w:ind w:firstLine="567"/>
        <w:rPr>
          <w:color w:val="000000" w:themeColor="text1"/>
          <w:sz w:val="24"/>
          <w:szCs w:val="24"/>
          <w:lang w:val="en-US"/>
        </w:rPr>
      </w:pPr>
      <w:r>
        <w:rPr>
          <w:color w:val="000000" w:themeColor="text1"/>
          <w:sz w:val="24"/>
          <w:szCs w:val="24"/>
          <w:lang w:val="en-US"/>
        </w:rPr>
        <w:lastRenderedPageBreak/>
        <w:t xml:space="preserve">The AX acquisition results displayed </w:t>
      </w:r>
      <w:r w:rsidR="007E21ED">
        <w:rPr>
          <w:color w:val="000000" w:themeColor="text1"/>
          <w:sz w:val="24"/>
          <w:szCs w:val="24"/>
          <w:lang w:val="en-US"/>
        </w:rPr>
        <w:t>in Figure 1 suggest a</w:t>
      </w:r>
      <w:r>
        <w:rPr>
          <w:color w:val="000000" w:themeColor="text1"/>
          <w:sz w:val="24"/>
          <w:szCs w:val="24"/>
          <w:lang w:val="en-US"/>
        </w:rPr>
        <w:t xml:space="preserve"> tendency of animals in group Blocked to respond at a higher level than those in group Intermixed. </w:t>
      </w:r>
      <w:r w:rsidR="007E21ED">
        <w:rPr>
          <w:color w:val="000000" w:themeColor="text1"/>
          <w:sz w:val="24"/>
          <w:szCs w:val="24"/>
          <w:lang w:val="en-US"/>
        </w:rPr>
        <w:t xml:space="preserve">Although the difference is non-significant, it might cast doubt about the key results reported in Figure 2, where animals in the Blocked condition also show higher levels of responding (this time the differences were statistically significant). </w:t>
      </w:r>
      <w:r w:rsidR="002141DE">
        <w:rPr>
          <w:color w:val="000000" w:themeColor="text1"/>
          <w:sz w:val="24"/>
          <w:szCs w:val="24"/>
          <w:lang w:val="en-US"/>
        </w:rPr>
        <w:t xml:space="preserve">However, it is worth noting that animals in the group Intermixed showed higher levels of Pre-CS responding than the blocked group </w:t>
      </w:r>
      <w:r w:rsidR="00DE2905">
        <w:rPr>
          <w:color w:val="000000" w:themeColor="text1"/>
          <w:sz w:val="24"/>
          <w:szCs w:val="24"/>
          <w:lang w:val="en-US"/>
        </w:rPr>
        <w:t xml:space="preserve">during the test </w:t>
      </w:r>
      <w:r w:rsidR="002141DE">
        <w:rPr>
          <w:color w:val="000000" w:themeColor="text1"/>
          <w:sz w:val="24"/>
          <w:szCs w:val="24"/>
          <w:lang w:val="en-US"/>
        </w:rPr>
        <w:t xml:space="preserve">(although, again, these differences were non-significant). </w:t>
      </w:r>
      <w:r w:rsidR="007E21ED">
        <w:rPr>
          <w:color w:val="000000" w:themeColor="text1"/>
          <w:sz w:val="24"/>
          <w:szCs w:val="24"/>
          <w:lang w:val="en-US"/>
        </w:rPr>
        <w:t xml:space="preserve">To </w:t>
      </w:r>
      <w:r w:rsidR="002141DE">
        <w:rPr>
          <w:color w:val="000000" w:themeColor="text1"/>
          <w:sz w:val="24"/>
          <w:szCs w:val="24"/>
          <w:lang w:val="en-US"/>
        </w:rPr>
        <w:t xml:space="preserve">further </w:t>
      </w:r>
      <w:r w:rsidR="007E21ED">
        <w:rPr>
          <w:color w:val="000000" w:themeColor="text1"/>
          <w:sz w:val="24"/>
          <w:szCs w:val="24"/>
          <w:lang w:val="en-US"/>
        </w:rPr>
        <w:t xml:space="preserve">address this issue we compared the performance of the animals in the last </w:t>
      </w:r>
      <w:r w:rsidR="009974A4">
        <w:rPr>
          <w:color w:val="000000" w:themeColor="text1"/>
          <w:sz w:val="24"/>
          <w:szCs w:val="24"/>
          <w:lang w:val="en-US"/>
        </w:rPr>
        <w:t>block</w:t>
      </w:r>
      <w:r w:rsidR="007E21ED">
        <w:rPr>
          <w:color w:val="000000" w:themeColor="text1"/>
          <w:sz w:val="24"/>
          <w:szCs w:val="24"/>
          <w:lang w:val="en-US"/>
        </w:rPr>
        <w:t xml:space="preserve"> of training </w:t>
      </w:r>
      <w:r w:rsidR="009974A4">
        <w:rPr>
          <w:color w:val="000000" w:themeColor="text1"/>
          <w:sz w:val="24"/>
          <w:szCs w:val="24"/>
          <w:lang w:val="en-US"/>
        </w:rPr>
        <w:t xml:space="preserve">trials </w:t>
      </w:r>
      <w:r w:rsidR="007E21ED">
        <w:rPr>
          <w:color w:val="000000" w:themeColor="text1"/>
          <w:sz w:val="24"/>
          <w:szCs w:val="24"/>
          <w:lang w:val="en-US"/>
        </w:rPr>
        <w:t xml:space="preserve">with the AX compound and the </w:t>
      </w:r>
      <w:r w:rsidR="009974A4">
        <w:rPr>
          <w:color w:val="000000" w:themeColor="text1"/>
          <w:sz w:val="24"/>
          <w:szCs w:val="24"/>
          <w:lang w:val="en-US"/>
        </w:rPr>
        <w:t xml:space="preserve">block of </w:t>
      </w:r>
      <w:r w:rsidR="007E21ED">
        <w:rPr>
          <w:color w:val="000000" w:themeColor="text1"/>
          <w:sz w:val="24"/>
          <w:szCs w:val="24"/>
          <w:lang w:val="en-US"/>
        </w:rPr>
        <w:t>test trial</w:t>
      </w:r>
      <w:r w:rsidR="009974A4">
        <w:rPr>
          <w:color w:val="000000" w:themeColor="text1"/>
          <w:sz w:val="24"/>
          <w:szCs w:val="24"/>
          <w:lang w:val="en-US"/>
        </w:rPr>
        <w:t>s</w:t>
      </w:r>
      <w:r w:rsidR="007E21ED">
        <w:rPr>
          <w:color w:val="000000" w:themeColor="text1"/>
          <w:sz w:val="24"/>
          <w:szCs w:val="24"/>
          <w:lang w:val="en-US"/>
        </w:rPr>
        <w:t xml:space="preserve"> with BX. </w:t>
      </w:r>
      <w:r w:rsidR="007E21ED" w:rsidRPr="007E21ED">
        <w:rPr>
          <w:color w:val="000000" w:themeColor="text1"/>
          <w:sz w:val="24"/>
          <w:szCs w:val="24"/>
          <w:lang w:val="en-US"/>
        </w:rPr>
        <w:t>The mean response level</w:t>
      </w:r>
      <w:r w:rsidR="007E21ED">
        <w:rPr>
          <w:color w:val="000000" w:themeColor="text1"/>
          <w:sz w:val="24"/>
          <w:szCs w:val="24"/>
          <w:lang w:val="en-US"/>
        </w:rPr>
        <w:t>s</w:t>
      </w:r>
      <w:r w:rsidR="007E21ED" w:rsidRPr="007E21ED">
        <w:rPr>
          <w:color w:val="000000" w:themeColor="text1"/>
          <w:sz w:val="24"/>
          <w:szCs w:val="24"/>
          <w:lang w:val="en-US"/>
        </w:rPr>
        <w:t xml:space="preserve"> in group Intermixed were 4.09 (</w:t>
      </w:r>
      <w:r w:rsidR="007E21ED" w:rsidRPr="007E21ED">
        <w:rPr>
          <w:i/>
          <w:color w:val="000000" w:themeColor="text1"/>
          <w:sz w:val="24"/>
          <w:szCs w:val="24"/>
          <w:lang w:val="en-US"/>
        </w:rPr>
        <w:t>SEM</w:t>
      </w:r>
      <w:r w:rsidR="007E21ED" w:rsidRPr="007E21ED">
        <w:rPr>
          <w:color w:val="000000" w:themeColor="text1"/>
          <w:sz w:val="24"/>
          <w:szCs w:val="24"/>
          <w:lang w:val="en-US"/>
        </w:rPr>
        <w:t xml:space="preserve"> ±.79) for AX and 1.67 (±.69) for BX; and in group Bloc</w:t>
      </w:r>
      <w:r w:rsidR="007E21ED" w:rsidRPr="009D1533">
        <w:rPr>
          <w:color w:val="000000" w:themeColor="text1"/>
          <w:sz w:val="24"/>
          <w:szCs w:val="24"/>
          <w:lang w:val="en-US"/>
        </w:rPr>
        <w:t xml:space="preserve">ked </w:t>
      </w:r>
      <w:r w:rsidR="00995207" w:rsidRPr="009D1533">
        <w:rPr>
          <w:color w:val="000000" w:themeColor="text1"/>
          <w:sz w:val="24"/>
          <w:szCs w:val="24"/>
          <w:lang w:val="en-US"/>
        </w:rPr>
        <w:t>5</w:t>
      </w:r>
      <w:r w:rsidR="007E21ED" w:rsidRPr="009D1533">
        <w:rPr>
          <w:color w:val="000000" w:themeColor="text1"/>
          <w:sz w:val="24"/>
          <w:szCs w:val="24"/>
          <w:lang w:val="en-US"/>
        </w:rPr>
        <w:t>.</w:t>
      </w:r>
      <w:r w:rsidR="00995207" w:rsidRPr="009D1533">
        <w:rPr>
          <w:color w:val="000000" w:themeColor="text1"/>
          <w:sz w:val="24"/>
          <w:szCs w:val="24"/>
          <w:lang w:val="en-US"/>
        </w:rPr>
        <w:t>83</w:t>
      </w:r>
      <w:r w:rsidR="007E21ED" w:rsidRPr="009D1533">
        <w:rPr>
          <w:color w:val="000000" w:themeColor="text1"/>
          <w:sz w:val="24"/>
          <w:szCs w:val="24"/>
          <w:lang w:val="en-US"/>
        </w:rPr>
        <w:t xml:space="preserve"> (±1.</w:t>
      </w:r>
      <w:r w:rsidR="00995207" w:rsidRPr="009D1533">
        <w:rPr>
          <w:color w:val="000000" w:themeColor="text1"/>
          <w:sz w:val="24"/>
          <w:szCs w:val="24"/>
          <w:lang w:val="en-US"/>
        </w:rPr>
        <w:t>49</w:t>
      </w:r>
      <w:r w:rsidR="007E21ED" w:rsidRPr="009D1533">
        <w:rPr>
          <w:color w:val="000000" w:themeColor="text1"/>
          <w:sz w:val="24"/>
          <w:szCs w:val="24"/>
          <w:lang w:val="en-US"/>
        </w:rPr>
        <w:t>)</w:t>
      </w:r>
      <w:r w:rsidR="007E21ED" w:rsidRPr="007E21ED">
        <w:rPr>
          <w:color w:val="000000" w:themeColor="text1"/>
          <w:sz w:val="24"/>
          <w:szCs w:val="24"/>
          <w:lang w:val="en-US"/>
        </w:rPr>
        <w:t xml:space="preserve"> for AX and 4.68 (±1.16) for BX</w:t>
      </w:r>
      <w:r w:rsidR="007E21ED">
        <w:rPr>
          <w:color w:val="000000" w:themeColor="text1"/>
          <w:sz w:val="24"/>
          <w:szCs w:val="24"/>
          <w:lang w:val="en-US"/>
        </w:rPr>
        <w:t xml:space="preserve">. Paired samples t-tests confirmed a significant drop in responding to BX as compared to AX in the group Intermixed, </w:t>
      </w:r>
      <w:proofErr w:type="gramStart"/>
      <w:r w:rsidR="007E21ED" w:rsidRPr="007E21ED">
        <w:rPr>
          <w:i/>
          <w:color w:val="000000" w:themeColor="text1"/>
          <w:sz w:val="24"/>
          <w:szCs w:val="24"/>
          <w:lang w:val="en-US"/>
        </w:rPr>
        <w:t>t</w:t>
      </w:r>
      <w:r w:rsidR="007E21ED">
        <w:rPr>
          <w:color w:val="000000" w:themeColor="text1"/>
          <w:sz w:val="24"/>
          <w:szCs w:val="24"/>
          <w:lang w:val="en-US"/>
        </w:rPr>
        <w:t>(</w:t>
      </w:r>
      <w:proofErr w:type="gramEnd"/>
      <w:r w:rsidR="007E21ED">
        <w:rPr>
          <w:color w:val="000000" w:themeColor="text1"/>
          <w:sz w:val="24"/>
          <w:szCs w:val="24"/>
          <w:lang w:val="en-US"/>
        </w:rPr>
        <w:t xml:space="preserve">7)=2.43, p&lt;0.05, but not in the group </w:t>
      </w:r>
      <w:r w:rsidR="007E21ED" w:rsidRPr="009D1533">
        <w:rPr>
          <w:color w:val="000000" w:themeColor="text1"/>
          <w:sz w:val="24"/>
          <w:szCs w:val="24"/>
          <w:lang w:val="en-US"/>
        </w:rPr>
        <w:t xml:space="preserve">Blocked, </w:t>
      </w:r>
      <w:r w:rsidR="007E21ED" w:rsidRPr="009D1533">
        <w:rPr>
          <w:i/>
          <w:color w:val="000000" w:themeColor="text1"/>
          <w:sz w:val="24"/>
          <w:szCs w:val="24"/>
          <w:lang w:val="en-US"/>
        </w:rPr>
        <w:t>t</w:t>
      </w:r>
      <w:r w:rsidR="00995207" w:rsidRPr="009D1533">
        <w:rPr>
          <w:color w:val="000000" w:themeColor="text1"/>
          <w:sz w:val="24"/>
          <w:szCs w:val="24"/>
          <w:lang w:val="en-US"/>
        </w:rPr>
        <w:t>(6)=.617</w:t>
      </w:r>
      <w:r w:rsidR="007E21ED" w:rsidRPr="009D1533">
        <w:rPr>
          <w:color w:val="000000" w:themeColor="text1"/>
          <w:sz w:val="24"/>
          <w:szCs w:val="24"/>
          <w:lang w:val="en-US"/>
        </w:rPr>
        <w:t>.</w:t>
      </w:r>
      <w:r w:rsidR="007E21ED">
        <w:rPr>
          <w:color w:val="000000" w:themeColor="text1"/>
          <w:sz w:val="24"/>
          <w:szCs w:val="24"/>
          <w:lang w:val="en-US"/>
        </w:rPr>
        <w:t xml:space="preserve"> This </w:t>
      </w:r>
      <w:r w:rsidR="0063099E">
        <w:rPr>
          <w:color w:val="000000" w:themeColor="text1"/>
          <w:sz w:val="24"/>
          <w:szCs w:val="24"/>
          <w:lang w:val="en-US"/>
        </w:rPr>
        <w:t>supports the notion</w:t>
      </w:r>
      <w:r w:rsidR="007E21ED">
        <w:rPr>
          <w:color w:val="000000" w:themeColor="text1"/>
          <w:sz w:val="24"/>
          <w:szCs w:val="24"/>
          <w:lang w:val="en-US"/>
        </w:rPr>
        <w:t xml:space="preserve"> tha</w:t>
      </w:r>
      <w:r w:rsidR="0063099E">
        <w:rPr>
          <w:color w:val="000000" w:themeColor="text1"/>
          <w:sz w:val="24"/>
          <w:szCs w:val="24"/>
          <w:lang w:val="en-US"/>
        </w:rPr>
        <w:t>t anim</w:t>
      </w:r>
      <w:r w:rsidR="007E21ED">
        <w:rPr>
          <w:color w:val="000000" w:themeColor="text1"/>
          <w:sz w:val="24"/>
          <w:szCs w:val="24"/>
          <w:lang w:val="en-US"/>
        </w:rPr>
        <w:t xml:space="preserve">als in the group Intermixed discriminate well between AX and BX </w:t>
      </w:r>
      <w:r w:rsidR="0063099E">
        <w:rPr>
          <w:color w:val="000000" w:themeColor="text1"/>
          <w:sz w:val="24"/>
          <w:szCs w:val="24"/>
          <w:lang w:val="en-US"/>
        </w:rPr>
        <w:t xml:space="preserve">(a perceptual learning effect) </w:t>
      </w:r>
      <w:r w:rsidR="007E21ED">
        <w:rPr>
          <w:color w:val="000000" w:themeColor="text1"/>
          <w:sz w:val="24"/>
          <w:szCs w:val="24"/>
          <w:lang w:val="en-US"/>
        </w:rPr>
        <w:t xml:space="preserve">whereas those in </w:t>
      </w:r>
      <w:r w:rsidR="0063099E">
        <w:rPr>
          <w:color w:val="000000" w:themeColor="text1"/>
          <w:sz w:val="24"/>
          <w:szCs w:val="24"/>
          <w:lang w:val="en-US"/>
        </w:rPr>
        <w:t xml:space="preserve">the </w:t>
      </w:r>
      <w:r w:rsidR="007E21ED">
        <w:rPr>
          <w:color w:val="000000" w:themeColor="text1"/>
          <w:sz w:val="24"/>
          <w:szCs w:val="24"/>
          <w:lang w:val="en-US"/>
        </w:rPr>
        <w:t>gr</w:t>
      </w:r>
      <w:r w:rsidR="0063099E">
        <w:rPr>
          <w:color w:val="000000" w:themeColor="text1"/>
          <w:sz w:val="24"/>
          <w:szCs w:val="24"/>
          <w:lang w:val="en-US"/>
        </w:rPr>
        <w:t>o</w:t>
      </w:r>
      <w:r w:rsidR="007E21ED">
        <w:rPr>
          <w:color w:val="000000" w:themeColor="text1"/>
          <w:sz w:val="24"/>
          <w:szCs w:val="24"/>
          <w:lang w:val="en-US"/>
        </w:rPr>
        <w:t xml:space="preserve">up Blocked tend to generalize between the two compounds. </w:t>
      </w:r>
    </w:p>
    <w:p w14:paraId="712EA93D" w14:textId="34D3A636" w:rsidR="00D579FB" w:rsidRPr="0063099E" w:rsidRDefault="00331E4F" w:rsidP="00D579FB">
      <w:pPr>
        <w:adjustRightInd w:val="0"/>
        <w:spacing w:line="480" w:lineRule="auto"/>
        <w:ind w:firstLine="567"/>
        <w:rPr>
          <w:color w:val="000000" w:themeColor="text1"/>
          <w:sz w:val="24"/>
          <w:szCs w:val="24"/>
          <w:lang w:val="en-US"/>
        </w:rPr>
      </w:pPr>
      <w:r>
        <w:rPr>
          <w:color w:val="000000" w:themeColor="text1"/>
          <w:sz w:val="24"/>
          <w:szCs w:val="24"/>
          <w:lang w:val="en-US"/>
        </w:rPr>
        <w:t>T</w:t>
      </w:r>
      <w:r w:rsidR="00D579FB" w:rsidRPr="0063099E">
        <w:rPr>
          <w:color w:val="000000" w:themeColor="text1"/>
          <w:sz w:val="24"/>
          <w:szCs w:val="24"/>
          <w:lang w:val="en-US"/>
        </w:rPr>
        <w:t xml:space="preserve">he present results </w:t>
      </w:r>
      <w:r w:rsidR="0063099E" w:rsidRPr="0063099E">
        <w:rPr>
          <w:color w:val="000000" w:themeColor="text1"/>
          <w:sz w:val="24"/>
          <w:szCs w:val="24"/>
          <w:lang w:val="en-US"/>
        </w:rPr>
        <w:t>replicate the basic intermixed/blocked effect reported by Mondragon and Murphy (2010; also Artigas &amp; Prados, 2017) using different pre-exposure parameters, with a longer pre-exposure phase (</w:t>
      </w:r>
      <w:r w:rsidR="001F7419" w:rsidRPr="004A5D1B">
        <w:rPr>
          <w:color w:val="000000" w:themeColor="text1"/>
          <w:sz w:val="24"/>
          <w:szCs w:val="24"/>
          <w:lang w:val="en-US"/>
        </w:rPr>
        <w:t>20</w:t>
      </w:r>
      <w:r w:rsidR="0063099E" w:rsidRPr="0063099E">
        <w:rPr>
          <w:color w:val="000000" w:themeColor="text1"/>
          <w:sz w:val="24"/>
          <w:szCs w:val="24"/>
          <w:lang w:val="en-US"/>
        </w:rPr>
        <w:t xml:space="preserve"> trials to each compound rather than the</w:t>
      </w:r>
      <w:r w:rsidR="002141DE">
        <w:rPr>
          <w:color w:val="000000" w:themeColor="text1"/>
          <w:sz w:val="24"/>
          <w:szCs w:val="24"/>
          <w:lang w:val="en-US"/>
        </w:rPr>
        <w:t xml:space="preserve"> </w:t>
      </w:r>
      <w:r w:rsidR="001F7419" w:rsidRPr="004A5D1B">
        <w:rPr>
          <w:color w:val="000000" w:themeColor="text1"/>
          <w:sz w:val="24"/>
          <w:szCs w:val="24"/>
          <w:lang w:val="en-US"/>
        </w:rPr>
        <w:t>10</w:t>
      </w:r>
      <w:r w:rsidR="0063099E" w:rsidRPr="0063099E">
        <w:rPr>
          <w:color w:val="000000" w:themeColor="text1"/>
          <w:sz w:val="24"/>
          <w:szCs w:val="24"/>
          <w:lang w:val="en-US"/>
        </w:rPr>
        <w:t xml:space="preserve"> trials used in the original experiments). </w:t>
      </w:r>
      <w:r w:rsidR="00D579FB" w:rsidRPr="0063099E">
        <w:rPr>
          <w:color w:val="000000" w:themeColor="text1"/>
          <w:sz w:val="24"/>
          <w:szCs w:val="24"/>
          <w:lang w:val="en-US"/>
        </w:rPr>
        <w:t xml:space="preserve">In </w:t>
      </w:r>
      <w:r w:rsidR="0063099E">
        <w:rPr>
          <w:color w:val="000000" w:themeColor="text1"/>
          <w:sz w:val="24"/>
          <w:szCs w:val="24"/>
          <w:lang w:val="en-US"/>
        </w:rPr>
        <w:t xml:space="preserve">Experiment 2 </w:t>
      </w:r>
      <w:r w:rsidR="0063099E" w:rsidRPr="0063099E">
        <w:rPr>
          <w:color w:val="000000" w:themeColor="text1"/>
          <w:sz w:val="24"/>
          <w:szCs w:val="24"/>
          <w:lang w:val="en-US"/>
        </w:rPr>
        <w:t xml:space="preserve">we </w:t>
      </w:r>
      <w:r w:rsidR="00D579FB" w:rsidRPr="0063099E">
        <w:rPr>
          <w:color w:val="000000" w:themeColor="text1"/>
          <w:sz w:val="24"/>
          <w:szCs w:val="24"/>
          <w:lang w:val="en-US"/>
        </w:rPr>
        <w:t>assess</w:t>
      </w:r>
      <w:r w:rsidR="0063099E" w:rsidRPr="0063099E">
        <w:rPr>
          <w:color w:val="000000" w:themeColor="text1"/>
          <w:sz w:val="24"/>
          <w:szCs w:val="24"/>
          <w:lang w:val="en-US"/>
        </w:rPr>
        <w:t>ed the salience of the unique and common elements (</w:t>
      </w:r>
      <w:proofErr w:type="gramStart"/>
      <w:r w:rsidR="0063099E" w:rsidRPr="0063099E">
        <w:rPr>
          <w:color w:val="000000" w:themeColor="text1"/>
          <w:sz w:val="24"/>
          <w:szCs w:val="24"/>
          <w:lang w:val="en-US"/>
        </w:rPr>
        <w:t>A and</w:t>
      </w:r>
      <w:proofErr w:type="gramEnd"/>
      <w:r w:rsidR="0063099E" w:rsidRPr="0063099E">
        <w:rPr>
          <w:color w:val="000000" w:themeColor="text1"/>
          <w:sz w:val="24"/>
          <w:szCs w:val="24"/>
          <w:lang w:val="en-US"/>
        </w:rPr>
        <w:t xml:space="preserve"> X) both under the short and long</w:t>
      </w:r>
      <w:r w:rsidR="00D579FB" w:rsidRPr="0063099E">
        <w:rPr>
          <w:color w:val="000000" w:themeColor="text1"/>
          <w:sz w:val="24"/>
          <w:szCs w:val="24"/>
          <w:lang w:val="en-US"/>
        </w:rPr>
        <w:t xml:space="preserve"> </w:t>
      </w:r>
      <w:r w:rsidR="0063099E" w:rsidRPr="0063099E">
        <w:rPr>
          <w:color w:val="000000" w:themeColor="text1"/>
          <w:sz w:val="24"/>
          <w:szCs w:val="24"/>
          <w:lang w:val="en-US"/>
        </w:rPr>
        <w:t>pre-exposure conditions.</w:t>
      </w:r>
    </w:p>
    <w:p w14:paraId="261F78E1" w14:textId="77777777" w:rsidR="00D579FB" w:rsidRPr="00331E4F" w:rsidRDefault="00D579FB" w:rsidP="00D579FB">
      <w:pPr>
        <w:tabs>
          <w:tab w:val="center" w:pos="4700"/>
          <w:tab w:val="left" w:pos="5873"/>
        </w:tabs>
        <w:spacing w:line="480" w:lineRule="auto"/>
        <w:ind w:right="-45"/>
        <w:jc w:val="center"/>
        <w:rPr>
          <w:iCs/>
          <w:color w:val="000000" w:themeColor="text1"/>
          <w:sz w:val="24"/>
          <w:szCs w:val="24"/>
          <w:lang w:val="en-US"/>
        </w:rPr>
      </w:pPr>
      <w:r w:rsidRPr="00331E4F">
        <w:rPr>
          <w:iCs/>
          <w:color w:val="000000" w:themeColor="text1"/>
          <w:sz w:val="24"/>
          <w:szCs w:val="24"/>
          <w:lang w:val="en-US"/>
        </w:rPr>
        <w:t>Experiment 2</w:t>
      </w:r>
    </w:p>
    <w:p w14:paraId="206D22FC" w14:textId="74024790" w:rsidR="00D579FB" w:rsidRPr="00331E4F" w:rsidRDefault="00D579FB" w:rsidP="00D579FB">
      <w:pPr>
        <w:tabs>
          <w:tab w:val="center" w:pos="4252"/>
          <w:tab w:val="left" w:pos="7143"/>
        </w:tabs>
        <w:adjustRightInd w:val="0"/>
        <w:spacing w:line="480" w:lineRule="auto"/>
        <w:ind w:firstLine="567"/>
        <w:rPr>
          <w:color w:val="000000" w:themeColor="text1"/>
          <w:sz w:val="24"/>
          <w:szCs w:val="24"/>
          <w:lang w:val="en-US"/>
        </w:rPr>
      </w:pPr>
      <w:r w:rsidRPr="00331E4F">
        <w:rPr>
          <w:color w:val="000000" w:themeColor="text1"/>
          <w:sz w:val="24"/>
          <w:szCs w:val="24"/>
          <w:lang w:val="en-US"/>
        </w:rPr>
        <w:t xml:space="preserve">In Experiment 2A four groups of rats received </w:t>
      </w:r>
      <w:r w:rsidR="00D55F83">
        <w:rPr>
          <w:color w:val="000000" w:themeColor="text1"/>
          <w:sz w:val="24"/>
          <w:szCs w:val="24"/>
          <w:lang w:val="en-US"/>
        </w:rPr>
        <w:t>short pre-exposure to AX and BX (1</w:t>
      </w:r>
      <w:r w:rsidRPr="00331E4F">
        <w:rPr>
          <w:color w:val="000000" w:themeColor="text1"/>
          <w:sz w:val="24"/>
          <w:szCs w:val="24"/>
          <w:lang w:val="en-US"/>
        </w:rPr>
        <w:t xml:space="preserve">0 exposure </w:t>
      </w:r>
      <w:r w:rsidR="00D55F83">
        <w:rPr>
          <w:color w:val="000000" w:themeColor="text1"/>
          <w:sz w:val="24"/>
          <w:szCs w:val="24"/>
          <w:lang w:val="en-US"/>
        </w:rPr>
        <w:t>trials to each compound over 2</w:t>
      </w:r>
      <w:r w:rsidRPr="00331E4F">
        <w:rPr>
          <w:color w:val="000000" w:themeColor="text1"/>
          <w:sz w:val="24"/>
          <w:szCs w:val="24"/>
          <w:lang w:val="en-US"/>
        </w:rPr>
        <w:t xml:space="preserve"> days</w:t>
      </w:r>
      <w:r w:rsidR="00331E4F" w:rsidRPr="00331E4F">
        <w:rPr>
          <w:color w:val="000000" w:themeColor="text1"/>
          <w:sz w:val="24"/>
          <w:szCs w:val="24"/>
          <w:lang w:val="en-US"/>
        </w:rPr>
        <w:t xml:space="preserve">, as in </w:t>
      </w:r>
      <w:r w:rsidR="00D55F83">
        <w:rPr>
          <w:color w:val="000000" w:themeColor="text1"/>
          <w:sz w:val="24"/>
          <w:szCs w:val="24"/>
          <w:lang w:val="en-US"/>
        </w:rPr>
        <w:t xml:space="preserve">the experiments reported by </w:t>
      </w:r>
      <w:r w:rsidR="00D55F83">
        <w:rPr>
          <w:color w:val="000000" w:themeColor="text1"/>
          <w:sz w:val="24"/>
          <w:szCs w:val="24"/>
          <w:lang w:val="en-US"/>
        </w:rPr>
        <w:lastRenderedPageBreak/>
        <w:t>Mondragon &amp; Murphy, 2010</w:t>
      </w:r>
      <w:r w:rsidRPr="00331E4F">
        <w:rPr>
          <w:color w:val="000000" w:themeColor="text1"/>
          <w:sz w:val="24"/>
          <w:szCs w:val="24"/>
          <w:lang w:val="en-US"/>
        </w:rPr>
        <w:t>) according to either the intermixed or the blocked procedure. Following pre-exposure, half of the animals in each pre-exposure condition were given conditioning trials with the common element, X, whereas the other half were given conditioning trials with the unique element</w:t>
      </w:r>
      <w:r w:rsidR="00331E4F" w:rsidRPr="00331E4F">
        <w:rPr>
          <w:color w:val="000000" w:themeColor="text1"/>
          <w:sz w:val="24"/>
          <w:szCs w:val="24"/>
          <w:lang w:val="en-US"/>
        </w:rPr>
        <w:t>,</w:t>
      </w:r>
      <w:r w:rsidRPr="00331E4F">
        <w:rPr>
          <w:color w:val="000000" w:themeColor="text1"/>
          <w:sz w:val="24"/>
          <w:szCs w:val="24"/>
          <w:lang w:val="en-US"/>
        </w:rPr>
        <w:t xml:space="preserve"> A. (Note that</w:t>
      </w:r>
      <w:r w:rsidR="00331E4F" w:rsidRPr="00331E4F">
        <w:rPr>
          <w:color w:val="000000" w:themeColor="text1"/>
          <w:sz w:val="24"/>
          <w:szCs w:val="24"/>
          <w:lang w:val="en-US"/>
        </w:rPr>
        <w:t>,</w:t>
      </w:r>
      <w:r w:rsidRPr="00331E4F">
        <w:rPr>
          <w:color w:val="000000" w:themeColor="text1"/>
          <w:sz w:val="24"/>
          <w:szCs w:val="24"/>
          <w:lang w:val="en-US"/>
        </w:rPr>
        <w:t xml:space="preserve"> to simplify, although A and B were always counterbalanced across the different phases of all the experiments reported here, we will refer to the unique elements as A.) Experiment 2B </w:t>
      </w:r>
      <w:r w:rsidR="00331E4F" w:rsidRPr="00331E4F">
        <w:rPr>
          <w:color w:val="000000" w:themeColor="text1"/>
          <w:sz w:val="24"/>
          <w:szCs w:val="24"/>
          <w:lang w:val="en-US"/>
        </w:rPr>
        <w:t xml:space="preserve">replicated the procedure of Experiment 2A with the exception of the pre-exposure length, </w:t>
      </w:r>
      <w:r w:rsidR="00D55F83">
        <w:rPr>
          <w:color w:val="000000" w:themeColor="text1"/>
          <w:sz w:val="24"/>
          <w:szCs w:val="24"/>
          <w:lang w:val="en-US"/>
        </w:rPr>
        <w:t>2</w:t>
      </w:r>
      <w:r w:rsidRPr="00331E4F">
        <w:rPr>
          <w:color w:val="000000" w:themeColor="text1"/>
          <w:sz w:val="24"/>
          <w:szCs w:val="24"/>
          <w:lang w:val="en-US"/>
        </w:rPr>
        <w:t>0 exposure tria</w:t>
      </w:r>
      <w:r w:rsidR="00D55F83">
        <w:rPr>
          <w:color w:val="000000" w:themeColor="text1"/>
          <w:sz w:val="24"/>
          <w:szCs w:val="24"/>
          <w:lang w:val="en-US"/>
        </w:rPr>
        <w:t>ls to each compound over 4</w:t>
      </w:r>
      <w:r w:rsidR="00331E4F" w:rsidRPr="00331E4F">
        <w:rPr>
          <w:color w:val="000000" w:themeColor="text1"/>
          <w:sz w:val="24"/>
          <w:szCs w:val="24"/>
          <w:lang w:val="en-US"/>
        </w:rPr>
        <w:t xml:space="preserve"> days as in</w:t>
      </w:r>
      <w:r w:rsidR="00D55F83">
        <w:rPr>
          <w:color w:val="000000" w:themeColor="text1"/>
          <w:sz w:val="24"/>
          <w:szCs w:val="24"/>
          <w:lang w:val="en-US"/>
        </w:rPr>
        <w:t xml:space="preserve"> Experiment 1</w:t>
      </w:r>
      <w:r w:rsidR="00331E4F" w:rsidRPr="00331E4F">
        <w:rPr>
          <w:color w:val="000000" w:themeColor="text1"/>
          <w:sz w:val="24"/>
          <w:szCs w:val="24"/>
          <w:lang w:val="en-US"/>
        </w:rPr>
        <w:t>.</w:t>
      </w:r>
    </w:p>
    <w:p w14:paraId="15E3EFD2" w14:textId="77777777" w:rsidR="00D579FB" w:rsidRDefault="00D579FB" w:rsidP="00D579FB">
      <w:pPr>
        <w:tabs>
          <w:tab w:val="center" w:pos="4275"/>
          <w:tab w:val="left" w:pos="6468"/>
          <w:tab w:val="left" w:pos="7483"/>
          <w:tab w:val="left" w:pos="9072"/>
        </w:tabs>
        <w:spacing w:line="480" w:lineRule="auto"/>
        <w:ind w:right="-45"/>
        <w:jc w:val="center"/>
        <w:rPr>
          <w:iCs/>
          <w:sz w:val="24"/>
          <w:szCs w:val="24"/>
          <w:lang w:val="en-US"/>
        </w:rPr>
      </w:pPr>
      <w:r>
        <w:rPr>
          <w:iCs/>
          <w:sz w:val="24"/>
          <w:szCs w:val="24"/>
          <w:lang w:val="en-US"/>
        </w:rPr>
        <w:t>Experiment 2A</w:t>
      </w:r>
    </w:p>
    <w:p w14:paraId="64740FB2" w14:textId="77777777" w:rsidR="00D579FB" w:rsidRDefault="00D579FB" w:rsidP="00D579FB">
      <w:pPr>
        <w:tabs>
          <w:tab w:val="center" w:pos="4275"/>
          <w:tab w:val="left" w:pos="6468"/>
          <w:tab w:val="left" w:pos="7483"/>
          <w:tab w:val="left" w:pos="9072"/>
        </w:tabs>
        <w:spacing w:line="480" w:lineRule="auto"/>
        <w:ind w:right="-45"/>
        <w:jc w:val="center"/>
        <w:rPr>
          <w:iCs/>
          <w:sz w:val="24"/>
          <w:szCs w:val="24"/>
          <w:lang w:val="en-US"/>
        </w:rPr>
      </w:pPr>
      <w:r w:rsidRPr="00277C72">
        <w:rPr>
          <w:iCs/>
          <w:sz w:val="24"/>
          <w:szCs w:val="24"/>
          <w:lang w:val="en-US"/>
        </w:rPr>
        <w:t>Method</w:t>
      </w:r>
    </w:p>
    <w:p w14:paraId="538B19A5" w14:textId="77777777" w:rsidR="00D579FB" w:rsidRPr="008A6049" w:rsidRDefault="00D579FB" w:rsidP="00D579FB">
      <w:pPr>
        <w:tabs>
          <w:tab w:val="center" w:pos="4275"/>
          <w:tab w:val="left" w:pos="5352"/>
          <w:tab w:val="left" w:pos="9072"/>
        </w:tabs>
        <w:spacing w:line="480" w:lineRule="auto"/>
        <w:ind w:right="-45" w:firstLine="567"/>
        <w:rPr>
          <w:i/>
          <w:iCs/>
          <w:sz w:val="24"/>
          <w:szCs w:val="24"/>
          <w:lang w:val="en-US"/>
        </w:rPr>
      </w:pPr>
      <w:r w:rsidRPr="008A6049">
        <w:rPr>
          <w:i/>
          <w:iCs/>
          <w:sz w:val="24"/>
          <w:szCs w:val="24"/>
          <w:lang w:val="en-US"/>
        </w:rPr>
        <w:t>Subjects and apparatus</w:t>
      </w:r>
      <w:r w:rsidRPr="008A6049">
        <w:rPr>
          <w:i/>
          <w:iCs/>
          <w:sz w:val="24"/>
          <w:szCs w:val="24"/>
          <w:lang w:val="en-US"/>
        </w:rPr>
        <w:tab/>
      </w:r>
    </w:p>
    <w:p w14:paraId="1A63C40F" w14:textId="41833C87" w:rsidR="00D579FB" w:rsidRPr="004477D4" w:rsidRDefault="00D55F83" w:rsidP="00D55F83">
      <w:pPr>
        <w:tabs>
          <w:tab w:val="center" w:pos="4275"/>
          <w:tab w:val="left" w:pos="5352"/>
          <w:tab w:val="left" w:pos="9072"/>
        </w:tabs>
        <w:spacing w:line="480" w:lineRule="auto"/>
        <w:ind w:right="-45" w:firstLine="567"/>
        <w:rPr>
          <w:iCs/>
          <w:sz w:val="24"/>
          <w:szCs w:val="24"/>
          <w:lang w:val="en-US"/>
        </w:rPr>
      </w:pPr>
      <w:r w:rsidRPr="00D55F83">
        <w:rPr>
          <w:iCs/>
          <w:sz w:val="24"/>
          <w:szCs w:val="24"/>
          <w:lang w:val="en-US"/>
        </w:rPr>
        <w:t xml:space="preserve">The subjects were 32 male hooded Long Evans rats (ad lib body weight range 273.8:432.8 g) </w:t>
      </w:r>
      <w:r w:rsidRPr="00D55F83">
        <w:rPr>
          <w:iCs/>
          <w:sz w:val="24"/>
          <w:szCs w:val="24"/>
          <w:lang w:val="en-GB"/>
        </w:rPr>
        <w:t>that had been previously used in a spatial learning experiment using the water maze.</w:t>
      </w:r>
      <w:r w:rsidRPr="00D55F83">
        <w:rPr>
          <w:iCs/>
          <w:sz w:val="24"/>
          <w:szCs w:val="24"/>
          <w:lang w:val="en-US"/>
        </w:rPr>
        <w:t xml:space="preserve"> The stimuli used were the same described for the previous experiments.</w:t>
      </w:r>
      <w:r>
        <w:rPr>
          <w:iCs/>
          <w:sz w:val="24"/>
          <w:szCs w:val="24"/>
          <w:lang w:val="en-US"/>
        </w:rPr>
        <w:t xml:space="preserve"> </w:t>
      </w:r>
      <w:r w:rsidR="002A6FFD">
        <w:rPr>
          <w:iCs/>
          <w:sz w:val="24"/>
          <w:szCs w:val="24"/>
          <w:lang w:val="en-US"/>
        </w:rPr>
        <w:t xml:space="preserve">The animals were assigned at random to four experimental groups: Intermixed-X; Intermixed-A; Blocked-X and </w:t>
      </w:r>
      <w:proofErr w:type="gramStart"/>
      <w:r w:rsidR="002A6FFD">
        <w:rPr>
          <w:iCs/>
          <w:sz w:val="24"/>
          <w:szCs w:val="24"/>
          <w:lang w:val="en-US"/>
        </w:rPr>
        <w:t>Blocked-</w:t>
      </w:r>
      <w:proofErr w:type="gramEnd"/>
      <w:r w:rsidR="002A6FFD">
        <w:rPr>
          <w:iCs/>
          <w:sz w:val="24"/>
          <w:szCs w:val="24"/>
          <w:lang w:val="en-US"/>
        </w:rPr>
        <w:t>A.</w:t>
      </w:r>
    </w:p>
    <w:p w14:paraId="00652342" w14:textId="77777777" w:rsidR="00D579FB" w:rsidRPr="008A6049" w:rsidRDefault="00D579FB" w:rsidP="00D579FB">
      <w:pPr>
        <w:tabs>
          <w:tab w:val="center" w:pos="4275"/>
          <w:tab w:val="left" w:pos="5352"/>
          <w:tab w:val="left" w:pos="9072"/>
        </w:tabs>
        <w:spacing w:line="480" w:lineRule="auto"/>
        <w:ind w:right="-45" w:firstLine="567"/>
        <w:rPr>
          <w:i/>
          <w:iCs/>
          <w:sz w:val="24"/>
          <w:szCs w:val="24"/>
          <w:lang w:val="en-US"/>
        </w:rPr>
      </w:pPr>
      <w:r w:rsidRPr="008A6049">
        <w:rPr>
          <w:i/>
          <w:iCs/>
          <w:sz w:val="24"/>
          <w:szCs w:val="24"/>
          <w:lang w:val="en-US"/>
        </w:rPr>
        <w:t>Procedure</w:t>
      </w:r>
      <w:r w:rsidRPr="008A6049">
        <w:rPr>
          <w:i/>
          <w:iCs/>
          <w:sz w:val="24"/>
          <w:szCs w:val="24"/>
          <w:lang w:val="en-US"/>
        </w:rPr>
        <w:tab/>
      </w:r>
    </w:p>
    <w:p w14:paraId="43064A1B" w14:textId="412C86A7" w:rsidR="00D579FB" w:rsidRPr="00F90AB6" w:rsidRDefault="00D579FB" w:rsidP="00D579FB">
      <w:pPr>
        <w:tabs>
          <w:tab w:val="center" w:pos="4275"/>
          <w:tab w:val="left" w:pos="5352"/>
          <w:tab w:val="left" w:pos="9072"/>
        </w:tabs>
        <w:spacing w:line="480" w:lineRule="auto"/>
        <w:ind w:right="-45" w:firstLine="567"/>
        <w:rPr>
          <w:sz w:val="24"/>
          <w:szCs w:val="24"/>
          <w:lang w:val="en-US"/>
        </w:rPr>
      </w:pPr>
      <w:r w:rsidRPr="004477D4">
        <w:rPr>
          <w:iCs/>
          <w:sz w:val="24"/>
          <w:szCs w:val="24"/>
          <w:lang w:val="en-US"/>
        </w:rPr>
        <w:t xml:space="preserve">The procedure of Experiment </w:t>
      </w:r>
      <w:r>
        <w:rPr>
          <w:iCs/>
          <w:sz w:val="24"/>
          <w:szCs w:val="24"/>
          <w:lang w:val="en-US"/>
        </w:rPr>
        <w:t>2A</w:t>
      </w:r>
      <w:r w:rsidRPr="004477D4">
        <w:rPr>
          <w:iCs/>
          <w:sz w:val="24"/>
          <w:szCs w:val="24"/>
          <w:lang w:val="en-US"/>
        </w:rPr>
        <w:t xml:space="preserve"> replicates the pre-exposure procedu</w:t>
      </w:r>
      <w:r>
        <w:rPr>
          <w:iCs/>
          <w:sz w:val="24"/>
          <w:szCs w:val="24"/>
          <w:lang w:val="en-US"/>
        </w:rPr>
        <w:t>re of Experiment 1</w:t>
      </w:r>
      <w:r w:rsidR="00D55F83">
        <w:rPr>
          <w:iCs/>
          <w:sz w:val="24"/>
          <w:szCs w:val="24"/>
          <w:lang w:val="en-US"/>
        </w:rPr>
        <w:t xml:space="preserve"> </w:t>
      </w:r>
      <w:r w:rsidR="00D55F83" w:rsidRPr="00063AC0">
        <w:rPr>
          <w:iCs/>
          <w:color w:val="000000" w:themeColor="text1"/>
          <w:sz w:val="24"/>
          <w:szCs w:val="24"/>
          <w:lang w:val="en-US"/>
        </w:rPr>
        <w:t xml:space="preserve">but using </w:t>
      </w:r>
      <w:r w:rsidR="00D55F83" w:rsidRPr="00063AC0">
        <w:rPr>
          <w:color w:val="000000" w:themeColor="text1"/>
          <w:sz w:val="24"/>
          <w:szCs w:val="24"/>
          <w:lang w:val="en-GB"/>
        </w:rPr>
        <w:t>a shorter pre-exposure phase: ten pre-exposure trials to each compound, AX and BX</w:t>
      </w:r>
      <w:r w:rsidR="00D55F83">
        <w:rPr>
          <w:color w:val="000000" w:themeColor="text1"/>
          <w:sz w:val="24"/>
          <w:szCs w:val="24"/>
          <w:lang w:val="en-GB"/>
        </w:rPr>
        <w:t>, over two days</w:t>
      </w:r>
      <w:r w:rsidR="00D55F83" w:rsidRPr="00063AC0">
        <w:rPr>
          <w:color w:val="000000" w:themeColor="text1"/>
          <w:sz w:val="24"/>
          <w:szCs w:val="24"/>
          <w:lang w:val="en-GB"/>
        </w:rPr>
        <w:t>.</w:t>
      </w:r>
      <w:r w:rsidR="002A6FFD">
        <w:rPr>
          <w:iCs/>
          <w:sz w:val="24"/>
          <w:szCs w:val="24"/>
          <w:lang w:val="en-US"/>
        </w:rPr>
        <w:t xml:space="preserve"> F</w:t>
      </w:r>
      <w:r w:rsidRPr="004477D4">
        <w:rPr>
          <w:iCs/>
          <w:sz w:val="24"/>
          <w:szCs w:val="24"/>
          <w:lang w:val="en-US"/>
        </w:rPr>
        <w:t xml:space="preserve">ollowing pre-exposure, half of the animals were given conditioning trials with the common element, X, whereas the other half were given conditioning trials with the unique element, A. Conditioning </w:t>
      </w:r>
      <w:r w:rsidR="002A6FFD">
        <w:rPr>
          <w:iCs/>
          <w:sz w:val="24"/>
          <w:szCs w:val="24"/>
          <w:lang w:val="en-US"/>
        </w:rPr>
        <w:t xml:space="preserve">followed the procedure described in Experiment 1 for the compound AX, and </w:t>
      </w:r>
      <w:r w:rsidRPr="004477D4">
        <w:rPr>
          <w:iCs/>
          <w:sz w:val="24"/>
          <w:szCs w:val="24"/>
          <w:lang w:val="en-US"/>
        </w:rPr>
        <w:t>took plac</w:t>
      </w:r>
      <w:r w:rsidR="00A663DE">
        <w:rPr>
          <w:iCs/>
          <w:sz w:val="24"/>
          <w:szCs w:val="24"/>
          <w:lang w:val="en-US"/>
        </w:rPr>
        <w:t xml:space="preserve">e overt three consecutive days </w:t>
      </w:r>
      <w:r w:rsidRPr="004477D4">
        <w:rPr>
          <w:iCs/>
          <w:sz w:val="24"/>
          <w:szCs w:val="24"/>
          <w:lang w:val="en-US"/>
        </w:rPr>
        <w:t>at a rate of 10 conditioning trials per day.</w:t>
      </w:r>
    </w:p>
    <w:p w14:paraId="6355D150" w14:textId="77777777" w:rsidR="00D579FB" w:rsidRPr="00F90AB6" w:rsidRDefault="00D579FB" w:rsidP="00D579FB">
      <w:pPr>
        <w:tabs>
          <w:tab w:val="center" w:pos="4275"/>
          <w:tab w:val="left" w:pos="5352"/>
          <w:tab w:val="left" w:pos="9072"/>
        </w:tabs>
        <w:spacing w:line="480" w:lineRule="auto"/>
        <w:ind w:right="-45"/>
        <w:jc w:val="center"/>
        <w:rPr>
          <w:sz w:val="24"/>
          <w:szCs w:val="24"/>
          <w:lang w:val="en-US"/>
        </w:rPr>
      </w:pPr>
      <w:r w:rsidRPr="00F90AB6">
        <w:rPr>
          <w:sz w:val="24"/>
          <w:szCs w:val="24"/>
          <w:lang w:val="en-US"/>
        </w:rPr>
        <w:lastRenderedPageBreak/>
        <w:t>Results and discussion</w:t>
      </w:r>
    </w:p>
    <w:p w14:paraId="25F5FDDE" w14:textId="3A6C242C" w:rsidR="00D55F83" w:rsidRDefault="00D55F83" w:rsidP="00D55F83">
      <w:pPr>
        <w:adjustRightInd w:val="0"/>
        <w:spacing w:line="480" w:lineRule="auto"/>
        <w:ind w:firstLine="851"/>
        <w:rPr>
          <w:color w:val="000000" w:themeColor="text1"/>
          <w:sz w:val="24"/>
          <w:szCs w:val="24"/>
          <w:lang w:val="en-US" w:eastAsia="en-GB"/>
        </w:rPr>
      </w:pPr>
      <w:r>
        <w:rPr>
          <w:sz w:val="24"/>
          <w:szCs w:val="24"/>
          <w:lang w:val="en-US" w:eastAsia="en-GB"/>
        </w:rPr>
        <w:t>Figure 3</w:t>
      </w:r>
      <w:r w:rsidRPr="00C256F9">
        <w:rPr>
          <w:sz w:val="24"/>
          <w:szCs w:val="24"/>
          <w:lang w:val="en-US" w:eastAsia="en-GB"/>
        </w:rPr>
        <w:t xml:space="preserve"> </w:t>
      </w:r>
      <w:r w:rsidRPr="00B77181">
        <w:rPr>
          <w:color w:val="000000" w:themeColor="text1"/>
          <w:sz w:val="24"/>
          <w:szCs w:val="24"/>
          <w:lang w:val="en-US" w:eastAsia="en-GB"/>
        </w:rPr>
        <w:t xml:space="preserve">shows the group means for the magazine approach response during the conditioning trials with the X stimulus (left hand panel) and the A stimulus (right hand panel). An ANOVA with Stimulus (X </w:t>
      </w:r>
      <w:r w:rsidRPr="00B77181">
        <w:rPr>
          <w:i/>
          <w:color w:val="000000" w:themeColor="text1"/>
          <w:sz w:val="24"/>
          <w:szCs w:val="24"/>
          <w:lang w:val="en-US" w:eastAsia="en-GB"/>
        </w:rPr>
        <w:t>vs.</w:t>
      </w:r>
      <w:r w:rsidRPr="00B77181">
        <w:rPr>
          <w:color w:val="000000" w:themeColor="text1"/>
          <w:sz w:val="24"/>
          <w:szCs w:val="24"/>
          <w:lang w:val="en-US" w:eastAsia="en-GB"/>
        </w:rPr>
        <w:t xml:space="preserve"> A), Pre-exposure (Intermixed </w:t>
      </w:r>
      <w:r w:rsidRPr="00B77181">
        <w:rPr>
          <w:i/>
          <w:color w:val="000000" w:themeColor="text1"/>
          <w:sz w:val="24"/>
          <w:szCs w:val="24"/>
          <w:lang w:val="en-US" w:eastAsia="en-GB"/>
        </w:rPr>
        <w:t>vs.</w:t>
      </w:r>
      <w:r w:rsidRPr="00B77181">
        <w:rPr>
          <w:color w:val="000000" w:themeColor="text1"/>
          <w:sz w:val="24"/>
          <w:szCs w:val="24"/>
          <w:lang w:val="en-US" w:eastAsia="en-GB"/>
        </w:rPr>
        <w:t xml:space="preserve"> Blocked) and Blocks of Trials as factors showed a significant effect of Stimulus, </w:t>
      </w:r>
      <w:proofErr w:type="gramStart"/>
      <w:r w:rsidRPr="00B77181">
        <w:rPr>
          <w:i/>
          <w:color w:val="000000" w:themeColor="text1"/>
          <w:sz w:val="24"/>
          <w:szCs w:val="24"/>
          <w:lang w:val="en-US" w:eastAsia="en-GB"/>
        </w:rPr>
        <w:t>F</w:t>
      </w:r>
      <w:r>
        <w:rPr>
          <w:color w:val="000000" w:themeColor="text1"/>
          <w:sz w:val="24"/>
          <w:szCs w:val="24"/>
          <w:lang w:val="en-US" w:eastAsia="en-GB"/>
        </w:rPr>
        <w:t>(</w:t>
      </w:r>
      <w:proofErr w:type="gramEnd"/>
      <w:r>
        <w:rPr>
          <w:color w:val="000000" w:themeColor="text1"/>
          <w:sz w:val="24"/>
          <w:szCs w:val="24"/>
          <w:lang w:val="en-US" w:eastAsia="en-GB"/>
        </w:rPr>
        <w:t>1,28)=5.01</w:t>
      </w:r>
      <w:r w:rsidRPr="00B77181">
        <w:rPr>
          <w:color w:val="000000" w:themeColor="text1"/>
          <w:sz w:val="24"/>
          <w:szCs w:val="24"/>
          <w:lang w:val="en-US" w:eastAsia="en-GB"/>
        </w:rPr>
        <w:t>,</w:t>
      </w:r>
      <w:r>
        <w:rPr>
          <w:color w:val="000000" w:themeColor="text1"/>
          <w:sz w:val="24"/>
          <w:szCs w:val="24"/>
          <w:lang w:val="en-US" w:eastAsia="en-GB"/>
        </w:rPr>
        <w:t xml:space="preserve"> </w:t>
      </w:r>
      <w:r w:rsidRPr="00B60BFD">
        <w:rPr>
          <w:i/>
          <w:color w:val="000000" w:themeColor="text1"/>
          <w:sz w:val="24"/>
          <w:szCs w:val="24"/>
          <w:lang w:val="en-US" w:eastAsia="en-GB"/>
        </w:rPr>
        <w:t>MSE</w:t>
      </w:r>
      <w:r>
        <w:rPr>
          <w:color w:val="000000" w:themeColor="text1"/>
          <w:sz w:val="24"/>
          <w:szCs w:val="24"/>
          <w:lang w:val="en-US" w:eastAsia="en-GB"/>
        </w:rPr>
        <w:t>=53.61,</w:t>
      </w:r>
      <w:r w:rsidRPr="00B77181">
        <w:rPr>
          <w:color w:val="000000" w:themeColor="text1"/>
          <w:sz w:val="24"/>
          <w:szCs w:val="24"/>
          <w:lang w:val="en-US" w:eastAsia="en-GB"/>
        </w:rPr>
        <w:t xml:space="preserve"> </w:t>
      </w:r>
      <w:r w:rsidRPr="00B77181">
        <w:rPr>
          <w:i/>
          <w:color w:val="000000" w:themeColor="text1"/>
          <w:sz w:val="24"/>
          <w:szCs w:val="24"/>
          <w:lang w:val="en-US" w:eastAsia="en-GB"/>
        </w:rPr>
        <w:t>p</w:t>
      </w:r>
      <w:r w:rsidRPr="00B77181">
        <w:rPr>
          <w:color w:val="000000" w:themeColor="text1"/>
          <w:sz w:val="24"/>
          <w:szCs w:val="24"/>
          <w:lang w:val="en-US" w:eastAsia="en-GB"/>
        </w:rPr>
        <w:t xml:space="preserve">=.03, </w:t>
      </w:r>
      <w:r w:rsidRPr="00B77181">
        <w:rPr>
          <w:i/>
          <w:color w:val="000000" w:themeColor="text1"/>
          <w:sz w:val="24"/>
          <w:szCs w:val="24"/>
          <w:lang w:val="en-GB"/>
        </w:rPr>
        <w:t>η</w:t>
      </w:r>
      <w:r w:rsidRPr="00B77181">
        <w:rPr>
          <w:i/>
          <w:color w:val="000000" w:themeColor="text1"/>
          <w:sz w:val="24"/>
          <w:szCs w:val="24"/>
          <w:vertAlign w:val="subscript"/>
          <w:lang w:val="en-GB"/>
        </w:rPr>
        <w:t>p</w:t>
      </w:r>
      <w:r w:rsidRPr="00B77181">
        <w:rPr>
          <w:i/>
          <w:color w:val="000000" w:themeColor="text1"/>
          <w:sz w:val="24"/>
          <w:szCs w:val="24"/>
          <w:vertAlign w:val="superscript"/>
          <w:lang w:val="en-GB"/>
        </w:rPr>
        <w:t>2</w:t>
      </w:r>
      <w:r>
        <w:rPr>
          <w:color w:val="000000" w:themeColor="text1"/>
          <w:sz w:val="24"/>
          <w:szCs w:val="24"/>
          <w:lang w:val="en-GB"/>
        </w:rPr>
        <w:t>=.15, 95% CI [0, .38</w:t>
      </w:r>
      <w:r w:rsidRPr="00B77181">
        <w:rPr>
          <w:color w:val="000000" w:themeColor="text1"/>
          <w:sz w:val="24"/>
          <w:szCs w:val="24"/>
          <w:lang w:val="en-GB"/>
        </w:rPr>
        <w:t xml:space="preserve">], and  Blocks of Trials, </w:t>
      </w:r>
      <w:r w:rsidRPr="00B77181">
        <w:rPr>
          <w:i/>
          <w:color w:val="000000" w:themeColor="text1"/>
          <w:sz w:val="24"/>
          <w:szCs w:val="24"/>
          <w:lang w:val="en-US" w:eastAsia="en-GB"/>
        </w:rPr>
        <w:t>F</w:t>
      </w:r>
      <w:r>
        <w:rPr>
          <w:color w:val="000000" w:themeColor="text1"/>
          <w:sz w:val="24"/>
          <w:szCs w:val="24"/>
          <w:lang w:val="en-US" w:eastAsia="en-GB"/>
        </w:rPr>
        <w:t>(5,140)=33.88</w:t>
      </w:r>
      <w:r w:rsidRPr="00B77181">
        <w:rPr>
          <w:color w:val="000000" w:themeColor="text1"/>
          <w:sz w:val="24"/>
          <w:szCs w:val="24"/>
          <w:lang w:val="en-US" w:eastAsia="en-GB"/>
        </w:rPr>
        <w:t>,</w:t>
      </w:r>
      <w:r>
        <w:rPr>
          <w:color w:val="000000" w:themeColor="text1"/>
          <w:sz w:val="24"/>
          <w:szCs w:val="24"/>
          <w:lang w:val="en-US" w:eastAsia="en-GB"/>
        </w:rPr>
        <w:t xml:space="preserve"> </w:t>
      </w:r>
      <w:r w:rsidRPr="00B60BFD">
        <w:rPr>
          <w:i/>
          <w:color w:val="000000" w:themeColor="text1"/>
          <w:sz w:val="24"/>
          <w:szCs w:val="24"/>
          <w:lang w:val="en-US" w:eastAsia="en-GB"/>
        </w:rPr>
        <w:t>MSE</w:t>
      </w:r>
      <w:r>
        <w:rPr>
          <w:color w:val="000000" w:themeColor="text1"/>
          <w:sz w:val="24"/>
          <w:szCs w:val="24"/>
          <w:lang w:val="en-US" w:eastAsia="en-GB"/>
        </w:rPr>
        <w:t>=182.92,</w:t>
      </w:r>
      <w:r w:rsidRPr="00B77181">
        <w:rPr>
          <w:color w:val="000000" w:themeColor="text1"/>
          <w:sz w:val="24"/>
          <w:szCs w:val="24"/>
          <w:lang w:val="en-US" w:eastAsia="en-GB"/>
        </w:rPr>
        <w:t xml:space="preserve"> </w:t>
      </w:r>
      <w:r w:rsidRPr="00B77181">
        <w:rPr>
          <w:i/>
          <w:color w:val="000000" w:themeColor="text1"/>
          <w:sz w:val="24"/>
          <w:szCs w:val="24"/>
          <w:lang w:val="en-US" w:eastAsia="en-GB"/>
        </w:rPr>
        <w:t>p</w:t>
      </w:r>
      <w:r w:rsidRPr="00B77181">
        <w:rPr>
          <w:color w:val="000000" w:themeColor="text1"/>
          <w:sz w:val="24"/>
          <w:szCs w:val="24"/>
          <w:lang w:val="en-US" w:eastAsia="en-GB"/>
        </w:rPr>
        <w:t xml:space="preserve">=.00, </w:t>
      </w:r>
      <w:r w:rsidRPr="00B77181">
        <w:rPr>
          <w:i/>
          <w:color w:val="000000" w:themeColor="text1"/>
          <w:sz w:val="24"/>
          <w:szCs w:val="24"/>
          <w:lang w:val="en-GB"/>
        </w:rPr>
        <w:t>η</w:t>
      </w:r>
      <w:r w:rsidRPr="00B77181">
        <w:rPr>
          <w:i/>
          <w:color w:val="000000" w:themeColor="text1"/>
          <w:sz w:val="24"/>
          <w:szCs w:val="24"/>
          <w:vertAlign w:val="subscript"/>
          <w:lang w:val="en-GB"/>
        </w:rPr>
        <w:t>p</w:t>
      </w:r>
      <w:r w:rsidRPr="00B77181">
        <w:rPr>
          <w:i/>
          <w:color w:val="000000" w:themeColor="text1"/>
          <w:sz w:val="24"/>
          <w:szCs w:val="24"/>
          <w:vertAlign w:val="superscript"/>
          <w:lang w:val="en-GB"/>
        </w:rPr>
        <w:t>2</w:t>
      </w:r>
      <w:r>
        <w:rPr>
          <w:color w:val="000000" w:themeColor="text1"/>
          <w:sz w:val="24"/>
          <w:szCs w:val="24"/>
          <w:lang w:val="en-GB"/>
        </w:rPr>
        <w:t>=.54, 95% CI [.41</w:t>
      </w:r>
      <w:r w:rsidRPr="00B77181">
        <w:rPr>
          <w:color w:val="000000" w:themeColor="text1"/>
          <w:sz w:val="24"/>
          <w:szCs w:val="24"/>
          <w:lang w:val="en-GB"/>
        </w:rPr>
        <w:t>, .61]. All the other factors and interactions were non-significant,</w:t>
      </w:r>
      <w:r>
        <w:rPr>
          <w:color w:val="000000" w:themeColor="text1"/>
          <w:sz w:val="24"/>
          <w:szCs w:val="24"/>
          <w:lang w:val="en-GB"/>
        </w:rPr>
        <w:t xml:space="preserve"> maximum</w:t>
      </w:r>
      <w:r w:rsidRPr="00B77181">
        <w:rPr>
          <w:color w:val="000000" w:themeColor="text1"/>
          <w:sz w:val="24"/>
          <w:szCs w:val="24"/>
          <w:lang w:val="en-GB"/>
        </w:rPr>
        <w:t xml:space="preserve"> </w:t>
      </w:r>
      <w:proofErr w:type="gramStart"/>
      <w:r w:rsidRPr="00B77181">
        <w:rPr>
          <w:i/>
          <w:color w:val="000000" w:themeColor="text1"/>
          <w:sz w:val="24"/>
          <w:szCs w:val="24"/>
          <w:lang w:val="en-US" w:eastAsia="en-GB"/>
        </w:rPr>
        <w:t>F</w:t>
      </w:r>
      <w:r>
        <w:rPr>
          <w:color w:val="000000" w:themeColor="text1"/>
          <w:sz w:val="24"/>
          <w:szCs w:val="24"/>
          <w:lang w:val="en-US" w:eastAsia="en-GB"/>
        </w:rPr>
        <w:t>(</w:t>
      </w:r>
      <w:proofErr w:type="gramEnd"/>
      <w:r w:rsidRPr="00B77181">
        <w:rPr>
          <w:color w:val="000000" w:themeColor="text1"/>
          <w:sz w:val="24"/>
          <w:szCs w:val="24"/>
          <w:lang w:val="en-US" w:eastAsia="en-GB"/>
        </w:rPr>
        <w:t>1</w:t>
      </w:r>
      <w:r>
        <w:rPr>
          <w:color w:val="000000" w:themeColor="text1"/>
          <w:sz w:val="24"/>
          <w:szCs w:val="24"/>
          <w:lang w:val="en-US" w:eastAsia="en-GB"/>
        </w:rPr>
        <w:t>,28)=2.97.</w:t>
      </w:r>
    </w:p>
    <w:p w14:paraId="6918E312" w14:textId="5E8DF1F9" w:rsidR="00D55F83" w:rsidRPr="00B77181" w:rsidRDefault="00D55F83" w:rsidP="00D55F83">
      <w:pPr>
        <w:adjustRightInd w:val="0"/>
        <w:spacing w:line="480" w:lineRule="auto"/>
        <w:jc w:val="center"/>
        <w:rPr>
          <w:color w:val="000000" w:themeColor="text1"/>
          <w:sz w:val="24"/>
          <w:szCs w:val="24"/>
          <w:lang w:val="en-US"/>
        </w:rPr>
      </w:pPr>
      <w:r w:rsidRPr="00B77181">
        <w:rPr>
          <w:i/>
          <w:color w:val="000000" w:themeColor="text1"/>
          <w:sz w:val="24"/>
          <w:szCs w:val="24"/>
          <w:lang w:val="en-US" w:eastAsia="en-GB"/>
        </w:rPr>
        <w:t xml:space="preserve">Figure </w:t>
      </w:r>
      <w:r>
        <w:rPr>
          <w:i/>
          <w:color w:val="000000" w:themeColor="text1"/>
          <w:sz w:val="24"/>
          <w:szCs w:val="24"/>
          <w:lang w:val="en-US" w:eastAsia="en-GB"/>
        </w:rPr>
        <w:t>3</w:t>
      </w:r>
      <w:r w:rsidRPr="00B77181">
        <w:rPr>
          <w:i/>
          <w:color w:val="000000" w:themeColor="text1"/>
          <w:sz w:val="24"/>
          <w:szCs w:val="24"/>
          <w:lang w:val="en-US" w:eastAsia="en-GB"/>
        </w:rPr>
        <w:t xml:space="preserve"> around here</w:t>
      </w:r>
    </w:p>
    <w:p w14:paraId="64BE8491" w14:textId="6017A4CF" w:rsidR="00D579FB" w:rsidRPr="00F90AB6" w:rsidRDefault="00D55F83" w:rsidP="00D55F83">
      <w:pPr>
        <w:adjustRightInd w:val="0"/>
        <w:spacing w:line="480" w:lineRule="auto"/>
        <w:ind w:firstLine="567"/>
        <w:rPr>
          <w:sz w:val="24"/>
          <w:szCs w:val="24"/>
          <w:lang w:val="en-US"/>
        </w:rPr>
      </w:pPr>
      <w:r w:rsidRPr="00132F6F">
        <w:rPr>
          <w:sz w:val="24"/>
          <w:szCs w:val="24"/>
          <w:lang w:val="en-US"/>
        </w:rPr>
        <w:t>The same analyses were carried out on the Pre-CS scores during the conditioning phase of the experiment. The overall mean Pre-CS scores for the six block</w:t>
      </w:r>
      <w:r>
        <w:rPr>
          <w:sz w:val="24"/>
          <w:szCs w:val="24"/>
          <w:lang w:val="en-US"/>
        </w:rPr>
        <w:t>s of conditioning trials were: 3.40</w:t>
      </w:r>
      <w:r w:rsidRPr="00132F6F">
        <w:rPr>
          <w:sz w:val="24"/>
          <w:szCs w:val="24"/>
          <w:lang w:val="en-US"/>
        </w:rPr>
        <w:t xml:space="preserve"> </w:t>
      </w:r>
      <w:r>
        <w:rPr>
          <w:sz w:val="24"/>
          <w:szCs w:val="24"/>
          <w:lang w:val="en-US"/>
        </w:rPr>
        <w:t>(±.41) for group Intermixed-X; 3.56</w:t>
      </w:r>
      <w:r w:rsidRPr="00132F6F">
        <w:rPr>
          <w:sz w:val="24"/>
          <w:szCs w:val="24"/>
          <w:lang w:val="en-US"/>
        </w:rPr>
        <w:t xml:space="preserve"> (±.</w:t>
      </w:r>
      <w:r>
        <w:rPr>
          <w:sz w:val="24"/>
          <w:szCs w:val="24"/>
          <w:lang w:val="en-US"/>
        </w:rPr>
        <w:t>41) for group Blocked-X; 3.57 (±.41) for group Intermixed-A; and 3.98</w:t>
      </w:r>
      <w:r w:rsidRPr="00132F6F">
        <w:rPr>
          <w:sz w:val="24"/>
          <w:szCs w:val="24"/>
          <w:lang w:val="en-US"/>
        </w:rPr>
        <w:t xml:space="preserve"> (±.</w:t>
      </w:r>
      <w:r>
        <w:rPr>
          <w:sz w:val="24"/>
          <w:szCs w:val="24"/>
          <w:lang w:val="en-US"/>
        </w:rPr>
        <w:t>41</w:t>
      </w:r>
      <w:r w:rsidRPr="00132F6F">
        <w:rPr>
          <w:sz w:val="24"/>
          <w:szCs w:val="24"/>
          <w:lang w:val="en-US"/>
        </w:rPr>
        <w:t xml:space="preserve">) for group Blocked-A. An ANOVA with Stimulus (X vs. A), Pre-exposure (Intermixed vs. Blocked) and Blocks of Trials as factors showed a significant effect of Blocks of Trials, </w:t>
      </w:r>
      <w:proofErr w:type="gramStart"/>
      <w:r w:rsidRPr="00132F6F">
        <w:rPr>
          <w:sz w:val="24"/>
          <w:szCs w:val="24"/>
          <w:lang w:val="en-US"/>
        </w:rPr>
        <w:t>F(</w:t>
      </w:r>
      <w:proofErr w:type="gramEnd"/>
      <w:r w:rsidRPr="00132F6F">
        <w:rPr>
          <w:sz w:val="24"/>
          <w:szCs w:val="24"/>
          <w:lang w:val="en-US"/>
        </w:rPr>
        <w:t>5,140)=7.</w:t>
      </w:r>
      <w:r>
        <w:rPr>
          <w:sz w:val="24"/>
          <w:szCs w:val="24"/>
          <w:lang w:val="en-US"/>
        </w:rPr>
        <w:t>44</w:t>
      </w:r>
      <w:r w:rsidRPr="00132F6F">
        <w:rPr>
          <w:sz w:val="24"/>
          <w:szCs w:val="24"/>
          <w:lang w:val="en-US"/>
        </w:rPr>
        <w:t>,</w:t>
      </w:r>
      <w:r>
        <w:rPr>
          <w:sz w:val="24"/>
          <w:szCs w:val="24"/>
          <w:lang w:val="en-US"/>
        </w:rPr>
        <w:t xml:space="preserve"> </w:t>
      </w:r>
      <w:r w:rsidRPr="000E46BB">
        <w:rPr>
          <w:i/>
          <w:sz w:val="24"/>
          <w:szCs w:val="24"/>
          <w:lang w:val="en-US"/>
        </w:rPr>
        <w:t>MSE</w:t>
      </w:r>
      <w:r>
        <w:rPr>
          <w:sz w:val="24"/>
          <w:szCs w:val="24"/>
          <w:lang w:val="en-US"/>
        </w:rPr>
        <w:t>=40.03,</w:t>
      </w:r>
      <w:r w:rsidRPr="00132F6F">
        <w:rPr>
          <w:sz w:val="24"/>
          <w:szCs w:val="24"/>
          <w:lang w:val="en-US"/>
        </w:rPr>
        <w:t xml:space="preserve"> p=0.00, ηp2=.21, 95% CI [.08, .30</w:t>
      </w:r>
      <w:r w:rsidRPr="00063AC0">
        <w:rPr>
          <w:color w:val="000000" w:themeColor="text1"/>
          <w:sz w:val="24"/>
          <w:szCs w:val="24"/>
          <w:lang w:val="en-US"/>
        </w:rPr>
        <w:t xml:space="preserve">]. This reflects an increment </w:t>
      </w:r>
      <w:r>
        <w:rPr>
          <w:color w:val="000000" w:themeColor="text1"/>
          <w:sz w:val="24"/>
          <w:szCs w:val="24"/>
          <w:lang w:val="en-US"/>
        </w:rPr>
        <w:t>in</w:t>
      </w:r>
      <w:r w:rsidRPr="00063AC0">
        <w:rPr>
          <w:color w:val="000000" w:themeColor="text1"/>
          <w:sz w:val="24"/>
          <w:szCs w:val="24"/>
          <w:lang w:val="en-US"/>
        </w:rPr>
        <w:t xml:space="preserve"> the time animals spent into the food tray during the Pre-CS period as training progressed</w:t>
      </w:r>
      <w:r w:rsidRPr="00132F6F">
        <w:rPr>
          <w:color w:val="C00000"/>
          <w:sz w:val="24"/>
          <w:szCs w:val="24"/>
          <w:lang w:val="en-US"/>
        </w:rPr>
        <w:t>.</w:t>
      </w:r>
      <w:r>
        <w:rPr>
          <w:color w:val="C00000"/>
          <w:sz w:val="24"/>
          <w:szCs w:val="24"/>
          <w:lang w:val="en-US"/>
        </w:rPr>
        <w:t xml:space="preserve"> </w:t>
      </w:r>
      <w:r>
        <w:rPr>
          <w:color w:val="000000" w:themeColor="text1"/>
          <w:sz w:val="24"/>
          <w:szCs w:val="24"/>
          <w:lang w:val="en-GB"/>
        </w:rPr>
        <w:t>T</w:t>
      </w:r>
      <w:r w:rsidRPr="00B77181">
        <w:rPr>
          <w:color w:val="000000" w:themeColor="text1"/>
          <w:sz w:val="24"/>
          <w:szCs w:val="24"/>
          <w:lang w:val="en-GB"/>
        </w:rPr>
        <w:t>he other factors and interactions were non-significant</w:t>
      </w:r>
      <w:r>
        <w:rPr>
          <w:sz w:val="24"/>
          <w:szCs w:val="24"/>
          <w:lang w:val="en-US"/>
        </w:rPr>
        <w:t xml:space="preserve">, </w:t>
      </w:r>
      <w:r w:rsidRPr="00F90AB6">
        <w:rPr>
          <w:i/>
          <w:sz w:val="24"/>
          <w:szCs w:val="24"/>
          <w:lang w:val="en-US"/>
        </w:rPr>
        <w:t>F</w:t>
      </w:r>
      <w:r w:rsidR="00F43407">
        <w:rPr>
          <w:sz w:val="24"/>
          <w:szCs w:val="24"/>
          <w:lang w:val="en-US"/>
        </w:rPr>
        <w:t>s&lt;1</w:t>
      </w:r>
      <w:r>
        <w:rPr>
          <w:sz w:val="24"/>
          <w:szCs w:val="24"/>
          <w:lang w:val="en-US"/>
        </w:rPr>
        <w:t>.</w:t>
      </w:r>
    </w:p>
    <w:p w14:paraId="7C8A4D74" w14:textId="71D942F7" w:rsidR="00D55F83" w:rsidRPr="00B06D95" w:rsidRDefault="00B06D95" w:rsidP="00B06D95">
      <w:pPr>
        <w:tabs>
          <w:tab w:val="center" w:pos="4536"/>
        </w:tabs>
        <w:adjustRightInd w:val="0"/>
        <w:spacing w:line="480" w:lineRule="auto"/>
        <w:ind w:firstLine="567"/>
        <w:rPr>
          <w:i/>
          <w:sz w:val="24"/>
          <w:szCs w:val="24"/>
          <w:lang w:val="en-US" w:eastAsia="en-GB"/>
        </w:rPr>
      </w:pPr>
      <w:r w:rsidRPr="002A6FFD">
        <w:rPr>
          <w:color w:val="000000" w:themeColor="text1"/>
          <w:sz w:val="24"/>
          <w:szCs w:val="24"/>
          <w:lang w:val="en-US" w:eastAsia="en-GB"/>
        </w:rPr>
        <w:t xml:space="preserve">On the one hand, </w:t>
      </w:r>
      <w:r w:rsidRPr="002A6FFD">
        <w:rPr>
          <w:color w:val="000000" w:themeColor="text1"/>
          <w:sz w:val="24"/>
          <w:szCs w:val="24"/>
          <w:lang w:val="en-GB"/>
        </w:rPr>
        <w:t xml:space="preserve">the </w:t>
      </w:r>
      <w:r>
        <w:rPr>
          <w:color w:val="000000" w:themeColor="text1"/>
          <w:sz w:val="24"/>
          <w:szCs w:val="24"/>
          <w:lang w:val="en-GB"/>
        </w:rPr>
        <w:t>results of Experiment 2A</w:t>
      </w:r>
      <w:r w:rsidRPr="002A6FFD">
        <w:rPr>
          <w:color w:val="000000" w:themeColor="text1"/>
          <w:sz w:val="24"/>
          <w:szCs w:val="24"/>
          <w:lang w:val="en-GB"/>
        </w:rPr>
        <w:t xml:space="preserve"> confirm that the common element X is less effective as a conditioned stimulus than the unique element </w:t>
      </w:r>
      <w:proofErr w:type="gramStart"/>
      <w:r w:rsidRPr="002A6FFD">
        <w:rPr>
          <w:color w:val="000000" w:themeColor="text1"/>
          <w:sz w:val="24"/>
          <w:szCs w:val="24"/>
          <w:lang w:val="en-GB"/>
        </w:rPr>
        <w:t>A</w:t>
      </w:r>
      <w:proofErr w:type="gramEnd"/>
      <w:r w:rsidRPr="002A6FFD">
        <w:rPr>
          <w:color w:val="000000" w:themeColor="text1"/>
          <w:sz w:val="24"/>
          <w:szCs w:val="24"/>
          <w:lang w:val="en-GB"/>
        </w:rPr>
        <w:t xml:space="preserve"> both after intermixed and blocked pre-exposure. This is hardly surprising given that X receives double amount of exposure than the unique elements both after intermixed and blocked pre-exposure; this finding is easily accommodated by associative explanations of perceptual learning.</w:t>
      </w:r>
      <w:r w:rsidR="00D579FB">
        <w:rPr>
          <w:i/>
          <w:sz w:val="24"/>
          <w:szCs w:val="24"/>
          <w:lang w:val="en-US" w:eastAsia="en-GB"/>
        </w:rPr>
        <w:tab/>
      </w:r>
      <w:r>
        <w:rPr>
          <w:sz w:val="24"/>
          <w:szCs w:val="24"/>
          <w:lang w:val="en-US" w:eastAsia="en-GB"/>
        </w:rPr>
        <w:t xml:space="preserve"> On the other hand, t</w:t>
      </w:r>
      <w:r w:rsidR="00D55F83">
        <w:rPr>
          <w:color w:val="000000" w:themeColor="text1"/>
          <w:sz w:val="24"/>
          <w:szCs w:val="24"/>
          <w:lang w:val="en-GB"/>
        </w:rPr>
        <w:t>he</w:t>
      </w:r>
      <w:r w:rsidR="00D55F83" w:rsidRPr="00063AC0">
        <w:rPr>
          <w:color w:val="000000" w:themeColor="text1"/>
          <w:sz w:val="24"/>
          <w:szCs w:val="24"/>
          <w:lang w:val="en-GB"/>
        </w:rPr>
        <w:t xml:space="preserve"> results </w:t>
      </w:r>
      <w:r w:rsidR="00D55F83">
        <w:rPr>
          <w:color w:val="000000" w:themeColor="text1"/>
          <w:sz w:val="24"/>
          <w:szCs w:val="24"/>
          <w:lang w:val="en-GB"/>
        </w:rPr>
        <w:t>also replicate</w:t>
      </w:r>
      <w:r w:rsidR="00D55F83" w:rsidRPr="00063AC0">
        <w:rPr>
          <w:color w:val="000000" w:themeColor="text1"/>
          <w:sz w:val="24"/>
          <w:szCs w:val="24"/>
          <w:lang w:val="en-GB"/>
        </w:rPr>
        <w:t xml:space="preserve"> the absence of differences between the Intermixed and </w:t>
      </w:r>
      <w:r w:rsidR="00D55F83">
        <w:rPr>
          <w:color w:val="000000" w:themeColor="text1"/>
          <w:sz w:val="24"/>
          <w:szCs w:val="24"/>
          <w:lang w:val="en-GB"/>
        </w:rPr>
        <w:t xml:space="preserve">the </w:t>
      </w:r>
      <w:r w:rsidR="00D55F83" w:rsidRPr="00063AC0">
        <w:rPr>
          <w:color w:val="000000" w:themeColor="text1"/>
          <w:sz w:val="24"/>
          <w:szCs w:val="24"/>
          <w:lang w:val="en-GB"/>
        </w:rPr>
        <w:t xml:space="preserve">Blocked groups during conditioning either </w:t>
      </w:r>
      <w:r w:rsidR="00D55F83" w:rsidRPr="00063AC0">
        <w:rPr>
          <w:color w:val="000000" w:themeColor="text1"/>
          <w:sz w:val="24"/>
          <w:szCs w:val="24"/>
          <w:lang w:val="en-GB"/>
        </w:rPr>
        <w:lastRenderedPageBreak/>
        <w:t xml:space="preserve">with the common </w:t>
      </w:r>
      <w:r w:rsidR="00D55F83">
        <w:rPr>
          <w:color w:val="000000" w:themeColor="text1"/>
          <w:sz w:val="24"/>
          <w:szCs w:val="24"/>
          <w:lang w:val="en-GB"/>
        </w:rPr>
        <w:t>and</w:t>
      </w:r>
      <w:r w:rsidR="00D55F83" w:rsidRPr="00063AC0">
        <w:rPr>
          <w:color w:val="000000" w:themeColor="text1"/>
          <w:sz w:val="24"/>
          <w:szCs w:val="24"/>
          <w:lang w:val="en-GB"/>
        </w:rPr>
        <w:t xml:space="preserve"> the unique elements</w:t>
      </w:r>
      <w:r w:rsidR="00D55F83">
        <w:rPr>
          <w:color w:val="000000" w:themeColor="text1"/>
          <w:sz w:val="24"/>
          <w:szCs w:val="24"/>
          <w:lang w:val="en-GB"/>
        </w:rPr>
        <w:t xml:space="preserve"> (e.g., Mondragon &amp; Hall, 2002, in flavour aversion tasks; Mondragon &amp; Murphy, 2010, in appetitive conditioning of the X element)</w:t>
      </w:r>
      <w:r w:rsidR="00D55F83" w:rsidRPr="00063AC0">
        <w:rPr>
          <w:color w:val="000000" w:themeColor="text1"/>
          <w:sz w:val="24"/>
          <w:szCs w:val="24"/>
          <w:lang w:val="en-GB"/>
        </w:rPr>
        <w:t>.</w:t>
      </w:r>
      <w:r w:rsidR="00D55F83" w:rsidRPr="00C05D4B">
        <w:rPr>
          <w:sz w:val="24"/>
          <w:szCs w:val="24"/>
          <w:lang w:val="en-GB"/>
        </w:rPr>
        <w:t xml:space="preserve"> Mondragon and Murphy, however, observed a quicker extinction of the X element after intermixed pre-exposure, a result they interpreted as evidence for acquisition of associative strength—and hence lower salience of X—but could also be seen as higher acquisition of extinction</w:t>
      </w:r>
      <w:r w:rsidR="00D55F83">
        <w:rPr>
          <w:sz w:val="24"/>
          <w:szCs w:val="24"/>
          <w:lang w:val="en-GB"/>
        </w:rPr>
        <w:t xml:space="preserve">—and hence </w:t>
      </w:r>
      <w:r w:rsidR="00D55F83" w:rsidRPr="00C05D4B">
        <w:rPr>
          <w:sz w:val="24"/>
          <w:szCs w:val="24"/>
          <w:lang w:val="en-GB"/>
        </w:rPr>
        <w:t>higher salience</w:t>
      </w:r>
      <w:r w:rsidR="00D55F83">
        <w:rPr>
          <w:sz w:val="24"/>
          <w:szCs w:val="24"/>
          <w:lang w:val="en-GB"/>
        </w:rPr>
        <w:t>, leav</w:t>
      </w:r>
      <w:r w:rsidR="00D55F83" w:rsidRPr="00C05D4B">
        <w:rPr>
          <w:sz w:val="24"/>
          <w:szCs w:val="24"/>
          <w:lang w:val="en-GB"/>
        </w:rPr>
        <w:t>ing that result inconclusive.</w:t>
      </w:r>
    </w:p>
    <w:p w14:paraId="60CA6741" w14:textId="065275D4" w:rsidR="00D55F83" w:rsidRPr="00BD1614" w:rsidRDefault="00D55F83" w:rsidP="00D55F83">
      <w:pPr>
        <w:tabs>
          <w:tab w:val="center" w:pos="4536"/>
        </w:tabs>
        <w:adjustRightInd w:val="0"/>
        <w:spacing w:line="480" w:lineRule="auto"/>
        <w:ind w:firstLine="567"/>
        <w:rPr>
          <w:sz w:val="24"/>
          <w:szCs w:val="24"/>
          <w:lang w:val="en-GB"/>
        </w:rPr>
      </w:pPr>
      <w:r w:rsidRPr="00BD1614">
        <w:rPr>
          <w:sz w:val="24"/>
          <w:szCs w:val="24"/>
          <w:lang w:val="en-US"/>
        </w:rPr>
        <w:t xml:space="preserve"> Although the pre-exposure parameters used here successfully enhance the discriminability of AX and BX in the intermixed condition </w:t>
      </w:r>
      <w:r w:rsidRPr="00BD1614">
        <w:rPr>
          <w:sz w:val="24"/>
          <w:szCs w:val="24"/>
          <w:lang w:val="en-GB"/>
        </w:rPr>
        <w:t>(</w:t>
      </w:r>
      <w:r w:rsidR="00B06D95">
        <w:rPr>
          <w:sz w:val="24"/>
          <w:szCs w:val="24"/>
          <w:lang w:val="en-GB"/>
        </w:rPr>
        <w:t xml:space="preserve">see </w:t>
      </w:r>
      <w:r w:rsidRPr="00BD1614">
        <w:rPr>
          <w:sz w:val="24"/>
          <w:szCs w:val="24"/>
          <w:lang w:val="en-GB"/>
        </w:rPr>
        <w:t>Artigas &amp; Prados, 2017</w:t>
      </w:r>
      <w:r w:rsidR="00B06D95">
        <w:rPr>
          <w:sz w:val="24"/>
          <w:szCs w:val="24"/>
          <w:lang w:val="en-GB"/>
        </w:rPr>
        <w:t>, for an identical experiment with a generalization test</w:t>
      </w:r>
      <w:r w:rsidRPr="00BD1614">
        <w:rPr>
          <w:sz w:val="24"/>
          <w:szCs w:val="24"/>
          <w:lang w:val="en-GB"/>
        </w:rPr>
        <w:t xml:space="preserve">; </w:t>
      </w:r>
      <w:r w:rsidR="00B06D95">
        <w:rPr>
          <w:sz w:val="24"/>
          <w:szCs w:val="24"/>
          <w:lang w:val="en-GB"/>
        </w:rPr>
        <w:t xml:space="preserve">also </w:t>
      </w:r>
      <w:r w:rsidRPr="00BD1614">
        <w:rPr>
          <w:sz w:val="24"/>
          <w:szCs w:val="24"/>
          <w:lang w:val="en-GB"/>
        </w:rPr>
        <w:t xml:space="preserve">Mondragon &amp; Murphy, 2010) they seem to be insufficient to differentially affect the salience of the unique and the common elements in the two pre-exposure procedures, intermixed and blocked. </w:t>
      </w:r>
      <w:r>
        <w:rPr>
          <w:sz w:val="24"/>
          <w:szCs w:val="24"/>
          <w:lang w:val="en-US"/>
        </w:rPr>
        <w:t>As mentioned above, i</w:t>
      </w:r>
      <w:r w:rsidRPr="00BD1614">
        <w:rPr>
          <w:sz w:val="24"/>
          <w:szCs w:val="24"/>
          <w:lang w:val="en-US"/>
        </w:rPr>
        <w:t xml:space="preserve">t could be the case that </w:t>
      </w:r>
      <w:r w:rsidRPr="00BD1614">
        <w:rPr>
          <w:sz w:val="24"/>
          <w:szCs w:val="24"/>
          <w:lang w:val="en-GB"/>
        </w:rPr>
        <w:t>the modified salience of the unique and common elements affect the ease at which animals discriminate between the compound stimuli AX and BX, but it is not sufficient to guarantee an effect on the acquisition of associative strength when used as a CSs in Pavlovian conditioning.</w:t>
      </w:r>
    </w:p>
    <w:p w14:paraId="02E071BF" w14:textId="77777777" w:rsidR="00D579FB" w:rsidRPr="002A6FFD" w:rsidRDefault="00D579FB" w:rsidP="00D579FB">
      <w:pPr>
        <w:tabs>
          <w:tab w:val="center" w:pos="4275"/>
          <w:tab w:val="left" w:pos="7143"/>
        </w:tabs>
        <w:adjustRightInd w:val="0"/>
        <w:spacing w:line="480" w:lineRule="auto"/>
        <w:jc w:val="center"/>
        <w:rPr>
          <w:iCs/>
          <w:color w:val="000000" w:themeColor="text1"/>
          <w:sz w:val="24"/>
          <w:szCs w:val="24"/>
          <w:lang w:val="en-US"/>
        </w:rPr>
      </w:pPr>
      <w:r w:rsidRPr="002A6FFD">
        <w:rPr>
          <w:iCs/>
          <w:color w:val="000000" w:themeColor="text1"/>
          <w:sz w:val="24"/>
          <w:szCs w:val="24"/>
          <w:lang w:val="en-US"/>
        </w:rPr>
        <w:t>Experiment 2B</w:t>
      </w:r>
    </w:p>
    <w:p w14:paraId="77784E1A" w14:textId="77777777" w:rsidR="00D579FB" w:rsidRPr="004477D4" w:rsidRDefault="00D579FB" w:rsidP="00D579FB">
      <w:pPr>
        <w:tabs>
          <w:tab w:val="center" w:pos="4275"/>
          <w:tab w:val="left" w:pos="6468"/>
          <w:tab w:val="left" w:pos="7483"/>
          <w:tab w:val="left" w:pos="9072"/>
        </w:tabs>
        <w:spacing w:line="480" w:lineRule="auto"/>
        <w:ind w:right="-45"/>
        <w:jc w:val="center"/>
        <w:rPr>
          <w:iCs/>
          <w:sz w:val="24"/>
          <w:szCs w:val="24"/>
          <w:lang w:val="en-US"/>
        </w:rPr>
      </w:pPr>
      <w:r w:rsidRPr="00277C72">
        <w:rPr>
          <w:iCs/>
          <w:sz w:val="24"/>
          <w:szCs w:val="24"/>
          <w:lang w:val="en-US"/>
        </w:rPr>
        <w:t>Method</w:t>
      </w:r>
    </w:p>
    <w:p w14:paraId="5D59319C" w14:textId="77777777" w:rsidR="00D579FB" w:rsidRDefault="00D579FB" w:rsidP="00D579FB">
      <w:pPr>
        <w:tabs>
          <w:tab w:val="center" w:pos="4700"/>
          <w:tab w:val="left" w:pos="5873"/>
        </w:tabs>
        <w:spacing w:line="480" w:lineRule="auto"/>
        <w:ind w:right="-45" w:firstLine="567"/>
        <w:rPr>
          <w:sz w:val="24"/>
          <w:szCs w:val="24"/>
          <w:lang w:val="en-US"/>
        </w:rPr>
      </w:pPr>
      <w:r w:rsidRPr="00510F30">
        <w:rPr>
          <w:i/>
          <w:iCs/>
          <w:sz w:val="24"/>
          <w:szCs w:val="24"/>
          <w:lang w:val="en-US"/>
        </w:rPr>
        <w:t>Subjects</w:t>
      </w:r>
      <w:r>
        <w:rPr>
          <w:i/>
          <w:iCs/>
          <w:sz w:val="24"/>
          <w:szCs w:val="24"/>
          <w:lang w:val="en-US"/>
        </w:rPr>
        <w:t xml:space="preserve"> and apparatus</w:t>
      </w:r>
      <w:r>
        <w:rPr>
          <w:sz w:val="24"/>
          <w:szCs w:val="24"/>
          <w:lang w:val="en-US"/>
        </w:rPr>
        <w:tab/>
      </w:r>
    </w:p>
    <w:p w14:paraId="41D1094F" w14:textId="2658FCCC" w:rsidR="00D579FB" w:rsidRPr="00386A60" w:rsidRDefault="00B06D95" w:rsidP="00D579FB">
      <w:pPr>
        <w:tabs>
          <w:tab w:val="center" w:pos="4700"/>
          <w:tab w:val="left" w:pos="5873"/>
        </w:tabs>
        <w:spacing w:line="480" w:lineRule="auto"/>
        <w:ind w:right="-45" w:firstLine="567"/>
        <w:rPr>
          <w:sz w:val="24"/>
          <w:szCs w:val="24"/>
          <w:lang w:val="en-US"/>
        </w:rPr>
      </w:pPr>
      <w:r w:rsidRPr="00B06D95">
        <w:rPr>
          <w:iCs/>
          <w:sz w:val="24"/>
          <w:szCs w:val="24"/>
          <w:lang w:val="en-US"/>
        </w:rPr>
        <w:t>The subjects were 32 male hooded Long Evans rats (ad lib body weight range 331.6:484.6 g) that had been previously used in a spatial learning experiment using the water maze. The stimuli used were the same described for the previous experiments.</w:t>
      </w:r>
    </w:p>
    <w:p w14:paraId="0B5EFB29" w14:textId="77777777" w:rsidR="00D579FB" w:rsidRDefault="00D579FB" w:rsidP="00D579FB">
      <w:pPr>
        <w:tabs>
          <w:tab w:val="center" w:pos="4275"/>
          <w:tab w:val="left" w:pos="5352"/>
          <w:tab w:val="left" w:pos="9072"/>
        </w:tabs>
        <w:spacing w:line="480" w:lineRule="auto"/>
        <w:ind w:right="-45" w:firstLine="567"/>
        <w:rPr>
          <w:iCs/>
          <w:sz w:val="24"/>
          <w:szCs w:val="24"/>
          <w:lang w:val="en-US"/>
        </w:rPr>
      </w:pPr>
      <w:r w:rsidRPr="001267F8">
        <w:rPr>
          <w:i/>
          <w:iCs/>
          <w:sz w:val="24"/>
          <w:szCs w:val="24"/>
          <w:lang w:val="en-US"/>
        </w:rPr>
        <w:t>Procedure</w:t>
      </w:r>
    </w:p>
    <w:p w14:paraId="55D6171B" w14:textId="674CAA34" w:rsidR="00D579FB" w:rsidRPr="00063AC0" w:rsidRDefault="00D579FB" w:rsidP="00D579FB">
      <w:pPr>
        <w:tabs>
          <w:tab w:val="center" w:pos="4275"/>
          <w:tab w:val="left" w:pos="7143"/>
        </w:tabs>
        <w:adjustRightInd w:val="0"/>
        <w:spacing w:line="480" w:lineRule="auto"/>
        <w:ind w:firstLine="567"/>
        <w:rPr>
          <w:color w:val="000000" w:themeColor="text1"/>
          <w:sz w:val="24"/>
          <w:szCs w:val="24"/>
          <w:lang w:val="en-GB"/>
        </w:rPr>
      </w:pPr>
      <w:r w:rsidRPr="00063AC0">
        <w:rPr>
          <w:iCs/>
          <w:color w:val="000000" w:themeColor="text1"/>
          <w:sz w:val="24"/>
          <w:szCs w:val="24"/>
          <w:lang w:val="en-US"/>
        </w:rPr>
        <w:lastRenderedPageBreak/>
        <w:t xml:space="preserve">The procedure of Experiment 2B replicates the </w:t>
      </w:r>
      <w:r w:rsidR="00063AC0">
        <w:rPr>
          <w:iCs/>
          <w:color w:val="000000" w:themeColor="text1"/>
          <w:sz w:val="24"/>
          <w:szCs w:val="24"/>
          <w:lang w:val="en-US"/>
        </w:rPr>
        <w:t xml:space="preserve">one described for </w:t>
      </w:r>
      <w:r w:rsidR="00063AC0" w:rsidRPr="00063AC0">
        <w:rPr>
          <w:iCs/>
          <w:color w:val="000000" w:themeColor="text1"/>
          <w:sz w:val="24"/>
          <w:szCs w:val="24"/>
          <w:lang w:val="en-US"/>
        </w:rPr>
        <w:t>Experiment 2A</w:t>
      </w:r>
      <w:r w:rsidR="00B06D95">
        <w:rPr>
          <w:iCs/>
          <w:color w:val="000000" w:themeColor="text1"/>
          <w:sz w:val="24"/>
          <w:szCs w:val="24"/>
          <w:lang w:val="en-US"/>
        </w:rPr>
        <w:t xml:space="preserve"> </w:t>
      </w:r>
      <w:r w:rsidR="00B06D95" w:rsidRPr="00063AC0">
        <w:rPr>
          <w:iCs/>
          <w:color w:val="000000" w:themeColor="text1"/>
          <w:sz w:val="24"/>
          <w:szCs w:val="24"/>
          <w:lang w:val="en-US"/>
        </w:rPr>
        <w:t xml:space="preserve">but using </w:t>
      </w:r>
      <w:r w:rsidR="00B06D95" w:rsidRPr="00063AC0">
        <w:rPr>
          <w:color w:val="000000" w:themeColor="text1"/>
          <w:sz w:val="24"/>
          <w:szCs w:val="24"/>
          <w:lang w:val="en-GB"/>
        </w:rPr>
        <w:t xml:space="preserve">a </w:t>
      </w:r>
      <w:r w:rsidR="00B06D95">
        <w:rPr>
          <w:color w:val="000000" w:themeColor="text1"/>
          <w:sz w:val="24"/>
          <w:szCs w:val="24"/>
          <w:lang w:val="en-GB"/>
        </w:rPr>
        <w:t>longer</w:t>
      </w:r>
      <w:r w:rsidR="00B06D95" w:rsidRPr="00063AC0">
        <w:rPr>
          <w:color w:val="000000" w:themeColor="text1"/>
          <w:sz w:val="24"/>
          <w:szCs w:val="24"/>
          <w:lang w:val="en-GB"/>
        </w:rPr>
        <w:t xml:space="preserve"> pre-exposure phase: </w:t>
      </w:r>
      <w:r w:rsidR="00B06D95">
        <w:rPr>
          <w:color w:val="000000" w:themeColor="text1"/>
          <w:sz w:val="24"/>
          <w:szCs w:val="24"/>
          <w:lang w:val="en-GB"/>
        </w:rPr>
        <w:t>twenty</w:t>
      </w:r>
      <w:r w:rsidR="00B06D95" w:rsidRPr="00063AC0">
        <w:rPr>
          <w:color w:val="000000" w:themeColor="text1"/>
          <w:sz w:val="24"/>
          <w:szCs w:val="24"/>
          <w:lang w:val="en-GB"/>
        </w:rPr>
        <w:t xml:space="preserve"> pre-exposure trials to each compound, AX and BX</w:t>
      </w:r>
      <w:r w:rsidR="00B06D95">
        <w:rPr>
          <w:color w:val="000000" w:themeColor="text1"/>
          <w:sz w:val="24"/>
          <w:szCs w:val="24"/>
          <w:lang w:val="en-GB"/>
        </w:rPr>
        <w:t>, over four days (as in Experiment 1)</w:t>
      </w:r>
      <w:r w:rsidR="00B06D95" w:rsidRPr="00063AC0">
        <w:rPr>
          <w:color w:val="000000" w:themeColor="text1"/>
          <w:sz w:val="24"/>
          <w:szCs w:val="24"/>
          <w:lang w:val="en-GB"/>
        </w:rPr>
        <w:t>.</w:t>
      </w:r>
      <w:r w:rsidR="00B06D95" w:rsidRPr="00063AC0">
        <w:rPr>
          <w:iCs/>
          <w:color w:val="000000" w:themeColor="text1"/>
          <w:sz w:val="24"/>
          <w:szCs w:val="24"/>
          <w:lang w:val="en-US"/>
        </w:rPr>
        <w:t xml:space="preserve"> </w:t>
      </w:r>
      <w:r w:rsidR="00063AC0" w:rsidRPr="00063AC0">
        <w:rPr>
          <w:iCs/>
          <w:color w:val="000000" w:themeColor="text1"/>
          <w:sz w:val="24"/>
          <w:szCs w:val="24"/>
          <w:lang w:val="en-US"/>
        </w:rPr>
        <w:t xml:space="preserve"> </w:t>
      </w:r>
    </w:p>
    <w:p w14:paraId="0A288D3E" w14:textId="78A90B3A" w:rsidR="00E814A4" w:rsidRPr="00B2069A" w:rsidRDefault="00D579FB" w:rsidP="00B2069A">
      <w:pPr>
        <w:tabs>
          <w:tab w:val="center" w:pos="4275"/>
          <w:tab w:val="left" w:pos="5352"/>
          <w:tab w:val="left" w:pos="6826"/>
          <w:tab w:val="left" w:pos="9072"/>
        </w:tabs>
        <w:spacing w:line="480" w:lineRule="auto"/>
        <w:ind w:right="-45"/>
        <w:rPr>
          <w:sz w:val="24"/>
          <w:szCs w:val="24"/>
          <w:lang w:val="en-GB"/>
        </w:rPr>
      </w:pPr>
      <w:r>
        <w:rPr>
          <w:sz w:val="24"/>
          <w:szCs w:val="24"/>
          <w:lang w:val="en-GB"/>
        </w:rPr>
        <w:tab/>
      </w:r>
      <w:r w:rsidRPr="00277C72">
        <w:rPr>
          <w:sz w:val="24"/>
          <w:szCs w:val="24"/>
          <w:lang w:val="en-GB"/>
        </w:rPr>
        <w:t>Results</w:t>
      </w:r>
      <w:r>
        <w:rPr>
          <w:sz w:val="24"/>
          <w:szCs w:val="24"/>
          <w:lang w:val="en-GB"/>
        </w:rPr>
        <w:t xml:space="preserve"> and discussion</w:t>
      </w:r>
      <w:r w:rsidR="00391B20">
        <w:rPr>
          <w:sz w:val="24"/>
          <w:szCs w:val="24"/>
          <w:lang w:val="en-US" w:eastAsia="en-GB"/>
        </w:rPr>
        <w:t xml:space="preserve"> </w:t>
      </w:r>
    </w:p>
    <w:p w14:paraId="229A011E" w14:textId="7AFF0514" w:rsidR="009D1533" w:rsidRPr="000C1694" w:rsidRDefault="009D1533" w:rsidP="009D1533">
      <w:pPr>
        <w:adjustRightInd w:val="0"/>
        <w:spacing w:line="480" w:lineRule="auto"/>
        <w:ind w:firstLine="567"/>
        <w:rPr>
          <w:sz w:val="24"/>
          <w:szCs w:val="24"/>
          <w:lang w:val="en-US" w:eastAsia="en-GB"/>
        </w:rPr>
      </w:pPr>
      <w:r w:rsidRPr="000C1694">
        <w:rPr>
          <w:sz w:val="24"/>
          <w:szCs w:val="24"/>
          <w:lang w:val="en-US" w:eastAsia="en-GB"/>
        </w:rPr>
        <w:t xml:space="preserve">One animal in Group Blocked only showed magazine activity in three of the </w:t>
      </w:r>
      <w:r w:rsidR="000C1694" w:rsidRPr="000C1694">
        <w:rPr>
          <w:sz w:val="24"/>
          <w:szCs w:val="24"/>
          <w:lang w:val="en-US" w:eastAsia="en-GB"/>
        </w:rPr>
        <w:t>thirty</w:t>
      </w:r>
      <w:r w:rsidRPr="000C1694">
        <w:rPr>
          <w:sz w:val="24"/>
          <w:szCs w:val="24"/>
          <w:lang w:val="en-US" w:eastAsia="en-GB"/>
        </w:rPr>
        <w:t xml:space="preserve"> conditioning trials with the compound AX</w:t>
      </w:r>
      <w:r w:rsidR="000C1694" w:rsidRPr="000C1694">
        <w:rPr>
          <w:sz w:val="24"/>
          <w:szCs w:val="24"/>
          <w:lang w:val="en-US" w:eastAsia="en-GB"/>
        </w:rPr>
        <w:t xml:space="preserve"> (trials 1, 28 and 29</w:t>
      </w:r>
      <w:r w:rsidRPr="000C1694">
        <w:rPr>
          <w:sz w:val="24"/>
          <w:szCs w:val="24"/>
          <w:lang w:val="en-US" w:eastAsia="en-GB"/>
        </w:rPr>
        <w:t xml:space="preserve">), showing a total of </w:t>
      </w:r>
      <w:r w:rsidR="000C1694" w:rsidRPr="000C1694">
        <w:rPr>
          <w:sz w:val="24"/>
          <w:szCs w:val="24"/>
          <w:lang w:val="en-US" w:eastAsia="en-GB"/>
        </w:rPr>
        <w:t>4.97</w:t>
      </w:r>
      <w:r w:rsidRPr="000C1694">
        <w:rPr>
          <w:sz w:val="24"/>
          <w:szCs w:val="24"/>
          <w:lang w:val="en-US" w:eastAsia="en-GB"/>
        </w:rPr>
        <w:t xml:space="preserve"> s of magazine activity in the Pre-CS periods, and </w:t>
      </w:r>
      <w:r w:rsidR="0025582E">
        <w:rPr>
          <w:sz w:val="24"/>
          <w:szCs w:val="24"/>
          <w:lang w:val="en-US" w:eastAsia="en-GB"/>
        </w:rPr>
        <w:t xml:space="preserve">only </w:t>
      </w:r>
      <w:r w:rsidR="000C1694" w:rsidRPr="000C1694">
        <w:rPr>
          <w:sz w:val="24"/>
          <w:szCs w:val="24"/>
          <w:lang w:val="en-US" w:eastAsia="en-GB"/>
        </w:rPr>
        <w:t>0.10</w:t>
      </w:r>
      <w:r w:rsidRPr="000C1694">
        <w:rPr>
          <w:sz w:val="24"/>
          <w:szCs w:val="24"/>
          <w:lang w:val="en-US" w:eastAsia="en-GB"/>
        </w:rPr>
        <w:t xml:space="preserve"> s in the presence of the CS</w:t>
      </w:r>
      <w:r w:rsidR="0025582E">
        <w:rPr>
          <w:sz w:val="24"/>
          <w:szCs w:val="24"/>
          <w:lang w:val="en-US" w:eastAsia="en-GB"/>
        </w:rPr>
        <w:t xml:space="preserve"> in the whole conditioning phase</w:t>
      </w:r>
      <w:r w:rsidR="00EA25A9">
        <w:rPr>
          <w:sz w:val="24"/>
          <w:szCs w:val="24"/>
          <w:lang w:val="en-US" w:eastAsia="en-GB"/>
        </w:rPr>
        <w:t xml:space="preserve"> (just one brief entrance to the magazine in trial 29)</w:t>
      </w:r>
      <w:r w:rsidRPr="000C1694">
        <w:rPr>
          <w:sz w:val="24"/>
          <w:szCs w:val="24"/>
          <w:lang w:val="en-US" w:eastAsia="en-GB"/>
        </w:rPr>
        <w:t xml:space="preserve">. </w:t>
      </w:r>
      <w:r w:rsidR="00EE4D93">
        <w:rPr>
          <w:sz w:val="24"/>
          <w:szCs w:val="24"/>
          <w:lang w:val="en-US" w:eastAsia="en-GB"/>
        </w:rPr>
        <w:t xml:space="preserve">The animal </w:t>
      </w:r>
      <w:r w:rsidR="0025582E">
        <w:rPr>
          <w:sz w:val="24"/>
          <w:szCs w:val="24"/>
          <w:lang w:val="en-US" w:eastAsia="en-GB"/>
        </w:rPr>
        <w:t>gradually developed</w:t>
      </w:r>
      <w:r w:rsidR="00EE4D93">
        <w:rPr>
          <w:sz w:val="24"/>
          <w:szCs w:val="24"/>
          <w:lang w:val="en-US" w:eastAsia="en-GB"/>
        </w:rPr>
        <w:t xml:space="preserve"> </w:t>
      </w:r>
      <w:r w:rsidR="0025582E">
        <w:rPr>
          <w:sz w:val="24"/>
          <w:szCs w:val="24"/>
          <w:lang w:val="en-US" w:eastAsia="en-GB"/>
        </w:rPr>
        <w:t>some magazine activity during the inter trial intervals (</w:t>
      </w:r>
      <w:r w:rsidR="00BF771F">
        <w:rPr>
          <w:sz w:val="24"/>
          <w:szCs w:val="24"/>
          <w:lang w:val="en-US" w:eastAsia="en-GB"/>
        </w:rPr>
        <w:t>IT</w:t>
      </w:r>
      <w:r w:rsidR="0025582E">
        <w:rPr>
          <w:sz w:val="24"/>
          <w:szCs w:val="24"/>
          <w:lang w:val="en-US" w:eastAsia="en-GB"/>
        </w:rPr>
        <w:t>I) from one brief response of half a second in the first conditioning session, to fifty-five responses in five o</w:t>
      </w:r>
      <w:r w:rsidR="00BF771F">
        <w:rPr>
          <w:sz w:val="24"/>
          <w:szCs w:val="24"/>
          <w:lang w:val="en-US" w:eastAsia="en-GB"/>
        </w:rPr>
        <w:t>f the IT</w:t>
      </w:r>
      <w:r w:rsidR="0025582E">
        <w:rPr>
          <w:sz w:val="24"/>
          <w:szCs w:val="24"/>
          <w:lang w:val="en-US" w:eastAsia="en-GB"/>
        </w:rPr>
        <w:t xml:space="preserve">I periods in day 2 and fifty-five responses in eight </w:t>
      </w:r>
      <w:r w:rsidR="00BF771F">
        <w:rPr>
          <w:sz w:val="24"/>
          <w:szCs w:val="24"/>
          <w:lang w:val="en-US" w:eastAsia="en-GB"/>
        </w:rPr>
        <w:t>IT</w:t>
      </w:r>
      <w:r w:rsidR="0025582E">
        <w:rPr>
          <w:sz w:val="24"/>
          <w:szCs w:val="24"/>
          <w:lang w:val="en-US" w:eastAsia="en-GB"/>
        </w:rPr>
        <w:t>I periods in the final conditioning session; this</w:t>
      </w:r>
      <w:r w:rsidR="00EE4D93">
        <w:rPr>
          <w:sz w:val="24"/>
          <w:szCs w:val="24"/>
          <w:lang w:val="en-US" w:eastAsia="en-GB"/>
        </w:rPr>
        <w:t xml:space="preserve"> level of magazine activity was low compared to</w:t>
      </w:r>
      <w:r w:rsidR="0025582E">
        <w:rPr>
          <w:sz w:val="24"/>
          <w:szCs w:val="24"/>
          <w:lang w:val="en-US" w:eastAsia="en-GB"/>
        </w:rPr>
        <w:t xml:space="preserve"> the</w:t>
      </w:r>
      <w:r w:rsidR="00EE4D93">
        <w:rPr>
          <w:sz w:val="24"/>
          <w:szCs w:val="24"/>
          <w:lang w:val="en-US" w:eastAsia="en-GB"/>
        </w:rPr>
        <w:t xml:space="preserve"> other animals</w:t>
      </w:r>
      <w:r w:rsidR="00FF58A6">
        <w:rPr>
          <w:sz w:val="24"/>
          <w:szCs w:val="24"/>
          <w:lang w:val="en-US" w:eastAsia="en-GB"/>
        </w:rPr>
        <w:t xml:space="preserve"> i</w:t>
      </w:r>
      <w:r w:rsidR="0025582E">
        <w:rPr>
          <w:sz w:val="24"/>
          <w:szCs w:val="24"/>
          <w:lang w:val="en-US" w:eastAsia="en-GB"/>
        </w:rPr>
        <w:t>n the experiment</w:t>
      </w:r>
      <w:r w:rsidR="00EE4D93" w:rsidRPr="000C1694">
        <w:rPr>
          <w:sz w:val="24"/>
          <w:szCs w:val="24"/>
          <w:lang w:val="en-US" w:eastAsia="en-GB"/>
        </w:rPr>
        <w:t xml:space="preserve">. </w:t>
      </w:r>
      <w:r w:rsidRPr="000C1694">
        <w:rPr>
          <w:sz w:val="24"/>
          <w:szCs w:val="24"/>
          <w:lang w:val="en-US" w:eastAsia="en-GB"/>
        </w:rPr>
        <w:t xml:space="preserve">The extremely low level of magazine activity and the negative overall CS - Pre-CS score </w:t>
      </w:r>
      <w:r w:rsidR="000C1694" w:rsidRPr="000C1694">
        <w:rPr>
          <w:sz w:val="24"/>
          <w:szCs w:val="24"/>
          <w:lang w:val="en-US" w:eastAsia="en-GB"/>
        </w:rPr>
        <w:t>(-4.87</w:t>
      </w:r>
      <w:r w:rsidRPr="000C1694">
        <w:rPr>
          <w:sz w:val="24"/>
          <w:szCs w:val="24"/>
          <w:lang w:val="en-US" w:eastAsia="en-GB"/>
        </w:rPr>
        <w:t xml:space="preserve"> s) </w:t>
      </w:r>
      <w:r w:rsidR="00FF58A6">
        <w:rPr>
          <w:sz w:val="24"/>
          <w:szCs w:val="24"/>
          <w:lang w:val="en-US" w:eastAsia="en-GB"/>
        </w:rPr>
        <w:t>suggests that t</w:t>
      </w:r>
      <w:r w:rsidR="00EE4D93">
        <w:rPr>
          <w:sz w:val="24"/>
          <w:szCs w:val="24"/>
          <w:lang w:val="en-US" w:eastAsia="en-GB"/>
        </w:rPr>
        <w:t xml:space="preserve">he animal </w:t>
      </w:r>
      <w:r w:rsidR="00FF58A6">
        <w:rPr>
          <w:sz w:val="24"/>
          <w:szCs w:val="24"/>
          <w:lang w:val="en-US" w:eastAsia="en-GB"/>
        </w:rPr>
        <w:t>was</w:t>
      </w:r>
      <w:r w:rsidR="0025582E">
        <w:rPr>
          <w:sz w:val="24"/>
          <w:szCs w:val="24"/>
          <w:lang w:val="en-US" w:eastAsia="en-GB"/>
        </w:rPr>
        <w:t xml:space="preserve"> </w:t>
      </w:r>
      <w:r w:rsidR="00EE4D93">
        <w:rPr>
          <w:sz w:val="24"/>
          <w:szCs w:val="24"/>
          <w:lang w:val="en-US" w:eastAsia="en-GB"/>
        </w:rPr>
        <w:t>high</w:t>
      </w:r>
      <w:r w:rsidR="0025582E">
        <w:rPr>
          <w:sz w:val="24"/>
          <w:szCs w:val="24"/>
          <w:lang w:val="en-US" w:eastAsia="en-GB"/>
        </w:rPr>
        <w:t>ly sensitive</w:t>
      </w:r>
      <w:r w:rsidR="00EE4D93">
        <w:rPr>
          <w:sz w:val="24"/>
          <w:szCs w:val="24"/>
          <w:lang w:val="en-US" w:eastAsia="en-GB"/>
        </w:rPr>
        <w:t xml:space="preserve"> to the auditory stimuli</w:t>
      </w:r>
      <w:r w:rsidR="00FF58A6">
        <w:rPr>
          <w:sz w:val="24"/>
          <w:szCs w:val="24"/>
          <w:lang w:val="en-US" w:eastAsia="en-GB"/>
        </w:rPr>
        <w:t xml:space="preserve"> used in the experiment</w:t>
      </w:r>
      <w:r w:rsidR="00EE4D93">
        <w:rPr>
          <w:sz w:val="24"/>
          <w:szCs w:val="24"/>
          <w:lang w:val="en-US" w:eastAsia="en-GB"/>
        </w:rPr>
        <w:t xml:space="preserve"> </w:t>
      </w:r>
      <w:r w:rsidR="0025582E">
        <w:rPr>
          <w:sz w:val="24"/>
          <w:szCs w:val="24"/>
          <w:lang w:val="en-US" w:eastAsia="en-GB"/>
        </w:rPr>
        <w:t>and failed to engage with the conditioning task</w:t>
      </w:r>
      <w:r w:rsidR="00EE4D93">
        <w:rPr>
          <w:sz w:val="24"/>
          <w:szCs w:val="24"/>
          <w:lang w:val="en-US" w:eastAsia="en-GB"/>
        </w:rPr>
        <w:t>. This animal’s data were withdrawn from the experiment.</w:t>
      </w:r>
    </w:p>
    <w:p w14:paraId="6DD0E1D8" w14:textId="7140B6FA" w:rsidR="00B06D95" w:rsidRPr="00F90AB6" w:rsidRDefault="00B06D95" w:rsidP="00B06D95">
      <w:pPr>
        <w:adjustRightInd w:val="0"/>
        <w:spacing w:line="480" w:lineRule="auto"/>
        <w:ind w:firstLine="567"/>
        <w:rPr>
          <w:sz w:val="24"/>
          <w:szCs w:val="24"/>
          <w:lang w:val="en-US" w:eastAsia="en-GB"/>
        </w:rPr>
      </w:pPr>
      <w:r w:rsidRPr="00F90AB6">
        <w:rPr>
          <w:sz w:val="24"/>
          <w:szCs w:val="24"/>
          <w:lang w:val="en-US" w:eastAsia="en-GB"/>
        </w:rPr>
        <w:t xml:space="preserve">Figure </w:t>
      </w:r>
      <w:r>
        <w:rPr>
          <w:sz w:val="24"/>
          <w:szCs w:val="24"/>
          <w:lang w:val="en-US" w:eastAsia="en-GB"/>
        </w:rPr>
        <w:t>4</w:t>
      </w:r>
      <w:r w:rsidRPr="00F90AB6">
        <w:rPr>
          <w:sz w:val="24"/>
          <w:szCs w:val="24"/>
          <w:lang w:val="en-US" w:eastAsia="en-GB"/>
        </w:rPr>
        <w:t xml:space="preserve"> shows the group means for the magazine approach response during the conditioning trials with the X stimulus (left hand panel) and the A stimulus (right hand panel). An ANOVA with Stimulus (X </w:t>
      </w:r>
      <w:r w:rsidRPr="00F90AB6">
        <w:rPr>
          <w:i/>
          <w:sz w:val="24"/>
          <w:szCs w:val="24"/>
          <w:lang w:val="en-US" w:eastAsia="en-GB"/>
        </w:rPr>
        <w:t>vs.</w:t>
      </w:r>
      <w:r w:rsidRPr="00F90AB6">
        <w:rPr>
          <w:sz w:val="24"/>
          <w:szCs w:val="24"/>
          <w:lang w:val="en-US" w:eastAsia="en-GB"/>
        </w:rPr>
        <w:t xml:space="preserve"> A), Pre-exposure (Intermixed </w:t>
      </w:r>
      <w:r w:rsidRPr="00F90AB6">
        <w:rPr>
          <w:i/>
          <w:sz w:val="24"/>
          <w:szCs w:val="24"/>
          <w:lang w:val="en-US" w:eastAsia="en-GB"/>
        </w:rPr>
        <w:t>vs.</w:t>
      </w:r>
      <w:r w:rsidRPr="00F90AB6">
        <w:rPr>
          <w:sz w:val="24"/>
          <w:szCs w:val="24"/>
          <w:lang w:val="en-US" w:eastAsia="en-GB"/>
        </w:rPr>
        <w:t xml:space="preserve"> Blocked) and Blocks of Trials as factors showed a significant effect of Stimulus, </w:t>
      </w:r>
      <w:r w:rsidRPr="00F90AB6">
        <w:rPr>
          <w:i/>
          <w:sz w:val="24"/>
          <w:szCs w:val="24"/>
          <w:lang w:val="en-US" w:eastAsia="en-GB"/>
        </w:rPr>
        <w:t>F</w:t>
      </w:r>
      <w:r w:rsidRPr="00F90AB6">
        <w:rPr>
          <w:sz w:val="24"/>
          <w:szCs w:val="24"/>
          <w:lang w:val="en-US" w:eastAsia="en-GB"/>
        </w:rPr>
        <w:t>(1,27)=6.72,</w:t>
      </w:r>
      <w:r>
        <w:rPr>
          <w:sz w:val="24"/>
          <w:szCs w:val="24"/>
          <w:lang w:val="en-US" w:eastAsia="en-GB"/>
        </w:rPr>
        <w:t xml:space="preserve"> </w:t>
      </w:r>
      <w:r w:rsidRPr="00D74393">
        <w:rPr>
          <w:i/>
          <w:sz w:val="24"/>
          <w:szCs w:val="24"/>
          <w:lang w:val="en-US" w:eastAsia="en-GB"/>
        </w:rPr>
        <w:t>MSE</w:t>
      </w:r>
      <w:r>
        <w:rPr>
          <w:sz w:val="24"/>
          <w:szCs w:val="24"/>
          <w:lang w:val="en-US" w:eastAsia="en-GB"/>
        </w:rPr>
        <w:t xml:space="preserve">= 107.19, </w:t>
      </w:r>
      <w:r w:rsidRPr="00F90AB6">
        <w:rPr>
          <w:i/>
          <w:sz w:val="24"/>
          <w:szCs w:val="24"/>
          <w:lang w:val="en-US" w:eastAsia="en-GB"/>
        </w:rPr>
        <w:t>p</w:t>
      </w:r>
      <w:r w:rsidRPr="00F90AB6">
        <w:rPr>
          <w:sz w:val="24"/>
          <w:szCs w:val="24"/>
          <w:lang w:val="en-US" w:eastAsia="en-GB"/>
        </w:rPr>
        <w:t xml:space="preserve">=.01, </w:t>
      </w:r>
      <w:r w:rsidRPr="00F90AB6">
        <w:rPr>
          <w:i/>
          <w:sz w:val="24"/>
          <w:szCs w:val="24"/>
          <w:lang w:val="en-US"/>
        </w:rPr>
        <w:t>η</w:t>
      </w:r>
      <w:r w:rsidRPr="00F90AB6">
        <w:rPr>
          <w:i/>
          <w:sz w:val="24"/>
          <w:szCs w:val="24"/>
          <w:vertAlign w:val="subscript"/>
          <w:lang w:val="en-US"/>
        </w:rPr>
        <w:t>p</w:t>
      </w:r>
      <w:r w:rsidRPr="00F90AB6">
        <w:rPr>
          <w:i/>
          <w:sz w:val="24"/>
          <w:szCs w:val="24"/>
          <w:vertAlign w:val="superscript"/>
          <w:lang w:val="en-US"/>
        </w:rPr>
        <w:t>2</w:t>
      </w:r>
      <w:r w:rsidRPr="00F90AB6">
        <w:rPr>
          <w:sz w:val="24"/>
          <w:szCs w:val="24"/>
          <w:lang w:val="en-US"/>
        </w:rPr>
        <w:t xml:space="preserve">=.19, 95% CI [.01, .43], Pre-exposure,  </w:t>
      </w:r>
      <w:r w:rsidRPr="00F90AB6">
        <w:rPr>
          <w:i/>
          <w:sz w:val="24"/>
          <w:szCs w:val="24"/>
          <w:lang w:val="en-US"/>
        </w:rPr>
        <w:t>F</w:t>
      </w:r>
      <w:r w:rsidRPr="00F90AB6">
        <w:rPr>
          <w:sz w:val="24"/>
          <w:szCs w:val="24"/>
          <w:lang w:val="en-US"/>
        </w:rPr>
        <w:t>(1,27)=4.99,</w:t>
      </w:r>
      <w:r w:rsidRPr="00D74393">
        <w:rPr>
          <w:i/>
          <w:sz w:val="24"/>
          <w:szCs w:val="24"/>
          <w:lang w:val="en-US" w:eastAsia="en-GB"/>
        </w:rPr>
        <w:t xml:space="preserve"> MSE</w:t>
      </w:r>
      <w:r>
        <w:rPr>
          <w:sz w:val="24"/>
          <w:szCs w:val="24"/>
          <w:lang w:val="en-US" w:eastAsia="en-GB"/>
        </w:rPr>
        <w:t xml:space="preserve">= 79.79, </w:t>
      </w:r>
      <w:r w:rsidRPr="00F90AB6">
        <w:rPr>
          <w:i/>
          <w:sz w:val="24"/>
          <w:szCs w:val="24"/>
          <w:lang w:val="en-US"/>
        </w:rPr>
        <w:t>p</w:t>
      </w:r>
      <w:r w:rsidRPr="00F90AB6">
        <w:rPr>
          <w:sz w:val="24"/>
          <w:szCs w:val="24"/>
          <w:lang w:val="en-US"/>
        </w:rPr>
        <w:t xml:space="preserve">=.03, </w:t>
      </w:r>
      <w:r w:rsidRPr="00F90AB6">
        <w:rPr>
          <w:i/>
          <w:sz w:val="24"/>
          <w:szCs w:val="24"/>
          <w:lang w:val="en-US"/>
        </w:rPr>
        <w:t>η</w:t>
      </w:r>
      <w:r w:rsidRPr="00F90AB6">
        <w:rPr>
          <w:i/>
          <w:sz w:val="24"/>
          <w:szCs w:val="24"/>
          <w:vertAlign w:val="subscript"/>
          <w:lang w:val="en-US"/>
        </w:rPr>
        <w:t>p</w:t>
      </w:r>
      <w:r w:rsidRPr="00F90AB6">
        <w:rPr>
          <w:i/>
          <w:sz w:val="24"/>
          <w:szCs w:val="24"/>
          <w:vertAlign w:val="superscript"/>
          <w:lang w:val="en-US"/>
        </w:rPr>
        <w:t>2</w:t>
      </w:r>
      <w:r w:rsidRPr="00F90AB6">
        <w:rPr>
          <w:sz w:val="24"/>
          <w:szCs w:val="24"/>
          <w:lang w:val="en-US"/>
        </w:rPr>
        <w:t xml:space="preserve">=.15, 95% CI [0, .39], and  Blocks of Trials, </w:t>
      </w:r>
      <w:r w:rsidRPr="00F90AB6">
        <w:rPr>
          <w:i/>
          <w:sz w:val="24"/>
          <w:szCs w:val="24"/>
          <w:lang w:val="en-US" w:eastAsia="en-GB"/>
        </w:rPr>
        <w:t>F</w:t>
      </w:r>
      <w:r w:rsidRPr="00F90AB6">
        <w:rPr>
          <w:sz w:val="24"/>
          <w:szCs w:val="24"/>
          <w:lang w:val="en-US" w:eastAsia="en-GB"/>
        </w:rPr>
        <w:t>(5,135)=40.45,</w:t>
      </w:r>
      <w:r>
        <w:rPr>
          <w:sz w:val="24"/>
          <w:szCs w:val="24"/>
          <w:lang w:val="en-US" w:eastAsia="en-GB"/>
        </w:rPr>
        <w:t xml:space="preserve"> </w:t>
      </w:r>
      <w:r w:rsidRPr="00D74393">
        <w:rPr>
          <w:i/>
          <w:sz w:val="24"/>
          <w:szCs w:val="24"/>
          <w:lang w:val="en-US" w:eastAsia="en-GB"/>
        </w:rPr>
        <w:t>MSE</w:t>
      </w:r>
      <w:r>
        <w:rPr>
          <w:sz w:val="24"/>
          <w:szCs w:val="24"/>
          <w:lang w:val="en-US" w:eastAsia="en-GB"/>
        </w:rPr>
        <w:t>= 208.72,</w:t>
      </w:r>
      <w:r w:rsidRPr="00F90AB6">
        <w:rPr>
          <w:sz w:val="24"/>
          <w:szCs w:val="24"/>
          <w:lang w:val="en-US" w:eastAsia="en-GB"/>
        </w:rPr>
        <w:t xml:space="preserve"> </w:t>
      </w:r>
      <w:r w:rsidRPr="00F90AB6">
        <w:rPr>
          <w:i/>
          <w:sz w:val="24"/>
          <w:szCs w:val="24"/>
          <w:lang w:val="en-US" w:eastAsia="en-GB"/>
        </w:rPr>
        <w:t>p</w:t>
      </w:r>
      <w:r>
        <w:rPr>
          <w:sz w:val="24"/>
          <w:szCs w:val="24"/>
          <w:lang w:val="en-US" w:eastAsia="en-GB"/>
        </w:rPr>
        <w:t>&lt;.01</w:t>
      </w:r>
      <w:r w:rsidRPr="00F90AB6">
        <w:rPr>
          <w:sz w:val="24"/>
          <w:szCs w:val="24"/>
          <w:lang w:val="en-US" w:eastAsia="en-GB"/>
        </w:rPr>
        <w:t xml:space="preserve">, </w:t>
      </w:r>
      <w:r w:rsidRPr="00F90AB6">
        <w:rPr>
          <w:i/>
          <w:sz w:val="24"/>
          <w:szCs w:val="24"/>
          <w:lang w:val="en-US"/>
        </w:rPr>
        <w:t>η</w:t>
      </w:r>
      <w:r w:rsidRPr="00F90AB6">
        <w:rPr>
          <w:i/>
          <w:sz w:val="24"/>
          <w:szCs w:val="24"/>
          <w:vertAlign w:val="subscript"/>
          <w:lang w:val="en-US"/>
        </w:rPr>
        <w:t>p</w:t>
      </w:r>
      <w:r w:rsidRPr="00F90AB6">
        <w:rPr>
          <w:i/>
          <w:sz w:val="24"/>
          <w:szCs w:val="24"/>
          <w:vertAlign w:val="superscript"/>
          <w:lang w:val="en-US"/>
        </w:rPr>
        <w:t>2</w:t>
      </w:r>
      <w:r w:rsidRPr="00F90AB6">
        <w:rPr>
          <w:sz w:val="24"/>
          <w:szCs w:val="24"/>
          <w:lang w:val="en-US"/>
        </w:rPr>
        <w:t>=.60, 95% CI [.48, .66]. All the other factors and interactions were non-significant,</w:t>
      </w:r>
      <w:r>
        <w:rPr>
          <w:sz w:val="24"/>
          <w:szCs w:val="24"/>
          <w:lang w:val="en-US"/>
        </w:rPr>
        <w:t xml:space="preserve"> </w:t>
      </w:r>
      <w:r w:rsidRPr="00F90AB6">
        <w:rPr>
          <w:sz w:val="24"/>
          <w:szCs w:val="24"/>
          <w:lang w:val="en-US"/>
        </w:rPr>
        <w:t xml:space="preserve">maximum </w:t>
      </w:r>
      <w:proofErr w:type="gramStart"/>
      <w:r w:rsidRPr="00F90AB6">
        <w:rPr>
          <w:i/>
          <w:sz w:val="24"/>
          <w:szCs w:val="24"/>
          <w:lang w:val="en-US" w:eastAsia="en-GB"/>
        </w:rPr>
        <w:t>F</w:t>
      </w:r>
      <w:r>
        <w:rPr>
          <w:sz w:val="24"/>
          <w:szCs w:val="24"/>
          <w:lang w:val="en-US" w:eastAsia="en-GB"/>
        </w:rPr>
        <w:t>(</w:t>
      </w:r>
      <w:proofErr w:type="gramEnd"/>
      <w:r>
        <w:rPr>
          <w:sz w:val="24"/>
          <w:szCs w:val="24"/>
          <w:lang w:val="en-US" w:eastAsia="en-GB"/>
        </w:rPr>
        <w:t>5,135)=</w:t>
      </w:r>
      <w:r w:rsidRPr="00F90AB6">
        <w:rPr>
          <w:sz w:val="24"/>
          <w:szCs w:val="24"/>
          <w:lang w:val="en-US" w:eastAsia="en-GB"/>
        </w:rPr>
        <w:t>1.5.</w:t>
      </w:r>
      <w:r w:rsidRPr="00F90AB6">
        <w:rPr>
          <w:sz w:val="24"/>
          <w:szCs w:val="24"/>
          <w:lang w:val="en-US"/>
        </w:rPr>
        <w:t xml:space="preserve"> </w:t>
      </w:r>
    </w:p>
    <w:p w14:paraId="01750FB0" w14:textId="3836F6E7" w:rsidR="00B06D95" w:rsidRPr="00F90AB6" w:rsidRDefault="00B06D95" w:rsidP="00B06D95">
      <w:pPr>
        <w:adjustRightInd w:val="0"/>
        <w:spacing w:line="480" w:lineRule="auto"/>
        <w:jc w:val="center"/>
        <w:rPr>
          <w:i/>
          <w:sz w:val="24"/>
          <w:szCs w:val="24"/>
          <w:lang w:val="en-US" w:eastAsia="en-GB"/>
        </w:rPr>
      </w:pPr>
      <w:r w:rsidRPr="00F90AB6">
        <w:rPr>
          <w:i/>
          <w:sz w:val="24"/>
          <w:szCs w:val="24"/>
          <w:lang w:val="en-US" w:eastAsia="en-GB"/>
        </w:rPr>
        <w:t xml:space="preserve">Figure </w:t>
      </w:r>
      <w:r>
        <w:rPr>
          <w:i/>
          <w:sz w:val="24"/>
          <w:szCs w:val="24"/>
          <w:lang w:val="en-US" w:eastAsia="en-GB"/>
        </w:rPr>
        <w:t>4</w:t>
      </w:r>
      <w:r w:rsidRPr="00F90AB6">
        <w:rPr>
          <w:i/>
          <w:sz w:val="24"/>
          <w:szCs w:val="24"/>
          <w:lang w:val="en-US" w:eastAsia="en-GB"/>
        </w:rPr>
        <w:t xml:space="preserve"> around here</w:t>
      </w:r>
    </w:p>
    <w:p w14:paraId="02E77BED" w14:textId="77777777" w:rsidR="00B06D95" w:rsidRPr="00F90AB6" w:rsidRDefault="00B06D95" w:rsidP="00B06D95">
      <w:pPr>
        <w:adjustRightInd w:val="0"/>
        <w:spacing w:line="480" w:lineRule="auto"/>
        <w:ind w:firstLine="567"/>
        <w:rPr>
          <w:sz w:val="24"/>
          <w:szCs w:val="24"/>
          <w:lang w:val="en-US"/>
        </w:rPr>
      </w:pPr>
      <w:r w:rsidRPr="00F90AB6">
        <w:rPr>
          <w:sz w:val="24"/>
          <w:szCs w:val="24"/>
          <w:lang w:val="en-US"/>
        </w:rPr>
        <w:lastRenderedPageBreak/>
        <w:t>The same analyses were carried out on the Pre-CS scores during the conditioning phase of the experiment. The overall mean Pre-CS scores for the six blocks of c</w:t>
      </w:r>
      <w:r>
        <w:rPr>
          <w:sz w:val="24"/>
          <w:szCs w:val="24"/>
          <w:lang w:val="en-US"/>
        </w:rPr>
        <w:t>onditioning trials were: 1.57 (</w:t>
      </w:r>
      <w:r w:rsidRPr="004908D5">
        <w:rPr>
          <w:i/>
          <w:sz w:val="24"/>
          <w:szCs w:val="24"/>
          <w:lang w:val="en-US"/>
        </w:rPr>
        <w:t>SEM</w:t>
      </w:r>
      <w:r>
        <w:rPr>
          <w:sz w:val="24"/>
          <w:szCs w:val="24"/>
          <w:lang w:val="en-US"/>
        </w:rPr>
        <w:t xml:space="preserve"> </w:t>
      </w:r>
      <w:r w:rsidRPr="004908D5">
        <w:rPr>
          <w:sz w:val="24"/>
          <w:szCs w:val="24"/>
          <w:lang w:val="en-US"/>
        </w:rPr>
        <w:t>±</w:t>
      </w:r>
      <w:r w:rsidRPr="00F90AB6">
        <w:rPr>
          <w:sz w:val="24"/>
          <w:szCs w:val="24"/>
          <w:lang w:val="en-US"/>
        </w:rPr>
        <w:t xml:space="preserve">.49) for group Intermixed-X; 1.15 (±.20) for group Blocked-X; 1.72 (±.37) for group Intermixed-A; and 1.41 (±.32) for group Blocked-A. An ANOVA with Stimulus (X </w:t>
      </w:r>
      <w:r w:rsidRPr="00F90AB6">
        <w:rPr>
          <w:i/>
          <w:sz w:val="24"/>
          <w:szCs w:val="24"/>
          <w:lang w:val="en-US"/>
        </w:rPr>
        <w:t>vs.</w:t>
      </w:r>
      <w:r w:rsidRPr="00F90AB6">
        <w:rPr>
          <w:sz w:val="24"/>
          <w:szCs w:val="24"/>
          <w:lang w:val="en-US"/>
        </w:rPr>
        <w:t xml:space="preserve"> A), Pre-exposure (Intermixed </w:t>
      </w:r>
      <w:r w:rsidRPr="00F90AB6">
        <w:rPr>
          <w:i/>
          <w:sz w:val="24"/>
          <w:szCs w:val="24"/>
          <w:lang w:val="en-US"/>
        </w:rPr>
        <w:t>vs.</w:t>
      </w:r>
      <w:r w:rsidRPr="00F90AB6">
        <w:rPr>
          <w:sz w:val="24"/>
          <w:szCs w:val="24"/>
          <w:lang w:val="en-US"/>
        </w:rPr>
        <w:t xml:space="preserve"> Blocked) and Blocks of Trials as factors showed no significant effects, maximum </w:t>
      </w:r>
      <w:proofErr w:type="gramStart"/>
      <w:r w:rsidRPr="00F90AB6">
        <w:rPr>
          <w:i/>
          <w:sz w:val="24"/>
          <w:szCs w:val="24"/>
          <w:lang w:val="en-US"/>
        </w:rPr>
        <w:t>F</w:t>
      </w:r>
      <w:r w:rsidRPr="00F90AB6">
        <w:rPr>
          <w:sz w:val="24"/>
          <w:szCs w:val="24"/>
          <w:lang w:val="en-US"/>
        </w:rPr>
        <w:t>(</w:t>
      </w:r>
      <w:proofErr w:type="gramEnd"/>
      <w:r w:rsidRPr="00F90AB6">
        <w:rPr>
          <w:sz w:val="24"/>
          <w:szCs w:val="24"/>
          <w:lang w:val="en-US"/>
        </w:rPr>
        <w:t xml:space="preserve">5,135)=2.08. </w:t>
      </w:r>
    </w:p>
    <w:p w14:paraId="0589F44A" w14:textId="158FF021" w:rsidR="00B06D95" w:rsidRPr="008A2B71" w:rsidRDefault="00B06D95" w:rsidP="00B06D95">
      <w:pPr>
        <w:tabs>
          <w:tab w:val="center" w:pos="4275"/>
          <w:tab w:val="left" w:pos="7143"/>
        </w:tabs>
        <w:adjustRightInd w:val="0"/>
        <w:spacing w:line="480" w:lineRule="auto"/>
        <w:ind w:firstLine="567"/>
        <w:rPr>
          <w:color w:val="000000" w:themeColor="text1"/>
          <w:sz w:val="24"/>
          <w:szCs w:val="24"/>
          <w:lang w:val="en-GB"/>
        </w:rPr>
      </w:pPr>
      <w:r>
        <w:rPr>
          <w:i/>
          <w:sz w:val="24"/>
          <w:szCs w:val="24"/>
          <w:lang w:val="en-US" w:eastAsia="en-GB"/>
        </w:rPr>
        <w:tab/>
      </w:r>
      <w:r>
        <w:rPr>
          <w:sz w:val="24"/>
          <w:szCs w:val="24"/>
          <w:lang w:val="en-GB" w:eastAsia="en-GB"/>
        </w:rPr>
        <w:t>The results of Experiment 2B</w:t>
      </w:r>
      <w:r w:rsidRPr="00B06D95">
        <w:rPr>
          <w:sz w:val="24"/>
          <w:szCs w:val="24"/>
          <w:lang w:val="en-GB" w:eastAsia="en-GB"/>
        </w:rPr>
        <w:t xml:space="preserve"> confirm </w:t>
      </w:r>
      <w:r>
        <w:rPr>
          <w:sz w:val="24"/>
          <w:szCs w:val="24"/>
          <w:lang w:val="en-GB" w:eastAsia="en-GB"/>
        </w:rPr>
        <w:t xml:space="preserve">again </w:t>
      </w:r>
      <w:r w:rsidRPr="00B06D95">
        <w:rPr>
          <w:sz w:val="24"/>
          <w:szCs w:val="24"/>
          <w:lang w:val="en-GB" w:eastAsia="en-GB"/>
        </w:rPr>
        <w:t xml:space="preserve">that the common element X is less effective than A as a conditioned stimulus both after intermixed and blocked pre-exposure. </w:t>
      </w:r>
      <w:r w:rsidRPr="008A2B71">
        <w:rPr>
          <w:color w:val="000000" w:themeColor="text1"/>
          <w:sz w:val="24"/>
          <w:szCs w:val="24"/>
          <w:lang w:val="en-US"/>
        </w:rPr>
        <w:t xml:space="preserve">Furthermore, </w:t>
      </w:r>
      <w:r w:rsidRPr="008A2B71">
        <w:rPr>
          <w:color w:val="000000" w:themeColor="text1"/>
          <w:sz w:val="24"/>
          <w:szCs w:val="24"/>
          <w:lang w:val="en-GB"/>
        </w:rPr>
        <w:t xml:space="preserve">the results showed a lower conditioning in the Intermixed than in the Blocked group of the common element X </w:t>
      </w:r>
      <w:r w:rsidR="00061509">
        <w:rPr>
          <w:color w:val="000000" w:themeColor="text1"/>
          <w:sz w:val="24"/>
          <w:szCs w:val="24"/>
          <w:lang w:val="en-GB"/>
        </w:rPr>
        <w:t>and</w:t>
      </w:r>
      <w:r w:rsidRPr="008A2B71">
        <w:rPr>
          <w:color w:val="000000" w:themeColor="text1"/>
          <w:sz w:val="24"/>
          <w:szCs w:val="24"/>
          <w:lang w:val="en-GB"/>
        </w:rPr>
        <w:t xml:space="preserve"> the unique element A, suggesting a larger decline in their salience in the intermixed condition.</w:t>
      </w:r>
      <w:r w:rsidR="00061509" w:rsidRPr="00061509">
        <w:rPr>
          <w:color w:val="000000" w:themeColor="text1"/>
          <w:sz w:val="24"/>
          <w:szCs w:val="24"/>
          <w:lang w:val="en-US"/>
        </w:rPr>
        <w:t xml:space="preserve"> </w:t>
      </w:r>
      <w:r w:rsidR="00061509" w:rsidRPr="008A2B71">
        <w:rPr>
          <w:color w:val="000000" w:themeColor="text1"/>
          <w:sz w:val="24"/>
          <w:szCs w:val="24"/>
          <w:lang w:val="en-US"/>
        </w:rPr>
        <w:t>Notab</w:t>
      </w:r>
      <w:r w:rsidR="00061509">
        <w:rPr>
          <w:color w:val="000000" w:themeColor="text1"/>
          <w:sz w:val="24"/>
          <w:szCs w:val="24"/>
          <w:lang w:val="en-US"/>
        </w:rPr>
        <w:t>ly, the results of Experiment 2B</w:t>
      </w:r>
      <w:r w:rsidR="00061509" w:rsidRPr="008A2B71">
        <w:rPr>
          <w:color w:val="000000" w:themeColor="text1"/>
          <w:sz w:val="24"/>
          <w:szCs w:val="24"/>
          <w:lang w:val="en-US"/>
        </w:rPr>
        <w:t xml:space="preserve"> with prolonged pre-exposure show, for the first time, a decline in the salience of the common element X during a conditioning phase following intermixed pre-exposure, a result which has being elusive in previous studies where differences were only apparent during a subsequent test in extinction (see Mondragon &amp; Hall, 2002; Mondragon &amp; Murphy, 2010).</w:t>
      </w:r>
    </w:p>
    <w:p w14:paraId="58675CF1" w14:textId="7E7ACCA2" w:rsidR="00D579FB" w:rsidRPr="00B103CF" w:rsidRDefault="00BD1614" w:rsidP="00D579FB">
      <w:pPr>
        <w:tabs>
          <w:tab w:val="center" w:pos="4536"/>
        </w:tabs>
        <w:adjustRightInd w:val="0"/>
        <w:spacing w:line="480" w:lineRule="auto"/>
        <w:ind w:firstLine="567"/>
        <w:rPr>
          <w:color w:val="C0504D" w:themeColor="accent2"/>
          <w:sz w:val="24"/>
          <w:szCs w:val="24"/>
          <w:lang w:val="en-GB"/>
        </w:rPr>
      </w:pPr>
      <w:r w:rsidRPr="00BD1614">
        <w:rPr>
          <w:sz w:val="24"/>
          <w:szCs w:val="24"/>
          <w:lang w:val="en-US"/>
        </w:rPr>
        <w:t>The most original and relevant finding reported in Experiment 2 is undoubtedly the</w:t>
      </w:r>
      <w:r w:rsidR="00D579FB" w:rsidRPr="00BD1614">
        <w:rPr>
          <w:sz w:val="24"/>
          <w:szCs w:val="24"/>
          <w:lang w:val="en-US"/>
        </w:rPr>
        <w:t xml:space="preserve"> advantage of th</w:t>
      </w:r>
      <w:r w:rsidR="00D579FB">
        <w:rPr>
          <w:sz w:val="24"/>
          <w:szCs w:val="24"/>
          <w:lang w:val="en-US"/>
        </w:rPr>
        <w:t xml:space="preserve">e </w:t>
      </w:r>
      <w:r w:rsidR="00D579FB" w:rsidRPr="00F90AB6">
        <w:rPr>
          <w:sz w:val="24"/>
          <w:szCs w:val="24"/>
          <w:lang w:val="en-US"/>
        </w:rPr>
        <w:t xml:space="preserve">blocked </w:t>
      </w:r>
      <w:r w:rsidR="00D579FB">
        <w:rPr>
          <w:sz w:val="24"/>
          <w:szCs w:val="24"/>
          <w:lang w:val="en-US"/>
        </w:rPr>
        <w:t xml:space="preserve">pre-exposure procedure protecting the </w:t>
      </w:r>
      <w:r w:rsidR="00061509">
        <w:rPr>
          <w:sz w:val="24"/>
          <w:szCs w:val="24"/>
          <w:lang w:val="en-US"/>
        </w:rPr>
        <w:t>associability</w:t>
      </w:r>
      <w:r w:rsidR="00D579FB">
        <w:rPr>
          <w:sz w:val="24"/>
          <w:szCs w:val="24"/>
          <w:lang w:val="en-US"/>
        </w:rPr>
        <w:t xml:space="preserve"> of the unique elements over a prolonged pre-exposure phase</w:t>
      </w:r>
      <w:r w:rsidR="00061509">
        <w:rPr>
          <w:sz w:val="24"/>
          <w:szCs w:val="24"/>
          <w:lang w:val="en-US"/>
        </w:rPr>
        <w:t xml:space="preserve"> (Experiment 2B)</w:t>
      </w:r>
      <w:r w:rsidR="00D579FB">
        <w:rPr>
          <w:sz w:val="24"/>
          <w:szCs w:val="24"/>
          <w:lang w:val="en-US"/>
        </w:rPr>
        <w:t xml:space="preserve">. </w:t>
      </w:r>
      <w:r>
        <w:rPr>
          <w:sz w:val="24"/>
          <w:szCs w:val="24"/>
          <w:lang w:val="en-US"/>
        </w:rPr>
        <w:t xml:space="preserve">This is </w:t>
      </w:r>
      <w:r w:rsidR="00061509">
        <w:rPr>
          <w:sz w:val="24"/>
          <w:szCs w:val="24"/>
          <w:lang w:val="en-US"/>
        </w:rPr>
        <w:t>the opposite of what</w:t>
      </w:r>
      <w:r>
        <w:rPr>
          <w:sz w:val="24"/>
          <w:szCs w:val="24"/>
          <w:lang w:val="en-US"/>
        </w:rPr>
        <w:t xml:space="preserve"> most theories of perceptual learning </w:t>
      </w:r>
      <w:r w:rsidR="00061509">
        <w:rPr>
          <w:sz w:val="24"/>
          <w:szCs w:val="24"/>
          <w:lang w:val="en-US"/>
        </w:rPr>
        <w:t>would</w:t>
      </w:r>
      <w:r>
        <w:rPr>
          <w:sz w:val="24"/>
          <w:szCs w:val="24"/>
          <w:lang w:val="en-US"/>
        </w:rPr>
        <w:t xml:space="preserve"> predict</w:t>
      </w:r>
      <w:r w:rsidR="00061509">
        <w:rPr>
          <w:sz w:val="24"/>
          <w:szCs w:val="24"/>
          <w:lang w:val="en-US"/>
        </w:rPr>
        <w:t xml:space="preserve"> (e.g., Hall, 2003)</w:t>
      </w:r>
      <w:r>
        <w:rPr>
          <w:sz w:val="24"/>
          <w:szCs w:val="24"/>
          <w:lang w:val="en-US"/>
        </w:rPr>
        <w:t xml:space="preserve">. The associative approach based on differential representations put forward by Artigas and Prados (2014) could accommodate these results; however, before we discuss this approach in the General Discussion we need to confirm the deleterious effect of long intermixed pre-exposure on the salience of the unique element A. </w:t>
      </w:r>
      <w:r w:rsidR="00D579FB">
        <w:rPr>
          <w:sz w:val="24"/>
          <w:szCs w:val="24"/>
          <w:lang w:val="en-US"/>
        </w:rPr>
        <w:t xml:space="preserve">Experiment 3 was </w:t>
      </w:r>
      <w:r w:rsidR="00D579FB">
        <w:rPr>
          <w:sz w:val="24"/>
          <w:szCs w:val="24"/>
          <w:lang w:val="en-US"/>
        </w:rPr>
        <w:lastRenderedPageBreak/>
        <w:t>designed to provide convergent evidence by using an alternative proced</w:t>
      </w:r>
      <w:r>
        <w:rPr>
          <w:sz w:val="24"/>
          <w:szCs w:val="24"/>
          <w:lang w:val="en-US"/>
        </w:rPr>
        <w:t xml:space="preserve">ure—a superimposition </w:t>
      </w:r>
      <w:r w:rsidR="00D579FB">
        <w:rPr>
          <w:sz w:val="24"/>
          <w:szCs w:val="24"/>
          <w:lang w:val="en-US"/>
        </w:rPr>
        <w:t>test.</w:t>
      </w:r>
    </w:p>
    <w:p w14:paraId="106560FF" w14:textId="77777777" w:rsidR="00D579FB" w:rsidRPr="00F90AB6" w:rsidRDefault="00D579FB" w:rsidP="00D579FB">
      <w:pPr>
        <w:adjustRightInd w:val="0"/>
        <w:spacing w:line="480" w:lineRule="auto"/>
        <w:jc w:val="center"/>
        <w:rPr>
          <w:sz w:val="24"/>
          <w:szCs w:val="24"/>
          <w:lang w:val="en-US"/>
        </w:rPr>
      </w:pPr>
      <w:r w:rsidRPr="00F90AB6">
        <w:rPr>
          <w:sz w:val="24"/>
          <w:szCs w:val="24"/>
          <w:lang w:val="en-US"/>
        </w:rPr>
        <w:t xml:space="preserve">Experiment </w:t>
      </w:r>
      <w:r>
        <w:rPr>
          <w:sz w:val="24"/>
          <w:szCs w:val="24"/>
          <w:lang w:val="en-US"/>
        </w:rPr>
        <w:t>3</w:t>
      </w:r>
    </w:p>
    <w:p w14:paraId="1C46C924" w14:textId="3B261154" w:rsidR="00D579FB" w:rsidRPr="00F90AB6" w:rsidRDefault="00D579FB" w:rsidP="00D579FB">
      <w:pPr>
        <w:tabs>
          <w:tab w:val="center" w:pos="4275"/>
          <w:tab w:val="left" w:pos="7143"/>
        </w:tabs>
        <w:adjustRightInd w:val="0"/>
        <w:spacing w:line="480" w:lineRule="auto"/>
        <w:ind w:firstLine="567"/>
        <w:rPr>
          <w:sz w:val="24"/>
          <w:szCs w:val="24"/>
          <w:lang w:val="en-US"/>
        </w:rPr>
      </w:pPr>
      <w:r w:rsidRPr="00F90AB6">
        <w:rPr>
          <w:sz w:val="24"/>
          <w:szCs w:val="24"/>
          <w:lang w:val="en-US" w:eastAsia="en-GB"/>
        </w:rPr>
        <w:t xml:space="preserve">Experiment </w:t>
      </w:r>
      <w:r>
        <w:rPr>
          <w:sz w:val="24"/>
          <w:szCs w:val="24"/>
          <w:lang w:val="en-US" w:eastAsia="en-GB"/>
        </w:rPr>
        <w:t>3</w:t>
      </w:r>
      <w:r w:rsidRPr="00F90AB6">
        <w:rPr>
          <w:sz w:val="24"/>
          <w:szCs w:val="24"/>
          <w:lang w:val="en-US"/>
        </w:rPr>
        <w:t xml:space="preserve"> </w:t>
      </w:r>
      <w:r w:rsidRPr="00F90AB6">
        <w:rPr>
          <w:sz w:val="24"/>
          <w:szCs w:val="24"/>
          <w:lang w:val="en-US" w:eastAsia="en-GB"/>
        </w:rPr>
        <w:t>assessed the salience of the unique element</w:t>
      </w:r>
      <w:r w:rsidR="00061509">
        <w:rPr>
          <w:sz w:val="24"/>
          <w:szCs w:val="24"/>
          <w:lang w:val="en-US" w:eastAsia="en-GB"/>
        </w:rPr>
        <w:t>,</w:t>
      </w:r>
      <w:r w:rsidRPr="00F90AB6">
        <w:rPr>
          <w:sz w:val="24"/>
          <w:szCs w:val="24"/>
          <w:lang w:val="en-US" w:eastAsia="en-GB"/>
        </w:rPr>
        <w:t xml:space="preserve"> A</w:t>
      </w:r>
      <w:r w:rsidR="00061509">
        <w:rPr>
          <w:sz w:val="24"/>
          <w:szCs w:val="24"/>
          <w:lang w:val="en-US" w:eastAsia="en-GB"/>
        </w:rPr>
        <w:t>,</w:t>
      </w:r>
      <w:r w:rsidRPr="00F90AB6">
        <w:rPr>
          <w:sz w:val="24"/>
          <w:szCs w:val="24"/>
          <w:lang w:val="en-US" w:eastAsia="en-GB"/>
        </w:rPr>
        <w:t xml:space="preserve"> following prolonged intermixed and blocked pre-exposure by looking at its capacity to interfere with the expression of a conditioned response to a new element Y (</w:t>
      </w:r>
      <w:r w:rsidR="009B39CB">
        <w:rPr>
          <w:sz w:val="24"/>
          <w:szCs w:val="24"/>
          <w:lang w:val="en-US" w:eastAsia="en-GB"/>
        </w:rPr>
        <w:t xml:space="preserve">the superimposition test used by </w:t>
      </w:r>
      <w:r w:rsidRPr="00F90AB6">
        <w:rPr>
          <w:sz w:val="24"/>
          <w:szCs w:val="24"/>
          <w:lang w:val="en-US" w:eastAsia="en-GB"/>
        </w:rPr>
        <w:t>Bl</w:t>
      </w:r>
      <w:r w:rsidR="009B39CB">
        <w:rPr>
          <w:sz w:val="24"/>
          <w:szCs w:val="24"/>
          <w:lang w:val="en-US" w:eastAsia="en-GB"/>
        </w:rPr>
        <w:t>air &amp; Hall, 2003, Experiment 5b</w:t>
      </w:r>
      <w:r w:rsidRPr="00F90AB6">
        <w:rPr>
          <w:sz w:val="24"/>
          <w:szCs w:val="24"/>
          <w:lang w:val="en-US" w:eastAsia="en-GB"/>
        </w:rPr>
        <w:t>).</w:t>
      </w:r>
    </w:p>
    <w:p w14:paraId="629F2DE3" w14:textId="77777777" w:rsidR="00D579FB" w:rsidRPr="00F90AB6" w:rsidRDefault="00D579FB" w:rsidP="00D579FB">
      <w:pPr>
        <w:tabs>
          <w:tab w:val="center" w:pos="4275"/>
          <w:tab w:val="left" w:pos="7483"/>
          <w:tab w:val="left" w:pos="9072"/>
        </w:tabs>
        <w:spacing w:line="480" w:lineRule="auto"/>
        <w:ind w:right="-45"/>
        <w:jc w:val="center"/>
        <w:rPr>
          <w:iCs/>
          <w:sz w:val="24"/>
          <w:szCs w:val="24"/>
          <w:lang w:val="en-US"/>
        </w:rPr>
      </w:pPr>
      <w:r w:rsidRPr="00F90AB6">
        <w:rPr>
          <w:iCs/>
          <w:sz w:val="24"/>
          <w:szCs w:val="24"/>
          <w:lang w:val="en-US"/>
        </w:rPr>
        <w:t>Method</w:t>
      </w:r>
    </w:p>
    <w:p w14:paraId="0FB04611" w14:textId="77777777" w:rsidR="00D579FB" w:rsidRPr="00F90AB6" w:rsidRDefault="00D579FB" w:rsidP="00D579FB">
      <w:pPr>
        <w:tabs>
          <w:tab w:val="center" w:pos="4700"/>
          <w:tab w:val="left" w:pos="5873"/>
        </w:tabs>
        <w:spacing w:line="480" w:lineRule="auto"/>
        <w:ind w:right="-45" w:firstLine="567"/>
        <w:rPr>
          <w:sz w:val="24"/>
          <w:szCs w:val="24"/>
          <w:lang w:val="en-US"/>
        </w:rPr>
      </w:pPr>
      <w:r w:rsidRPr="00F90AB6">
        <w:rPr>
          <w:i/>
          <w:iCs/>
          <w:sz w:val="24"/>
          <w:szCs w:val="24"/>
          <w:lang w:val="en-US"/>
        </w:rPr>
        <w:t>Subjects</w:t>
      </w:r>
    </w:p>
    <w:p w14:paraId="787CC387" w14:textId="22908C3A" w:rsidR="00D579FB" w:rsidRPr="00F90AB6" w:rsidRDefault="00D579FB" w:rsidP="00D579FB">
      <w:pPr>
        <w:tabs>
          <w:tab w:val="center" w:pos="4700"/>
          <w:tab w:val="left" w:pos="5873"/>
        </w:tabs>
        <w:spacing w:line="480" w:lineRule="auto"/>
        <w:ind w:right="-45" w:firstLine="567"/>
        <w:rPr>
          <w:sz w:val="24"/>
          <w:szCs w:val="24"/>
          <w:lang w:val="en-US"/>
        </w:rPr>
      </w:pPr>
      <w:r w:rsidRPr="00F90AB6">
        <w:rPr>
          <w:sz w:val="24"/>
          <w:szCs w:val="24"/>
          <w:lang w:val="en-US"/>
        </w:rPr>
        <w:t xml:space="preserve">The subjects were 24 naïve hooded Long Evans rats, 18 males with ad lib body weight range 348:442 g, and 6 females with ad lib body weight range 204:255 g at the beginning of experiment. </w:t>
      </w:r>
      <w:r>
        <w:rPr>
          <w:sz w:val="24"/>
          <w:szCs w:val="24"/>
          <w:lang w:val="en-US"/>
        </w:rPr>
        <w:t xml:space="preserve">The animals were assigned </w:t>
      </w:r>
      <w:r w:rsidR="009B39CB">
        <w:rPr>
          <w:sz w:val="24"/>
          <w:szCs w:val="24"/>
          <w:lang w:val="en-US"/>
        </w:rPr>
        <w:t xml:space="preserve">at random </w:t>
      </w:r>
      <w:r>
        <w:rPr>
          <w:sz w:val="24"/>
          <w:szCs w:val="24"/>
          <w:lang w:val="en-US"/>
        </w:rPr>
        <w:t>to two experimental groups</w:t>
      </w:r>
      <w:r w:rsidR="009B39CB" w:rsidRPr="009B39CB">
        <w:rPr>
          <w:sz w:val="24"/>
          <w:szCs w:val="24"/>
          <w:lang w:val="en-US"/>
        </w:rPr>
        <w:t xml:space="preserve"> </w:t>
      </w:r>
      <w:r w:rsidR="009B39CB">
        <w:rPr>
          <w:sz w:val="24"/>
          <w:szCs w:val="24"/>
          <w:lang w:val="en-US"/>
        </w:rPr>
        <w:t>matched by sex:</w:t>
      </w:r>
      <w:r w:rsidR="004A5D1B">
        <w:rPr>
          <w:sz w:val="24"/>
          <w:szCs w:val="24"/>
          <w:lang w:val="en-US"/>
        </w:rPr>
        <w:t xml:space="preserve"> Intermixed and Blocked.</w:t>
      </w:r>
      <w:r w:rsidR="00061509" w:rsidRPr="00061509">
        <w:rPr>
          <w:sz w:val="24"/>
          <w:szCs w:val="24"/>
          <w:lang w:val="en-US"/>
        </w:rPr>
        <w:t xml:space="preserve"> </w:t>
      </w:r>
      <w:r w:rsidR="00061509">
        <w:rPr>
          <w:sz w:val="24"/>
          <w:szCs w:val="24"/>
          <w:lang w:val="en-US"/>
        </w:rPr>
        <w:t>In addition to the stimuli used in the previous experiments,</w:t>
      </w:r>
      <w:r w:rsidR="00061509" w:rsidRPr="00F90AB6">
        <w:rPr>
          <w:sz w:val="24"/>
          <w:szCs w:val="24"/>
          <w:lang w:val="en-US"/>
        </w:rPr>
        <w:t xml:space="preserve"> a 15-sec intermittent tone (200 </w:t>
      </w:r>
      <w:proofErr w:type="spellStart"/>
      <w:r w:rsidR="00061509" w:rsidRPr="00F90AB6">
        <w:rPr>
          <w:sz w:val="24"/>
          <w:szCs w:val="24"/>
          <w:lang w:val="en-US"/>
        </w:rPr>
        <w:t>ms</w:t>
      </w:r>
      <w:proofErr w:type="spellEnd"/>
      <w:r w:rsidR="00061509" w:rsidRPr="00F90AB6">
        <w:rPr>
          <w:sz w:val="24"/>
          <w:szCs w:val="24"/>
          <w:lang w:val="en-US"/>
        </w:rPr>
        <w:t xml:space="preserve"> on/off; </w:t>
      </w:r>
      <w:proofErr w:type="gramStart"/>
      <w:r w:rsidR="00061509" w:rsidRPr="00F90AB6">
        <w:rPr>
          <w:sz w:val="24"/>
          <w:szCs w:val="24"/>
          <w:lang w:val="en-US"/>
        </w:rPr>
        <w:t>5kHz</w:t>
      </w:r>
      <w:proofErr w:type="gramEnd"/>
      <w:r w:rsidR="00061509" w:rsidRPr="00F90AB6">
        <w:rPr>
          <w:sz w:val="24"/>
          <w:szCs w:val="24"/>
          <w:lang w:val="en-US"/>
        </w:rPr>
        <w:t>; 80db)</w:t>
      </w:r>
      <w:r w:rsidR="00061509">
        <w:rPr>
          <w:sz w:val="24"/>
          <w:szCs w:val="24"/>
          <w:lang w:val="en-US"/>
        </w:rPr>
        <w:t xml:space="preserve"> was used as the stimulus Y of the experimental design (see Table 1)</w:t>
      </w:r>
      <w:r w:rsidR="00061509" w:rsidRPr="00F90AB6">
        <w:rPr>
          <w:sz w:val="24"/>
          <w:szCs w:val="24"/>
          <w:lang w:val="en-US"/>
        </w:rPr>
        <w:t>.</w:t>
      </w:r>
    </w:p>
    <w:p w14:paraId="65660B93" w14:textId="77777777" w:rsidR="00D579FB" w:rsidRPr="00F90AB6" w:rsidRDefault="00D579FB" w:rsidP="00D579FB">
      <w:pPr>
        <w:tabs>
          <w:tab w:val="center" w:pos="4700"/>
          <w:tab w:val="left" w:pos="5873"/>
        </w:tabs>
        <w:spacing w:line="480" w:lineRule="auto"/>
        <w:ind w:right="-45" w:firstLine="567"/>
        <w:rPr>
          <w:sz w:val="24"/>
          <w:szCs w:val="24"/>
          <w:lang w:val="en-US"/>
        </w:rPr>
      </w:pPr>
      <w:r w:rsidRPr="00F90AB6">
        <w:rPr>
          <w:i/>
          <w:iCs/>
          <w:sz w:val="24"/>
          <w:szCs w:val="24"/>
          <w:lang w:val="en-US"/>
        </w:rPr>
        <w:t>Procedure</w:t>
      </w:r>
      <w:r w:rsidRPr="00F90AB6">
        <w:rPr>
          <w:sz w:val="24"/>
          <w:szCs w:val="24"/>
          <w:lang w:val="en-US"/>
        </w:rPr>
        <w:tab/>
      </w:r>
    </w:p>
    <w:p w14:paraId="16D6F839" w14:textId="5010D23B" w:rsidR="00D579FB" w:rsidRPr="00F90AB6" w:rsidRDefault="00D579FB" w:rsidP="00D579FB">
      <w:pPr>
        <w:tabs>
          <w:tab w:val="center" w:pos="4275"/>
          <w:tab w:val="left" w:pos="7143"/>
        </w:tabs>
        <w:adjustRightInd w:val="0"/>
        <w:spacing w:line="480" w:lineRule="auto"/>
        <w:ind w:firstLine="567"/>
        <w:rPr>
          <w:sz w:val="24"/>
          <w:szCs w:val="24"/>
          <w:lang w:val="en-US"/>
        </w:rPr>
      </w:pPr>
      <w:r>
        <w:rPr>
          <w:sz w:val="24"/>
          <w:szCs w:val="24"/>
          <w:lang w:val="en-US"/>
        </w:rPr>
        <w:t>The procedure of Experiment 3</w:t>
      </w:r>
      <w:r w:rsidRPr="00F90AB6">
        <w:rPr>
          <w:sz w:val="24"/>
          <w:szCs w:val="24"/>
          <w:lang w:val="en-US"/>
        </w:rPr>
        <w:t xml:space="preserve"> replicated the pre-exposure procedure of Experiment 1 (</w:t>
      </w:r>
      <w:r w:rsidR="009B39CB">
        <w:rPr>
          <w:sz w:val="24"/>
          <w:szCs w:val="24"/>
          <w:lang w:val="en-US"/>
        </w:rPr>
        <w:t>twenty</w:t>
      </w:r>
      <w:r w:rsidRPr="00F90AB6">
        <w:rPr>
          <w:sz w:val="24"/>
          <w:szCs w:val="24"/>
          <w:lang w:val="en-US"/>
        </w:rPr>
        <w:t xml:space="preserve"> exposures to each compound over four daily sessions). Following pre-exposure, the animals were given conditioning</w:t>
      </w:r>
      <w:r w:rsidR="00061509">
        <w:rPr>
          <w:sz w:val="24"/>
          <w:szCs w:val="24"/>
          <w:lang w:val="en-US"/>
        </w:rPr>
        <w:t xml:space="preserve"> trials with a novel stimulus Y</w:t>
      </w:r>
      <w:r w:rsidRPr="00F90AB6">
        <w:rPr>
          <w:sz w:val="24"/>
          <w:szCs w:val="24"/>
          <w:lang w:val="en-US"/>
        </w:rPr>
        <w:t xml:space="preserve"> followed by the presentation of two food pellets. Conditioning took place over three consecutive days, at a rate of 10 conditioning trials per day. Following conditioning</w:t>
      </w:r>
      <w:r w:rsidR="00FF58A6">
        <w:rPr>
          <w:sz w:val="24"/>
          <w:szCs w:val="24"/>
          <w:lang w:val="en-US"/>
        </w:rPr>
        <w:t>,</w:t>
      </w:r>
      <w:r w:rsidRPr="00F90AB6">
        <w:rPr>
          <w:sz w:val="24"/>
          <w:szCs w:val="24"/>
          <w:lang w:val="en-US"/>
        </w:rPr>
        <w:t xml:space="preserve"> all the animals received a single test session consisting of six presentations of the simultaneous compound stimulus AY in extinction.  </w:t>
      </w:r>
    </w:p>
    <w:p w14:paraId="4FFD52CF" w14:textId="77777777" w:rsidR="00D579FB" w:rsidRPr="00F90AB6" w:rsidRDefault="00D579FB" w:rsidP="00D579FB">
      <w:pPr>
        <w:tabs>
          <w:tab w:val="center" w:pos="4275"/>
          <w:tab w:val="left" w:pos="5352"/>
          <w:tab w:val="left" w:pos="9072"/>
        </w:tabs>
        <w:spacing w:line="480" w:lineRule="auto"/>
        <w:ind w:right="-45"/>
        <w:jc w:val="center"/>
        <w:rPr>
          <w:sz w:val="24"/>
          <w:szCs w:val="24"/>
          <w:lang w:val="en-US"/>
        </w:rPr>
      </w:pPr>
      <w:r w:rsidRPr="00F90AB6">
        <w:rPr>
          <w:sz w:val="24"/>
          <w:szCs w:val="24"/>
          <w:lang w:val="en-US"/>
        </w:rPr>
        <w:t>Results and discussion</w:t>
      </w:r>
    </w:p>
    <w:p w14:paraId="445EC091" w14:textId="6D7ADF3B" w:rsidR="00D579FB" w:rsidRPr="00F90AB6" w:rsidRDefault="008A2B71" w:rsidP="00D579FB">
      <w:pPr>
        <w:adjustRightInd w:val="0"/>
        <w:spacing w:line="480" w:lineRule="auto"/>
        <w:ind w:firstLine="851"/>
        <w:rPr>
          <w:sz w:val="24"/>
          <w:szCs w:val="24"/>
          <w:lang w:val="en-US"/>
        </w:rPr>
      </w:pPr>
      <w:r>
        <w:rPr>
          <w:sz w:val="24"/>
          <w:szCs w:val="24"/>
          <w:lang w:val="en-US" w:eastAsia="en-GB"/>
        </w:rPr>
        <w:lastRenderedPageBreak/>
        <w:t>Figure 5</w:t>
      </w:r>
      <w:r w:rsidR="00D579FB" w:rsidRPr="00F90AB6">
        <w:rPr>
          <w:sz w:val="24"/>
          <w:szCs w:val="24"/>
          <w:lang w:val="en-US" w:eastAsia="en-GB"/>
        </w:rPr>
        <w:t xml:space="preserve"> shows the group means for the magazine approach response during the conditioning trials with the novel stimulus Y. An ANOVA with Pre-exposure (Intermixed </w:t>
      </w:r>
      <w:r w:rsidR="00D579FB" w:rsidRPr="00F90AB6">
        <w:rPr>
          <w:i/>
          <w:sz w:val="24"/>
          <w:szCs w:val="24"/>
          <w:lang w:val="en-US" w:eastAsia="en-GB"/>
        </w:rPr>
        <w:t>vs.</w:t>
      </w:r>
      <w:r w:rsidR="00D579FB" w:rsidRPr="00F90AB6">
        <w:rPr>
          <w:sz w:val="24"/>
          <w:szCs w:val="24"/>
          <w:lang w:val="en-US" w:eastAsia="en-GB"/>
        </w:rPr>
        <w:t xml:space="preserve"> Blocked) and Blocks of Trials as factors showed a significant effect of </w:t>
      </w:r>
      <w:r w:rsidR="00D579FB" w:rsidRPr="00F90AB6">
        <w:rPr>
          <w:sz w:val="24"/>
          <w:szCs w:val="24"/>
          <w:lang w:val="en-US"/>
        </w:rPr>
        <w:t>Blocks of Trials</w:t>
      </w:r>
      <w:r w:rsidR="00D579FB" w:rsidRPr="00F90AB6">
        <w:rPr>
          <w:sz w:val="24"/>
          <w:szCs w:val="24"/>
          <w:lang w:val="en-US" w:eastAsia="en-GB"/>
        </w:rPr>
        <w:t xml:space="preserve">, </w:t>
      </w:r>
      <w:proofErr w:type="gramStart"/>
      <w:r w:rsidR="00D579FB" w:rsidRPr="00F90AB6">
        <w:rPr>
          <w:i/>
          <w:sz w:val="24"/>
          <w:szCs w:val="24"/>
          <w:lang w:val="en-US" w:eastAsia="en-GB"/>
        </w:rPr>
        <w:t>F</w:t>
      </w:r>
      <w:r w:rsidR="00D579FB" w:rsidRPr="00F90AB6">
        <w:rPr>
          <w:sz w:val="24"/>
          <w:szCs w:val="24"/>
          <w:lang w:val="en-US" w:eastAsia="en-GB"/>
        </w:rPr>
        <w:t>(</w:t>
      </w:r>
      <w:proofErr w:type="gramEnd"/>
      <w:r w:rsidR="00D579FB" w:rsidRPr="00F90AB6">
        <w:rPr>
          <w:sz w:val="24"/>
          <w:szCs w:val="24"/>
          <w:lang w:val="en-US" w:eastAsia="en-GB"/>
        </w:rPr>
        <w:t>5,110)=25.3</w:t>
      </w:r>
      <w:r w:rsidR="00D579FB">
        <w:rPr>
          <w:sz w:val="24"/>
          <w:szCs w:val="24"/>
          <w:lang w:val="en-US" w:eastAsia="en-GB"/>
        </w:rPr>
        <w:t>9</w:t>
      </w:r>
      <w:r w:rsidR="00D579FB" w:rsidRPr="00F90AB6">
        <w:rPr>
          <w:sz w:val="24"/>
          <w:szCs w:val="24"/>
          <w:lang w:val="en-US" w:eastAsia="en-GB"/>
        </w:rPr>
        <w:t>,</w:t>
      </w:r>
      <w:r w:rsidR="00D579FB">
        <w:rPr>
          <w:sz w:val="24"/>
          <w:szCs w:val="24"/>
          <w:lang w:val="en-US" w:eastAsia="en-GB"/>
        </w:rPr>
        <w:t xml:space="preserve"> </w:t>
      </w:r>
      <w:r w:rsidR="00D579FB" w:rsidRPr="00092AAD">
        <w:rPr>
          <w:i/>
          <w:sz w:val="24"/>
          <w:szCs w:val="24"/>
          <w:lang w:val="en-US" w:eastAsia="en-GB"/>
        </w:rPr>
        <w:t>MSE</w:t>
      </w:r>
      <w:r w:rsidR="009B39CB">
        <w:rPr>
          <w:sz w:val="24"/>
          <w:szCs w:val="24"/>
          <w:lang w:val="en-US" w:eastAsia="en-GB"/>
        </w:rPr>
        <w:t>=126.24</w:t>
      </w:r>
      <w:r w:rsidR="00D579FB">
        <w:rPr>
          <w:sz w:val="24"/>
          <w:szCs w:val="24"/>
          <w:lang w:val="en-US" w:eastAsia="en-GB"/>
        </w:rPr>
        <w:t>,</w:t>
      </w:r>
      <w:r w:rsidR="00D579FB" w:rsidRPr="00F90AB6">
        <w:rPr>
          <w:sz w:val="24"/>
          <w:szCs w:val="24"/>
          <w:lang w:val="en-US" w:eastAsia="en-GB"/>
        </w:rPr>
        <w:t xml:space="preserve"> </w:t>
      </w:r>
      <w:r w:rsidR="00D579FB" w:rsidRPr="00F90AB6">
        <w:rPr>
          <w:i/>
          <w:sz w:val="24"/>
          <w:szCs w:val="24"/>
          <w:lang w:val="en-US" w:eastAsia="en-GB"/>
        </w:rPr>
        <w:t>p</w:t>
      </w:r>
      <w:r w:rsidR="00D579FB">
        <w:rPr>
          <w:sz w:val="24"/>
          <w:szCs w:val="24"/>
          <w:lang w:val="en-US" w:eastAsia="en-GB"/>
        </w:rPr>
        <w:t>&lt;.01</w:t>
      </w:r>
      <w:r w:rsidR="00D579FB" w:rsidRPr="00F90AB6">
        <w:rPr>
          <w:sz w:val="24"/>
          <w:szCs w:val="24"/>
          <w:lang w:val="en-US" w:eastAsia="en-GB"/>
        </w:rPr>
        <w:t xml:space="preserve">, </w:t>
      </w:r>
      <w:r w:rsidR="00D579FB" w:rsidRPr="00F90AB6">
        <w:rPr>
          <w:i/>
          <w:sz w:val="24"/>
          <w:szCs w:val="24"/>
          <w:lang w:val="en-US"/>
        </w:rPr>
        <w:t>η</w:t>
      </w:r>
      <w:r w:rsidR="00D579FB" w:rsidRPr="00F90AB6">
        <w:rPr>
          <w:i/>
          <w:sz w:val="24"/>
          <w:szCs w:val="24"/>
          <w:vertAlign w:val="subscript"/>
          <w:lang w:val="en-US"/>
        </w:rPr>
        <w:t>p</w:t>
      </w:r>
      <w:r w:rsidR="00D579FB" w:rsidRPr="00F90AB6">
        <w:rPr>
          <w:i/>
          <w:sz w:val="24"/>
          <w:szCs w:val="24"/>
          <w:vertAlign w:val="superscript"/>
          <w:lang w:val="en-US"/>
        </w:rPr>
        <w:t>2</w:t>
      </w:r>
      <w:r w:rsidR="00D579FB" w:rsidRPr="00F90AB6">
        <w:rPr>
          <w:sz w:val="24"/>
          <w:szCs w:val="24"/>
          <w:lang w:val="en-US"/>
        </w:rPr>
        <w:t>=.54, 95% CI [.40, .62]. The Pre-exposure factor and the Pre-exposure x Blocks of Trials interaction were both non-significant,</w:t>
      </w:r>
      <w:r w:rsidR="002E029A">
        <w:rPr>
          <w:sz w:val="24"/>
          <w:szCs w:val="24"/>
          <w:lang w:val="en-US"/>
        </w:rPr>
        <w:t xml:space="preserve"> </w:t>
      </w:r>
      <w:r w:rsidR="00AC31A0" w:rsidRPr="000C1694">
        <w:rPr>
          <w:i/>
          <w:sz w:val="24"/>
          <w:szCs w:val="24"/>
          <w:lang w:val="en-US"/>
        </w:rPr>
        <w:t>F</w:t>
      </w:r>
      <w:r w:rsidR="000C1694" w:rsidRPr="000C1694">
        <w:rPr>
          <w:sz w:val="24"/>
          <w:szCs w:val="24"/>
          <w:lang w:val="en-US"/>
        </w:rPr>
        <w:t>s&lt;1</w:t>
      </w:r>
      <w:r w:rsidR="00AC31A0" w:rsidRPr="000C1694">
        <w:rPr>
          <w:sz w:val="24"/>
          <w:szCs w:val="24"/>
          <w:lang w:val="en-US"/>
        </w:rPr>
        <w:t>.</w:t>
      </w:r>
    </w:p>
    <w:p w14:paraId="603807A9" w14:textId="4A084F10" w:rsidR="00242023" w:rsidRPr="002636A5" w:rsidRDefault="00D579FB" w:rsidP="002636A5">
      <w:pPr>
        <w:adjustRightInd w:val="0"/>
        <w:spacing w:line="480" w:lineRule="auto"/>
        <w:jc w:val="center"/>
        <w:rPr>
          <w:i/>
          <w:sz w:val="24"/>
          <w:szCs w:val="24"/>
          <w:lang w:val="en-US" w:eastAsia="en-GB"/>
        </w:rPr>
      </w:pPr>
      <w:r w:rsidRPr="00F90AB6">
        <w:rPr>
          <w:i/>
          <w:sz w:val="24"/>
          <w:szCs w:val="24"/>
          <w:lang w:val="en-US" w:eastAsia="en-GB"/>
        </w:rPr>
        <w:t xml:space="preserve">Figure </w:t>
      </w:r>
      <w:r>
        <w:rPr>
          <w:i/>
          <w:sz w:val="24"/>
          <w:szCs w:val="24"/>
          <w:lang w:val="en-US" w:eastAsia="en-GB"/>
        </w:rPr>
        <w:t>5</w:t>
      </w:r>
      <w:r w:rsidRPr="00F90AB6">
        <w:rPr>
          <w:i/>
          <w:sz w:val="24"/>
          <w:szCs w:val="24"/>
          <w:lang w:val="en-US" w:eastAsia="en-GB"/>
        </w:rPr>
        <w:t xml:space="preserve"> around here</w:t>
      </w:r>
    </w:p>
    <w:p w14:paraId="79C78964" w14:textId="201517B9" w:rsidR="00D579FB" w:rsidRPr="00F90AB6" w:rsidRDefault="00D579FB" w:rsidP="00D579FB">
      <w:pPr>
        <w:adjustRightInd w:val="0"/>
        <w:spacing w:line="480" w:lineRule="auto"/>
        <w:ind w:firstLine="851"/>
        <w:rPr>
          <w:sz w:val="24"/>
          <w:szCs w:val="24"/>
          <w:lang w:val="en-US"/>
        </w:rPr>
      </w:pPr>
      <w:r w:rsidRPr="00F90AB6">
        <w:rPr>
          <w:sz w:val="24"/>
          <w:szCs w:val="24"/>
          <w:lang w:val="en-US"/>
        </w:rPr>
        <w:t xml:space="preserve">The same analyses were carried out on the Pre-CS scores during the conditioning phase of the experiment. </w:t>
      </w:r>
      <w:r w:rsidR="008A2B71" w:rsidRPr="00F90AB6">
        <w:rPr>
          <w:sz w:val="24"/>
          <w:szCs w:val="24"/>
          <w:lang w:val="en-US"/>
        </w:rPr>
        <w:t>The overall mean Pre-CS scores for the six blocks of conditioning trials were: 1.29 (</w:t>
      </w:r>
      <w:r w:rsidR="008A2B71" w:rsidRPr="004908D5">
        <w:rPr>
          <w:i/>
          <w:sz w:val="24"/>
          <w:szCs w:val="24"/>
          <w:lang w:val="en-US"/>
        </w:rPr>
        <w:t>SEM</w:t>
      </w:r>
      <w:r w:rsidR="008A2B71">
        <w:rPr>
          <w:sz w:val="24"/>
          <w:szCs w:val="24"/>
          <w:lang w:val="en-US"/>
        </w:rPr>
        <w:t xml:space="preserve"> </w:t>
      </w:r>
      <w:r w:rsidR="00061509">
        <w:rPr>
          <w:sz w:val="24"/>
          <w:szCs w:val="24"/>
          <w:lang w:val="en-US"/>
        </w:rPr>
        <w:t>±.23) for group Intermixed</w:t>
      </w:r>
      <w:r w:rsidR="008A2B71" w:rsidRPr="00F90AB6">
        <w:rPr>
          <w:sz w:val="24"/>
          <w:szCs w:val="24"/>
          <w:lang w:val="en-US"/>
        </w:rPr>
        <w:t xml:space="preserve"> and 1.28 (±.23) for group Blocked. </w:t>
      </w:r>
      <w:r w:rsidRPr="00F90AB6">
        <w:rPr>
          <w:sz w:val="24"/>
          <w:szCs w:val="24"/>
          <w:lang w:val="en-US"/>
        </w:rPr>
        <w:t xml:space="preserve">An ANOVA with Pre-exposure (Intermixed </w:t>
      </w:r>
      <w:r w:rsidRPr="00F90AB6">
        <w:rPr>
          <w:i/>
          <w:sz w:val="24"/>
          <w:szCs w:val="24"/>
          <w:lang w:val="en-US"/>
        </w:rPr>
        <w:t>vs.</w:t>
      </w:r>
      <w:r w:rsidRPr="00F90AB6">
        <w:rPr>
          <w:sz w:val="24"/>
          <w:szCs w:val="24"/>
          <w:lang w:val="en-US"/>
        </w:rPr>
        <w:t xml:space="preserve"> Blocked) and Blocks of Trials as factors showed no significant effects, maximum </w:t>
      </w:r>
      <w:proofErr w:type="gramStart"/>
      <w:r w:rsidRPr="00F90AB6">
        <w:rPr>
          <w:i/>
          <w:sz w:val="24"/>
          <w:szCs w:val="24"/>
          <w:lang w:val="en-US"/>
        </w:rPr>
        <w:t>F</w:t>
      </w:r>
      <w:r w:rsidRPr="00F90AB6">
        <w:rPr>
          <w:sz w:val="24"/>
          <w:szCs w:val="24"/>
          <w:lang w:val="en-US"/>
        </w:rPr>
        <w:t>(</w:t>
      </w:r>
      <w:proofErr w:type="gramEnd"/>
      <w:r w:rsidRPr="00F90AB6">
        <w:rPr>
          <w:sz w:val="24"/>
          <w:szCs w:val="24"/>
          <w:lang w:val="en-US"/>
        </w:rPr>
        <w:t xml:space="preserve">5,110)=2.09. </w:t>
      </w:r>
    </w:p>
    <w:p w14:paraId="66758741" w14:textId="3FA0B975" w:rsidR="002636A5" w:rsidRDefault="008A2B71" w:rsidP="002636A5">
      <w:pPr>
        <w:adjustRightInd w:val="0"/>
        <w:spacing w:line="480" w:lineRule="auto"/>
        <w:ind w:firstLine="851"/>
        <w:rPr>
          <w:sz w:val="24"/>
          <w:szCs w:val="24"/>
          <w:lang w:val="en-US"/>
        </w:rPr>
      </w:pPr>
      <w:r>
        <w:rPr>
          <w:sz w:val="24"/>
          <w:szCs w:val="24"/>
          <w:lang w:val="en-US"/>
        </w:rPr>
        <w:t>Figure 6</w:t>
      </w:r>
      <w:r w:rsidR="00D579FB" w:rsidRPr="00F90AB6">
        <w:rPr>
          <w:sz w:val="24"/>
          <w:szCs w:val="24"/>
          <w:lang w:val="en-US"/>
        </w:rPr>
        <w:t xml:space="preserve"> shows the group means for the magazine approach</w:t>
      </w:r>
      <w:r w:rsidR="00D579FB" w:rsidRPr="00F90AB6">
        <w:rPr>
          <w:lang w:val="en-US"/>
        </w:rPr>
        <w:t xml:space="preserve"> </w:t>
      </w:r>
      <w:r w:rsidR="002636A5">
        <w:rPr>
          <w:sz w:val="24"/>
          <w:szCs w:val="24"/>
          <w:lang w:val="en-US"/>
        </w:rPr>
        <w:t xml:space="preserve">response during </w:t>
      </w:r>
      <w:r w:rsidR="00061509">
        <w:rPr>
          <w:sz w:val="24"/>
          <w:szCs w:val="24"/>
          <w:lang w:val="en-US"/>
        </w:rPr>
        <w:t xml:space="preserve">the </w:t>
      </w:r>
      <w:r w:rsidR="002636A5">
        <w:rPr>
          <w:sz w:val="24"/>
          <w:szCs w:val="24"/>
          <w:lang w:val="en-US"/>
        </w:rPr>
        <w:t>superimposition test</w:t>
      </w:r>
      <w:r w:rsidR="00D579FB" w:rsidRPr="00F90AB6">
        <w:rPr>
          <w:sz w:val="24"/>
          <w:szCs w:val="24"/>
          <w:lang w:val="en-US"/>
        </w:rPr>
        <w:t xml:space="preserve"> with the AY compound. </w:t>
      </w:r>
      <w:r w:rsidR="002636A5" w:rsidRPr="008A2B71">
        <w:rPr>
          <w:color w:val="000000" w:themeColor="text1"/>
          <w:sz w:val="24"/>
          <w:szCs w:val="24"/>
          <w:lang w:val="en-US"/>
        </w:rPr>
        <w:t>A</w:t>
      </w:r>
      <w:r w:rsidRPr="008A2B71">
        <w:rPr>
          <w:color w:val="000000" w:themeColor="text1"/>
          <w:sz w:val="24"/>
          <w:szCs w:val="24"/>
          <w:lang w:val="en-US"/>
        </w:rPr>
        <w:t xml:space="preserve"> one-way</w:t>
      </w:r>
      <w:r w:rsidR="002636A5" w:rsidRPr="008A2B71">
        <w:rPr>
          <w:color w:val="000000" w:themeColor="text1"/>
          <w:lang w:val="en-US"/>
        </w:rPr>
        <w:t xml:space="preserve"> </w:t>
      </w:r>
      <w:r w:rsidR="002636A5" w:rsidRPr="008A2B71">
        <w:rPr>
          <w:color w:val="000000" w:themeColor="text1"/>
          <w:sz w:val="24"/>
          <w:szCs w:val="24"/>
          <w:lang w:val="en-US"/>
        </w:rPr>
        <w:t xml:space="preserve">ANOVA </w:t>
      </w:r>
      <w:r>
        <w:rPr>
          <w:color w:val="000000" w:themeColor="text1"/>
          <w:sz w:val="24"/>
          <w:szCs w:val="24"/>
          <w:lang w:val="en-US"/>
        </w:rPr>
        <w:t>revealed</w:t>
      </w:r>
      <w:r w:rsidR="002636A5" w:rsidRPr="008A2B71">
        <w:rPr>
          <w:color w:val="000000" w:themeColor="text1"/>
          <w:sz w:val="24"/>
          <w:szCs w:val="24"/>
          <w:lang w:val="en-US"/>
        </w:rPr>
        <w:t xml:space="preserve"> a significant </w:t>
      </w:r>
      <w:r w:rsidRPr="008A2B71">
        <w:rPr>
          <w:color w:val="000000" w:themeColor="text1"/>
          <w:sz w:val="24"/>
          <w:szCs w:val="24"/>
          <w:lang w:val="en-US"/>
        </w:rPr>
        <w:t>effect of group</w:t>
      </w:r>
      <w:r w:rsidR="002636A5" w:rsidRPr="008A2B71">
        <w:rPr>
          <w:color w:val="000000" w:themeColor="text1"/>
          <w:sz w:val="24"/>
          <w:szCs w:val="24"/>
          <w:lang w:val="en-US"/>
        </w:rPr>
        <w:t>,</w:t>
      </w:r>
      <w:r w:rsidR="002636A5" w:rsidRPr="008A2B71">
        <w:rPr>
          <w:sz w:val="24"/>
          <w:szCs w:val="24"/>
          <w:lang w:val="en-US"/>
        </w:rPr>
        <w:t xml:space="preserve"> </w:t>
      </w:r>
      <w:proofErr w:type="gramStart"/>
      <w:r w:rsidR="00D579FB" w:rsidRPr="008A2B71">
        <w:rPr>
          <w:i/>
          <w:sz w:val="24"/>
          <w:szCs w:val="24"/>
          <w:lang w:val="en-US"/>
        </w:rPr>
        <w:t>F</w:t>
      </w:r>
      <w:r w:rsidR="009B39CB" w:rsidRPr="008A2B71">
        <w:rPr>
          <w:sz w:val="24"/>
          <w:szCs w:val="24"/>
          <w:lang w:val="en-US"/>
        </w:rPr>
        <w:t>(</w:t>
      </w:r>
      <w:proofErr w:type="gramEnd"/>
      <w:r w:rsidR="009B39CB" w:rsidRPr="008A2B71">
        <w:rPr>
          <w:sz w:val="24"/>
          <w:szCs w:val="24"/>
          <w:lang w:val="en-US"/>
        </w:rPr>
        <w:t>1,</w:t>
      </w:r>
      <w:r w:rsidR="009B39CB">
        <w:rPr>
          <w:sz w:val="24"/>
          <w:szCs w:val="24"/>
          <w:lang w:val="en-US"/>
        </w:rPr>
        <w:t xml:space="preserve"> 22)=</w:t>
      </w:r>
      <w:r w:rsidR="00242023">
        <w:rPr>
          <w:sz w:val="24"/>
          <w:szCs w:val="24"/>
          <w:lang w:val="en-US"/>
        </w:rPr>
        <w:t>4.46</w:t>
      </w:r>
      <w:r w:rsidR="00D579FB" w:rsidRPr="00F90AB6">
        <w:rPr>
          <w:sz w:val="24"/>
          <w:szCs w:val="24"/>
          <w:lang w:val="en-US"/>
        </w:rPr>
        <w:t xml:space="preserve">, </w:t>
      </w:r>
      <w:r w:rsidR="00D579FB" w:rsidRPr="00092AAD">
        <w:rPr>
          <w:i/>
          <w:sz w:val="24"/>
          <w:szCs w:val="24"/>
          <w:lang w:val="en-US"/>
        </w:rPr>
        <w:t>MSE</w:t>
      </w:r>
      <w:r w:rsidR="00D579FB" w:rsidRPr="00092AAD">
        <w:rPr>
          <w:sz w:val="24"/>
          <w:szCs w:val="24"/>
          <w:lang w:val="en-US" w:eastAsia="en-GB"/>
        </w:rPr>
        <w:t>=</w:t>
      </w:r>
      <w:r w:rsidR="00242023">
        <w:rPr>
          <w:sz w:val="24"/>
          <w:szCs w:val="24"/>
          <w:lang w:val="en-US" w:eastAsia="en-GB"/>
        </w:rPr>
        <w:t>10.70</w:t>
      </w:r>
      <w:r w:rsidR="00D579FB">
        <w:rPr>
          <w:sz w:val="24"/>
          <w:szCs w:val="24"/>
          <w:lang w:val="en-US" w:eastAsia="en-GB"/>
        </w:rPr>
        <w:t>,</w:t>
      </w:r>
      <w:r w:rsidR="00D579FB">
        <w:rPr>
          <w:i/>
          <w:sz w:val="24"/>
          <w:szCs w:val="24"/>
          <w:lang w:val="en-US" w:eastAsia="en-GB"/>
        </w:rPr>
        <w:t xml:space="preserve"> </w:t>
      </w:r>
      <w:r w:rsidR="00D579FB" w:rsidRPr="00F90AB6">
        <w:rPr>
          <w:i/>
          <w:sz w:val="24"/>
          <w:szCs w:val="24"/>
          <w:lang w:val="en-US" w:eastAsia="en-GB"/>
        </w:rPr>
        <w:t>p</w:t>
      </w:r>
      <w:r w:rsidR="00D579FB" w:rsidRPr="00F90AB6">
        <w:rPr>
          <w:sz w:val="24"/>
          <w:szCs w:val="24"/>
          <w:lang w:val="en-US" w:eastAsia="en-GB"/>
        </w:rPr>
        <w:t>=.</w:t>
      </w:r>
      <w:r w:rsidR="00D579FB" w:rsidRPr="00F90AB6">
        <w:rPr>
          <w:sz w:val="24"/>
          <w:szCs w:val="24"/>
          <w:lang w:val="en-US"/>
        </w:rPr>
        <w:t xml:space="preserve">04, </w:t>
      </w:r>
      <w:r w:rsidR="00D579FB" w:rsidRPr="00F90AB6">
        <w:rPr>
          <w:i/>
          <w:sz w:val="24"/>
          <w:szCs w:val="24"/>
          <w:lang w:val="en-US"/>
        </w:rPr>
        <w:t>η</w:t>
      </w:r>
      <w:r w:rsidR="00D579FB" w:rsidRPr="00F90AB6">
        <w:rPr>
          <w:i/>
          <w:sz w:val="24"/>
          <w:szCs w:val="24"/>
          <w:vertAlign w:val="subscript"/>
          <w:lang w:val="en-US"/>
        </w:rPr>
        <w:t>p</w:t>
      </w:r>
      <w:r w:rsidR="00D579FB" w:rsidRPr="00F90AB6">
        <w:rPr>
          <w:i/>
          <w:sz w:val="24"/>
          <w:szCs w:val="24"/>
          <w:vertAlign w:val="superscript"/>
          <w:lang w:val="en-US"/>
        </w:rPr>
        <w:t>2</w:t>
      </w:r>
      <w:r w:rsidR="00D579FB" w:rsidRPr="00F90AB6">
        <w:rPr>
          <w:sz w:val="24"/>
          <w:szCs w:val="24"/>
          <w:lang w:val="en-US"/>
        </w:rPr>
        <w:t xml:space="preserve">=.17, 95% CI [.00,.42]. </w:t>
      </w:r>
    </w:p>
    <w:p w14:paraId="3F2796CE" w14:textId="5253D5C8" w:rsidR="00D579FB" w:rsidRPr="00F90AB6" w:rsidRDefault="002636A5" w:rsidP="00D579FB">
      <w:pPr>
        <w:adjustRightInd w:val="0"/>
        <w:spacing w:line="480" w:lineRule="auto"/>
        <w:ind w:firstLine="851"/>
        <w:rPr>
          <w:sz w:val="24"/>
          <w:szCs w:val="24"/>
          <w:lang w:val="en-US"/>
        </w:rPr>
      </w:pPr>
      <w:r w:rsidRPr="008A2B71">
        <w:rPr>
          <w:sz w:val="24"/>
          <w:szCs w:val="24"/>
          <w:lang w:val="en-US"/>
        </w:rPr>
        <w:t xml:space="preserve">The same analysis </w:t>
      </w:r>
      <w:r w:rsidR="008A2B71" w:rsidRPr="008A2B71">
        <w:rPr>
          <w:sz w:val="24"/>
          <w:szCs w:val="24"/>
          <w:lang w:val="en-US"/>
        </w:rPr>
        <w:t>was</w:t>
      </w:r>
      <w:r w:rsidRPr="008A2B71">
        <w:rPr>
          <w:sz w:val="24"/>
          <w:szCs w:val="24"/>
          <w:lang w:val="en-US"/>
        </w:rPr>
        <w:t xml:space="preserve"> carried out on the Pre-CS scores </w:t>
      </w:r>
      <w:r w:rsidR="008A2B71" w:rsidRPr="008A2B71">
        <w:rPr>
          <w:sz w:val="24"/>
          <w:szCs w:val="24"/>
          <w:lang w:val="en-US"/>
        </w:rPr>
        <w:t xml:space="preserve">during the test phase. The overall mean Pre-CS scores for the test trials </w:t>
      </w:r>
      <w:r w:rsidR="00BF1069">
        <w:rPr>
          <w:sz w:val="24"/>
          <w:szCs w:val="24"/>
          <w:lang w:val="en-US"/>
        </w:rPr>
        <w:t>was</w:t>
      </w:r>
      <w:r w:rsidR="008A2B71" w:rsidRPr="008A2B71">
        <w:rPr>
          <w:sz w:val="24"/>
          <w:szCs w:val="24"/>
          <w:lang w:val="en-US"/>
        </w:rPr>
        <w:t xml:space="preserve"> .24 (</w:t>
      </w:r>
      <w:r w:rsidR="008A2B71" w:rsidRPr="008A2B71">
        <w:rPr>
          <w:i/>
          <w:sz w:val="24"/>
          <w:szCs w:val="24"/>
          <w:lang w:val="en-US"/>
        </w:rPr>
        <w:t>SEM</w:t>
      </w:r>
      <w:r w:rsidR="008A2B71" w:rsidRPr="008A2B71">
        <w:rPr>
          <w:sz w:val="24"/>
          <w:szCs w:val="24"/>
          <w:lang w:val="en-US"/>
        </w:rPr>
        <w:t xml:space="preserve"> ±.15) for group Intermixed and .51 (±.15) for group Blocked. A one-way</w:t>
      </w:r>
      <w:r w:rsidRPr="008A2B71">
        <w:rPr>
          <w:sz w:val="24"/>
          <w:szCs w:val="24"/>
          <w:lang w:val="en-US"/>
        </w:rPr>
        <w:t xml:space="preserve"> ANOVA </w:t>
      </w:r>
      <w:r w:rsidR="008A2B71" w:rsidRPr="008A2B71">
        <w:rPr>
          <w:sz w:val="24"/>
          <w:szCs w:val="24"/>
          <w:lang w:val="en-US"/>
        </w:rPr>
        <w:t>revealed no significant differences between the wo groups</w:t>
      </w:r>
      <w:r w:rsidRPr="008A2B71">
        <w:rPr>
          <w:sz w:val="24"/>
          <w:szCs w:val="24"/>
          <w:lang w:val="en-US"/>
        </w:rPr>
        <w:t xml:space="preserve">, </w:t>
      </w:r>
      <w:proofErr w:type="gramStart"/>
      <w:r w:rsidR="00D579FB" w:rsidRPr="008A2B71">
        <w:rPr>
          <w:i/>
          <w:sz w:val="24"/>
          <w:szCs w:val="24"/>
          <w:lang w:val="en-US"/>
        </w:rPr>
        <w:t>F</w:t>
      </w:r>
      <w:r w:rsidRPr="008A2B71">
        <w:rPr>
          <w:sz w:val="24"/>
          <w:szCs w:val="24"/>
          <w:lang w:val="en-US"/>
        </w:rPr>
        <w:t>(</w:t>
      </w:r>
      <w:proofErr w:type="gramEnd"/>
      <w:r w:rsidRPr="008A2B71">
        <w:rPr>
          <w:sz w:val="24"/>
          <w:szCs w:val="24"/>
          <w:lang w:val="en-US"/>
        </w:rPr>
        <w:t>1,22)=1.61</w:t>
      </w:r>
      <w:r w:rsidR="00D579FB" w:rsidRPr="008A2B71">
        <w:rPr>
          <w:sz w:val="24"/>
          <w:szCs w:val="24"/>
          <w:lang w:val="en-US"/>
        </w:rPr>
        <w:t>.</w:t>
      </w:r>
      <w:r w:rsidR="00D579FB" w:rsidRPr="00F90AB6">
        <w:rPr>
          <w:sz w:val="24"/>
          <w:szCs w:val="24"/>
          <w:lang w:val="en-US"/>
        </w:rPr>
        <w:t xml:space="preserve"> </w:t>
      </w:r>
    </w:p>
    <w:p w14:paraId="6CD13420" w14:textId="77777777" w:rsidR="00D579FB" w:rsidRPr="00F90AB6" w:rsidRDefault="00D579FB" w:rsidP="00D579FB">
      <w:pPr>
        <w:adjustRightInd w:val="0"/>
        <w:spacing w:line="480" w:lineRule="auto"/>
        <w:jc w:val="center"/>
        <w:rPr>
          <w:i/>
          <w:sz w:val="24"/>
          <w:szCs w:val="24"/>
          <w:lang w:val="en-US" w:eastAsia="en-GB"/>
        </w:rPr>
      </w:pPr>
      <w:r w:rsidRPr="00F90AB6">
        <w:rPr>
          <w:i/>
          <w:sz w:val="24"/>
          <w:szCs w:val="24"/>
          <w:lang w:val="en-US" w:eastAsia="en-GB"/>
        </w:rPr>
        <w:t xml:space="preserve">Figure </w:t>
      </w:r>
      <w:r>
        <w:rPr>
          <w:i/>
          <w:sz w:val="24"/>
          <w:szCs w:val="24"/>
          <w:lang w:val="en-US" w:eastAsia="en-GB"/>
        </w:rPr>
        <w:t>6</w:t>
      </w:r>
      <w:r w:rsidRPr="00F90AB6">
        <w:rPr>
          <w:i/>
          <w:sz w:val="24"/>
          <w:szCs w:val="24"/>
          <w:lang w:val="en-US" w:eastAsia="en-GB"/>
        </w:rPr>
        <w:t xml:space="preserve"> around here</w:t>
      </w:r>
    </w:p>
    <w:p w14:paraId="30C9A0EB" w14:textId="78B1F3CD" w:rsidR="00D579FB" w:rsidRPr="00F90AB6" w:rsidRDefault="00D579FB" w:rsidP="00D579FB">
      <w:pPr>
        <w:tabs>
          <w:tab w:val="center" w:pos="4275"/>
          <w:tab w:val="left" w:pos="7143"/>
        </w:tabs>
        <w:adjustRightInd w:val="0"/>
        <w:spacing w:line="480" w:lineRule="auto"/>
        <w:ind w:firstLine="567"/>
        <w:rPr>
          <w:sz w:val="24"/>
          <w:szCs w:val="24"/>
          <w:lang w:val="en-US"/>
        </w:rPr>
      </w:pPr>
      <w:r w:rsidRPr="00F90AB6">
        <w:rPr>
          <w:sz w:val="24"/>
          <w:szCs w:val="24"/>
          <w:lang w:val="en-US"/>
        </w:rPr>
        <w:t xml:space="preserve">This experiment demonstrates that the conditioned response controlled by a conditioned stimulus, Y, is </w:t>
      </w:r>
      <w:r w:rsidR="00BF1069">
        <w:rPr>
          <w:sz w:val="24"/>
          <w:szCs w:val="24"/>
          <w:lang w:val="en-US"/>
        </w:rPr>
        <w:t xml:space="preserve">differentially </w:t>
      </w:r>
      <w:r w:rsidRPr="00F90AB6">
        <w:rPr>
          <w:sz w:val="24"/>
          <w:szCs w:val="24"/>
          <w:lang w:val="en-US"/>
        </w:rPr>
        <w:t xml:space="preserve">modulated by the presence of another pre-exposed stimulus (the unique element A). The conditioned response was weaker when Y was presented in compound with the A element following blocked pre-exposure than </w:t>
      </w:r>
      <w:r w:rsidRPr="00F90AB6">
        <w:rPr>
          <w:sz w:val="24"/>
          <w:szCs w:val="24"/>
          <w:lang w:val="en-US"/>
        </w:rPr>
        <w:lastRenderedPageBreak/>
        <w:t>in the group given intermixed pre-exposure. This is in line with the results of E</w:t>
      </w:r>
      <w:r w:rsidR="00BF1069">
        <w:rPr>
          <w:sz w:val="24"/>
          <w:szCs w:val="24"/>
          <w:lang w:val="en-US"/>
        </w:rPr>
        <w:t>xperiment 2B</w:t>
      </w:r>
      <w:r w:rsidRPr="00F90AB6">
        <w:rPr>
          <w:sz w:val="24"/>
          <w:szCs w:val="24"/>
          <w:lang w:val="en-US"/>
        </w:rPr>
        <w:t xml:space="preserve">, strongly suggesting that the salience or </w:t>
      </w:r>
      <w:r w:rsidR="00DA45AE">
        <w:rPr>
          <w:sz w:val="24"/>
          <w:szCs w:val="24"/>
          <w:lang w:val="en-US"/>
        </w:rPr>
        <w:t xml:space="preserve">perceptual </w:t>
      </w:r>
      <w:r w:rsidRPr="00F90AB6">
        <w:rPr>
          <w:sz w:val="24"/>
          <w:szCs w:val="24"/>
          <w:lang w:val="en-US"/>
        </w:rPr>
        <w:t xml:space="preserve">effectiveness of the unique element is somewhat protected following blocked pre-exposure—in comparison to the intermixed pre-exposure procedure. </w:t>
      </w:r>
    </w:p>
    <w:p w14:paraId="422F236C" w14:textId="1EE746EF" w:rsidR="00D579FB" w:rsidRPr="009B39CB" w:rsidRDefault="00D579FB" w:rsidP="00D579FB">
      <w:pPr>
        <w:tabs>
          <w:tab w:val="center" w:pos="4275"/>
          <w:tab w:val="left" w:pos="7143"/>
        </w:tabs>
        <w:adjustRightInd w:val="0"/>
        <w:spacing w:line="480" w:lineRule="auto"/>
        <w:ind w:firstLine="567"/>
        <w:rPr>
          <w:color w:val="FF0000"/>
          <w:sz w:val="24"/>
          <w:szCs w:val="24"/>
          <w:lang w:val="en-US"/>
        </w:rPr>
      </w:pPr>
      <w:r w:rsidRPr="00F90AB6">
        <w:rPr>
          <w:sz w:val="24"/>
          <w:szCs w:val="24"/>
          <w:lang w:val="en-US"/>
        </w:rPr>
        <w:t>Most of associative learning theories (</w:t>
      </w:r>
      <w:r w:rsidR="009B39CB">
        <w:rPr>
          <w:sz w:val="24"/>
          <w:szCs w:val="24"/>
          <w:lang w:val="en-US"/>
        </w:rPr>
        <w:t xml:space="preserve">e.g., </w:t>
      </w:r>
      <w:r w:rsidRPr="00F90AB6">
        <w:rPr>
          <w:sz w:val="24"/>
          <w:szCs w:val="24"/>
          <w:lang w:val="en-US"/>
        </w:rPr>
        <w:t>McLaren &amp; Mackintosh, 2000; Hall, 2003) tend to predict that the salience/effectiveness of the unique elements would be higher following intermixed than blocked pre-</w:t>
      </w:r>
      <w:r w:rsidR="00540C9E">
        <w:rPr>
          <w:sz w:val="24"/>
          <w:szCs w:val="24"/>
          <w:lang w:val="en-US"/>
        </w:rPr>
        <w:t>exposure. The results of the present experiment (togeth</w:t>
      </w:r>
      <w:r w:rsidR="00BF1069">
        <w:rPr>
          <w:sz w:val="24"/>
          <w:szCs w:val="24"/>
          <w:lang w:val="en-US"/>
        </w:rPr>
        <w:t>er with those from Experiment 2B</w:t>
      </w:r>
      <w:r w:rsidR="00540C9E">
        <w:rPr>
          <w:sz w:val="24"/>
          <w:szCs w:val="24"/>
          <w:lang w:val="en-US"/>
        </w:rPr>
        <w:t>) seem to challenge this principle.</w:t>
      </w:r>
    </w:p>
    <w:p w14:paraId="256ECE16" w14:textId="77777777" w:rsidR="009B39CB" w:rsidRPr="00F90AB6" w:rsidRDefault="009B39CB" w:rsidP="009B39CB">
      <w:pPr>
        <w:tabs>
          <w:tab w:val="center" w:pos="4275"/>
          <w:tab w:val="left" w:pos="5352"/>
          <w:tab w:val="left" w:pos="6826"/>
          <w:tab w:val="left" w:pos="9072"/>
        </w:tabs>
        <w:spacing w:line="480" w:lineRule="auto"/>
        <w:ind w:right="-45"/>
        <w:jc w:val="center"/>
        <w:rPr>
          <w:sz w:val="24"/>
          <w:szCs w:val="24"/>
          <w:lang w:val="en-US"/>
        </w:rPr>
      </w:pPr>
      <w:r w:rsidRPr="00F90AB6">
        <w:rPr>
          <w:sz w:val="24"/>
          <w:szCs w:val="24"/>
          <w:lang w:val="en-US"/>
        </w:rPr>
        <w:t>General Discussion</w:t>
      </w:r>
    </w:p>
    <w:p w14:paraId="71C17C8D" w14:textId="52F54B33" w:rsidR="003E0D3A" w:rsidRDefault="009B39CB" w:rsidP="003E0D3A">
      <w:pPr>
        <w:tabs>
          <w:tab w:val="center" w:pos="4275"/>
          <w:tab w:val="left" w:pos="7143"/>
        </w:tabs>
        <w:adjustRightInd w:val="0"/>
        <w:spacing w:line="480" w:lineRule="auto"/>
        <w:ind w:firstLine="567"/>
        <w:rPr>
          <w:sz w:val="24"/>
          <w:szCs w:val="24"/>
          <w:lang w:val="en-US"/>
        </w:rPr>
      </w:pPr>
      <w:r w:rsidRPr="00F90AB6">
        <w:rPr>
          <w:sz w:val="24"/>
          <w:szCs w:val="24"/>
          <w:lang w:val="en-US"/>
        </w:rPr>
        <w:t>It is well established that alternating pre-exposure to two compound stimuli sharing explicit common elements (AX, BX, AX, BX…) triggers learning mechanisms that enhance their discriminability—compared to the same amount of pre-exposure to the two stimuli but in separate blocks of trials (AX, AX… BX, BX</w:t>
      </w:r>
      <w:r w:rsidRPr="00540C9E">
        <w:rPr>
          <w:sz w:val="24"/>
          <w:szCs w:val="24"/>
          <w:lang w:val="en-US"/>
        </w:rPr>
        <w:t xml:space="preserve">). </w:t>
      </w:r>
      <w:r w:rsidR="00217DBF" w:rsidRPr="00540C9E">
        <w:rPr>
          <w:color w:val="000000" w:themeColor="text1"/>
          <w:sz w:val="24"/>
          <w:szCs w:val="24"/>
          <w:lang w:val="en-US"/>
        </w:rPr>
        <w:t xml:space="preserve">Doubling the amount of pre-exposure </w:t>
      </w:r>
      <w:r w:rsidR="00217DBF">
        <w:rPr>
          <w:color w:val="000000" w:themeColor="text1"/>
          <w:sz w:val="24"/>
          <w:szCs w:val="24"/>
          <w:lang w:val="en-US"/>
        </w:rPr>
        <w:t xml:space="preserve">(twenty pre-exposure trials to each compound instead of ten) </w:t>
      </w:r>
      <w:r w:rsidR="00217DBF" w:rsidRPr="00540C9E">
        <w:rPr>
          <w:color w:val="000000" w:themeColor="text1"/>
          <w:sz w:val="24"/>
          <w:szCs w:val="24"/>
          <w:lang w:val="en-US"/>
        </w:rPr>
        <w:t>used in previous studies using the same appetitive conditioning procedure (i.e., Artigas &amp; Prados, 2017; Mondragon and Murphy, 2010)</w:t>
      </w:r>
      <w:r w:rsidR="00217DBF">
        <w:rPr>
          <w:color w:val="000000" w:themeColor="text1"/>
          <w:sz w:val="24"/>
          <w:szCs w:val="24"/>
          <w:lang w:val="en-US"/>
        </w:rPr>
        <w:t>,</w:t>
      </w:r>
      <w:r w:rsidR="00217DBF" w:rsidRPr="00540C9E">
        <w:rPr>
          <w:color w:val="000000" w:themeColor="text1"/>
          <w:sz w:val="24"/>
          <w:szCs w:val="24"/>
          <w:lang w:val="en-US"/>
        </w:rPr>
        <w:t xml:space="preserve"> Experiment 1 showed the intermixed-b</w:t>
      </w:r>
      <w:r w:rsidR="00217DBF">
        <w:rPr>
          <w:color w:val="000000" w:themeColor="text1"/>
          <w:sz w:val="24"/>
          <w:szCs w:val="24"/>
          <w:lang w:val="en-US"/>
        </w:rPr>
        <w:t xml:space="preserve">locked effect (an instance of </w:t>
      </w:r>
      <w:r w:rsidR="00217DBF" w:rsidRPr="00540C9E">
        <w:rPr>
          <w:color w:val="000000" w:themeColor="text1"/>
          <w:sz w:val="24"/>
          <w:szCs w:val="24"/>
          <w:lang w:val="en-US"/>
        </w:rPr>
        <w:t>perceptual learning</w:t>
      </w:r>
      <w:r w:rsidR="00217DBF">
        <w:rPr>
          <w:color w:val="000000" w:themeColor="text1"/>
          <w:sz w:val="24"/>
          <w:szCs w:val="24"/>
          <w:lang w:val="en-US"/>
        </w:rPr>
        <w:t>)</w:t>
      </w:r>
      <w:r w:rsidR="00217DBF" w:rsidRPr="00540C9E">
        <w:rPr>
          <w:color w:val="000000" w:themeColor="text1"/>
          <w:sz w:val="24"/>
          <w:szCs w:val="24"/>
          <w:lang w:val="en-US"/>
        </w:rPr>
        <w:t xml:space="preserve">. </w:t>
      </w:r>
      <w:r w:rsidR="00441582">
        <w:rPr>
          <w:sz w:val="24"/>
          <w:szCs w:val="24"/>
          <w:lang w:val="en-US"/>
        </w:rPr>
        <w:t xml:space="preserve">It is worth noting that most </w:t>
      </w:r>
      <w:r w:rsidR="00441582" w:rsidRPr="00441582">
        <w:rPr>
          <w:sz w:val="24"/>
          <w:szCs w:val="24"/>
          <w:lang w:val="en-US"/>
        </w:rPr>
        <w:t xml:space="preserve">of </w:t>
      </w:r>
      <w:r w:rsidR="00B46DED" w:rsidRPr="00441582">
        <w:rPr>
          <w:sz w:val="24"/>
          <w:szCs w:val="24"/>
          <w:lang w:val="en-US"/>
        </w:rPr>
        <w:t xml:space="preserve">animal studies of perceptual learning </w:t>
      </w:r>
      <w:r w:rsidR="00BD4383" w:rsidRPr="00441582">
        <w:rPr>
          <w:sz w:val="24"/>
          <w:szCs w:val="24"/>
          <w:lang w:val="en-US"/>
        </w:rPr>
        <w:t>used</w:t>
      </w:r>
      <w:r w:rsidR="00B46DED" w:rsidRPr="00441582">
        <w:rPr>
          <w:sz w:val="24"/>
          <w:szCs w:val="24"/>
          <w:lang w:val="en-US"/>
        </w:rPr>
        <w:t xml:space="preserve"> a blocked design </w:t>
      </w:r>
      <w:r w:rsidR="00441582">
        <w:rPr>
          <w:sz w:val="24"/>
          <w:szCs w:val="24"/>
          <w:lang w:val="en-US"/>
        </w:rPr>
        <w:t xml:space="preserve">that </w:t>
      </w:r>
      <w:r w:rsidR="00B46DED" w:rsidRPr="00441582">
        <w:rPr>
          <w:sz w:val="24"/>
          <w:szCs w:val="24"/>
          <w:lang w:val="en-US"/>
        </w:rPr>
        <w:t xml:space="preserve">consisted of </w:t>
      </w:r>
      <w:r w:rsidR="00441582">
        <w:rPr>
          <w:sz w:val="24"/>
          <w:szCs w:val="24"/>
          <w:lang w:val="en-US"/>
        </w:rPr>
        <w:t>a block</w:t>
      </w:r>
      <w:r w:rsidR="00217DBF">
        <w:rPr>
          <w:sz w:val="24"/>
          <w:szCs w:val="24"/>
          <w:lang w:val="en-US"/>
        </w:rPr>
        <w:t xml:space="preserve"> of</w:t>
      </w:r>
      <w:r w:rsidR="00B46DED" w:rsidRPr="00441582">
        <w:rPr>
          <w:sz w:val="24"/>
          <w:szCs w:val="24"/>
          <w:lang w:val="en-US"/>
        </w:rPr>
        <w:t xml:space="preserve"> AX </w:t>
      </w:r>
      <w:r w:rsidR="00441582">
        <w:rPr>
          <w:sz w:val="24"/>
          <w:szCs w:val="24"/>
          <w:lang w:val="en-US"/>
        </w:rPr>
        <w:t xml:space="preserve">trials </w:t>
      </w:r>
      <w:r w:rsidR="00B46DED" w:rsidRPr="00441582">
        <w:rPr>
          <w:sz w:val="24"/>
          <w:szCs w:val="24"/>
          <w:lang w:val="en-US"/>
        </w:rPr>
        <w:t xml:space="preserve">followed by </w:t>
      </w:r>
      <w:r w:rsidR="00441582">
        <w:rPr>
          <w:sz w:val="24"/>
          <w:szCs w:val="24"/>
          <w:lang w:val="en-US"/>
        </w:rPr>
        <w:t>the presentations of BX i</w:t>
      </w:r>
      <w:r w:rsidR="00B46DED" w:rsidRPr="00441582">
        <w:rPr>
          <w:sz w:val="24"/>
          <w:szCs w:val="24"/>
          <w:lang w:val="en-US"/>
        </w:rPr>
        <w:t xml:space="preserve">n </w:t>
      </w:r>
      <w:r w:rsidR="00441582">
        <w:rPr>
          <w:sz w:val="24"/>
          <w:szCs w:val="24"/>
          <w:lang w:val="en-US"/>
        </w:rPr>
        <w:t>a separate block of trials (in such a way th</w:t>
      </w:r>
      <w:r w:rsidR="00E32AAA">
        <w:rPr>
          <w:sz w:val="24"/>
          <w:szCs w:val="24"/>
          <w:lang w:val="en-US"/>
        </w:rPr>
        <w:t>at there wa</w:t>
      </w:r>
      <w:r w:rsidR="00441582">
        <w:rPr>
          <w:sz w:val="24"/>
          <w:szCs w:val="24"/>
          <w:lang w:val="en-US"/>
        </w:rPr>
        <w:t>s only one alternation between AX and BX)</w:t>
      </w:r>
      <w:r w:rsidR="00B46DED" w:rsidRPr="00441582">
        <w:rPr>
          <w:sz w:val="24"/>
          <w:szCs w:val="24"/>
          <w:lang w:val="en-US"/>
        </w:rPr>
        <w:t>.</w:t>
      </w:r>
      <w:r w:rsidR="00BD4383" w:rsidRPr="00441582">
        <w:rPr>
          <w:sz w:val="24"/>
          <w:szCs w:val="24"/>
          <w:lang w:val="en-US"/>
        </w:rPr>
        <w:t xml:space="preserve"> </w:t>
      </w:r>
      <w:r w:rsidR="00441582">
        <w:rPr>
          <w:sz w:val="24"/>
          <w:szCs w:val="24"/>
          <w:lang w:val="en-US"/>
        </w:rPr>
        <w:t xml:space="preserve">In </w:t>
      </w:r>
      <w:r w:rsidR="00BF771F">
        <w:rPr>
          <w:sz w:val="24"/>
          <w:szCs w:val="24"/>
          <w:lang w:val="en-US"/>
        </w:rPr>
        <w:t>the present experiments</w:t>
      </w:r>
      <w:r w:rsidR="00E32AAA">
        <w:rPr>
          <w:sz w:val="24"/>
          <w:szCs w:val="24"/>
          <w:lang w:val="en-US"/>
        </w:rPr>
        <w:t>,</w:t>
      </w:r>
      <w:r w:rsidR="00441582">
        <w:rPr>
          <w:sz w:val="24"/>
          <w:szCs w:val="24"/>
          <w:lang w:val="en-US"/>
        </w:rPr>
        <w:t xml:space="preserve"> we </w:t>
      </w:r>
      <w:r w:rsidR="00217DBF">
        <w:rPr>
          <w:sz w:val="24"/>
          <w:szCs w:val="24"/>
          <w:lang w:val="en-US"/>
        </w:rPr>
        <w:t>used</w:t>
      </w:r>
      <w:r w:rsidR="00441582">
        <w:rPr>
          <w:sz w:val="24"/>
          <w:szCs w:val="24"/>
          <w:lang w:val="en-US"/>
        </w:rPr>
        <w:t xml:space="preserve"> a slightly different blocked pre-exposure procedure in which animals are given separate blocks of </w:t>
      </w:r>
      <w:r w:rsidR="00217DBF">
        <w:rPr>
          <w:sz w:val="24"/>
          <w:szCs w:val="24"/>
          <w:lang w:val="en-US"/>
        </w:rPr>
        <w:t xml:space="preserve">five </w:t>
      </w:r>
      <w:r w:rsidR="00441582">
        <w:rPr>
          <w:sz w:val="24"/>
          <w:szCs w:val="24"/>
          <w:lang w:val="en-US"/>
        </w:rPr>
        <w:t>trials to AX and BX within each session (</w:t>
      </w:r>
      <w:r w:rsidR="00B848A1">
        <w:rPr>
          <w:sz w:val="24"/>
          <w:szCs w:val="24"/>
          <w:lang w:val="en-US"/>
        </w:rPr>
        <w:t xml:space="preserve">since the order of presentation of AX and BX was balanced across days, the animals </w:t>
      </w:r>
      <w:r w:rsidR="00C329EF">
        <w:rPr>
          <w:sz w:val="24"/>
          <w:szCs w:val="24"/>
          <w:lang w:val="en-US"/>
        </w:rPr>
        <w:t>experience</w:t>
      </w:r>
      <w:r w:rsidR="00217DBF">
        <w:rPr>
          <w:sz w:val="24"/>
          <w:szCs w:val="24"/>
          <w:lang w:val="en-US"/>
        </w:rPr>
        <w:t xml:space="preserve">d </w:t>
      </w:r>
      <w:r w:rsidR="00C329EF">
        <w:rPr>
          <w:sz w:val="24"/>
          <w:szCs w:val="24"/>
          <w:lang w:val="en-US"/>
        </w:rPr>
        <w:t>four alternations between AX and BX</w:t>
      </w:r>
      <w:r w:rsidR="00217DBF">
        <w:rPr>
          <w:sz w:val="24"/>
          <w:szCs w:val="24"/>
          <w:lang w:val="en-US"/>
        </w:rPr>
        <w:t xml:space="preserve">; animals in the intermixed pre-exposure </w:t>
      </w:r>
      <w:r w:rsidR="00E32AAA">
        <w:rPr>
          <w:sz w:val="24"/>
          <w:szCs w:val="24"/>
          <w:lang w:val="en-US"/>
        </w:rPr>
        <w:t xml:space="preserve">group </w:t>
      </w:r>
      <w:r w:rsidR="00217DBF">
        <w:rPr>
          <w:sz w:val="24"/>
          <w:szCs w:val="24"/>
          <w:lang w:val="en-US"/>
        </w:rPr>
        <w:t xml:space="preserve">experienced </w:t>
      </w:r>
      <w:r w:rsidR="00B848A1">
        <w:rPr>
          <w:sz w:val="24"/>
          <w:szCs w:val="24"/>
          <w:lang w:val="en-US"/>
        </w:rPr>
        <w:t>thirty-nine</w:t>
      </w:r>
      <w:r w:rsidR="00217DBF">
        <w:rPr>
          <w:sz w:val="24"/>
          <w:szCs w:val="24"/>
          <w:lang w:val="en-US"/>
        </w:rPr>
        <w:t xml:space="preserve"> alternations</w:t>
      </w:r>
      <w:r w:rsidR="00C329EF">
        <w:rPr>
          <w:sz w:val="24"/>
          <w:szCs w:val="24"/>
          <w:lang w:val="en-US"/>
        </w:rPr>
        <w:t>)</w:t>
      </w:r>
      <w:r w:rsidR="00441582">
        <w:rPr>
          <w:color w:val="000000" w:themeColor="text1"/>
          <w:sz w:val="24"/>
          <w:szCs w:val="24"/>
          <w:lang w:val="en-US"/>
        </w:rPr>
        <w:t xml:space="preserve">. We adopted this pre-exposure </w:t>
      </w:r>
      <w:r w:rsidR="00441582">
        <w:rPr>
          <w:color w:val="000000" w:themeColor="text1"/>
          <w:sz w:val="24"/>
          <w:szCs w:val="24"/>
          <w:lang w:val="en-US"/>
        </w:rPr>
        <w:lastRenderedPageBreak/>
        <w:t xml:space="preserve">procedure to be able to make comparisons with the previous studies by </w:t>
      </w:r>
      <w:r w:rsidR="00441582" w:rsidRPr="00441582">
        <w:rPr>
          <w:color w:val="000000" w:themeColor="text1"/>
          <w:sz w:val="24"/>
          <w:szCs w:val="24"/>
          <w:lang w:val="en-US"/>
        </w:rPr>
        <w:t>Mondragon and Murphy (2010) and Artigas and Prados (2017)</w:t>
      </w:r>
      <w:r w:rsidR="00441582">
        <w:rPr>
          <w:color w:val="000000" w:themeColor="text1"/>
          <w:sz w:val="24"/>
          <w:szCs w:val="24"/>
          <w:lang w:val="en-US"/>
        </w:rPr>
        <w:t>, which showed a clear advantage of the intermixed procedure on the ability to discriminate between AX and BX. However, the fact that there is some level of alternation</w:t>
      </w:r>
      <w:r w:rsidR="00E32AAA">
        <w:rPr>
          <w:color w:val="000000" w:themeColor="text1"/>
          <w:sz w:val="24"/>
          <w:szCs w:val="24"/>
          <w:lang w:val="en-US"/>
        </w:rPr>
        <w:t xml:space="preserve"> between AX and BX even in the b</w:t>
      </w:r>
      <w:r w:rsidR="00441582">
        <w:rPr>
          <w:color w:val="000000" w:themeColor="text1"/>
          <w:sz w:val="24"/>
          <w:szCs w:val="24"/>
          <w:lang w:val="en-US"/>
        </w:rPr>
        <w:t xml:space="preserve">locked pre-exposure condition might </w:t>
      </w:r>
      <w:r w:rsidR="00441582" w:rsidRPr="00441582">
        <w:rPr>
          <w:color w:val="000000" w:themeColor="text1"/>
          <w:sz w:val="24"/>
          <w:szCs w:val="24"/>
          <w:lang w:val="en-US"/>
        </w:rPr>
        <w:t>underestimate the differences that</w:t>
      </w:r>
      <w:r w:rsidR="00441582">
        <w:rPr>
          <w:color w:val="000000" w:themeColor="text1"/>
          <w:sz w:val="24"/>
          <w:szCs w:val="24"/>
          <w:lang w:val="en-US"/>
        </w:rPr>
        <w:t xml:space="preserve"> typically</w:t>
      </w:r>
      <w:r w:rsidR="00441582" w:rsidRPr="00441582">
        <w:rPr>
          <w:color w:val="000000" w:themeColor="text1"/>
          <w:sz w:val="24"/>
          <w:szCs w:val="24"/>
          <w:lang w:val="en-US"/>
        </w:rPr>
        <w:t xml:space="preserve"> arise </w:t>
      </w:r>
      <w:r w:rsidR="00C329EF">
        <w:rPr>
          <w:color w:val="000000" w:themeColor="text1"/>
          <w:sz w:val="24"/>
          <w:szCs w:val="24"/>
          <w:lang w:val="en-US"/>
        </w:rPr>
        <w:t>when comparing the effects of</w:t>
      </w:r>
      <w:r w:rsidR="00441582">
        <w:rPr>
          <w:color w:val="000000" w:themeColor="text1"/>
          <w:sz w:val="24"/>
          <w:szCs w:val="24"/>
          <w:lang w:val="en-US"/>
        </w:rPr>
        <w:t xml:space="preserve"> </w:t>
      </w:r>
      <w:r w:rsidR="00441582" w:rsidRPr="00441582">
        <w:rPr>
          <w:color w:val="000000" w:themeColor="text1"/>
          <w:sz w:val="24"/>
          <w:szCs w:val="24"/>
          <w:lang w:val="en-US"/>
        </w:rPr>
        <w:t>intermixed and blocked pre-exposure.</w:t>
      </w:r>
    </w:p>
    <w:p w14:paraId="4C090082" w14:textId="6331AA7B" w:rsidR="00494F48" w:rsidRDefault="00217DBF" w:rsidP="009B39CB">
      <w:pPr>
        <w:tabs>
          <w:tab w:val="center" w:pos="4275"/>
          <w:tab w:val="left" w:pos="7143"/>
        </w:tabs>
        <w:adjustRightInd w:val="0"/>
        <w:spacing w:line="480" w:lineRule="auto"/>
        <w:ind w:firstLine="567"/>
        <w:rPr>
          <w:color w:val="000000" w:themeColor="text1"/>
          <w:sz w:val="24"/>
          <w:szCs w:val="24"/>
          <w:lang w:val="en-US"/>
        </w:rPr>
      </w:pPr>
      <w:r>
        <w:rPr>
          <w:color w:val="000000" w:themeColor="text1"/>
          <w:sz w:val="24"/>
          <w:szCs w:val="24"/>
          <w:lang w:val="en-US"/>
        </w:rPr>
        <w:t>The intermixed blocked effect observed in Experiment 1</w:t>
      </w:r>
      <w:r w:rsidR="009B39CB" w:rsidRPr="00540C9E">
        <w:rPr>
          <w:sz w:val="24"/>
          <w:szCs w:val="24"/>
          <w:lang w:val="en-US"/>
        </w:rPr>
        <w:t>is</w:t>
      </w:r>
      <w:r w:rsidR="009B39CB" w:rsidRPr="00F90AB6">
        <w:rPr>
          <w:sz w:val="24"/>
          <w:szCs w:val="24"/>
          <w:lang w:val="en-US"/>
        </w:rPr>
        <w:t xml:space="preserve"> known to depend, at least to some extent, on the salience or effectiveness of the unique and common elements following pre-exposure (e.g., Hall, 2003). </w:t>
      </w:r>
      <w:r w:rsidR="009B39CB" w:rsidRPr="00AF497B">
        <w:rPr>
          <w:color w:val="000000" w:themeColor="text1"/>
          <w:sz w:val="24"/>
          <w:szCs w:val="24"/>
          <w:lang w:val="en-US"/>
        </w:rPr>
        <w:t xml:space="preserve">Experiments 2 and 3 </w:t>
      </w:r>
      <w:r w:rsidR="009B39CB" w:rsidRPr="00F90AB6">
        <w:rPr>
          <w:sz w:val="24"/>
          <w:szCs w:val="24"/>
          <w:lang w:val="en-US"/>
        </w:rPr>
        <w:t xml:space="preserve">aimed to assess the effectiveness of the unique and common elements following pre-exposure to AX and BX in alternation or in different blocks of </w:t>
      </w:r>
      <w:r w:rsidR="009B39CB">
        <w:rPr>
          <w:sz w:val="24"/>
          <w:szCs w:val="24"/>
          <w:lang w:val="en-US"/>
        </w:rPr>
        <w:t xml:space="preserve">trials. </w:t>
      </w:r>
      <w:r w:rsidR="00A57711">
        <w:rPr>
          <w:color w:val="000000" w:themeColor="text1"/>
          <w:sz w:val="24"/>
          <w:szCs w:val="24"/>
          <w:lang w:val="en-US"/>
        </w:rPr>
        <w:t>In Experiment 2, f</w:t>
      </w:r>
      <w:r w:rsidR="00B81375" w:rsidRPr="00A57711">
        <w:rPr>
          <w:color w:val="000000" w:themeColor="text1"/>
          <w:sz w:val="24"/>
          <w:szCs w:val="24"/>
          <w:lang w:val="en-US"/>
        </w:rPr>
        <w:t xml:space="preserve">ollowing </w:t>
      </w:r>
      <w:r w:rsidR="00A57711">
        <w:rPr>
          <w:color w:val="000000" w:themeColor="text1"/>
          <w:sz w:val="24"/>
          <w:szCs w:val="24"/>
          <w:lang w:val="en-US"/>
        </w:rPr>
        <w:t xml:space="preserve">either </w:t>
      </w:r>
      <w:r w:rsidR="00C75D55">
        <w:rPr>
          <w:color w:val="000000" w:themeColor="text1"/>
          <w:sz w:val="24"/>
          <w:szCs w:val="24"/>
          <w:lang w:val="en-US"/>
        </w:rPr>
        <w:t>short</w:t>
      </w:r>
      <w:r w:rsidR="00A57711">
        <w:rPr>
          <w:color w:val="000000" w:themeColor="text1"/>
          <w:sz w:val="24"/>
          <w:szCs w:val="24"/>
          <w:lang w:val="en-US"/>
        </w:rPr>
        <w:t xml:space="preserve"> (Experiment 2A) or </w:t>
      </w:r>
      <w:r w:rsidR="00C75D55">
        <w:rPr>
          <w:color w:val="000000" w:themeColor="text1"/>
          <w:sz w:val="24"/>
          <w:szCs w:val="24"/>
          <w:lang w:val="en-US"/>
        </w:rPr>
        <w:t>long</w:t>
      </w:r>
      <w:r w:rsidR="00A57711">
        <w:rPr>
          <w:color w:val="000000" w:themeColor="text1"/>
          <w:sz w:val="24"/>
          <w:szCs w:val="24"/>
          <w:lang w:val="en-US"/>
        </w:rPr>
        <w:t xml:space="preserve"> (Experiment 2B) </w:t>
      </w:r>
      <w:r w:rsidR="00B81375" w:rsidRPr="00A57711">
        <w:rPr>
          <w:color w:val="000000" w:themeColor="text1"/>
          <w:sz w:val="24"/>
          <w:szCs w:val="24"/>
          <w:lang w:val="en-US"/>
        </w:rPr>
        <w:t>pre-exposure to AX and BX</w:t>
      </w:r>
      <w:r w:rsidR="00A57711">
        <w:rPr>
          <w:color w:val="000000" w:themeColor="text1"/>
          <w:sz w:val="24"/>
          <w:szCs w:val="24"/>
          <w:lang w:val="en-US"/>
        </w:rPr>
        <w:t xml:space="preserve"> </w:t>
      </w:r>
      <w:r w:rsidR="00B81375" w:rsidRPr="00A57711">
        <w:rPr>
          <w:color w:val="000000" w:themeColor="text1"/>
          <w:sz w:val="24"/>
          <w:szCs w:val="24"/>
          <w:lang w:val="en-US"/>
        </w:rPr>
        <w:t>, animals were given conditioning trials with either the common element X or the unique feature A</w:t>
      </w:r>
      <w:r w:rsidR="009B39CB" w:rsidRPr="00A57711">
        <w:rPr>
          <w:color w:val="000000" w:themeColor="text1"/>
          <w:sz w:val="24"/>
          <w:szCs w:val="24"/>
          <w:lang w:val="en-US"/>
        </w:rPr>
        <w:t xml:space="preserve"> </w:t>
      </w:r>
      <w:r w:rsidR="00B81375" w:rsidRPr="00A57711">
        <w:rPr>
          <w:color w:val="000000" w:themeColor="text1"/>
          <w:sz w:val="24"/>
          <w:szCs w:val="24"/>
          <w:lang w:val="en-US"/>
        </w:rPr>
        <w:t>as the conditioned stimulus. All the animals showed lower levels of conditioning with the common than the unique feature</w:t>
      </w:r>
      <w:r w:rsidR="009B39CB" w:rsidRPr="00A57711">
        <w:rPr>
          <w:color w:val="000000" w:themeColor="text1"/>
          <w:sz w:val="24"/>
          <w:szCs w:val="24"/>
          <w:lang w:val="en-US"/>
        </w:rPr>
        <w:t xml:space="preserve">. This replicates a common finding in the literature which is hardly surprising: since X is present in every trial and </w:t>
      </w:r>
      <w:proofErr w:type="gramStart"/>
      <w:r w:rsidR="009B39CB" w:rsidRPr="00A57711">
        <w:rPr>
          <w:color w:val="000000" w:themeColor="text1"/>
          <w:sz w:val="24"/>
          <w:szCs w:val="24"/>
          <w:lang w:val="en-US"/>
        </w:rPr>
        <w:t>A and</w:t>
      </w:r>
      <w:proofErr w:type="gramEnd"/>
      <w:r w:rsidR="009B39CB" w:rsidRPr="00A57711">
        <w:rPr>
          <w:color w:val="000000" w:themeColor="text1"/>
          <w:sz w:val="24"/>
          <w:szCs w:val="24"/>
          <w:lang w:val="en-US"/>
        </w:rPr>
        <w:t xml:space="preserve"> B are present only in half the pre-exposure trials, X is likely to accumulate higher levels of latent inhibition (e.g., </w:t>
      </w:r>
      <w:proofErr w:type="spellStart"/>
      <w:r w:rsidR="009B39CB" w:rsidRPr="00A57711">
        <w:rPr>
          <w:color w:val="000000" w:themeColor="text1"/>
          <w:sz w:val="24"/>
          <w:szCs w:val="24"/>
          <w:lang w:val="en-US"/>
        </w:rPr>
        <w:t>Lubow</w:t>
      </w:r>
      <w:proofErr w:type="spellEnd"/>
      <w:r w:rsidR="009B39CB" w:rsidRPr="00A57711">
        <w:rPr>
          <w:color w:val="000000" w:themeColor="text1"/>
          <w:sz w:val="24"/>
          <w:szCs w:val="24"/>
          <w:lang w:val="en-US"/>
        </w:rPr>
        <w:t xml:space="preserve">, 2010). </w:t>
      </w:r>
      <w:r w:rsidR="00C75D55">
        <w:rPr>
          <w:color w:val="000000" w:themeColor="text1"/>
          <w:sz w:val="24"/>
          <w:szCs w:val="24"/>
          <w:lang w:val="en-US"/>
        </w:rPr>
        <w:t>In Experiment 2A</w:t>
      </w:r>
      <w:r w:rsidR="00A57711">
        <w:rPr>
          <w:color w:val="000000" w:themeColor="text1"/>
          <w:sz w:val="24"/>
          <w:szCs w:val="24"/>
          <w:lang w:val="en-US"/>
        </w:rPr>
        <w:t>, using the same pre-exposure parameters used by Mondragon and Murphy</w:t>
      </w:r>
      <w:r w:rsidR="00C75D55">
        <w:rPr>
          <w:color w:val="000000" w:themeColor="text1"/>
          <w:sz w:val="24"/>
          <w:szCs w:val="24"/>
          <w:lang w:val="en-US"/>
        </w:rPr>
        <w:t xml:space="preserve"> (2010)</w:t>
      </w:r>
      <w:r w:rsidR="00A57711">
        <w:rPr>
          <w:color w:val="000000" w:themeColor="text1"/>
          <w:sz w:val="24"/>
          <w:szCs w:val="24"/>
          <w:lang w:val="en-US"/>
        </w:rPr>
        <w:t xml:space="preserve">, we did not observed differences in the conditioning rate of A and X between the groups given intermixed and blocked pre-exposure. This replicates the absence of differences reported by Mondragon and Murphy during the acquisition phase </w:t>
      </w:r>
      <w:r w:rsidR="00F265F1">
        <w:rPr>
          <w:color w:val="000000" w:themeColor="text1"/>
          <w:sz w:val="24"/>
          <w:szCs w:val="24"/>
          <w:lang w:val="en-US"/>
        </w:rPr>
        <w:t xml:space="preserve">of the element X </w:t>
      </w:r>
      <w:r w:rsidR="00A57711">
        <w:rPr>
          <w:color w:val="000000" w:themeColor="text1"/>
          <w:sz w:val="24"/>
          <w:szCs w:val="24"/>
          <w:lang w:val="en-US"/>
        </w:rPr>
        <w:t xml:space="preserve">of their Experiment 3 (they found differences between the two groups </w:t>
      </w:r>
      <w:r w:rsidR="00F265F1">
        <w:rPr>
          <w:color w:val="000000" w:themeColor="text1"/>
          <w:sz w:val="24"/>
          <w:szCs w:val="24"/>
          <w:lang w:val="en-US"/>
        </w:rPr>
        <w:t>in a subsequent phase in which</w:t>
      </w:r>
      <w:r w:rsidR="00A57711">
        <w:rPr>
          <w:color w:val="000000" w:themeColor="text1"/>
          <w:sz w:val="24"/>
          <w:szCs w:val="24"/>
          <w:lang w:val="en-US"/>
        </w:rPr>
        <w:t xml:space="preserve"> the animals were </w:t>
      </w:r>
      <w:r w:rsidR="00F265F1">
        <w:rPr>
          <w:color w:val="000000" w:themeColor="text1"/>
          <w:sz w:val="24"/>
          <w:szCs w:val="24"/>
          <w:lang w:val="en-US"/>
        </w:rPr>
        <w:t>given extinction test trials). The absence of differences in the conditioning rate of the unique element A also replicate</w:t>
      </w:r>
      <w:r w:rsidR="00973769">
        <w:rPr>
          <w:color w:val="000000" w:themeColor="text1"/>
          <w:sz w:val="24"/>
          <w:szCs w:val="24"/>
          <w:lang w:val="en-US"/>
        </w:rPr>
        <w:t>s</w:t>
      </w:r>
      <w:r w:rsidR="00F265F1">
        <w:rPr>
          <w:color w:val="000000" w:themeColor="text1"/>
          <w:sz w:val="24"/>
          <w:szCs w:val="24"/>
          <w:lang w:val="en-US"/>
        </w:rPr>
        <w:t xml:space="preserve"> previous findings reported by Mondragon and Hall (2002) </w:t>
      </w:r>
      <w:r w:rsidR="00F265F1">
        <w:rPr>
          <w:color w:val="000000" w:themeColor="text1"/>
          <w:sz w:val="24"/>
          <w:szCs w:val="24"/>
          <w:lang w:val="en-US"/>
        </w:rPr>
        <w:lastRenderedPageBreak/>
        <w:t>using a flavor aversion task; they reported, however evidence for lower extinction of the unique element A, suggesting it had higher associability in the intermixe</w:t>
      </w:r>
      <w:r w:rsidR="00DA45AE">
        <w:rPr>
          <w:color w:val="000000" w:themeColor="text1"/>
          <w:sz w:val="24"/>
          <w:szCs w:val="24"/>
          <w:lang w:val="en-US"/>
        </w:rPr>
        <w:t>d than in the blocked condition</w:t>
      </w:r>
      <w:r w:rsidR="00F265F1">
        <w:rPr>
          <w:color w:val="000000" w:themeColor="text1"/>
          <w:sz w:val="24"/>
          <w:szCs w:val="24"/>
          <w:lang w:val="en-US"/>
        </w:rPr>
        <w:t xml:space="preserve">. </w:t>
      </w:r>
    </w:p>
    <w:p w14:paraId="3833BC59" w14:textId="0A08238D" w:rsidR="00F265F1" w:rsidRDefault="00F265F1" w:rsidP="009B39CB">
      <w:pPr>
        <w:tabs>
          <w:tab w:val="center" w:pos="4275"/>
          <w:tab w:val="left" w:pos="7143"/>
        </w:tabs>
        <w:adjustRightInd w:val="0"/>
        <w:spacing w:line="480" w:lineRule="auto"/>
        <w:ind w:firstLine="567"/>
        <w:rPr>
          <w:color w:val="000000" w:themeColor="text1"/>
          <w:sz w:val="24"/>
          <w:szCs w:val="24"/>
          <w:lang w:val="en-US"/>
        </w:rPr>
      </w:pPr>
      <w:r w:rsidRPr="00DA45AE">
        <w:rPr>
          <w:color w:val="000000" w:themeColor="text1"/>
          <w:sz w:val="24"/>
          <w:szCs w:val="24"/>
          <w:lang w:val="en-US"/>
        </w:rPr>
        <w:t>In contrast with th</w:t>
      </w:r>
      <w:r w:rsidR="00494F48" w:rsidRPr="00DA45AE">
        <w:rPr>
          <w:color w:val="000000" w:themeColor="text1"/>
          <w:sz w:val="24"/>
          <w:szCs w:val="24"/>
          <w:lang w:val="en-US"/>
        </w:rPr>
        <w:t>e</w:t>
      </w:r>
      <w:r w:rsidR="00DA45AE">
        <w:rPr>
          <w:color w:val="000000" w:themeColor="text1"/>
          <w:sz w:val="24"/>
          <w:szCs w:val="24"/>
          <w:lang w:val="en-US"/>
        </w:rPr>
        <w:t xml:space="preserve"> null result</w:t>
      </w:r>
      <w:r w:rsidRPr="00DA45AE">
        <w:rPr>
          <w:color w:val="000000" w:themeColor="text1"/>
          <w:sz w:val="24"/>
          <w:szCs w:val="24"/>
          <w:lang w:val="en-US"/>
        </w:rPr>
        <w:t xml:space="preserve"> </w:t>
      </w:r>
      <w:r w:rsidR="00DA45AE">
        <w:rPr>
          <w:color w:val="000000" w:themeColor="text1"/>
          <w:sz w:val="24"/>
          <w:szCs w:val="24"/>
          <w:lang w:val="en-US"/>
        </w:rPr>
        <w:t>observed in</w:t>
      </w:r>
      <w:r>
        <w:rPr>
          <w:color w:val="000000" w:themeColor="text1"/>
          <w:sz w:val="24"/>
          <w:szCs w:val="24"/>
          <w:lang w:val="en-US"/>
        </w:rPr>
        <w:t xml:space="preserve"> Experiment </w:t>
      </w:r>
      <w:r w:rsidR="00C75D55">
        <w:rPr>
          <w:color w:val="000000" w:themeColor="text1"/>
          <w:sz w:val="24"/>
          <w:szCs w:val="24"/>
          <w:lang w:val="en-US"/>
        </w:rPr>
        <w:t>2A, in Experiment 2B</w:t>
      </w:r>
      <w:r>
        <w:rPr>
          <w:color w:val="000000" w:themeColor="text1"/>
          <w:sz w:val="24"/>
          <w:szCs w:val="24"/>
          <w:lang w:val="en-US"/>
        </w:rPr>
        <w:t xml:space="preserve">, using a long pre-exposure </w:t>
      </w:r>
      <w:r w:rsidRPr="004A5D1B">
        <w:rPr>
          <w:color w:val="000000" w:themeColor="text1"/>
          <w:sz w:val="24"/>
          <w:szCs w:val="24"/>
          <w:lang w:val="en-US"/>
        </w:rPr>
        <w:t>phase (</w:t>
      </w:r>
      <w:r w:rsidR="002B5041" w:rsidRPr="004A5D1B">
        <w:rPr>
          <w:color w:val="000000" w:themeColor="text1"/>
          <w:sz w:val="24"/>
          <w:szCs w:val="24"/>
          <w:lang w:val="en-US"/>
        </w:rPr>
        <w:t>20</w:t>
      </w:r>
      <w:r w:rsidRPr="004A5D1B">
        <w:rPr>
          <w:color w:val="000000" w:themeColor="text1"/>
          <w:sz w:val="24"/>
          <w:szCs w:val="24"/>
          <w:lang w:val="en-US"/>
        </w:rPr>
        <w:t xml:space="preserve"> instead of </w:t>
      </w:r>
      <w:r w:rsidR="002B5041" w:rsidRPr="004A5D1B">
        <w:rPr>
          <w:color w:val="000000" w:themeColor="text1"/>
          <w:sz w:val="24"/>
          <w:szCs w:val="24"/>
          <w:lang w:val="en-US"/>
        </w:rPr>
        <w:t>10</w:t>
      </w:r>
      <w:r w:rsidRPr="004A5D1B">
        <w:rPr>
          <w:color w:val="000000" w:themeColor="text1"/>
          <w:sz w:val="24"/>
          <w:szCs w:val="24"/>
          <w:lang w:val="en-US"/>
        </w:rPr>
        <w:t xml:space="preserve"> pre-</w:t>
      </w:r>
      <w:r>
        <w:rPr>
          <w:color w:val="000000" w:themeColor="text1"/>
          <w:sz w:val="24"/>
          <w:szCs w:val="24"/>
          <w:lang w:val="en-US"/>
        </w:rPr>
        <w:t>exposure trials to each compound)</w:t>
      </w:r>
      <w:r w:rsidR="00A63E1C">
        <w:rPr>
          <w:color w:val="000000" w:themeColor="text1"/>
          <w:sz w:val="24"/>
          <w:szCs w:val="24"/>
          <w:lang w:val="en-US"/>
        </w:rPr>
        <w:t>,</w:t>
      </w:r>
      <w:r>
        <w:rPr>
          <w:color w:val="000000" w:themeColor="text1"/>
          <w:sz w:val="24"/>
          <w:szCs w:val="24"/>
          <w:lang w:val="en-US"/>
        </w:rPr>
        <w:t xml:space="preserve"> the animals in group Intermixed showed lower levels of conditioning of both the common and the unique elements than the animals in the Blocked condition. Using a prolonged pre-exposure, therefore, seems to reduce the associability of both elements, </w:t>
      </w:r>
      <w:proofErr w:type="gramStart"/>
      <w:r>
        <w:rPr>
          <w:color w:val="000000" w:themeColor="text1"/>
          <w:sz w:val="24"/>
          <w:szCs w:val="24"/>
          <w:lang w:val="en-US"/>
        </w:rPr>
        <w:t>A and</w:t>
      </w:r>
      <w:proofErr w:type="gramEnd"/>
      <w:r>
        <w:rPr>
          <w:color w:val="000000" w:themeColor="text1"/>
          <w:sz w:val="24"/>
          <w:szCs w:val="24"/>
          <w:lang w:val="en-US"/>
        </w:rPr>
        <w:t xml:space="preserve"> X. </w:t>
      </w:r>
      <w:r w:rsidR="000D5211">
        <w:rPr>
          <w:color w:val="000000" w:themeColor="text1"/>
          <w:sz w:val="24"/>
          <w:szCs w:val="24"/>
          <w:lang w:val="en-US"/>
        </w:rPr>
        <w:t>The lower conditioning of A</w:t>
      </w:r>
      <w:r>
        <w:rPr>
          <w:color w:val="000000" w:themeColor="text1"/>
          <w:sz w:val="24"/>
          <w:szCs w:val="24"/>
          <w:lang w:val="en-US"/>
        </w:rPr>
        <w:t xml:space="preserve"> is an unusual finding </w:t>
      </w:r>
      <w:r w:rsidR="000D5211">
        <w:rPr>
          <w:color w:val="000000" w:themeColor="text1"/>
          <w:sz w:val="24"/>
          <w:szCs w:val="24"/>
          <w:lang w:val="en-US"/>
        </w:rPr>
        <w:t>at odds with most of the literature that have assessed the effectiveness of the A element</w:t>
      </w:r>
      <w:r>
        <w:rPr>
          <w:color w:val="000000" w:themeColor="text1"/>
          <w:sz w:val="24"/>
          <w:szCs w:val="24"/>
          <w:lang w:val="en-US"/>
        </w:rPr>
        <w:t>.</w:t>
      </w:r>
      <w:r w:rsidR="000D5211">
        <w:rPr>
          <w:color w:val="000000" w:themeColor="text1"/>
          <w:sz w:val="24"/>
          <w:szCs w:val="24"/>
          <w:lang w:val="en-US"/>
        </w:rPr>
        <w:t xml:space="preserve"> As pointed out in the Introduction of Experiment 1, there is a precedent in which the effectiveness of A was found to be higher after </w:t>
      </w:r>
      <w:r w:rsidR="00C75D55">
        <w:rPr>
          <w:color w:val="000000" w:themeColor="text1"/>
          <w:sz w:val="24"/>
          <w:szCs w:val="24"/>
          <w:lang w:val="en-US"/>
        </w:rPr>
        <w:t xml:space="preserve">short </w:t>
      </w:r>
      <w:r w:rsidR="000D5211">
        <w:rPr>
          <w:color w:val="000000" w:themeColor="text1"/>
          <w:sz w:val="24"/>
          <w:szCs w:val="24"/>
          <w:lang w:val="en-US"/>
        </w:rPr>
        <w:t>intermixed than blocked pre-exposure;</w:t>
      </w:r>
      <w:r w:rsidR="0063369B">
        <w:rPr>
          <w:color w:val="000000" w:themeColor="text1"/>
          <w:sz w:val="24"/>
          <w:szCs w:val="24"/>
          <w:lang w:val="en-US"/>
        </w:rPr>
        <w:t xml:space="preserve"> but these differences vanished</w:t>
      </w:r>
      <w:r w:rsidR="000D5211">
        <w:rPr>
          <w:color w:val="000000" w:themeColor="text1"/>
          <w:sz w:val="24"/>
          <w:szCs w:val="24"/>
          <w:lang w:val="en-US"/>
        </w:rPr>
        <w:t xml:space="preserve"> following prolonged pre-exposure (</w:t>
      </w:r>
      <w:proofErr w:type="spellStart"/>
      <w:r w:rsidR="000D5211">
        <w:rPr>
          <w:color w:val="000000" w:themeColor="text1"/>
          <w:sz w:val="24"/>
          <w:szCs w:val="24"/>
          <w:lang w:val="en-US"/>
        </w:rPr>
        <w:t>Contel</w:t>
      </w:r>
      <w:proofErr w:type="spellEnd"/>
      <w:r w:rsidR="000D5211">
        <w:rPr>
          <w:color w:val="000000" w:themeColor="text1"/>
          <w:sz w:val="24"/>
          <w:szCs w:val="24"/>
          <w:lang w:val="en-US"/>
        </w:rPr>
        <w:t xml:space="preserve"> et al., 201</w:t>
      </w:r>
      <w:r w:rsidR="000B04F0">
        <w:rPr>
          <w:color w:val="000000" w:themeColor="text1"/>
          <w:sz w:val="24"/>
          <w:szCs w:val="24"/>
          <w:lang w:val="en-US"/>
        </w:rPr>
        <w:t>1</w:t>
      </w:r>
      <w:r w:rsidR="000D5211">
        <w:rPr>
          <w:color w:val="000000" w:themeColor="text1"/>
          <w:sz w:val="24"/>
          <w:szCs w:val="24"/>
          <w:lang w:val="en-US"/>
        </w:rPr>
        <w:t xml:space="preserve">). This would support the notion that the length of pre-exposure is a key factor in the modulation of the associability or effectiveness of the unique element A. However, this was found in </w:t>
      </w:r>
      <w:r w:rsidR="0063369B">
        <w:rPr>
          <w:color w:val="000000" w:themeColor="text1"/>
          <w:sz w:val="24"/>
          <w:szCs w:val="24"/>
          <w:lang w:val="en-US"/>
        </w:rPr>
        <w:t xml:space="preserve">an experiment </w:t>
      </w:r>
      <w:r w:rsidR="000D5211">
        <w:rPr>
          <w:color w:val="000000" w:themeColor="text1"/>
          <w:sz w:val="24"/>
          <w:szCs w:val="24"/>
          <w:lang w:val="en-US"/>
        </w:rPr>
        <w:t xml:space="preserve">using </w:t>
      </w:r>
      <w:r w:rsidR="00C75D55">
        <w:rPr>
          <w:color w:val="000000" w:themeColor="text1"/>
          <w:sz w:val="24"/>
          <w:szCs w:val="24"/>
          <w:lang w:val="en-US"/>
        </w:rPr>
        <w:t xml:space="preserve">a </w:t>
      </w:r>
      <w:r w:rsidR="000D5211">
        <w:rPr>
          <w:color w:val="000000" w:themeColor="text1"/>
          <w:sz w:val="24"/>
          <w:szCs w:val="24"/>
          <w:lang w:val="en-US"/>
        </w:rPr>
        <w:t xml:space="preserve">flavor aversion </w:t>
      </w:r>
      <w:r w:rsidR="00C75D55">
        <w:rPr>
          <w:color w:val="000000" w:themeColor="text1"/>
          <w:sz w:val="24"/>
          <w:szCs w:val="24"/>
          <w:lang w:val="en-US"/>
        </w:rPr>
        <w:t>preparation (conditioning of the compound AX was followed by a preference test with the elements A and X)</w:t>
      </w:r>
      <w:r w:rsidR="000D5211">
        <w:rPr>
          <w:color w:val="000000" w:themeColor="text1"/>
          <w:sz w:val="24"/>
          <w:szCs w:val="24"/>
          <w:lang w:val="en-US"/>
        </w:rPr>
        <w:t xml:space="preserve">. </w:t>
      </w:r>
      <w:r w:rsidR="00771D1C">
        <w:rPr>
          <w:color w:val="000000" w:themeColor="text1"/>
          <w:sz w:val="24"/>
          <w:szCs w:val="24"/>
          <w:lang w:val="en-US"/>
        </w:rPr>
        <w:t xml:space="preserve">Before </w:t>
      </w:r>
      <w:r w:rsidR="00C75D55">
        <w:rPr>
          <w:color w:val="000000" w:themeColor="text1"/>
          <w:sz w:val="24"/>
          <w:szCs w:val="24"/>
          <w:lang w:val="en-US"/>
        </w:rPr>
        <w:t>attempting</w:t>
      </w:r>
      <w:r w:rsidR="00771D1C">
        <w:rPr>
          <w:color w:val="000000" w:themeColor="text1"/>
          <w:sz w:val="24"/>
          <w:szCs w:val="24"/>
          <w:lang w:val="en-US"/>
        </w:rPr>
        <w:t xml:space="preserve"> to discuss how long pre-exposure might negatively affect the salience or associability of the unique element </w:t>
      </w:r>
      <w:proofErr w:type="gramStart"/>
      <w:r w:rsidR="00771D1C">
        <w:rPr>
          <w:color w:val="000000" w:themeColor="text1"/>
          <w:sz w:val="24"/>
          <w:szCs w:val="24"/>
          <w:lang w:val="en-US"/>
        </w:rPr>
        <w:t>A</w:t>
      </w:r>
      <w:proofErr w:type="gramEnd"/>
      <w:r w:rsidR="00771D1C">
        <w:rPr>
          <w:color w:val="000000" w:themeColor="text1"/>
          <w:sz w:val="24"/>
          <w:szCs w:val="24"/>
          <w:lang w:val="en-US"/>
        </w:rPr>
        <w:t xml:space="preserve">, it would be worth obtaining some </w:t>
      </w:r>
      <w:r w:rsidR="00C75D55">
        <w:rPr>
          <w:color w:val="000000" w:themeColor="text1"/>
          <w:sz w:val="24"/>
          <w:szCs w:val="24"/>
          <w:lang w:val="en-US"/>
        </w:rPr>
        <w:t>convergent</w:t>
      </w:r>
      <w:r w:rsidR="00771D1C">
        <w:rPr>
          <w:color w:val="000000" w:themeColor="text1"/>
          <w:sz w:val="24"/>
          <w:szCs w:val="24"/>
          <w:lang w:val="en-US"/>
        </w:rPr>
        <w:t xml:space="preserve"> evidence</w:t>
      </w:r>
      <w:r w:rsidR="00D21F21">
        <w:rPr>
          <w:color w:val="000000" w:themeColor="text1"/>
          <w:sz w:val="24"/>
          <w:szCs w:val="24"/>
          <w:lang w:val="en-US"/>
        </w:rPr>
        <w:t xml:space="preserve"> using the appetitive conditioning task used in the Experiments 1 and 2</w:t>
      </w:r>
      <w:r w:rsidR="00771D1C">
        <w:rPr>
          <w:color w:val="000000" w:themeColor="text1"/>
          <w:sz w:val="24"/>
          <w:szCs w:val="24"/>
          <w:lang w:val="en-US"/>
        </w:rPr>
        <w:t xml:space="preserve"> to confirm the </w:t>
      </w:r>
      <w:r w:rsidR="00C75D55">
        <w:rPr>
          <w:color w:val="000000" w:themeColor="text1"/>
          <w:sz w:val="24"/>
          <w:szCs w:val="24"/>
          <w:lang w:val="en-US"/>
        </w:rPr>
        <w:t>unusual outcome of Experiment 2B</w:t>
      </w:r>
      <w:r w:rsidR="00771D1C">
        <w:rPr>
          <w:color w:val="000000" w:themeColor="text1"/>
          <w:sz w:val="24"/>
          <w:szCs w:val="24"/>
          <w:lang w:val="en-US"/>
        </w:rPr>
        <w:t>.</w:t>
      </w:r>
    </w:p>
    <w:p w14:paraId="33CD69E4" w14:textId="7068FDD8" w:rsidR="00771D1C" w:rsidRDefault="009B39CB" w:rsidP="009B39CB">
      <w:pPr>
        <w:tabs>
          <w:tab w:val="center" w:pos="4275"/>
          <w:tab w:val="left" w:pos="7143"/>
        </w:tabs>
        <w:adjustRightInd w:val="0"/>
        <w:spacing w:line="480" w:lineRule="auto"/>
        <w:ind w:firstLine="567"/>
        <w:rPr>
          <w:sz w:val="24"/>
          <w:szCs w:val="24"/>
          <w:lang w:val="en-US"/>
        </w:rPr>
      </w:pPr>
      <w:r w:rsidRPr="00F90AB6">
        <w:rPr>
          <w:sz w:val="24"/>
          <w:szCs w:val="24"/>
          <w:lang w:val="en-US"/>
        </w:rPr>
        <w:t xml:space="preserve">In Experiment </w:t>
      </w:r>
      <w:r>
        <w:rPr>
          <w:sz w:val="24"/>
          <w:szCs w:val="24"/>
          <w:lang w:val="en-US"/>
        </w:rPr>
        <w:t>3</w:t>
      </w:r>
      <w:r w:rsidRPr="00F90AB6">
        <w:rPr>
          <w:sz w:val="24"/>
          <w:szCs w:val="24"/>
          <w:lang w:val="en-US"/>
        </w:rPr>
        <w:t xml:space="preserve"> we assessed the perceptual </w:t>
      </w:r>
      <w:r w:rsidR="00D21F21">
        <w:rPr>
          <w:sz w:val="24"/>
          <w:szCs w:val="24"/>
          <w:lang w:val="en-US"/>
        </w:rPr>
        <w:t>effectiveness</w:t>
      </w:r>
      <w:r w:rsidRPr="00F90AB6">
        <w:rPr>
          <w:sz w:val="24"/>
          <w:szCs w:val="24"/>
          <w:lang w:val="en-US"/>
        </w:rPr>
        <w:t xml:space="preserve"> of </w:t>
      </w:r>
      <w:r w:rsidR="00771D1C">
        <w:rPr>
          <w:sz w:val="24"/>
          <w:szCs w:val="24"/>
          <w:lang w:val="en-US"/>
        </w:rPr>
        <w:t xml:space="preserve">the unique element by using a superimposition </w:t>
      </w:r>
      <w:r w:rsidRPr="00F90AB6">
        <w:rPr>
          <w:sz w:val="24"/>
          <w:szCs w:val="24"/>
          <w:lang w:val="en-US"/>
        </w:rPr>
        <w:t xml:space="preserve">test: following the </w:t>
      </w:r>
      <w:r w:rsidR="00771D1C">
        <w:rPr>
          <w:sz w:val="24"/>
          <w:szCs w:val="24"/>
          <w:lang w:val="en-US"/>
        </w:rPr>
        <w:t xml:space="preserve">long </w:t>
      </w:r>
      <w:r w:rsidRPr="00F90AB6">
        <w:rPr>
          <w:sz w:val="24"/>
          <w:szCs w:val="24"/>
          <w:lang w:val="en-US"/>
        </w:rPr>
        <w:t>pre-exposure phase</w:t>
      </w:r>
      <w:r w:rsidR="00771D1C">
        <w:rPr>
          <w:sz w:val="24"/>
          <w:szCs w:val="24"/>
          <w:lang w:val="en-US"/>
        </w:rPr>
        <w:t xml:space="preserve"> (</w:t>
      </w:r>
      <w:r w:rsidR="00C75D55">
        <w:rPr>
          <w:sz w:val="24"/>
          <w:szCs w:val="24"/>
          <w:lang w:val="en-US"/>
        </w:rPr>
        <w:t>twenty</w:t>
      </w:r>
      <w:r w:rsidR="00771D1C">
        <w:rPr>
          <w:sz w:val="24"/>
          <w:szCs w:val="24"/>
          <w:lang w:val="en-US"/>
        </w:rPr>
        <w:t xml:space="preserve"> trials to each compound)</w:t>
      </w:r>
      <w:r w:rsidRPr="00F90AB6">
        <w:rPr>
          <w:sz w:val="24"/>
          <w:szCs w:val="24"/>
          <w:lang w:val="en-US"/>
        </w:rPr>
        <w:t>, all animals were given conditioning</w:t>
      </w:r>
      <w:r>
        <w:rPr>
          <w:sz w:val="24"/>
          <w:szCs w:val="24"/>
          <w:lang w:val="en-US"/>
        </w:rPr>
        <w:t xml:space="preserve"> trials with a new stimulus, Y. T</w:t>
      </w:r>
      <w:r w:rsidRPr="00F90AB6">
        <w:rPr>
          <w:sz w:val="24"/>
          <w:szCs w:val="24"/>
          <w:lang w:val="en-US"/>
        </w:rPr>
        <w:t xml:space="preserve">he animals were then tested in the presence of the AY compound. The results showed </w:t>
      </w:r>
      <w:r w:rsidRPr="00F90AB6">
        <w:rPr>
          <w:sz w:val="24"/>
          <w:szCs w:val="24"/>
          <w:lang w:val="en-US"/>
        </w:rPr>
        <w:lastRenderedPageBreak/>
        <w:t xml:space="preserve">higher interference with the expression of the conditioned response to Y in the group given Blocked pre-exposure. This </w:t>
      </w:r>
      <w:r w:rsidR="00A63E1C">
        <w:rPr>
          <w:sz w:val="24"/>
          <w:szCs w:val="24"/>
          <w:lang w:val="en-US"/>
        </w:rPr>
        <w:t>indicates</w:t>
      </w:r>
      <w:r w:rsidRPr="00F90AB6">
        <w:rPr>
          <w:sz w:val="24"/>
          <w:szCs w:val="24"/>
          <w:lang w:val="en-US"/>
        </w:rPr>
        <w:t xml:space="preserve"> that the unique element A is less salient following </w:t>
      </w:r>
      <w:r w:rsidR="00771D1C">
        <w:rPr>
          <w:sz w:val="24"/>
          <w:szCs w:val="24"/>
          <w:lang w:val="en-US"/>
        </w:rPr>
        <w:t xml:space="preserve">long </w:t>
      </w:r>
      <w:r w:rsidRPr="00F90AB6">
        <w:rPr>
          <w:sz w:val="24"/>
          <w:szCs w:val="24"/>
          <w:lang w:val="en-US"/>
        </w:rPr>
        <w:t xml:space="preserve">intermixed than blocked pre-exposure. </w:t>
      </w:r>
      <w:r w:rsidR="00771D1C">
        <w:rPr>
          <w:sz w:val="24"/>
          <w:szCs w:val="24"/>
          <w:lang w:val="en-US"/>
        </w:rPr>
        <w:t>Taken togethe</w:t>
      </w:r>
      <w:r w:rsidR="00C75D55">
        <w:rPr>
          <w:sz w:val="24"/>
          <w:szCs w:val="24"/>
          <w:lang w:val="en-US"/>
        </w:rPr>
        <w:t>r, the results of Experiments 2B</w:t>
      </w:r>
      <w:r w:rsidR="00771D1C">
        <w:rPr>
          <w:sz w:val="24"/>
          <w:szCs w:val="24"/>
          <w:lang w:val="en-US"/>
        </w:rPr>
        <w:t xml:space="preserve"> and 3 strongly suggest that long intermixed pre-exposure reduces the effectiveness of the unique element A.</w:t>
      </w:r>
    </w:p>
    <w:p w14:paraId="6A641536" w14:textId="707427D4" w:rsidR="009B39CB" w:rsidRPr="00F90AB6" w:rsidRDefault="00163991" w:rsidP="009B39CB">
      <w:pPr>
        <w:tabs>
          <w:tab w:val="center" w:pos="4275"/>
          <w:tab w:val="left" w:pos="7143"/>
        </w:tabs>
        <w:adjustRightInd w:val="0"/>
        <w:spacing w:line="480" w:lineRule="auto"/>
        <w:ind w:firstLine="567"/>
        <w:rPr>
          <w:sz w:val="24"/>
          <w:szCs w:val="24"/>
          <w:lang w:val="en-US"/>
        </w:rPr>
      </w:pPr>
      <w:r>
        <w:rPr>
          <w:sz w:val="24"/>
          <w:szCs w:val="24"/>
          <w:lang w:val="en-US"/>
        </w:rPr>
        <w:t>The</w:t>
      </w:r>
      <w:r w:rsidR="009B39CB" w:rsidRPr="00F90AB6">
        <w:rPr>
          <w:sz w:val="24"/>
          <w:szCs w:val="24"/>
          <w:lang w:val="en-US"/>
        </w:rPr>
        <w:t xml:space="preserve"> result</w:t>
      </w:r>
      <w:r>
        <w:rPr>
          <w:sz w:val="24"/>
          <w:szCs w:val="24"/>
          <w:lang w:val="en-US"/>
        </w:rPr>
        <w:t>s of Experiment 3 are</w:t>
      </w:r>
      <w:r w:rsidR="009B39CB" w:rsidRPr="00F90AB6">
        <w:rPr>
          <w:sz w:val="24"/>
          <w:szCs w:val="24"/>
          <w:lang w:val="en-US"/>
        </w:rPr>
        <w:t xml:space="preserve"> in conflict with the results reported by Blair and Hall (2003</w:t>
      </w:r>
      <w:r w:rsidR="009B39CB">
        <w:rPr>
          <w:sz w:val="24"/>
          <w:szCs w:val="24"/>
          <w:lang w:val="en-US"/>
        </w:rPr>
        <w:t>, Experiment 5b</w:t>
      </w:r>
      <w:r w:rsidR="009B39CB" w:rsidRPr="00F90AB6">
        <w:rPr>
          <w:sz w:val="24"/>
          <w:szCs w:val="24"/>
          <w:lang w:val="en-US"/>
        </w:rPr>
        <w:t>) showing that the unique elements pre-exposed in alternation had more effective salience than the unique elements of compound stimuli pre-exposed in a separate block of trials</w:t>
      </w:r>
      <w:r w:rsidR="007A2829">
        <w:rPr>
          <w:sz w:val="24"/>
          <w:szCs w:val="24"/>
          <w:lang w:val="en-US"/>
        </w:rPr>
        <w:t xml:space="preserve">. </w:t>
      </w:r>
      <w:r w:rsidR="00C329EF">
        <w:rPr>
          <w:sz w:val="24"/>
          <w:szCs w:val="24"/>
          <w:lang w:val="en-US"/>
        </w:rPr>
        <w:t>Although</w:t>
      </w:r>
      <w:r w:rsidR="008D60A8" w:rsidRPr="005A7117">
        <w:rPr>
          <w:sz w:val="24"/>
          <w:szCs w:val="24"/>
          <w:lang w:val="en-US"/>
        </w:rPr>
        <w:t xml:space="preserve"> </w:t>
      </w:r>
      <w:r w:rsidR="009B39CB" w:rsidRPr="005A7117">
        <w:rPr>
          <w:sz w:val="24"/>
          <w:szCs w:val="24"/>
          <w:lang w:val="en-US"/>
        </w:rPr>
        <w:t>it is difficult to com</w:t>
      </w:r>
      <w:r w:rsidR="00C329EF">
        <w:rPr>
          <w:sz w:val="24"/>
          <w:szCs w:val="24"/>
          <w:lang w:val="en-US"/>
        </w:rPr>
        <w:t xml:space="preserve">pare between these experiments </w:t>
      </w:r>
      <w:r w:rsidR="009B39CB" w:rsidRPr="005A7117">
        <w:rPr>
          <w:sz w:val="24"/>
          <w:szCs w:val="24"/>
          <w:lang w:val="en-US"/>
        </w:rPr>
        <w:t>usi</w:t>
      </w:r>
      <w:r w:rsidR="00C329EF">
        <w:rPr>
          <w:sz w:val="24"/>
          <w:szCs w:val="24"/>
          <w:lang w:val="en-US"/>
        </w:rPr>
        <w:t>ng different sensory modalities (</w:t>
      </w:r>
      <w:r w:rsidR="009B39CB" w:rsidRPr="005A7117">
        <w:rPr>
          <w:sz w:val="24"/>
          <w:szCs w:val="24"/>
          <w:lang w:val="en-US"/>
        </w:rPr>
        <w:t>flavor and auditory stimuli</w:t>
      </w:r>
      <w:r w:rsidR="00C329EF">
        <w:rPr>
          <w:sz w:val="24"/>
          <w:szCs w:val="24"/>
          <w:lang w:val="en-US"/>
        </w:rPr>
        <w:t>) as well as different conditioning paradigms (aversive and appetitive),</w:t>
      </w:r>
      <w:r w:rsidR="009B39CB" w:rsidRPr="005A7117">
        <w:rPr>
          <w:sz w:val="24"/>
          <w:szCs w:val="24"/>
          <w:lang w:val="en-US"/>
        </w:rPr>
        <w:t xml:space="preserve"> there are reasons to belief that the pre-exposure phase used by Blair a</w:t>
      </w:r>
      <w:r w:rsidR="00771D1C" w:rsidRPr="005A7117">
        <w:rPr>
          <w:sz w:val="24"/>
          <w:szCs w:val="24"/>
          <w:lang w:val="en-US"/>
        </w:rPr>
        <w:t>nd Hall was relatively short (</w:t>
      </w:r>
      <w:r w:rsidR="00C329EF">
        <w:rPr>
          <w:sz w:val="24"/>
          <w:szCs w:val="24"/>
          <w:lang w:val="en-US"/>
        </w:rPr>
        <w:t xml:space="preserve">four pre-exposure trials to each compound; </w:t>
      </w:r>
      <w:r w:rsidR="00771D1C" w:rsidRPr="005A7117">
        <w:rPr>
          <w:sz w:val="24"/>
          <w:szCs w:val="24"/>
          <w:lang w:val="en-US"/>
        </w:rPr>
        <w:t xml:space="preserve">see, for example, </w:t>
      </w:r>
      <w:r w:rsidR="009B39CB" w:rsidRPr="005A7117">
        <w:rPr>
          <w:sz w:val="24"/>
          <w:szCs w:val="24"/>
          <w:lang w:val="en-US"/>
        </w:rPr>
        <w:t>Artigas et al., 2006</w:t>
      </w:r>
      <w:r w:rsidR="00771D1C" w:rsidRPr="005A7117">
        <w:rPr>
          <w:sz w:val="24"/>
          <w:szCs w:val="24"/>
          <w:lang w:val="en-US"/>
        </w:rPr>
        <w:t xml:space="preserve">; </w:t>
      </w:r>
      <w:r w:rsidR="00C329EF">
        <w:rPr>
          <w:sz w:val="24"/>
          <w:szCs w:val="24"/>
          <w:lang w:val="en-US"/>
        </w:rPr>
        <w:t xml:space="preserve">and </w:t>
      </w:r>
      <w:proofErr w:type="spellStart"/>
      <w:r w:rsidR="00771D1C" w:rsidRPr="005A7117">
        <w:rPr>
          <w:sz w:val="24"/>
          <w:szCs w:val="24"/>
          <w:lang w:val="en-US"/>
        </w:rPr>
        <w:t>Contel</w:t>
      </w:r>
      <w:proofErr w:type="spellEnd"/>
      <w:r w:rsidR="00771D1C" w:rsidRPr="005A7117">
        <w:rPr>
          <w:sz w:val="24"/>
          <w:szCs w:val="24"/>
          <w:lang w:val="en-US"/>
        </w:rPr>
        <w:t xml:space="preserve"> et al., 201</w:t>
      </w:r>
      <w:r w:rsidR="000B04F0" w:rsidRPr="005A7117">
        <w:rPr>
          <w:sz w:val="24"/>
          <w:szCs w:val="24"/>
          <w:lang w:val="en-US"/>
        </w:rPr>
        <w:t>1</w:t>
      </w:r>
      <w:r w:rsidR="00C329EF">
        <w:rPr>
          <w:sz w:val="24"/>
          <w:szCs w:val="24"/>
          <w:lang w:val="en-US"/>
        </w:rPr>
        <w:t>, for examples of long pre-exposure using eight and ten exposure trials to each compound in flavor aversion conditioning experiments</w:t>
      </w:r>
      <w:r w:rsidR="009B39CB" w:rsidRPr="005A7117">
        <w:rPr>
          <w:sz w:val="24"/>
          <w:szCs w:val="24"/>
          <w:lang w:val="en-US"/>
        </w:rPr>
        <w:t>)</w:t>
      </w:r>
      <w:r w:rsidR="00771D1C" w:rsidRPr="005A7117">
        <w:rPr>
          <w:sz w:val="24"/>
          <w:szCs w:val="24"/>
          <w:lang w:val="en-US"/>
        </w:rPr>
        <w:t>.</w:t>
      </w:r>
      <w:r w:rsidR="00C329EF">
        <w:rPr>
          <w:sz w:val="24"/>
          <w:szCs w:val="24"/>
          <w:lang w:val="en-US"/>
        </w:rPr>
        <w:t xml:space="preserve"> T</w:t>
      </w:r>
      <w:r w:rsidR="009B39CB" w:rsidRPr="005A7117">
        <w:rPr>
          <w:sz w:val="24"/>
          <w:szCs w:val="24"/>
          <w:lang w:val="en-US"/>
        </w:rPr>
        <w:t xml:space="preserve">he </w:t>
      </w:r>
      <w:r w:rsidR="00771D1C" w:rsidRPr="005A7117">
        <w:rPr>
          <w:sz w:val="24"/>
          <w:szCs w:val="24"/>
          <w:lang w:val="en-US"/>
        </w:rPr>
        <w:t>contrasting</w:t>
      </w:r>
      <w:r w:rsidR="009B39CB" w:rsidRPr="005A7117">
        <w:rPr>
          <w:sz w:val="24"/>
          <w:szCs w:val="24"/>
          <w:lang w:val="en-US"/>
        </w:rPr>
        <w:t xml:space="preserve"> results of Experiment</w:t>
      </w:r>
      <w:r w:rsidR="00A63E1C" w:rsidRPr="005A7117">
        <w:rPr>
          <w:sz w:val="24"/>
          <w:szCs w:val="24"/>
          <w:lang w:val="en-US"/>
        </w:rPr>
        <w:t>s</w:t>
      </w:r>
      <w:r w:rsidR="009B39CB" w:rsidRPr="005A7117">
        <w:rPr>
          <w:sz w:val="24"/>
          <w:szCs w:val="24"/>
          <w:lang w:val="en-US"/>
        </w:rPr>
        <w:t xml:space="preserve"> 2A and 2B in the present study suggest </w:t>
      </w:r>
      <w:r w:rsidR="00666226" w:rsidRPr="005A7117">
        <w:rPr>
          <w:sz w:val="24"/>
          <w:szCs w:val="24"/>
          <w:lang w:val="en-US"/>
        </w:rPr>
        <w:t>that the length of pre-exposure is a key factor in the modulation of the elements’ salience</w:t>
      </w:r>
      <w:r>
        <w:rPr>
          <w:sz w:val="24"/>
          <w:szCs w:val="24"/>
          <w:lang w:val="en-US"/>
        </w:rPr>
        <w:t>,</w:t>
      </w:r>
      <w:r w:rsidR="00666226" w:rsidRPr="005A7117">
        <w:rPr>
          <w:sz w:val="24"/>
          <w:szCs w:val="24"/>
          <w:lang w:val="en-US"/>
        </w:rPr>
        <w:t xml:space="preserve"> and </w:t>
      </w:r>
      <w:r w:rsidR="009B39CB" w:rsidRPr="005A7117">
        <w:rPr>
          <w:sz w:val="24"/>
          <w:szCs w:val="24"/>
          <w:lang w:val="en-US"/>
        </w:rPr>
        <w:t>the amount of pre-exposure used in the present Experiment 3 can be deemed to be relatively long</w:t>
      </w:r>
      <w:r w:rsidR="007857F6" w:rsidRPr="005A7117">
        <w:rPr>
          <w:sz w:val="24"/>
          <w:szCs w:val="24"/>
          <w:lang w:val="en-US"/>
        </w:rPr>
        <w:t>.</w:t>
      </w:r>
      <w:r w:rsidR="006403B8">
        <w:rPr>
          <w:sz w:val="24"/>
          <w:szCs w:val="24"/>
          <w:lang w:val="en-US"/>
        </w:rPr>
        <w:t xml:space="preserve"> </w:t>
      </w:r>
      <w:r w:rsidR="00C329EF" w:rsidRPr="00C329EF">
        <w:rPr>
          <w:sz w:val="24"/>
          <w:szCs w:val="24"/>
          <w:lang w:val="en-US"/>
        </w:rPr>
        <w:t>We need to be cautious, however, and not overlook the differences between the experimental paradigms used in the present stu</w:t>
      </w:r>
      <w:r>
        <w:rPr>
          <w:sz w:val="24"/>
          <w:szCs w:val="24"/>
          <w:lang w:val="en-US"/>
        </w:rPr>
        <w:t>dy and the report by Blair and H</w:t>
      </w:r>
      <w:r w:rsidR="00C329EF" w:rsidRPr="00C329EF">
        <w:rPr>
          <w:sz w:val="24"/>
          <w:szCs w:val="24"/>
          <w:lang w:val="en-US"/>
        </w:rPr>
        <w:t>all (2003).</w:t>
      </w:r>
    </w:p>
    <w:p w14:paraId="1C8E9A1A" w14:textId="28720963" w:rsidR="009B39CB" w:rsidRPr="00955889" w:rsidRDefault="009B39CB" w:rsidP="009B39CB">
      <w:pPr>
        <w:tabs>
          <w:tab w:val="center" w:pos="4275"/>
          <w:tab w:val="left" w:pos="7143"/>
        </w:tabs>
        <w:adjustRightInd w:val="0"/>
        <w:spacing w:line="480" w:lineRule="auto"/>
        <w:ind w:firstLine="567"/>
        <w:rPr>
          <w:sz w:val="24"/>
          <w:szCs w:val="24"/>
          <w:lang w:val="en-US"/>
        </w:rPr>
      </w:pPr>
      <w:r w:rsidRPr="00955889">
        <w:rPr>
          <w:sz w:val="24"/>
          <w:szCs w:val="24"/>
          <w:lang w:val="en-US"/>
        </w:rPr>
        <w:t xml:space="preserve">Theories of perceptual learning assume that non-reinforced pre-exposure can alter the perceptual characteristics of complex stimuli. In her pioneering approach to the phenomenon, Gibson (1969) suggested that non-reinforced pre-exposure that allowed comparison between the to-be-discriminated stimuli would increase the salience of the unique distinctive features and simultaneously reduce the effectiveness of the common, </w:t>
      </w:r>
      <w:r w:rsidRPr="00955889">
        <w:rPr>
          <w:sz w:val="24"/>
          <w:szCs w:val="24"/>
          <w:lang w:val="en-US"/>
        </w:rPr>
        <w:lastRenderedPageBreak/>
        <w:t xml:space="preserve">non-distinctive elements. Most of modern theories have emphasized the increased effectiveness of the unique elements A and B following intermixed pre-exposure (e.g., Hall, 2003; Honey &amp; Bateson, 1996; McLaren &amp; Mackintosh, 2000; Mitchell, Nash, &amp; Hall, 2008; </w:t>
      </w:r>
      <w:r w:rsidR="00B51896">
        <w:rPr>
          <w:sz w:val="24"/>
          <w:szCs w:val="24"/>
          <w:lang w:val="en-US"/>
        </w:rPr>
        <w:t xml:space="preserve">for a review </w:t>
      </w:r>
      <w:r w:rsidRPr="00955889">
        <w:rPr>
          <w:sz w:val="24"/>
          <w:szCs w:val="24"/>
          <w:lang w:val="en-US"/>
        </w:rPr>
        <w:t>see Mit</w:t>
      </w:r>
      <w:r w:rsidR="00B51896">
        <w:rPr>
          <w:sz w:val="24"/>
          <w:szCs w:val="24"/>
          <w:lang w:val="en-US"/>
        </w:rPr>
        <w:t>chell &amp; Hall, 2014</w:t>
      </w:r>
      <w:r w:rsidRPr="00955889">
        <w:rPr>
          <w:sz w:val="24"/>
          <w:szCs w:val="24"/>
          <w:lang w:val="en-US"/>
        </w:rPr>
        <w:t>); they, however, tend to assume that the salience or effectiveness of the common element would be equivalent after intermixed and blocked pre-exposure (X is present in every exposure trial in both pre-exposure arrangements). These theories, therefore, struggle accommodating instances of perceptual learning that are most likely due to a differential salience of effectiveness of the common element in the intermixed and blocked procedures (i.e., the perceptual learning t</w:t>
      </w:r>
      <w:r w:rsidR="00A63E1C">
        <w:rPr>
          <w:sz w:val="24"/>
          <w:szCs w:val="24"/>
          <w:lang w:val="en-US"/>
        </w:rPr>
        <w:t>ransfer, Artigas &amp; Prados, 2014</w:t>
      </w:r>
      <w:r w:rsidRPr="00955889">
        <w:rPr>
          <w:sz w:val="24"/>
          <w:szCs w:val="24"/>
          <w:lang w:val="en-US"/>
        </w:rPr>
        <w:t xml:space="preserve">). </w:t>
      </w:r>
    </w:p>
    <w:p w14:paraId="25BA96FD" w14:textId="598451B8" w:rsidR="009B39CB" w:rsidRPr="00D21F21" w:rsidRDefault="00477CA4" w:rsidP="009B39CB">
      <w:pPr>
        <w:tabs>
          <w:tab w:val="center" w:pos="4700"/>
          <w:tab w:val="left" w:pos="5873"/>
        </w:tabs>
        <w:spacing w:line="480" w:lineRule="auto"/>
        <w:ind w:right="-45" w:firstLine="567"/>
        <w:rPr>
          <w:sz w:val="24"/>
          <w:szCs w:val="24"/>
          <w:lang w:val="en-US"/>
        </w:rPr>
      </w:pPr>
      <w:r>
        <w:rPr>
          <w:sz w:val="24"/>
          <w:szCs w:val="24"/>
          <w:lang w:val="en-US"/>
        </w:rPr>
        <w:t xml:space="preserve">To account for the reduced salience of X after intermixed pre-exposure, </w:t>
      </w:r>
      <w:r w:rsidR="005B0B71">
        <w:rPr>
          <w:sz w:val="24"/>
          <w:szCs w:val="24"/>
          <w:lang w:val="en-US"/>
        </w:rPr>
        <w:t>Mondragon and</w:t>
      </w:r>
      <w:r w:rsidR="009B39CB" w:rsidRPr="00D21F21">
        <w:rPr>
          <w:sz w:val="24"/>
          <w:szCs w:val="24"/>
          <w:lang w:val="en-US"/>
        </w:rPr>
        <w:t xml:space="preserve"> Murphy (2010) suggested that stimuli that associatively activate others </w:t>
      </w:r>
      <w:r>
        <w:rPr>
          <w:sz w:val="24"/>
          <w:szCs w:val="24"/>
          <w:lang w:val="en-US"/>
        </w:rPr>
        <w:t xml:space="preserve">(X activates a representation of A and B in alternating trials) </w:t>
      </w:r>
      <w:r w:rsidR="009B39CB" w:rsidRPr="00D21F21">
        <w:rPr>
          <w:sz w:val="24"/>
          <w:szCs w:val="24"/>
          <w:lang w:val="en-US"/>
        </w:rPr>
        <w:t>would lose their own effective salience in a selective attention process. This is reminiscent of the Pearce-Hall model principles (Pearce &amp; Hall, 1980), where stimuli that are strongly associated with an outcome are supposed to lose perceptual effectiveness or associability; however, if that was the mechanism that reduces the salience of X in the intermixed pre-exposure procedure, the loss of associability should be higher in the blocked condition, where the X element is consistently associated with one element within a block of training trials (in the intermixed procedure X is paired with A and B on alternating trials, increasing the uncertainty that is supposed to protect the associability of the signal according to the Pearce-Hall model). Alternatively, Mondragon and Murphy proposed an approach based on the attentional theory by Mackintosh (1975): X, paired with A and B on alternating trials in the intermixed condition, would be perceived as a relatively poor</w:t>
      </w:r>
      <w:r>
        <w:rPr>
          <w:sz w:val="24"/>
          <w:szCs w:val="24"/>
          <w:lang w:val="en-US"/>
        </w:rPr>
        <w:t xml:space="preserve"> predictor of its consequences and would </w:t>
      </w:r>
      <w:r w:rsidR="009B39CB" w:rsidRPr="00D21F21">
        <w:rPr>
          <w:sz w:val="24"/>
          <w:szCs w:val="24"/>
          <w:lang w:val="en-US"/>
        </w:rPr>
        <w:t xml:space="preserve">lose perceptual effectiveness or associability to a greater extent </w:t>
      </w:r>
      <w:r w:rsidR="009B39CB" w:rsidRPr="00D21F21">
        <w:rPr>
          <w:sz w:val="24"/>
          <w:szCs w:val="24"/>
          <w:lang w:val="en-US"/>
        </w:rPr>
        <w:lastRenderedPageBreak/>
        <w:t xml:space="preserve">than in the blocked condition, where it is consistently paired with the same stimulus over a block or pre-exposure trials. </w:t>
      </w:r>
      <w:r w:rsidR="00327D9C">
        <w:rPr>
          <w:sz w:val="24"/>
          <w:szCs w:val="24"/>
          <w:lang w:val="en-US"/>
        </w:rPr>
        <w:t>If we extend this analysis to the unique features</w:t>
      </w:r>
      <w:r w:rsidR="00202FBA">
        <w:rPr>
          <w:sz w:val="24"/>
          <w:szCs w:val="24"/>
          <w:lang w:val="en-US"/>
        </w:rPr>
        <w:t>, given that A and B are always paired with the X element both in the intermixed and blocked pre-exposure conditions (and are, therefore, likely to be perceived as good predictors), the attentional theories might predict similar salience or associability (high in the case of Mackintosh, 1975; low in the</w:t>
      </w:r>
      <w:r>
        <w:rPr>
          <w:sz w:val="24"/>
          <w:szCs w:val="24"/>
          <w:lang w:val="en-US"/>
        </w:rPr>
        <w:t xml:space="preserve"> case of Pearce &amp; Hall, 1980). </w:t>
      </w:r>
      <w:r w:rsidR="00202FBA">
        <w:rPr>
          <w:sz w:val="24"/>
          <w:szCs w:val="24"/>
          <w:lang w:val="en-US"/>
        </w:rPr>
        <w:t xml:space="preserve">These complications </w:t>
      </w:r>
      <w:r w:rsidR="00C2506D">
        <w:rPr>
          <w:sz w:val="24"/>
          <w:szCs w:val="24"/>
          <w:lang w:val="en-US"/>
        </w:rPr>
        <w:t>suggest the need for</w:t>
      </w:r>
      <w:r w:rsidR="009B39CB" w:rsidRPr="00D21F21">
        <w:rPr>
          <w:sz w:val="24"/>
          <w:szCs w:val="24"/>
          <w:lang w:val="en-US"/>
        </w:rPr>
        <w:t xml:space="preserve"> an alternative theoretical approach</w:t>
      </w:r>
      <w:r w:rsidR="00327D9C">
        <w:rPr>
          <w:sz w:val="24"/>
          <w:szCs w:val="24"/>
          <w:lang w:val="en-US"/>
        </w:rPr>
        <w:t xml:space="preserve"> to accommodate the results reported here</w:t>
      </w:r>
      <w:r w:rsidR="009B39CB" w:rsidRPr="00D21F21">
        <w:rPr>
          <w:sz w:val="24"/>
          <w:szCs w:val="24"/>
          <w:lang w:val="en-US"/>
        </w:rPr>
        <w:t>.</w:t>
      </w:r>
      <w:r w:rsidR="00202FBA">
        <w:rPr>
          <w:sz w:val="24"/>
          <w:szCs w:val="24"/>
          <w:lang w:val="en-US"/>
        </w:rPr>
        <w:t xml:space="preserve"> </w:t>
      </w:r>
    </w:p>
    <w:p w14:paraId="023F1C97" w14:textId="4EF42F3D" w:rsidR="00B55CA0" w:rsidRPr="00B55CA0" w:rsidRDefault="00D21F21" w:rsidP="00B55CA0">
      <w:pPr>
        <w:tabs>
          <w:tab w:val="center" w:pos="4275"/>
          <w:tab w:val="left" w:pos="7143"/>
        </w:tabs>
        <w:adjustRightInd w:val="0"/>
        <w:spacing w:line="480" w:lineRule="auto"/>
        <w:ind w:firstLine="567"/>
        <w:rPr>
          <w:sz w:val="24"/>
          <w:szCs w:val="24"/>
          <w:lang w:val="en-US"/>
        </w:rPr>
      </w:pPr>
      <w:r>
        <w:rPr>
          <w:sz w:val="24"/>
          <w:szCs w:val="24"/>
          <w:lang w:val="en-US"/>
        </w:rPr>
        <w:t xml:space="preserve">Artigas and Prados (2014) proposed </w:t>
      </w:r>
      <w:r w:rsidR="00327D9C">
        <w:rPr>
          <w:sz w:val="24"/>
          <w:szCs w:val="24"/>
          <w:lang w:val="en-US"/>
        </w:rPr>
        <w:t>that</w:t>
      </w:r>
      <w:r w:rsidR="00B55CA0" w:rsidRPr="00B55CA0">
        <w:rPr>
          <w:sz w:val="24"/>
          <w:szCs w:val="24"/>
          <w:lang w:val="en-US"/>
        </w:rPr>
        <w:t xml:space="preserve"> intermixed and blocked pre-exposure to AX and BX may lead to the establishment of elemental (A, B and X) or configural-like (AX, BX) representations respectively. Combining elemental and configural processes is not a novel approach (see, for example, McLaren, Forrest &amp; McLaren, 2012). However, Artigas and Prados presented their approach as a development of the elemental theory of stimuli proposed by McLaren and Mackintosh (2000; also McLaren, et al., 1989) that assumes the traditional stimulus sampling theories (e.g., Atkinson &amp; Estes, 1963; Estes, 1959). </w:t>
      </w:r>
    </w:p>
    <w:p w14:paraId="4A387491" w14:textId="3506D5D8" w:rsidR="00B55CA0" w:rsidRPr="00B55CA0" w:rsidRDefault="00B55CA0" w:rsidP="00B55CA0">
      <w:pPr>
        <w:tabs>
          <w:tab w:val="center" w:pos="4275"/>
          <w:tab w:val="left" w:pos="7143"/>
        </w:tabs>
        <w:adjustRightInd w:val="0"/>
        <w:spacing w:line="480" w:lineRule="auto"/>
        <w:ind w:firstLine="567"/>
        <w:rPr>
          <w:sz w:val="24"/>
          <w:szCs w:val="24"/>
          <w:lang w:val="en-US"/>
        </w:rPr>
      </w:pPr>
      <w:r w:rsidRPr="00B55CA0">
        <w:rPr>
          <w:sz w:val="24"/>
          <w:szCs w:val="24"/>
          <w:lang w:val="en-US"/>
        </w:rPr>
        <w:t>During blocked pre-exposure to AX, for example, the elements of A and X can confidently be expected to be sampled at the same rate—</w:t>
      </w:r>
      <w:proofErr w:type="gramStart"/>
      <w:r w:rsidRPr="00B55CA0">
        <w:rPr>
          <w:sz w:val="24"/>
          <w:szCs w:val="24"/>
          <w:lang w:val="en-US"/>
        </w:rPr>
        <w:t>A and</w:t>
      </w:r>
      <w:proofErr w:type="gramEnd"/>
      <w:r w:rsidRPr="00B55CA0">
        <w:rPr>
          <w:sz w:val="24"/>
          <w:szCs w:val="24"/>
          <w:lang w:val="en-US"/>
        </w:rPr>
        <w:t xml:space="preserve"> X can be assumed to be equally salient. Co</w:t>
      </w:r>
      <w:r>
        <w:rPr>
          <w:sz w:val="24"/>
          <w:szCs w:val="24"/>
          <w:lang w:val="en-US"/>
        </w:rPr>
        <w:t>-</w:t>
      </w:r>
      <w:r w:rsidRPr="00B55CA0">
        <w:rPr>
          <w:sz w:val="24"/>
          <w:szCs w:val="24"/>
          <w:lang w:val="en-US"/>
        </w:rPr>
        <w:t>activation of the elements of A and X in each pre-exposure trial would lead to the establishment of associations among them (x–</w:t>
      </w:r>
      <w:proofErr w:type="gramStart"/>
      <w:r w:rsidRPr="00B55CA0">
        <w:rPr>
          <w:sz w:val="24"/>
          <w:szCs w:val="24"/>
          <w:lang w:val="en-US"/>
        </w:rPr>
        <w:t>a</w:t>
      </w:r>
      <w:proofErr w:type="gramEnd"/>
      <w:r w:rsidRPr="00B55CA0">
        <w:rPr>
          <w:sz w:val="24"/>
          <w:szCs w:val="24"/>
          <w:lang w:val="en-US"/>
        </w:rPr>
        <w:t xml:space="preserve"> associations), as well as associations between the elements of X (x–x) and A (a–a). The existence of strong x–</w:t>
      </w:r>
      <w:proofErr w:type="gramStart"/>
      <w:r w:rsidRPr="00B55CA0">
        <w:rPr>
          <w:sz w:val="24"/>
          <w:szCs w:val="24"/>
          <w:lang w:val="en-US"/>
        </w:rPr>
        <w:t>a</w:t>
      </w:r>
      <w:proofErr w:type="gramEnd"/>
      <w:r w:rsidRPr="00B55CA0">
        <w:rPr>
          <w:sz w:val="24"/>
          <w:szCs w:val="24"/>
          <w:lang w:val="en-US"/>
        </w:rPr>
        <w:t xml:space="preserve"> associations would contribute to the establishment of a unique configural-like representation of AX. </w:t>
      </w:r>
      <w:r w:rsidR="00477CA4">
        <w:rPr>
          <w:sz w:val="24"/>
          <w:szCs w:val="24"/>
          <w:lang w:val="en-US"/>
        </w:rPr>
        <w:t xml:space="preserve">Consistent with this assumption, </w:t>
      </w:r>
      <w:r w:rsidRPr="00B55CA0">
        <w:rPr>
          <w:sz w:val="24"/>
          <w:szCs w:val="24"/>
          <w:lang w:val="en-US"/>
        </w:rPr>
        <w:t xml:space="preserve">Rodríguez &amp; Alonso (2014; 2015) have reported </w:t>
      </w:r>
      <w:r w:rsidR="00983463">
        <w:rPr>
          <w:sz w:val="24"/>
          <w:szCs w:val="24"/>
          <w:lang w:val="en-US"/>
        </w:rPr>
        <w:t xml:space="preserve">persuasive </w:t>
      </w:r>
      <w:r w:rsidRPr="00B55CA0">
        <w:rPr>
          <w:sz w:val="24"/>
          <w:szCs w:val="24"/>
          <w:lang w:val="en-US"/>
        </w:rPr>
        <w:t>evidence showing stronger within-compound associations (i.e., A—X) following blocked than intermixed</w:t>
      </w:r>
      <w:r w:rsidR="00477CA4">
        <w:rPr>
          <w:sz w:val="24"/>
          <w:szCs w:val="24"/>
          <w:lang w:val="en-US"/>
        </w:rPr>
        <w:t xml:space="preserve"> pre-exposure.</w:t>
      </w:r>
    </w:p>
    <w:p w14:paraId="39190544" w14:textId="7DF2012E" w:rsidR="00CE455D" w:rsidRDefault="00B55CA0" w:rsidP="00B55CA0">
      <w:pPr>
        <w:tabs>
          <w:tab w:val="center" w:pos="4275"/>
          <w:tab w:val="left" w:pos="7143"/>
        </w:tabs>
        <w:adjustRightInd w:val="0"/>
        <w:spacing w:line="480" w:lineRule="auto"/>
        <w:ind w:firstLine="567"/>
        <w:rPr>
          <w:sz w:val="24"/>
          <w:szCs w:val="24"/>
          <w:lang w:val="en-US"/>
        </w:rPr>
      </w:pPr>
      <w:r w:rsidRPr="00B55CA0">
        <w:rPr>
          <w:sz w:val="24"/>
          <w:szCs w:val="24"/>
          <w:lang w:val="en-US"/>
        </w:rPr>
        <w:lastRenderedPageBreak/>
        <w:t xml:space="preserve">Following Artigas and Prados (2014), alternation of AX and BX in the intermixed pre-exposure would result in a different sampling rate for the unique and the common elements: the X elements would be sampled in every trial, whereas the A (and B) elements would be sampled only every two trials. In the first AX trial, for example, we can expect the establishment of associations between the X elements (x–x), the A elements (a–a), and the X and </w:t>
      </w:r>
      <w:proofErr w:type="gramStart"/>
      <w:r w:rsidRPr="00B55CA0">
        <w:rPr>
          <w:sz w:val="24"/>
          <w:szCs w:val="24"/>
          <w:lang w:val="en-US"/>
        </w:rPr>
        <w:t>A</w:t>
      </w:r>
      <w:proofErr w:type="gramEnd"/>
      <w:r w:rsidRPr="00B55CA0">
        <w:rPr>
          <w:sz w:val="24"/>
          <w:szCs w:val="24"/>
          <w:lang w:val="en-US"/>
        </w:rPr>
        <w:t xml:space="preserve"> elements (x–a); however, the x–a associations can be expected to weaken in the absence of A during the subsequent BX trial. Similarly, a BX trial will result in further x–x, </w:t>
      </w:r>
      <w:r w:rsidR="00163991">
        <w:rPr>
          <w:sz w:val="24"/>
          <w:szCs w:val="24"/>
          <w:lang w:val="en-US"/>
        </w:rPr>
        <w:t xml:space="preserve">as well as </w:t>
      </w:r>
      <w:r w:rsidRPr="00B55CA0">
        <w:rPr>
          <w:sz w:val="24"/>
          <w:szCs w:val="24"/>
          <w:lang w:val="en-US"/>
        </w:rPr>
        <w:t xml:space="preserve">b–b, and x–b associations that will weaken in the following AX trial. Therefore, the X elements will lose salience more rapidly than the A and B elements, and as a consequence of this, the A (and B) elements will tend to develop associations between one another in preference to associations with the X elements (McLaren &amp; Mackintosh, 2000, pp. 227). </w:t>
      </w:r>
    </w:p>
    <w:p w14:paraId="72DCC2DB" w14:textId="5A8BACF4" w:rsidR="00B55CA0" w:rsidRPr="00B55CA0" w:rsidRDefault="00B55CA0" w:rsidP="00B55CA0">
      <w:pPr>
        <w:tabs>
          <w:tab w:val="center" w:pos="4275"/>
          <w:tab w:val="left" w:pos="7143"/>
        </w:tabs>
        <w:adjustRightInd w:val="0"/>
        <w:spacing w:line="480" w:lineRule="auto"/>
        <w:ind w:firstLine="567"/>
        <w:rPr>
          <w:sz w:val="24"/>
          <w:szCs w:val="24"/>
          <w:lang w:val="en-US"/>
        </w:rPr>
      </w:pPr>
      <w:r w:rsidRPr="00B55CA0">
        <w:rPr>
          <w:sz w:val="24"/>
          <w:szCs w:val="24"/>
          <w:lang w:val="en-US"/>
        </w:rPr>
        <w:t>In the long term, the final outcome of intermixed pre-exposure would therefore tend to be</w:t>
      </w:r>
      <w:r w:rsidR="00FC610B">
        <w:rPr>
          <w:color w:val="000000" w:themeColor="text1"/>
          <w:sz w:val="24"/>
          <w:szCs w:val="24"/>
          <w:lang w:val="en-US"/>
        </w:rPr>
        <w:t xml:space="preserve"> </w:t>
      </w:r>
      <w:r w:rsidRPr="00B55CA0">
        <w:rPr>
          <w:sz w:val="24"/>
          <w:szCs w:val="24"/>
          <w:lang w:val="en-US"/>
        </w:rPr>
        <w:t>elemental</w:t>
      </w:r>
      <w:r w:rsidR="00FC610B">
        <w:rPr>
          <w:sz w:val="24"/>
          <w:szCs w:val="24"/>
          <w:lang w:val="en-US"/>
        </w:rPr>
        <w:t xml:space="preserve"> </w:t>
      </w:r>
      <w:r w:rsidR="00FC610B" w:rsidRPr="00477CA4">
        <w:rPr>
          <w:color w:val="000000" w:themeColor="text1"/>
          <w:sz w:val="24"/>
          <w:szCs w:val="24"/>
          <w:lang w:val="en-US"/>
        </w:rPr>
        <w:t>well-formed</w:t>
      </w:r>
      <w:r w:rsidRPr="00B55CA0">
        <w:rPr>
          <w:sz w:val="24"/>
          <w:szCs w:val="24"/>
          <w:lang w:val="en-US"/>
        </w:rPr>
        <w:t xml:space="preserve"> representations of the elements X, A, and B</w:t>
      </w:r>
      <w:r w:rsidR="00327D9C">
        <w:rPr>
          <w:sz w:val="24"/>
          <w:szCs w:val="24"/>
          <w:lang w:val="en-US"/>
        </w:rPr>
        <w:t xml:space="preserve">. These elemental representations would </w:t>
      </w:r>
      <w:r w:rsidRPr="00B55CA0">
        <w:rPr>
          <w:sz w:val="24"/>
          <w:szCs w:val="24"/>
          <w:lang w:val="en-US"/>
        </w:rPr>
        <w:t xml:space="preserve">be subject to pre-exposure effects (reduced salience or effectiveness) according to their level of exposure, double in the case of X compared to A and B. </w:t>
      </w:r>
      <w:r w:rsidR="007F64CA" w:rsidRPr="00B923F1">
        <w:rPr>
          <w:sz w:val="24"/>
          <w:szCs w:val="24"/>
          <w:lang w:val="en-US"/>
        </w:rPr>
        <w:t>T</w:t>
      </w:r>
      <w:r w:rsidR="00CE455D" w:rsidRPr="00B923F1">
        <w:rPr>
          <w:sz w:val="24"/>
          <w:szCs w:val="24"/>
          <w:lang w:val="en-US"/>
        </w:rPr>
        <w:t>he configural-like representations that emerge</w:t>
      </w:r>
      <w:r w:rsidR="007F64CA" w:rsidRPr="00B923F1">
        <w:rPr>
          <w:sz w:val="24"/>
          <w:szCs w:val="24"/>
          <w:lang w:val="en-US"/>
        </w:rPr>
        <w:t xml:space="preserve"> </w:t>
      </w:r>
      <w:r w:rsidR="00CE455D" w:rsidRPr="00B923F1">
        <w:rPr>
          <w:sz w:val="24"/>
          <w:szCs w:val="24"/>
          <w:lang w:val="en-US"/>
        </w:rPr>
        <w:t>during blocked pre-exposure would be subject to the same processes</w:t>
      </w:r>
      <w:r w:rsidR="007F64CA" w:rsidRPr="00B923F1">
        <w:rPr>
          <w:sz w:val="24"/>
          <w:szCs w:val="24"/>
          <w:lang w:val="en-US"/>
        </w:rPr>
        <w:t xml:space="preserve"> </w:t>
      </w:r>
      <w:r w:rsidR="007F64CA" w:rsidRPr="00B923F1">
        <w:rPr>
          <w:rFonts w:cstheme="minorHAnsi"/>
          <w:sz w:val="24"/>
          <w:szCs w:val="24"/>
          <w:lang w:val="en-US"/>
        </w:rPr>
        <w:t>as the elemental representations</w:t>
      </w:r>
      <w:r w:rsidR="007F64CA" w:rsidRPr="00B923F1">
        <w:rPr>
          <w:sz w:val="24"/>
          <w:szCs w:val="24"/>
          <w:lang w:val="en-US"/>
        </w:rPr>
        <w:t>.</w:t>
      </w:r>
      <w:r w:rsidR="00CE455D" w:rsidRPr="00B923F1">
        <w:rPr>
          <w:sz w:val="24"/>
          <w:szCs w:val="24"/>
          <w:lang w:val="en-US"/>
        </w:rPr>
        <w:t xml:space="preserve"> </w:t>
      </w:r>
      <w:r w:rsidR="007F64CA" w:rsidRPr="00B923F1">
        <w:rPr>
          <w:sz w:val="24"/>
          <w:szCs w:val="24"/>
          <w:lang w:val="en-US"/>
        </w:rPr>
        <w:t>However, the salience of the actual elements (A, B and X) would be relatively intact following blocked pre-exposure: t</w:t>
      </w:r>
      <w:r w:rsidR="00CE455D" w:rsidRPr="00B923F1">
        <w:rPr>
          <w:sz w:val="24"/>
          <w:szCs w:val="24"/>
          <w:lang w:val="en-US"/>
        </w:rPr>
        <w:t>he salience of A, B and X would be reduced according to their similarity to the configural-like representations AX and BX. Latent inhibition would generalize to X from both the AX and BX representations, resulting in lower effectiveness of the common element than the unique elements, to which latent inhibition is generalized from either AX (A) or BX (B).</w:t>
      </w:r>
    </w:p>
    <w:p w14:paraId="1A2C36C9" w14:textId="6577E57F" w:rsidR="00B55CA0" w:rsidRDefault="00C2506D" w:rsidP="00B55CA0">
      <w:pPr>
        <w:tabs>
          <w:tab w:val="center" w:pos="4275"/>
          <w:tab w:val="left" w:pos="7143"/>
        </w:tabs>
        <w:adjustRightInd w:val="0"/>
        <w:spacing w:line="480" w:lineRule="auto"/>
        <w:ind w:firstLine="567"/>
        <w:rPr>
          <w:sz w:val="24"/>
          <w:szCs w:val="24"/>
          <w:lang w:val="en-US"/>
        </w:rPr>
      </w:pPr>
      <w:r>
        <w:rPr>
          <w:sz w:val="24"/>
          <w:szCs w:val="24"/>
          <w:lang w:val="en-US"/>
        </w:rPr>
        <w:lastRenderedPageBreak/>
        <w:t xml:space="preserve">This approach allows us to introduce the amount of exposure as a key factor in determining the </w:t>
      </w:r>
      <w:r w:rsidR="00D238DA">
        <w:rPr>
          <w:sz w:val="24"/>
          <w:szCs w:val="24"/>
          <w:lang w:val="en-US"/>
        </w:rPr>
        <w:t xml:space="preserve">stimulus </w:t>
      </w:r>
      <w:r>
        <w:rPr>
          <w:sz w:val="24"/>
          <w:szCs w:val="24"/>
          <w:lang w:val="en-US"/>
        </w:rPr>
        <w:t>salience following short and long levels of pre-exposure. As indicated above, in the intermixed pre-exposure procedure, a</w:t>
      </w:r>
      <w:r w:rsidRPr="00C2506D">
        <w:rPr>
          <w:sz w:val="24"/>
          <w:szCs w:val="24"/>
          <w:lang w:val="en-US"/>
        </w:rPr>
        <w:t xml:space="preserve"> representation of X would emerge relatively soon and will then be subject to the pre-exposure effects (typically loss of salience and associability). The building up of the representation of the unique elements (dependent on sampling and association of the A elements) would be </w:t>
      </w:r>
      <w:r w:rsidR="00477CA4">
        <w:rPr>
          <w:sz w:val="24"/>
          <w:szCs w:val="24"/>
          <w:lang w:val="en-US"/>
        </w:rPr>
        <w:t xml:space="preserve">slightly delayed compared to X, given that </w:t>
      </w:r>
      <w:r w:rsidRPr="00C2506D">
        <w:rPr>
          <w:sz w:val="24"/>
          <w:szCs w:val="24"/>
          <w:lang w:val="en-US"/>
        </w:rPr>
        <w:t>the unique elements are pr</w:t>
      </w:r>
      <w:r w:rsidR="00477CA4">
        <w:rPr>
          <w:sz w:val="24"/>
          <w:szCs w:val="24"/>
          <w:lang w:val="en-US"/>
        </w:rPr>
        <w:t>esent only in every other trial</w:t>
      </w:r>
      <w:r w:rsidRPr="00C2506D">
        <w:rPr>
          <w:sz w:val="24"/>
          <w:szCs w:val="24"/>
          <w:lang w:val="en-US"/>
        </w:rPr>
        <w:t>. Once a representation of the stimulus is established—through the process of unitization, we can assume that its effectiveness would be temporarily increased: the existence of a central tendency would facilitate the recognition of the elemental stimulus. However, with continuous exposure, further strengthening of the associations between its elements will tend to reduce its salience or effectiveness when the error term is reduced because the internal input matches the external input (see McLaren &amp; Mackintosh, 2000, p. 213). We can therefore predict that the elemental stimuli representation</w:t>
      </w:r>
      <w:r w:rsidR="00D238DA">
        <w:rPr>
          <w:sz w:val="24"/>
          <w:szCs w:val="24"/>
          <w:lang w:val="en-US"/>
        </w:rPr>
        <w:t>s</w:t>
      </w:r>
      <w:r w:rsidRPr="00C2506D">
        <w:rPr>
          <w:sz w:val="24"/>
          <w:szCs w:val="24"/>
          <w:lang w:val="en-US"/>
        </w:rPr>
        <w:t xml:space="preserve"> that emerge during intermixed pre-exposure would transiently increase their perceptual effectiveness during the early stages of pre-exposure and lose subsequently their salience due to the reduction of the error term. The representation of the common element emerges first and suffers from earlier and deeper loss of salience. The unique elements A and B take longer to complete the central tendency, and their loss of salience is delayed. In other words, with relatively short pre-exposure</w:t>
      </w:r>
      <w:r w:rsidR="00477CA4">
        <w:rPr>
          <w:sz w:val="24"/>
          <w:szCs w:val="24"/>
          <w:lang w:val="en-US"/>
        </w:rPr>
        <w:t xml:space="preserve"> (like the one presumably used by Blair &amp; H</w:t>
      </w:r>
      <w:r w:rsidRPr="00C2506D">
        <w:rPr>
          <w:sz w:val="24"/>
          <w:szCs w:val="24"/>
          <w:lang w:val="en-US"/>
        </w:rPr>
        <w:t xml:space="preserve">all, 2003) the unique elements presented in alternation could be relatively salient improving the discriminability of AX and BX; with prolonged pre-exposure the salience or effectiveness of these elements would decline gradually, as </w:t>
      </w:r>
      <w:r>
        <w:rPr>
          <w:sz w:val="24"/>
          <w:szCs w:val="24"/>
          <w:lang w:val="en-US"/>
        </w:rPr>
        <w:t>shown</w:t>
      </w:r>
      <w:r w:rsidR="00D238DA">
        <w:rPr>
          <w:sz w:val="24"/>
          <w:szCs w:val="24"/>
          <w:lang w:val="en-US"/>
        </w:rPr>
        <w:t xml:space="preserve"> by the present Experiments 2B</w:t>
      </w:r>
      <w:r w:rsidRPr="00C2506D">
        <w:rPr>
          <w:sz w:val="24"/>
          <w:szCs w:val="24"/>
          <w:lang w:val="en-US"/>
        </w:rPr>
        <w:t xml:space="preserve"> and 3.</w:t>
      </w:r>
      <w:r>
        <w:rPr>
          <w:sz w:val="24"/>
          <w:szCs w:val="24"/>
          <w:lang w:val="en-US"/>
        </w:rPr>
        <w:t xml:space="preserve"> This is consistent with</w:t>
      </w:r>
      <w:r w:rsidR="00080463">
        <w:rPr>
          <w:sz w:val="24"/>
          <w:szCs w:val="24"/>
          <w:lang w:val="en-US"/>
        </w:rPr>
        <w:t xml:space="preserve"> the literature that </w:t>
      </w:r>
      <w:r w:rsidR="00B55CA0" w:rsidRPr="00B55CA0">
        <w:rPr>
          <w:sz w:val="24"/>
          <w:szCs w:val="24"/>
          <w:lang w:val="en-US"/>
        </w:rPr>
        <w:t>show</w:t>
      </w:r>
      <w:r w:rsidR="00080463">
        <w:rPr>
          <w:sz w:val="24"/>
          <w:szCs w:val="24"/>
          <w:lang w:val="en-US"/>
        </w:rPr>
        <w:t>s</w:t>
      </w:r>
      <w:r w:rsidR="00B55CA0" w:rsidRPr="00B55CA0">
        <w:rPr>
          <w:sz w:val="24"/>
          <w:szCs w:val="24"/>
          <w:lang w:val="en-US"/>
        </w:rPr>
        <w:t xml:space="preserve"> that the salience of the unique elements tends to be </w:t>
      </w:r>
      <w:r w:rsidR="00B55CA0" w:rsidRPr="00B55CA0">
        <w:rPr>
          <w:sz w:val="24"/>
          <w:szCs w:val="24"/>
          <w:lang w:val="en-US"/>
        </w:rPr>
        <w:lastRenderedPageBreak/>
        <w:t>protected in the intermixed pre-exposure procedure (e.g., Artigas, Sansa, Blair et al., 2006; Blair &amp; Hall</w:t>
      </w:r>
      <w:r>
        <w:rPr>
          <w:sz w:val="24"/>
          <w:szCs w:val="24"/>
          <w:lang w:val="en-US"/>
        </w:rPr>
        <w:t xml:space="preserve">, 2003; Mondragon &amp; Hall, 2002); as well as with the reports that have shown </w:t>
      </w:r>
      <w:r w:rsidRPr="00B55CA0">
        <w:rPr>
          <w:sz w:val="24"/>
          <w:szCs w:val="24"/>
          <w:lang w:val="en-US"/>
        </w:rPr>
        <w:t>that the salience of the unique elements d</w:t>
      </w:r>
      <w:r>
        <w:rPr>
          <w:sz w:val="24"/>
          <w:szCs w:val="24"/>
          <w:lang w:val="en-US"/>
        </w:rPr>
        <w:t>ecreases as exposure lengthens</w:t>
      </w:r>
      <w:r w:rsidRPr="00B55CA0">
        <w:rPr>
          <w:sz w:val="24"/>
          <w:szCs w:val="24"/>
          <w:lang w:val="en-US"/>
        </w:rPr>
        <w:t xml:space="preserve"> </w:t>
      </w:r>
      <w:r w:rsidR="00B55CA0" w:rsidRPr="00B55CA0">
        <w:rPr>
          <w:sz w:val="24"/>
          <w:szCs w:val="24"/>
          <w:lang w:val="en-US"/>
        </w:rPr>
        <w:t>(</w:t>
      </w:r>
      <w:r w:rsidR="005B0B71">
        <w:rPr>
          <w:sz w:val="24"/>
          <w:szCs w:val="24"/>
          <w:lang w:val="en-US"/>
        </w:rPr>
        <w:t xml:space="preserve">e.g., </w:t>
      </w:r>
      <w:proofErr w:type="spellStart"/>
      <w:r w:rsidR="00B55CA0" w:rsidRPr="00B55CA0">
        <w:rPr>
          <w:sz w:val="24"/>
          <w:szCs w:val="24"/>
          <w:lang w:val="en-US"/>
        </w:rPr>
        <w:t>Contel</w:t>
      </w:r>
      <w:proofErr w:type="spellEnd"/>
      <w:r w:rsidR="00B55CA0" w:rsidRPr="00B55CA0">
        <w:rPr>
          <w:sz w:val="24"/>
          <w:szCs w:val="24"/>
          <w:lang w:val="en-US"/>
        </w:rPr>
        <w:t xml:space="preserve">, </w:t>
      </w:r>
      <w:r w:rsidR="005B0B71">
        <w:rPr>
          <w:sz w:val="24"/>
          <w:szCs w:val="24"/>
          <w:lang w:val="en-US"/>
        </w:rPr>
        <w:t>et al., 2011</w:t>
      </w:r>
      <w:r>
        <w:rPr>
          <w:sz w:val="24"/>
          <w:szCs w:val="24"/>
          <w:lang w:val="en-US"/>
        </w:rPr>
        <w:t>).</w:t>
      </w:r>
    </w:p>
    <w:p w14:paraId="44478D0E" w14:textId="000D6198" w:rsidR="00385D63" w:rsidRPr="007E1F62" w:rsidRDefault="009B39CB" w:rsidP="007E1F62">
      <w:pPr>
        <w:tabs>
          <w:tab w:val="center" w:pos="4275"/>
          <w:tab w:val="left" w:pos="7143"/>
        </w:tabs>
        <w:adjustRightInd w:val="0"/>
        <w:spacing w:line="480" w:lineRule="auto"/>
        <w:ind w:firstLine="567"/>
        <w:rPr>
          <w:sz w:val="24"/>
          <w:szCs w:val="24"/>
          <w:highlight w:val="yellow"/>
          <w:lang w:val="en-US"/>
        </w:rPr>
      </w:pPr>
      <w:r>
        <w:rPr>
          <w:sz w:val="24"/>
          <w:szCs w:val="24"/>
          <w:lang w:val="en-US"/>
        </w:rPr>
        <w:t xml:space="preserve">As discussed in the Introduction, there is evidence for different mechanisms that enhance the discriminability of the compound stimuli AX and BX following intermixed pre-exposure, </w:t>
      </w:r>
      <w:r w:rsidRPr="00B923F1">
        <w:rPr>
          <w:sz w:val="24"/>
          <w:szCs w:val="24"/>
          <w:lang w:val="en-US"/>
        </w:rPr>
        <w:t xml:space="preserve">including: differential associability of the unique and common elements; enhanced perceptual effectiveness of the distinctive elements A and B; reduced salience of the common element X; </w:t>
      </w:r>
      <w:r w:rsidR="000340F1">
        <w:rPr>
          <w:sz w:val="24"/>
          <w:szCs w:val="24"/>
          <w:lang w:val="en-US"/>
        </w:rPr>
        <w:t xml:space="preserve">and </w:t>
      </w:r>
      <w:r w:rsidRPr="00B923F1">
        <w:rPr>
          <w:sz w:val="24"/>
          <w:szCs w:val="24"/>
          <w:lang w:val="en-US"/>
        </w:rPr>
        <w:t xml:space="preserve">the establishment of inhibitory associations between the unique elements A and B. </w:t>
      </w:r>
      <w:r w:rsidR="00CE455D" w:rsidRPr="00B923F1">
        <w:rPr>
          <w:sz w:val="24"/>
          <w:szCs w:val="24"/>
          <w:lang w:val="en-US"/>
        </w:rPr>
        <w:t xml:space="preserve">The differential representation hypothesis, a version of the McLaren &amp; Mackintosh model (2000) with the add-on of the differential representation following intermixed (elemental) and blocked (configural-like) pre-exposure, can easily accommodate the establishment of inhibitory links between A and B which can be expected to boost the distinctiveness of the unique elements, facilitating the discrimination between AX and BX. </w:t>
      </w:r>
      <w:r w:rsidRPr="00B923F1">
        <w:rPr>
          <w:sz w:val="24"/>
          <w:szCs w:val="24"/>
          <w:lang w:val="en-US"/>
        </w:rPr>
        <w:t>With short pre-exposure, the transient high salience of the unique elements seems to be a main contributor to the intermixed/blocked effect; with prolonged pre-exposure, the salience of the unique elements is likely to decline, but other mechanisms—including the existence of accurate representations of the un</w:t>
      </w:r>
      <w:r w:rsidR="00D238DA" w:rsidRPr="00B923F1">
        <w:rPr>
          <w:sz w:val="24"/>
          <w:szCs w:val="24"/>
          <w:lang w:val="en-US"/>
        </w:rPr>
        <w:t xml:space="preserve">ique elements inhibitory linked (e.g., McLaren &amp; Mackintosh, 2000), </w:t>
      </w:r>
      <w:r w:rsidRPr="00B923F1">
        <w:rPr>
          <w:sz w:val="24"/>
          <w:szCs w:val="24"/>
          <w:lang w:val="en-US"/>
        </w:rPr>
        <w:t>can still put the animals that received intermixed pre-exposure in an advantageous position to discriminate between AX and BX.</w:t>
      </w:r>
      <w:r w:rsidRPr="00611B2E">
        <w:rPr>
          <w:lang w:val="en-GB"/>
        </w:rPr>
        <w:t xml:space="preserve"> </w:t>
      </w:r>
    </w:p>
    <w:p w14:paraId="40F3A3FC" w14:textId="77777777" w:rsidR="00B923F1" w:rsidRDefault="00A22536" w:rsidP="00B923F1">
      <w:pPr>
        <w:tabs>
          <w:tab w:val="center" w:pos="4275"/>
          <w:tab w:val="left" w:pos="7143"/>
        </w:tabs>
        <w:adjustRightInd w:val="0"/>
        <w:spacing w:line="480" w:lineRule="auto"/>
        <w:ind w:firstLine="567"/>
        <w:rPr>
          <w:color w:val="000000" w:themeColor="text1"/>
          <w:sz w:val="24"/>
          <w:szCs w:val="24"/>
          <w:lang w:val="en-US"/>
        </w:rPr>
      </w:pPr>
      <w:r>
        <w:rPr>
          <w:color w:val="000000" w:themeColor="text1"/>
          <w:sz w:val="24"/>
          <w:szCs w:val="24"/>
          <w:lang w:val="en-US"/>
        </w:rPr>
        <w:t xml:space="preserve">To conclude, independently of the merits of this theoretical approach, it emerges that a key element that contributes to modify the associability and perceptual effectiveness of both the common and the unique elements is the number of pre-exposure trials: the longer the pre-exposure phase the lower the relative salience of both </w:t>
      </w:r>
      <w:r>
        <w:rPr>
          <w:color w:val="000000" w:themeColor="text1"/>
          <w:sz w:val="24"/>
          <w:szCs w:val="24"/>
          <w:lang w:val="en-US"/>
        </w:rPr>
        <w:lastRenderedPageBreak/>
        <w:t xml:space="preserve">X and A in the intermixed condition (by contrast to the blocked condition, where the salience of the elements seems to be </w:t>
      </w:r>
      <w:r w:rsidRPr="00B923F1">
        <w:rPr>
          <w:color w:val="000000" w:themeColor="text1"/>
          <w:sz w:val="24"/>
          <w:szCs w:val="24"/>
          <w:lang w:val="en-US"/>
        </w:rPr>
        <w:t xml:space="preserve">protected). Future research should systematically assess the effects of </w:t>
      </w:r>
      <w:r w:rsidR="00B923F1" w:rsidRPr="00B923F1">
        <w:rPr>
          <w:color w:val="000000" w:themeColor="text1"/>
          <w:sz w:val="24"/>
          <w:szCs w:val="24"/>
          <w:lang w:val="en-US"/>
        </w:rPr>
        <w:t xml:space="preserve">the </w:t>
      </w:r>
      <w:r w:rsidRPr="00B923F1">
        <w:rPr>
          <w:color w:val="000000" w:themeColor="text1"/>
          <w:sz w:val="24"/>
          <w:szCs w:val="24"/>
          <w:lang w:val="en-US"/>
        </w:rPr>
        <w:t>differen</w:t>
      </w:r>
      <w:r w:rsidR="00CE455D" w:rsidRPr="00B923F1">
        <w:rPr>
          <w:color w:val="000000" w:themeColor="text1"/>
          <w:sz w:val="24"/>
          <w:szCs w:val="24"/>
          <w:lang w:val="en-US"/>
        </w:rPr>
        <w:t>t schedules and lengths of pre-</w:t>
      </w:r>
      <w:r w:rsidRPr="00B923F1">
        <w:rPr>
          <w:color w:val="000000" w:themeColor="text1"/>
          <w:sz w:val="24"/>
          <w:szCs w:val="24"/>
          <w:lang w:val="en-US"/>
        </w:rPr>
        <w:t>exposure to unveil the nature of the learning mechanisms responsible for the perceptual learning effect.</w:t>
      </w:r>
    </w:p>
    <w:p w14:paraId="60FCEB98" w14:textId="62C95588" w:rsidR="00744C82" w:rsidRPr="00B923F1" w:rsidRDefault="00B923F1" w:rsidP="00B923F1">
      <w:pPr>
        <w:autoSpaceDE/>
        <w:autoSpaceDN/>
        <w:jc w:val="center"/>
        <w:rPr>
          <w:color w:val="000000" w:themeColor="text1"/>
          <w:sz w:val="24"/>
          <w:szCs w:val="24"/>
          <w:lang w:val="en-US"/>
        </w:rPr>
      </w:pPr>
      <w:r>
        <w:rPr>
          <w:color w:val="000000" w:themeColor="text1"/>
          <w:sz w:val="24"/>
          <w:szCs w:val="24"/>
          <w:lang w:val="en-US"/>
        </w:rPr>
        <w:br w:type="page"/>
      </w:r>
      <w:r w:rsidR="00744C82" w:rsidRPr="00953FFF">
        <w:rPr>
          <w:sz w:val="24"/>
          <w:szCs w:val="24"/>
          <w:lang w:val="en-US"/>
        </w:rPr>
        <w:lastRenderedPageBreak/>
        <w:t>References</w:t>
      </w:r>
    </w:p>
    <w:p w14:paraId="1958DAF9" w14:textId="77777777" w:rsidR="003F673A" w:rsidRPr="003F673A" w:rsidRDefault="003F673A" w:rsidP="003F673A">
      <w:pPr>
        <w:spacing w:line="480" w:lineRule="auto"/>
        <w:ind w:left="567" w:hanging="567"/>
        <w:rPr>
          <w:sz w:val="24"/>
          <w:szCs w:val="24"/>
          <w:lang w:val="en-US"/>
        </w:rPr>
      </w:pPr>
      <w:r w:rsidRPr="003F673A">
        <w:rPr>
          <w:sz w:val="24"/>
          <w:szCs w:val="24"/>
          <w:lang w:val="en-US"/>
        </w:rPr>
        <w:t xml:space="preserve">Artigas, A. A., Chamizo, V. D., &amp; Peris, J. M. (2001). Inhibitory associations between neutral stimuli: A comparative approach. </w:t>
      </w:r>
      <w:r w:rsidRPr="003F673A">
        <w:rPr>
          <w:i/>
          <w:sz w:val="24"/>
          <w:szCs w:val="24"/>
          <w:lang w:val="en-US"/>
        </w:rPr>
        <w:t>Animal Learning and Behavior, 29,</w:t>
      </w:r>
      <w:r w:rsidRPr="003F673A">
        <w:rPr>
          <w:sz w:val="24"/>
          <w:szCs w:val="24"/>
          <w:lang w:val="en-US"/>
        </w:rPr>
        <w:t xml:space="preserve"> 46-65. </w:t>
      </w:r>
    </w:p>
    <w:p w14:paraId="783EB6FE"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Artigas, A. A., &amp; Prados, J. (2014). </w:t>
      </w:r>
      <w:r w:rsidRPr="003F673A">
        <w:rPr>
          <w:sz w:val="24"/>
          <w:szCs w:val="24"/>
          <w:lang w:val="en-GB"/>
        </w:rPr>
        <w:t xml:space="preserve">Perceptual learning transfer: Salience of the common element as a factor contributing to the intermixed/blocked effect. </w:t>
      </w:r>
      <w:r w:rsidRPr="003F673A">
        <w:rPr>
          <w:i/>
          <w:sz w:val="24"/>
          <w:szCs w:val="24"/>
          <w:lang w:val="en-GB"/>
        </w:rPr>
        <w:t>Journal of Experimental Psychology: Animal Learning and Cognition</w:t>
      </w:r>
      <w:r w:rsidRPr="003F673A">
        <w:rPr>
          <w:b/>
          <w:i/>
          <w:sz w:val="24"/>
          <w:szCs w:val="24"/>
          <w:lang w:val="en-GB"/>
        </w:rPr>
        <w:t xml:space="preserve">, </w:t>
      </w:r>
      <w:r w:rsidRPr="003F673A">
        <w:rPr>
          <w:i/>
          <w:sz w:val="24"/>
          <w:szCs w:val="24"/>
          <w:lang w:val="en-GB"/>
        </w:rPr>
        <w:t xml:space="preserve">40, </w:t>
      </w:r>
      <w:r w:rsidRPr="003F673A">
        <w:rPr>
          <w:sz w:val="24"/>
          <w:szCs w:val="24"/>
          <w:lang w:val="en-GB"/>
        </w:rPr>
        <w:t>419-424.</w:t>
      </w:r>
    </w:p>
    <w:p w14:paraId="18FF3991" w14:textId="77777777" w:rsidR="00744C82" w:rsidRPr="003F673A" w:rsidRDefault="00744C82" w:rsidP="00744C82">
      <w:pPr>
        <w:spacing w:line="480" w:lineRule="auto"/>
        <w:ind w:left="567" w:hanging="567"/>
        <w:rPr>
          <w:sz w:val="24"/>
          <w:szCs w:val="24"/>
          <w:lang w:val="en-GB"/>
        </w:rPr>
      </w:pPr>
      <w:r w:rsidRPr="003F673A">
        <w:rPr>
          <w:sz w:val="24"/>
          <w:szCs w:val="24"/>
          <w:lang w:val="en-US"/>
        </w:rPr>
        <w:t xml:space="preserve">Artigas, A. A., &amp; Prados, J. (2017). </w:t>
      </w:r>
      <w:r w:rsidRPr="003F673A">
        <w:rPr>
          <w:sz w:val="24"/>
          <w:szCs w:val="24"/>
          <w:lang w:val="en-GB"/>
        </w:rPr>
        <w:t xml:space="preserve">Perceptual learning transfer in an appetitive Pavlovian task. </w:t>
      </w:r>
      <w:r w:rsidRPr="003F673A">
        <w:rPr>
          <w:i/>
          <w:sz w:val="24"/>
          <w:szCs w:val="24"/>
          <w:lang w:val="en-GB"/>
        </w:rPr>
        <w:t xml:space="preserve">Learning &amp; </w:t>
      </w:r>
      <w:proofErr w:type="spellStart"/>
      <w:r w:rsidRPr="003F673A">
        <w:rPr>
          <w:i/>
          <w:sz w:val="24"/>
          <w:szCs w:val="24"/>
          <w:lang w:val="en-GB"/>
        </w:rPr>
        <w:t>Behavior</w:t>
      </w:r>
      <w:proofErr w:type="spellEnd"/>
      <w:r w:rsidRPr="003F673A">
        <w:rPr>
          <w:sz w:val="24"/>
          <w:szCs w:val="24"/>
          <w:lang w:val="en-GB"/>
        </w:rPr>
        <w:t xml:space="preserve">, </w:t>
      </w:r>
      <w:r w:rsidRPr="003F673A">
        <w:rPr>
          <w:i/>
          <w:sz w:val="24"/>
          <w:szCs w:val="24"/>
          <w:lang w:val="en-GB"/>
        </w:rPr>
        <w:t>45</w:t>
      </w:r>
      <w:r w:rsidRPr="003F673A">
        <w:rPr>
          <w:sz w:val="24"/>
          <w:szCs w:val="24"/>
          <w:lang w:val="en-GB"/>
        </w:rPr>
        <w:t>, 115-123</w:t>
      </w:r>
    </w:p>
    <w:p w14:paraId="6F5A80F5" w14:textId="77777777" w:rsidR="003F673A" w:rsidRPr="003F673A" w:rsidRDefault="003F673A" w:rsidP="003F673A">
      <w:pPr>
        <w:spacing w:line="480" w:lineRule="auto"/>
        <w:ind w:left="567" w:hanging="567"/>
        <w:rPr>
          <w:sz w:val="24"/>
          <w:szCs w:val="24"/>
          <w:lang w:val="en-US"/>
        </w:rPr>
      </w:pPr>
      <w:r w:rsidRPr="003F673A">
        <w:rPr>
          <w:sz w:val="24"/>
          <w:szCs w:val="24"/>
          <w:lang w:val="en-US"/>
        </w:rPr>
        <w:t xml:space="preserve">Artigas, A. A., Sansa, J., Blair, C. A. J., Hall, G., &amp; Prados, J. (2006). Enhanced discrimination between flavor stimuli: Roles of salience modulation and inhibition. </w:t>
      </w:r>
      <w:r w:rsidRPr="003F673A">
        <w:rPr>
          <w:i/>
          <w:iCs/>
          <w:sz w:val="24"/>
          <w:szCs w:val="24"/>
          <w:lang w:val="en-US"/>
        </w:rPr>
        <w:t>Journal of Experimental Psychology: Animal Behavior Processes, 32,</w:t>
      </w:r>
      <w:r w:rsidRPr="003F673A">
        <w:rPr>
          <w:sz w:val="24"/>
          <w:szCs w:val="24"/>
          <w:lang w:val="en-US"/>
        </w:rPr>
        <w:t xml:space="preserve"> 173-177.</w:t>
      </w:r>
    </w:p>
    <w:p w14:paraId="2B3E345A"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Artigas, A. A., Sansa, J., &amp; Prados, J. (2006). The Espinet and the perceptual learning effects in </w:t>
      </w:r>
      <w:proofErr w:type="spellStart"/>
      <w:r w:rsidRPr="003F673A">
        <w:rPr>
          <w:sz w:val="24"/>
          <w:szCs w:val="24"/>
          <w:lang w:val="en-US"/>
        </w:rPr>
        <w:t>flavour</w:t>
      </w:r>
      <w:proofErr w:type="spellEnd"/>
      <w:r w:rsidRPr="003F673A">
        <w:rPr>
          <w:sz w:val="24"/>
          <w:szCs w:val="24"/>
          <w:lang w:val="en-US"/>
        </w:rPr>
        <w:t xml:space="preserve"> aversion conditioning: do they depend on a common inhibitory mechanism? </w:t>
      </w:r>
      <w:r w:rsidRPr="003F673A">
        <w:rPr>
          <w:i/>
          <w:sz w:val="24"/>
          <w:szCs w:val="24"/>
          <w:lang w:val="en-US"/>
        </w:rPr>
        <w:t>Quarterly Journal of Experimental Psychology, 59,</w:t>
      </w:r>
      <w:r w:rsidRPr="003F673A">
        <w:rPr>
          <w:sz w:val="24"/>
          <w:szCs w:val="24"/>
          <w:lang w:val="en-US"/>
        </w:rPr>
        <w:t xml:space="preserve"> 471-481.</w:t>
      </w:r>
    </w:p>
    <w:p w14:paraId="0C6B3BE3"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Atkinson, R. C., &amp; Estes, W. K. (1963). </w:t>
      </w:r>
      <w:r w:rsidRPr="003F673A">
        <w:rPr>
          <w:sz w:val="24"/>
          <w:szCs w:val="24"/>
          <w:lang w:val="en-GB"/>
        </w:rPr>
        <w:t xml:space="preserve">Stimulus sampling theory. In R. D. Luce, R. R. Bush, &amp; E. Galanter (Eds.), </w:t>
      </w:r>
      <w:r w:rsidRPr="003F673A">
        <w:rPr>
          <w:i/>
          <w:iCs/>
          <w:sz w:val="24"/>
          <w:szCs w:val="24"/>
          <w:lang w:val="en-GB"/>
        </w:rPr>
        <w:t xml:space="preserve">Handbook of mathematical psychology </w:t>
      </w:r>
      <w:r w:rsidRPr="003F673A">
        <w:rPr>
          <w:sz w:val="24"/>
          <w:szCs w:val="24"/>
          <w:lang w:val="en-GB"/>
        </w:rPr>
        <w:t>(Vol. 2, pp. 121–168). New York, NY: Wiley.</w:t>
      </w:r>
    </w:p>
    <w:p w14:paraId="08E5291E" w14:textId="77777777" w:rsidR="00744C82" w:rsidRPr="003F673A" w:rsidRDefault="00744C82" w:rsidP="00744C82">
      <w:pPr>
        <w:spacing w:line="480" w:lineRule="auto"/>
        <w:ind w:left="567" w:hanging="567"/>
        <w:rPr>
          <w:i/>
          <w:sz w:val="24"/>
          <w:szCs w:val="24"/>
          <w:lang w:val="en-US"/>
        </w:rPr>
      </w:pPr>
      <w:r w:rsidRPr="003F673A">
        <w:rPr>
          <w:sz w:val="24"/>
          <w:szCs w:val="24"/>
          <w:lang w:val="en-US"/>
        </w:rPr>
        <w:t xml:space="preserve">Bennett, C. H. &amp; Mackintosh, N. J. (1999). Comparison and contrast as a mechanism of perceptual learning? </w:t>
      </w:r>
      <w:r w:rsidRPr="003F673A">
        <w:rPr>
          <w:i/>
          <w:sz w:val="24"/>
          <w:szCs w:val="24"/>
          <w:lang w:val="en-US"/>
        </w:rPr>
        <w:t>The Quarterly Journal of Experimental Psychology, 52B,</w:t>
      </w:r>
      <w:r w:rsidRPr="003F673A">
        <w:rPr>
          <w:sz w:val="24"/>
          <w:szCs w:val="24"/>
          <w:lang w:val="en-US"/>
        </w:rPr>
        <w:t xml:space="preserve"> 253-272.</w:t>
      </w:r>
    </w:p>
    <w:p w14:paraId="5A671979"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Bennett, C. H., </w:t>
      </w:r>
      <w:proofErr w:type="spellStart"/>
      <w:r w:rsidRPr="003F673A">
        <w:rPr>
          <w:sz w:val="24"/>
          <w:szCs w:val="24"/>
          <w:lang w:val="en-US"/>
        </w:rPr>
        <w:t>Scahill</w:t>
      </w:r>
      <w:proofErr w:type="spellEnd"/>
      <w:r w:rsidRPr="003F673A">
        <w:rPr>
          <w:sz w:val="24"/>
          <w:szCs w:val="24"/>
          <w:lang w:val="en-US"/>
        </w:rPr>
        <w:t xml:space="preserve">, V. L., Griffiths, D. P., &amp; Mackintosh, N. J. (1999). The role of inhibitory associations in perceptual learning. </w:t>
      </w:r>
      <w:r w:rsidRPr="003F673A">
        <w:rPr>
          <w:i/>
          <w:sz w:val="24"/>
          <w:szCs w:val="24"/>
          <w:lang w:val="en-US"/>
        </w:rPr>
        <w:t>Animal Learning &amp; Behavior, 27</w:t>
      </w:r>
      <w:r w:rsidRPr="003F673A">
        <w:rPr>
          <w:sz w:val="24"/>
          <w:szCs w:val="24"/>
          <w:lang w:val="en-US"/>
        </w:rPr>
        <w:t>, 333-345.</w:t>
      </w:r>
    </w:p>
    <w:p w14:paraId="4D5B5C30" w14:textId="77777777" w:rsidR="00744C82" w:rsidRPr="003F673A" w:rsidRDefault="00744C82" w:rsidP="00744C82">
      <w:pPr>
        <w:spacing w:line="480" w:lineRule="auto"/>
        <w:ind w:left="567" w:hanging="567"/>
        <w:rPr>
          <w:sz w:val="24"/>
          <w:szCs w:val="24"/>
          <w:lang w:val="en-US"/>
        </w:rPr>
      </w:pPr>
      <w:r w:rsidRPr="003F673A">
        <w:rPr>
          <w:sz w:val="24"/>
          <w:szCs w:val="24"/>
          <w:lang w:val="en-US"/>
        </w:rPr>
        <w:lastRenderedPageBreak/>
        <w:t xml:space="preserve">Blair, C. A. J., &amp; Hall, G. (2003). Perceptual learning in flavor aversion: Evidence for learned changes in stimulus effectiveness. </w:t>
      </w:r>
      <w:r w:rsidRPr="003F673A">
        <w:rPr>
          <w:i/>
          <w:iCs/>
          <w:sz w:val="24"/>
          <w:szCs w:val="24"/>
          <w:lang w:val="en-US"/>
        </w:rPr>
        <w:t>Journal of Experimental Psychology: Animal Behavior Processes, 29</w:t>
      </w:r>
      <w:r w:rsidRPr="003F673A">
        <w:rPr>
          <w:sz w:val="24"/>
          <w:szCs w:val="24"/>
          <w:lang w:val="en-US"/>
        </w:rPr>
        <w:t>, 39-48.</w:t>
      </w:r>
    </w:p>
    <w:p w14:paraId="72666A42" w14:textId="77777777" w:rsidR="00744C82" w:rsidRPr="003F673A" w:rsidRDefault="00744C82" w:rsidP="00744C82">
      <w:pPr>
        <w:spacing w:line="480" w:lineRule="auto"/>
        <w:ind w:left="567" w:hanging="567"/>
        <w:rPr>
          <w:sz w:val="24"/>
          <w:szCs w:val="24"/>
          <w:lang w:val="en-US"/>
        </w:rPr>
      </w:pPr>
      <w:proofErr w:type="spellStart"/>
      <w:r w:rsidRPr="003F673A">
        <w:rPr>
          <w:sz w:val="24"/>
          <w:szCs w:val="24"/>
          <w:lang w:val="en-GB"/>
        </w:rPr>
        <w:t>Contel</w:t>
      </w:r>
      <w:proofErr w:type="spellEnd"/>
      <w:r w:rsidRPr="003F673A">
        <w:rPr>
          <w:sz w:val="24"/>
          <w:szCs w:val="24"/>
          <w:lang w:val="en-GB"/>
        </w:rPr>
        <w:t xml:space="preserve">, D. M., Sansa, J., Artigas, A. A., &amp; Prados, J. (2011). Salience modulation and associative inhibition interaction: Short but not long exposure to similar stimuli protects the salience of the unique elements. </w:t>
      </w:r>
      <w:r w:rsidRPr="003F673A">
        <w:rPr>
          <w:i/>
          <w:sz w:val="24"/>
          <w:szCs w:val="24"/>
          <w:lang w:val="en-GB"/>
        </w:rPr>
        <w:t>Behavioural Processes, 86,</w:t>
      </w:r>
      <w:r w:rsidRPr="003F673A">
        <w:rPr>
          <w:sz w:val="24"/>
          <w:szCs w:val="24"/>
          <w:lang w:val="en-GB"/>
        </w:rPr>
        <w:t xml:space="preserve"> 21-29.</w:t>
      </w:r>
    </w:p>
    <w:p w14:paraId="5E0754F2" w14:textId="77777777" w:rsidR="00744C82" w:rsidRPr="003F673A" w:rsidRDefault="00744C82" w:rsidP="00744C82">
      <w:pPr>
        <w:tabs>
          <w:tab w:val="left" w:pos="640"/>
        </w:tabs>
        <w:spacing w:line="480" w:lineRule="auto"/>
        <w:ind w:left="567" w:hanging="567"/>
        <w:rPr>
          <w:sz w:val="24"/>
          <w:szCs w:val="24"/>
          <w:lang w:val="en-GB"/>
        </w:rPr>
      </w:pPr>
      <w:r w:rsidRPr="003F673A">
        <w:rPr>
          <w:sz w:val="24"/>
          <w:szCs w:val="24"/>
          <w:lang w:val="en-GB"/>
        </w:rPr>
        <w:t xml:space="preserve">Espinet, A., </w:t>
      </w:r>
      <w:proofErr w:type="spellStart"/>
      <w:r w:rsidRPr="003F673A">
        <w:rPr>
          <w:sz w:val="24"/>
          <w:szCs w:val="24"/>
          <w:lang w:val="en-GB"/>
        </w:rPr>
        <w:t>Iraola</w:t>
      </w:r>
      <w:proofErr w:type="spellEnd"/>
      <w:r w:rsidRPr="003F673A">
        <w:rPr>
          <w:sz w:val="24"/>
          <w:szCs w:val="24"/>
          <w:lang w:val="en-GB"/>
        </w:rPr>
        <w:t xml:space="preserve">, J. A., Bennett, C. H., &amp; Mackintosh, N. J. (1995). Inhibitory associations between neutral stimuli in flavour aversion conditioning. </w:t>
      </w:r>
      <w:r w:rsidRPr="003F673A">
        <w:rPr>
          <w:i/>
          <w:iCs/>
          <w:sz w:val="24"/>
          <w:szCs w:val="24"/>
          <w:lang w:val="en-GB"/>
        </w:rPr>
        <w:t xml:space="preserve">Animal Learning &amp; </w:t>
      </w:r>
      <w:proofErr w:type="spellStart"/>
      <w:r w:rsidRPr="003F673A">
        <w:rPr>
          <w:i/>
          <w:iCs/>
          <w:sz w:val="24"/>
          <w:szCs w:val="24"/>
          <w:lang w:val="en-GB"/>
        </w:rPr>
        <w:t>Behavior</w:t>
      </w:r>
      <w:proofErr w:type="spellEnd"/>
      <w:r w:rsidRPr="003F673A">
        <w:rPr>
          <w:sz w:val="24"/>
          <w:szCs w:val="24"/>
          <w:lang w:val="en-GB"/>
        </w:rPr>
        <w:t xml:space="preserve">, </w:t>
      </w:r>
      <w:r w:rsidRPr="003F673A">
        <w:rPr>
          <w:bCs/>
          <w:sz w:val="24"/>
          <w:szCs w:val="24"/>
          <w:lang w:val="en-GB"/>
        </w:rPr>
        <w:t>23</w:t>
      </w:r>
      <w:r w:rsidRPr="003F673A">
        <w:rPr>
          <w:sz w:val="24"/>
          <w:szCs w:val="24"/>
          <w:lang w:val="en-GB"/>
        </w:rPr>
        <w:t>, 361-368.</w:t>
      </w:r>
    </w:p>
    <w:p w14:paraId="5A52A234" w14:textId="77777777" w:rsidR="00744C82" w:rsidRPr="003F673A" w:rsidRDefault="00744C82" w:rsidP="00744C82">
      <w:pPr>
        <w:tabs>
          <w:tab w:val="left" w:pos="640"/>
        </w:tabs>
        <w:spacing w:line="480" w:lineRule="auto"/>
        <w:ind w:left="567" w:hanging="567"/>
        <w:rPr>
          <w:sz w:val="24"/>
          <w:szCs w:val="24"/>
          <w:lang w:val="en-GB"/>
        </w:rPr>
      </w:pPr>
      <w:r w:rsidRPr="003F673A">
        <w:rPr>
          <w:sz w:val="24"/>
          <w:szCs w:val="24"/>
          <w:lang w:val="en-GB"/>
        </w:rPr>
        <w:t xml:space="preserve">Estes, W. K. (1959). The statistical approach to learning theory. In S. Koch (Ed.), </w:t>
      </w:r>
      <w:r w:rsidRPr="003F673A">
        <w:rPr>
          <w:i/>
          <w:sz w:val="24"/>
          <w:szCs w:val="24"/>
          <w:lang w:val="en-GB"/>
        </w:rPr>
        <w:t>Psychology, a study of science</w:t>
      </w:r>
      <w:r w:rsidRPr="003F673A">
        <w:rPr>
          <w:sz w:val="24"/>
          <w:szCs w:val="24"/>
          <w:lang w:val="en-GB"/>
        </w:rPr>
        <w:t xml:space="preserve"> (Vol. 2, pp. 380–491). New York, NY: McGraw-Hill.</w:t>
      </w:r>
    </w:p>
    <w:p w14:paraId="2F257A03" w14:textId="77777777" w:rsidR="00744C82" w:rsidRPr="003F673A" w:rsidRDefault="00744C82" w:rsidP="00744C82">
      <w:pPr>
        <w:tabs>
          <w:tab w:val="left" w:pos="640"/>
        </w:tabs>
        <w:spacing w:line="480" w:lineRule="auto"/>
        <w:ind w:left="567" w:hanging="567"/>
        <w:rPr>
          <w:sz w:val="24"/>
          <w:szCs w:val="24"/>
          <w:lang w:val="en-US"/>
        </w:rPr>
      </w:pPr>
      <w:r w:rsidRPr="003F673A">
        <w:rPr>
          <w:sz w:val="24"/>
          <w:szCs w:val="24"/>
          <w:lang w:val="en-US"/>
        </w:rPr>
        <w:t xml:space="preserve">Gibson, E. J. (1969). </w:t>
      </w:r>
      <w:r w:rsidRPr="003F673A">
        <w:rPr>
          <w:i/>
          <w:iCs/>
          <w:sz w:val="24"/>
          <w:szCs w:val="24"/>
          <w:lang w:val="en-US"/>
        </w:rPr>
        <w:t>Principles of perceptual learning and development.</w:t>
      </w:r>
      <w:r w:rsidRPr="003F673A">
        <w:rPr>
          <w:sz w:val="24"/>
          <w:szCs w:val="24"/>
          <w:lang w:val="en-US"/>
        </w:rPr>
        <w:t xml:space="preserve">  New York: Appleton-Century-Crofts.</w:t>
      </w:r>
    </w:p>
    <w:p w14:paraId="4BC685C1"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pPr>
      <w:r w:rsidRPr="003F673A">
        <w:t xml:space="preserve">Hall, G. (1991). </w:t>
      </w:r>
      <w:r w:rsidRPr="003F673A">
        <w:rPr>
          <w:i/>
        </w:rPr>
        <w:t>Perceptual and Associative Learning</w:t>
      </w:r>
      <w:r w:rsidRPr="003F673A">
        <w:t>. Oxford: Clarendon Press.</w:t>
      </w:r>
    </w:p>
    <w:p w14:paraId="1A060D97"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pPr>
      <w:r w:rsidRPr="003F673A">
        <w:t xml:space="preserve">Hall, G.  (2003). Learned changes in the sensitivity of stimulus representations: Associative and </w:t>
      </w:r>
      <w:proofErr w:type="spellStart"/>
      <w:r w:rsidRPr="003F673A">
        <w:t>nonassociative</w:t>
      </w:r>
      <w:proofErr w:type="spellEnd"/>
      <w:r w:rsidRPr="003F673A">
        <w:t xml:space="preserve"> mechanisms. </w:t>
      </w:r>
      <w:r w:rsidRPr="003F673A">
        <w:rPr>
          <w:i/>
          <w:iCs/>
        </w:rPr>
        <w:t>The Quarterly Journal of Experimental Psychology</w:t>
      </w:r>
      <w:r w:rsidRPr="003F673A">
        <w:t xml:space="preserve">, </w:t>
      </w:r>
      <w:r w:rsidRPr="003F673A">
        <w:rPr>
          <w:i/>
          <w:iCs/>
        </w:rPr>
        <w:t>56B</w:t>
      </w:r>
      <w:r w:rsidRPr="003F673A">
        <w:t>, 43-55.</w:t>
      </w:r>
    </w:p>
    <w:p w14:paraId="7544107A" w14:textId="10A633DF" w:rsidR="00744C82" w:rsidRPr="003F673A" w:rsidRDefault="00011D46"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left="567" w:hanging="567"/>
        <w:rPr>
          <w:i/>
          <w:iCs/>
        </w:rPr>
      </w:pPr>
      <w:r>
        <w:t xml:space="preserve">Hall, G.  (2020a). </w:t>
      </w:r>
      <w:proofErr w:type="gramStart"/>
      <w:r w:rsidR="00744C82" w:rsidRPr="003F673A">
        <w:t>The</w:t>
      </w:r>
      <w:proofErr w:type="gramEnd"/>
      <w:r w:rsidR="00744C82" w:rsidRPr="003F673A">
        <w:t xml:space="preserve"> role of elements common to the </w:t>
      </w:r>
      <w:proofErr w:type="spellStart"/>
      <w:r w:rsidR="00744C82" w:rsidRPr="003F673A">
        <w:t>preexposed</w:t>
      </w:r>
      <w:proofErr w:type="spellEnd"/>
      <w:r w:rsidR="00744C82" w:rsidRPr="003F673A">
        <w:t xml:space="preserve"> stimuli in the perceptual learning Effect</w:t>
      </w:r>
      <w:r w:rsidR="00744C82" w:rsidRPr="003F673A">
        <w:rPr>
          <w:i/>
          <w:iCs/>
        </w:rPr>
        <w:t xml:space="preserve">. </w:t>
      </w:r>
      <w:r w:rsidR="00744C82" w:rsidRPr="00011D46">
        <w:rPr>
          <w:rFonts w:cstheme="minorHAnsi"/>
          <w:shd w:val="clear" w:color="auto" w:fill="FFFFFF"/>
        </w:rPr>
        <w:t>Retrieved from</w:t>
      </w:r>
      <w:r w:rsidR="00744C82" w:rsidRPr="003F673A">
        <w:rPr>
          <w:rFonts w:cstheme="minorHAnsi"/>
          <w:shd w:val="clear" w:color="auto" w:fill="FFFFFF"/>
        </w:rPr>
        <w:t xml:space="preserve"> </w:t>
      </w:r>
      <w:r w:rsidR="00744C82" w:rsidRPr="003F673A">
        <w:rPr>
          <w:rStyle w:val="Hyperlink"/>
          <w:rFonts w:eastAsiaTheme="majorEastAsia" w:cstheme="minorHAnsi"/>
          <w:color w:val="auto"/>
          <w:bdr w:val="none" w:sz="0" w:space="0" w:color="auto" w:frame="1"/>
          <w:shd w:val="clear" w:color="auto" w:fill="FFFFFF"/>
        </w:rPr>
        <w:t>https://www-users.york.ac.uk/~gh1/publications</w:t>
      </w:r>
    </w:p>
    <w:p w14:paraId="26E48C30" w14:textId="0E906257" w:rsidR="00B60880" w:rsidRDefault="00B60880"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rPr>
          <w:lang w:val="en-GB"/>
        </w:rPr>
      </w:pPr>
      <w:r>
        <w:rPr>
          <w:lang w:val="en-GB"/>
        </w:rPr>
        <w:t>Hall, G. (20</w:t>
      </w:r>
      <w:r w:rsidR="00D238DA">
        <w:rPr>
          <w:lang w:val="en-GB"/>
        </w:rPr>
        <w:t>2</w:t>
      </w:r>
      <w:r>
        <w:rPr>
          <w:lang w:val="en-GB"/>
        </w:rPr>
        <w:t xml:space="preserve">0b). Some unresolved issues in perceptual learning. </w:t>
      </w:r>
      <w:r w:rsidRPr="00B60880">
        <w:rPr>
          <w:i/>
          <w:lang w:val="en-GB"/>
        </w:rPr>
        <w:t xml:space="preserve">Journal of Experimental Psychology: Animal Learning and Cognition, in this </w:t>
      </w:r>
      <w:r>
        <w:rPr>
          <w:i/>
          <w:lang w:val="en-GB"/>
        </w:rPr>
        <w:t xml:space="preserve">special </w:t>
      </w:r>
      <w:r w:rsidRPr="00B60880">
        <w:rPr>
          <w:i/>
          <w:lang w:val="en-GB"/>
        </w:rPr>
        <w:t>issue</w:t>
      </w:r>
      <w:r>
        <w:rPr>
          <w:lang w:val="en-GB"/>
        </w:rPr>
        <w:t>.</w:t>
      </w:r>
    </w:p>
    <w:p w14:paraId="48BD83E8" w14:textId="28849883" w:rsidR="00B60880" w:rsidRPr="00B60880" w:rsidRDefault="00B60880" w:rsidP="00B60880">
      <w:pPr>
        <w:pStyle w:val="p"/>
        <w:tabs>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left="567" w:hanging="567"/>
        <w:rPr>
          <w:lang w:val="en-GB"/>
        </w:rPr>
      </w:pPr>
      <w:r w:rsidRPr="00B60880">
        <w:rPr>
          <w:lang w:val="es-ES_tradnl"/>
        </w:rPr>
        <w:lastRenderedPageBreak/>
        <w:t xml:space="preserve">Hall, G., Prados, J., &amp; Sansa, J. </w:t>
      </w:r>
      <w:r>
        <w:rPr>
          <w:lang w:val="es-ES_tradnl"/>
        </w:rPr>
        <w:t xml:space="preserve">(2005). </w:t>
      </w:r>
      <w:r>
        <w:rPr>
          <w:lang w:val="en-GB"/>
        </w:rPr>
        <w:t>Modulation of the effective salience of a stimulus by d</w:t>
      </w:r>
      <w:r w:rsidRPr="00B60880">
        <w:rPr>
          <w:lang w:val="en-GB"/>
        </w:rPr>
        <w:t>irect and</w:t>
      </w:r>
      <w:r>
        <w:rPr>
          <w:lang w:val="en-GB"/>
        </w:rPr>
        <w:t xml:space="preserve"> associative activation of its r</w:t>
      </w:r>
      <w:r w:rsidRPr="00B60880">
        <w:rPr>
          <w:lang w:val="en-GB"/>
        </w:rPr>
        <w:t>epresentation</w:t>
      </w:r>
      <w:r>
        <w:rPr>
          <w:lang w:val="en-GB"/>
        </w:rPr>
        <w:t xml:space="preserve">. </w:t>
      </w:r>
      <w:r w:rsidRPr="00B60880">
        <w:rPr>
          <w:i/>
          <w:lang w:val="en-GB"/>
        </w:rPr>
        <w:t xml:space="preserve">Journal of Experimental Psychology: Animal </w:t>
      </w:r>
      <w:proofErr w:type="spellStart"/>
      <w:r w:rsidRPr="00B60880">
        <w:rPr>
          <w:i/>
          <w:lang w:val="en-GB"/>
        </w:rPr>
        <w:t>Behavior</w:t>
      </w:r>
      <w:proofErr w:type="spellEnd"/>
      <w:r w:rsidRPr="00B60880">
        <w:rPr>
          <w:i/>
          <w:lang w:val="en-GB"/>
        </w:rPr>
        <w:t xml:space="preserve"> Processes, 33</w:t>
      </w:r>
      <w:r>
        <w:rPr>
          <w:lang w:val="en-GB"/>
        </w:rPr>
        <w:t>, 267-276.</w:t>
      </w:r>
    </w:p>
    <w:p w14:paraId="4E800EC7" w14:textId="042BFF0F"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rPr>
          <w:lang w:val="en-GB"/>
        </w:rPr>
      </w:pPr>
      <w:r w:rsidRPr="003F673A">
        <w:rPr>
          <w:lang w:val="en-GB"/>
        </w:rPr>
        <w:t xml:space="preserve">Honey, R. C., &amp; Bateson, P. (1996). Stimulus comparison and perceptual learning: Further evidence and evaluation from an imprinting procedure. </w:t>
      </w:r>
      <w:r w:rsidRPr="003F673A">
        <w:rPr>
          <w:i/>
          <w:lang w:val="en-GB"/>
        </w:rPr>
        <w:t>The</w:t>
      </w:r>
      <w:r w:rsidRPr="003F673A">
        <w:rPr>
          <w:lang w:val="en-GB"/>
        </w:rPr>
        <w:t xml:space="preserve"> </w:t>
      </w:r>
      <w:r w:rsidRPr="003F673A">
        <w:rPr>
          <w:i/>
          <w:lang w:val="en-GB"/>
        </w:rPr>
        <w:t>Quarterly Journal of Experimental Psychology 49B, 49</w:t>
      </w:r>
      <w:r w:rsidRPr="003F673A">
        <w:rPr>
          <w:lang w:val="en-GB"/>
        </w:rPr>
        <w:t>, 259–269.</w:t>
      </w:r>
    </w:p>
    <w:p w14:paraId="21C3B998"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567" w:hanging="567"/>
        <w:rPr>
          <w:lang w:val="en-GB"/>
        </w:rPr>
      </w:pPr>
      <w:r w:rsidRPr="003F673A">
        <w:rPr>
          <w:lang w:val="en-GB"/>
        </w:rPr>
        <w:t xml:space="preserve">Honey, R. C., Bateson, P., &amp; Horn, G. (1994). The role of stimulus comparison in perceptual learning: An investigation with the domestic chick. </w:t>
      </w:r>
      <w:r w:rsidRPr="003F673A">
        <w:rPr>
          <w:i/>
          <w:lang w:val="en-GB"/>
        </w:rPr>
        <w:t>The Quarterly Journal of Experimental Psychology, 47B</w:t>
      </w:r>
      <w:r w:rsidRPr="003F673A">
        <w:rPr>
          <w:lang w:val="en-GB"/>
        </w:rPr>
        <w:t>, 83–103.</w:t>
      </w:r>
    </w:p>
    <w:p w14:paraId="6CB3B2C4"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567" w:hanging="567"/>
      </w:pPr>
      <w:proofErr w:type="spellStart"/>
      <w:r w:rsidRPr="003F673A">
        <w:rPr>
          <w:lang w:val="en-GB"/>
        </w:rPr>
        <w:t>Lubow</w:t>
      </w:r>
      <w:proofErr w:type="spellEnd"/>
      <w:r w:rsidRPr="003F673A">
        <w:rPr>
          <w:lang w:val="en-GB"/>
        </w:rPr>
        <w:t xml:space="preserve">, R. E. (2010). A short history of latent inhibition research. In R. E. </w:t>
      </w:r>
      <w:proofErr w:type="spellStart"/>
      <w:r w:rsidRPr="003F673A">
        <w:rPr>
          <w:lang w:val="en-GB"/>
        </w:rPr>
        <w:t>Lubow</w:t>
      </w:r>
      <w:proofErr w:type="spellEnd"/>
      <w:r w:rsidRPr="003F673A">
        <w:rPr>
          <w:lang w:val="en-GB"/>
        </w:rPr>
        <w:t xml:space="preserve"> and I. Weiner (Eds.), </w:t>
      </w:r>
      <w:r w:rsidRPr="003F673A">
        <w:rPr>
          <w:i/>
          <w:lang w:val="en-GB"/>
        </w:rPr>
        <w:t>Latent Inhibition: Cognition, Neuroscience and Applications to Schizophrenia</w:t>
      </w:r>
      <w:r w:rsidRPr="003F673A">
        <w:rPr>
          <w:lang w:val="en-GB"/>
        </w:rPr>
        <w:t>.  Cambridge: Cambridge University Press.</w:t>
      </w:r>
    </w:p>
    <w:p w14:paraId="44DDEC09"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rPr>
          <w:lang w:val="en-GB"/>
        </w:rPr>
      </w:pPr>
      <w:r w:rsidRPr="003F673A">
        <w:rPr>
          <w:lang w:val="en-GB"/>
        </w:rPr>
        <w:t xml:space="preserve">Mackintosh, N. J. (1975). A theory of attention: Variations in the associability of stimuli with reinforcement. </w:t>
      </w:r>
      <w:r w:rsidRPr="003F673A">
        <w:rPr>
          <w:i/>
          <w:iCs/>
          <w:lang w:val="en-GB"/>
        </w:rPr>
        <w:t xml:space="preserve">Psychological Review, 82, </w:t>
      </w:r>
      <w:r w:rsidRPr="003F673A">
        <w:rPr>
          <w:lang w:val="en-GB"/>
        </w:rPr>
        <w:t>276–298.</w:t>
      </w:r>
    </w:p>
    <w:p w14:paraId="2800450A"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pPr>
      <w:r w:rsidRPr="003F673A">
        <w:t>McLaren, I. P. L., Forrest, C.L. &amp; McLaren R. P. (2012). Elemental representation and configural mappings: Combining elemental and configural theories of associative learning. Learning &amp; Behavior, 40, 320–333.</w:t>
      </w:r>
    </w:p>
    <w:p w14:paraId="2D655C29"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left="567" w:hanging="567"/>
        <w:rPr>
          <w:lang w:val="en-GB"/>
        </w:rPr>
      </w:pPr>
      <w:r w:rsidRPr="003F673A">
        <w:rPr>
          <w:lang w:val="en-GB"/>
        </w:rPr>
        <w:t xml:space="preserve">McLaren, I. P. L., Kaye, H., &amp; Mackintosh, N. J. (1989). An associative theory of the representation of stimuli: Applications to perceptual learning and latent inhibition. In R. G. M. Morris (Ed.), </w:t>
      </w:r>
      <w:r w:rsidRPr="003F673A">
        <w:rPr>
          <w:i/>
          <w:lang w:val="en-GB"/>
        </w:rPr>
        <w:t>Parallel distributed processing: Implications for psychology and neurobiology</w:t>
      </w:r>
      <w:r w:rsidRPr="003F673A">
        <w:rPr>
          <w:lang w:val="en-GB"/>
        </w:rPr>
        <w:t xml:space="preserve"> (pp. 102-130). Oxford: Oxford University Press, Clarendon Press.</w:t>
      </w:r>
    </w:p>
    <w:p w14:paraId="248D6E55" w14:textId="77777777" w:rsidR="00744C82" w:rsidRPr="003F673A" w:rsidRDefault="00744C82" w:rsidP="00744C82">
      <w:pPr>
        <w:pStyle w:val="p"/>
        <w:tabs>
          <w:tab w:val="left" w:pos="1440"/>
          <w:tab w:val="left" w:pos="2160"/>
          <w:tab w:val="left" w:pos="2880"/>
          <w:tab w:val="left" w:pos="3600"/>
          <w:tab w:val="left" w:pos="4320"/>
          <w:tab w:val="left" w:pos="5040"/>
          <w:tab w:val="left" w:pos="5760"/>
          <w:tab w:val="left" w:pos="6480"/>
          <w:tab w:val="left" w:pos="7200"/>
          <w:tab w:val="left" w:pos="7920"/>
        </w:tabs>
        <w:spacing w:before="0" w:after="0" w:line="480" w:lineRule="auto"/>
        <w:ind w:left="567" w:hanging="567"/>
      </w:pPr>
      <w:r w:rsidRPr="003F673A">
        <w:lastRenderedPageBreak/>
        <w:t xml:space="preserve">McLaren, I. P. L., &amp; Mackintosh, N. J. (2000). An elemental model of associative learning: I. Latent inhibition and perceptual learning. </w:t>
      </w:r>
      <w:r w:rsidRPr="003F673A">
        <w:rPr>
          <w:i/>
          <w:iCs/>
        </w:rPr>
        <w:t>Animal Learning &amp; Behavior, 28</w:t>
      </w:r>
      <w:r w:rsidRPr="003F673A">
        <w:t>, 211-246.</w:t>
      </w:r>
    </w:p>
    <w:p w14:paraId="6C22013C" w14:textId="792790BD" w:rsidR="00744C82" w:rsidRPr="003F673A" w:rsidRDefault="00744C82" w:rsidP="00744C82">
      <w:pPr>
        <w:spacing w:line="480" w:lineRule="auto"/>
        <w:ind w:left="567" w:hanging="567"/>
        <w:rPr>
          <w:sz w:val="24"/>
          <w:szCs w:val="24"/>
          <w:lang w:val="en-GB"/>
        </w:rPr>
      </w:pPr>
      <w:bookmarkStart w:id="3" w:name="Result_1"/>
      <w:r w:rsidRPr="003F673A">
        <w:rPr>
          <w:bCs/>
          <w:sz w:val="24"/>
          <w:szCs w:val="24"/>
          <w:lang w:val="en-GB"/>
        </w:rPr>
        <w:t>Mitchell</w:t>
      </w:r>
      <w:r w:rsidRPr="003F673A">
        <w:rPr>
          <w:sz w:val="24"/>
          <w:szCs w:val="24"/>
          <w:lang w:val="en-GB"/>
        </w:rPr>
        <w:t xml:space="preserve">, C., &amp; </w:t>
      </w:r>
      <w:r w:rsidRPr="003F673A">
        <w:rPr>
          <w:bCs/>
          <w:sz w:val="24"/>
          <w:szCs w:val="24"/>
          <w:lang w:val="en-GB"/>
        </w:rPr>
        <w:t>Hall</w:t>
      </w:r>
      <w:r w:rsidRPr="003F673A">
        <w:rPr>
          <w:sz w:val="24"/>
          <w:szCs w:val="24"/>
          <w:lang w:val="en-GB"/>
        </w:rPr>
        <w:t xml:space="preserve">, G. (2014). </w:t>
      </w:r>
      <w:r w:rsidRPr="003F673A">
        <w:rPr>
          <w:bCs/>
          <w:sz w:val="24"/>
          <w:szCs w:val="24"/>
          <w:lang w:val="en-GB"/>
        </w:rPr>
        <w:t>Can theories of animal discrimination explain perceptual learning in humans?</w:t>
      </w:r>
      <w:bookmarkEnd w:id="3"/>
      <w:r w:rsidRPr="003F673A">
        <w:rPr>
          <w:sz w:val="24"/>
          <w:szCs w:val="24"/>
          <w:lang w:val="en-GB"/>
        </w:rPr>
        <w:t xml:space="preserve"> </w:t>
      </w:r>
      <w:r w:rsidRPr="003F673A">
        <w:rPr>
          <w:i/>
          <w:sz w:val="24"/>
          <w:szCs w:val="24"/>
          <w:lang w:val="en-GB"/>
        </w:rPr>
        <w:t>Psychological Bulletin, 140</w:t>
      </w:r>
      <w:r w:rsidRPr="003F673A">
        <w:rPr>
          <w:sz w:val="24"/>
          <w:szCs w:val="24"/>
          <w:lang w:val="en-GB"/>
        </w:rPr>
        <w:t>, 283-307.</w:t>
      </w:r>
    </w:p>
    <w:p w14:paraId="6F963B01" w14:textId="77777777" w:rsidR="00744C82" w:rsidRPr="003F673A" w:rsidRDefault="00744C82" w:rsidP="00744C82">
      <w:pPr>
        <w:spacing w:line="480" w:lineRule="auto"/>
        <w:ind w:left="567" w:hanging="567"/>
        <w:rPr>
          <w:sz w:val="24"/>
          <w:szCs w:val="24"/>
          <w:lang w:val="en-GB"/>
        </w:rPr>
      </w:pPr>
      <w:r w:rsidRPr="003F673A">
        <w:rPr>
          <w:sz w:val="24"/>
          <w:szCs w:val="24"/>
          <w:lang w:val="en-GB"/>
        </w:rPr>
        <w:t xml:space="preserve">Mitchell, C. J., Nash, S., &amp; Hall, G. (2008). The intermixed-blocked effect in human perceptual learning is not the consequence of trial spacing. </w:t>
      </w:r>
      <w:r w:rsidRPr="003F673A">
        <w:rPr>
          <w:i/>
          <w:sz w:val="24"/>
          <w:szCs w:val="24"/>
          <w:lang w:val="en-GB"/>
        </w:rPr>
        <w:t>Journal of Experimental Psychology: Learning, Memory, and Cognition, 34</w:t>
      </w:r>
      <w:r w:rsidRPr="003F673A">
        <w:rPr>
          <w:sz w:val="24"/>
          <w:szCs w:val="24"/>
          <w:lang w:val="en-GB"/>
        </w:rPr>
        <w:t>, 237–242.</w:t>
      </w:r>
    </w:p>
    <w:p w14:paraId="716277E4"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Mondragon, E. &amp; Hall, G. (2002). Analysis of the perceptual learning effect in flavor aversion learning: Evidence for stimulus differentiation. </w:t>
      </w:r>
      <w:r w:rsidRPr="003F673A">
        <w:rPr>
          <w:i/>
          <w:sz w:val="24"/>
          <w:szCs w:val="24"/>
          <w:lang w:val="en-US"/>
        </w:rPr>
        <w:t>The Quarterly Journal of Experimental Psychology, 55B</w:t>
      </w:r>
      <w:r w:rsidRPr="003F673A">
        <w:rPr>
          <w:sz w:val="24"/>
          <w:szCs w:val="24"/>
          <w:lang w:val="en-US"/>
        </w:rPr>
        <w:t>, 153-169.</w:t>
      </w:r>
    </w:p>
    <w:p w14:paraId="699E60A2" w14:textId="77777777" w:rsidR="00744C82" w:rsidRPr="003F673A" w:rsidRDefault="00744C82" w:rsidP="00744C82">
      <w:pPr>
        <w:spacing w:line="480" w:lineRule="auto"/>
        <w:ind w:left="567" w:hanging="567"/>
        <w:rPr>
          <w:sz w:val="24"/>
          <w:szCs w:val="24"/>
          <w:lang w:val="en-US"/>
        </w:rPr>
      </w:pPr>
      <w:r w:rsidRPr="003F673A">
        <w:rPr>
          <w:sz w:val="24"/>
          <w:szCs w:val="24"/>
          <w:lang w:val="en-US"/>
        </w:rPr>
        <w:t xml:space="preserve">Mondragon, E. &amp; Murphy, R. A. (2010). Perceptual learning in an appetitive Pavlovian procedure: Analysis of the effectiveness of the common element. </w:t>
      </w:r>
      <w:proofErr w:type="spellStart"/>
      <w:r w:rsidRPr="003F673A">
        <w:rPr>
          <w:i/>
          <w:sz w:val="24"/>
          <w:szCs w:val="24"/>
          <w:lang w:val="en-US"/>
        </w:rPr>
        <w:t>Behavioural</w:t>
      </w:r>
      <w:proofErr w:type="spellEnd"/>
      <w:r w:rsidRPr="003F673A">
        <w:rPr>
          <w:i/>
          <w:sz w:val="24"/>
          <w:szCs w:val="24"/>
          <w:lang w:val="en-US"/>
        </w:rPr>
        <w:t xml:space="preserve"> Processes, 83</w:t>
      </w:r>
      <w:r w:rsidRPr="003F673A">
        <w:rPr>
          <w:sz w:val="24"/>
          <w:szCs w:val="24"/>
          <w:lang w:val="en-US"/>
        </w:rPr>
        <w:t>, 247-256.</w:t>
      </w:r>
    </w:p>
    <w:p w14:paraId="021CF605" w14:textId="77777777" w:rsidR="00B60880" w:rsidRDefault="00744C82" w:rsidP="00B60880">
      <w:pPr>
        <w:spacing w:line="480" w:lineRule="auto"/>
        <w:ind w:left="567" w:hanging="567"/>
        <w:rPr>
          <w:sz w:val="24"/>
          <w:szCs w:val="24"/>
          <w:lang w:val="en-US"/>
        </w:rPr>
      </w:pPr>
      <w:r w:rsidRPr="003F673A">
        <w:rPr>
          <w:sz w:val="24"/>
          <w:szCs w:val="24"/>
          <w:lang w:val="en-US"/>
        </w:rPr>
        <w:t xml:space="preserve">Mundy, M. E., Dwyer, D. M., &amp; Honey, R. C. (2006). Inhibitory associations contribute to perceptual learning in humans. </w:t>
      </w:r>
      <w:r w:rsidRPr="003F673A">
        <w:rPr>
          <w:i/>
          <w:sz w:val="24"/>
          <w:szCs w:val="24"/>
          <w:lang w:val="en-US"/>
        </w:rPr>
        <w:t>Journal of Experimental Psychology: Animal Behavior Processes, 32</w:t>
      </w:r>
      <w:r w:rsidRPr="003F673A">
        <w:rPr>
          <w:sz w:val="24"/>
          <w:szCs w:val="24"/>
          <w:lang w:val="en-US"/>
        </w:rPr>
        <w:t>, 178–184.</w:t>
      </w:r>
    </w:p>
    <w:p w14:paraId="625BB270" w14:textId="0854BC77" w:rsidR="00B60880" w:rsidRPr="003F673A" w:rsidRDefault="00B60880" w:rsidP="00D413FA">
      <w:pPr>
        <w:spacing w:line="480" w:lineRule="auto"/>
        <w:ind w:left="567" w:hanging="567"/>
        <w:rPr>
          <w:sz w:val="24"/>
          <w:szCs w:val="24"/>
          <w:lang w:val="en-US"/>
        </w:rPr>
      </w:pPr>
      <w:r w:rsidRPr="00B60880">
        <w:rPr>
          <w:sz w:val="24"/>
          <w:szCs w:val="24"/>
          <w:lang w:val="en-GB"/>
        </w:rPr>
        <w:t>Nelson, J. B. (2016). A robust function to return the cumulative density of non-central F</w:t>
      </w:r>
      <w:r w:rsidR="00D413FA">
        <w:rPr>
          <w:sz w:val="24"/>
          <w:szCs w:val="24"/>
          <w:lang w:val="en-US"/>
        </w:rPr>
        <w:t xml:space="preserve"> </w:t>
      </w:r>
      <w:r w:rsidRPr="00B60880">
        <w:rPr>
          <w:sz w:val="24"/>
          <w:szCs w:val="24"/>
          <w:lang w:val="en-GB"/>
        </w:rPr>
        <w:t xml:space="preserve">distributions in Microsoft Office Excel. </w:t>
      </w:r>
      <w:proofErr w:type="spellStart"/>
      <w:r w:rsidRPr="00B60880">
        <w:rPr>
          <w:i/>
          <w:iCs/>
          <w:sz w:val="24"/>
          <w:szCs w:val="24"/>
          <w:lang w:val="en-GB"/>
        </w:rPr>
        <w:t>Psicologica</w:t>
      </w:r>
      <w:proofErr w:type="spellEnd"/>
      <w:r w:rsidRPr="00B60880">
        <w:rPr>
          <w:i/>
          <w:iCs/>
          <w:sz w:val="24"/>
          <w:szCs w:val="24"/>
          <w:lang w:val="en-GB"/>
        </w:rPr>
        <w:t>, 37</w:t>
      </w:r>
      <w:r w:rsidRPr="00B60880">
        <w:rPr>
          <w:sz w:val="24"/>
          <w:szCs w:val="24"/>
          <w:lang w:val="en-GB"/>
        </w:rPr>
        <w:t>, 61-83.</w:t>
      </w:r>
    </w:p>
    <w:p w14:paraId="5FCC042B" w14:textId="77777777" w:rsidR="00744C82" w:rsidRPr="003F673A" w:rsidRDefault="00744C82" w:rsidP="00744C82">
      <w:pPr>
        <w:spacing w:line="480" w:lineRule="auto"/>
        <w:ind w:left="567" w:hanging="567"/>
        <w:rPr>
          <w:sz w:val="24"/>
          <w:szCs w:val="24"/>
          <w:lang w:val="en-GB"/>
        </w:rPr>
      </w:pPr>
      <w:r w:rsidRPr="003F673A">
        <w:rPr>
          <w:sz w:val="24"/>
          <w:szCs w:val="24"/>
          <w:lang w:val="en-GB"/>
        </w:rPr>
        <w:t xml:space="preserve">Pearce, J. M., &amp; Hall, G. (1980). A model for Pavlovian conditioning: Variations in the effectiveness of conditioned but not of unconditioned stimuli. </w:t>
      </w:r>
      <w:r w:rsidRPr="003F673A">
        <w:rPr>
          <w:i/>
          <w:iCs/>
          <w:sz w:val="24"/>
          <w:szCs w:val="24"/>
          <w:lang w:val="en-GB"/>
        </w:rPr>
        <w:t xml:space="preserve">Psychological Review, 87, </w:t>
      </w:r>
      <w:r w:rsidRPr="003F673A">
        <w:rPr>
          <w:sz w:val="24"/>
          <w:szCs w:val="24"/>
          <w:lang w:val="en-GB"/>
        </w:rPr>
        <w:t>532-552.</w:t>
      </w:r>
    </w:p>
    <w:p w14:paraId="20A520B2" w14:textId="53AD8507" w:rsidR="00744C82" w:rsidRPr="003F673A" w:rsidRDefault="00744C82" w:rsidP="00744C82">
      <w:pPr>
        <w:spacing w:line="480" w:lineRule="auto"/>
        <w:ind w:left="567" w:hanging="567"/>
        <w:rPr>
          <w:sz w:val="24"/>
          <w:szCs w:val="24"/>
          <w:lang w:val="en-GB"/>
        </w:rPr>
      </w:pPr>
      <w:r w:rsidRPr="003F673A">
        <w:rPr>
          <w:sz w:val="24"/>
          <w:szCs w:val="24"/>
          <w:lang w:val="en-GB"/>
        </w:rPr>
        <w:t xml:space="preserve">Polack, C. W., &amp; Miller, R. R. (2018). Inhibition and mediated activation between conditioned stimuli: Parallels between perceptual learning and associative </w:t>
      </w:r>
      <w:r w:rsidRPr="003F673A">
        <w:rPr>
          <w:sz w:val="24"/>
          <w:szCs w:val="24"/>
          <w:lang w:val="en-GB"/>
        </w:rPr>
        <w:lastRenderedPageBreak/>
        <w:t xml:space="preserve">conditioning. </w:t>
      </w:r>
      <w:r w:rsidRPr="003F673A">
        <w:rPr>
          <w:i/>
          <w:iCs/>
          <w:sz w:val="24"/>
          <w:szCs w:val="24"/>
          <w:lang w:val="en-GB"/>
        </w:rPr>
        <w:t xml:space="preserve">Journal of Experimental Psychology: Animal Learning and Cognition, 44, </w:t>
      </w:r>
      <w:r w:rsidRPr="003F673A">
        <w:rPr>
          <w:sz w:val="24"/>
          <w:szCs w:val="24"/>
          <w:lang w:val="en-GB"/>
        </w:rPr>
        <w:t>194–208.</w:t>
      </w:r>
    </w:p>
    <w:p w14:paraId="0FDBD3FB" w14:textId="77777777" w:rsidR="003F673A" w:rsidRPr="003F673A" w:rsidRDefault="00744C82" w:rsidP="003F673A">
      <w:pPr>
        <w:spacing w:line="480" w:lineRule="auto"/>
        <w:ind w:left="567" w:hanging="567"/>
        <w:rPr>
          <w:sz w:val="24"/>
          <w:szCs w:val="24"/>
          <w:lang w:val="en-GB"/>
        </w:rPr>
      </w:pPr>
      <w:r w:rsidRPr="003F673A">
        <w:rPr>
          <w:sz w:val="24"/>
          <w:szCs w:val="24"/>
          <w:lang w:val="en-GB"/>
        </w:rPr>
        <w:t xml:space="preserve">Prados, J. (2000). Effects of varying the amount of preexposure to spatial cues on a subsequent navigation task. </w:t>
      </w:r>
      <w:r w:rsidRPr="003F673A">
        <w:rPr>
          <w:i/>
          <w:sz w:val="24"/>
          <w:szCs w:val="24"/>
          <w:lang w:val="en-GB"/>
        </w:rPr>
        <w:t>Quarterly Journal of Experimental Psychology, 53B</w:t>
      </w:r>
      <w:r w:rsidRPr="003F673A">
        <w:rPr>
          <w:sz w:val="24"/>
          <w:szCs w:val="24"/>
          <w:lang w:val="en-GB"/>
        </w:rPr>
        <w:t>, 139-148.</w:t>
      </w:r>
    </w:p>
    <w:p w14:paraId="44D35CEE" w14:textId="7F5FFB67" w:rsidR="00744C82" w:rsidRPr="003F673A" w:rsidRDefault="00744C82" w:rsidP="003F673A">
      <w:pPr>
        <w:spacing w:line="480" w:lineRule="auto"/>
        <w:ind w:left="567" w:hanging="567"/>
        <w:rPr>
          <w:sz w:val="24"/>
          <w:szCs w:val="24"/>
          <w:lang w:val="en-GB"/>
        </w:rPr>
      </w:pPr>
      <w:r w:rsidRPr="003F673A">
        <w:rPr>
          <w:sz w:val="24"/>
          <w:szCs w:val="24"/>
          <w:lang w:val="en-GB"/>
        </w:rPr>
        <w:t xml:space="preserve">Prados, J., Hall, G., &amp; Leonard, S. (2004). Dissociation between the Espinet and perceptual learning effects in flavour aversion conditioning. </w:t>
      </w:r>
      <w:r w:rsidRPr="003F673A">
        <w:rPr>
          <w:i/>
          <w:sz w:val="24"/>
          <w:szCs w:val="24"/>
          <w:lang w:val="en-GB"/>
        </w:rPr>
        <w:t xml:space="preserve">Behavioural Processes, 65, </w:t>
      </w:r>
      <w:r w:rsidRPr="003F673A">
        <w:rPr>
          <w:sz w:val="24"/>
          <w:szCs w:val="24"/>
          <w:lang w:val="en-GB"/>
        </w:rPr>
        <w:t>221-229.</w:t>
      </w:r>
    </w:p>
    <w:p w14:paraId="686EC8CC" w14:textId="77777777" w:rsidR="00744C82" w:rsidRPr="003F673A" w:rsidRDefault="00744C82" w:rsidP="00744C82">
      <w:pPr>
        <w:spacing w:line="480" w:lineRule="auto"/>
        <w:ind w:left="567" w:hanging="567"/>
        <w:rPr>
          <w:sz w:val="24"/>
          <w:szCs w:val="24"/>
          <w:lang w:val="en-GB"/>
        </w:rPr>
      </w:pPr>
      <w:r w:rsidRPr="003F673A">
        <w:rPr>
          <w:sz w:val="24"/>
          <w:szCs w:val="24"/>
          <w:lang w:val="en-GB"/>
        </w:rPr>
        <w:t xml:space="preserve">Rodríguez, G., &amp; Alonso, G. (2014). Differential effect of the intermixed and blocked preexposure schedules on the strength of within-compound associations. </w:t>
      </w:r>
      <w:r w:rsidRPr="003F673A">
        <w:rPr>
          <w:i/>
          <w:sz w:val="24"/>
          <w:szCs w:val="24"/>
          <w:lang w:val="en-GB"/>
        </w:rPr>
        <w:t>Journal of Experimental Psychology: Animal Learning and Cognition, 40</w:t>
      </w:r>
      <w:r w:rsidRPr="003F673A">
        <w:rPr>
          <w:sz w:val="24"/>
          <w:szCs w:val="24"/>
          <w:lang w:val="en-GB"/>
        </w:rPr>
        <w:t>, 327-334.</w:t>
      </w:r>
    </w:p>
    <w:p w14:paraId="7D1A2BEC" w14:textId="77777777" w:rsidR="00744C82" w:rsidRPr="003F673A" w:rsidRDefault="00744C82" w:rsidP="00744C82">
      <w:pPr>
        <w:spacing w:line="480" w:lineRule="auto"/>
        <w:ind w:left="567" w:hanging="567"/>
        <w:rPr>
          <w:sz w:val="24"/>
          <w:szCs w:val="24"/>
          <w:lang w:val="en-GB"/>
        </w:rPr>
      </w:pPr>
      <w:r w:rsidRPr="003F673A">
        <w:rPr>
          <w:sz w:val="24"/>
          <w:szCs w:val="24"/>
          <w:lang w:val="en-GB"/>
        </w:rPr>
        <w:t xml:space="preserve">Rodríguez, G. &amp; Alonso, G. (2015) Within-subjects assessment of the within-compound associations resulting from intermixed and blocked pre-exposure schedules. </w:t>
      </w:r>
      <w:r w:rsidRPr="003F673A">
        <w:rPr>
          <w:i/>
          <w:sz w:val="24"/>
          <w:szCs w:val="24"/>
          <w:lang w:val="en-GB"/>
        </w:rPr>
        <w:t xml:space="preserve">Learning &amp; </w:t>
      </w:r>
      <w:proofErr w:type="spellStart"/>
      <w:r w:rsidRPr="003F673A">
        <w:rPr>
          <w:i/>
          <w:sz w:val="24"/>
          <w:szCs w:val="24"/>
          <w:lang w:val="en-GB"/>
        </w:rPr>
        <w:t>Behavior</w:t>
      </w:r>
      <w:proofErr w:type="spellEnd"/>
      <w:r w:rsidRPr="003F673A">
        <w:rPr>
          <w:i/>
          <w:sz w:val="24"/>
          <w:szCs w:val="24"/>
          <w:lang w:val="en-GB"/>
        </w:rPr>
        <w:t xml:space="preserve"> 43</w:t>
      </w:r>
      <w:r w:rsidRPr="003F673A">
        <w:rPr>
          <w:sz w:val="24"/>
          <w:szCs w:val="24"/>
          <w:lang w:val="en-GB"/>
        </w:rPr>
        <w:t>, 12–19.</w:t>
      </w:r>
    </w:p>
    <w:p w14:paraId="4959FAD4" w14:textId="77777777" w:rsidR="00744C82" w:rsidRPr="003F673A" w:rsidRDefault="00744C82" w:rsidP="00744C82">
      <w:pPr>
        <w:spacing w:line="480" w:lineRule="auto"/>
        <w:ind w:left="567" w:hanging="567"/>
        <w:rPr>
          <w:sz w:val="24"/>
          <w:szCs w:val="24"/>
        </w:rPr>
      </w:pPr>
      <w:r w:rsidRPr="003F673A">
        <w:rPr>
          <w:sz w:val="24"/>
          <w:szCs w:val="24"/>
          <w:lang w:val="en-US"/>
        </w:rPr>
        <w:t xml:space="preserve">Symonds, M., &amp; Hall, G. (1995). Perceptual learning in flavor aversion conditioning: Roles of stimulus comparison and latent inhibition of common stimulus elements. </w:t>
      </w:r>
      <w:r w:rsidRPr="003F673A">
        <w:rPr>
          <w:i/>
          <w:iCs/>
          <w:sz w:val="24"/>
          <w:szCs w:val="24"/>
        </w:rPr>
        <w:t xml:space="preserve">Learning and </w:t>
      </w:r>
      <w:proofErr w:type="spellStart"/>
      <w:r w:rsidRPr="003F673A">
        <w:rPr>
          <w:i/>
          <w:iCs/>
          <w:sz w:val="24"/>
          <w:szCs w:val="24"/>
        </w:rPr>
        <w:t>Motivation</w:t>
      </w:r>
      <w:proofErr w:type="spellEnd"/>
      <w:r w:rsidRPr="003F673A">
        <w:rPr>
          <w:i/>
          <w:iCs/>
          <w:sz w:val="24"/>
          <w:szCs w:val="24"/>
        </w:rPr>
        <w:t>, 26</w:t>
      </w:r>
      <w:r w:rsidRPr="003F673A">
        <w:rPr>
          <w:sz w:val="24"/>
          <w:szCs w:val="24"/>
        </w:rPr>
        <w:t>, 203-219.</w:t>
      </w:r>
    </w:p>
    <w:p w14:paraId="1BF8780D" w14:textId="77777777" w:rsidR="00744C82" w:rsidRPr="003F673A" w:rsidRDefault="00744C82" w:rsidP="00744C82">
      <w:pPr>
        <w:spacing w:line="480" w:lineRule="auto"/>
        <w:ind w:left="567" w:hanging="567"/>
        <w:rPr>
          <w:sz w:val="24"/>
          <w:szCs w:val="24"/>
        </w:rPr>
      </w:pPr>
      <w:r w:rsidRPr="003F673A">
        <w:rPr>
          <w:sz w:val="24"/>
          <w:szCs w:val="24"/>
          <w:lang w:val="es-ES_tradnl"/>
        </w:rPr>
        <w:t xml:space="preserve">Trobalon, J. B. (1998). Aprendizaje perceptivo en el condicionamiento de aversión al sabor: el papel del número de ensayos de preexposición. </w:t>
      </w:r>
      <w:r w:rsidRPr="003F673A">
        <w:rPr>
          <w:i/>
          <w:sz w:val="24"/>
          <w:szCs w:val="24"/>
        </w:rPr>
        <w:t>Psicológica, 19</w:t>
      </w:r>
      <w:r w:rsidRPr="003F673A">
        <w:rPr>
          <w:sz w:val="24"/>
          <w:szCs w:val="24"/>
        </w:rPr>
        <w:t>, 137-152.</w:t>
      </w:r>
    </w:p>
    <w:p w14:paraId="64C69539" w14:textId="77777777" w:rsidR="0027422F" w:rsidRPr="0051262C" w:rsidRDefault="0027422F" w:rsidP="0051262C">
      <w:pPr>
        <w:tabs>
          <w:tab w:val="center" w:pos="4275"/>
          <w:tab w:val="left" w:pos="7143"/>
        </w:tabs>
        <w:adjustRightInd w:val="0"/>
        <w:spacing w:line="480" w:lineRule="auto"/>
        <w:ind w:firstLine="567"/>
        <w:rPr>
          <w:lang w:val="en-US"/>
        </w:rPr>
      </w:pPr>
    </w:p>
    <w:p w14:paraId="4F070E77" w14:textId="77777777" w:rsidR="00D579FB" w:rsidRDefault="00D579FB" w:rsidP="00E549BD">
      <w:pPr>
        <w:tabs>
          <w:tab w:val="center" w:pos="4700"/>
          <w:tab w:val="left" w:pos="5873"/>
        </w:tabs>
        <w:spacing w:line="480" w:lineRule="auto"/>
        <w:ind w:right="-45" w:firstLine="567"/>
        <w:rPr>
          <w:sz w:val="24"/>
          <w:szCs w:val="24"/>
          <w:lang w:val="en-US"/>
        </w:rPr>
      </w:pPr>
    </w:p>
    <w:p w14:paraId="1F6AA352" w14:textId="77777777" w:rsidR="007A4F90" w:rsidRDefault="007A4F90" w:rsidP="00E549BD">
      <w:pPr>
        <w:tabs>
          <w:tab w:val="center" w:pos="4700"/>
          <w:tab w:val="left" w:pos="5873"/>
        </w:tabs>
        <w:spacing w:line="480" w:lineRule="auto"/>
        <w:ind w:right="-45" w:firstLine="567"/>
        <w:rPr>
          <w:sz w:val="24"/>
          <w:szCs w:val="24"/>
          <w:lang w:val="en-US"/>
        </w:rPr>
      </w:pPr>
    </w:p>
    <w:p w14:paraId="590848A5" w14:textId="77777777" w:rsidR="007A4F90" w:rsidRDefault="007A4F90" w:rsidP="00E549BD">
      <w:pPr>
        <w:tabs>
          <w:tab w:val="center" w:pos="4700"/>
          <w:tab w:val="left" w:pos="5873"/>
        </w:tabs>
        <w:spacing w:line="480" w:lineRule="auto"/>
        <w:ind w:right="-45" w:firstLine="567"/>
        <w:rPr>
          <w:sz w:val="24"/>
          <w:szCs w:val="24"/>
          <w:lang w:val="en-US"/>
        </w:rPr>
      </w:pPr>
    </w:p>
    <w:p w14:paraId="49684C86" w14:textId="77777777" w:rsidR="007A4F90" w:rsidRDefault="007A4F90" w:rsidP="007A4F90">
      <w:pPr>
        <w:autoSpaceDE/>
        <w:autoSpaceDN/>
        <w:rPr>
          <w:sz w:val="24"/>
          <w:szCs w:val="24"/>
          <w:lang w:val="en-GB"/>
        </w:rPr>
      </w:pPr>
    </w:p>
    <w:p w14:paraId="333006DD" w14:textId="77777777" w:rsidR="007A4F90" w:rsidRDefault="007A4F90" w:rsidP="007A4F90">
      <w:pPr>
        <w:autoSpaceDE/>
        <w:autoSpaceDN/>
        <w:rPr>
          <w:sz w:val="24"/>
          <w:szCs w:val="24"/>
          <w:lang w:val="en-GB"/>
        </w:rPr>
      </w:pPr>
    </w:p>
    <w:tbl>
      <w:tblPr>
        <w:tblStyle w:val="TableGrid"/>
        <w:tblW w:w="8955" w:type="dxa"/>
        <w:tblLook w:val="04A0" w:firstRow="1" w:lastRow="0" w:firstColumn="1" w:lastColumn="0" w:noHBand="0" w:noVBand="1"/>
      </w:tblPr>
      <w:tblGrid>
        <w:gridCol w:w="1781"/>
        <w:gridCol w:w="1480"/>
        <w:gridCol w:w="141"/>
        <w:gridCol w:w="2410"/>
        <w:gridCol w:w="1843"/>
        <w:gridCol w:w="1300"/>
      </w:tblGrid>
      <w:tr w:rsidR="007A4F90" w:rsidRPr="00FF7398" w14:paraId="07355E83" w14:textId="77777777" w:rsidTr="001E6CC8">
        <w:tc>
          <w:tcPr>
            <w:tcW w:w="8955" w:type="dxa"/>
            <w:gridSpan w:val="6"/>
            <w:tcBorders>
              <w:top w:val="nil"/>
              <w:left w:val="nil"/>
              <w:bottom w:val="single" w:sz="4" w:space="0" w:color="000000" w:themeColor="text1"/>
              <w:right w:val="nil"/>
            </w:tcBorders>
          </w:tcPr>
          <w:p w14:paraId="32732A95" w14:textId="77777777" w:rsidR="007A4F90" w:rsidRPr="0086227E" w:rsidRDefault="007A4F90" w:rsidP="001E6CC8">
            <w:pPr>
              <w:autoSpaceDE/>
              <w:autoSpaceDN/>
              <w:spacing w:after="200" w:line="276" w:lineRule="auto"/>
              <w:jc w:val="center"/>
              <w:rPr>
                <w:sz w:val="24"/>
                <w:szCs w:val="24"/>
                <w:lang w:val="en-US"/>
              </w:rPr>
            </w:pPr>
            <w:r>
              <w:rPr>
                <w:sz w:val="24"/>
                <w:szCs w:val="24"/>
                <w:lang w:val="en-US"/>
              </w:rPr>
              <w:t>Table 1</w:t>
            </w:r>
            <w:r w:rsidRPr="0086227E">
              <w:rPr>
                <w:sz w:val="24"/>
                <w:szCs w:val="24"/>
                <w:lang w:val="en-US"/>
              </w:rPr>
              <w:t>. Experimental Designs</w:t>
            </w:r>
          </w:p>
        </w:tc>
      </w:tr>
      <w:tr w:rsidR="007A4F90" w:rsidRPr="00FF7398" w14:paraId="7F3FFD5D" w14:textId="77777777" w:rsidTr="001E6CC8">
        <w:tc>
          <w:tcPr>
            <w:tcW w:w="1781" w:type="dxa"/>
            <w:tcBorders>
              <w:left w:val="nil"/>
              <w:bottom w:val="single" w:sz="4" w:space="0" w:color="000000" w:themeColor="text1"/>
              <w:right w:val="nil"/>
            </w:tcBorders>
          </w:tcPr>
          <w:p w14:paraId="25778CE7" w14:textId="77777777" w:rsidR="007A4F90" w:rsidRPr="0086227E" w:rsidRDefault="007A4F90" w:rsidP="001E6CC8">
            <w:pPr>
              <w:autoSpaceDE/>
              <w:autoSpaceDN/>
              <w:spacing w:after="200" w:line="276" w:lineRule="auto"/>
              <w:rPr>
                <w:sz w:val="24"/>
                <w:szCs w:val="24"/>
                <w:lang w:val="en-US"/>
              </w:rPr>
            </w:pPr>
          </w:p>
        </w:tc>
        <w:tc>
          <w:tcPr>
            <w:tcW w:w="1480" w:type="dxa"/>
            <w:tcBorders>
              <w:left w:val="nil"/>
              <w:bottom w:val="single" w:sz="4" w:space="0" w:color="000000" w:themeColor="text1"/>
              <w:right w:val="nil"/>
            </w:tcBorders>
          </w:tcPr>
          <w:p w14:paraId="76652E11" w14:textId="77777777" w:rsidR="007A4F90" w:rsidRPr="0086227E" w:rsidRDefault="007A4F90" w:rsidP="001E6CC8">
            <w:pPr>
              <w:autoSpaceDE/>
              <w:autoSpaceDN/>
              <w:spacing w:after="200" w:line="276" w:lineRule="auto"/>
              <w:rPr>
                <w:sz w:val="24"/>
                <w:szCs w:val="24"/>
                <w:lang w:val="en-US"/>
              </w:rPr>
            </w:pPr>
            <w:r>
              <w:rPr>
                <w:sz w:val="24"/>
                <w:szCs w:val="24"/>
                <w:lang w:val="en-US"/>
              </w:rPr>
              <w:t xml:space="preserve">   </w:t>
            </w:r>
            <w:r w:rsidRPr="0086227E">
              <w:rPr>
                <w:sz w:val="24"/>
                <w:szCs w:val="24"/>
                <w:lang w:val="en-US"/>
              </w:rPr>
              <w:t>Group</w:t>
            </w:r>
          </w:p>
        </w:tc>
        <w:tc>
          <w:tcPr>
            <w:tcW w:w="2551" w:type="dxa"/>
            <w:gridSpan w:val="2"/>
            <w:tcBorders>
              <w:left w:val="nil"/>
              <w:bottom w:val="single" w:sz="4" w:space="0" w:color="000000" w:themeColor="text1"/>
              <w:right w:val="nil"/>
            </w:tcBorders>
          </w:tcPr>
          <w:p w14:paraId="22A52C34" w14:textId="77777777" w:rsidR="007A4F90" w:rsidRPr="0086227E" w:rsidRDefault="007A4F90" w:rsidP="001E6CC8">
            <w:pPr>
              <w:autoSpaceDE/>
              <w:autoSpaceDN/>
              <w:spacing w:after="200" w:line="276" w:lineRule="auto"/>
              <w:ind w:left="-108" w:right="-108"/>
              <w:jc w:val="center"/>
              <w:rPr>
                <w:sz w:val="24"/>
                <w:szCs w:val="24"/>
                <w:lang w:val="en-US"/>
              </w:rPr>
            </w:pPr>
            <w:r w:rsidRPr="0086227E">
              <w:rPr>
                <w:sz w:val="24"/>
                <w:szCs w:val="24"/>
                <w:lang w:val="en-US"/>
              </w:rPr>
              <w:t>Pre</w:t>
            </w:r>
            <w:r>
              <w:rPr>
                <w:sz w:val="24"/>
                <w:szCs w:val="24"/>
                <w:lang w:val="en-US"/>
              </w:rPr>
              <w:t>-</w:t>
            </w:r>
            <w:r w:rsidRPr="0086227E">
              <w:rPr>
                <w:sz w:val="24"/>
                <w:szCs w:val="24"/>
                <w:lang w:val="en-US"/>
              </w:rPr>
              <w:t>exposure</w:t>
            </w:r>
            <w:r>
              <w:rPr>
                <w:sz w:val="24"/>
                <w:szCs w:val="24"/>
                <w:lang w:val="en-US"/>
              </w:rPr>
              <w:t xml:space="preserve"> (4)</w:t>
            </w:r>
          </w:p>
        </w:tc>
        <w:tc>
          <w:tcPr>
            <w:tcW w:w="1843" w:type="dxa"/>
            <w:tcBorders>
              <w:left w:val="nil"/>
              <w:bottom w:val="single" w:sz="4" w:space="0" w:color="000000" w:themeColor="text1"/>
              <w:right w:val="nil"/>
            </w:tcBorders>
          </w:tcPr>
          <w:p w14:paraId="359D7B44" w14:textId="77777777" w:rsidR="007A4F90" w:rsidRPr="0086227E" w:rsidRDefault="007A4F90" w:rsidP="001E6CC8">
            <w:pPr>
              <w:autoSpaceDE/>
              <w:autoSpaceDN/>
              <w:spacing w:after="200" w:line="276" w:lineRule="auto"/>
              <w:jc w:val="center"/>
              <w:rPr>
                <w:sz w:val="24"/>
                <w:szCs w:val="24"/>
                <w:lang w:val="en-US"/>
              </w:rPr>
            </w:pPr>
            <w:r w:rsidRPr="0086227E">
              <w:rPr>
                <w:sz w:val="24"/>
                <w:szCs w:val="24"/>
                <w:lang w:val="en-US"/>
              </w:rPr>
              <w:t>Conditioning</w:t>
            </w:r>
            <w:r>
              <w:rPr>
                <w:sz w:val="24"/>
                <w:szCs w:val="24"/>
                <w:lang w:val="en-US"/>
              </w:rPr>
              <w:t xml:space="preserve"> (2)</w:t>
            </w:r>
          </w:p>
        </w:tc>
        <w:tc>
          <w:tcPr>
            <w:tcW w:w="1300" w:type="dxa"/>
            <w:tcBorders>
              <w:left w:val="nil"/>
              <w:bottom w:val="single" w:sz="4" w:space="0" w:color="000000" w:themeColor="text1"/>
              <w:right w:val="nil"/>
            </w:tcBorders>
          </w:tcPr>
          <w:p w14:paraId="758EB844" w14:textId="77777777" w:rsidR="007A4F90" w:rsidRPr="0086227E" w:rsidRDefault="007A4F90" w:rsidP="001E6CC8">
            <w:pPr>
              <w:autoSpaceDE/>
              <w:autoSpaceDN/>
              <w:spacing w:after="200" w:line="276" w:lineRule="auto"/>
              <w:rPr>
                <w:sz w:val="24"/>
                <w:szCs w:val="24"/>
                <w:lang w:val="en-US"/>
              </w:rPr>
            </w:pPr>
            <w:r w:rsidRPr="0086227E">
              <w:rPr>
                <w:sz w:val="24"/>
                <w:szCs w:val="24"/>
                <w:lang w:val="en-US"/>
              </w:rPr>
              <w:t>Test</w:t>
            </w:r>
            <w:r>
              <w:rPr>
                <w:sz w:val="24"/>
                <w:szCs w:val="24"/>
                <w:lang w:val="en-US"/>
              </w:rPr>
              <w:t xml:space="preserve"> (1)</w:t>
            </w:r>
          </w:p>
        </w:tc>
      </w:tr>
      <w:tr w:rsidR="007A4F90" w:rsidRPr="00FF7398" w14:paraId="65640062" w14:textId="77777777" w:rsidTr="001E6CC8">
        <w:tc>
          <w:tcPr>
            <w:tcW w:w="1781" w:type="dxa"/>
            <w:tcBorders>
              <w:top w:val="single" w:sz="4" w:space="0" w:color="000000" w:themeColor="text1"/>
              <w:left w:val="nil"/>
              <w:bottom w:val="nil"/>
              <w:right w:val="nil"/>
            </w:tcBorders>
          </w:tcPr>
          <w:p w14:paraId="54E7D1F1" w14:textId="77777777" w:rsidR="007A4F90" w:rsidRPr="0086227E" w:rsidRDefault="007A4F90" w:rsidP="001E6CC8">
            <w:pPr>
              <w:tabs>
                <w:tab w:val="left" w:pos="8080"/>
              </w:tabs>
              <w:ind w:right="-250"/>
              <w:rPr>
                <w:sz w:val="24"/>
                <w:szCs w:val="24"/>
                <w:lang w:val="en-US"/>
              </w:rPr>
            </w:pPr>
            <w:r>
              <w:rPr>
                <w:sz w:val="24"/>
                <w:szCs w:val="24"/>
                <w:lang w:val="en-US"/>
              </w:rPr>
              <w:t>Experiment 1</w:t>
            </w:r>
          </w:p>
        </w:tc>
        <w:tc>
          <w:tcPr>
            <w:tcW w:w="1621" w:type="dxa"/>
            <w:gridSpan w:val="2"/>
            <w:tcBorders>
              <w:top w:val="single" w:sz="4" w:space="0" w:color="000000" w:themeColor="text1"/>
              <w:left w:val="nil"/>
              <w:bottom w:val="nil"/>
              <w:right w:val="nil"/>
            </w:tcBorders>
          </w:tcPr>
          <w:p w14:paraId="5C6DFFD0" w14:textId="77777777" w:rsidR="007A4F90" w:rsidRPr="0086227E" w:rsidRDefault="007A4F90" w:rsidP="001E6CC8">
            <w:pPr>
              <w:tabs>
                <w:tab w:val="left" w:pos="8080"/>
              </w:tabs>
              <w:rPr>
                <w:sz w:val="24"/>
                <w:szCs w:val="24"/>
                <w:lang w:val="en-US"/>
              </w:rPr>
            </w:pPr>
            <w:r>
              <w:rPr>
                <w:sz w:val="24"/>
                <w:szCs w:val="24"/>
                <w:lang w:val="en-US"/>
              </w:rPr>
              <w:t>Intermixed</w:t>
            </w:r>
          </w:p>
        </w:tc>
        <w:tc>
          <w:tcPr>
            <w:tcW w:w="2410" w:type="dxa"/>
            <w:tcBorders>
              <w:top w:val="single" w:sz="4" w:space="0" w:color="000000" w:themeColor="text1"/>
              <w:left w:val="nil"/>
              <w:bottom w:val="nil"/>
              <w:right w:val="nil"/>
            </w:tcBorders>
          </w:tcPr>
          <w:p w14:paraId="02FBB2AC" w14:textId="77777777" w:rsidR="007A4F90" w:rsidRPr="0086227E" w:rsidRDefault="007A4F90" w:rsidP="001E6CC8">
            <w:pPr>
              <w:tabs>
                <w:tab w:val="left" w:pos="8080"/>
              </w:tabs>
              <w:ind w:left="-53"/>
              <w:jc w:val="center"/>
              <w:rPr>
                <w:sz w:val="24"/>
                <w:szCs w:val="24"/>
                <w:lang w:val="en-US"/>
              </w:rPr>
            </w:pPr>
            <w:r w:rsidRPr="0086227E">
              <w:rPr>
                <w:sz w:val="24"/>
                <w:szCs w:val="24"/>
                <w:lang w:val="en-US"/>
              </w:rPr>
              <w:t xml:space="preserve">AX </w:t>
            </w:r>
            <w:r>
              <w:rPr>
                <w:sz w:val="24"/>
                <w:szCs w:val="24"/>
                <w:lang w:val="en-US"/>
              </w:rPr>
              <w:t>/</w:t>
            </w:r>
            <w:r w:rsidRPr="0086227E">
              <w:rPr>
                <w:sz w:val="24"/>
                <w:szCs w:val="24"/>
                <w:lang w:val="en-US"/>
              </w:rPr>
              <w:t xml:space="preserve"> BX</w:t>
            </w:r>
          </w:p>
        </w:tc>
        <w:tc>
          <w:tcPr>
            <w:tcW w:w="1843" w:type="dxa"/>
            <w:tcBorders>
              <w:top w:val="single" w:sz="4" w:space="0" w:color="000000" w:themeColor="text1"/>
              <w:left w:val="nil"/>
              <w:bottom w:val="nil"/>
              <w:right w:val="nil"/>
            </w:tcBorders>
          </w:tcPr>
          <w:p w14:paraId="0D021760" w14:textId="77777777" w:rsidR="007A4F90" w:rsidRPr="0086227E" w:rsidRDefault="007A4F90" w:rsidP="001E6CC8">
            <w:pPr>
              <w:tabs>
                <w:tab w:val="left" w:pos="8080"/>
              </w:tabs>
              <w:jc w:val="center"/>
              <w:rPr>
                <w:sz w:val="24"/>
                <w:szCs w:val="24"/>
                <w:lang w:val="en-US"/>
              </w:rPr>
            </w:pPr>
            <w:r>
              <w:rPr>
                <w:sz w:val="24"/>
                <w:szCs w:val="24"/>
                <w:lang w:val="en-US"/>
              </w:rPr>
              <w:t>AX+</w:t>
            </w:r>
          </w:p>
        </w:tc>
        <w:tc>
          <w:tcPr>
            <w:tcW w:w="1300" w:type="dxa"/>
            <w:tcBorders>
              <w:top w:val="single" w:sz="4" w:space="0" w:color="000000" w:themeColor="text1"/>
              <w:left w:val="nil"/>
              <w:bottom w:val="nil"/>
              <w:right w:val="nil"/>
            </w:tcBorders>
          </w:tcPr>
          <w:p w14:paraId="24477BC5" w14:textId="77777777" w:rsidR="007A4F90" w:rsidRPr="0086227E" w:rsidRDefault="007A4F90" w:rsidP="001E6CC8">
            <w:pPr>
              <w:tabs>
                <w:tab w:val="left" w:pos="8080"/>
              </w:tabs>
              <w:jc w:val="center"/>
              <w:rPr>
                <w:sz w:val="24"/>
                <w:szCs w:val="24"/>
                <w:lang w:val="en-US"/>
              </w:rPr>
            </w:pPr>
            <w:r>
              <w:rPr>
                <w:sz w:val="24"/>
                <w:szCs w:val="24"/>
                <w:lang w:val="en-US"/>
              </w:rPr>
              <w:t>BX</w:t>
            </w:r>
          </w:p>
        </w:tc>
      </w:tr>
      <w:tr w:rsidR="007A4F90" w:rsidRPr="0086227E" w14:paraId="16CCC212" w14:textId="77777777" w:rsidTr="001E6CC8">
        <w:tc>
          <w:tcPr>
            <w:tcW w:w="1781" w:type="dxa"/>
            <w:tcBorders>
              <w:top w:val="nil"/>
              <w:left w:val="nil"/>
              <w:bottom w:val="nil"/>
              <w:right w:val="nil"/>
            </w:tcBorders>
          </w:tcPr>
          <w:p w14:paraId="486F99AA" w14:textId="77777777" w:rsidR="007A4F90" w:rsidRPr="0086227E" w:rsidRDefault="007A4F90" w:rsidP="001E6CC8">
            <w:pPr>
              <w:tabs>
                <w:tab w:val="left" w:pos="8080"/>
              </w:tabs>
              <w:ind w:right="-250"/>
              <w:rPr>
                <w:sz w:val="24"/>
                <w:szCs w:val="24"/>
                <w:lang w:val="en-US"/>
              </w:rPr>
            </w:pPr>
          </w:p>
        </w:tc>
        <w:tc>
          <w:tcPr>
            <w:tcW w:w="1621" w:type="dxa"/>
            <w:gridSpan w:val="2"/>
            <w:tcBorders>
              <w:top w:val="nil"/>
              <w:left w:val="nil"/>
              <w:bottom w:val="nil"/>
              <w:right w:val="nil"/>
            </w:tcBorders>
          </w:tcPr>
          <w:p w14:paraId="7C66D9AF" w14:textId="77777777" w:rsidR="007A4F90" w:rsidRPr="0086227E" w:rsidRDefault="007A4F90" w:rsidP="001E6CC8">
            <w:pPr>
              <w:tabs>
                <w:tab w:val="left" w:pos="8080"/>
              </w:tabs>
              <w:rPr>
                <w:sz w:val="24"/>
                <w:szCs w:val="24"/>
                <w:lang w:val="en-US"/>
              </w:rPr>
            </w:pPr>
            <w:r>
              <w:rPr>
                <w:sz w:val="24"/>
                <w:szCs w:val="24"/>
                <w:lang w:val="en-US"/>
              </w:rPr>
              <w:t>Blocked</w:t>
            </w:r>
          </w:p>
        </w:tc>
        <w:tc>
          <w:tcPr>
            <w:tcW w:w="2410" w:type="dxa"/>
            <w:tcBorders>
              <w:top w:val="nil"/>
              <w:left w:val="nil"/>
              <w:bottom w:val="nil"/>
              <w:right w:val="nil"/>
            </w:tcBorders>
          </w:tcPr>
          <w:p w14:paraId="10BA00FE" w14:textId="77777777" w:rsidR="007A4F90" w:rsidRPr="0086227E" w:rsidRDefault="007A4F90" w:rsidP="001E6CC8">
            <w:pPr>
              <w:tabs>
                <w:tab w:val="left" w:pos="8080"/>
              </w:tabs>
              <w:ind w:left="-53"/>
              <w:jc w:val="center"/>
              <w:rPr>
                <w:sz w:val="24"/>
                <w:szCs w:val="24"/>
                <w:lang w:val="en-US"/>
              </w:rPr>
            </w:pPr>
            <w:r>
              <w:rPr>
                <w:sz w:val="24"/>
                <w:szCs w:val="24"/>
                <w:lang w:val="en-US"/>
              </w:rPr>
              <w:t>A</w:t>
            </w:r>
            <w:r w:rsidRPr="0086227E">
              <w:rPr>
                <w:sz w:val="24"/>
                <w:szCs w:val="24"/>
                <w:lang w:val="en-US"/>
              </w:rPr>
              <w:t xml:space="preserve">X </w:t>
            </w:r>
            <w:r>
              <w:rPr>
                <w:sz w:val="24"/>
                <w:szCs w:val="24"/>
                <w:lang w:val="en-US"/>
              </w:rPr>
              <w:t>─ B</w:t>
            </w:r>
            <w:r w:rsidRPr="0086227E">
              <w:rPr>
                <w:sz w:val="24"/>
                <w:szCs w:val="24"/>
                <w:lang w:val="en-US"/>
              </w:rPr>
              <w:t>X</w:t>
            </w:r>
          </w:p>
        </w:tc>
        <w:tc>
          <w:tcPr>
            <w:tcW w:w="1843" w:type="dxa"/>
            <w:tcBorders>
              <w:top w:val="nil"/>
              <w:left w:val="nil"/>
              <w:bottom w:val="nil"/>
              <w:right w:val="nil"/>
            </w:tcBorders>
          </w:tcPr>
          <w:p w14:paraId="4AC4D1D6" w14:textId="77777777" w:rsidR="007A4F90" w:rsidRPr="0086227E" w:rsidRDefault="007A4F90" w:rsidP="001E6CC8">
            <w:pPr>
              <w:tabs>
                <w:tab w:val="left" w:pos="8080"/>
              </w:tabs>
              <w:jc w:val="center"/>
              <w:rPr>
                <w:sz w:val="24"/>
                <w:szCs w:val="24"/>
                <w:lang w:val="en-US"/>
              </w:rPr>
            </w:pPr>
            <w:r>
              <w:rPr>
                <w:sz w:val="24"/>
                <w:szCs w:val="24"/>
                <w:lang w:val="en-US"/>
              </w:rPr>
              <w:t>AX+</w:t>
            </w:r>
          </w:p>
        </w:tc>
        <w:tc>
          <w:tcPr>
            <w:tcW w:w="1300" w:type="dxa"/>
            <w:tcBorders>
              <w:top w:val="nil"/>
              <w:left w:val="nil"/>
              <w:bottom w:val="nil"/>
              <w:right w:val="nil"/>
            </w:tcBorders>
          </w:tcPr>
          <w:p w14:paraId="7BB2D61B" w14:textId="77777777" w:rsidR="007A4F90" w:rsidRPr="0086227E" w:rsidRDefault="007A4F90" w:rsidP="001E6CC8">
            <w:pPr>
              <w:tabs>
                <w:tab w:val="left" w:pos="8080"/>
              </w:tabs>
              <w:jc w:val="center"/>
              <w:rPr>
                <w:sz w:val="24"/>
                <w:szCs w:val="24"/>
                <w:lang w:val="en-US"/>
              </w:rPr>
            </w:pPr>
            <w:r>
              <w:rPr>
                <w:sz w:val="24"/>
                <w:szCs w:val="24"/>
                <w:lang w:val="en-US"/>
              </w:rPr>
              <w:t>BX</w:t>
            </w:r>
          </w:p>
        </w:tc>
      </w:tr>
      <w:tr w:rsidR="007A4F90" w:rsidRPr="0086227E" w14:paraId="7358A4E3" w14:textId="77777777" w:rsidTr="001E6CC8">
        <w:tc>
          <w:tcPr>
            <w:tcW w:w="1781" w:type="dxa"/>
            <w:tcBorders>
              <w:top w:val="nil"/>
              <w:left w:val="single" w:sz="4" w:space="0" w:color="auto"/>
              <w:bottom w:val="nil"/>
              <w:right w:val="nil"/>
            </w:tcBorders>
          </w:tcPr>
          <w:p w14:paraId="483DF48C" w14:textId="77777777" w:rsidR="007A4F90" w:rsidRPr="0086227E" w:rsidRDefault="007A4F90" w:rsidP="001E6CC8">
            <w:pPr>
              <w:tabs>
                <w:tab w:val="left" w:pos="8080"/>
              </w:tabs>
              <w:rPr>
                <w:sz w:val="24"/>
                <w:szCs w:val="24"/>
                <w:lang w:val="en-US"/>
              </w:rPr>
            </w:pPr>
          </w:p>
        </w:tc>
        <w:tc>
          <w:tcPr>
            <w:tcW w:w="1621" w:type="dxa"/>
            <w:gridSpan w:val="2"/>
            <w:tcBorders>
              <w:top w:val="nil"/>
              <w:left w:val="nil"/>
              <w:bottom w:val="nil"/>
              <w:right w:val="nil"/>
            </w:tcBorders>
          </w:tcPr>
          <w:p w14:paraId="0BDB67B1" w14:textId="77777777" w:rsidR="007A4F90" w:rsidRDefault="007A4F90" w:rsidP="001E6CC8">
            <w:pPr>
              <w:tabs>
                <w:tab w:val="left" w:pos="8080"/>
              </w:tabs>
              <w:rPr>
                <w:sz w:val="24"/>
                <w:szCs w:val="24"/>
                <w:lang w:val="en-US"/>
              </w:rPr>
            </w:pPr>
          </w:p>
        </w:tc>
        <w:tc>
          <w:tcPr>
            <w:tcW w:w="2410" w:type="dxa"/>
            <w:tcBorders>
              <w:top w:val="nil"/>
              <w:left w:val="nil"/>
              <w:bottom w:val="nil"/>
              <w:right w:val="nil"/>
            </w:tcBorders>
          </w:tcPr>
          <w:p w14:paraId="7B25BA0E" w14:textId="77777777" w:rsidR="007A4F90" w:rsidRDefault="007A4F90" w:rsidP="001E6CC8">
            <w:pPr>
              <w:tabs>
                <w:tab w:val="left" w:pos="8080"/>
              </w:tabs>
              <w:ind w:left="-53"/>
              <w:jc w:val="center"/>
              <w:rPr>
                <w:sz w:val="24"/>
                <w:szCs w:val="24"/>
                <w:lang w:val="en-US"/>
              </w:rPr>
            </w:pPr>
          </w:p>
        </w:tc>
        <w:tc>
          <w:tcPr>
            <w:tcW w:w="1843" w:type="dxa"/>
            <w:tcBorders>
              <w:top w:val="nil"/>
              <w:left w:val="nil"/>
              <w:bottom w:val="single" w:sz="4" w:space="0" w:color="auto"/>
              <w:right w:val="nil"/>
            </w:tcBorders>
          </w:tcPr>
          <w:p w14:paraId="715F933C" w14:textId="77777777" w:rsidR="007A4F90" w:rsidRDefault="007A4F90" w:rsidP="001E6CC8">
            <w:pPr>
              <w:jc w:val="center"/>
              <w:rPr>
                <w:sz w:val="24"/>
                <w:szCs w:val="24"/>
                <w:lang w:val="en-US"/>
              </w:rPr>
            </w:pPr>
          </w:p>
        </w:tc>
        <w:tc>
          <w:tcPr>
            <w:tcW w:w="1300" w:type="dxa"/>
            <w:tcBorders>
              <w:top w:val="nil"/>
              <w:left w:val="nil"/>
              <w:bottom w:val="nil"/>
              <w:right w:val="nil"/>
            </w:tcBorders>
          </w:tcPr>
          <w:p w14:paraId="7AA05137" w14:textId="77777777" w:rsidR="007A4F90" w:rsidRPr="0086227E" w:rsidRDefault="007A4F90" w:rsidP="001E6CC8">
            <w:pPr>
              <w:tabs>
                <w:tab w:val="left" w:pos="8080"/>
              </w:tabs>
              <w:jc w:val="center"/>
              <w:rPr>
                <w:sz w:val="24"/>
                <w:szCs w:val="24"/>
                <w:lang w:val="en-US"/>
              </w:rPr>
            </w:pPr>
          </w:p>
        </w:tc>
      </w:tr>
      <w:tr w:rsidR="007A4F90" w:rsidRPr="0086227E" w14:paraId="4A3508A3" w14:textId="77777777" w:rsidTr="001E6CC8">
        <w:tc>
          <w:tcPr>
            <w:tcW w:w="1781" w:type="dxa"/>
            <w:tcBorders>
              <w:left w:val="nil"/>
              <w:bottom w:val="single" w:sz="4" w:space="0" w:color="000000" w:themeColor="text1"/>
              <w:right w:val="nil"/>
            </w:tcBorders>
          </w:tcPr>
          <w:p w14:paraId="2ABA86B0" w14:textId="77777777" w:rsidR="007A4F90" w:rsidRPr="0086227E" w:rsidRDefault="007A4F90" w:rsidP="001E6CC8">
            <w:pPr>
              <w:autoSpaceDE/>
              <w:autoSpaceDN/>
              <w:spacing w:after="200" w:line="276" w:lineRule="auto"/>
              <w:rPr>
                <w:sz w:val="24"/>
                <w:szCs w:val="24"/>
                <w:lang w:val="en-US"/>
              </w:rPr>
            </w:pPr>
          </w:p>
        </w:tc>
        <w:tc>
          <w:tcPr>
            <w:tcW w:w="1621" w:type="dxa"/>
            <w:gridSpan w:val="2"/>
            <w:tcBorders>
              <w:left w:val="nil"/>
              <w:bottom w:val="single" w:sz="4" w:space="0" w:color="000000" w:themeColor="text1"/>
              <w:right w:val="nil"/>
            </w:tcBorders>
          </w:tcPr>
          <w:p w14:paraId="50CDC8E8" w14:textId="77777777" w:rsidR="007A4F90" w:rsidRPr="0086227E" w:rsidRDefault="007A4F90" w:rsidP="001E6CC8">
            <w:pPr>
              <w:autoSpaceDE/>
              <w:autoSpaceDN/>
              <w:spacing w:after="200" w:line="276" w:lineRule="auto"/>
              <w:rPr>
                <w:sz w:val="24"/>
                <w:szCs w:val="24"/>
                <w:lang w:val="en-US"/>
              </w:rPr>
            </w:pPr>
            <w:r>
              <w:rPr>
                <w:sz w:val="24"/>
                <w:szCs w:val="24"/>
                <w:lang w:val="en-US"/>
              </w:rPr>
              <w:t xml:space="preserve">   </w:t>
            </w:r>
          </w:p>
        </w:tc>
        <w:tc>
          <w:tcPr>
            <w:tcW w:w="2410" w:type="dxa"/>
            <w:tcBorders>
              <w:left w:val="nil"/>
              <w:bottom w:val="single" w:sz="4" w:space="0" w:color="000000" w:themeColor="text1"/>
              <w:right w:val="nil"/>
            </w:tcBorders>
          </w:tcPr>
          <w:p w14:paraId="01A14440" w14:textId="63E3782A" w:rsidR="007A4F90" w:rsidRPr="0086227E" w:rsidRDefault="007A4F90" w:rsidP="001E6CC8">
            <w:pPr>
              <w:autoSpaceDE/>
              <w:autoSpaceDN/>
              <w:spacing w:after="200" w:line="276" w:lineRule="auto"/>
              <w:ind w:right="-108"/>
              <w:jc w:val="center"/>
              <w:rPr>
                <w:sz w:val="24"/>
                <w:szCs w:val="24"/>
                <w:lang w:val="en-US"/>
              </w:rPr>
            </w:pPr>
            <w:r w:rsidRPr="0086227E">
              <w:rPr>
                <w:sz w:val="24"/>
                <w:szCs w:val="24"/>
                <w:lang w:val="en-US"/>
              </w:rPr>
              <w:t>Pre</w:t>
            </w:r>
            <w:r>
              <w:rPr>
                <w:sz w:val="24"/>
                <w:szCs w:val="24"/>
                <w:lang w:val="en-US"/>
              </w:rPr>
              <w:t>-</w:t>
            </w:r>
            <w:r w:rsidRPr="0086227E">
              <w:rPr>
                <w:sz w:val="24"/>
                <w:szCs w:val="24"/>
                <w:lang w:val="en-US"/>
              </w:rPr>
              <w:t>exposure</w:t>
            </w:r>
            <w:r>
              <w:rPr>
                <w:sz w:val="24"/>
                <w:szCs w:val="24"/>
                <w:lang w:val="en-US"/>
              </w:rPr>
              <w:t xml:space="preserve">       </w:t>
            </w:r>
            <w:r w:rsidR="00D238DA">
              <w:rPr>
                <w:sz w:val="24"/>
                <w:szCs w:val="24"/>
                <w:lang w:val="en-US"/>
              </w:rPr>
              <w:t>Exp.2A (2); Exp.2B (4</w:t>
            </w:r>
            <w:r>
              <w:rPr>
                <w:sz w:val="24"/>
                <w:szCs w:val="24"/>
                <w:lang w:val="en-US"/>
              </w:rPr>
              <w:t xml:space="preserve">)      </w:t>
            </w:r>
          </w:p>
        </w:tc>
        <w:tc>
          <w:tcPr>
            <w:tcW w:w="1843" w:type="dxa"/>
            <w:tcBorders>
              <w:top w:val="single" w:sz="4" w:space="0" w:color="auto"/>
              <w:left w:val="nil"/>
              <w:bottom w:val="single" w:sz="4" w:space="0" w:color="000000" w:themeColor="text1"/>
              <w:right w:val="nil"/>
            </w:tcBorders>
          </w:tcPr>
          <w:p w14:paraId="22C4082B" w14:textId="77777777" w:rsidR="007A4F90" w:rsidRPr="0086227E" w:rsidRDefault="007A4F90" w:rsidP="001E6CC8">
            <w:pPr>
              <w:autoSpaceDE/>
              <w:autoSpaceDN/>
              <w:spacing w:after="200" w:line="276" w:lineRule="auto"/>
              <w:jc w:val="center"/>
              <w:rPr>
                <w:sz w:val="24"/>
                <w:szCs w:val="24"/>
                <w:lang w:val="en-US"/>
              </w:rPr>
            </w:pPr>
            <w:r w:rsidRPr="0086227E">
              <w:rPr>
                <w:sz w:val="24"/>
                <w:szCs w:val="24"/>
                <w:lang w:val="en-US"/>
              </w:rPr>
              <w:t>Conditioning</w:t>
            </w:r>
            <w:r>
              <w:rPr>
                <w:sz w:val="24"/>
                <w:szCs w:val="24"/>
                <w:lang w:val="en-US"/>
              </w:rPr>
              <w:t xml:space="preserve"> (3)</w:t>
            </w:r>
          </w:p>
        </w:tc>
        <w:tc>
          <w:tcPr>
            <w:tcW w:w="1300" w:type="dxa"/>
            <w:tcBorders>
              <w:left w:val="nil"/>
              <w:bottom w:val="single" w:sz="4" w:space="0" w:color="000000" w:themeColor="text1"/>
              <w:right w:val="nil"/>
            </w:tcBorders>
          </w:tcPr>
          <w:p w14:paraId="557A26F3" w14:textId="77777777" w:rsidR="007A4F90" w:rsidRPr="0086227E" w:rsidRDefault="007A4F90" w:rsidP="001E6CC8">
            <w:pPr>
              <w:autoSpaceDE/>
              <w:autoSpaceDN/>
              <w:spacing w:after="200" w:line="276" w:lineRule="auto"/>
              <w:jc w:val="center"/>
              <w:rPr>
                <w:sz w:val="24"/>
                <w:szCs w:val="24"/>
                <w:lang w:val="en-US"/>
              </w:rPr>
            </w:pPr>
          </w:p>
        </w:tc>
      </w:tr>
      <w:tr w:rsidR="007A4F90" w:rsidRPr="0086227E" w14:paraId="310EAB4B" w14:textId="77777777" w:rsidTr="001E6CC8">
        <w:tc>
          <w:tcPr>
            <w:tcW w:w="1781" w:type="dxa"/>
            <w:tcBorders>
              <w:top w:val="nil"/>
              <w:left w:val="nil"/>
              <w:bottom w:val="nil"/>
              <w:right w:val="nil"/>
            </w:tcBorders>
          </w:tcPr>
          <w:p w14:paraId="6F993AF7" w14:textId="77777777" w:rsidR="007A4F90" w:rsidRPr="0086227E" w:rsidRDefault="007A4F90" w:rsidP="001E6CC8">
            <w:pPr>
              <w:tabs>
                <w:tab w:val="left" w:pos="8080"/>
              </w:tabs>
              <w:ind w:right="-250"/>
              <w:rPr>
                <w:sz w:val="24"/>
                <w:szCs w:val="24"/>
                <w:lang w:val="en-US"/>
              </w:rPr>
            </w:pPr>
            <w:r>
              <w:rPr>
                <w:sz w:val="24"/>
                <w:szCs w:val="24"/>
                <w:lang w:val="en-US"/>
              </w:rPr>
              <w:t>Experiment 2</w:t>
            </w:r>
          </w:p>
        </w:tc>
        <w:tc>
          <w:tcPr>
            <w:tcW w:w="1621" w:type="dxa"/>
            <w:gridSpan w:val="2"/>
            <w:tcBorders>
              <w:top w:val="nil"/>
              <w:left w:val="nil"/>
              <w:bottom w:val="nil"/>
              <w:right w:val="nil"/>
            </w:tcBorders>
          </w:tcPr>
          <w:p w14:paraId="64780931" w14:textId="77777777" w:rsidR="007A4F90" w:rsidRPr="0086227E" w:rsidRDefault="007A4F90" w:rsidP="001E6CC8">
            <w:pPr>
              <w:tabs>
                <w:tab w:val="left" w:pos="8080"/>
              </w:tabs>
              <w:rPr>
                <w:sz w:val="24"/>
                <w:szCs w:val="24"/>
                <w:lang w:val="en-US"/>
              </w:rPr>
            </w:pPr>
            <w:r>
              <w:rPr>
                <w:sz w:val="24"/>
                <w:szCs w:val="24"/>
                <w:lang w:val="en-US"/>
              </w:rPr>
              <w:t>Intermixed-A</w:t>
            </w:r>
          </w:p>
        </w:tc>
        <w:tc>
          <w:tcPr>
            <w:tcW w:w="2410" w:type="dxa"/>
            <w:tcBorders>
              <w:top w:val="nil"/>
              <w:left w:val="nil"/>
              <w:bottom w:val="nil"/>
              <w:right w:val="nil"/>
            </w:tcBorders>
          </w:tcPr>
          <w:p w14:paraId="6C05998E" w14:textId="77777777" w:rsidR="007A4F90" w:rsidRPr="0086227E" w:rsidRDefault="007A4F90" w:rsidP="001E6CC8">
            <w:pPr>
              <w:tabs>
                <w:tab w:val="left" w:pos="8080"/>
              </w:tabs>
              <w:ind w:left="-53"/>
              <w:jc w:val="center"/>
              <w:rPr>
                <w:sz w:val="24"/>
                <w:szCs w:val="24"/>
                <w:lang w:val="en-US"/>
              </w:rPr>
            </w:pPr>
            <w:r w:rsidRPr="0086227E">
              <w:rPr>
                <w:sz w:val="24"/>
                <w:szCs w:val="24"/>
                <w:lang w:val="en-US"/>
              </w:rPr>
              <w:t xml:space="preserve">AX </w:t>
            </w:r>
            <w:r>
              <w:rPr>
                <w:sz w:val="24"/>
                <w:szCs w:val="24"/>
                <w:lang w:val="en-US"/>
              </w:rPr>
              <w:t>/</w:t>
            </w:r>
            <w:r w:rsidRPr="0086227E">
              <w:rPr>
                <w:sz w:val="24"/>
                <w:szCs w:val="24"/>
                <w:lang w:val="en-US"/>
              </w:rPr>
              <w:t xml:space="preserve"> BX</w:t>
            </w:r>
          </w:p>
        </w:tc>
        <w:tc>
          <w:tcPr>
            <w:tcW w:w="1843" w:type="dxa"/>
            <w:tcBorders>
              <w:top w:val="nil"/>
              <w:left w:val="nil"/>
              <w:bottom w:val="nil"/>
              <w:right w:val="nil"/>
            </w:tcBorders>
          </w:tcPr>
          <w:p w14:paraId="2DE0C6FC" w14:textId="77777777" w:rsidR="007A4F90" w:rsidRPr="0086227E" w:rsidRDefault="007A4F90" w:rsidP="001E6CC8">
            <w:pPr>
              <w:tabs>
                <w:tab w:val="left" w:pos="8080"/>
              </w:tabs>
              <w:jc w:val="center"/>
              <w:rPr>
                <w:sz w:val="24"/>
                <w:szCs w:val="24"/>
                <w:lang w:val="en-US"/>
              </w:rPr>
            </w:pPr>
            <w:r>
              <w:rPr>
                <w:sz w:val="24"/>
                <w:szCs w:val="24"/>
                <w:lang w:val="en-US"/>
              </w:rPr>
              <w:t>A</w:t>
            </w:r>
            <w:r w:rsidRPr="0086227E">
              <w:rPr>
                <w:sz w:val="24"/>
                <w:szCs w:val="24"/>
                <w:lang w:val="en-US"/>
              </w:rPr>
              <w:t>+</w:t>
            </w:r>
          </w:p>
        </w:tc>
        <w:tc>
          <w:tcPr>
            <w:tcW w:w="1300" w:type="dxa"/>
            <w:tcBorders>
              <w:top w:val="nil"/>
              <w:left w:val="nil"/>
              <w:bottom w:val="nil"/>
              <w:right w:val="nil"/>
            </w:tcBorders>
          </w:tcPr>
          <w:p w14:paraId="233E88B1" w14:textId="77777777" w:rsidR="007A4F90" w:rsidRPr="0086227E" w:rsidRDefault="007A4F90" w:rsidP="001E6CC8">
            <w:pPr>
              <w:tabs>
                <w:tab w:val="left" w:pos="8080"/>
              </w:tabs>
              <w:rPr>
                <w:sz w:val="24"/>
                <w:szCs w:val="24"/>
                <w:lang w:val="en-US"/>
              </w:rPr>
            </w:pPr>
          </w:p>
        </w:tc>
      </w:tr>
      <w:tr w:rsidR="007A4F90" w:rsidRPr="0086227E" w14:paraId="46493D6A" w14:textId="77777777" w:rsidTr="001E6CC8">
        <w:tc>
          <w:tcPr>
            <w:tcW w:w="1781" w:type="dxa"/>
            <w:tcBorders>
              <w:top w:val="nil"/>
              <w:left w:val="nil"/>
              <w:bottom w:val="nil"/>
              <w:right w:val="nil"/>
            </w:tcBorders>
          </w:tcPr>
          <w:p w14:paraId="1ACE308B" w14:textId="77777777" w:rsidR="007A4F90" w:rsidRPr="0086227E" w:rsidRDefault="007A4F90" w:rsidP="001E6CC8">
            <w:pPr>
              <w:tabs>
                <w:tab w:val="left" w:pos="8080"/>
              </w:tabs>
              <w:rPr>
                <w:sz w:val="24"/>
                <w:szCs w:val="24"/>
                <w:lang w:val="en-US"/>
              </w:rPr>
            </w:pPr>
            <w:r w:rsidRPr="0086227E">
              <w:rPr>
                <w:sz w:val="24"/>
                <w:szCs w:val="24"/>
                <w:lang w:val="en-US"/>
              </w:rPr>
              <w:t xml:space="preserve"> </w:t>
            </w:r>
          </w:p>
        </w:tc>
        <w:tc>
          <w:tcPr>
            <w:tcW w:w="1621" w:type="dxa"/>
            <w:gridSpan w:val="2"/>
            <w:tcBorders>
              <w:top w:val="nil"/>
              <w:left w:val="nil"/>
              <w:bottom w:val="nil"/>
              <w:right w:val="nil"/>
            </w:tcBorders>
          </w:tcPr>
          <w:p w14:paraId="7329053B" w14:textId="77777777" w:rsidR="007A4F90" w:rsidRDefault="007A4F90" w:rsidP="001E6CC8">
            <w:pPr>
              <w:tabs>
                <w:tab w:val="left" w:pos="8080"/>
              </w:tabs>
              <w:rPr>
                <w:sz w:val="24"/>
                <w:szCs w:val="24"/>
                <w:lang w:val="en-US"/>
              </w:rPr>
            </w:pPr>
            <w:r>
              <w:rPr>
                <w:sz w:val="24"/>
                <w:szCs w:val="24"/>
                <w:lang w:val="en-US"/>
              </w:rPr>
              <w:t>Blocked-A</w:t>
            </w:r>
          </w:p>
          <w:p w14:paraId="07BAA63E" w14:textId="77777777" w:rsidR="007A4F90" w:rsidRDefault="007A4F90" w:rsidP="001E6CC8">
            <w:pPr>
              <w:tabs>
                <w:tab w:val="left" w:pos="8080"/>
              </w:tabs>
              <w:rPr>
                <w:sz w:val="24"/>
                <w:szCs w:val="24"/>
                <w:lang w:val="en-US"/>
              </w:rPr>
            </w:pPr>
            <w:r>
              <w:rPr>
                <w:sz w:val="24"/>
                <w:szCs w:val="24"/>
                <w:lang w:val="en-US"/>
              </w:rPr>
              <w:t>Intermixed-X</w:t>
            </w:r>
          </w:p>
          <w:p w14:paraId="1E884B1A" w14:textId="77777777" w:rsidR="007A4F90" w:rsidRPr="0086227E" w:rsidRDefault="007A4F90" w:rsidP="001E6CC8">
            <w:pPr>
              <w:tabs>
                <w:tab w:val="left" w:pos="8080"/>
              </w:tabs>
              <w:rPr>
                <w:sz w:val="24"/>
                <w:szCs w:val="24"/>
                <w:lang w:val="en-US"/>
              </w:rPr>
            </w:pPr>
            <w:r>
              <w:rPr>
                <w:sz w:val="24"/>
                <w:szCs w:val="24"/>
                <w:lang w:val="en-US"/>
              </w:rPr>
              <w:t>Blocked-X</w:t>
            </w:r>
          </w:p>
        </w:tc>
        <w:tc>
          <w:tcPr>
            <w:tcW w:w="2410" w:type="dxa"/>
            <w:tcBorders>
              <w:top w:val="nil"/>
              <w:left w:val="nil"/>
              <w:bottom w:val="nil"/>
              <w:right w:val="nil"/>
            </w:tcBorders>
          </w:tcPr>
          <w:p w14:paraId="6DB5EF39" w14:textId="77777777" w:rsidR="007A4F90" w:rsidRDefault="007A4F90" w:rsidP="001E6CC8">
            <w:pPr>
              <w:tabs>
                <w:tab w:val="left" w:pos="8080"/>
              </w:tabs>
              <w:ind w:left="-53"/>
              <w:jc w:val="center"/>
              <w:rPr>
                <w:sz w:val="24"/>
                <w:szCs w:val="24"/>
                <w:lang w:val="en-US"/>
              </w:rPr>
            </w:pPr>
            <w:r>
              <w:rPr>
                <w:sz w:val="24"/>
                <w:szCs w:val="24"/>
                <w:lang w:val="en-US"/>
              </w:rPr>
              <w:t>A</w:t>
            </w:r>
            <w:r w:rsidRPr="0086227E">
              <w:rPr>
                <w:sz w:val="24"/>
                <w:szCs w:val="24"/>
                <w:lang w:val="en-US"/>
              </w:rPr>
              <w:t xml:space="preserve">X </w:t>
            </w:r>
            <w:r>
              <w:rPr>
                <w:sz w:val="24"/>
                <w:szCs w:val="24"/>
                <w:lang w:val="en-US"/>
              </w:rPr>
              <w:t>─ B</w:t>
            </w:r>
            <w:r w:rsidRPr="0086227E">
              <w:rPr>
                <w:sz w:val="24"/>
                <w:szCs w:val="24"/>
                <w:lang w:val="en-US"/>
              </w:rPr>
              <w:t>X</w:t>
            </w:r>
          </w:p>
          <w:p w14:paraId="77A7422F" w14:textId="77777777" w:rsidR="007A4F90" w:rsidRDefault="007A4F90" w:rsidP="001E6CC8">
            <w:pPr>
              <w:tabs>
                <w:tab w:val="left" w:pos="8080"/>
              </w:tabs>
              <w:ind w:left="-53"/>
              <w:jc w:val="center"/>
              <w:rPr>
                <w:sz w:val="24"/>
                <w:szCs w:val="24"/>
                <w:lang w:val="en-US"/>
              </w:rPr>
            </w:pPr>
            <w:r>
              <w:rPr>
                <w:sz w:val="24"/>
                <w:szCs w:val="24"/>
                <w:lang w:val="en-US"/>
              </w:rPr>
              <w:t>AX / BX</w:t>
            </w:r>
          </w:p>
          <w:p w14:paraId="66A2F53D" w14:textId="77777777" w:rsidR="007A4F90" w:rsidRPr="0086227E" w:rsidRDefault="007A4F90" w:rsidP="001E6CC8">
            <w:pPr>
              <w:tabs>
                <w:tab w:val="left" w:pos="8080"/>
              </w:tabs>
              <w:ind w:left="-53"/>
              <w:jc w:val="center"/>
              <w:rPr>
                <w:sz w:val="24"/>
                <w:szCs w:val="24"/>
                <w:lang w:val="en-US"/>
              </w:rPr>
            </w:pPr>
            <w:r>
              <w:rPr>
                <w:sz w:val="24"/>
                <w:szCs w:val="24"/>
                <w:lang w:val="en-US"/>
              </w:rPr>
              <w:t xml:space="preserve">AX ─ BX </w:t>
            </w:r>
          </w:p>
        </w:tc>
        <w:tc>
          <w:tcPr>
            <w:tcW w:w="1843" w:type="dxa"/>
            <w:tcBorders>
              <w:top w:val="nil"/>
              <w:left w:val="nil"/>
              <w:bottom w:val="nil"/>
              <w:right w:val="nil"/>
            </w:tcBorders>
          </w:tcPr>
          <w:p w14:paraId="14A72238" w14:textId="77777777" w:rsidR="007A4F90" w:rsidRDefault="007A4F90" w:rsidP="001E6CC8">
            <w:pPr>
              <w:jc w:val="center"/>
              <w:rPr>
                <w:sz w:val="24"/>
                <w:szCs w:val="24"/>
                <w:lang w:val="en-US"/>
              </w:rPr>
            </w:pPr>
            <w:r>
              <w:rPr>
                <w:sz w:val="24"/>
                <w:szCs w:val="24"/>
                <w:lang w:val="en-US"/>
              </w:rPr>
              <w:t>A+</w:t>
            </w:r>
          </w:p>
          <w:p w14:paraId="6AD877E3" w14:textId="77777777" w:rsidR="007A4F90" w:rsidRDefault="007A4F90" w:rsidP="001E6CC8">
            <w:pPr>
              <w:jc w:val="center"/>
              <w:rPr>
                <w:sz w:val="24"/>
                <w:szCs w:val="24"/>
                <w:lang w:val="en-US"/>
              </w:rPr>
            </w:pPr>
            <w:r>
              <w:rPr>
                <w:sz w:val="24"/>
                <w:szCs w:val="24"/>
                <w:lang w:val="en-US"/>
              </w:rPr>
              <w:t>X+</w:t>
            </w:r>
          </w:p>
          <w:p w14:paraId="0D7C2C7D" w14:textId="77777777" w:rsidR="007A4F90" w:rsidRPr="0086227E" w:rsidRDefault="007A4F90" w:rsidP="001E6CC8">
            <w:pPr>
              <w:jc w:val="center"/>
              <w:rPr>
                <w:lang w:val="en-US"/>
              </w:rPr>
            </w:pPr>
            <w:r>
              <w:rPr>
                <w:sz w:val="24"/>
                <w:szCs w:val="24"/>
                <w:lang w:val="en-US"/>
              </w:rPr>
              <w:t>X+</w:t>
            </w:r>
          </w:p>
        </w:tc>
        <w:tc>
          <w:tcPr>
            <w:tcW w:w="1300" w:type="dxa"/>
            <w:tcBorders>
              <w:top w:val="nil"/>
              <w:left w:val="nil"/>
              <w:bottom w:val="nil"/>
              <w:right w:val="nil"/>
            </w:tcBorders>
          </w:tcPr>
          <w:p w14:paraId="6FC375F9" w14:textId="77777777" w:rsidR="007A4F90" w:rsidRDefault="007A4F90" w:rsidP="001E6CC8">
            <w:pPr>
              <w:tabs>
                <w:tab w:val="left" w:pos="8080"/>
              </w:tabs>
              <w:jc w:val="center"/>
              <w:rPr>
                <w:sz w:val="24"/>
                <w:szCs w:val="24"/>
                <w:lang w:val="en-US"/>
              </w:rPr>
            </w:pPr>
          </w:p>
          <w:p w14:paraId="3891C4FF" w14:textId="77777777" w:rsidR="007A4F90" w:rsidRDefault="007A4F90" w:rsidP="001E6CC8">
            <w:pPr>
              <w:tabs>
                <w:tab w:val="left" w:pos="8080"/>
              </w:tabs>
              <w:jc w:val="center"/>
              <w:rPr>
                <w:sz w:val="24"/>
                <w:szCs w:val="24"/>
                <w:lang w:val="en-US"/>
              </w:rPr>
            </w:pPr>
          </w:p>
          <w:p w14:paraId="4B3F4812" w14:textId="77777777" w:rsidR="007A4F90" w:rsidRDefault="007A4F90" w:rsidP="001E6CC8">
            <w:pPr>
              <w:tabs>
                <w:tab w:val="left" w:pos="8080"/>
              </w:tabs>
              <w:jc w:val="center"/>
              <w:rPr>
                <w:sz w:val="24"/>
                <w:szCs w:val="24"/>
                <w:lang w:val="en-US"/>
              </w:rPr>
            </w:pPr>
          </w:p>
          <w:p w14:paraId="55BCC7C9" w14:textId="77777777" w:rsidR="007A4F90" w:rsidRPr="0086227E" w:rsidRDefault="007A4F90" w:rsidP="001E6CC8">
            <w:pPr>
              <w:tabs>
                <w:tab w:val="left" w:pos="8080"/>
              </w:tabs>
              <w:jc w:val="center"/>
              <w:rPr>
                <w:sz w:val="24"/>
                <w:szCs w:val="24"/>
                <w:lang w:val="en-US"/>
              </w:rPr>
            </w:pPr>
          </w:p>
        </w:tc>
      </w:tr>
      <w:tr w:rsidR="007A4F90" w:rsidRPr="0086227E" w14:paraId="752841C5" w14:textId="77777777" w:rsidTr="001E6CC8">
        <w:tc>
          <w:tcPr>
            <w:tcW w:w="1781" w:type="dxa"/>
            <w:tcBorders>
              <w:left w:val="nil"/>
              <w:bottom w:val="single" w:sz="4" w:space="0" w:color="000000" w:themeColor="text1"/>
              <w:right w:val="nil"/>
            </w:tcBorders>
          </w:tcPr>
          <w:p w14:paraId="02C5EBB8" w14:textId="77777777" w:rsidR="007A4F90" w:rsidRPr="0086227E" w:rsidRDefault="007A4F90" w:rsidP="001E6CC8">
            <w:pPr>
              <w:autoSpaceDE/>
              <w:autoSpaceDN/>
              <w:spacing w:after="200" w:line="276" w:lineRule="auto"/>
              <w:rPr>
                <w:sz w:val="24"/>
                <w:szCs w:val="24"/>
                <w:lang w:val="en-US"/>
              </w:rPr>
            </w:pPr>
          </w:p>
        </w:tc>
        <w:tc>
          <w:tcPr>
            <w:tcW w:w="1621" w:type="dxa"/>
            <w:gridSpan w:val="2"/>
            <w:tcBorders>
              <w:left w:val="nil"/>
              <w:bottom w:val="single" w:sz="4" w:space="0" w:color="000000" w:themeColor="text1"/>
              <w:right w:val="nil"/>
            </w:tcBorders>
          </w:tcPr>
          <w:p w14:paraId="7DF0AE02" w14:textId="77777777" w:rsidR="007A4F90" w:rsidRPr="0086227E" w:rsidRDefault="007A4F90" w:rsidP="001E6CC8">
            <w:pPr>
              <w:autoSpaceDE/>
              <w:autoSpaceDN/>
              <w:spacing w:after="200" w:line="276" w:lineRule="auto"/>
              <w:rPr>
                <w:sz w:val="24"/>
                <w:szCs w:val="24"/>
                <w:lang w:val="en-US"/>
              </w:rPr>
            </w:pPr>
            <w:r>
              <w:rPr>
                <w:sz w:val="24"/>
                <w:szCs w:val="24"/>
                <w:lang w:val="en-US"/>
              </w:rPr>
              <w:t xml:space="preserve">   </w:t>
            </w:r>
          </w:p>
        </w:tc>
        <w:tc>
          <w:tcPr>
            <w:tcW w:w="2410" w:type="dxa"/>
            <w:tcBorders>
              <w:left w:val="nil"/>
              <w:bottom w:val="single" w:sz="4" w:space="0" w:color="000000" w:themeColor="text1"/>
              <w:right w:val="nil"/>
            </w:tcBorders>
          </w:tcPr>
          <w:p w14:paraId="15507D77" w14:textId="77777777" w:rsidR="007A4F90" w:rsidRPr="0086227E" w:rsidRDefault="007A4F90" w:rsidP="001E6CC8">
            <w:pPr>
              <w:autoSpaceDE/>
              <w:autoSpaceDN/>
              <w:spacing w:after="200" w:line="276" w:lineRule="auto"/>
              <w:jc w:val="center"/>
              <w:rPr>
                <w:sz w:val="24"/>
                <w:szCs w:val="24"/>
                <w:lang w:val="en-US"/>
              </w:rPr>
            </w:pPr>
            <w:r w:rsidRPr="0086227E">
              <w:rPr>
                <w:sz w:val="24"/>
                <w:szCs w:val="24"/>
                <w:lang w:val="en-US"/>
              </w:rPr>
              <w:t>Pre</w:t>
            </w:r>
            <w:r>
              <w:rPr>
                <w:sz w:val="24"/>
                <w:szCs w:val="24"/>
                <w:lang w:val="en-US"/>
              </w:rPr>
              <w:t>-</w:t>
            </w:r>
            <w:r w:rsidRPr="0086227E">
              <w:rPr>
                <w:sz w:val="24"/>
                <w:szCs w:val="24"/>
                <w:lang w:val="en-US"/>
              </w:rPr>
              <w:t>exposure</w:t>
            </w:r>
            <w:r>
              <w:rPr>
                <w:sz w:val="24"/>
                <w:szCs w:val="24"/>
                <w:lang w:val="en-US"/>
              </w:rPr>
              <w:t xml:space="preserve"> (4)</w:t>
            </w:r>
          </w:p>
        </w:tc>
        <w:tc>
          <w:tcPr>
            <w:tcW w:w="1843" w:type="dxa"/>
            <w:tcBorders>
              <w:top w:val="single" w:sz="4" w:space="0" w:color="auto"/>
              <w:left w:val="nil"/>
              <w:bottom w:val="single" w:sz="4" w:space="0" w:color="000000" w:themeColor="text1"/>
              <w:right w:val="nil"/>
            </w:tcBorders>
          </w:tcPr>
          <w:p w14:paraId="4BE9F6A7" w14:textId="77777777" w:rsidR="007A4F90" w:rsidRPr="0086227E" w:rsidRDefault="007A4F90" w:rsidP="001E6CC8">
            <w:pPr>
              <w:autoSpaceDE/>
              <w:autoSpaceDN/>
              <w:spacing w:after="200" w:line="276" w:lineRule="auto"/>
              <w:jc w:val="center"/>
              <w:rPr>
                <w:sz w:val="24"/>
                <w:szCs w:val="24"/>
                <w:lang w:val="en-US"/>
              </w:rPr>
            </w:pPr>
            <w:r w:rsidRPr="0086227E">
              <w:rPr>
                <w:sz w:val="24"/>
                <w:szCs w:val="24"/>
                <w:lang w:val="en-US"/>
              </w:rPr>
              <w:t>Conditioning</w:t>
            </w:r>
            <w:r>
              <w:rPr>
                <w:sz w:val="24"/>
                <w:szCs w:val="24"/>
                <w:lang w:val="en-US"/>
              </w:rPr>
              <w:t xml:space="preserve"> (3)</w:t>
            </w:r>
          </w:p>
        </w:tc>
        <w:tc>
          <w:tcPr>
            <w:tcW w:w="1300" w:type="dxa"/>
            <w:tcBorders>
              <w:left w:val="nil"/>
              <w:bottom w:val="single" w:sz="4" w:space="0" w:color="000000" w:themeColor="text1"/>
              <w:right w:val="nil"/>
            </w:tcBorders>
          </w:tcPr>
          <w:p w14:paraId="69A835E3" w14:textId="77777777" w:rsidR="007A4F90" w:rsidRPr="0086227E" w:rsidRDefault="007A4F90" w:rsidP="001E6CC8">
            <w:pPr>
              <w:autoSpaceDE/>
              <w:autoSpaceDN/>
              <w:spacing w:after="200" w:line="276" w:lineRule="auto"/>
              <w:jc w:val="center"/>
              <w:rPr>
                <w:sz w:val="24"/>
                <w:szCs w:val="24"/>
                <w:lang w:val="en-US"/>
              </w:rPr>
            </w:pPr>
            <w:r w:rsidRPr="0086227E">
              <w:rPr>
                <w:sz w:val="24"/>
                <w:szCs w:val="24"/>
                <w:lang w:val="en-US"/>
              </w:rPr>
              <w:t>Test</w:t>
            </w:r>
            <w:r>
              <w:rPr>
                <w:sz w:val="24"/>
                <w:szCs w:val="24"/>
                <w:lang w:val="en-US"/>
              </w:rPr>
              <w:t xml:space="preserve"> (1)</w:t>
            </w:r>
          </w:p>
        </w:tc>
      </w:tr>
      <w:tr w:rsidR="007A4F90" w:rsidRPr="0086227E" w14:paraId="34CB406F" w14:textId="77777777" w:rsidTr="001E6CC8">
        <w:tc>
          <w:tcPr>
            <w:tcW w:w="1781" w:type="dxa"/>
            <w:tcBorders>
              <w:top w:val="nil"/>
              <w:left w:val="nil"/>
              <w:bottom w:val="nil"/>
              <w:right w:val="nil"/>
            </w:tcBorders>
          </w:tcPr>
          <w:p w14:paraId="24700985" w14:textId="77777777" w:rsidR="007A4F90" w:rsidRPr="0086227E" w:rsidRDefault="007A4F90" w:rsidP="001E6CC8">
            <w:pPr>
              <w:tabs>
                <w:tab w:val="left" w:pos="8080"/>
              </w:tabs>
              <w:rPr>
                <w:sz w:val="24"/>
                <w:szCs w:val="24"/>
                <w:lang w:val="en-US"/>
              </w:rPr>
            </w:pPr>
            <w:r>
              <w:rPr>
                <w:sz w:val="24"/>
                <w:szCs w:val="24"/>
                <w:lang w:val="en-US"/>
              </w:rPr>
              <w:t>Experiment 3</w:t>
            </w:r>
          </w:p>
        </w:tc>
        <w:tc>
          <w:tcPr>
            <w:tcW w:w="1621" w:type="dxa"/>
            <w:gridSpan w:val="2"/>
            <w:tcBorders>
              <w:top w:val="nil"/>
              <w:left w:val="nil"/>
              <w:bottom w:val="nil"/>
              <w:right w:val="nil"/>
            </w:tcBorders>
          </w:tcPr>
          <w:p w14:paraId="7929FCF8" w14:textId="77777777" w:rsidR="007A4F90" w:rsidRDefault="007A4F90" w:rsidP="001E6CC8">
            <w:pPr>
              <w:tabs>
                <w:tab w:val="left" w:pos="8080"/>
              </w:tabs>
              <w:rPr>
                <w:sz w:val="24"/>
                <w:szCs w:val="24"/>
                <w:lang w:val="en-US"/>
              </w:rPr>
            </w:pPr>
            <w:r>
              <w:rPr>
                <w:sz w:val="24"/>
                <w:szCs w:val="24"/>
                <w:lang w:val="en-US"/>
              </w:rPr>
              <w:t>Intermixed</w:t>
            </w:r>
          </w:p>
        </w:tc>
        <w:tc>
          <w:tcPr>
            <w:tcW w:w="2410" w:type="dxa"/>
            <w:tcBorders>
              <w:top w:val="nil"/>
              <w:left w:val="nil"/>
              <w:bottom w:val="nil"/>
              <w:right w:val="nil"/>
            </w:tcBorders>
          </w:tcPr>
          <w:p w14:paraId="5ADAA523" w14:textId="77777777" w:rsidR="007A4F90" w:rsidRPr="0086227E" w:rsidRDefault="007A4F90" w:rsidP="001E6CC8">
            <w:pPr>
              <w:tabs>
                <w:tab w:val="left" w:pos="8080"/>
              </w:tabs>
              <w:ind w:left="-53"/>
              <w:jc w:val="center"/>
              <w:rPr>
                <w:sz w:val="24"/>
                <w:szCs w:val="24"/>
                <w:lang w:val="en-US"/>
              </w:rPr>
            </w:pPr>
            <w:r w:rsidRPr="0086227E">
              <w:rPr>
                <w:sz w:val="24"/>
                <w:szCs w:val="24"/>
                <w:lang w:val="en-US"/>
              </w:rPr>
              <w:t xml:space="preserve">AX </w:t>
            </w:r>
            <w:r>
              <w:rPr>
                <w:sz w:val="24"/>
                <w:szCs w:val="24"/>
                <w:lang w:val="en-US"/>
              </w:rPr>
              <w:t>/</w:t>
            </w:r>
            <w:r w:rsidRPr="0086227E">
              <w:rPr>
                <w:sz w:val="24"/>
                <w:szCs w:val="24"/>
                <w:lang w:val="en-US"/>
              </w:rPr>
              <w:t xml:space="preserve"> BX</w:t>
            </w:r>
          </w:p>
        </w:tc>
        <w:tc>
          <w:tcPr>
            <w:tcW w:w="1843" w:type="dxa"/>
            <w:tcBorders>
              <w:top w:val="nil"/>
              <w:left w:val="nil"/>
              <w:bottom w:val="nil"/>
              <w:right w:val="nil"/>
            </w:tcBorders>
          </w:tcPr>
          <w:p w14:paraId="10FE110D" w14:textId="77777777" w:rsidR="007A4F90" w:rsidRDefault="007A4F90" w:rsidP="001E6CC8">
            <w:pPr>
              <w:jc w:val="center"/>
              <w:rPr>
                <w:sz w:val="24"/>
                <w:szCs w:val="24"/>
                <w:lang w:val="en-US"/>
              </w:rPr>
            </w:pPr>
            <w:r>
              <w:rPr>
                <w:sz w:val="24"/>
                <w:szCs w:val="24"/>
                <w:lang w:val="en-US"/>
              </w:rPr>
              <w:t>Y+</w:t>
            </w:r>
          </w:p>
        </w:tc>
        <w:tc>
          <w:tcPr>
            <w:tcW w:w="1300" w:type="dxa"/>
            <w:tcBorders>
              <w:top w:val="nil"/>
              <w:left w:val="nil"/>
              <w:bottom w:val="nil"/>
              <w:right w:val="nil"/>
            </w:tcBorders>
          </w:tcPr>
          <w:p w14:paraId="7DE0D152" w14:textId="77777777" w:rsidR="007A4F90" w:rsidRDefault="007A4F90" w:rsidP="001E6CC8">
            <w:pPr>
              <w:tabs>
                <w:tab w:val="left" w:pos="8080"/>
              </w:tabs>
              <w:jc w:val="center"/>
              <w:rPr>
                <w:sz w:val="24"/>
                <w:szCs w:val="24"/>
                <w:lang w:val="en-US"/>
              </w:rPr>
            </w:pPr>
            <w:r>
              <w:rPr>
                <w:sz w:val="24"/>
                <w:szCs w:val="24"/>
                <w:lang w:val="en-US"/>
              </w:rPr>
              <w:t>AY</w:t>
            </w:r>
          </w:p>
        </w:tc>
      </w:tr>
      <w:tr w:rsidR="007A4F90" w:rsidRPr="0086227E" w14:paraId="46EC9D7E" w14:textId="77777777" w:rsidTr="001E6CC8">
        <w:tc>
          <w:tcPr>
            <w:tcW w:w="1781" w:type="dxa"/>
            <w:tcBorders>
              <w:top w:val="nil"/>
              <w:left w:val="nil"/>
              <w:bottom w:val="nil"/>
              <w:right w:val="nil"/>
            </w:tcBorders>
          </w:tcPr>
          <w:p w14:paraId="7473AFB9" w14:textId="77777777" w:rsidR="007A4F90" w:rsidRPr="0086227E" w:rsidRDefault="007A4F90" w:rsidP="001E6CC8">
            <w:pPr>
              <w:tabs>
                <w:tab w:val="left" w:pos="8080"/>
              </w:tabs>
              <w:ind w:right="-250"/>
              <w:rPr>
                <w:sz w:val="24"/>
                <w:szCs w:val="24"/>
                <w:lang w:val="en-US"/>
              </w:rPr>
            </w:pPr>
            <w:r w:rsidRPr="0086227E">
              <w:rPr>
                <w:sz w:val="24"/>
                <w:szCs w:val="24"/>
                <w:lang w:val="en-US"/>
              </w:rPr>
              <w:t xml:space="preserve"> </w:t>
            </w:r>
          </w:p>
        </w:tc>
        <w:tc>
          <w:tcPr>
            <w:tcW w:w="1621" w:type="dxa"/>
            <w:gridSpan w:val="2"/>
            <w:tcBorders>
              <w:top w:val="nil"/>
              <w:left w:val="nil"/>
              <w:bottom w:val="nil"/>
              <w:right w:val="nil"/>
            </w:tcBorders>
          </w:tcPr>
          <w:p w14:paraId="15293E67" w14:textId="77777777" w:rsidR="007A4F90" w:rsidRPr="0086227E" w:rsidRDefault="007A4F90" w:rsidP="001E6CC8">
            <w:pPr>
              <w:tabs>
                <w:tab w:val="left" w:pos="8080"/>
              </w:tabs>
              <w:rPr>
                <w:sz w:val="24"/>
                <w:szCs w:val="24"/>
                <w:lang w:val="en-US"/>
              </w:rPr>
            </w:pPr>
            <w:r>
              <w:rPr>
                <w:sz w:val="24"/>
                <w:szCs w:val="24"/>
                <w:lang w:val="en-US"/>
              </w:rPr>
              <w:t>Blocked</w:t>
            </w:r>
          </w:p>
        </w:tc>
        <w:tc>
          <w:tcPr>
            <w:tcW w:w="2410" w:type="dxa"/>
            <w:tcBorders>
              <w:top w:val="nil"/>
              <w:left w:val="nil"/>
              <w:bottom w:val="nil"/>
              <w:right w:val="nil"/>
            </w:tcBorders>
          </w:tcPr>
          <w:p w14:paraId="6A4BA200" w14:textId="77777777" w:rsidR="007A4F90" w:rsidRPr="0086227E" w:rsidRDefault="007A4F90" w:rsidP="001E6CC8">
            <w:pPr>
              <w:tabs>
                <w:tab w:val="left" w:pos="8080"/>
              </w:tabs>
              <w:ind w:left="-53"/>
              <w:jc w:val="center"/>
              <w:rPr>
                <w:sz w:val="24"/>
                <w:szCs w:val="24"/>
                <w:lang w:val="en-US"/>
              </w:rPr>
            </w:pPr>
            <w:r>
              <w:rPr>
                <w:sz w:val="24"/>
                <w:szCs w:val="24"/>
                <w:lang w:val="en-US"/>
              </w:rPr>
              <w:t>A</w:t>
            </w:r>
            <w:r w:rsidRPr="0086227E">
              <w:rPr>
                <w:sz w:val="24"/>
                <w:szCs w:val="24"/>
                <w:lang w:val="en-US"/>
              </w:rPr>
              <w:t xml:space="preserve">X </w:t>
            </w:r>
            <w:r>
              <w:rPr>
                <w:sz w:val="24"/>
                <w:szCs w:val="24"/>
                <w:lang w:val="en-US"/>
              </w:rPr>
              <w:t>─ B</w:t>
            </w:r>
            <w:r w:rsidRPr="0086227E">
              <w:rPr>
                <w:sz w:val="24"/>
                <w:szCs w:val="24"/>
                <w:lang w:val="en-US"/>
              </w:rPr>
              <w:t>X</w:t>
            </w:r>
          </w:p>
        </w:tc>
        <w:tc>
          <w:tcPr>
            <w:tcW w:w="1843" w:type="dxa"/>
            <w:tcBorders>
              <w:top w:val="nil"/>
              <w:left w:val="nil"/>
              <w:bottom w:val="nil"/>
              <w:right w:val="nil"/>
            </w:tcBorders>
          </w:tcPr>
          <w:p w14:paraId="7292B6C2" w14:textId="77777777" w:rsidR="007A4F90" w:rsidRPr="0086227E" w:rsidRDefault="007A4F90" w:rsidP="001E6CC8">
            <w:pPr>
              <w:tabs>
                <w:tab w:val="left" w:pos="8080"/>
              </w:tabs>
              <w:jc w:val="center"/>
              <w:rPr>
                <w:sz w:val="24"/>
                <w:szCs w:val="24"/>
                <w:lang w:val="en-US"/>
              </w:rPr>
            </w:pPr>
            <w:r>
              <w:rPr>
                <w:sz w:val="24"/>
                <w:szCs w:val="24"/>
                <w:lang w:val="en-US"/>
              </w:rPr>
              <w:t>Y+</w:t>
            </w:r>
          </w:p>
        </w:tc>
        <w:tc>
          <w:tcPr>
            <w:tcW w:w="1300" w:type="dxa"/>
            <w:tcBorders>
              <w:top w:val="nil"/>
              <w:left w:val="nil"/>
              <w:bottom w:val="nil"/>
              <w:right w:val="nil"/>
            </w:tcBorders>
          </w:tcPr>
          <w:p w14:paraId="017A2BBD" w14:textId="77777777" w:rsidR="007A4F90" w:rsidRPr="0086227E" w:rsidRDefault="007A4F90" w:rsidP="001E6CC8">
            <w:pPr>
              <w:tabs>
                <w:tab w:val="left" w:pos="8080"/>
              </w:tabs>
              <w:jc w:val="center"/>
              <w:rPr>
                <w:sz w:val="24"/>
                <w:szCs w:val="24"/>
                <w:lang w:val="en-US"/>
              </w:rPr>
            </w:pPr>
            <w:r>
              <w:rPr>
                <w:sz w:val="24"/>
                <w:szCs w:val="24"/>
                <w:lang w:val="en-US"/>
              </w:rPr>
              <w:t>AY</w:t>
            </w:r>
          </w:p>
        </w:tc>
      </w:tr>
      <w:tr w:rsidR="007A4F90" w:rsidRPr="0086227E" w14:paraId="7A26C070" w14:textId="77777777" w:rsidTr="001E6CC8">
        <w:tc>
          <w:tcPr>
            <w:tcW w:w="1781" w:type="dxa"/>
            <w:tcBorders>
              <w:top w:val="nil"/>
              <w:left w:val="nil"/>
              <w:bottom w:val="single" w:sz="4" w:space="0" w:color="000000" w:themeColor="text1"/>
              <w:right w:val="nil"/>
            </w:tcBorders>
          </w:tcPr>
          <w:p w14:paraId="7E62CE93" w14:textId="77777777" w:rsidR="007A4F90" w:rsidRPr="0086227E" w:rsidRDefault="007A4F90" w:rsidP="001E6CC8">
            <w:pPr>
              <w:tabs>
                <w:tab w:val="left" w:pos="8080"/>
              </w:tabs>
              <w:rPr>
                <w:sz w:val="24"/>
                <w:szCs w:val="24"/>
                <w:lang w:val="en-US"/>
              </w:rPr>
            </w:pPr>
          </w:p>
        </w:tc>
        <w:tc>
          <w:tcPr>
            <w:tcW w:w="1621" w:type="dxa"/>
            <w:gridSpan w:val="2"/>
            <w:tcBorders>
              <w:top w:val="nil"/>
              <w:left w:val="nil"/>
              <w:bottom w:val="single" w:sz="4" w:space="0" w:color="auto"/>
              <w:right w:val="nil"/>
            </w:tcBorders>
          </w:tcPr>
          <w:p w14:paraId="2F9BE6F9" w14:textId="77777777" w:rsidR="007A4F90" w:rsidRPr="0086227E" w:rsidRDefault="007A4F90" w:rsidP="001E6CC8">
            <w:pPr>
              <w:tabs>
                <w:tab w:val="left" w:pos="8080"/>
              </w:tabs>
              <w:rPr>
                <w:sz w:val="24"/>
                <w:szCs w:val="24"/>
                <w:lang w:val="en-US"/>
              </w:rPr>
            </w:pPr>
          </w:p>
        </w:tc>
        <w:tc>
          <w:tcPr>
            <w:tcW w:w="2410" w:type="dxa"/>
            <w:tcBorders>
              <w:top w:val="nil"/>
              <w:left w:val="nil"/>
              <w:bottom w:val="single" w:sz="4" w:space="0" w:color="auto"/>
              <w:right w:val="nil"/>
            </w:tcBorders>
          </w:tcPr>
          <w:p w14:paraId="0AF8A4D1" w14:textId="77777777" w:rsidR="007A4F90" w:rsidRPr="0086227E" w:rsidRDefault="007A4F90" w:rsidP="001E6CC8">
            <w:pPr>
              <w:tabs>
                <w:tab w:val="left" w:pos="8080"/>
              </w:tabs>
              <w:ind w:left="-53"/>
              <w:jc w:val="center"/>
              <w:rPr>
                <w:sz w:val="24"/>
                <w:szCs w:val="24"/>
                <w:lang w:val="en-US"/>
              </w:rPr>
            </w:pPr>
          </w:p>
        </w:tc>
        <w:tc>
          <w:tcPr>
            <w:tcW w:w="1843" w:type="dxa"/>
            <w:tcBorders>
              <w:top w:val="nil"/>
              <w:left w:val="nil"/>
              <w:bottom w:val="single" w:sz="4" w:space="0" w:color="auto"/>
              <w:right w:val="nil"/>
            </w:tcBorders>
          </w:tcPr>
          <w:p w14:paraId="7FD7AEE7" w14:textId="77777777" w:rsidR="007A4F90" w:rsidRPr="0086227E" w:rsidRDefault="007A4F90" w:rsidP="001E6CC8">
            <w:pPr>
              <w:jc w:val="center"/>
              <w:rPr>
                <w:lang w:val="en-US"/>
              </w:rPr>
            </w:pPr>
          </w:p>
        </w:tc>
        <w:tc>
          <w:tcPr>
            <w:tcW w:w="1300" w:type="dxa"/>
            <w:tcBorders>
              <w:top w:val="nil"/>
              <w:left w:val="nil"/>
              <w:bottom w:val="single" w:sz="4" w:space="0" w:color="auto"/>
              <w:right w:val="nil"/>
            </w:tcBorders>
          </w:tcPr>
          <w:p w14:paraId="105DD0FA" w14:textId="77777777" w:rsidR="007A4F90" w:rsidRPr="0086227E" w:rsidRDefault="007A4F90" w:rsidP="001E6CC8">
            <w:pPr>
              <w:tabs>
                <w:tab w:val="left" w:pos="8080"/>
              </w:tabs>
              <w:jc w:val="center"/>
              <w:rPr>
                <w:sz w:val="24"/>
                <w:szCs w:val="24"/>
                <w:lang w:val="en-US"/>
              </w:rPr>
            </w:pPr>
          </w:p>
        </w:tc>
      </w:tr>
      <w:tr w:rsidR="007A4F90" w:rsidRPr="0086227E" w14:paraId="571A8655" w14:textId="77777777" w:rsidTr="001E6CC8">
        <w:tc>
          <w:tcPr>
            <w:tcW w:w="1781" w:type="dxa"/>
            <w:tcBorders>
              <w:top w:val="nil"/>
              <w:left w:val="nil"/>
              <w:bottom w:val="single" w:sz="4" w:space="0" w:color="000000" w:themeColor="text1"/>
              <w:right w:val="nil"/>
            </w:tcBorders>
          </w:tcPr>
          <w:p w14:paraId="3BB17CAD" w14:textId="77777777" w:rsidR="007A4F90" w:rsidRPr="0086227E" w:rsidRDefault="007A4F90" w:rsidP="001E6CC8">
            <w:pPr>
              <w:tabs>
                <w:tab w:val="left" w:pos="8080"/>
              </w:tabs>
              <w:rPr>
                <w:sz w:val="24"/>
                <w:szCs w:val="24"/>
                <w:lang w:val="en-US"/>
              </w:rPr>
            </w:pPr>
          </w:p>
        </w:tc>
        <w:tc>
          <w:tcPr>
            <w:tcW w:w="1621" w:type="dxa"/>
            <w:gridSpan w:val="2"/>
            <w:tcBorders>
              <w:top w:val="nil"/>
              <w:left w:val="nil"/>
              <w:bottom w:val="single" w:sz="4" w:space="0" w:color="auto"/>
              <w:right w:val="nil"/>
            </w:tcBorders>
          </w:tcPr>
          <w:p w14:paraId="2308D995" w14:textId="77777777" w:rsidR="007A4F90" w:rsidRPr="0086227E" w:rsidRDefault="007A4F90" w:rsidP="001E6CC8">
            <w:pPr>
              <w:tabs>
                <w:tab w:val="left" w:pos="8080"/>
              </w:tabs>
              <w:rPr>
                <w:sz w:val="24"/>
                <w:szCs w:val="24"/>
                <w:lang w:val="en-US"/>
              </w:rPr>
            </w:pPr>
          </w:p>
        </w:tc>
        <w:tc>
          <w:tcPr>
            <w:tcW w:w="2410" w:type="dxa"/>
            <w:tcBorders>
              <w:top w:val="nil"/>
              <w:left w:val="nil"/>
              <w:bottom w:val="single" w:sz="4" w:space="0" w:color="auto"/>
              <w:right w:val="nil"/>
            </w:tcBorders>
          </w:tcPr>
          <w:p w14:paraId="258FEFB7" w14:textId="77777777" w:rsidR="007A4F90" w:rsidRPr="0086227E" w:rsidRDefault="007A4F90" w:rsidP="001E6CC8">
            <w:pPr>
              <w:tabs>
                <w:tab w:val="left" w:pos="8080"/>
              </w:tabs>
              <w:ind w:left="-53"/>
              <w:jc w:val="center"/>
              <w:rPr>
                <w:sz w:val="24"/>
                <w:szCs w:val="24"/>
                <w:lang w:val="en-US"/>
              </w:rPr>
            </w:pPr>
          </w:p>
        </w:tc>
        <w:tc>
          <w:tcPr>
            <w:tcW w:w="1843" w:type="dxa"/>
            <w:tcBorders>
              <w:top w:val="nil"/>
              <w:left w:val="nil"/>
              <w:bottom w:val="single" w:sz="4" w:space="0" w:color="auto"/>
              <w:right w:val="nil"/>
            </w:tcBorders>
          </w:tcPr>
          <w:p w14:paraId="1DEBF701" w14:textId="77777777" w:rsidR="007A4F90" w:rsidRPr="0086227E" w:rsidRDefault="007A4F90" w:rsidP="001E6CC8">
            <w:pPr>
              <w:jc w:val="center"/>
              <w:rPr>
                <w:lang w:val="en-US"/>
              </w:rPr>
            </w:pPr>
          </w:p>
        </w:tc>
        <w:tc>
          <w:tcPr>
            <w:tcW w:w="1300" w:type="dxa"/>
            <w:tcBorders>
              <w:top w:val="nil"/>
              <w:left w:val="nil"/>
              <w:bottom w:val="single" w:sz="4" w:space="0" w:color="auto"/>
              <w:right w:val="nil"/>
            </w:tcBorders>
          </w:tcPr>
          <w:p w14:paraId="006FABB2" w14:textId="77777777" w:rsidR="007A4F90" w:rsidRPr="0086227E" w:rsidRDefault="007A4F90" w:rsidP="001E6CC8">
            <w:pPr>
              <w:tabs>
                <w:tab w:val="left" w:pos="8080"/>
              </w:tabs>
              <w:jc w:val="center"/>
              <w:rPr>
                <w:sz w:val="24"/>
                <w:szCs w:val="24"/>
                <w:lang w:val="en-US"/>
              </w:rPr>
            </w:pPr>
          </w:p>
        </w:tc>
      </w:tr>
    </w:tbl>
    <w:p w14:paraId="2FA04D56" w14:textId="02D0AD9E" w:rsidR="007A4F90" w:rsidRDefault="007A4F90" w:rsidP="007A4F90">
      <w:pPr>
        <w:autoSpaceDE/>
        <w:autoSpaceDN/>
        <w:spacing w:after="200" w:line="276" w:lineRule="auto"/>
        <w:rPr>
          <w:sz w:val="24"/>
          <w:szCs w:val="24"/>
          <w:lang w:val="en-US"/>
        </w:rPr>
      </w:pPr>
      <w:r>
        <w:rPr>
          <w:sz w:val="24"/>
          <w:szCs w:val="24"/>
          <w:lang w:val="en-US"/>
        </w:rPr>
        <w:t xml:space="preserve">Note: A, B, </w:t>
      </w:r>
      <w:r w:rsidRPr="0086227E">
        <w:rPr>
          <w:sz w:val="24"/>
          <w:szCs w:val="24"/>
          <w:lang w:val="en-US"/>
        </w:rPr>
        <w:t>X</w:t>
      </w:r>
      <w:r>
        <w:rPr>
          <w:sz w:val="24"/>
          <w:szCs w:val="24"/>
          <w:lang w:val="en-US"/>
        </w:rPr>
        <w:t xml:space="preserve"> and Y</w:t>
      </w:r>
      <w:r w:rsidRPr="0086227E">
        <w:rPr>
          <w:sz w:val="24"/>
          <w:szCs w:val="24"/>
          <w:lang w:val="en-US"/>
        </w:rPr>
        <w:t xml:space="preserve"> represent different </w:t>
      </w:r>
      <w:r>
        <w:rPr>
          <w:sz w:val="24"/>
          <w:szCs w:val="24"/>
          <w:lang w:val="en-US"/>
        </w:rPr>
        <w:t>acoustic stimuli.</w:t>
      </w:r>
      <w:r w:rsidRPr="0038184E">
        <w:rPr>
          <w:sz w:val="24"/>
          <w:szCs w:val="24"/>
          <w:lang w:val="en-US"/>
        </w:rPr>
        <w:t xml:space="preserve"> </w:t>
      </w:r>
      <w:r>
        <w:rPr>
          <w:sz w:val="24"/>
          <w:szCs w:val="24"/>
          <w:lang w:val="en-US"/>
        </w:rPr>
        <w:t>Stimuli</w:t>
      </w:r>
      <w:r w:rsidRPr="0038184E">
        <w:rPr>
          <w:sz w:val="24"/>
          <w:szCs w:val="24"/>
          <w:lang w:val="en-US"/>
        </w:rPr>
        <w:t xml:space="preserve"> separated by a forward slash (/) in </w:t>
      </w:r>
      <w:r>
        <w:rPr>
          <w:sz w:val="24"/>
          <w:szCs w:val="24"/>
          <w:lang w:val="en-US"/>
        </w:rPr>
        <w:t xml:space="preserve">the Pre-exposure phase </w:t>
      </w:r>
      <w:r w:rsidRPr="0038184E">
        <w:rPr>
          <w:sz w:val="24"/>
          <w:szCs w:val="24"/>
          <w:lang w:val="en-US"/>
        </w:rPr>
        <w:t xml:space="preserve">were presented on alternate trials; </w:t>
      </w:r>
      <w:r>
        <w:rPr>
          <w:sz w:val="24"/>
          <w:szCs w:val="24"/>
          <w:lang w:val="en-US"/>
        </w:rPr>
        <w:t>stimuli separated by a dash (</w:t>
      </w:r>
      <w:r w:rsidRPr="0038184E">
        <w:rPr>
          <w:sz w:val="24"/>
          <w:szCs w:val="24"/>
          <w:lang w:val="en-US"/>
        </w:rPr>
        <w:t>─</w:t>
      </w:r>
      <w:r>
        <w:rPr>
          <w:sz w:val="24"/>
          <w:szCs w:val="24"/>
          <w:lang w:val="en-US"/>
        </w:rPr>
        <w:t>) were presented in separate blocks of trials</w:t>
      </w:r>
      <w:r w:rsidRPr="0038184E">
        <w:rPr>
          <w:sz w:val="24"/>
          <w:szCs w:val="24"/>
          <w:lang w:val="en-US"/>
        </w:rPr>
        <w:t>.</w:t>
      </w:r>
      <w:r w:rsidRPr="0086227E">
        <w:rPr>
          <w:sz w:val="24"/>
          <w:szCs w:val="24"/>
          <w:lang w:val="en-US"/>
        </w:rPr>
        <w:t xml:space="preserve"> </w:t>
      </w:r>
      <w:r>
        <w:rPr>
          <w:sz w:val="24"/>
          <w:szCs w:val="24"/>
          <w:lang w:val="en-US"/>
        </w:rPr>
        <w:t>The numbers between brackets refer to the number of sessions</w:t>
      </w:r>
      <w:r w:rsidR="00D413FA">
        <w:rPr>
          <w:sz w:val="24"/>
          <w:szCs w:val="24"/>
          <w:lang w:val="en-US"/>
        </w:rPr>
        <w:t xml:space="preserve"> within each phase of the experiments</w:t>
      </w:r>
      <w:r>
        <w:rPr>
          <w:sz w:val="24"/>
          <w:szCs w:val="24"/>
          <w:lang w:val="en-US"/>
        </w:rPr>
        <w:t xml:space="preserve">. </w:t>
      </w:r>
      <w:r w:rsidRPr="0086227E">
        <w:rPr>
          <w:sz w:val="24"/>
          <w:szCs w:val="24"/>
          <w:lang w:val="en-US"/>
        </w:rPr>
        <w:t xml:space="preserve">+ represents </w:t>
      </w:r>
      <w:r>
        <w:rPr>
          <w:sz w:val="24"/>
          <w:szCs w:val="24"/>
          <w:lang w:val="en-US"/>
        </w:rPr>
        <w:t>the delivery of a food-US (two food pellets)</w:t>
      </w:r>
      <w:r w:rsidRPr="0086227E">
        <w:rPr>
          <w:sz w:val="24"/>
          <w:szCs w:val="24"/>
          <w:lang w:val="en-US"/>
        </w:rPr>
        <w:t>.</w:t>
      </w:r>
    </w:p>
    <w:p w14:paraId="33C3B51C" w14:textId="77777777" w:rsidR="007A4F90" w:rsidRDefault="007A4F90" w:rsidP="007A4F90">
      <w:pPr>
        <w:autoSpaceDE/>
        <w:autoSpaceDN/>
        <w:rPr>
          <w:sz w:val="24"/>
          <w:szCs w:val="24"/>
          <w:lang w:val="en-US"/>
        </w:rPr>
      </w:pPr>
      <w:r>
        <w:rPr>
          <w:sz w:val="24"/>
          <w:szCs w:val="24"/>
          <w:lang w:val="en-US"/>
        </w:rPr>
        <w:br w:type="page"/>
      </w:r>
    </w:p>
    <w:p w14:paraId="7607B6FB" w14:textId="77777777" w:rsidR="007A4F90" w:rsidRDefault="007A4F90" w:rsidP="007A4F90">
      <w:pPr>
        <w:autoSpaceDE/>
        <w:autoSpaceDN/>
        <w:spacing w:after="200" w:line="276" w:lineRule="auto"/>
        <w:rPr>
          <w:sz w:val="24"/>
          <w:szCs w:val="24"/>
          <w:lang w:val="en-US"/>
        </w:rPr>
      </w:pPr>
      <w:r>
        <w:rPr>
          <w:sz w:val="24"/>
          <w:szCs w:val="24"/>
          <w:lang w:val="en-US"/>
        </w:rPr>
        <w:lastRenderedPageBreak/>
        <w:t>Figure 1</w:t>
      </w:r>
    </w:p>
    <w:p w14:paraId="2103A3C9" w14:textId="77777777" w:rsidR="007A4F90" w:rsidRDefault="007A4F90" w:rsidP="007A4F90">
      <w:pPr>
        <w:autoSpaceDE/>
        <w:autoSpaceDN/>
        <w:spacing w:after="200" w:line="276" w:lineRule="auto"/>
        <w:rPr>
          <w:sz w:val="24"/>
          <w:szCs w:val="24"/>
          <w:lang w:val="en-US"/>
        </w:rPr>
      </w:pPr>
    </w:p>
    <w:p w14:paraId="23AF1F60" w14:textId="77777777" w:rsidR="007A4F90" w:rsidRDefault="007A4F90" w:rsidP="007A4F90">
      <w:pPr>
        <w:autoSpaceDE/>
        <w:autoSpaceDN/>
        <w:spacing w:after="200" w:line="276" w:lineRule="auto"/>
        <w:rPr>
          <w:sz w:val="24"/>
          <w:szCs w:val="24"/>
          <w:lang w:val="en-US"/>
        </w:rPr>
      </w:pPr>
      <w:r>
        <w:rPr>
          <w:noProof/>
          <w:lang w:val="en-GB" w:eastAsia="en-GB"/>
        </w:rPr>
        <w:drawing>
          <wp:inline distT="0" distB="0" distL="0" distR="0" wp14:anchorId="28D4E676" wp14:editId="0A99F5BE">
            <wp:extent cx="4524374" cy="2624138"/>
            <wp:effectExtent l="0" t="0" r="0" b="50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53790C" w14:textId="77777777" w:rsidR="007A4F90" w:rsidRDefault="007A4F90" w:rsidP="007A4F90">
      <w:pPr>
        <w:autoSpaceDE/>
        <w:autoSpaceDN/>
        <w:spacing w:after="200" w:line="480" w:lineRule="auto"/>
        <w:rPr>
          <w:sz w:val="24"/>
          <w:szCs w:val="24"/>
          <w:lang w:val="en-US"/>
        </w:rPr>
      </w:pPr>
      <w:r>
        <w:rPr>
          <w:sz w:val="24"/>
          <w:szCs w:val="24"/>
          <w:lang w:val="en-US"/>
        </w:rPr>
        <w:t xml:space="preserve">Figure 1. </w:t>
      </w:r>
      <w:r w:rsidRPr="00151DAA">
        <w:rPr>
          <w:sz w:val="24"/>
          <w:szCs w:val="24"/>
          <w:lang w:val="en-GB"/>
        </w:rPr>
        <w:t xml:space="preserve">Mean time </w:t>
      </w:r>
      <w:r>
        <w:rPr>
          <w:sz w:val="24"/>
          <w:szCs w:val="24"/>
          <w:lang w:val="en-GB"/>
        </w:rPr>
        <w:t>(±</w:t>
      </w:r>
      <w:r w:rsidRPr="00151DAA">
        <w:rPr>
          <w:i/>
          <w:sz w:val="24"/>
          <w:szCs w:val="24"/>
          <w:lang w:val="en-GB"/>
        </w:rPr>
        <w:t>SEM</w:t>
      </w:r>
      <w:r>
        <w:rPr>
          <w:sz w:val="24"/>
          <w:szCs w:val="24"/>
          <w:lang w:val="en-GB"/>
        </w:rPr>
        <w:t xml:space="preserve">) </w:t>
      </w:r>
      <w:r w:rsidRPr="00151DAA">
        <w:rPr>
          <w:sz w:val="24"/>
          <w:szCs w:val="24"/>
          <w:lang w:val="en-GB"/>
        </w:rPr>
        <w:t>of</w:t>
      </w:r>
      <w:r>
        <w:rPr>
          <w:sz w:val="24"/>
          <w:szCs w:val="24"/>
          <w:lang w:val="en-GB"/>
        </w:rPr>
        <w:t xml:space="preserve"> </w:t>
      </w:r>
      <w:r w:rsidRPr="00151DAA">
        <w:rPr>
          <w:sz w:val="24"/>
          <w:szCs w:val="24"/>
          <w:lang w:val="en-GB"/>
        </w:rPr>
        <w:t>magazine approach response calculated from difference scores</w:t>
      </w:r>
      <w:r>
        <w:rPr>
          <w:sz w:val="24"/>
          <w:szCs w:val="24"/>
          <w:lang w:val="en-GB"/>
        </w:rPr>
        <w:t xml:space="preserve"> (CS - </w:t>
      </w:r>
      <w:proofErr w:type="spellStart"/>
      <w:r>
        <w:rPr>
          <w:sz w:val="24"/>
          <w:szCs w:val="24"/>
          <w:lang w:val="en-GB"/>
        </w:rPr>
        <w:t>PreCS</w:t>
      </w:r>
      <w:proofErr w:type="spellEnd"/>
      <w:r>
        <w:rPr>
          <w:sz w:val="24"/>
          <w:szCs w:val="24"/>
          <w:lang w:val="en-GB"/>
        </w:rPr>
        <w:t>)</w:t>
      </w:r>
      <w:r w:rsidRPr="00151DAA">
        <w:rPr>
          <w:sz w:val="24"/>
          <w:szCs w:val="24"/>
          <w:lang w:val="en-GB"/>
        </w:rPr>
        <w:t xml:space="preserve"> during the </w:t>
      </w:r>
      <w:r>
        <w:rPr>
          <w:sz w:val="24"/>
          <w:szCs w:val="24"/>
          <w:lang w:val="en-GB"/>
        </w:rPr>
        <w:t xml:space="preserve">four blocks of conditioning </w:t>
      </w:r>
      <w:r w:rsidRPr="00151DAA">
        <w:rPr>
          <w:sz w:val="24"/>
          <w:szCs w:val="24"/>
          <w:lang w:val="en-GB"/>
        </w:rPr>
        <w:t>trial</w:t>
      </w:r>
      <w:r>
        <w:rPr>
          <w:sz w:val="24"/>
          <w:szCs w:val="24"/>
          <w:lang w:val="en-GB"/>
        </w:rPr>
        <w:t>s</w:t>
      </w:r>
      <w:r w:rsidRPr="00151DAA">
        <w:rPr>
          <w:sz w:val="24"/>
          <w:szCs w:val="24"/>
          <w:lang w:val="en-GB"/>
        </w:rPr>
        <w:t xml:space="preserve"> </w:t>
      </w:r>
      <w:r>
        <w:rPr>
          <w:sz w:val="24"/>
          <w:szCs w:val="24"/>
          <w:lang w:val="en-GB"/>
        </w:rPr>
        <w:t xml:space="preserve">with the compound stimulus AX </w:t>
      </w:r>
      <w:r w:rsidRPr="00151DAA">
        <w:rPr>
          <w:sz w:val="24"/>
          <w:szCs w:val="24"/>
          <w:lang w:val="en-GB"/>
        </w:rPr>
        <w:t>for Group</w:t>
      </w:r>
      <w:r>
        <w:rPr>
          <w:sz w:val="24"/>
          <w:szCs w:val="24"/>
          <w:lang w:val="en-GB"/>
        </w:rPr>
        <w:t>s Intermixed and Blocked in Experiment 1</w:t>
      </w:r>
      <w:r w:rsidRPr="00151DAA">
        <w:rPr>
          <w:sz w:val="24"/>
          <w:szCs w:val="24"/>
          <w:lang w:val="en-GB"/>
        </w:rPr>
        <w:t>.</w:t>
      </w:r>
    </w:p>
    <w:p w14:paraId="6D578CA9" w14:textId="77777777" w:rsidR="007A4F90" w:rsidRDefault="007A4F90" w:rsidP="007A4F90">
      <w:pPr>
        <w:autoSpaceDE/>
        <w:autoSpaceDN/>
        <w:rPr>
          <w:sz w:val="24"/>
          <w:szCs w:val="24"/>
          <w:lang w:val="en-US"/>
        </w:rPr>
      </w:pPr>
      <w:r>
        <w:rPr>
          <w:sz w:val="24"/>
          <w:szCs w:val="24"/>
          <w:lang w:val="en-US"/>
        </w:rPr>
        <w:br w:type="page"/>
      </w:r>
    </w:p>
    <w:p w14:paraId="52BC1E4A" w14:textId="77777777" w:rsidR="007A4F90" w:rsidRDefault="007A4F90" w:rsidP="007A4F90">
      <w:pPr>
        <w:autoSpaceDE/>
        <w:autoSpaceDN/>
        <w:spacing w:after="200" w:line="480" w:lineRule="auto"/>
      </w:pPr>
      <w:r>
        <w:rPr>
          <w:sz w:val="24"/>
          <w:szCs w:val="24"/>
          <w:lang w:val="en-US"/>
        </w:rPr>
        <w:lastRenderedPageBreak/>
        <w:t>Figure 2</w:t>
      </w:r>
    </w:p>
    <w:p w14:paraId="15E2D022" w14:textId="77777777" w:rsidR="007A4F90" w:rsidRDefault="007A4F90" w:rsidP="007A4F90">
      <w:pPr>
        <w:autoSpaceDE/>
        <w:autoSpaceDN/>
        <w:spacing w:after="200" w:line="480" w:lineRule="auto"/>
        <w:rPr>
          <w:sz w:val="24"/>
          <w:szCs w:val="24"/>
          <w:lang w:val="en-US"/>
        </w:rPr>
      </w:pPr>
      <w:r>
        <w:rPr>
          <w:noProof/>
          <w:lang w:val="en-GB" w:eastAsia="en-GB"/>
        </w:rPr>
        <w:drawing>
          <wp:inline distT="0" distB="0" distL="0" distR="0" wp14:anchorId="4F752854" wp14:editId="5C990218">
            <wp:extent cx="2409825" cy="26098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575443" w14:textId="494BC91F" w:rsidR="007A4F90" w:rsidRDefault="007A4F90" w:rsidP="007A4F90">
      <w:pPr>
        <w:autoSpaceDE/>
        <w:autoSpaceDN/>
        <w:spacing w:after="200" w:line="480" w:lineRule="auto"/>
        <w:rPr>
          <w:sz w:val="24"/>
          <w:szCs w:val="24"/>
          <w:lang w:val="en-GB"/>
        </w:rPr>
      </w:pPr>
      <w:r>
        <w:rPr>
          <w:sz w:val="24"/>
          <w:szCs w:val="24"/>
          <w:lang w:val="en-US"/>
        </w:rPr>
        <w:t xml:space="preserve">Figure 2. </w:t>
      </w:r>
      <w:r w:rsidRPr="00151DAA">
        <w:rPr>
          <w:sz w:val="24"/>
          <w:szCs w:val="24"/>
          <w:lang w:val="en-GB"/>
        </w:rPr>
        <w:t xml:space="preserve">Mean time </w:t>
      </w:r>
      <w:r>
        <w:rPr>
          <w:sz w:val="24"/>
          <w:szCs w:val="24"/>
          <w:lang w:val="en-GB"/>
        </w:rPr>
        <w:t>(±</w:t>
      </w:r>
      <w:r w:rsidRPr="00151DAA">
        <w:rPr>
          <w:i/>
          <w:sz w:val="24"/>
          <w:szCs w:val="24"/>
          <w:lang w:val="en-GB"/>
        </w:rPr>
        <w:t>SEM</w:t>
      </w:r>
      <w:r>
        <w:rPr>
          <w:sz w:val="24"/>
          <w:szCs w:val="24"/>
          <w:lang w:val="en-GB"/>
        </w:rPr>
        <w:t xml:space="preserve">) </w:t>
      </w:r>
      <w:r w:rsidRPr="00151DAA">
        <w:rPr>
          <w:sz w:val="24"/>
          <w:szCs w:val="24"/>
          <w:lang w:val="en-GB"/>
        </w:rPr>
        <w:t>of</w:t>
      </w:r>
      <w:r>
        <w:rPr>
          <w:sz w:val="24"/>
          <w:szCs w:val="24"/>
          <w:lang w:val="en-GB"/>
        </w:rPr>
        <w:t xml:space="preserve"> </w:t>
      </w:r>
      <w:r w:rsidRPr="00151DAA">
        <w:rPr>
          <w:sz w:val="24"/>
          <w:szCs w:val="24"/>
          <w:lang w:val="en-GB"/>
        </w:rPr>
        <w:t>magazine approach response calculated from difference scores</w:t>
      </w:r>
      <w:r>
        <w:rPr>
          <w:sz w:val="24"/>
          <w:szCs w:val="24"/>
          <w:lang w:val="en-GB"/>
        </w:rPr>
        <w:t xml:space="preserve"> (CS - </w:t>
      </w:r>
      <w:proofErr w:type="spellStart"/>
      <w:r>
        <w:rPr>
          <w:sz w:val="24"/>
          <w:szCs w:val="24"/>
          <w:lang w:val="en-GB"/>
        </w:rPr>
        <w:t>PreCS</w:t>
      </w:r>
      <w:proofErr w:type="spellEnd"/>
      <w:r>
        <w:rPr>
          <w:sz w:val="24"/>
          <w:szCs w:val="24"/>
          <w:lang w:val="en-GB"/>
        </w:rPr>
        <w:t>)</w:t>
      </w:r>
      <w:r w:rsidRPr="00151DAA">
        <w:rPr>
          <w:sz w:val="24"/>
          <w:szCs w:val="24"/>
          <w:lang w:val="en-GB"/>
        </w:rPr>
        <w:t xml:space="preserve"> during the </w:t>
      </w:r>
      <w:r>
        <w:rPr>
          <w:sz w:val="24"/>
          <w:szCs w:val="24"/>
          <w:lang w:val="en-GB"/>
        </w:rPr>
        <w:t xml:space="preserve">generalization test </w:t>
      </w:r>
      <w:r w:rsidRPr="00151DAA">
        <w:rPr>
          <w:sz w:val="24"/>
          <w:szCs w:val="24"/>
          <w:lang w:val="en-GB"/>
        </w:rPr>
        <w:t>trial</w:t>
      </w:r>
      <w:r>
        <w:rPr>
          <w:sz w:val="24"/>
          <w:szCs w:val="24"/>
          <w:lang w:val="en-GB"/>
        </w:rPr>
        <w:t>s</w:t>
      </w:r>
      <w:r w:rsidRPr="00151DAA">
        <w:rPr>
          <w:sz w:val="24"/>
          <w:szCs w:val="24"/>
          <w:lang w:val="en-GB"/>
        </w:rPr>
        <w:t xml:space="preserve"> </w:t>
      </w:r>
      <w:r>
        <w:rPr>
          <w:sz w:val="24"/>
          <w:szCs w:val="24"/>
          <w:lang w:val="en-GB"/>
        </w:rPr>
        <w:t xml:space="preserve">with </w:t>
      </w:r>
      <w:r w:rsidR="00D413FA">
        <w:rPr>
          <w:sz w:val="24"/>
          <w:szCs w:val="24"/>
          <w:lang w:val="en-GB"/>
        </w:rPr>
        <w:t xml:space="preserve">the </w:t>
      </w:r>
      <w:r>
        <w:rPr>
          <w:sz w:val="24"/>
          <w:szCs w:val="24"/>
          <w:lang w:val="en-GB"/>
        </w:rPr>
        <w:t xml:space="preserve">compound BX </w:t>
      </w:r>
      <w:r w:rsidRPr="00151DAA">
        <w:rPr>
          <w:sz w:val="24"/>
          <w:szCs w:val="24"/>
          <w:lang w:val="en-GB"/>
        </w:rPr>
        <w:t>for Group</w:t>
      </w:r>
      <w:r>
        <w:rPr>
          <w:sz w:val="24"/>
          <w:szCs w:val="24"/>
          <w:lang w:val="en-GB"/>
        </w:rPr>
        <w:t>s Intermixed and Blocked in Experiment 1</w:t>
      </w:r>
      <w:r w:rsidRPr="00151DAA">
        <w:rPr>
          <w:sz w:val="24"/>
          <w:szCs w:val="24"/>
          <w:lang w:val="en-GB"/>
        </w:rPr>
        <w:t>.</w:t>
      </w:r>
    </w:p>
    <w:p w14:paraId="664852BF" w14:textId="77777777" w:rsidR="007A4F90" w:rsidRDefault="007A4F90" w:rsidP="007A4F90">
      <w:pPr>
        <w:autoSpaceDE/>
        <w:autoSpaceDN/>
        <w:spacing w:after="200" w:line="276" w:lineRule="auto"/>
        <w:rPr>
          <w:sz w:val="24"/>
          <w:szCs w:val="24"/>
          <w:lang w:val="en-US"/>
        </w:rPr>
      </w:pPr>
    </w:p>
    <w:p w14:paraId="7F9B635E" w14:textId="77777777" w:rsidR="007A4F90" w:rsidRDefault="007A4F90" w:rsidP="007A4F90">
      <w:pPr>
        <w:autoSpaceDE/>
        <w:autoSpaceDN/>
        <w:spacing w:after="200" w:line="276" w:lineRule="auto"/>
        <w:rPr>
          <w:sz w:val="24"/>
          <w:szCs w:val="24"/>
          <w:lang w:val="en-US"/>
        </w:rPr>
      </w:pPr>
    </w:p>
    <w:p w14:paraId="07400244" w14:textId="77777777" w:rsidR="007A4F90" w:rsidRDefault="007A4F90" w:rsidP="007A4F90">
      <w:pPr>
        <w:autoSpaceDE/>
        <w:autoSpaceDN/>
        <w:spacing w:after="200" w:line="276" w:lineRule="auto"/>
        <w:rPr>
          <w:sz w:val="24"/>
          <w:szCs w:val="24"/>
          <w:lang w:val="en-US"/>
        </w:rPr>
      </w:pPr>
    </w:p>
    <w:p w14:paraId="3DA39A95" w14:textId="77777777" w:rsidR="007A4F90" w:rsidRDefault="007A4F90" w:rsidP="007A4F90">
      <w:pPr>
        <w:autoSpaceDE/>
        <w:autoSpaceDN/>
        <w:spacing w:after="200" w:line="276" w:lineRule="auto"/>
        <w:rPr>
          <w:sz w:val="24"/>
          <w:szCs w:val="24"/>
          <w:lang w:val="en-US"/>
        </w:rPr>
      </w:pPr>
    </w:p>
    <w:p w14:paraId="486E2297" w14:textId="77777777" w:rsidR="007A4F90" w:rsidRDefault="007A4F90" w:rsidP="007A4F90">
      <w:pPr>
        <w:autoSpaceDE/>
        <w:autoSpaceDN/>
        <w:spacing w:after="200" w:line="276" w:lineRule="auto"/>
        <w:rPr>
          <w:sz w:val="24"/>
          <w:szCs w:val="24"/>
          <w:lang w:val="en-US"/>
        </w:rPr>
      </w:pPr>
    </w:p>
    <w:p w14:paraId="4431DA3D" w14:textId="77777777" w:rsidR="007A4F90" w:rsidRDefault="007A4F90" w:rsidP="007A4F90">
      <w:pPr>
        <w:autoSpaceDE/>
        <w:autoSpaceDN/>
        <w:spacing w:after="200" w:line="276" w:lineRule="auto"/>
        <w:rPr>
          <w:sz w:val="24"/>
          <w:szCs w:val="24"/>
          <w:lang w:val="en-US"/>
        </w:rPr>
      </w:pPr>
    </w:p>
    <w:p w14:paraId="478E38C4" w14:textId="77777777" w:rsidR="007A4F90" w:rsidRDefault="007A4F90" w:rsidP="007A4F90">
      <w:pPr>
        <w:autoSpaceDE/>
        <w:autoSpaceDN/>
        <w:spacing w:after="200" w:line="276" w:lineRule="auto"/>
        <w:rPr>
          <w:sz w:val="24"/>
          <w:szCs w:val="24"/>
          <w:lang w:val="en-US"/>
        </w:rPr>
      </w:pPr>
    </w:p>
    <w:p w14:paraId="3624928B" w14:textId="77777777" w:rsidR="007A4F90" w:rsidRDefault="007A4F90" w:rsidP="007A4F90">
      <w:pPr>
        <w:autoSpaceDE/>
        <w:autoSpaceDN/>
        <w:spacing w:after="200" w:line="276" w:lineRule="auto"/>
        <w:rPr>
          <w:sz w:val="24"/>
          <w:szCs w:val="24"/>
          <w:lang w:val="en-US"/>
        </w:rPr>
      </w:pPr>
    </w:p>
    <w:p w14:paraId="3416A215" w14:textId="77777777" w:rsidR="007A4F90" w:rsidRDefault="007A4F90" w:rsidP="007A4F90">
      <w:pPr>
        <w:autoSpaceDE/>
        <w:autoSpaceDN/>
        <w:spacing w:after="200" w:line="276" w:lineRule="auto"/>
        <w:rPr>
          <w:sz w:val="24"/>
          <w:szCs w:val="24"/>
          <w:lang w:val="en-US"/>
        </w:rPr>
      </w:pPr>
    </w:p>
    <w:p w14:paraId="6354D352" w14:textId="77777777" w:rsidR="007A4F90" w:rsidRDefault="007A4F90" w:rsidP="007A4F90">
      <w:pPr>
        <w:autoSpaceDE/>
        <w:autoSpaceDN/>
        <w:spacing w:after="200" w:line="276" w:lineRule="auto"/>
        <w:rPr>
          <w:sz w:val="24"/>
          <w:szCs w:val="24"/>
          <w:lang w:val="en-US"/>
        </w:rPr>
      </w:pPr>
    </w:p>
    <w:p w14:paraId="483BECDF" w14:textId="77777777" w:rsidR="007A4F90" w:rsidRDefault="007A4F90" w:rsidP="007A4F90">
      <w:pPr>
        <w:autoSpaceDE/>
        <w:autoSpaceDN/>
        <w:spacing w:after="200" w:line="276" w:lineRule="auto"/>
        <w:rPr>
          <w:sz w:val="24"/>
          <w:szCs w:val="24"/>
          <w:lang w:val="en-US"/>
        </w:rPr>
      </w:pPr>
    </w:p>
    <w:p w14:paraId="3DFAF90F" w14:textId="77777777" w:rsidR="007A4F90" w:rsidRDefault="007A4F90" w:rsidP="007A4F90">
      <w:pPr>
        <w:autoSpaceDE/>
        <w:autoSpaceDN/>
        <w:spacing w:after="200" w:line="276" w:lineRule="auto"/>
        <w:rPr>
          <w:sz w:val="24"/>
          <w:szCs w:val="24"/>
          <w:lang w:val="en-US"/>
        </w:rPr>
      </w:pPr>
    </w:p>
    <w:p w14:paraId="60318A51" w14:textId="77777777" w:rsidR="007A4F90" w:rsidRDefault="007A4F90" w:rsidP="007A4F90">
      <w:pPr>
        <w:autoSpaceDE/>
        <w:autoSpaceDN/>
        <w:spacing w:after="200" w:line="276" w:lineRule="auto"/>
        <w:rPr>
          <w:sz w:val="24"/>
          <w:szCs w:val="24"/>
          <w:lang w:val="en-US"/>
        </w:rPr>
      </w:pPr>
    </w:p>
    <w:p w14:paraId="4499D75D" w14:textId="5115B792" w:rsidR="007A4F90" w:rsidRDefault="00D238DA" w:rsidP="007A4F90">
      <w:pPr>
        <w:autoSpaceDE/>
        <w:autoSpaceDN/>
        <w:spacing w:after="200" w:line="276" w:lineRule="auto"/>
        <w:rPr>
          <w:sz w:val="24"/>
          <w:szCs w:val="24"/>
          <w:lang w:val="en-US"/>
        </w:rPr>
      </w:pPr>
      <w:r>
        <w:rPr>
          <w:sz w:val="24"/>
          <w:szCs w:val="24"/>
          <w:lang w:val="en-US"/>
        </w:rPr>
        <w:lastRenderedPageBreak/>
        <w:t>Figure 3</w:t>
      </w:r>
    </w:p>
    <w:p w14:paraId="5CE7D7E3" w14:textId="77777777" w:rsidR="007A4F90" w:rsidRDefault="007A4F90" w:rsidP="007A4F90">
      <w:pPr>
        <w:autoSpaceDE/>
        <w:autoSpaceDN/>
        <w:spacing w:after="200" w:line="276" w:lineRule="auto"/>
        <w:rPr>
          <w:sz w:val="24"/>
          <w:szCs w:val="24"/>
          <w:lang w:val="en-US"/>
        </w:rPr>
      </w:pPr>
    </w:p>
    <w:p w14:paraId="4551F5C8" w14:textId="77777777" w:rsidR="007A4F90" w:rsidRDefault="007A4F90" w:rsidP="007A4F90">
      <w:pPr>
        <w:autoSpaceDE/>
        <w:autoSpaceDN/>
        <w:spacing w:after="200" w:line="276" w:lineRule="auto"/>
        <w:rPr>
          <w:sz w:val="24"/>
          <w:szCs w:val="24"/>
          <w:lang w:val="en-US"/>
        </w:rPr>
      </w:pPr>
      <w:r>
        <w:rPr>
          <w:noProof/>
          <w:lang w:val="en-GB" w:eastAsia="en-GB"/>
        </w:rPr>
        <w:drawing>
          <wp:inline distT="0" distB="0" distL="0" distR="0" wp14:anchorId="4AF2E7D0" wp14:editId="63B3EBD4">
            <wp:extent cx="5133975" cy="2657475"/>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4EDD15" w14:textId="0EE680BE" w:rsidR="007A4F90" w:rsidRDefault="007A4F90" w:rsidP="007A4F90">
      <w:pPr>
        <w:autoSpaceDE/>
        <w:autoSpaceDN/>
        <w:spacing w:after="200" w:line="480" w:lineRule="auto"/>
        <w:rPr>
          <w:sz w:val="24"/>
          <w:szCs w:val="24"/>
          <w:lang w:val="en-US"/>
        </w:rPr>
      </w:pPr>
      <w:r>
        <w:rPr>
          <w:sz w:val="24"/>
          <w:szCs w:val="24"/>
          <w:lang w:val="en-US"/>
        </w:rPr>
        <w:t xml:space="preserve">Figure 4. </w:t>
      </w:r>
      <w:r w:rsidRPr="00A1697B">
        <w:rPr>
          <w:sz w:val="24"/>
          <w:szCs w:val="24"/>
          <w:lang w:val="en-US"/>
        </w:rPr>
        <w:t>Mean time (±SEM) of magazine approach response calculated from difference scores (CS-</w:t>
      </w:r>
      <w:proofErr w:type="spellStart"/>
      <w:r w:rsidRPr="00A1697B">
        <w:rPr>
          <w:sz w:val="24"/>
          <w:szCs w:val="24"/>
          <w:lang w:val="en-US"/>
        </w:rPr>
        <w:t>PreCS</w:t>
      </w:r>
      <w:proofErr w:type="spellEnd"/>
      <w:r w:rsidRPr="00A1697B">
        <w:rPr>
          <w:sz w:val="24"/>
          <w:szCs w:val="24"/>
          <w:lang w:val="en-US"/>
        </w:rPr>
        <w:t xml:space="preserve">) during the six blocks of </w:t>
      </w:r>
      <w:r w:rsidR="00D413FA">
        <w:rPr>
          <w:sz w:val="24"/>
          <w:szCs w:val="24"/>
          <w:lang w:val="en-US"/>
        </w:rPr>
        <w:t xml:space="preserve">five </w:t>
      </w:r>
      <w:r w:rsidRPr="00A1697B">
        <w:rPr>
          <w:sz w:val="24"/>
          <w:szCs w:val="24"/>
          <w:lang w:val="en-US"/>
        </w:rPr>
        <w:t>conditioning trials with element X (left hand panel) and A (right hand panel) for Groups Inter</w:t>
      </w:r>
      <w:r>
        <w:rPr>
          <w:sz w:val="24"/>
          <w:szCs w:val="24"/>
          <w:lang w:val="en-US"/>
        </w:rPr>
        <w:t>mi</w:t>
      </w:r>
      <w:r w:rsidR="00D238DA">
        <w:rPr>
          <w:sz w:val="24"/>
          <w:szCs w:val="24"/>
          <w:lang w:val="en-US"/>
        </w:rPr>
        <w:t>xed and Blocked in Experiment 2A.</w:t>
      </w:r>
    </w:p>
    <w:p w14:paraId="3BE5B86A" w14:textId="62271922" w:rsidR="00D238DA" w:rsidRDefault="00D238DA">
      <w:pPr>
        <w:autoSpaceDE/>
        <w:autoSpaceDN/>
        <w:rPr>
          <w:sz w:val="24"/>
          <w:szCs w:val="24"/>
          <w:lang w:val="en-US"/>
        </w:rPr>
      </w:pPr>
      <w:r>
        <w:rPr>
          <w:sz w:val="24"/>
          <w:szCs w:val="24"/>
          <w:lang w:val="en-US"/>
        </w:rPr>
        <w:br w:type="page"/>
      </w:r>
    </w:p>
    <w:p w14:paraId="6F3E0318" w14:textId="33B265E3" w:rsidR="00D238DA" w:rsidRDefault="00D238DA" w:rsidP="00D238DA">
      <w:pPr>
        <w:autoSpaceDE/>
        <w:autoSpaceDN/>
        <w:spacing w:after="200" w:line="276" w:lineRule="auto"/>
        <w:rPr>
          <w:sz w:val="24"/>
          <w:szCs w:val="24"/>
          <w:lang w:val="en-US"/>
        </w:rPr>
      </w:pPr>
      <w:r>
        <w:rPr>
          <w:sz w:val="24"/>
          <w:szCs w:val="24"/>
          <w:lang w:val="en-US"/>
        </w:rPr>
        <w:lastRenderedPageBreak/>
        <w:t>Figure 4</w:t>
      </w:r>
    </w:p>
    <w:p w14:paraId="5DFB7587" w14:textId="77777777" w:rsidR="00D238DA" w:rsidRDefault="00D238DA" w:rsidP="00D238DA">
      <w:pPr>
        <w:autoSpaceDE/>
        <w:autoSpaceDN/>
        <w:spacing w:after="200" w:line="276" w:lineRule="auto"/>
        <w:rPr>
          <w:sz w:val="24"/>
          <w:szCs w:val="24"/>
          <w:lang w:val="en-US"/>
        </w:rPr>
      </w:pPr>
    </w:p>
    <w:p w14:paraId="3909964C" w14:textId="77777777" w:rsidR="00D238DA" w:rsidRDefault="00D238DA" w:rsidP="00D238DA">
      <w:pPr>
        <w:autoSpaceDE/>
        <w:autoSpaceDN/>
        <w:spacing w:after="200" w:line="276" w:lineRule="auto"/>
        <w:rPr>
          <w:sz w:val="24"/>
          <w:szCs w:val="24"/>
          <w:lang w:val="en-US"/>
        </w:rPr>
      </w:pPr>
      <w:r>
        <w:rPr>
          <w:noProof/>
          <w:lang w:val="en-GB" w:eastAsia="en-GB"/>
        </w:rPr>
        <w:drawing>
          <wp:inline distT="0" distB="0" distL="0" distR="0" wp14:anchorId="5056526F" wp14:editId="1AA54FC2">
            <wp:extent cx="5114925" cy="26193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D7AEB6" w14:textId="3E1D46B5" w:rsidR="00D238DA" w:rsidRDefault="00D238DA" w:rsidP="00D238DA">
      <w:pPr>
        <w:autoSpaceDE/>
        <w:autoSpaceDN/>
        <w:spacing w:after="200" w:line="480" w:lineRule="auto"/>
        <w:rPr>
          <w:sz w:val="24"/>
          <w:szCs w:val="24"/>
          <w:lang w:val="en-GB"/>
        </w:rPr>
      </w:pPr>
      <w:r>
        <w:rPr>
          <w:sz w:val="24"/>
          <w:szCs w:val="24"/>
          <w:lang w:val="en-US"/>
        </w:rPr>
        <w:t xml:space="preserve">Figure 4. </w:t>
      </w:r>
      <w:r w:rsidRPr="00151DAA">
        <w:rPr>
          <w:sz w:val="24"/>
          <w:szCs w:val="24"/>
          <w:lang w:val="en-GB"/>
        </w:rPr>
        <w:t xml:space="preserve">Mean time </w:t>
      </w:r>
      <w:r>
        <w:rPr>
          <w:sz w:val="24"/>
          <w:szCs w:val="24"/>
          <w:lang w:val="en-GB"/>
        </w:rPr>
        <w:t>(±</w:t>
      </w:r>
      <w:r w:rsidRPr="00151DAA">
        <w:rPr>
          <w:i/>
          <w:sz w:val="24"/>
          <w:szCs w:val="24"/>
          <w:lang w:val="en-GB"/>
        </w:rPr>
        <w:t>SEM</w:t>
      </w:r>
      <w:r>
        <w:rPr>
          <w:sz w:val="24"/>
          <w:szCs w:val="24"/>
          <w:lang w:val="en-GB"/>
        </w:rPr>
        <w:t xml:space="preserve">) </w:t>
      </w:r>
      <w:r w:rsidRPr="00151DAA">
        <w:rPr>
          <w:sz w:val="24"/>
          <w:szCs w:val="24"/>
          <w:lang w:val="en-GB"/>
        </w:rPr>
        <w:t>of</w:t>
      </w:r>
      <w:r>
        <w:rPr>
          <w:sz w:val="24"/>
          <w:szCs w:val="24"/>
          <w:lang w:val="en-GB"/>
        </w:rPr>
        <w:t xml:space="preserve"> </w:t>
      </w:r>
      <w:r w:rsidRPr="00151DAA">
        <w:rPr>
          <w:sz w:val="24"/>
          <w:szCs w:val="24"/>
          <w:lang w:val="en-GB"/>
        </w:rPr>
        <w:t>magazine approach response calculated from difference scores</w:t>
      </w:r>
      <w:r>
        <w:rPr>
          <w:sz w:val="24"/>
          <w:szCs w:val="24"/>
          <w:lang w:val="en-GB"/>
        </w:rPr>
        <w:t xml:space="preserve"> (CS-</w:t>
      </w:r>
      <w:proofErr w:type="spellStart"/>
      <w:r>
        <w:rPr>
          <w:sz w:val="24"/>
          <w:szCs w:val="24"/>
          <w:lang w:val="en-GB"/>
        </w:rPr>
        <w:t>PreCS</w:t>
      </w:r>
      <w:proofErr w:type="spellEnd"/>
      <w:r>
        <w:rPr>
          <w:sz w:val="24"/>
          <w:szCs w:val="24"/>
          <w:lang w:val="en-GB"/>
        </w:rPr>
        <w:t>)</w:t>
      </w:r>
      <w:r w:rsidRPr="00151DAA">
        <w:rPr>
          <w:sz w:val="24"/>
          <w:szCs w:val="24"/>
          <w:lang w:val="en-GB"/>
        </w:rPr>
        <w:t xml:space="preserve"> during the </w:t>
      </w:r>
      <w:r>
        <w:rPr>
          <w:sz w:val="24"/>
          <w:szCs w:val="24"/>
          <w:lang w:val="en-GB"/>
        </w:rPr>
        <w:t xml:space="preserve">six blocks of five conditioning </w:t>
      </w:r>
      <w:r w:rsidRPr="00151DAA">
        <w:rPr>
          <w:sz w:val="24"/>
          <w:szCs w:val="24"/>
          <w:lang w:val="en-GB"/>
        </w:rPr>
        <w:t>trial</w:t>
      </w:r>
      <w:r>
        <w:rPr>
          <w:sz w:val="24"/>
          <w:szCs w:val="24"/>
          <w:lang w:val="en-GB"/>
        </w:rPr>
        <w:t>s</w:t>
      </w:r>
      <w:r w:rsidRPr="00151DAA">
        <w:rPr>
          <w:sz w:val="24"/>
          <w:szCs w:val="24"/>
          <w:lang w:val="en-GB"/>
        </w:rPr>
        <w:t xml:space="preserve"> </w:t>
      </w:r>
      <w:r>
        <w:rPr>
          <w:sz w:val="24"/>
          <w:szCs w:val="24"/>
          <w:lang w:val="en-GB"/>
        </w:rPr>
        <w:t xml:space="preserve">with element X (left hand panel) and A (right hand panel) </w:t>
      </w:r>
      <w:r w:rsidRPr="00151DAA">
        <w:rPr>
          <w:sz w:val="24"/>
          <w:szCs w:val="24"/>
          <w:lang w:val="en-GB"/>
        </w:rPr>
        <w:t>for Group</w:t>
      </w:r>
      <w:r>
        <w:rPr>
          <w:sz w:val="24"/>
          <w:szCs w:val="24"/>
          <w:lang w:val="en-GB"/>
        </w:rPr>
        <w:t>s Intermixed and Blocked in Experiment 2B</w:t>
      </w:r>
      <w:r w:rsidRPr="00151DAA">
        <w:rPr>
          <w:sz w:val="24"/>
          <w:szCs w:val="24"/>
          <w:lang w:val="en-GB"/>
        </w:rPr>
        <w:t>.</w:t>
      </w:r>
    </w:p>
    <w:p w14:paraId="10FC210C" w14:textId="77777777" w:rsidR="00D238DA" w:rsidRDefault="00D238DA" w:rsidP="007A4F90">
      <w:pPr>
        <w:autoSpaceDE/>
        <w:autoSpaceDN/>
        <w:spacing w:after="200" w:line="480" w:lineRule="auto"/>
        <w:rPr>
          <w:sz w:val="24"/>
          <w:szCs w:val="24"/>
          <w:lang w:val="en-GB"/>
        </w:rPr>
      </w:pPr>
    </w:p>
    <w:p w14:paraId="10847042" w14:textId="77777777" w:rsidR="007A4F90" w:rsidRDefault="007A4F90" w:rsidP="007A4F90">
      <w:pPr>
        <w:autoSpaceDE/>
        <w:autoSpaceDN/>
        <w:rPr>
          <w:sz w:val="24"/>
          <w:szCs w:val="24"/>
          <w:lang w:val="en-US"/>
        </w:rPr>
      </w:pPr>
      <w:r>
        <w:rPr>
          <w:sz w:val="24"/>
          <w:szCs w:val="24"/>
          <w:lang w:val="en-US"/>
        </w:rPr>
        <w:br w:type="page"/>
      </w:r>
    </w:p>
    <w:p w14:paraId="43D350BE" w14:textId="77777777" w:rsidR="007A4F90" w:rsidRDefault="007A4F90" w:rsidP="007A4F90">
      <w:pPr>
        <w:autoSpaceDE/>
        <w:autoSpaceDN/>
        <w:spacing w:after="200" w:line="276" w:lineRule="auto"/>
        <w:rPr>
          <w:sz w:val="24"/>
          <w:szCs w:val="24"/>
          <w:lang w:val="en-US"/>
        </w:rPr>
      </w:pPr>
      <w:r>
        <w:rPr>
          <w:sz w:val="24"/>
          <w:szCs w:val="24"/>
          <w:lang w:val="en-US"/>
        </w:rPr>
        <w:lastRenderedPageBreak/>
        <w:t>Figure 5</w:t>
      </w:r>
    </w:p>
    <w:p w14:paraId="1CCD6EC7" w14:textId="77777777" w:rsidR="007A4F90" w:rsidRDefault="007A4F90" w:rsidP="007A4F90">
      <w:pPr>
        <w:autoSpaceDE/>
        <w:autoSpaceDN/>
        <w:spacing w:after="200" w:line="276" w:lineRule="auto"/>
        <w:rPr>
          <w:sz w:val="24"/>
          <w:szCs w:val="24"/>
          <w:lang w:val="en-US"/>
        </w:rPr>
      </w:pPr>
    </w:p>
    <w:p w14:paraId="101F9566" w14:textId="77777777" w:rsidR="007A4F90" w:rsidRDefault="007A4F90" w:rsidP="007A4F90">
      <w:pPr>
        <w:autoSpaceDE/>
        <w:autoSpaceDN/>
        <w:spacing w:after="200" w:line="276" w:lineRule="auto"/>
        <w:rPr>
          <w:sz w:val="24"/>
          <w:szCs w:val="24"/>
          <w:lang w:val="en-US"/>
        </w:rPr>
      </w:pPr>
      <w:r>
        <w:rPr>
          <w:noProof/>
          <w:lang w:val="en-GB" w:eastAsia="en-GB"/>
        </w:rPr>
        <w:drawing>
          <wp:inline distT="0" distB="0" distL="0" distR="0" wp14:anchorId="086B18FB" wp14:editId="0FAA1D6B">
            <wp:extent cx="4505325"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B31A03" w14:textId="77777777" w:rsidR="007A4F90" w:rsidRDefault="007A4F90" w:rsidP="007A4F90">
      <w:pPr>
        <w:autoSpaceDE/>
        <w:autoSpaceDN/>
        <w:spacing w:after="200" w:line="276" w:lineRule="auto"/>
        <w:rPr>
          <w:sz w:val="24"/>
          <w:szCs w:val="24"/>
          <w:lang w:val="en-US"/>
        </w:rPr>
      </w:pPr>
    </w:p>
    <w:p w14:paraId="3FF9A228" w14:textId="0C68790F" w:rsidR="007A4F90" w:rsidRDefault="007A4F90" w:rsidP="007A4F90">
      <w:pPr>
        <w:autoSpaceDE/>
        <w:autoSpaceDN/>
        <w:spacing w:after="200" w:line="480" w:lineRule="auto"/>
        <w:rPr>
          <w:sz w:val="24"/>
          <w:szCs w:val="24"/>
          <w:lang w:val="en-US"/>
        </w:rPr>
      </w:pPr>
      <w:r>
        <w:rPr>
          <w:sz w:val="24"/>
          <w:szCs w:val="24"/>
          <w:lang w:val="en-US"/>
        </w:rPr>
        <w:t xml:space="preserve">Figure 5. </w:t>
      </w:r>
      <w:r w:rsidRPr="00151DAA">
        <w:rPr>
          <w:sz w:val="24"/>
          <w:szCs w:val="24"/>
          <w:lang w:val="en-GB"/>
        </w:rPr>
        <w:t xml:space="preserve">Mean time </w:t>
      </w:r>
      <w:r>
        <w:rPr>
          <w:sz w:val="24"/>
          <w:szCs w:val="24"/>
          <w:lang w:val="en-GB"/>
        </w:rPr>
        <w:t>(±</w:t>
      </w:r>
      <w:r w:rsidRPr="00151DAA">
        <w:rPr>
          <w:i/>
          <w:sz w:val="24"/>
          <w:szCs w:val="24"/>
          <w:lang w:val="en-GB"/>
        </w:rPr>
        <w:t>SEM</w:t>
      </w:r>
      <w:r>
        <w:rPr>
          <w:sz w:val="24"/>
          <w:szCs w:val="24"/>
          <w:lang w:val="en-GB"/>
        </w:rPr>
        <w:t xml:space="preserve">) </w:t>
      </w:r>
      <w:r w:rsidRPr="00151DAA">
        <w:rPr>
          <w:sz w:val="24"/>
          <w:szCs w:val="24"/>
          <w:lang w:val="en-GB"/>
        </w:rPr>
        <w:t>of</w:t>
      </w:r>
      <w:r>
        <w:rPr>
          <w:sz w:val="24"/>
          <w:szCs w:val="24"/>
          <w:lang w:val="en-GB"/>
        </w:rPr>
        <w:t xml:space="preserve"> </w:t>
      </w:r>
      <w:r w:rsidRPr="00151DAA">
        <w:rPr>
          <w:sz w:val="24"/>
          <w:szCs w:val="24"/>
          <w:lang w:val="en-GB"/>
        </w:rPr>
        <w:t>magazine approach response calculated from difference scores</w:t>
      </w:r>
      <w:r>
        <w:rPr>
          <w:sz w:val="24"/>
          <w:szCs w:val="24"/>
          <w:lang w:val="en-GB"/>
        </w:rPr>
        <w:t xml:space="preserve"> (CS - </w:t>
      </w:r>
      <w:proofErr w:type="spellStart"/>
      <w:r>
        <w:rPr>
          <w:sz w:val="24"/>
          <w:szCs w:val="24"/>
          <w:lang w:val="en-GB"/>
        </w:rPr>
        <w:t>PreCS</w:t>
      </w:r>
      <w:proofErr w:type="spellEnd"/>
      <w:r>
        <w:rPr>
          <w:sz w:val="24"/>
          <w:szCs w:val="24"/>
          <w:lang w:val="en-GB"/>
        </w:rPr>
        <w:t>)</w:t>
      </w:r>
      <w:r w:rsidRPr="00151DAA">
        <w:rPr>
          <w:sz w:val="24"/>
          <w:szCs w:val="24"/>
          <w:lang w:val="en-GB"/>
        </w:rPr>
        <w:t xml:space="preserve"> during the </w:t>
      </w:r>
      <w:r>
        <w:rPr>
          <w:sz w:val="24"/>
          <w:szCs w:val="24"/>
          <w:lang w:val="en-GB"/>
        </w:rPr>
        <w:t xml:space="preserve">six blocks of </w:t>
      </w:r>
      <w:r w:rsidR="00D413FA">
        <w:rPr>
          <w:sz w:val="24"/>
          <w:szCs w:val="24"/>
          <w:lang w:val="en-GB"/>
        </w:rPr>
        <w:t xml:space="preserve">five </w:t>
      </w:r>
      <w:r>
        <w:rPr>
          <w:sz w:val="24"/>
          <w:szCs w:val="24"/>
          <w:lang w:val="en-GB"/>
        </w:rPr>
        <w:t xml:space="preserve">conditioning </w:t>
      </w:r>
      <w:r w:rsidRPr="00151DAA">
        <w:rPr>
          <w:sz w:val="24"/>
          <w:szCs w:val="24"/>
          <w:lang w:val="en-GB"/>
        </w:rPr>
        <w:t>trial</w:t>
      </w:r>
      <w:r>
        <w:rPr>
          <w:sz w:val="24"/>
          <w:szCs w:val="24"/>
          <w:lang w:val="en-GB"/>
        </w:rPr>
        <w:t>s</w:t>
      </w:r>
      <w:r w:rsidRPr="00151DAA">
        <w:rPr>
          <w:sz w:val="24"/>
          <w:szCs w:val="24"/>
          <w:lang w:val="en-GB"/>
        </w:rPr>
        <w:t xml:space="preserve"> </w:t>
      </w:r>
      <w:r>
        <w:rPr>
          <w:sz w:val="24"/>
          <w:szCs w:val="24"/>
          <w:lang w:val="en-GB"/>
        </w:rPr>
        <w:t xml:space="preserve">with the </w:t>
      </w:r>
      <w:r w:rsidR="00D413FA">
        <w:rPr>
          <w:sz w:val="24"/>
          <w:szCs w:val="24"/>
          <w:lang w:val="en-GB"/>
        </w:rPr>
        <w:t>Y element used as the CS</w:t>
      </w:r>
      <w:r>
        <w:rPr>
          <w:sz w:val="24"/>
          <w:szCs w:val="24"/>
          <w:lang w:val="en-GB"/>
        </w:rPr>
        <w:t xml:space="preserve"> </w:t>
      </w:r>
      <w:r w:rsidRPr="00151DAA">
        <w:rPr>
          <w:sz w:val="24"/>
          <w:szCs w:val="24"/>
          <w:lang w:val="en-GB"/>
        </w:rPr>
        <w:t>for Group</w:t>
      </w:r>
      <w:r>
        <w:rPr>
          <w:sz w:val="24"/>
          <w:szCs w:val="24"/>
          <w:lang w:val="en-GB"/>
        </w:rPr>
        <w:t>s Intermixed and Blocked in Experiment 3</w:t>
      </w:r>
      <w:r w:rsidRPr="00151DAA">
        <w:rPr>
          <w:sz w:val="24"/>
          <w:szCs w:val="24"/>
          <w:lang w:val="en-GB"/>
        </w:rPr>
        <w:t>.</w:t>
      </w:r>
    </w:p>
    <w:p w14:paraId="66CEB3CB" w14:textId="77777777" w:rsidR="007A4F90" w:rsidRDefault="007A4F90" w:rsidP="007A4F90">
      <w:pPr>
        <w:autoSpaceDE/>
        <w:autoSpaceDN/>
        <w:rPr>
          <w:sz w:val="24"/>
          <w:szCs w:val="24"/>
          <w:lang w:val="en-US"/>
        </w:rPr>
      </w:pPr>
      <w:r>
        <w:rPr>
          <w:sz w:val="24"/>
          <w:szCs w:val="24"/>
          <w:lang w:val="en-US"/>
        </w:rPr>
        <w:br w:type="page"/>
      </w:r>
    </w:p>
    <w:p w14:paraId="22D455BA" w14:textId="77777777" w:rsidR="007A4F90" w:rsidRDefault="007A4F90" w:rsidP="007A4F90">
      <w:pPr>
        <w:autoSpaceDE/>
        <w:autoSpaceDN/>
        <w:spacing w:after="200" w:line="480" w:lineRule="auto"/>
        <w:rPr>
          <w:sz w:val="24"/>
          <w:szCs w:val="24"/>
          <w:lang w:val="en-US"/>
        </w:rPr>
      </w:pPr>
      <w:r>
        <w:rPr>
          <w:sz w:val="24"/>
          <w:szCs w:val="24"/>
          <w:lang w:val="en-US"/>
        </w:rPr>
        <w:lastRenderedPageBreak/>
        <w:t>Figure 6</w:t>
      </w:r>
    </w:p>
    <w:p w14:paraId="46E99863" w14:textId="77777777" w:rsidR="007A4F90" w:rsidRDefault="007A4F90" w:rsidP="007A4F90">
      <w:pPr>
        <w:autoSpaceDE/>
        <w:autoSpaceDN/>
        <w:spacing w:after="200" w:line="276" w:lineRule="auto"/>
        <w:rPr>
          <w:sz w:val="24"/>
          <w:szCs w:val="24"/>
          <w:lang w:val="en-US"/>
        </w:rPr>
      </w:pPr>
      <w:r>
        <w:rPr>
          <w:noProof/>
          <w:lang w:val="en-GB" w:eastAsia="en-GB"/>
        </w:rPr>
        <w:drawing>
          <wp:inline distT="0" distB="0" distL="0" distR="0" wp14:anchorId="0C37493F" wp14:editId="31E6B6EA">
            <wp:extent cx="2562225" cy="2619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87E350" w14:textId="77777777" w:rsidR="007A4F90" w:rsidRDefault="007A4F90" w:rsidP="007A4F90">
      <w:pPr>
        <w:autoSpaceDE/>
        <w:autoSpaceDN/>
        <w:spacing w:after="200" w:line="276" w:lineRule="auto"/>
        <w:rPr>
          <w:sz w:val="24"/>
          <w:szCs w:val="24"/>
          <w:lang w:val="en-US"/>
        </w:rPr>
      </w:pPr>
    </w:p>
    <w:p w14:paraId="1A282345" w14:textId="77777777" w:rsidR="007A4F90" w:rsidRDefault="007A4F90" w:rsidP="007A4F90">
      <w:pPr>
        <w:autoSpaceDE/>
        <w:autoSpaceDN/>
        <w:spacing w:after="200" w:line="480" w:lineRule="auto"/>
        <w:rPr>
          <w:sz w:val="24"/>
          <w:szCs w:val="24"/>
          <w:lang w:val="en-GB"/>
        </w:rPr>
      </w:pPr>
      <w:r>
        <w:rPr>
          <w:sz w:val="24"/>
          <w:szCs w:val="24"/>
          <w:lang w:val="en-US"/>
        </w:rPr>
        <w:t xml:space="preserve">Figure 6. </w:t>
      </w:r>
      <w:r w:rsidRPr="00151DAA">
        <w:rPr>
          <w:sz w:val="24"/>
          <w:szCs w:val="24"/>
          <w:lang w:val="en-GB"/>
        </w:rPr>
        <w:t xml:space="preserve">Mean time </w:t>
      </w:r>
      <w:r>
        <w:rPr>
          <w:sz w:val="24"/>
          <w:szCs w:val="24"/>
          <w:lang w:val="en-GB"/>
        </w:rPr>
        <w:t>(±</w:t>
      </w:r>
      <w:r w:rsidRPr="00151DAA">
        <w:rPr>
          <w:i/>
          <w:sz w:val="24"/>
          <w:szCs w:val="24"/>
          <w:lang w:val="en-GB"/>
        </w:rPr>
        <w:t>SEM</w:t>
      </w:r>
      <w:r>
        <w:rPr>
          <w:sz w:val="24"/>
          <w:szCs w:val="24"/>
          <w:lang w:val="en-GB"/>
        </w:rPr>
        <w:t xml:space="preserve">) </w:t>
      </w:r>
      <w:r w:rsidRPr="00151DAA">
        <w:rPr>
          <w:sz w:val="24"/>
          <w:szCs w:val="24"/>
          <w:lang w:val="en-GB"/>
        </w:rPr>
        <w:t>of</w:t>
      </w:r>
      <w:r>
        <w:rPr>
          <w:sz w:val="24"/>
          <w:szCs w:val="24"/>
          <w:lang w:val="en-GB"/>
        </w:rPr>
        <w:t xml:space="preserve"> </w:t>
      </w:r>
      <w:r w:rsidRPr="00151DAA">
        <w:rPr>
          <w:sz w:val="24"/>
          <w:szCs w:val="24"/>
          <w:lang w:val="en-GB"/>
        </w:rPr>
        <w:t>magazine approach response calculated from difference scores</w:t>
      </w:r>
      <w:r>
        <w:rPr>
          <w:sz w:val="24"/>
          <w:szCs w:val="24"/>
          <w:lang w:val="en-GB"/>
        </w:rPr>
        <w:t xml:space="preserve"> (CS-</w:t>
      </w:r>
      <w:proofErr w:type="spellStart"/>
      <w:r>
        <w:rPr>
          <w:sz w:val="24"/>
          <w:szCs w:val="24"/>
          <w:lang w:val="en-GB"/>
        </w:rPr>
        <w:t>PreCS</w:t>
      </w:r>
      <w:proofErr w:type="spellEnd"/>
      <w:r>
        <w:rPr>
          <w:sz w:val="24"/>
          <w:szCs w:val="24"/>
          <w:lang w:val="en-GB"/>
        </w:rPr>
        <w:t>)</w:t>
      </w:r>
      <w:r w:rsidRPr="00151DAA">
        <w:rPr>
          <w:sz w:val="24"/>
          <w:szCs w:val="24"/>
          <w:lang w:val="en-GB"/>
        </w:rPr>
        <w:t xml:space="preserve"> </w:t>
      </w:r>
      <w:r>
        <w:rPr>
          <w:sz w:val="24"/>
          <w:szCs w:val="24"/>
          <w:lang w:val="en-GB"/>
        </w:rPr>
        <w:t xml:space="preserve">in the superimposition test with the compound YA </w:t>
      </w:r>
      <w:r w:rsidRPr="00151DAA">
        <w:rPr>
          <w:sz w:val="24"/>
          <w:szCs w:val="24"/>
          <w:lang w:val="en-GB"/>
        </w:rPr>
        <w:t>for Group</w:t>
      </w:r>
      <w:r>
        <w:rPr>
          <w:sz w:val="24"/>
          <w:szCs w:val="24"/>
          <w:lang w:val="en-GB"/>
        </w:rPr>
        <w:t>s Intermixed and Blocked in Experiment 3</w:t>
      </w:r>
      <w:r w:rsidRPr="00151DAA">
        <w:rPr>
          <w:sz w:val="24"/>
          <w:szCs w:val="24"/>
          <w:lang w:val="en-GB"/>
        </w:rPr>
        <w:t>.</w:t>
      </w:r>
    </w:p>
    <w:p w14:paraId="10DDD22E" w14:textId="77777777" w:rsidR="007A4F90" w:rsidRDefault="007A4F90" w:rsidP="007A4F90">
      <w:pPr>
        <w:autoSpaceDE/>
        <w:autoSpaceDN/>
        <w:rPr>
          <w:sz w:val="24"/>
          <w:szCs w:val="24"/>
          <w:lang w:val="en-GB"/>
        </w:rPr>
      </w:pPr>
    </w:p>
    <w:p w14:paraId="2DD7C333" w14:textId="77777777" w:rsidR="007A4F90" w:rsidRDefault="007A4F90" w:rsidP="00E549BD">
      <w:pPr>
        <w:tabs>
          <w:tab w:val="center" w:pos="4700"/>
          <w:tab w:val="left" w:pos="5873"/>
        </w:tabs>
        <w:spacing w:line="480" w:lineRule="auto"/>
        <w:ind w:right="-45" w:firstLine="567"/>
        <w:rPr>
          <w:sz w:val="24"/>
          <w:szCs w:val="24"/>
          <w:lang w:val="en-US"/>
        </w:rPr>
      </w:pPr>
    </w:p>
    <w:sectPr w:rsidR="007A4F90" w:rsidSect="004E6466">
      <w:headerReference w:type="default" r:id="rId16"/>
      <w:footerReference w:type="default" r:id="rId17"/>
      <w:type w:val="oddPage"/>
      <w:pgSz w:w="11907" w:h="16840" w:code="9"/>
      <w:pgMar w:top="1418" w:right="1701" w:bottom="1418"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6463" w14:textId="77777777" w:rsidR="00643FBC" w:rsidRDefault="00643FBC">
      <w:r>
        <w:separator/>
      </w:r>
    </w:p>
  </w:endnote>
  <w:endnote w:type="continuationSeparator" w:id="0">
    <w:p w14:paraId="62AACAC0" w14:textId="77777777" w:rsidR="00643FBC" w:rsidRDefault="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FB13" w14:textId="77777777" w:rsidR="001E6CC8" w:rsidRDefault="001E6CC8">
    <w:pPr>
      <w:pStyle w:val="Footer"/>
    </w:pPr>
  </w:p>
  <w:p w14:paraId="2087DD53" w14:textId="77777777" w:rsidR="001E6CC8" w:rsidRPr="00CF0D99" w:rsidRDefault="001E6CC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CB92" w14:textId="77777777" w:rsidR="00643FBC" w:rsidRDefault="00643FBC">
      <w:r>
        <w:separator/>
      </w:r>
    </w:p>
  </w:footnote>
  <w:footnote w:type="continuationSeparator" w:id="0">
    <w:p w14:paraId="778D4046" w14:textId="77777777" w:rsidR="00643FBC" w:rsidRDefault="0064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2671" w14:textId="6DCE3DA2" w:rsidR="001E6CC8" w:rsidRPr="006104C7" w:rsidRDefault="001E6CC8" w:rsidP="00687C36">
    <w:pPr>
      <w:pStyle w:val="Header"/>
      <w:jc w:val="right"/>
      <w:rPr>
        <w:sz w:val="24"/>
        <w:szCs w:val="24"/>
        <w:lang w:val="en-GB"/>
      </w:rPr>
    </w:pPr>
    <w:r>
      <w:rPr>
        <w:sz w:val="24"/>
        <w:szCs w:val="24"/>
        <w:lang w:val="en-GB"/>
      </w:rPr>
      <w:t>Perceptual learning mechanisms</w:t>
    </w:r>
    <w:r w:rsidRPr="006104C7">
      <w:rPr>
        <w:sz w:val="24"/>
        <w:szCs w:val="24"/>
        <w:lang w:val="en-GB"/>
      </w:rPr>
      <w:t xml:space="preserve">     </w:t>
    </w:r>
    <w:r>
      <w:rPr>
        <w:rStyle w:val="PageNumber"/>
      </w:rPr>
      <w:fldChar w:fldCharType="begin"/>
    </w:r>
    <w:r w:rsidRPr="006104C7">
      <w:rPr>
        <w:rStyle w:val="PageNumber"/>
        <w:lang w:val="en-GB"/>
      </w:rPr>
      <w:instrText xml:space="preserve"> PAGE </w:instrText>
    </w:r>
    <w:r>
      <w:rPr>
        <w:rStyle w:val="PageNumber"/>
      </w:rPr>
      <w:fldChar w:fldCharType="separate"/>
    </w:r>
    <w:r w:rsidR="00556A51">
      <w:rPr>
        <w:rStyle w:val="PageNumber"/>
        <w:noProof/>
        <w:lang w:val="en-GB"/>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6CA"/>
    <w:multiLevelType w:val="hybridMultilevel"/>
    <w:tmpl w:val="36F82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00D78"/>
    <w:multiLevelType w:val="hybridMultilevel"/>
    <w:tmpl w:val="183AB860"/>
    <w:lvl w:ilvl="0" w:tplc="BB0E7886">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353A7"/>
    <w:multiLevelType w:val="hybridMultilevel"/>
    <w:tmpl w:val="E02CB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A02E76"/>
    <w:multiLevelType w:val="hybridMultilevel"/>
    <w:tmpl w:val="8FE6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348B6"/>
    <w:multiLevelType w:val="hybridMultilevel"/>
    <w:tmpl w:val="654C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E4"/>
    <w:rsid w:val="000006AE"/>
    <w:rsid w:val="000011C1"/>
    <w:rsid w:val="000021D3"/>
    <w:rsid w:val="0000240A"/>
    <w:rsid w:val="00002954"/>
    <w:rsid w:val="000038D2"/>
    <w:rsid w:val="0000640C"/>
    <w:rsid w:val="00010CE5"/>
    <w:rsid w:val="00011D46"/>
    <w:rsid w:val="0001254A"/>
    <w:rsid w:val="000148C2"/>
    <w:rsid w:val="00014C37"/>
    <w:rsid w:val="0001658A"/>
    <w:rsid w:val="00017A91"/>
    <w:rsid w:val="00020882"/>
    <w:rsid w:val="000209B2"/>
    <w:rsid w:val="00020CA4"/>
    <w:rsid w:val="00021CB4"/>
    <w:rsid w:val="0002396D"/>
    <w:rsid w:val="00023E10"/>
    <w:rsid w:val="000244CC"/>
    <w:rsid w:val="00024669"/>
    <w:rsid w:val="0002507E"/>
    <w:rsid w:val="000255DE"/>
    <w:rsid w:val="00026329"/>
    <w:rsid w:val="00026944"/>
    <w:rsid w:val="00027D28"/>
    <w:rsid w:val="000308C2"/>
    <w:rsid w:val="00030B99"/>
    <w:rsid w:val="000328F5"/>
    <w:rsid w:val="000340F1"/>
    <w:rsid w:val="00035710"/>
    <w:rsid w:val="0003608E"/>
    <w:rsid w:val="000369F1"/>
    <w:rsid w:val="000376D3"/>
    <w:rsid w:val="0004005E"/>
    <w:rsid w:val="00040AB6"/>
    <w:rsid w:val="00041964"/>
    <w:rsid w:val="00041AE0"/>
    <w:rsid w:val="0004295A"/>
    <w:rsid w:val="000429BB"/>
    <w:rsid w:val="0004378F"/>
    <w:rsid w:val="000447DB"/>
    <w:rsid w:val="000464A3"/>
    <w:rsid w:val="0004666E"/>
    <w:rsid w:val="00047AD8"/>
    <w:rsid w:val="000525AF"/>
    <w:rsid w:val="000543C2"/>
    <w:rsid w:val="00055B18"/>
    <w:rsid w:val="00056A1C"/>
    <w:rsid w:val="000575E8"/>
    <w:rsid w:val="000578EC"/>
    <w:rsid w:val="00057AE9"/>
    <w:rsid w:val="00057F96"/>
    <w:rsid w:val="00061509"/>
    <w:rsid w:val="00061C87"/>
    <w:rsid w:val="00062777"/>
    <w:rsid w:val="00062B41"/>
    <w:rsid w:val="00062EC9"/>
    <w:rsid w:val="00062F05"/>
    <w:rsid w:val="00063A11"/>
    <w:rsid w:val="00063AC0"/>
    <w:rsid w:val="00065F6D"/>
    <w:rsid w:val="00066055"/>
    <w:rsid w:val="000663C4"/>
    <w:rsid w:val="00066959"/>
    <w:rsid w:val="000707B2"/>
    <w:rsid w:val="0007123D"/>
    <w:rsid w:val="00071E23"/>
    <w:rsid w:val="0007243D"/>
    <w:rsid w:val="00072FD8"/>
    <w:rsid w:val="00073BD6"/>
    <w:rsid w:val="00073DE6"/>
    <w:rsid w:val="00074692"/>
    <w:rsid w:val="00074F82"/>
    <w:rsid w:val="00075527"/>
    <w:rsid w:val="00075F48"/>
    <w:rsid w:val="00076203"/>
    <w:rsid w:val="00076DBB"/>
    <w:rsid w:val="000803BE"/>
    <w:rsid w:val="0008045A"/>
    <w:rsid w:val="00080463"/>
    <w:rsid w:val="00080BD6"/>
    <w:rsid w:val="000810E1"/>
    <w:rsid w:val="000827C5"/>
    <w:rsid w:val="00084155"/>
    <w:rsid w:val="000841EE"/>
    <w:rsid w:val="00084BB4"/>
    <w:rsid w:val="0008740F"/>
    <w:rsid w:val="00087C98"/>
    <w:rsid w:val="00092E78"/>
    <w:rsid w:val="00093B5C"/>
    <w:rsid w:val="00093C3E"/>
    <w:rsid w:val="00094459"/>
    <w:rsid w:val="00095428"/>
    <w:rsid w:val="00096659"/>
    <w:rsid w:val="00096EF5"/>
    <w:rsid w:val="00097579"/>
    <w:rsid w:val="000A00FC"/>
    <w:rsid w:val="000A0228"/>
    <w:rsid w:val="000A02EF"/>
    <w:rsid w:val="000A270E"/>
    <w:rsid w:val="000A2CB5"/>
    <w:rsid w:val="000A33B6"/>
    <w:rsid w:val="000A461C"/>
    <w:rsid w:val="000A49CB"/>
    <w:rsid w:val="000A4BFD"/>
    <w:rsid w:val="000A54E1"/>
    <w:rsid w:val="000A7665"/>
    <w:rsid w:val="000A7A18"/>
    <w:rsid w:val="000B013F"/>
    <w:rsid w:val="000B04DD"/>
    <w:rsid w:val="000B04F0"/>
    <w:rsid w:val="000B0C47"/>
    <w:rsid w:val="000B1117"/>
    <w:rsid w:val="000B14ED"/>
    <w:rsid w:val="000B1E7F"/>
    <w:rsid w:val="000B286E"/>
    <w:rsid w:val="000B287D"/>
    <w:rsid w:val="000B34D6"/>
    <w:rsid w:val="000B3514"/>
    <w:rsid w:val="000B3AB3"/>
    <w:rsid w:val="000B3E45"/>
    <w:rsid w:val="000B482E"/>
    <w:rsid w:val="000B5844"/>
    <w:rsid w:val="000B63DB"/>
    <w:rsid w:val="000B6880"/>
    <w:rsid w:val="000B6A73"/>
    <w:rsid w:val="000C1694"/>
    <w:rsid w:val="000C3279"/>
    <w:rsid w:val="000C3581"/>
    <w:rsid w:val="000C371C"/>
    <w:rsid w:val="000C3B05"/>
    <w:rsid w:val="000C3E31"/>
    <w:rsid w:val="000C4FBE"/>
    <w:rsid w:val="000C5A1E"/>
    <w:rsid w:val="000C6DB7"/>
    <w:rsid w:val="000D0624"/>
    <w:rsid w:val="000D0E81"/>
    <w:rsid w:val="000D346E"/>
    <w:rsid w:val="000D3C81"/>
    <w:rsid w:val="000D5211"/>
    <w:rsid w:val="000D53CE"/>
    <w:rsid w:val="000D58C2"/>
    <w:rsid w:val="000D6CC8"/>
    <w:rsid w:val="000D7090"/>
    <w:rsid w:val="000E3CE5"/>
    <w:rsid w:val="000E4968"/>
    <w:rsid w:val="000E6705"/>
    <w:rsid w:val="000E7457"/>
    <w:rsid w:val="000E7D07"/>
    <w:rsid w:val="000E7E2A"/>
    <w:rsid w:val="000F0949"/>
    <w:rsid w:val="000F0AB3"/>
    <w:rsid w:val="000F0DEA"/>
    <w:rsid w:val="000F1A65"/>
    <w:rsid w:val="000F20E3"/>
    <w:rsid w:val="000F32C5"/>
    <w:rsid w:val="000F3AAB"/>
    <w:rsid w:val="000F4674"/>
    <w:rsid w:val="000F6167"/>
    <w:rsid w:val="000F653B"/>
    <w:rsid w:val="000F6E26"/>
    <w:rsid w:val="0010021B"/>
    <w:rsid w:val="00100693"/>
    <w:rsid w:val="00100DD7"/>
    <w:rsid w:val="00101495"/>
    <w:rsid w:val="00101E23"/>
    <w:rsid w:val="00102DF8"/>
    <w:rsid w:val="00103680"/>
    <w:rsid w:val="00103E3B"/>
    <w:rsid w:val="0010401D"/>
    <w:rsid w:val="0010420C"/>
    <w:rsid w:val="00105A0C"/>
    <w:rsid w:val="00105B8B"/>
    <w:rsid w:val="00107215"/>
    <w:rsid w:val="00107F68"/>
    <w:rsid w:val="00107FD3"/>
    <w:rsid w:val="00111091"/>
    <w:rsid w:val="00111BF6"/>
    <w:rsid w:val="001130FC"/>
    <w:rsid w:val="00113581"/>
    <w:rsid w:val="00115C4B"/>
    <w:rsid w:val="0011602A"/>
    <w:rsid w:val="00117691"/>
    <w:rsid w:val="00121CC6"/>
    <w:rsid w:val="00121E70"/>
    <w:rsid w:val="00122D62"/>
    <w:rsid w:val="00123036"/>
    <w:rsid w:val="001252BA"/>
    <w:rsid w:val="0012598F"/>
    <w:rsid w:val="00125B5B"/>
    <w:rsid w:val="001266FA"/>
    <w:rsid w:val="001267F8"/>
    <w:rsid w:val="00126FDB"/>
    <w:rsid w:val="00130486"/>
    <w:rsid w:val="00130609"/>
    <w:rsid w:val="00134F64"/>
    <w:rsid w:val="001351E6"/>
    <w:rsid w:val="00135951"/>
    <w:rsid w:val="001363C3"/>
    <w:rsid w:val="00136408"/>
    <w:rsid w:val="001369E8"/>
    <w:rsid w:val="0014007E"/>
    <w:rsid w:val="00140114"/>
    <w:rsid w:val="00140706"/>
    <w:rsid w:val="001415F0"/>
    <w:rsid w:val="00141618"/>
    <w:rsid w:val="00141E0F"/>
    <w:rsid w:val="0014289D"/>
    <w:rsid w:val="00143457"/>
    <w:rsid w:val="00143BE4"/>
    <w:rsid w:val="00143F79"/>
    <w:rsid w:val="00144000"/>
    <w:rsid w:val="001440CE"/>
    <w:rsid w:val="001449C2"/>
    <w:rsid w:val="00146388"/>
    <w:rsid w:val="001465B6"/>
    <w:rsid w:val="00146F12"/>
    <w:rsid w:val="001502F7"/>
    <w:rsid w:val="001506DA"/>
    <w:rsid w:val="00151AF1"/>
    <w:rsid w:val="00151DAA"/>
    <w:rsid w:val="00152AFF"/>
    <w:rsid w:val="00152C51"/>
    <w:rsid w:val="00152D41"/>
    <w:rsid w:val="00152F51"/>
    <w:rsid w:val="00153800"/>
    <w:rsid w:val="00154206"/>
    <w:rsid w:val="0015491D"/>
    <w:rsid w:val="00155335"/>
    <w:rsid w:val="001568E4"/>
    <w:rsid w:val="00156FDC"/>
    <w:rsid w:val="00157C5A"/>
    <w:rsid w:val="00160669"/>
    <w:rsid w:val="00161AF7"/>
    <w:rsid w:val="001622F4"/>
    <w:rsid w:val="0016242C"/>
    <w:rsid w:val="00162DE6"/>
    <w:rsid w:val="00163222"/>
    <w:rsid w:val="00163746"/>
    <w:rsid w:val="00163991"/>
    <w:rsid w:val="00163AE4"/>
    <w:rsid w:val="00164911"/>
    <w:rsid w:val="00164ED0"/>
    <w:rsid w:val="00164F69"/>
    <w:rsid w:val="00166420"/>
    <w:rsid w:val="00170D3B"/>
    <w:rsid w:val="00170DBD"/>
    <w:rsid w:val="001711F7"/>
    <w:rsid w:val="001712A3"/>
    <w:rsid w:val="00171306"/>
    <w:rsid w:val="00171B55"/>
    <w:rsid w:val="00172502"/>
    <w:rsid w:val="0017284F"/>
    <w:rsid w:val="0017299B"/>
    <w:rsid w:val="0017334B"/>
    <w:rsid w:val="001739F0"/>
    <w:rsid w:val="001739F3"/>
    <w:rsid w:val="00173C2D"/>
    <w:rsid w:val="00173EDC"/>
    <w:rsid w:val="00173F0B"/>
    <w:rsid w:val="001754C8"/>
    <w:rsid w:val="001768F5"/>
    <w:rsid w:val="0017710D"/>
    <w:rsid w:val="00180B5C"/>
    <w:rsid w:val="00182055"/>
    <w:rsid w:val="00183B2F"/>
    <w:rsid w:val="00183F16"/>
    <w:rsid w:val="001842ED"/>
    <w:rsid w:val="001849CC"/>
    <w:rsid w:val="001855DD"/>
    <w:rsid w:val="001866FD"/>
    <w:rsid w:val="00187224"/>
    <w:rsid w:val="00187BFB"/>
    <w:rsid w:val="00190278"/>
    <w:rsid w:val="0019085F"/>
    <w:rsid w:val="001913DF"/>
    <w:rsid w:val="001927D1"/>
    <w:rsid w:val="001929F9"/>
    <w:rsid w:val="001931C6"/>
    <w:rsid w:val="001959DE"/>
    <w:rsid w:val="001967FE"/>
    <w:rsid w:val="00197485"/>
    <w:rsid w:val="00197A2E"/>
    <w:rsid w:val="001A0273"/>
    <w:rsid w:val="001A086D"/>
    <w:rsid w:val="001A142C"/>
    <w:rsid w:val="001A27D3"/>
    <w:rsid w:val="001A34A7"/>
    <w:rsid w:val="001A4E7C"/>
    <w:rsid w:val="001A4F21"/>
    <w:rsid w:val="001A71B0"/>
    <w:rsid w:val="001B0134"/>
    <w:rsid w:val="001B0999"/>
    <w:rsid w:val="001B0B2E"/>
    <w:rsid w:val="001B3657"/>
    <w:rsid w:val="001B39DD"/>
    <w:rsid w:val="001B3A7D"/>
    <w:rsid w:val="001B3D68"/>
    <w:rsid w:val="001B43D9"/>
    <w:rsid w:val="001B4CC3"/>
    <w:rsid w:val="001B718D"/>
    <w:rsid w:val="001B783C"/>
    <w:rsid w:val="001B7E4E"/>
    <w:rsid w:val="001C2A2A"/>
    <w:rsid w:val="001C2B72"/>
    <w:rsid w:val="001C394C"/>
    <w:rsid w:val="001C4C5C"/>
    <w:rsid w:val="001C52E4"/>
    <w:rsid w:val="001C6318"/>
    <w:rsid w:val="001C7A7A"/>
    <w:rsid w:val="001D09E2"/>
    <w:rsid w:val="001D1B86"/>
    <w:rsid w:val="001D52F1"/>
    <w:rsid w:val="001D57F0"/>
    <w:rsid w:val="001D62BF"/>
    <w:rsid w:val="001D7C94"/>
    <w:rsid w:val="001E0CB7"/>
    <w:rsid w:val="001E1A99"/>
    <w:rsid w:val="001E23DA"/>
    <w:rsid w:val="001E36E9"/>
    <w:rsid w:val="001E3C9B"/>
    <w:rsid w:val="001E46E8"/>
    <w:rsid w:val="001E5B6E"/>
    <w:rsid w:val="001E5CC2"/>
    <w:rsid w:val="001E668C"/>
    <w:rsid w:val="001E6CC8"/>
    <w:rsid w:val="001E6F6D"/>
    <w:rsid w:val="001E72E8"/>
    <w:rsid w:val="001F1398"/>
    <w:rsid w:val="001F148C"/>
    <w:rsid w:val="001F14B3"/>
    <w:rsid w:val="001F19C2"/>
    <w:rsid w:val="001F1F69"/>
    <w:rsid w:val="001F2214"/>
    <w:rsid w:val="001F25DA"/>
    <w:rsid w:val="001F2E94"/>
    <w:rsid w:val="001F3A6F"/>
    <w:rsid w:val="001F3E48"/>
    <w:rsid w:val="001F5F93"/>
    <w:rsid w:val="001F7419"/>
    <w:rsid w:val="001F7D58"/>
    <w:rsid w:val="00201329"/>
    <w:rsid w:val="002020A2"/>
    <w:rsid w:val="00202D2A"/>
    <w:rsid w:val="00202FBA"/>
    <w:rsid w:val="002034E9"/>
    <w:rsid w:val="00203FF7"/>
    <w:rsid w:val="00204335"/>
    <w:rsid w:val="00204EA4"/>
    <w:rsid w:val="00205598"/>
    <w:rsid w:val="0020619C"/>
    <w:rsid w:val="00206E22"/>
    <w:rsid w:val="002075B6"/>
    <w:rsid w:val="00210586"/>
    <w:rsid w:val="00211F6B"/>
    <w:rsid w:val="002141DE"/>
    <w:rsid w:val="00214EDD"/>
    <w:rsid w:val="00217DBF"/>
    <w:rsid w:val="00221D79"/>
    <w:rsid w:val="002238CA"/>
    <w:rsid w:val="002243BB"/>
    <w:rsid w:val="00224E64"/>
    <w:rsid w:val="00225671"/>
    <w:rsid w:val="00226579"/>
    <w:rsid w:val="00226582"/>
    <w:rsid w:val="00226AEF"/>
    <w:rsid w:val="00227BB4"/>
    <w:rsid w:val="00231EC9"/>
    <w:rsid w:val="002365B0"/>
    <w:rsid w:val="00236F66"/>
    <w:rsid w:val="0023743B"/>
    <w:rsid w:val="00237C28"/>
    <w:rsid w:val="00242023"/>
    <w:rsid w:val="00242B96"/>
    <w:rsid w:val="00243E77"/>
    <w:rsid w:val="00243F35"/>
    <w:rsid w:val="0024474F"/>
    <w:rsid w:val="00245289"/>
    <w:rsid w:val="00246375"/>
    <w:rsid w:val="00250570"/>
    <w:rsid w:val="00251FC9"/>
    <w:rsid w:val="0025282C"/>
    <w:rsid w:val="00252FED"/>
    <w:rsid w:val="002537A7"/>
    <w:rsid w:val="00254CCE"/>
    <w:rsid w:val="0025582E"/>
    <w:rsid w:val="00256323"/>
    <w:rsid w:val="00257260"/>
    <w:rsid w:val="002615DC"/>
    <w:rsid w:val="00262711"/>
    <w:rsid w:val="00262DA2"/>
    <w:rsid w:val="00262E01"/>
    <w:rsid w:val="002636A5"/>
    <w:rsid w:val="00263B75"/>
    <w:rsid w:val="0026413D"/>
    <w:rsid w:val="002646BD"/>
    <w:rsid w:val="00264722"/>
    <w:rsid w:val="002660B7"/>
    <w:rsid w:val="00267E3B"/>
    <w:rsid w:val="002720C8"/>
    <w:rsid w:val="00272DC0"/>
    <w:rsid w:val="002730E8"/>
    <w:rsid w:val="0027422F"/>
    <w:rsid w:val="002743BE"/>
    <w:rsid w:val="00274FF1"/>
    <w:rsid w:val="00277C72"/>
    <w:rsid w:val="00277FA2"/>
    <w:rsid w:val="002801DC"/>
    <w:rsid w:val="002802C6"/>
    <w:rsid w:val="0028460A"/>
    <w:rsid w:val="002849AC"/>
    <w:rsid w:val="00284C30"/>
    <w:rsid w:val="002853BC"/>
    <w:rsid w:val="00286A81"/>
    <w:rsid w:val="00287B66"/>
    <w:rsid w:val="00290DCB"/>
    <w:rsid w:val="00291005"/>
    <w:rsid w:val="00295258"/>
    <w:rsid w:val="002976DA"/>
    <w:rsid w:val="002A0BD0"/>
    <w:rsid w:val="002A0C81"/>
    <w:rsid w:val="002A0F6B"/>
    <w:rsid w:val="002A1D64"/>
    <w:rsid w:val="002A21D8"/>
    <w:rsid w:val="002A2285"/>
    <w:rsid w:val="002A37E2"/>
    <w:rsid w:val="002A380C"/>
    <w:rsid w:val="002A3F78"/>
    <w:rsid w:val="002A4316"/>
    <w:rsid w:val="002A434C"/>
    <w:rsid w:val="002A4658"/>
    <w:rsid w:val="002A4730"/>
    <w:rsid w:val="002A5829"/>
    <w:rsid w:val="002A6DDE"/>
    <w:rsid w:val="002A6FFD"/>
    <w:rsid w:val="002A766F"/>
    <w:rsid w:val="002B0759"/>
    <w:rsid w:val="002B183F"/>
    <w:rsid w:val="002B1B73"/>
    <w:rsid w:val="002B1BB9"/>
    <w:rsid w:val="002B1C88"/>
    <w:rsid w:val="002B2871"/>
    <w:rsid w:val="002B2DBE"/>
    <w:rsid w:val="002B40D9"/>
    <w:rsid w:val="002B5041"/>
    <w:rsid w:val="002B6BDC"/>
    <w:rsid w:val="002C00CF"/>
    <w:rsid w:val="002C0A42"/>
    <w:rsid w:val="002C406E"/>
    <w:rsid w:val="002C45A0"/>
    <w:rsid w:val="002C58A1"/>
    <w:rsid w:val="002C701A"/>
    <w:rsid w:val="002D0294"/>
    <w:rsid w:val="002D039E"/>
    <w:rsid w:val="002D1619"/>
    <w:rsid w:val="002D1B24"/>
    <w:rsid w:val="002D1B25"/>
    <w:rsid w:val="002D1CD0"/>
    <w:rsid w:val="002D305E"/>
    <w:rsid w:val="002D315C"/>
    <w:rsid w:val="002D3B2A"/>
    <w:rsid w:val="002D3F4D"/>
    <w:rsid w:val="002D5E45"/>
    <w:rsid w:val="002E0046"/>
    <w:rsid w:val="002E0270"/>
    <w:rsid w:val="002E029A"/>
    <w:rsid w:val="002E0670"/>
    <w:rsid w:val="002E0781"/>
    <w:rsid w:val="002E1375"/>
    <w:rsid w:val="002E16EC"/>
    <w:rsid w:val="002E1D4C"/>
    <w:rsid w:val="002E36DF"/>
    <w:rsid w:val="002E39C7"/>
    <w:rsid w:val="002E40FA"/>
    <w:rsid w:val="002E4959"/>
    <w:rsid w:val="002E5550"/>
    <w:rsid w:val="002E60E6"/>
    <w:rsid w:val="002E6124"/>
    <w:rsid w:val="002E68D4"/>
    <w:rsid w:val="002E7227"/>
    <w:rsid w:val="002F07CD"/>
    <w:rsid w:val="002F0A15"/>
    <w:rsid w:val="002F0E02"/>
    <w:rsid w:val="002F336A"/>
    <w:rsid w:val="002F46CC"/>
    <w:rsid w:val="002F47A2"/>
    <w:rsid w:val="002F58F5"/>
    <w:rsid w:val="002F5A3E"/>
    <w:rsid w:val="002F6668"/>
    <w:rsid w:val="002F6DB6"/>
    <w:rsid w:val="00300694"/>
    <w:rsid w:val="00300AD5"/>
    <w:rsid w:val="00300EE2"/>
    <w:rsid w:val="003011D3"/>
    <w:rsid w:val="0030200A"/>
    <w:rsid w:val="003033D9"/>
    <w:rsid w:val="0030389F"/>
    <w:rsid w:val="00304AFB"/>
    <w:rsid w:val="00304EA2"/>
    <w:rsid w:val="003064C3"/>
    <w:rsid w:val="003066C0"/>
    <w:rsid w:val="00307256"/>
    <w:rsid w:val="00310698"/>
    <w:rsid w:val="00310F7C"/>
    <w:rsid w:val="00312F73"/>
    <w:rsid w:val="0031350D"/>
    <w:rsid w:val="00313EA7"/>
    <w:rsid w:val="00314E1E"/>
    <w:rsid w:val="00315907"/>
    <w:rsid w:val="003173BF"/>
    <w:rsid w:val="003177E4"/>
    <w:rsid w:val="0032017B"/>
    <w:rsid w:val="00321560"/>
    <w:rsid w:val="00321CA9"/>
    <w:rsid w:val="00321E2D"/>
    <w:rsid w:val="00323420"/>
    <w:rsid w:val="00324C11"/>
    <w:rsid w:val="00325059"/>
    <w:rsid w:val="00327D9C"/>
    <w:rsid w:val="003316DB"/>
    <w:rsid w:val="00331E4F"/>
    <w:rsid w:val="00333EE7"/>
    <w:rsid w:val="00335F89"/>
    <w:rsid w:val="00336770"/>
    <w:rsid w:val="00336E5B"/>
    <w:rsid w:val="003371C6"/>
    <w:rsid w:val="003403E0"/>
    <w:rsid w:val="00341ACB"/>
    <w:rsid w:val="0034576C"/>
    <w:rsid w:val="003470A2"/>
    <w:rsid w:val="00347702"/>
    <w:rsid w:val="003479D2"/>
    <w:rsid w:val="003523A7"/>
    <w:rsid w:val="0035244B"/>
    <w:rsid w:val="003527A8"/>
    <w:rsid w:val="003531E7"/>
    <w:rsid w:val="003535D3"/>
    <w:rsid w:val="00353D1D"/>
    <w:rsid w:val="00354354"/>
    <w:rsid w:val="0035544D"/>
    <w:rsid w:val="00360437"/>
    <w:rsid w:val="00360BC6"/>
    <w:rsid w:val="00360D46"/>
    <w:rsid w:val="00364484"/>
    <w:rsid w:val="003662C1"/>
    <w:rsid w:val="003663CD"/>
    <w:rsid w:val="00367150"/>
    <w:rsid w:val="00367283"/>
    <w:rsid w:val="00371F59"/>
    <w:rsid w:val="003726F1"/>
    <w:rsid w:val="0037396B"/>
    <w:rsid w:val="00374575"/>
    <w:rsid w:val="003747E9"/>
    <w:rsid w:val="0037570C"/>
    <w:rsid w:val="00375E35"/>
    <w:rsid w:val="00375E73"/>
    <w:rsid w:val="003766DA"/>
    <w:rsid w:val="003775AB"/>
    <w:rsid w:val="0037789F"/>
    <w:rsid w:val="00377AB4"/>
    <w:rsid w:val="00380630"/>
    <w:rsid w:val="0038074B"/>
    <w:rsid w:val="00383CEB"/>
    <w:rsid w:val="003843FE"/>
    <w:rsid w:val="00384AFD"/>
    <w:rsid w:val="00384DE0"/>
    <w:rsid w:val="00384F88"/>
    <w:rsid w:val="003853A7"/>
    <w:rsid w:val="00385444"/>
    <w:rsid w:val="003856F7"/>
    <w:rsid w:val="00385C8E"/>
    <w:rsid w:val="00385D63"/>
    <w:rsid w:val="00386A60"/>
    <w:rsid w:val="00387229"/>
    <w:rsid w:val="003873FE"/>
    <w:rsid w:val="003916D1"/>
    <w:rsid w:val="00391B20"/>
    <w:rsid w:val="00392F74"/>
    <w:rsid w:val="0039395B"/>
    <w:rsid w:val="00393F69"/>
    <w:rsid w:val="00393FD4"/>
    <w:rsid w:val="003949B4"/>
    <w:rsid w:val="00396592"/>
    <w:rsid w:val="00396663"/>
    <w:rsid w:val="00397290"/>
    <w:rsid w:val="003972D1"/>
    <w:rsid w:val="003A127D"/>
    <w:rsid w:val="003A336A"/>
    <w:rsid w:val="003A4D73"/>
    <w:rsid w:val="003A4E6A"/>
    <w:rsid w:val="003A4EE3"/>
    <w:rsid w:val="003A5689"/>
    <w:rsid w:val="003A58FC"/>
    <w:rsid w:val="003A7BFB"/>
    <w:rsid w:val="003B03A6"/>
    <w:rsid w:val="003B0F2A"/>
    <w:rsid w:val="003B13CE"/>
    <w:rsid w:val="003B13EF"/>
    <w:rsid w:val="003B18E3"/>
    <w:rsid w:val="003B3D81"/>
    <w:rsid w:val="003B3E2B"/>
    <w:rsid w:val="003B413F"/>
    <w:rsid w:val="003B41FB"/>
    <w:rsid w:val="003B4A85"/>
    <w:rsid w:val="003B4EE5"/>
    <w:rsid w:val="003B574D"/>
    <w:rsid w:val="003B59E3"/>
    <w:rsid w:val="003B6B74"/>
    <w:rsid w:val="003B6C09"/>
    <w:rsid w:val="003B6C72"/>
    <w:rsid w:val="003B7806"/>
    <w:rsid w:val="003B7DFE"/>
    <w:rsid w:val="003B7FF8"/>
    <w:rsid w:val="003C0C54"/>
    <w:rsid w:val="003C1AE7"/>
    <w:rsid w:val="003C25D5"/>
    <w:rsid w:val="003C26D8"/>
    <w:rsid w:val="003C29B4"/>
    <w:rsid w:val="003C4146"/>
    <w:rsid w:val="003C47FC"/>
    <w:rsid w:val="003C70E6"/>
    <w:rsid w:val="003C71B0"/>
    <w:rsid w:val="003C7AFD"/>
    <w:rsid w:val="003D041D"/>
    <w:rsid w:val="003D0D56"/>
    <w:rsid w:val="003D0FF2"/>
    <w:rsid w:val="003D126E"/>
    <w:rsid w:val="003D1794"/>
    <w:rsid w:val="003D24B6"/>
    <w:rsid w:val="003D308C"/>
    <w:rsid w:val="003D498B"/>
    <w:rsid w:val="003D4FC2"/>
    <w:rsid w:val="003D50A7"/>
    <w:rsid w:val="003D7420"/>
    <w:rsid w:val="003E0D3A"/>
    <w:rsid w:val="003E313C"/>
    <w:rsid w:val="003E685C"/>
    <w:rsid w:val="003E7035"/>
    <w:rsid w:val="003E7AD5"/>
    <w:rsid w:val="003F048D"/>
    <w:rsid w:val="003F0517"/>
    <w:rsid w:val="003F05D8"/>
    <w:rsid w:val="003F113C"/>
    <w:rsid w:val="003F15DA"/>
    <w:rsid w:val="003F383E"/>
    <w:rsid w:val="003F3846"/>
    <w:rsid w:val="003F4F95"/>
    <w:rsid w:val="003F66BE"/>
    <w:rsid w:val="003F673A"/>
    <w:rsid w:val="003F6E44"/>
    <w:rsid w:val="003F737F"/>
    <w:rsid w:val="003F7E27"/>
    <w:rsid w:val="00400096"/>
    <w:rsid w:val="004008FA"/>
    <w:rsid w:val="00400DD4"/>
    <w:rsid w:val="00402057"/>
    <w:rsid w:val="00402E5C"/>
    <w:rsid w:val="00403CA0"/>
    <w:rsid w:val="00403FB3"/>
    <w:rsid w:val="00404584"/>
    <w:rsid w:val="00405630"/>
    <w:rsid w:val="00405831"/>
    <w:rsid w:val="00407C75"/>
    <w:rsid w:val="00410345"/>
    <w:rsid w:val="0041065A"/>
    <w:rsid w:val="0041176A"/>
    <w:rsid w:val="004118B6"/>
    <w:rsid w:val="00411C12"/>
    <w:rsid w:val="0041401E"/>
    <w:rsid w:val="00414606"/>
    <w:rsid w:val="0041488B"/>
    <w:rsid w:val="0041524F"/>
    <w:rsid w:val="004158D0"/>
    <w:rsid w:val="004164DA"/>
    <w:rsid w:val="00417654"/>
    <w:rsid w:val="00417F2D"/>
    <w:rsid w:val="00421132"/>
    <w:rsid w:val="0042168E"/>
    <w:rsid w:val="00421718"/>
    <w:rsid w:val="00423838"/>
    <w:rsid w:val="00423E89"/>
    <w:rsid w:val="004245AD"/>
    <w:rsid w:val="00424B5D"/>
    <w:rsid w:val="0042682F"/>
    <w:rsid w:val="00426914"/>
    <w:rsid w:val="004302B4"/>
    <w:rsid w:val="004310A5"/>
    <w:rsid w:val="004315DA"/>
    <w:rsid w:val="00433382"/>
    <w:rsid w:val="004333C7"/>
    <w:rsid w:val="00433ABB"/>
    <w:rsid w:val="00437348"/>
    <w:rsid w:val="00437430"/>
    <w:rsid w:val="00440D72"/>
    <w:rsid w:val="00441582"/>
    <w:rsid w:val="00442091"/>
    <w:rsid w:val="004434EA"/>
    <w:rsid w:val="00443D8B"/>
    <w:rsid w:val="00443F86"/>
    <w:rsid w:val="00446BAC"/>
    <w:rsid w:val="004472C0"/>
    <w:rsid w:val="004476A1"/>
    <w:rsid w:val="004477D4"/>
    <w:rsid w:val="00451B67"/>
    <w:rsid w:val="00452244"/>
    <w:rsid w:val="00452C6B"/>
    <w:rsid w:val="00454174"/>
    <w:rsid w:val="00455191"/>
    <w:rsid w:val="004551EE"/>
    <w:rsid w:val="0045640F"/>
    <w:rsid w:val="0045682F"/>
    <w:rsid w:val="004601D1"/>
    <w:rsid w:val="0046088A"/>
    <w:rsid w:val="00461EB3"/>
    <w:rsid w:val="00461F39"/>
    <w:rsid w:val="00462999"/>
    <w:rsid w:val="0046319B"/>
    <w:rsid w:val="00463CC5"/>
    <w:rsid w:val="00464C8E"/>
    <w:rsid w:val="00464F2F"/>
    <w:rsid w:val="00464FE9"/>
    <w:rsid w:val="0046799E"/>
    <w:rsid w:val="00470201"/>
    <w:rsid w:val="00472F6E"/>
    <w:rsid w:val="004740F3"/>
    <w:rsid w:val="00475B2E"/>
    <w:rsid w:val="00475E30"/>
    <w:rsid w:val="0047614C"/>
    <w:rsid w:val="004767B6"/>
    <w:rsid w:val="0047737F"/>
    <w:rsid w:val="00477CA4"/>
    <w:rsid w:val="004800E6"/>
    <w:rsid w:val="00481916"/>
    <w:rsid w:val="004830F7"/>
    <w:rsid w:val="0048337D"/>
    <w:rsid w:val="0048388F"/>
    <w:rsid w:val="00483F4F"/>
    <w:rsid w:val="004848C0"/>
    <w:rsid w:val="00484F0F"/>
    <w:rsid w:val="0048685F"/>
    <w:rsid w:val="0048704A"/>
    <w:rsid w:val="00487954"/>
    <w:rsid w:val="004908D5"/>
    <w:rsid w:val="00492259"/>
    <w:rsid w:val="004935F3"/>
    <w:rsid w:val="00494F48"/>
    <w:rsid w:val="004950E1"/>
    <w:rsid w:val="004953FF"/>
    <w:rsid w:val="0049599A"/>
    <w:rsid w:val="004969CC"/>
    <w:rsid w:val="0049719E"/>
    <w:rsid w:val="004A01EC"/>
    <w:rsid w:val="004A0D5E"/>
    <w:rsid w:val="004A1225"/>
    <w:rsid w:val="004A1497"/>
    <w:rsid w:val="004A2155"/>
    <w:rsid w:val="004A3C75"/>
    <w:rsid w:val="004A56CC"/>
    <w:rsid w:val="004A5BB8"/>
    <w:rsid w:val="004A5D1B"/>
    <w:rsid w:val="004A650A"/>
    <w:rsid w:val="004A6600"/>
    <w:rsid w:val="004A684C"/>
    <w:rsid w:val="004A791E"/>
    <w:rsid w:val="004B0884"/>
    <w:rsid w:val="004B0ACE"/>
    <w:rsid w:val="004B139E"/>
    <w:rsid w:val="004B165F"/>
    <w:rsid w:val="004B277C"/>
    <w:rsid w:val="004B3A31"/>
    <w:rsid w:val="004B42FB"/>
    <w:rsid w:val="004B486F"/>
    <w:rsid w:val="004B4F8D"/>
    <w:rsid w:val="004B50F1"/>
    <w:rsid w:val="004B53CF"/>
    <w:rsid w:val="004B5DA6"/>
    <w:rsid w:val="004B6522"/>
    <w:rsid w:val="004B7A6D"/>
    <w:rsid w:val="004C09AB"/>
    <w:rsid w:val="004C1116"/>
    <w:rsid w:val="004C2340"/>
    <w:rsid w:val="004C359C"/>
    <w:rsid w:val="004C392C"/>
    <w:rsid w:val="004C4662"/>
    <w:rsid w:val="004C499C"/>
    <w:rsid w:val="004C6CC0"/>
    <w:rsid w:val="004C7D97"/>
    <w:rsid w:val="004D078C"/>
    <w:rsid w:val="004D1034"/>
    <w:rsid w:val="004D1712"/>
    <w:rsid w:val="004D3797"/>
    <w:rsid w:val="004D688E"/>
    <w:rsid w:val="004D7432"/>
    <w:rsid w:val="004E22EB"/>
    <w:rsid w:val="004E2AFB"/>
    <w:rsid w:val="004E4D13"/>
    <w:rsid w:val="004E5597"/>
    <w:rsid w:val="004E63A7"/>
    <w:rsid w:val="004E6466"/>
    <w:rsid w:val="004E768E"/>
    <w:rsid w:val="004F10C3"/>
    <w:rsid w:val="004F34BD"/>
    <w:rsid w:val="004F4793"/>
    <w:rsid w:val="004F5B8A"/>
    <w:rsid w:val="004F654D"/>
    <w:rsid w:val="004F7571"/>
    <w:rsid w:val="00500855"/>
    <w:rsid w:val="005009C1"/>
    <w:rsid w:val="00501C9C"/>
    <w:rsid w:val="00502542"/>
    <w:rsid w:val="005026C2"/>
    <w:rsid w:val="00502EC2"/>
    <w:rsid w:val="00503449"/>
    <w:rsid w:val="005043E0"/>
    <w:rsid w:val="0050466F"/>
    <w:rsid w:val="0050555A"/>
    <w:rsid w:val="00505B5E"/>
    <w:rsid w:val="00506181"/>
    <w:rsid w:val="0050741E"/>
    <w:rsid w:val="005074CA"/>
    <w:rsid w:val="00507538"/>
    <w:rsid w:val="005077F0"/>
    <w:rsid w:val="00510F30"/>
    <w:rsid w:val="0051262C"/>
    <w:rsid w:val="00512B31"/>
    <w:rsid w:val="0051318D"/>
    <w:rsid w:val="00513EDA"/>
    <w:rsid w:val="00515AAB"/>
    <w:rsid w:val="005162AF"/>
    <w:rsid w:val="005176B5"/>
    <w:rsid w:val="00517F2C"/>
    <w:rsid w:val="00520ABA"/>
    <w:rsid w:val="00520BFD"/>
    <w:rsid w:val="0052187D"/>
    <w:rsid w:val="00522C00"/>
    <w:rsid w:val="00523E39"/>
    <w:rsid w:val="00531E8F"/>
    <w:rsid w:val="00532609"/>
    <w:rsid w:val="005326BD"/>
    <w:rsid w:val="00532A35"/>
    <w:rsid w:val="00532E64"/>
    <w:rsid w:val="00533C8B"/>
    <w:rsid w:val="00534271"/>
    <w:rsid w:val="00534FA4"/>
    <w:rsid w:val="00536B0C"/>
    <w:rsid w:val="00536E33"/>
    <w:rsid w:val="00540C9E"/>
    <w:rsid w:val="00542B72"/>
    <w:rsid w:val="0054439E"/>
    <w:rsid w:val="00545664"/>
    <w:rsid w:val="005456F6"/>
    <w:rsid w:val="005463AC"/>
    <w:rsid w:val="005467C4"/>
    <w:rsid w:val="00547F86"/>
    <w:rsid w:val="0055275E"/>
    <w:rsid w:val="00552F41"/>
    <w:rsid w:val="00553495"/>
    <w:rsid w:val="0055362D"/>
    <w:rsid w:val="00554E94"/>
    <w:rsid w:val="00555D5E"/>
    <w:rsid w:val="005564A6"/>
    <w:rsid w:val="00556913"/>
    <w:rsid w:val="00556A51"/>
    <w:rsid w:val="00556C19"/>
    <w:rsid w:val="00557A35"/>
    <w:rsid w:val="00560853"/>
    <w:rsid w:val="00561164"/>
    <w:rsid w:val="00561190"/>
    <w:rsid w:val="00561977"/>
    <w:rsid w:val="005625E1"/>
    <w:rsid w:val="005653BD"/>
    <w:rsid w:val="00565914"/>
    <w:rsid w:val="00566911"/>
    <w:rsid w:val="00570429"/>
    <w:rsid w:val="00570973"/>
    <w:rsid w:val="00570E7F"/>
    <w:rsid w:val="0057227B"/>
    <w:rsid w:val="005736BA"/>
    <w:rsid w:val="0057617D"/>
    <w:rsid w:val="00577962"/>
    <w:rsid w:val="0058016F"/>
    <w:rsid w:val="00581129"/>
    <w:rsid w:val="00581536"/>
    <w:rsid w:val="00582FB6"/>
    <w:rsid w:val="00583DE3"/>
    <w:rsid w:val="005848AC"/>
    <w:rsid w:val="00584BCD"/>
    <w:rsid w:val="005853B4"/>
    <w:rsid w:val="00585703"/>
    <w:rsid w:val="00585A63"/>
    <w:rsid w:val="00587126"/>
    <w:rsid w:val="00587D26"/>
    <w:rsid w:val="0059003D"/>
    <w:rsid w:val="00591F1C"/>
    <w:rsid w:val="00592DAB"/>
    <w:rsid w:val="00593007"/>
    <w:rsid w:val="005935D9"/>
    <w:rsid w:val="005941BD"/>
    <w:rsid w:val="00594A3B"/>
    <w:rsid w:val="00595985"/>
    <w:rsid w:val="00595C6A"/>
    <w:rsid w:val="00595DC5"/>
    <w:rsid w:val="0059661A"/>
    <w:rsid w:val="005967FD"/>
    <w:rsid w:val="00597FDE"/>
    <w:rsid w:val="005A02D6"/>
    <w:rsid w:val="005A04D6"/>
    <w:rsid w:val="005A0B31"/>
    <w:rsid w:val="005A0ECE"/>
    <w:rsid w:val="005A174A"/>
    <w:rsid w:val="005A3BE6"/>
    <w:rsid w:val="005A6EFC"/>
    <w:rsid w:val="005A7117"/>
    <w:rsid w:val="005A716E"/>
    <w:rsid w:val="005A73F9"/>
    <w:rsid w:val="005B0B71"/>
    <w:rsid w:val="005B27A8"/>
    <w:rsid w:val="005B492B"/>
    <w:rsid w:val="005B4D4B"/>
    <w:rsid w:val="005B55BE"/>
    <w:rsid w:val="005B7C07"/>
    <w:rsid w:val="005B7D78"/>
    <w:rsid w:val="005C285C"/>
    <w:rsid w:val="005C388F"/>
    <w:rsid w:val="005C4565"/>
    <w:rsid w:val="005C4B23"/>
    <w:rsid w:val="005C73A3"/>
    <w:rsid w:val="005C7AC8"/>
    <w:rsid w:val="005C7D82"/>
    <w:rsid w:val="005D07E6"/>
    <w:rsid w:val="005D2DCA"/>
    <w:rsid w:val="005D4755"/>
    <w:rsid w:val="005D483C"/>
    <w:rsid w:val="005D48B7"/>
    <w:rsid w:val="005D4CD8"/>
    <w:rsid w:val="005D4ED7"/>
    <w:rsid w:val="005D56EB"/>
    <w:rsid w:val="005D5E17"/>
    <w:rsid w:val="005D5E7B"/>
    <w:rsid w:val="005D6523"/>
    <w:rsid w:val="005D66DA"/>
    <w:rsid w:val="005D75FB"/>
    <w:rsid w:val="005D7787"/>
    <w:rsid w:val="005E1787"/>
    <w:rsid w:val="005E43B8"/>
    <w:rsid w:val="005E49E1"/>
    <w:rsid w:val="005E7007"/>
    <w:rsid w:val="005E7019"/>
    <w:rsid w:val="005F1C02"/>
    <w:rsid w:val="005F2900"/>
    <w:rsid w:val="005F39BE"/>
    <w:rsid w:val="005F3DBE"/>
    <w:rsid w:val="005F46A0"/>
    <w:rsid w:val="005F476C"/>
    <w:rsid w:val="005F4A6E"/>
    <w:rsid w:val="005F75E5"/>
    <w:rsid w:val="005F76ED"/>
    <w:rsid w:val="005F7BCD"/>
    <w:rsid w:val="00601439"/>
    <w:rsid w:val="00601829"/>
    <w:rsid w:val="006020CF"/>
    <w:rsid w:val="0060222F"/>
    <w:rsid w:val="00603476"/>
    <w:rsid w:val="006035E6"/>
    <w:rsid w:val="00604032"/>
    <w:rsid w:val="00604DB5"/>
    <w:rsid w:val="00605967"/>
    <w:rsid w:val="00606786"/>
    <w:rsid w:val="006104C7"/>
    <w:rsid w:val="00610A59"/>
    <w:rsid w:val="006112BE"/>
    <w:rsid w:val="00611EBD"/>
    <w:rsid w:val="00613068"/>
    <w:rsid w:val="00613074"/>
    <w:rsid w:val="006137D0"/>
    <w:rsid w:val="00613BB6"/>
    <w:rsid w:val="00613C01"/>
    <w:rsid w:val="00614426"/>
    <w:rsid w:val="006147A8"/>
    <w:rsid w:val="006156B2"/>
    <w:rsid w:val="00615ED5"/>
    <w:rsid w:val="00617121"/>
    <w:rsid w:val="00617338"/>
    <w:rsid w:val="0061733E"/>
    <w:rsid w:val="00617D08"/>
    <w:rsid w:val="00620F85"/>
    <w:rsid w:val="00621161"/>
    <w:rsid w:val="00621FC4"/>
    <w:rsid w:val="00622B8A"/>
    <w:rsid w:val="00622C38"/>
    <w:rsid w:val="0062302C"/>
    <w:rsid w:val="0062362D"/>
    <w:rsid w:val="00623B39"/>
    <w:rsid w:val="00624785"/>
    <w:rsid w:val="00624FE6"/>
    <w:rsid w:val="0062558D"/>
    <w:rsid w:val="00625EC1"/>
    <w:rsid w:val="006262EE"/>
    <w:rsid w:val="006267AB"/>
    <w:rsid w:val="006271F1"/>
    <w:rsid w:val="006306D9"/>
    <w:rsid w:val="0063099E"/>
    <w:rsid w:val="0063196A"/>
    <w:rsid w:val="00631A02"/>
    <w:rsid w:val="006324CE"/>
    <w:rsid w:val="006328F9"/>
    <w:rsid w:val="00632E75"/>
    <w:rsid w:val="006333C5"/>
    <w:rsid w:val="0063369B"/>
    <w:rsid w:val="006337FA"/>
    <w:rsid w:val="00633F92"/>
    <w:rsid w:val="006347D5"/>
    <w:rsid w:val="00634885"/>
    <w:rsid w:val="0063550C"/>
    <w:rsid w:val="00635947"/>
    <w:rsid w:val="00636061"/>
    <w:rsid w:val="00636737"/>
    <w:rsid w:val="00636F80"/>
    <w:rsid w:val="006375EF"/>
    <w:rsid w:val="006403B8"/>
    <w:rsid w:val="006405C6"/>
    <w:rsid w:val="00640BD3"/>
    <w:rsid w:val="00640CD2"/>
    <w:rsid w:val="006425FC"/>
    <w:rsid w:val="00642714"/>
    <w:rsid w:val="006437C5"/>
    <w:rsid w:val="00643FBC"/>
    <w:rsid w:val="006440D9"/>
    <w:rsid w:val="0064458A"/>
    <w:rsid w:val="00644CAA"/>
    <w:rsid w:val="00644DF9"/>
    <w:rsid w:val="0064653F"/>
    <w:rsid w:val="00651B51"/>
    <w:rsid w:val="006527D6"/>
    <w:rsid w:val="00652EBE"/>
    <w:rsid w:val="0065324F"/>
    <w:rsid w:val="006538D2"/>
    <w:rsid w:val="00653B79"/>
    <w:rsid w:val="006543F4"/>
    <w:rsid w:val="0065474D"/>
    <w:rsid w:val="00654C61"/>
    <w:rsid w:val="00655394"/>
    <w:rsid w:val="0065576E"/>
    <w:rsid w:val="0065587A"/>
    <w:rsid w:val="0065688B"/>
    <w:rsid w:val="00656909"/>
    <w:rsid w:val="00657035"/>
    <w:rsid w:val="0066026B"/>
    <w:rsid w:val="006613E2"/>
    <w:rsid w:val="0066198C"/>
    <w:rsid w:val="00661C14"/>
    <w:rsid w:val="00661C27"/>
    <w:rsid w:val="00664094"/>
    <w:rsid w:val="00664C0B"/>
    <w:rsid w:val="006651FA"/>
    <w:rsid w:val="0066572B"/>
    <w:rsid w:val="00666226"/>
    <w:rsid w:val="0066686B"/>
    <w:rsid w:val="00666C2F"/>
    <w:rsid w:val="00667D22"/>
    <w:rsid w:val="006700C2"/>
    <w:rsid w:val="0067138D"/>
    <w:rsid w:val="00671860"/>
    <w:rsid w:val="00672EB2"/>
    <w:rsid w:val="00674173"/>
    <w:rsid w:val="006741AA"/>
    <w:rsid w:val="00674971"/>
    <w:rsid w:val="00675C7C"/>
    <w:rsid w:val="00676440"/>
    <w:rsid w:val="00676C92"/>
    <w:rsid w:val="0067714B"/>
    <w:rsid w:val="006779DF"/>
    <w:rsid w:val="00677B82"/>
    <w:rsid w:val="00680758"/>
    <w:rsid w:val="00680E98"/>
    <w:rsid w:val="0068211C"/>
    <w:rsid w:val="00682130"/>
    <w:rsid w:val="0068284A"/>
    <w:rsid w:val="006838AD"/>
    <w:rsid w:val="00684974"/>
    <w:rsid w:val="00684FCC"/>
    <w:rsid w:val="00685463"/>
    <w:rsid w:val="00686275"/>
    <w:rsid w:val="00686D8A"/>
    <w:rsid w:val="0068716B"/>
    <w:rsid w:val="00687BEA"/>
    <w:rsid w:val="00687C36"/>
    <w:rsid w:val="00687F74"/>
    <w:rsid w:val="0069294A"/>
    <w:rsid w:val="00692D78"/>
    <w:rsid w:val="006951F5"/>
    <w:rsid w:val="00695285"/>
    <w:rsid w:val="00696151"/>
    <w:rsid w:val="006979F8"/>
    <w:rsid w:val="006A043F"/>
    <w:rsid w:val="006A422B"/>
    <w:rsid w:val="006A4385"/>
    <w:rsid w:val="006A6FAF"/>
    <w:rsid w:val="006B029B"/>
    <w:rsid w:val="006B045B"/>
    <w:rsid w:val="006B07E8"/>
    <w:rsid w:val="006B0D0C"/>
    <w:rsid w:val="006B1202"/>
    <w:rsid w:val="006B1833"/>
    <w:rsid w:val="006B41B6"/>
    <w:rsid w:val="006B4A06"/>
    <w:rsid w:val="006B4A66"/>
    <w:rsid w:val="006B7CE0"/>
    <w:rsid w:val="006B7F63"/>
    <w:rsid w:val="006C0053"/>
    <w:rsid w:val="006C03B1"/>
    <w:rsid w:val="006C169C"/>
    <w:rsid w:val="006C2F1D"/>
    <w:rsid w:val="006C5000"/>
    <w:rsid w:val="006C690A"/>
    <w:rsid w:val="006C6B3A"/>
    <w:rsid w:val="006C74AF"/>
    <w:rsid w:val="006D20D7"/>
    <w:rsid w:val="006D22E4"/>
    <w:rsid w:val="006D4546"/>
    <w:rsid w:val="006D5CCE"/>
    <w:rsid w:val="006D6D8A"/>
    <w:rsid w:val="006D6DF4"/>
    <w:rsid w:val="006E06F3"/>
    <w:rsid w:val="006E10E1"/>
    <w:rsid w:val="006E3479"/>
    <w:rsid w:val="006E3720"/>
    <w:rsid w:val="006E4277"/>
    <w:rsid w:val="006E4855"/>
    <w:rsid w:val="006E5052"/>
    <w:rsid w:val="006E6063"/>
    <w:rsid w:val="006E6674"/>
    <w:rsid w:val="006F0B1C"/>
    <w:rsid w:val="006F0BD5"/>
    <w:rsid w:val="006F109E"/>
    <w:rsid w:val="006F11D0"/>
    <w:rsid w:val="006F16AB"/>
    <w:rsid w:val="006F1A21"/>
    <w:rsid w:val="006F2CBA"/>
    <w:rsid w:val="006F307C"/>
    <w:rsid w:val="006F4070"/>
    <w:rsid w:val="006F4196"/>
    <w:rsid w:val="006F60DF"/>
    <w:rsid w:val="006F612C"/>
    <w:rsid w:val="006F7131"/>
    <w:rsid w:val="006F753A"/>
    <w:rsid w:val="006F78DB"/>
    <w:rsid w:val="0070189D"/>
    <w:rsid w:val="00705240"/>
    <w:rsid w:val="00705494"/>
    <w:rsid w:val="007079CE"/>
    <w:rsid w:val="00710D97"/>
    <w:rsid w:val="00711067"/>
    <w:rsid w:val="00711FDE"/>
    <w:rsid w:val="00713BB6"/>
    <w:rsid w:val="00713F04"/>
    <w:rsid w:val="0071439C"/>
    <w:rsid w:val="007150A2"/>
    <w:rsid w:val="0071587B"/>
    <w:rsid w:val="00715CB3"/>
    <w:rsid w:val="0071605D"/>
    <w:rsid w:val="007173BC"/>
    <w:rsid w:val="00721522"/>
    <w:rsid w:val="00721F1A"/>
    <w:rsid w:val="007220EF"/>
    <w:rsid w:val="007222EF"/>
    <w:rsid w:val="00722A84"/>
    <w:rsid w:val="00722CD0"/>
    <w:rsid w:val="00724B3D"/>
    <w:rsid w:val="00726005"/>
    <w:rsid w:val="007265DD"/>
    <w:rsid w:val="00726AA6"/>
    <w:rsid w:val="00727116"/>
    <w:rsid w:val="00727962"/>
    <w:rsid w:val="007305E7"/>
    <w:rsid w:val="007308E2"/>
    <w:rsid w:val="00733CF3"/>
    <w:rsid w:val="00733D7C"/>
    <w:rsid w:val="0073690F"/>
    <w:rsid w:val="00736F2E"/>
    <w:rsid w:val="007379E0"/>
    <w:rsid w:val="007408BE"/>
    <w:rsid w:val="00740B8B"/>
    <w:rsid w:val="00740BB5"/>
    <w:rsid w:val="00740C43"/>
    <w:rsid w:val="00741A45"/>
    <w:rsid w:val="0074321C"/>
    <w:rsid w:val="00743AFC"/>
    <w:rsid w:val="00743FA4"/>
    <w:rsid w:val="00744C82"/>
    <w:rsid w:val="00747DEF"/>
    <w:rsid w:val="00750193"/>
    <w:rsid w:val="00750EC4"/>
    <w:rsid w:val="007520EF"/>
    <w:rsid w:val="0075226B"/>
    <w:rsid w:val="0075348B"/>
    <w:rsid w:val="00753D8F"/>
    <w:rsid w:val="00755B3D"/>
    <w:rsid w:val="00756FF6"/>
    <w:rsid w:val="007572EC"/>
    <w:rsid w:val="007579BD"/>
    <w:rsid w:val="00757E8D"/>
    <w:rsid w:val="00757F45"/>
    <w:rsid w:val="00757F73"/>
    <w:rsid w:val="00760A95"/>
    <w:rsid w:val="00761167"/>
    <w:rsid w:val="0076143A"/>
    <w:rsid w:val="007615AA"/>
    <w:rsid w:val="00762186"/>
    <w:rsid w:val="007625F1"/>
    <w:rsid w:val="00762F68"/>
    <w:rsid w:val="0076395F"/>
    <w:rsid w:val="00763CF8"/>
    <w:rsid w:val="007641E2"/>
    <w:rsid w:val="00764D50"/>
    <w:rsid w:val="00765092"/>
    <w:rsid w:val="00765BE3"/>
    <w:rsid w:val="00766035"/>
    <w:rsid w:val="0076619F"/>
    <w:rsid w:val="00766E1D"/>
    <w:rsid w:val="00766E68"/>
    <w:rsid w:val="00767021"/>
    <w:rsid w:val="0076718C"/>
    <w:rsid w:val="007675F0"/>
    <w:rsid w:val="00770A6F"/>
    <w:rsid w:val="007714DA"/>
    <w:rsid w:val="00771D1C"/>
    <w:rsid w:val="007722E4"/>
    <w:rsid w:val="00772486"/>
    <w:rsid w:val="007727AA"/>
    <w:rsid w:val="0077426B"/>
    <w:rsid w:val="00774F23"/>
    <w:rsid w:val="00775049"/>
    <w:rsid w:val="00775983"/>
    <w:rsid w:val="00776AB9"/>
    <w:rsid w:val="00776EFF"/>
    <w:rsid w:val="0078100E"/>
    <w:rsid w:val="0078104B"/>
    <w:rsid w:val="0078132E"/>
    <w:rsid w:val="00783E11"/>
    <w:rsid w:val="007842B5"/>
    <w:rsid w:val="00784747"/>
    <w:rsid w:val="0078528C"/>
    <w:rsid w:val="007857F6"/>
    <w:rsid w:val="0078620C"/>
    <w:rsid w:val="007866A7"/>
    <w:rsid w:val="00787671"/>
    <w:rsid w:val="00787848"/>
    <w:rsid w:val="0079065F"/>
    <w:rsid w:val="00791400"/>
    <w:rsid w:val="00794ABC"/>
    <w:rsid w:val="0079526D"/>
    <w:rsid w:val="00795D3B"/>
    <w:rsid w:val="007A0682"/>
    <w:rsid w:val="007A100F"/>
    <w:rsid w:val="007A128B"/>
    <w:rsid w:val="007A1C0F"/>
    <w:rsid w:val="007A2829"/>
    <w:rsid w:val="007A3249"/>
    <w:rsid w:val="007A3574"/>
    <w:rsid w:val="007A43F3"/>
    <w:rsid w:val="007A4F90"/>
    <w:rsid w:val="007A5C79"/>
    <w:rsid w:val="007A6EC4"/>
    <w:rsid w:val="007B0F2A"/>
    <w:rsid w:val="007B21D4"/>
    <w:rsid w:val="007B257C"/>
    <w:rsid w:val="007B3639"/>
    <w:rsid w:val="007B4027"/>
    <w:rsid w:val="007B4077"/>
    <w:rsid w:val="007B4402"/>
    <w:rsid w:val="007B46E1"/>
    <w:rsid w:val="007B4AFA"/>
    <w:rsid w:val="007B4D56"/>
    <w:rsid w:val="007B4D7C"/>
    <w:rsid w:val="007B50B6"/>
    <w:rsid w:val="007B540E"/>
    <w:rsid w:val="007B5456"/>
    <w:rsid w:val="007B65A7"/>
    <w:rsid w:val="007B6B0F"/>
    <w:rsid w:val="007B77EF"/>
    <w:rsid w:val="007C0AE7"/>
    <w:rsid w:val="007C0B41"/>
    <w:rsid w:val="007C0C74"/>
    <w:rsid w:val="007C17EF"/>
    <w:rsid w:val="007C1BD2"/>
    <w:rsid w:val="007C1E33"/>
    <w:rsid w:val="007C2220"/>
    <w:rsid w:val="007C23B9"/>
    <w:rsid w:val="007C2C9A"/>
    <w:rsid w:val="007C3730"/>
    <w:rsid w:val="007C4A72"/>
    <w:rsid w:val="007C4D11"/>
    <w:rsid w:val="007C5571"/>
    <w:rsid w:val="007C6E7B"/>
    <w:rsid w:val="007C77A2"/>
    <w:rsid w:val="007C7C47"/>
    <w:rsid w:val="007D16EA"/>
    <w:rsid w:val="007D2886"/>
    <w:rsid w:val="007D2D98"/>
    <w:rsid w:val="007D3186"/>
    <w:rsid w:val="007D3998"/>
    <w:rsid w:val="007D3A1A"/>
    <w:rsid w:val="007D488B"/>
    <w:rsid w:val="007D7B69"/>
    <w:rsid w:val="007E0F56"/>
    <w:rsid w:val="007E1697"/>
    <w:rsid w:val="007E1F62"/>
    <w:rsid w:val="007E21ED"/>
    <w:rsid w:val="007E346C"/>
    <w:rsid w:val="007E35A0"/>
    <w:rsid w:val="007E52FB"/>
    <w:rsid w:val="007E6768"/>
    <w:rsid w:val="007E69A2"/>
    <w:rsid w:val="007E6DE2"/>
    <w:rsid w:val="007E7138"/>
    <w:rsid w:val="007F09AA"/>
    <w:rsid w:val="007F1F81"/>
    <w:rsid w:val="007F31C8"/>
    <w:rsid w:val="007F391F"/>
    <w:rsid w:val="007F3D9B"/>
    <w:rsid w:val="007F4002"/>
    <w:rsid w:val="007F4285"/>
    <w:rsid w:val="007F460E"/>
    <w:rsid w:val="007F545D"/>
    <w:rsid w:val="007F5571"/>
    <w:rsid w:val="007F5700"/>
    <w:rsid w:val="007F64CA"/>
    <w:rsid w:val="007F79D4"/>
    <w:rsid w:val="008004F9"/>
    <w:rsid w:val="008011B4"/>
    <w:rsid w:val="008011F0"/>
    <w:rsid w:val="008011F2"/>
    <w:rsid w:val="00803835"/>
    <w:rsid w:val="00803E41"/>
    <w:rsid w:val="00804727"/>
    <w:rsid w:val="00805127"/>
    <w:rsid w:val="008054E6"/>
    <w:rsid w:val="00805620"/>
    <w:rsid w:val="00810161"/>
    <w:rsid w:val="00811552"/>
    <w:rsid w:val="0081156F"/>
    <w:rsid w:val="008117E1"/>
    <w:rsid w:val="00812E19"/>
    <w:rsid w:val="00814180"/>
    <w:rsid w:val="00815A30"/>
    <w:rsid w:val="00816D55"/>
    <w:rsid w:val="0081725B"/>
    <w:rsid w:val="008205E1"/>
    <w:rsid w:val="00821A2E"/>
    <w:rsid w:val="00822683"/>
    <w:rsid w:val="008227D0"/>
    <w:rsid w:val="00823179"/>
    <w:rsid w:val="00823AB1"/>
    <w:rsid w:val="00824074"/>
    <w:rsid w:val="00826BB0"/>
    <w:rsid w:val="00826C6A"/>
    <w:rsid w:val="0082765B"/>
    <w:rsid w:val="00827983"/>
    <w:rsid w:val="00830B82"/>
    <w:rsid w:val="008317C7"/>
    <w:rsid w:val="00831B8F"/>
    <w:rsid w:val="00831EC9"/>
    <w:rsid w:val="00832D45"/>
    <w:rsid w:val="008341A1"/>
    <w:rsid w:val="00834A13"/>
    <w:rsid w:val="00834B9E"/>
    <w:rsid w:val="00835300"/>
    <w:rsid w:val="00836962"/>
    <w:rsid w:val="00837E57"/>
    <w:rsid w:val="008409F5"/>
    <w:rsid w:val="00840D92"/>
    <w:rsid w:val="00844AD8"/>
    <w:rsid w:val="00844C45"/>
    <w:rsid w:val="00844E29"/>
    <w:rsid w:val="0084531C"/>
    <w:rsid w:val="00845F14"/>
    <w:rsid w:val="0084653D"/>
    <w:rsid w:val="00847024"/>
    <w:rsid w:val="00847410"/>
    <w:rsid w:val="0085093A"/>
    <w:rsid w:val="008527E9"/>
    <w:rsid w:val="00852EC6"/>
    <w:rsid w:val="008531E6"/>
    <w:rsid w:val="00854E4F"/>
    <w:rsid w:val="00855512"/>
    <w:rsid w:val="0085575C"/>
    <w:rsid w:val="0085585A"/>
    <w:rsid w:val="0085664C"/>
    <w:rsid w:val="00857299"/>
    <w:rsid w:val="0085739B"/>
    <w:rsid w:val="00857465"/>
    <w:rsid w:val="0085775B"/>
    <w:rsid w:val="00857967"/>
    <w:rsid w:val="00860BCB"/>
    <w:rsid w:val="00860F8D"/>
    <w:rsid w:val="0086227E"/>
    <w:rsid w:val="00862765"/>
    <w:rsid w:val="0086299B"/>
    <w:rsid w:val="00862C26"/>
    <w:rsid w:val="00863434"/>
    <w:rsid w:val="00863857"/>
    <w:rsid w:val="00863A91"/>
    <w:rsid w:val="00863FD3"/>
    <w:rsid w:val="00864B92"/>
    <w:rsid w:val="00865385"/>
    <w:rsid w:val="00865545"/>
    <w:rsid w:val="008663F3"/>
    <w:rsid w:val="008678C2"/>
    <w:rsid w:val="00867CED"/>
    <w:rsid w:val="008709ED"/>
    <w:rsid w:val="008720EB"/>
    <w:rsid w:val="008728CB"/>
    <w:rsid w:val="00872C9C"/>
    <w:rsid w:val="00873B8C"/>
    <w:rsid w:val="0087469F"/>
    <w:rsid w:val="0087492F"/>
    <w:rsid w:val="00874E9F"/>
    <w:rsid w:val="00874FC7"/>
    <w:rsid w:val="008751BE"/>
    <w:rsid w:val="0087667E"/>
    <w:rsid w:val="00876A0B"/>
    <w:rsid w:val="00877273"/>
    <w:rsid w:val="00877725"/>
    <w:rsid w:val="00877DF2"/>
    <w:rsid w:val="008800C7"/>
    <w:rsid w:val="008815AE"/>
    <w:rsid w:val="00882B6A"/>
    <w:rsid w:val="00883105"/>
    <w:rsid w:val="00883B8B"/>
    <w:rsid w:val="00884ADC"/>
    <w:rsid w:val="008868F7"/>
    <w:rsid w:val="00890380"/>
    <w:rsid w:val="00891EB2"/>
    <w:rsid w:val="0089245A"/>
    <w:rsid w:val="00892961"/>
    <w:rsid w:val="00893A53"/>
    <w:rsid w:val="00893C1B"/>
    <w:rsid w:val="00893D44"/>
    <w:rsid w:val="00894591"/>
    <w:rsid w:val="00894F72"/>
    <w:rsid w:val="0089553D"/>
    <w:rsid w:val="00895D62"/>
    <w:rsid w:val="00896237"/>
    <w:rsid w:val="00896A41"/>
    <w:rsid w:val="008973AE"/>
    <w:rsid w:val="00897AA3"/>
    <w:rsid w:val="008A0222"/>
    <w:rsid w:val="008A2B71"/>
    <w:rsid w:val="008A36B8"/>
    <w:rsid w:val="008A3B90"/>
    <w:rsid w:val="008A3FFC"/>
    <w:rsid w:val="008A6049"/>
    <w:rsid w:val="008A6DA7"/>
    <w:rsid w:val="008A70A2"/>
    <w:rsid w:val="008A7A79"/>
    <w:rsid w:val="008B1430"/>
    <w:rsid w:val="008B1450"/>
    <w:rsid w:val="008B1BA9"/>
    <w:rsid w:val="008B21AE"/>
    <w:rsid w:val="008B274D"/>
    <w:rsid w:val="008B31C1"/>
    <w:rsid w:val="008B35DE"/>
    <w:rsid w:val="008B3A63"/>
    <w:rsid w:val="008B3C17"/>
    <w:rsid w:val="008B4227"/>
    <w:rsid w:val="008B427E"/>
    <w:rsid w:val="008B4AA7"/>
    <w:rsid w:val="008B4D36"/>
    <w:rsid w:val="008B4DCB"/>
    <w:rsid w:val="008B7D7D"/>
    <w:rsid w:val="008B7E7A"/>
    <w:rsid w:val="008C0506"/>
    <w:rsid w:val="008C108C"/>
    <w:rsid w:val="008C1107"/>
    <w:rsid w:val="008C1B02"/>
    <w:rsid w:val="008C2651"/>
    <w:rsid w:val="008C3451"/>
    <w:rsid w:val="008C3920"/>
    <w:rsid w:val="008C3AD4"/>
    <w:rsid w:val="008C4E75"/>
    <w:rsid w:val="008C50D3"/>
    <w:rsid w:val="008C612F"/>
    <w:rsid w:val="008D2D37"/>
    <w:rsid w:val="008D2D51"/>
    <w:rsid w:val="008D340D"/>
    <w:rsid w:val="008D3C94"/>
    <w:rsid w:val="008D42E2"/>
    <w:rsid w:val="008D4EB6"/>
    <w:rsid w:val="008D5292"/>
    <w:rsid w:val="008D60A8"/>
    <w:rsid w:val="008D613D"/>
    <w:rsid w:val="008D6CFE"/>
    <w:rsid w:val="008E106D"/>
    <w:rsid w:val="008E1E35"/>
    <w:rsid w:val="008E1E4E"/>
    <w:rsid w:val="008E26C1"/>
    <w:rsid w:val="008E273A"/>
    <w:rsid w:val="008E3C61"/>
    <w:rsid w:val="008E4240"/>
    <w:rsid w:val="008E5180"/>
    <w:rsid w:val="008E522D"/>
    <w:rsid w:val="008E54EB"/>
    <w:rsid w:val="008E54F5"/>
    <w:rsid w:val="008E55F9"/>
    <w:rsid w:val="008E5DF3"/>
    <w:rsid w:val="008E7437"/>
    <w:rsid w:val="008E7D5B"/>
    <w:rsid w:val="008F04F0"/>
    <w:rsid w:val="008F0E23"/>
    <w:rsid w:val="008F108F"/>
    <w:rsid w:val="008F30EB"/>
    <w:rsid w:val="008F3A11"/>
    <w:rsid w:val="008F436E"/>
    <w:rsid w:val="008F4485"/>
    <w:rsid w:val="008F4FF5"/>
    <w:rsid w:val="008F5267"/>
    <w:rsid w:val="008F5520"/>
    <w:rsid w:val="008F5590"/>
    <w:rsid w:val="008F597D"/>
    <w:rsid w:val="008F642E"/>
    <w:rsid w:val="008F79F9"/>
    <w:rsid w:val="00901B90"/>
    <w:rsid w:val="00902CF7"/>
    <w:rsid w:val="0090340C"/>
    <w:rsid w:val="00903421"/>
    <w:rsid w:val="009034CB"/>
    <w:rsid w:val="0090377A"/>
    <w:rsid w:val="00903F6F"/>
    <w:rsid w:val="00904544"/>
    <w:rsid w:val="009065D2"/>
    <w:rsid w:val="00906EF4"/>
    <w:rsid w:val="00907A43"/>
    <w:rsid w:val="00910449"/>
    <w:rsid w:val="00910D9C"/>
    <w:rsid w:val="009115B9"/>
    <w:rsid w:val="00911990"/>
    <w:rsid w:val="00912373"/>
    <w:rsid w:val="00912832"/>
    <w:rsid w:val="00912AF9"/>
    <w:rsid w:val="00914291"/>
    <w:rsid w:val="00914A6C"/>
    <w:rsid w:val="00914AE0"/>
    <w:rsid w:val="00915CE6"/>
    <w:rsid w:val="0091602A"/>
    <w:rsid w:val="009163B8"/>
    <w:rsid w:val="00916A37"/>
    <w:rsid w:val="009208D6"/>
    <w:rsid w:val="009211A9"/>
    <w:rsid w:val="00921423"/>
    <w:rsid w:val="009219CD"/>
    <w:rsid w:val="00922791"/>
    <w:rsid w:val="00922CCA"/>
    <w:rsid w:val="009233E6"/>
    <w:rsid w:val="00923498"/>
    <w:rsid w:val="009239E9"/>
    <w:rsid w:val="00923BBB"/>
    <w:rsid w:val="009249F8"/>
    <w:rsid w:val="009252C4"/>
    <w:rsid w:val="00926326"/>
    <w:rsid w:val="009266C2"/>
    <w:rsid w:val="009274DE"/>
    <w:rsid w:val="0092763B"/>
    <w:rsid w:val="009320AE"/>
    <w:rsid w:val="00932A57"/>
    <w:rsid w:val="00932DDD"/>
    <w:rsid w:val="00933490"/>
    <w:rsid w:val="00933CDC"/>
    <w:rsid w:val="00933D29"/>
    <w:rsid w:val="00934224"/>
    <w:rsid w:val="009348BA"/>
    <w:rsid w:val="0093503E"/>
    <w:rsid w:val="0093551F"/>
    <w:rsid w:val="00935551"/>
    <w:rsid w:val="009361B4"/>
    <w:rsid w:val="0093692E"/>
    <w:rsid w:val="009410F5"/>
    <w:rsid w:val="009425AC"/>
    <w:rsid w:val="00942B9D"/>
    <w:rsid w:val="00942D21"/>
    <w:rsid w:val="00942F94"/>
    <w:rsid w:val="00944435"/>
    <w:rsid w:val="00944FC7"/>
    <w:rsid w:val="0094572A"/>
    <w:rsid w:val="0094590E"/>
    <w:rsid w:val="009459AF"/>
    <w:rsid w:val="00945F0B"/>
    <w:rsid w:val="00946006"/>
    <w:rsid w:val="0094624C"/>
    <w:rsid w:val="0094652B"/>
    <w:rsid w:val="00947634"/>
    <w:rsid w:val="00947B0F"/>
    <w:rsid w:val="00950C6B"/>
    <w:rsid w:val="00951EBE"/>
    <w:rsid w:val="00953C6B"/>
    <w:rsid w:val="00953FFF"/>
    <w:rsid w:val="00954C23"/>
    <w:rsid w:val="00954CD0"/>
    <w:rsid w:val="00957F4B"/>
    <w:rsid w:val="00962301"/>
    <w:rsid w:val="0096322B"/>
    <w:rsid w:val="00963541"/>
    <w:rsid w:val="00964305"/>
    <w:rsid w:val="00965C7D"/>
    <w:rsid w:val="0096633B"/>
    <w:rsid w:val="0096634B"/>
    <w:rsid w:val="00966E26"/>
    <w:rsid w:val="00971100"/>
    <w:rsid w:val="00971257"/>
    <w:rsid w:val="00971C39"/>
    <w:rsid w:val="00971E99"/>
    <w:rsid w:val="009721EF"/>
    <w:rsid w:val="00972AF4"/>
    <w:rsid w:val="00972CBC"/>
    <w:rsid w:val="00973769"/>
    <w:rsid w:val="009748F3"/>
    <w:rsid w:val="00974E7D"/>
    <w:rsid w:val="009757BF"/>
    <w:rsid w:val="00976888"/>
    <w:rsid w:val="009769E3"/>
    <w:rsid w:val="009809EA"/>
    <w:rsid w:val="009810DC"/>
    <w:rsid w:val="009812C9"/>
    <w:rsid w:val="00981EC5"/>
    <w:rsid w:val="009833E1"/>
    <w:rsid w:val="00983463"/>
    <w:rsid w:val="00983B4B"/>
    <w:rsid w:val="009842AD"/>
    <w:rsid w:val="00984690"/>
    <w:rsid w:val="00984D11"/>
    <w:rsid w:val="0098755C"/>
    <w:rsid w:val="009905EB"/>
    <w:rsid w:val="00991F84"/>
    <w:rsid w:val="00992501"/>
    <w:rsid w:val="0099424A"/>
    <w:rsid w:val="00995207"/>
    <w:rsid w:val="0099547D"/>
    <w:rsid w:val="00995790"/>
    <w:rsid w:val="0099612B"/>
    <w:rsid w:val="0099728D"/>
    <w:rsid w:val="009974A4"/>
    <w:rsid w:val="00997B19"/>
    <w:rsid w:val="009A0B48"/>
    <w:rsid w:val="009A0BBA"/>
    <w:rsid w:val="009A2403"/>
    <w:rsid w:val="009A286E"/>
    <w:rsid w:val="009A331A"/>
    <w:rsid w:val="009A3811"/>
    <w:rsid w:val="009A47CF"/>
    <w:rsid w:val="009A4C9C"/>
    <w:rsid w:val="009A647E"/>
    <w:rsid w:val="009A6AC9"/>
    <w:rsid w:val="009A6D38"/>
    <w:rsid w:val="009A76D0"/>
    <w:rsid w:val="009A7BBF"/>
    <w:rsid w:val="009B19EB"/>
    <w:rsid w:val="009B2030"/>
    <w:rsid w:val="009B249E"/>
    <w:rsid w:val="009B24DB"/>
    <w:rsid w:val="009B2986"/>
    <w:rsid w:val="009B2B72"/>
    <w:rsid w:val="009B2F7F"/>
    <w:rsid w:val="009B39CB"/>
    <w:rsid w:val="009B433E"/>
    <w:rsid w:val="009B4559"/>
    <w:rsid w:val="009B669B"/>
    <w:rsid w:val="009B78D8"/>
    <w:rsid w:val="009B7945"/>
    <w:rsid w:val="009C19E8"/>
    <w:rsid w:val="009C27B6"/>
    <w:rsid w:val="009C451E"/>
    <w:rsid w:val="009C4910"/>
    <w:rsid w:val="009C4B9D"/>
    <w:rsid w:val="009C6AAC"/>
    <w:rsid w:val="009C71C0"/>
    <w:rsid w:val="009D1533"/>
    <w:rsid w:val="009D1BB3"/>
    <w:rsid w:val="009D1E51"/>
    <w:rsid w:val="009D20F5"/>
    <w:rsid w:val="009D2C5D"/>
    <w:rsid w:val="009D33E7"/>
    <w:rsid w:val="009D3DBA"/>
    <w:rsid w:val="009D4202"/>
    <w:rsid w:val="009D46DB"/>
    <w:rsid w:val="009D5DE7"/>
    <w:rsid w:val="009D7115"/>
    <w:rsid w:val="009D7648"/>
    <w:rsid w:val="009D7693"/>
    <w:rsid w:val="009D7780"/>
    <w:rsid w:val="009D7B22"/>
    <w:rsid w:val="009D7F1B"/>
    <w:rsid w:val="009E0610"/>
    <w:rsid w:val="009E0931"/>
    <w:rsid w:val="009E0DC6"/>
    <w:rsid w:val="009E0EE4"/>
    <w:rsid w:val="009E349A"/>
    <w:rsid w:val="009E370E"/>
    <w:rsid w:val="009E381B"/>
    <w:rsid w:val="009E39E9"/>
    <w:rsid w:val="009E3F5F"/>
    <w:rsid w:val="009E3FDF"/>
    <w:rsid w:val="009E4C18"/>
    <w:rsid w:val="009E6058"/>
    <w:rsid w:val="009E6149"/>
    <w:rsid w:val="009F00CB"/>
    <w:rsid w:val="009F05B5"/>
    <w:rsid w:val="009F05C9"/>
    <w:rsid w:val="009F236C"/>
    <w:rsid w:val="009F3187"/>
    <w:rsid w:val="009F4161"/>
    <w:rsid w:val="009F44B7"/>
    <w:rsid w:val="009F4752"/>
    <w:rsid w:val="009F4965"/>
    <w:rsid w:val="009F4D7E"/>
    <w:rsid w:val="009F63A2"/>
    <w:rsid w:val="00A00653"/>
    <w:rsid w:val="00A010F2"/>
    <w:rsid w:val="00A01BE5"/>
    <w:rsid w:val="00A0321B"/>
    <w:rsid w:val="00A0429A"/>
    <w:rsid w:val="00A04514"/>
    <w:rsid w:val="00A04877"/>
    <w:rsid w:val="00A05385"/>
    <w:rsid w:val="00A054B0"/>
    <w:rsid w:val="00A063EE"/>
    <w:rsid w:val="00A07BCB"/>
    <w:rsid w:val="00A11253"/>
    <w:rsid w:val="00A11357"/>
    <w:rsid w:val="00A14310"/>
    <w:rsid w:val="00A1458F"/>
    <w:rsid w:val="00A1496E"/>
    <w:rsid w:val="00A158DF"/>
    <w:rsid w:val="00A16587"/>
    <w:rsid w:val="00A1697B"/>
    <w:rsid w:val="00A205BD"/>
    <w:rsid w:val="00A20F8E"/>
    <w:rsid w:val="00A215C7"/>
    <w:rsid w:val="00A22536"/>
    <w:rsid w:val="00A244F3"/>
    <w:rsid w:val="00A2699D"/>
    <w:rsid w:val="00A26C41"/>
    <w:rsid w:val="00A26DFD"/>
    <w:rsid w:val="00A27895"/>
    <w:rsid w:val="00A31A56"/>
    <w:rsid w:val="00A31CBB"/>
    <w:rsid w:val="00A32A8B"/>
    <w:rsid w:val="00A32F11"/>
    <w:rsid w:val="00A334EF"/>
    <w:rsid w:val="00A33AFA"/>
    <w:rsid w:val="00A353D8"/>
    <w:rsid w:val="00A35FAA"/>
    <w:rsid w:val="00A366EA"/>
    <w:rsid w:val="00A36E27"/>
    <w:rsid w:val="00A40176"/>
    <w:rsid w:val="00A401AA"/>
    <w:rsid w:val="00A405D8"/>
    <w:rsid w:val="00A4180F"/>
    <w:rsid w:val="00A42A8B"/>
    <w:rsid w:val="00A4483A"/>
    <w:rsid w:val="00A46275"/>
    <w:rsid w:val="00A472EA"/>
    <w:rsid w:val="00A502CE"/>
    <w:rsid w:val="00A50FA2"/>
    <w:rsid w:val="00A52336"/>
    <w:rsid w:val="00A52591"/>
    <w:rsid w:val="00A527D7"/>
    <w:rsid w:val="00A53DF6"/>
    <w:rsid w:val="00A54BAA"/>
    <w:rsid w:val="00A54F39"/>
    <w:rsid w:val="00A552DE"/>
    <w:rsid w:val="00A55DCC"/>
    <w:rsid w:val="00A566FA"/>
    <w:rsid w:val="00A57502"/>
    <w:rsid w:val="00A57711"/>
    <w:rsid w:val="00A57974"/>
    <w:rsid w:val="00A57FC8"/>
    <w:rsid w:val="00A6044F"/>
    <w:rsid w:val="00A60FCB"/>
    <w:rsid w:val="00A61A4D"/>
    <w:rsid w:val="00A62837"/>
    <w:rsid w:val="00A63257"/>
    <w:rsid w:val="00A63E1C"/>
    <w:rsid w:val="00A63EC1"/>
    <w:rsid w:val="00A6513D"/>
    <w:rsid w:val="00A65E7D"/>
    <w:rsid w:val="00A663D7"/>
    <w:rsid w:val="00A663DE"/>
    <w:rsid w:val="00A66763"/>
    <w:rsid w:val="00A67576"/>
    <w:rsid w:val="00A67927"/>
    <w:rsid w:val="00A709B8"/>
    <w:rsid w:val="00A7174E"/>
    <w:rsid w:val="00A73D91"/>
    <w:rsid w:val="00A76525"/>
    <w:rsid w:val="00A770FC"/>
    <w:rsid w:val="00A7774D"/>
    <w:rsid w:val="00A778B1"/>
    <w:rsid w:val="00A8143C"/>
    <w:rsid w:val="00A82F52"/>
    <w:rsid w:val="00A83F50"/>
    <w:rsid w:val="00A84112"/>
    <w:rsid w:val="00A8504B"/>
    <w:rsid w:val="00A8602A"/>
    <w:rsid w:val="00A87F45"/>
    <w:rsid w:val="00A90229"/>
    <w:rsid w:val="00A90491"/>
    <w:rsid w:val="00A91306"/>
    <w:rsid w:val="00A93341"/>
    <w:rsid w:val="00A93F49"/>
    <w:rsid w:val="00A94F71"/>
    <w:rsid w:val="00AA0573"/>
    <w:rsid w:val="00AA0690"/>
    <w:rsid w:val="00AA0891"/>
    <w:rsid w:val="00AA09B6"/>
    <w:rsid w:val="00AA198F"/>
    <w:rsid w:val="00AA23D5"/>
    <w:rsid w:val="00AA2DF0"/>
    <w:rsid w:val="00AA3042"/>
    <w:rsid w:val="00AA30F3"/>
    <w:rsid w:val="00AA35A2"/>
    <w:rsid w:val="00AA36D5"/>
    <w:rsid w:val="00AA3807"/>
    <w:rsid w:val="00AA4AE0"/>
    <w:rsid w:val="00AA4C74"/>
    <w:rsid w:val="00AA5022"/>
    <w:rsid w:val="00AA654E"/>
    <w:rsid w:val="00AB110B"/>
    <w:rsid w:val="00AB2331"/>
    <w:rsid w:val="00AB32C6"/>
    <w:rsid w:val="00AB4023"/>
    <w:rsid w:val="00AB438F"/>
    <w:rsid w:val="00AB4813"/>
    <w:rsid w:val="00AB5FE2"/>
    <w:rsid w:val="00AB63F9"/>
    <w:rsid w:val="00AB6A2A"/>
    <w:rsid w:val="00AB7D5F"/>
    <w:rsid w:val="00AC01A7"/>
    <w:rsid w:val="00AC128C"/>
    <w:rsid w:val="00AC12CF"/>
    <w:rsid w:val="00AC1EA0"/>
    <w:rsid w:val="00AC252A"/>
    <w:rsid w:val="00AC2AF7"/>
    <w:rsid w:val="00AC2D62"/>
    <w:rsid w:val="00AC2EF5"/>
    <w:rsid w:val="00AC31A0"/>
    <w:rsid w:val="00AC3BA3"/>
    <w:rsid w:val="00AC52C4"/>
    <w:rsid w:val="00AC5503"/>
    <w:rsid w:val="00AC6A39"/>
    <w:rsid w:val="00AC6D1C"/>
    <w:rsid w:val="00AC71DD"/>
    <w:rsid w:val="00AD046E"/>
    <w:rsid w:val="00AD0A98"/>
    <w:rsid w:val="00AD114A"/>
    <w:rsid w:val="00AD12CA"/>
    <w:rsid w:val="00AD1E13"/>
    <w:rsid w:val="00AD2E69"/>
    <w:rsid w:val="00AD38A3"/>
    <w:rsid w:val="00AD4C3F"/>
    <w:rsid w:val="00AD5B4A"/>
    <w:rsid w:val="00AD5B7D"/>
    <w:rsid w:val="00AD62F2"/>
    <w:rsid w:val="00AD6A12"/>
    <w:rsid w:val="00AD7E65"/>
    <w:rsid w:val="00AE05D9"/>
    <w:rsid w:val="00AE2739"/>
    <w:rsid w:val="00AE2DF4"/>
    <w:rsid w:val="00AE33F2"/>
    <w:rsid w:val="00AE3EBE"/>
    <w:rsid w:val="00AE441D"/>
    <w:rsid w:val="00AE7F57"/>
    <w:rsid w:val="00AF0AFE"/>
    <w:rsid w:val="00AF113B"/>
    <w:rsid w:val="00AF173A"/>
    <w:rsid w:val="00AF3216"/>
    <w:rsid w:val="00AF3DB2"/>
    <w:rsid w:val="00AF45E3"/>
    <w:rsid w:val="00AF4BB3"/>
    <w:rsid w:val="00AF4C7F"/>
    <w:rsid w:val="00AF5AD2"/>
    <w:rsid w:val="00AF6152"/>
    <w:rsid w:val="00AF6377"/>
    <w:rsid w:val="00AF6422"/>
    <w:rsid w:val="00AF757B"/>
    <w:rsid w:val="00AF7D50"/>
    <w:rsid w:val="00B00277"/>
    <w:rsid w:val="00B00737"/>
    <w:rsid w:val="00B01793"/>
    <w:rsid w:val="00B02C00"/>
    <w:rsid w:val="00B02E89"/>
    <w:rsid w:val="00B02EDF"/>
    <w:rsid w:val="00B032F8"/>
    <w:rsid w:val="00B0346C"/>
    <w:rsid w:val="00B05DBE"/>
    <w:rsid w:val="00B06C87"/>
    <w:rsid w:val="00B06D95"/>
    <w:rsid w:val="00B0738A"/>
    <w:rsid w:val="00B102CB"/>
    <w:rsid w:val="00B1031C"/>
    <w:rsid w:val="00B103CF"/>
    <w:rsid w:val="00B10A0C"/>
    <w:rsid w:val="00B10DFA"/>
    <w:rsid w:val="00B117C2"/>
    <w:rsid w:val="00B11D26"/>
    <w:rsid w:val="00B12C7C"/>
    <w:rsid w:val="00B12CBB"/>
    <w:rsid w:val="00B143F2"/>
    <w:rsid w:val="00B14EA9"/>
    <w:rsid w:val="00B16055"/>
    <w:rsid w:val="00B16235"/>
    <w:rsid w:val="00B167A1"/>
    <w:rsid w:val="00B175BE"/>
    <w:rsid w:val="00B17ABA"/>
    <w:rsid w:val="00B2069A"/>
    <w:rsid w:val="00B2222C"/>
    <w:rsid w:val="00B22B20"/>
    <w:rsid w:val="00B22FEB"/>
    <w:rsid w:val="00B239A6"/>
    <w:rsid w:val="00B25E40"/>
    <w:rsid w:val="00B26E65"/>
    <w:rsid w:val="00B31113"/>
    <w:rsid w:val="00B31F03"/>
    <w:rsid w:val="00B33494"/>
    <w:rsid w:val="00B34A98"/>
    <w:rsid w:val="00B351C4"/>
    <w:rsid w:val="00B35A80"/>
    <w:rsid w:val="00B35BE4"/>
    <w:rsid w:val="00B36955"/>
    <w:rsid w:val="00B36BB6"/>
    <w:rsid w:val="00B3701C"/>
    <w:rsid w:val="00B37159"/>
    <w:rsid w:val="00B37330"/>
    <w:rsid w:val="00B3773E"/>
    <w:rsid w:val="00B379DB"/>
    <w:rsid w:val="00B37DA5"/>
    <w:rsid w:val="00B4054F"/>
    <w:rsid w:val="00B409CF"/>
    <w:rsid w:val="00B421FF"/>
    <w:rsid w:val="00B4321B"/>
    <w:rsid w:val="00B437E6"/>
    <w:rsid w:val="00B43BD7"/>
    <w:rsid w:val="00B43FF7"/>
    <w:rsid w:val="00B44B67"/>
    <w:rsid w:val="00B453B4"/>
    <w:rsid w:val="00B46114"/>
    <w:rsid w:val="00B46210"/>
    <w:rsid w:val="00B46469"/>
    <w:rsid w:val="00B46DED"/>
    <w:rsid w:val="00B470BA"/>
    <w:rsid w:val="00B47A64"/>
    <w:rsid w:val="00B47D12"/>
    <w:rsid w:val="00B51002"/>
    <w:rsid w:val="00B51843"/>
    <w:rsid w:val="00B51896"/>
    <w:rsid w:val="00B52FD8"/>
    <w:rsid w:val="00B53193"/>
    <w:rsid w:val="00B53860"/>
    <w:rsid w:val="00B53ADB"/>
    <w:rsid w:val="00B53E84"/>
    <w:rsid w:val="00B54D33"/>
    <w:rsid w:val="00B55334"/>
    <w:rsid w:val="00B55926"/>
    <w:rsid w:val="00B55CA0"/>
    <w:rsid w:val="00B5643B"/>
    <w:rsid w:val="00B57A06"/>
    <w:rsid w:val="00B57A61"/>
    <w:rsid w:val="00B57C44"/>
    <w:rsid w:val="00B57D31"/>
    <w:rsid w:val="00B60863"/>
    <w:rsid w:val="00B60880"/>
    <w:rsid w:val="00B60D9B"/>
    <w:rsid w:val="00B6207F"/>
    <w:rsid w:val="00B63CDC"/>
    <w:rsid w:val="00B65261"/>
    <w:rsid w:val="00B65955"/>
    <w:rsid w:val="00B660E6"/>
    <w:rsid w:val="00B66FCB"/>
    <w:rsid w:val="00B67675"/>
    <w:rsid w:val="00B679E8"/>
    <w:rsid w:val="00B71A8E"/>
    <w:rsid w:val="00B71D3D"/>
    <w:rsid w:val="00B73065"/>
    <w:rsid w:val="00B735A5"/>
    <w:rsid w:val="00B741E8"/>
    <w:rsid w:val="00B75DEF"/>
    <w:rsid w:val="00B765C9"/>
    <w:rsid w:val="00B76731"/>
    <w:rsid w:val="00B7695A"/>
    <w:rsid w:val="00B77181"/>
    <w:rsid w:val="00B772E6"/>
    <w:rsid w:val="00B774C6"/>
    <w:rsid w:val="00B81375"/>
    <w:rsid w:val="00B81508"/>
    <w:rsid w:val="00B820A6"/>
    <w:rsid w:val="00B84579"/>
    <w:rsid w:val="00B848A1"/>
    <w:rsid w:val="00B854FC"/>
    <w:rsid w:val="00B8655A"/>
    <w:rsid w:val="00B866EA"/>
    <w:rsid w:val="00B86F95"/>
    <w:rsid w:val="00B90139"/>
    <w:rsid w:val="00B912DA"/>
    <w:rsid w:val="00B91858"/>
    <w:rsid w:val="00B91B59"/>
    <w:rsid w:val="00B923F1"/>
    <w:rsid w:val="00B9327D"/>
    <w:rsid w:val="00B9641C"/>
    <w:rsid w:val="00B96FD2"/>
    <w:rsid w:val="00B978B9"/>
    <w:rsid w:val="00BA1179"/>
    <w:rsid w:val="00BA219B"/>
    <w:rsid w:val="00BA237F"/>
    <w:rsid w:val="00BA423C"/>
    <w:rsid w:val="00BA4BC5"/>
    <w:rsid w:val="00BA53E1"/>
    <w:rsid w:val="00BA61E0"/>
    <w:rsid w:val="00BA625E"/>
    <w:rsid w:val="00BA6D54"/>
    <w:rsid w:val="00BA7128"/>
    <w:rsid w:val="00BA7522"/>
    <w:rsid w:val="00BA7620"/>
    <w:rsid w:val="00BA7F19"/>
    <w:rsid w:val="00BB0856"/>
    <w:rsid w:val="00BB0B99"/>
    <w:rsid w:val="00BB0FC4"/>
    <w:rsid w:val="00BB14AE"/>
    <w:rsid w:val="00BB24F5"/>
    <w:rsid w:val="00BB29CC"/>
    <w:rsid w:val="00BB3073"/>
    <w:rsid w:val="00BB3905"/>
    <w:rsid w:val="00BB3CC1"/>
    <w:rsid w:val="00BB554D"/>
    <w:rsid w:val="00BB606D"/>
    <w:rsid w:val="00BB63D0"/>
    <w:rsid w:val="00BB7108"/>
    <w:rsid w:val="00BC0148"/>
    <w:rsid w:val="00BC0177"/>
    <w:rsid w:val="00BC0187"/>
    <w:rsid w:val="00BC1C85"/>
    <w:rsid w:val="00BC2366"/>
    <w:rsid w:val="00BC2410"/>
    <w:rsid w:val="00BC2EC0"/>
    <w:rsid w:val="00BC402F"/>
    <w:rsid w:val="00BC432E"/>
    <w:rsid w:val="00BC5172"/>
    <w:rsid w:val="00BC5269"/>
    <w:rsid w:val="00BC6C28"/>
    <w:rsid w:val="00BD04D0"/>
    <w:rsid w:val="00BD0DD5"/>
    <w:rsid w:val="00BD1614"/>
    <w:rsid w:val="00BD1630"/>
    <w:rsid w:val="00BD19EE"/>
    <w:rsid w:val="00BD2483"/>
    <w:rsid w:val="00BD4383"/>
    <w:rsid w:val="00BD497D"/>
    <w:rsid w:val="00BD765E"/>
    <w:rsid w:val="00BD78CC"/>
    <w:rsid w:val="00BE044A"/>
    <w:rsid w:val="00BE09AB"/>
    <w:rsid w:val="00BE1721"/>
    <w:rsid w:val="00BE199C"/>
    <w:rsid w:val="00BE3588"/>
    <w:rsid w:val="00BE4399"/>
    <w:rsid w:val="00BE48F0"/>
    <w:rsid w:val="00BE4CF2"/>
    <w:rsid w:val="00BE66BF"/>
    <w:rsid w:val="00BF028A"/>
    <w:rsid w:val="00BF1069"/>
    <w:rsid w:val="00BF225B"/>
    <w:rsid w:val="00BF4B2E"/>
    <w:rsid w:val="00BF6DD4"/>
    <w:rsid w:val="00BF771F"/>
    <w:rsid w:val="00BF7EBA"/>
    <w:rsid w:val="00C003D4"/>
    <w:rsid w:val="00C00D0B"/>
    <w:rsid w:val="00C01657"/>
    <w:rsid w:val="00C03BC1"/>
    <w:rsid w:val="00C03F94"/>
    <w:rsid w:val="00C03FC5"/>
    <w:rsid w:val="00C04066"/>
    <w:rsid w:val="00C04D92"/>
    <w:rsid w:val="00C054E2"/>
    <w:rsid w:val="00C05D4B"/>
    <w:rsid w:val="00C07C8C"/>
    <w:rsid w:val="00C10E9D"/>
    <w:rsid w:val="00C11478"/>
    <w:rsid w:val="00C133F9"/>
    <w:rsid w:val="00C1397C"/>
    <w:rsid w:val="00C13E79"/>
    <w:rsid w:val="00C13F8D"/>
    <w:rsid w:val="00C14479"/>
    <w:rsid w:val="00C14A57"/>
    <w:rsid w:val="00C159C5"/>
    <w:rsid w:val="00C15FB0"/>
    <w:rsid w:val="00C162D1"/>
    <w:rsid w:val="00C167F9"/>
    <w:rsid w:val="00C16DCD"/>
    <w:rsid w:val="00C17457"/>
    <w:rsid w:val="00C17C43"/>
    <w:rsid w:val="00C20FAC"/>
    <w:rsid w:val="00C226C8"/>
    <w:rsid w:val="00C22F70"/>
    <w:rsid w:val="00C2325B"/>
    <w:rsid w:val="00C24620"/>
    <w:rsid w:val="00C2506D"/>
    <w:rsid w:val="00C25343"/>
    <w:rsid w:val="00C256F9"/>
    <w:rsid w:val="00C25732"/>
    <w:rsid w:val="00C25D85"/>
    <w:rsid w:val="00C268F9"/>
    <w:rsid w:val="00C2693E"/>
    <w:rsid w:val="00C2701B"/>
    <w:rsid w:val="00C27378"/>
    <w:rsid w:val="00C307F6"/>
    <w:rsid w:val="00C31347"/>
    <w:rsid w:val="00C32282"/>
    <w:rsid w:val="00C322E0"/>
    <w:rsid w:val="00C329EF"/>
    <w:rsid w:val="00C33686"/>
    <w:rsid w:val="00C33C3F"/>
    <w:rsid w:val="00C34734"/>
    <w:rsid w:val="00C3493D"/>
    <w:rsid w:val="00C3502C"/>
    <w:rsid w:val="00C35752"/>
    <w:rsid w:val="00C36221"/>
    <w:rsid w:val="00C36DAB"/>
    <w:rsid w:val="00C36F22"/>
    <w:rsid w:val="00C37853"/>
    <w:rsid w:val="00C37C59"/>
    <w:rsid w:val="00C37F8D"/>
    <w:rsid w:val="00C40463"/>
    <w:rsid w:val="00C41B32"/>
    <w:rsid w:val="00C4242E"/>
    <w:rsid w:val="00C42DFD"/>
    <w:rsid w:val="00C43DD6"/>
    <w:rsid w:val="00C45507"/>
    <w:rsid w:val="00C45552"/>
    <w:rsid w:val="00C46A75"/>
    <w:rsid w:val="00C46B1D"/>
    <w:rsid w:val="00C4700C"/>
    <w:rsid w:val="00C47683"/>
    <w:rsid w:val="00C51E3B"/>
    <w:rsid w:val="00C52D20"/>
    <w:rsid w:val="00C52DC1"/>
    <w:rsid w:val="00C54370"/>
    <w:rsid w:val="00C550D2"/>
    <w:rsid w:val="00C551C5"/>
    <w:rsid w:val="00C5574D"/>
    <w:rsid w:val="00C5753B"/>
    <w:rsid w:val="00C60592"/>
    <w:rsid w:val="00C609A5"/>
    <w:rsid w:val="00C60CDC"/>
    <w:rsid w:val="00C60D8D"/>
    <w:rsid w:val="00C6121B"/>
    <w:rsid w:val="00C622F0"/>
    <w:rsid w:val="00C62BA5"/>
    <w:rsid w:val="00C64A7D"/>
    <w:rsid w:val="00C64FE5"/>
    <w:rsid w:val="00C6500F"/>
    <w:rsid w:val="00C659C6"/>
    <w:rsid w:val="00C65D25"/>
    <w:rsid w:val="00C6621B"/>
    <w:rsid w:val="00C67584"/>
    <w:rsid w:val="00C67673"/>
    <w:rsid w:val="00C67840"/>
    <w:rsid w:val="00C70454"/>
    <w:rsid w:val="00C71543"/>
    <w:rsid w:val="00C716F0"/>
    <w:rsid w:val="00C7341F"/>
    <w:rsid w:val="00C7506D"/>
    <w:rsid w:val="00C75C1D"/>
    <w:rsid w:val="00C75D55"/>
    <w:rsid w:val="00C766B0"/>
    <w:rsid w:val="00C76E26"/>
    <w:rsid w:val="00C77B6A"/>
    <w:rsid w:val="00C8012E"/>
    <w:rsid w:val="00C80304"/>
    <w:rsid w:val="00C8124D"/>
    <w:rsid w:val="00C81C0E"/>
    <w:rsid w:val="00C8248E"/>
    <w:rsid w:val="00C83DA3"/>
    <w:rsid w:val="00C8530C"/>
    <w:rsid w:val="00C85588"/>
    <w:rsid w:val="00C85917"/>
    <w:rsid w:val="00C86DD7"/>
    <w:rsid w:val="00C87107"/>
    <w:rsid w:val="00C873B5"/>
    <w:rsid w:val="00C874E7"/>
    <w:rsid w:val="00C90F8E"/>
    <w:rsid w:val="00C9111E"/>
    <w:rsid w:val="00C91986"/>
    <w:rsid w:val="00C93D7A"/>
    <w:rsid w:val="00C94A94"/>
    <w:rsid w:val="00C95037"/>
    <w:rsid w:val="00C952CD"/>
    <w:rsid w:val="00C96FF1"/>
    <w:rsid w:val="00C9722C"/>
    <w:rsid w:val="00C975B8"/>
    <w:rsid w:val="00CA0AA1"/>
    <w:rsid w:val="00CA248D"/>
    <w:rsid w:val="00CA3BB1"/>
    <w:rsid w:val="00CA4DBA"/>
    <w:rsid w:val="00CA5087"/>
    <w:rsid w:val="00CA691D"/>
    <w:rsid w:val="00CB0AFB"/>
    <w:rsid w:val="00CB5DC5"/>
    <w:rsid w:val="00CB68E6"/>
    <w:rsid w:val="00CB6BDE"/>
    <w:rsid w:val="00CB6C26"/>
    <w:rsid w:val="00CC0FFC"/>
    <w:rsid w:val="00CC2FF8"/>
    <w:rsid w:val="00CC3198"/>
    <w:rsid w:val="00CC32A6"/>
    <w:rsid w:val="00CC353A"/>
    <w:rsid w:val="00CC4731"/>
    <w:rsid w:val="00CC4755"/>
    <w:rsid w:val="00CC4C9E"/>
    <w:rsid w:val="00CC4D0A"/>
    <w:rsid w:val="00CC6EC7"/>
    <w:rsid w:val="00CC734B"/>
    <w:rsid w:val="00CC7CE1"/>
    <w:rsid w:val="00CD007A"/>
    <w:rsid w:val="00CD1113"/>
    <w:rsid w:val="00CD171D"/>
    <w:rsid w:val="00CD1AB5"/>
    <w:rsid w:val="00CD1B77"/>
    <w:rsid w:val="00CD1F56"/>
    <w:rsid w:val="00CD1FAB"/>
    <w:rsid w:val="00CD21CD"/>
    <w:rsid w:val="00CD250E"/>
    <w:rsid w:val="00CD2811"/>
    <w:rsid w:val="00CD2D88"/>
    <w:rsid w:val="00CD3044"/>
    <w:rsid w:val="00CD32CD"/>
    <w:rsid w:val="00CD35F6"/>
    <w:rsid w:val="00CD4086"/>
    <w:rsid w:val="00CD73B2"/>
    <w:rsid w:val="00CD77AD"/>
    <w:rsid w:val="00CE1A1D"/>
    <w:rsid w:val="00CE27E1"/>
    <w:rsid w:val="00CE31A7"/>
    <w:rsid w:val="00CE37A2"/>
    <w:rsid w:val="00CE455D"/>
    <w:rsid w:val="00CE63E2"/>
    <w:rsid w:val="00CE7753"/>
    <w:rsid w:val="00CE7A5E"/>
    <w:rsid w:val="00CE7DB9"/>
    <w:rsid w:val="00CF0511"/>
    <w:rsid w:val="00CF0BFD"/>
    <w:rsid w:val="00CF0CBE"/>
    <w:rsid w:val="00CF0D99"/>
    <w:rsid w:val="00CF1797"/>
    <w:rsid w:val="00CF18F0"/>
    <w:rsid w:val="00CF23F6"/>
    <w:rsid w:val="00CF2D41"/>
    <w:rsid w:val="00CF4497"/>
    <w:rsid w:val="00CF4E6B"/>
    <w:rsid w:val="00CF52C6"/>
    <w:rsid w:val="00CF5815"/>
    <w:rsid w:val="00CF5E25"/>
    <w:rsid w:val="00CF695A"/>
    <w:rsid w:val="00CF742F"/>
    <w:rsid w:val="00CF758B"/>
    <w:rsid w:val="00CF7CDB"/>
    <w:rsid w:val="00D002F2"/>
    <w:rsid w:val="00D01981"/>
    <w:rsid w:val="00D02050"/>
    <w:rsid w:val="00D02183"/>
    <w:rsid w:val="00D0275D"/>
    <w:rsid w:val="00D02F70"/>
    <w:rsid w:val="00D035B7"/>
    <w:rsid w:val="00D0368D"/>
    <w:rsid w:val="00D046E5"/>
    <w:rsid w:val="00D05B50"/>
    <w:rsid w:val="00D05D40"/>
    <w:rsid w:val="00D0604F"/>
    <w:rsid w:val="00D0667F"/>
    <w:rsid w:val="00D06EF3"/>
    <w:rsid w:val="00D07173"/>
    <w:rsid w:val="00D07B2D"/>
    <w:rsid w:val="00D10B4F"/>
    <w:rsid w:val="00D112CA"/>
    <w:rsid w:val="00D12168"/>
    <w:rsid w:val="00D13DFF"/>
    <w:rsid w:val="00D14169"/>
    <w:rsid w:val="00D14177"/>
    <w:rsid w:val="00D14664"/>
    <w:rsid w:val="00D15F16"/>
    <w:rsid w:val="00D16411"/>
    <w:rsid w:val="00D16766"/>
    <w:rsid w:val="00D200C7"/>
    <w:rsid w:val="00D20913"/>
    <w:rsid w:val="00D20CAD"/>
    <w:rsid w:val="00D21F21"/>
    <w:rsid w:val="00D23455"/>
    <w:rsid w:val="00D238DA"/>
    <w:rsid w:val="00D23F59"/>
    <w:rsid w:val="00D24FCA"/>
    <w:rsid w:val="00D251AB"/>
    <w:rsid w:val="00D32988"/>
    <w:rsid w:val="00D3375A"/>
    <w:rsid w:val="00D34C23"/>
    <w:rsid w:val="00D35A48"/>
    <w:rsid w:val="00D37D0D"/>
    <w:rsid w:val="00D37F82"/>
    <w:rsid w:val="00D40961"/>
    <w:rsid w:val="00D40A08"/>
    <w:rsid w:val="00D40E2D"/>
    <w:rsid w:val="00D413FA"/>
    <w:rsid w:val="00D4158A"/>
    <w:rsid w:val="00D41A2C"/>
    <w:rsid w:val="00D41F2C"/>
    <w:rsid w:val="00D41FF9"/>
    <w:rsid w:val="00D42155"/>
    <w:rsid w:val="00D427E7"/>
    <w:rsid w:val="00D435CD"/>
    <w:rsid w:val="00D43618"/>
    <w:rsid w:val="00D44B78"/>
    <w:rsid w:val="00D46214"/>
    <w:rsid w:val="00D469FD"/>
    <w:rsid w:val="00D46DEC"/>
    <w:rsid w:val="00D46E2D"/>
    <w:rsid w:val="00D47E3B"/>
    <w:rsid w:val="00D50F46"/>
    <w:rsid w:val="00D5193C"/>
    <w:rsid w:val="00D51FA8"/>
    <w:rsid w:val="00D52393"/>
    <w:rsid w:val="00D537A0"/>
    <w:rsid w:val="00D540C6"/>
    <w:rsid w:val="00D54A2E"/>
    <w:rsid w:val="00D55092"/>
    <w:rsid w:val="00D559B9"/>
    <w:rsid w:val="00D55F83"/>
    <w:rsid w:val="00D5716F"/>
    <w:rsid w:val="00D57210"/>
    <w:rsid w:val="00D57465"/>
    <w:rsid w:val="00D576E1"/>
    <w:rsid w:val="00D579FB"/>
    <w:rsid w:val="00D57F0E"/>
    <w:rsid w:val="00D60156"/>
    <w:rsid w:val="00D60FEB"/>
    <w:rsid w:val="00D62756"/>
    <w:rsid w:val="00D6335D"/>
    <w:rsid w:val="00D637B2"/>
    <w:rsid w:val="00D64BF2"/>
    <w:rsid w:val="00D6705D"/>
    <w:rsid w:val="00D70872"/>
    <w:rsid w:val="00D71BC0"/>
    <w:rsid w:val="00D745BB"/>
    <w:rsid w:val="00D745D2"/>
    <w:rsid w:val="00D74A31"/>
    <w:rsid w:val="00D7535B"/>
    <w:rsid w:val="00D75C85"/>
    <w:rsid w:val="00D7629C"/>
    <w:rsid w:val="00D808BE"/>
    <w:rsid w:val="00D809F6"/>
    <w:rsid w:val="00D80E9A"/>
    <w:rsid w:val="00D8247F"/>
    <w:rsid w:val="00D840A5"/>
    <w:rsid w:val="00D84E42"/>
    <w:rsid w:val="00D85A53"/>
    <w:rsid w:val="00D87A78"/>
    <w:rsid w:val="00D9000C"/>
    <w:rsid w:val="00D900AD"/>
    <w:rsid w:val="00D908FA"/>
    <w:rsid w:val="00D90A35"/>
    <w:rsid w:val="00D91DB1"/>
    <w:rsid w:val="00D924EF"/>
    <w:rsid w:val="00D92704"/>
    <w:rsid w:val="00D93387"/>
    <w:rsid w:val="00D933B9"/>
    <w:rsid w:val="00D934FD"/>
    <w:rsid w:val="00D93663"/>
    <w:rsid w:val="00D94A36"/>
    <w:rsid w:val="00D95952"/>
    <w:rsid w:val="00D965E9"/>
    <w:rsid w:val="00D96614"/>
    <w:rsid w:val="00D968A5"/>
    <w:rsid w:val="00DA11B2"/>
    <w:rsid w:val="00DA1383"/>
    <w:rsid w:val="00DA1705"/>
    <w:rsid w:val="00DA1817"/>
    <w:rsid w:val="00DA1875"/>
    <w:rsid w:val="00DA1A29"/>
    <w:rsid w:val="00DA2E0F"/>
    <w:rsid w:val="00DA3011"/>
    <w:rsid w:val="00DA381F"/>
    <w:rsid w:val="00DA437B"/>
    <w:rsid w:val="00DA45AE"/>
    <w:rsid w:val="00DA553F"/>
    <w:rsid w:val="00DA55F4"/>
    <w:rsid w:val="00DA61E8"/>
    <w:rsid w:val="00DA6E53"/>
    <w:rsid w:val="00DB1958"/>
    <w:rsid w:val="00DB1BFF"/>
    <w:rsid w:val="00DB1C48"/>
    <w:rsid w:val="00DB21F3"/>
    <w:rsid w:val="00DB39DE"/>
    <w:rsid w:val="00DB3BBC"/>
    <w:rsid w:val="00DB413C"/>
    <w:rsid w:val="00DB4804"/>
    <w:rsid w:val="00DB5F24"/>
    <w:rsid w:val="00DB6285"/>
    <w:rsid w:val="00DB7856"/>
    <w:rsid w:val="00DB7F8E"/>
    <w:rsid w:val="00DC003F"/>
    <w:rsid w:val="00DC0151"/>
    <w:rsid w:val="00DC0521"/>
    <w:rsid w:val="00DC05AA"/>
    <w:rsid w:val="00DC18B1"/>
    <w:rsid w:val="00DC1AB5"/>
    <w:rsid w:val="00DC1C54"/>
    <w:rsid w:val="00DC20C8"/>
    <w:rsid w:val="00DC273B"/>
    <w:rsid w:val="00DC3BF7"/>
    <w:rsid w:val="00DC3FE6"/>
    <w:rsid w:val="00DC4E2C"/>
    <w:rsid w:val="00DC5771"/>
    <w:rsid w:val="00DC5DDD"/>
    <w:rsid w:val="00DD29DB"/>
    <w:rsid w:val="00DD377B"/>
    <w:rsid w:val="00DE2349"/>
    <w:rsid w:val="00DE2905"/>
    <w:rsid w:val="00DE67B2"/>
    <w:rsid w:val="00DE6D00"/>
    <w:rsid w:val="00DE6E6A"/>
    <w:rsid w:val="00DE745E"/>
    <w:rsid w:val="00DE787B"/>
    <w:rsid w:val="00DF066C"/>
    <w:rsid w:val="00DF203E"/>
    <w:rsid w:val="00DF2999"/>
    <w:rsid w:val="00DF29E2"/>
    <w:rsid w:val="00DF3BEC"/>
    <w:rsid w:val="00DF484B"/>
    <w:rsid w:val="00DF5191"/>
    <w:rsid w:val="00DF51F5"/>
    <w:rsid w:val="00DF60E1"/>
    <w:rsid w:val="00E006D8"/>
    <w:rsid w:val="00E00A95"/>
    <w:rsid w:val="00E01699"/>
    <w:rsid w:val="00E04840"/>
    <w:rsid w:val="00E049E2"/>
    <w:rsid w:val="00E0521F"/>
    <w:rsid w:val="00E053DD"/>
    <w:rsid w:val="00E06095"/>
    <w:rsid w:val="00E07FFB"/>
    <w:rsid w:val="00E12835"/>
    <w:rsid w:val="00E130C8"/>
    <w:rsid w:val="00E1323B"/>
    <w:rsid w:val="00E13504"/>
    <w:rsid w:val="00E14D65"/>
    <w:rsid w:val="00E14E11"/>
    <w:rsid w:val="00E16398"/>
    <w:rsid w:val="00E163D0"/>
    <w:rsid w:val="00E164F0"/>
    <w:rsid w:val="00E165C7"/>
    <w:rsid w:val="00E16997"/>
    <w:rsid w:val="00E16DD4"/>
    <w:rsid w:val="00E17162"/>
    <w:rsid w:val="00E179F1"/>
    <w:rsid w:val="00E20261"/>
    <w:rsid w:val="00E208F1"/>
    <w:rsid w:val="00E209CD"/>
    <w:rsid w:val="00E21B33"/>
    <w:rsid w:val="00E22C34"/>
    <w:rsid w:val="00E24005"/>
    <w:rsid w:val="00E242E7"/>
    <w:rsid w:val="00E24F2B"/>
    <w:rsid w:val="00E25EE4"/>
    <w:rsid w:val="00E260D5"/>
    <w:rsid w:val="00E26852"/>
    <w:rsid w:val="00E314A9"/>
    <w:rsid w:val="00E32AAA"/>
    <w:rsid w:val="00E32CA6"/>
    <w:rsid w:val="00E36044"/>
    <w:rsid w:val="00E36A7B"/>
    <w:rsid w:val="00E3719A"/>
    <w:rsid w:val="00E3736E"/>
    <w:rsid w:val="00E375A9"/>
    <w:rsid w:val="00E4095F"/>
    <w:rsid w:val="00E4307F"/>
    <w:rsid w:val="00E430FA"/>
    <w:rsid w:val="00E43446"/>
    <w:rsid w:val="00E4388B"/>
    <w:rsid w:val="00E43D74"/>
    <w:rsid w:val="00E44583"/>
    <w:rsid w:val="00E44B2B"/>
    <w:rsid w:val="00E502C1"/>
    <w:rsid w:val="00E509B7"/>
    <w:rsid w:val="00E50B13"/>
    <w:rsid w:val="00E50FF8"/>
    <w:rsid w:val="00E521AA"/>
    <w:rsid w:val="00E5295F"/>
    <w:rsid w:val="00E53385"/>
    <w:rsid w:val="00E549BD"/>
    <w:rsid w:val="00E54A24"/>
    <w:rsid w:val="00E553F7"/>
    <w:rsid w:val="00E555EA"/>
    <w:rsid w:val="00E55B4E"/>
    <w:rsid w:val="00E55E9C"/>
    <w:rsid w:val="00E568C6"/>
    <w:rsid w:val="00E60EAF"/>
    <w:rsid w:val="00E617B6"/>
    <w:rsid w:val="00E6210E"/>
    <w:rsid w:val="00E62CEA"/>
    <w:rsid w:val="00E633F9"/>
    <w:rsid w:val="00E63885"/>
    <w:rsid w:val="00E6586D"/>
    <w:rsid w:val="00E65A24"/>
    <w:rsid w:val="00E67E83"/>
    <w:rsid w:val="00E72226"/>
    <w:rsid w:val="00E729E0"/>
    <w:rsid w:val="00E73E2A"/>
    <w:rsid w:val="00E74653"/>
    <w:rsid w:val="00E74BFF"/>
    <w:rsid w:val="00E75E16"/>
    <w:rsid w:val="00E767EB"/>
    <w:rsid w:val="00E77E84"/>
    <w:rsid w:val="00E8004B"/>
    <w:rsid w:val="00E80D43"/>
    <w:rsid w:val="00E80DE8"/>
    <w:rsid w:val="00E814A4"/>
    <w:rsid w:val="00E827E9"/>
    <w:rsid w:val="00E8359B"/>
    <w:rsid w:val="00E83EEE"/>
    <w:rsid w:val="00E85F3D"/>
    <w:rsid w:val="00E861F2"/>
    <w:rsid w:val="00E86AE4"/>
    <w:rsid w:val="00E874D7"/>
    <w:rsid w:val="00E877E8"/>
    <w:rsid w:val="00E87D4B"/>
    <w:rsid w:val="00E930E7"/>
    <w:rsid w:val="00E932FD"/>
    <w:rsid w:val="00E943BA"/>
    <w:rsid w:val="00E95C07"/>
    <w:rsid w:val="00E95D0D"/>
    <w:rsid w:val="00E9731D"/>
    <w:rsid w:val="00E9787F"/>
    <w:rsid w:val="00EA01F6"/>
    <w:rsid w:val="00EA1A5D"/>
    <w:rsid w:val="00EA1D95"/>
    <w:rsid w:val="00EA25A9"/>
    <w:rsid w:val="00EA29D3"/>
    <w:rsid w:val="00EA3907"/>
    <w:rsid w:val="00EA5A99"/>
    <w:rsid w:val="00EA61E2"/>
    <w:rsid w:val="00EB1568"/>
    <w:rsid w:val="00EB2782"/>
    <w:rsid w:val="00EB39DD"/>
    <w:rsid w:val="00EB6B02"/>
    <w:rsid w:val="00EB6D38"/>
    <w:rsid w:val="00EB7F59"/>
    <w:rsid w:val="00EC09CC"/>
    <w:rsid w:val="00EC09E9"/>
    <w:rsid w:val="00EC0D10"/>
    <w:rsid w:val="00EC1287"/>
    <w:rsid w:val="00EC1A2D"/>
    <w:rsid w:val="00EC25FF"/>
    <w:rsid w:val="00EC48A6"/>
    <w:rsid w:val="00ED04E2"/>
    <w:rsid w:val="00ED0B2C"/>
    <w:rsid w:val="00ED0DBB"/>
    <w:rsid w:val="00ED1D1A"/>
    <w:rsid w:val="00ED1E70"/>
    <w:rsid w:val="00ED1FB6"/>
    <w:rsid w:val="00ED35B2"/>
    <w:rsid w:val="00ED37B2"/>
    <w:rsid w:val="00ED39AC"/>
    <w:rsid w:val="00ED473C"/>
    <w:rsid w:val="00ED51B4"/>
    <w:rsid w:val="00ED53B8"/>
    <w:rsid w:val="00ED6BD3"/>
    <w:rsid w:val="00ED71B1"/>
    <w:rsid w:val="00EE08C1"/>
    <w:rsid w:val="00EE14CE"/>
    <w:rsid w:val="00EE1F28"/>
    <w:rsid w:val="00EE220C"/>
    <w:rsid w:val="00EE26F7"/>
    <w:rsid w:val="00EE2AB6"/>
    <w:rsid w:val="00EE2C76"/>
    <w:rsid w:val="00EE2F31"/>
    <w:rsid w:val="00EE321E"/>
    <w:rsid w:val="00EE3490"/>
    <w:rsid w:val="00EE4919"/>
    <w:rsid w:val="00EE4D93"/>
    <w:rsid w:val="00EE6BCE"/>
    <w:rsid w:val="00EF002E"/>
    <w:rsid w:val="00EF02BC"/>
    <w:rsid w:val="00EF0AAD"/>
    <w:rsid w:val="00EF10D6"/>
    <w:rsid w:val="00EF1A62"/>
    <w:rsid w:val="00EF1F08"/>
    <w:rsid w:val="00EF2EEA"/>
    <w:rsid w:val="00EF3C3F"/>
    <w:rsid w:val="00EF4557"/>
    <w:rsid w:val="00EF4C64"/>
    <w:rsid w:val="00EF52D9"/>
    <w:rsid w:val="00EF69F5"/>
    <w:rsid w:val="00EF7EB0"/>
    <w:rsid w:val="00F00081"/>
    <w:rsid w:val="00F0199F"/>
    <w:rsid w:val="00F04DE8"/>
    <w:rsid w:val="00F05D1F"/>
    <w:rsid w:val="00F0765D"/>
    <w:rsid w:val="00F07898"/>
    <w:rsid w:val="00F07AE3"/>
    <w:rsid w:val="00F10EDC"/>
    <w:rsid w:val="00F11644"/>
    <w:rsid w:val="00F11E12"/>
    <w:rsid w:val="00F134EB"/>
    <w:rsid w:val="00F13A48"/>
    <w:rsid w:val="00F13AEF"/>
    <w:rsid w:val="00F1460B"/>
    <w:rsid w:val="00F146E3"/>
    <w:rsid w:val="00F14DD3"/>
    <w:rsid w:val="00F153B7"/>
    <w:rsid w:val="00F1581C"/>
    <w:rsid w:val="00F15A0A"/>
    <w:rsid w:val="00F20569"/>
    <w:rsid w:val="00F20A09"/>
    <w:rsid w:val="00F21694"/>
    <w:rsid w:val="00F223A8"/>
    <w:rsid w:val="00F229ED"/>
    <w:rsid w:val="00F22D3B"/>
    <w:rsid w:val="00F23EED"/>
    <w:rsid w:val="00F23F42"/>
    <w:rsid w:val="00F241EE"/>
    <w:rsid w:val="00F2540C"/>
    <w:rsid w:val="00F2647C"/>
    <w:rsid w:val="00F265F1"/>
    <w:rsid w:val="00F27528"/>
    <w:rsid w:val="00F278FF"/>
    <w:rsid w:val="00F27E32"/>
    <w:rsid w:val="00F309EF"/>
    <w:rsid w:val="00F315DB"/>
    <w:rsid w:val="00F31D7B"/>
    <w:rsid w:val="00F3448B"/>
    <w:rsid w:val="00F346F9"/>
    <w:rsid w:val="00F34D72"/>
    <w:rsid w:val="00F35DAC"/>
    <w:rsid w:val="00F36981"/>
    <w:rsid w:val="00F401D2"/>
    <w:rsid w:val="00F40709"/>
    <w:rsid w:val="00F41705"/>
    <w:rsid w:val="00F423C9"/>
    <w:rsid w:val="00F424E9"/>
    <w:rsid w:val="00F426CB"/>
    <w:rsid w:val="00F42890"/>
    <w:rsid w:val="00F43407"/>
    <w:rsid w:val="00F44F5C"/>
    <w:rsid w:val="00F4624E"/>
    <w:rsid w:val="00F5052C"/>
    <w:rsid w:val="00F50601"/>
    <w:rsid w:val="00F506CC"/>
    <w:rsid w:val="00F514AF"/>
    <w:rsid w:val="00F52695"/>
    <w:rsid w:val="00F52E75"/>
    <w:rsid w:val="00F53720"/>
    <w:rsid w:val="00F53A80"/>
    <w:rsid w:val="00F54B52"/>
    <w:rsid w:val="00F558A6"/>
    <w:rsid w:val="00F571A3"/>
    <w:rsid w:val="00F5741A"/>
    <w:rsid w:val="00F61348"/>
    <w:rsid w:val="00F613AC"/>
    <w:rsid w:val="00F615C0"/>
    <w:rsid w:val="00F62DE2"/>
    <w:rsid w:val="00F63860"/>
    <w:rsid w:val="00F6393C"/>
    <w:rsid w:val="00F64036"/>
    <w:rsid w:val="00F64962"/>
    <w:rsid w:val="00F64A8E"/>
    <w:rsid w:val="00F64FBD"/>
    <w:rsid w:val="00F677DF"/>
    <w:rsid w:val="00F67BEA"/>
    <w:rsid w:val="00F7076E"/>
    <w:rsid w:val="00F72077"/>
    <w:rsid w:val="00F73466"/>
    <w:rsid w:val="00F741EA"/>
    <w:rsid w:val="00F74212"/>
    <w:rsid w:val="00F746E7"/>
    <w:rsid w:val="00F7492E"/>
    <w:rsid w:val="00F76852"/>
    <w:rsid w:val="00F80AC4"/>
    <w:rsid w:val="00F81696"/>
    <w:rsid w:val="00F82622"/>
    <w:rsid w:val="00F83B62"/>
    <w:rsid w:val="00F84407"/>
    <w:rsid w:val="00F84AFF"/>
    <w:rsid w:val="00F85FFD"/>
    <w:rsid w:val="00F863D8"/>
    <w:rsid w:val="00F86995"/>
    <w:rsid w:val="00F86AA0"/>
    <w:rsid w:val="00F86B7B"/>
    <w:rsid w:val="00F8784A"/>
    <w:rsid w:val="00F87FD2"/>
    <w:rsid w:val="00F901BD"/>
    <w:rsid w:val="00F903F8"/>
    <w:rsid w:val="00F90AB6"/>
    <w:rsid w:val="00F91B57"/>
    <w:rsid w:val="00F94211"/>
    <w:rsid w:val="00F95105"/>
    <w:rsid w:val="00F95A45"/>
    <w:rsid w:val="00F95F2A"/>
    <w:rsid w:val="00F961E2"/>
    <w:rsid w:val="00F96355"/>
    <w:rsid w:val="00F966AE"/>
    <w:rsid w:val="00FA15AC"/>
    <w:rsid w:val="00FA3041"/>
    <w:rsid w:val="00FA315E"/>
    <w:rsid w:val="00FA3315"/>
    <w:rsid w:val="00FA3D2B"/>
    <w:rsid w:val="00FA54EC"/>
    <w:rsid w:val="00FA6A7A"/>
    <w:rsid w:val="00FA6A9E"/>
    <w:rsid w:val="00FA7D91"/>
    <w:rsid w:val="00FB0992"/>
    <w:rsid w:val="00FB1534"/>
    <w:rsid w:val="00FB3DA8"/>
    <w:rsid w:val="00FB4E13"/>
    <w:rsid w:val="00FB552F"/>
    <w:rsid w:val="00FB5E15"/>
    <w:rsid w:val="00FB5EE5"/>
    <w:rsid w:val="00FB6653"/>
    <w:rsid w:val="00FB676D"/>
    <w:rsid w:val="00FB6BEA"/>
    <w:rsid w:val="00FC0EFA"/>
    <w:rsid w:val="00FC22FB"/>
    <w:rsid w:val="00FC399D"/>
    <w:rsid w:val="00FC45D7"/>
    <w:rsid w:val="00FC478E"/>
    <w:rsid w:val="00FC530F"/>
    <w:rsid w:val="00FC57B2"/>
    <w:rsid w:val="00FC605B"/>
    <w:rsid w:val="00FC610B"/>
    <w:rsid w:val="00FD084A"/>
    <w:rsid w:val="00FD0CE2"/>
    <w:rsid w:val="00FD140E"/>
    <w:rsid w:val="00FD1A6D"/>
    <w:rsid w:val="00FD2CDB"/>
    <w:rsid w:val="00FD30A2"/>
    <w:rsid w:val="00FD3AAD"/>
    <w:rsid w:val="00FD4EFC"/>
    <w:rsid w:val="00FD5CC6"/>
    <w:rsid w:val="00FE2F20"/>
    <w:rsid w:val="00FE2F3E"/>
    <w:rsid w:val="00FE4636"/>
    <w:rsid w:val="00FE4717"/>
    <w:rsid w:val="00FE75A1"/>
    <w:rsid w:val="00FE7FA1"/>
    <w:rsid w:val="00FF01D4"/>
    <w:rsid w:val="00FF02AB"/>
    <w:rsid w:val="00FF27A3"/>
    <w:rsid w:val="00FF29AF"/>
    <w:rsid w:val="00FF3D7D"/>
    <w:rsid w:val="00FF58A6"/>
    <w:rsid w:val="00FF638A"/>
    <w:rsid w:val="00FF6650"/>
    <w:rsid w:val="00FF66D3"/>
    <w:rsid w:val="00FF6AFD"/>
    <w:rsid w:val="00FF7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56A0B"/>
  <w15:docId w15:val="{304AC5F0-63FB-46AC-ADE4-A135CF34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49"/>
    <w:pPr>
      <w:autoSpaceDE w:val="0"/>
      <w:autoSpaceDN w:val="0"/>
    </w:pPr>
    <w:rPr>
      <w:sz w:val="20"/>
      <w:szCs w:val="20"/>
      <w:lang w:val="es-ES" w:eastAsia="en-US"/>
    </w:rPr>
  </w:style>
  <w:style w:type="paragraph" w:styleId="Heading1">
    <w:name w:val="heading 1"/>
    <w:basedOn w:val="Normal"/>
    <w:next w:val="Normal"/>
    <w:link w:val="Heading1Char"/>
    <w:uiPriority w:val="99"/>
    <w:qFormat/>
    <w:rsid w:val="00A366EA"/>
    <w:pPr>
      <w:keepNext/>
      <w:outlineLvl w:val="0"/>
    </w:pPr>
    <w:rPr>
      <w:rFonts w:ascii="Univers" w:hAnsi="Univers" w:cs="Univers"/>
      <w:b/>
      <w:bCs/>
      <w:lang w:val="en-US"/>
    </w:rPr>
  </w:style>
  <w:style w:type="paragraph" w:styleId="Heading2">
    <w:name w:val="heading 2"/>
    <w:basedOn w:val="Normal"/>
    <w:next w:val="Normal"/>
    <w:link w:val="Heading2Char"/>
    <w:uiPriority w:val="99"/>
    <w:qFormat/>
    <w:rsid w:val="00A366EA"/>
    <w:pPr>
      <w:keepNext/>
      <w:spacing w:line="552" w:lineRule="auto"/>
      <w:outlineLvl w:val="1"/>
    </w:pPr>
    <w:rPr>
      <w:rFonts w:ascii="Univers" w:hAnsi="Univers" w:cs="Univers"/>
      <w:u w:val="single"/>
      <w:lang w:val="en-US"/>
    </w:rPr>
  </w:style>
  <w:style w:type="paragraph" w:styleId="Heading3">
    <w:name w:val="heading 3"/>
    <w:basedOn w:val="Normal"/>
    <w:next w:val="Normal"/>
    <w:link w:val="Heading3Char"/>
    <w:uiPriority w:val="99"/>
    <w:qFormat/>
    <w:rsid w:val="00A366EA"/>
    <w:pPr>
      <w:keepNext/>
      <w:spacing w:line="552" w:lineRule="auto"/>
      <w:ind w:firstLine="851"/>
      <w:outlineLvl w:val="2"/>
    </w:pPr>
    <w:rPr>
      <w:rFonts w:ascii="Univers" w:hAnsi="Univers" w:cs="Univers"/>
      <w:u w:val="single"/>
      <w:lang w:val="en-US"/>
    </w:rPr>
  </w:style>
  <w:style w:type="paragraph" w:styleId="Heading4">
    <w:name w:val="heading 4"/>
    <w:basedOn w:val="Normal"/>
    <w:next w:val="Normal"/>
    <w:link w:val="Heading4Char"/>
    <w:uiPriority w:val="99"/>
    <w:qFormat/>
    <w:rsid w:val="00A366EA"/>
    <w:pPr>
      <w:keepNext/>
      <w:spacing w:line="600" w:lineRule="atLeast"/>
      <w:ind w:firstLine="851"/>
      <w:jc w:val="center"/>
      <w:outlineLvl w:val="3"/>
    </w:pPr>
    <w:rPr>
      <w:sz w:val="24"/>
      <w:szCs w:val="24"/>
    </w:rPr>
  </w:style>
  <w:style w:type="paragraph" w:styleId="Heading5">
    <w:name w:val="heading 5"/>
    <w:basedOn w:val="Normal"/>
    <w:next w:val="Normal"/>
    <w:link w:val="Heading5Char"/>
    <w:uiPriority w:val="99"/>
    <w:qFormat/>
    <w:rsid w:val="00A366EA"/>
    <w:pPr>
      <w:keepNext/>
      <w:spacing w:line="600" w:lineRule="atLeast"/>
      <w:jc w:val="both"/>
      <w:outlineLvl w:val="4"/>
    </w:pPr>
    <w:rPr>
      <w:sz w:val="24"/>
      <w:szCs w:val="24"/>
      <w:u w:val="single"/>
      <w:lang w:val="en-US"/>
    </w:rPr>
  </w:style>
  <w:style w:type="paragraph" w:styleId="Heading6">
    <w:name w:val="heading 6"/>
    <w:basedOn w:val="Normal"/>
    <w:next w:val="Normal"/>
    <w:link w:val="Heading6Char"/>
    <w:uiPriority w:val="99"/>
    <w:qFormat/>
    <w:rsid w:val="00A366EA"/>
    <w:pPr>
      <w:keepNext/>
      <w:spacing w:line="600" w:lineRule="atLeast"/>
      <w:outlineLvl w:val="5"/>
    </w:pPr>
    <w:rPr>
      <w:sz w:val="24"/>
      <w:szCs w:val="24"/>
      <w:u w:val="single"/>
      <w:lang w:val="en-US"/>
    </w:rPr>
  </w:style>
  <w:style w:type="paragraph" w:styleId="Heading7">
    <w:name w:val="heading 7"/>
    <w:basedOn w:val="Normal"/>
    <w:next w:val="Normal"/>
    <w:link w:val="Heading7Char"/>
    <w:uiPriority w:val="99"/>
    <w:qFormat/>
    <w:rsid w:val="00A366EA"/>
    <w:pPr>
      <w:keepNext/>
      <w:spacing w:line="480" w:lineRule="auto"/>
      <w:ind w:firstLine="851"/>
      <w:outlineLvl w:val="6"/>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EA"/>
    <w:rPr>
      <w:rFonts w:asciiTheme="majorHAnsi" w:eastAsiaTheme="majorEastAsia" w:hAnsiTheme="majorHAnsi" w:cstheme="majorBidi"/>
      <w:b/>
      <w:bCs/>
      <w:kern w:val="32"/>
      <w:sz w:val="32"/>
      <w:szCs w:val="32"/>
      <w:lang w:val="es-ES" w:eastAsia="en-US"/>
    </w:rPr>
  </w:style>
  <w:style w:type="character" w:customStyle="1" w:styleId="Heading2Char">
    <w:name w:val="Heading 2 Char"/>
    <w:basedOn w:val="DefaultParagraphFont"/>
    <w:link w:val="Heading2"/>
    <w:uiPriority w:val="9"/>
    <w:semiHidden/>
    <w:rsid w:val="00A366EA"/>
    <w:rPr>
      <w:rFonts w:asciiTheme="majorHAnsi" w:eastAsiaTheme="majorEastAsia" w:hAnsiTheme="majorHAnsi" w:cstheme="majorBidi"/>
      <w:b/>
      <w:bCs/>
      <w:i/>
      <w:iCs/>
      <w:sz w:val="28"/>
      <w:szCs w:val="28"/>
      <w:lang w:val="es-ES" w:eastAsia="en-US"/>
    </w:rPr>
  </w:style>
  <w:style w:type="character" w:customStyle="1" w:styleId="Heading3Char">
    <w:name w:val="Heading 3 Char"/>
    <w:basedOn w:val="DefaultParagraphFont"/>
    <w:link w:val="Heading3"/>
    <w:uiPriority w:val="9"/>
    <w:semiHidden/>
    <w:rsid w:val="00A366EA"/>
    <w:rPr>
      <w:rFonts w:asciiTheme="majorHAnsi" w:eastAsiaTheme="majorEastAsia" w:hAnsiTheme="majorHAnsi" w:cstheme="majorBidi"/>
      <w:b/>
      <w:bCs/>
      <w:sz w:val="26"/>
      <w:szCs w:val="26"/>
      <w:lang w:val="es-ES" w:eastAsia="en-US"/>
    </w:rPr>
  </w:style>
  <w:style w:type="character" w:customStyle="1" w:styleId="Heading4Char">
    <w:name w:val="Heading 4 Char"/>
    <w:basedOn w:val="DefaultParagraphFont"/>
    <w:link w:val="Heading4"/>
    <w:uiPriority w:val="9"/>
    <w:semiHidden/>
    <w:rsid w:val="00A366EA"/>
    <w:rPr>
      <w:rFonts w:asciiTheme="minorHAnsi" w:eastAsiaTheme="minorEastAsia" w:hAnsiTheme="minorHAnsi" w:cstheme="minorBidi"/>
      <w:b/>
      <w:bCs/>
      <w:sz w:val="28"/>
      <w:szCs w:val="28"/>
      <w:lang w:val="es-ES" w:eastAsia="en-US"/>
    </w:rPr>
  </w:style>
  <w:style w:type="character" w:customStyle="1" w:styleId="Heading5Char">
    <w:name w:val="Heading 5 Char"/>
    <w:basedOn w:val="DefaultParagraphFont"/>
    <w:link w:val="Heading5"/>
    <w:uiPriority w:val="9"/>
    <w:semiHidden/>
    <w:rsid w:val="00A366EA"/>
    <w:rPr>
      <w:rFonts w:asciiTheme="minorHAnsi" w:eastAsiaTheme="minorEastAsia" w:hAnsiTheme="minorHAnsi" w:cstheme="minorBidi"/>
      <w:b/>
      <w:bCs/>
      <w:i/>
      <w:iCs/>
      <w:sz w:val="26"/>
      <w:szCs w:val="26"/>
      <w:lang w:val="es-ES" w:eastAsia="en-US"/>
    </w:rPr>
  </w:style>
  <w:style w:type="character" w:customStyle="1" w:styleId="Heading6Char">
    <w:name w:val="Heading 6 Char"/>
    <w:basedOn w:val="DefaultParagraphFont"/>
    <w:link w:val="Heading6"/>
    <w:uiPriority w:val="9"/>
    <w:semiHidden/>
    <w:rsid w:val="00A366EA"/>
    <w:rPr>
      <w:rFonts w:asciiTheme="minorHAnsi" w:eastAsiaTheme="minorEastAsia" w:hAnsiTheme="minorHAnsi" w:cstheme="minorBidi"/>
      <w:b/>
      <w:bCs/>
      <w:lang w:val="es-ES" w:eastAsia="en-US"/>
    </w:rPr>
  </w:style>
  <w:style w:type="character" w:customStyle="1" w:styleId="Heading7Char">
    <w:name w:val="Heading 7 Char"/>
    <w:basedOn w:val="DefaultParagraphFont"/>
    <w:link w:val="Heading7"/>
    <w:uiPriority w:val="9"/>
    <w:semiHidden/>
    <w:rsid w:val="00A366EA"/>
    <w:rPr>
      <w:rFonts w:asciiTheme="minorHAnsi" w:eastAsiaTheme="minorEastAsia" w:hAnsiTheme="minorHAnsi" w:cstheme="minorBidi"/>
      <w:sz w:val="24"/>
      <w:szCs w:val="24"/>
      <w:lang w:val="es-ES" w:eastAsia="en-US"/>
    </w:rPr>
  </w:style>
  <w:style w:type="paragraph" w:styleId="BodyText2">
    <w:name w:val="Body Text 2"/>
    <w:basedOn w:val="Normal"/>
    <w:link w:val="BodyText2Char"/>
    <w:uiPriority w:val="99"/>
    <w:rsid w:val="00A366EA"/>
    <w:pPr>
      <w:spacing w:line="552" w:lineRule="auto"/>
      <w:ind w:firstLine="567"/>
    </w:pPr>
    <w:rPr>
      <w:rFonts w:ascii="Univers" w:hAnsi="Univers" w:cs="Univers"/>
      <w:lang w:val="en-US"/>
    </w:rPr>
  </w:style>
  <w:style w:type="character" w:customStyle="1" w:styleId="BodyText2Char">
    <w:name w:val="Body Text 2 Char"/>
    <w:basedOn w:val="DefaultParagraphFont"/>
    <w:link w:val="BodyText2"/>
    <w:uiPriority w:val="99"/>
    <w:semiHidden/>
    <w:rsid w:val="00A366EA"/>
    <w:rPr>
      <w:sz w:val="20"/>
      <w:szCs w:val="20"/>
      <w:lang w:val="es-ES" w:eastAsia="en-US"/>
    </w:rPr>
  </w:style>
  <w:style w:type="paragraph" w:styleId="BodyTextIndent2">
    <w:name w:val="Body Text Indent 2"/>
    <w:basedOn w:val="Normal"/>
    <w:link w:val="BodyTextIndent2Char"/>
    <w:uiPriority w:val="99"/>
    <w:rsid w:val="00A366EA"/>
    <w:pPr>
      <w:spacing w:line="552" w:lineRule="auto"/>
      <w:ind w:firstLine="851"/>
    </w:pPr>
    <w:rPr>
      <w:rFonts w:ascii="Univers" w:hAnsi="Univers" w:cs="Univers"/>
      <w:lang w:val="en-US"/>
    </w:rPr>
  </w:style>
  <w:style w:type="character" w:customStyle="1" w:styleId="BodyTextIndent2Char">
    <w:name w:val="Body Text Indent 2 Char"/>
    <w:basedOn w:val="DefaultParagraphFont"/>
    <w:link w:val="BodyTextIndent2"/>
    <w:uiPriority w:val="99"/>
    <w:semiHidden/>
    <w:rsid w:val="00A366EA"/>
    <w:rPr>
      <w:sz w:val="20"/>
      <w:szCs w:val="20"/>
      <w:lang w:val="es-ES" w:eastAsia="en-US"/>
    </w:rPr>
  </w:style>
  <w:style w:type="paragraph" w:styleId="Footer">
    <w:name w:val="footer"/>
    <w:basedOn w:val="Normal"/>
    <w:link w:val="FooterChar"/>
    <w:uiPriority w:val="99"/>
    <w:rsid w:val="00A366EA"/>
    <w:pPr>
      <w:tabs>
        <w:tab w:val="center" w:pos="4252"/>
        <w:tab w:val="right" w:pos="8504"/>
      </w:tabs>
    </w:pPr>
  </w:style>
  <w:style w:type="character" w:customStyle="1" w:styleId="FooterChar">
    <w:name w:val="Footer Char"/>
    <w:basedOn w:val="DefaultParagraphFont"/>
    <w:link w:val="Footer"/>
    <w:uiPriority w:val="99"/>
    <w:rsid w:val="00A366EA"/>
    <w:rPr>
      <w:sz w:val="20"/>
      <w:szCs w:val="20"/>
      <w:lang w:val="es-ES" w:eastAsia="en-US"/>
    </w:rPr>
  </w:style>
  <w:style w:type="character" w:styleId="PageNumber">
    <w:name w:val="page number"/>
    <w:basedOn w:val="DefaultParagraphFont"/>
    <w:uiPriority w:val="99"/>
    <w:rsid w:val="00A366EA"/>
    <w:rPr>
      <w:rFonts w:cs="Times New Roman"/>
    </w:rPr>
  </w:style>
  <w:style w:type="paragraph" w:styleId="BodyTextIndent3">
    <w:name w:val="Body Text Indent 3"/>
    <w:basedOn w:val="Normal"/>
    <w:link w:val="BodyTextIndent3Char"/>
    <w:uiPriority w:val="99"/>
    <w:rsid w:val="00A366EA"/>
    <w:pPr>
      <w:spacing w:line="552" w:lineRule="auto"/>
      <w:ind w:firstLine="851"/>
    </w:pPr>
    <w:rPr>
      <w:rFonts w:ascii="Univers" w:hAnsi="Univers" w:cs="Univers"/>
      <w:b/>
      <w:bCs/>
      <w:lang w:val="en-US"/>
    </w:rPr>
  </w:style>
  <w:style w:type="character" w:customStyle="1" w:styleId="BodyTextIndent3Char">
    <w:name w:val="Body Text Indent 3 Char"/>
    <w:basedOn w:val="DefaultParagraphFont"/>
    <w:link w:val="BodyTextIndent3"/>
    <w:uiPriority w:val="99"/>
    <w:semiHidden/>
    <w:rsid w:val="00A366EA"/>
    <w:rPr>
      <w:sz w:val="16"/>
      <w:szCs w:val="16"/>
      <w:lang w:val="es-ES" w:eastAsia="en-US"/>
    </w:rPr>
  </w:style>
  <w:style w:type="character" w:styleId="Hyperlink">
    <w:name w:val="Hyperlink"/>
    <w:basedOn w:val="DefaultParagraphFont"/>
    <w:uiPriority w:val="99"/>
    <w:rsid w:val="00A366EA"/>
    <w:rPr>
      <w:rFonts w:cs="Times New Roman"/>
      <w:color w:val="0000FF"/>
      <w:u w:val="single"/>
    </w:rPr>
  </w:style>
  <w:style w:type="character" w:styleId="Strong">
    <w:name w:val="Strong"/>
    <w:basedOn w:val="DefaultParagraphFont"/>
    <w:uiPriority w:val="99"/>
    <w:qFormat/>
    <w:rsid w:val="00A366EA"/>
    <w:rPr>
      <w:rFonts w:cs="Times New Roman"/>
      <w:b/>
      <w:bCs/>
    </w:rPr>
  </w:style>
  <w:style w:type="character" w:styleId="Emphasis">
    <w:name w:val="Emphasis"/>
    <w:basedOn w:val="DefaultParagraphFont"/>
    <w:uiPriority w:val="99"/>
    <w:qFormat/>
    <w:rsid w:val="00A366EA"/>
    <w:rPr>
      <w:rFonts w:cs="Times New Roman"/>
      <w:i/>
      <w:iCs/>
    </w:rPr>
  </w:style>
  <w:style w:type="paragraph" w:customStyle="1" w:styleId="arttitle">
    <w:name w:val="arttitle"/>
    <w:basedOn w:val="Heading1"/>
    <w:uiPriority w:val="99"/>
    <w:rsid w:val="00A366EA"/>
    <w:pPr>
      <w:keepNext w:val="0"/>
      <w:spacing w:before="240" w:after="60" w:line="480" w:lineRule="atLeast"/>
    </w:pPr>
    <w:rPr>
      <w:rFonts w:ascii="Arial" w:hAnsi="Arial" w:cs="Arial"/>
      <w:sz w:val="32"/>
      <w:szCs w:val="32"/>
    </w:rPr>
  </w:style>
  <w:style w:type="paragraph" w:customStyle="1" w:styleId="aug">
    <w:name w:val="aug"/>
    <w:basedOn w:val="Heading1"/>
    <w:uiPriority w:val="99"/>
    <w:rsid w:val="00A366EA"/>
    <w:pPr>
      <w:keepNext w:val="0"/>
      <w:spacing w:before="240" w:after="60" w:line="480" w:lineRule="atLeast"/>
    </w:pPr>
    <w:rPr>
      <w:rFonts w:ascii="Times New Roman" w:hAnsi="Times New Roman" w:cs="Times New Roman"/>
      <w:b w:val="0"/>
      <w:bCs w:val="0"/>
      <w:sz w:val="24"/>
      <w:szCs w:val="24"/>
    </w:rPr>
  </w:style>
  <w:style w:type="paragraph" w:customStyle="1" w:styleId="aff">
    <w:name w:val="aff"/>
    <w:basedOn w:val="Heading1"/>
    <w:uiPriority w:val="99"/>
    <w:rsid w:val="00A366EA"/>
    <w:pPr>
      <w:keepNext w:val="0"/>
      <w:spacing w:before="240" w:after="60" w:line="480" w:lineRule="atLeast"/>
    </w:pPr>
    <w:rPr>
      <w:rFonts w:ascii="Times New Roman" w:hAnsi="Times New Roman" w:cs="Times New Roman"/>
      <w:b w:val="0"/>
      <w:bCs w:val="0"/>
      <w:i/>
      <w:iCs/>
      <w:sz w:val="24"/>
      <w:szCs w:val="24"/>
    </w:rPr>
  </w:style>
  <w:style w:type="paragraph" w:customStyle="1" w:styleId="abs">
    <w:name w:val="abs"/>
    <w:basedOn w:val="Heading1"/>
    <w:uiPriority w:val="99"/>
    <w:rsid w:val="00A366EA"/>
    <w:pPr>
      <w:keepNext w:val="0"/>
      <w:spacing w:before="240" w:after="60" w:line="480" w:lineRule="atLeast"/>
    </w:pPr>
    <w:rPr>
      <w:rFonts w:ascii="Times New Roman" w:hAnsi="Times New Roman" w:cs="Times New Roman"/>
      <w:sz w:val="24"/>
      <w:szCs w:val="24"/>
    </w:rPr>
  </w:style>
  <w:style w:type="paragraph" w:customStyle="1" w:styleId="p">
    <w:name w:val="p"/>
    <w:basedOn w:val="Heading1"/>
    <w:uiPriority w:val="99"/>
    <w:rsid w:val="00A366EA"/>
    <w:pPr>
      <w:keepNext w:val="0"/>
      <w:spacing w:before="240" w:after="60" w:line="480" w:lineRule="atLeast"/>
      <w:ind w:firstLine="720"/>
    </w:pPr>
    <w:rPr>
      <w:rFonts w:ascii="Times New Roman" w:hAnsi="Times New Roman" w:cs="Times New Roman"/>
      <w:b w:val="0"/>
      <w:bCs w:val="0"/>
      <w:sz w:val="24"/>
      <w:szCs w:val="24"/>
    </w:rPr>
  </w:style>
  <w:style w:type="paragraph" w:customStyle="1" w:styleId="bibcit">
    <w:name w:val="bibcit"/>
    <w:basedOn w:val="Heading1"/>
    <w:uiPriority w:val="99"/>
    <w:rsid w:val="00A366EA"/>
    <w:pPr>
      <w:keepNext w:val="0"/>
      <w:spacing w:before="240" w:after="60" w:line="480" w:lineRule="atLeast"/>
    </w:pPr>
    <w:rPr>
      <w:rFonts w:ascii="Times New Roman" w:hAnsi="Times New Roman" w:cs="Times New Roman"/>
      <w:b w:val="0"/>
      <w:bCs w:val="0"/>
      <w:sz w:val="24"/>
      <w:szCs w:val="24"/>
    </w:rPr>
  </w:style>
  <w:style w:type="paragraph" w:customStyle="1" w:styleId="ack">
    <w:name w:val="ack"/>
    <w:uiPriority w:val="99"/>
    <w:rsid w:val="00A366EA"/>
    <w:pPr>
      <w:autoSpaceDE w:val="0"/>
      <w:autoSpaceDN w:val="0"/>
      <w:spacing w:after="0"/>
    </w:pPr>
    <w:rPr>
      <w:noProof/>
      <w:sz w:val="20"/>
      <w:szCs w:val="20"/>
      <w:lang w:val="en-US" w:eastAsia="en-US"/>
    </w:rPr>
  </w:style>
  <w:style w:type="paragraph" w:customStyle="1" w:styleId="meth1hd">
    <w:name w:val="meth1hd"/>
    <w:basedOn w:val="p"/>
    <w:uiPriority w:val="99"/>
    <w:rsid w:val="00A366EA"/>
    <w:pPr>
      <w:ind w:firstLine="0"/>
    </w:pPr>
  </w:style>
  <w:style w:type="paragraph" w:customStyle="1" w:styleId="meth1ttl">
    <w:name w:val="meth1ttl"/>
    <w:basedOn w:val="meth1hd"/>
    <w:uiPriority w:val="99"/>
    <w:rsid w:val="00A366EA"/>
    <w:rPr>
      <w:b/>
      <w:bCs/>
    </w:rPr>
  </w:style>
  <w:style w:type="paragraph" w:customStyle="1" w:styleId="received">
    <w:name w:val="received"/>
    <w:basedOn w:val="p"/>
    <w:uiPriority w:val="99"/>
    <w:rsid w:val="00A366EA"/>
    <w:pPr>
      <w:ind w:firstLine="0"/>
    </w:pPr>
  </w:style>
  <w:style w:type="paragraph" w:customStyle="1" w:styleId="corr">
    <w:name w:val="corr"/>
    <w:basedOn w:val="meth1ttl"/>
    <w:uiPriority w:val="99"/>
    <w:rsid w:val="00A366EA"/>
  </w:style>
  <w:style w:type="paragraph" w:customStyle="1" w:styleId="LEGEND">
    <w:name w:val="LEGEND"/>
    <w:basedOn w:val="arttitle"/>
    <w:uiPriority w:val="99"/>
    <w:rsid w:val="00A366EA"/>
    <w:rPr>
      <w:b w:val="0"/>
      <w:bCs w:val="0"/>
      <w:sz w:val="24"/>
      <w:szCs w:val="24"/>
    </w:rPr>
  </w:style>
  <w:style w:type="paragraph" w:customStyle="1" w:styleId="TBLTTL">
    <w:name w:val="TBLTTL"/>
    <w:basedOn w:val="LEGEND"/>
    <w:uiPriority w:val="99"/>
    <w:rsid w:val="00A366EA"/>
  </w:style>
  <w:style w:type="paragraph" w:customStyle="1" w:styleId="TBLROW">
    <w:name w:val="TBLROW"/>
    <w:basedOn w:val="TBLTTL"/>
    <w:uiPriority w:val="99"/>
    <w:rsid w:val="00A366EA"/>
  </w:style>
  <w:style w:type="paragraph" w:customStyle="1" w:styleId="TBLFN">
    <w:name w:val="TBLFN"/>
    <w:basedOn w:val="TBLROW"/>
    <w:uiPriority w:val="99"/>
    <w:rsid w:val="00A366EA"/>
  </w:style>
  <w:style w:type="paragraph" w:customStyle="1" w:styleId="footnote">
    <w:name w:val="footnote"/>
    <w:basedOn w:val="Normal"/>
    <w:uiPriority w:val="99"/>
    <w:rsid w:val="00A366EA"/>
    <w:pPr>
      <w:spacing w:before="240" w:after="60" w:line="480" w:lineRule="atLeast"/>
    </w:pPr>
    <w:rPr>
      <w:lang w:val="en-US"/>
    </w:rPr>
  </w:style>
  <w:style w:type="paragraph" w:customStyle="1" w:styleId="sec1ttl">
    <w:name w:val="sec1ttl"/>
    <w:basedOn w:val="abs"/>
    <w:uiPriority w:val="99"/>
    <w:rsid w:val="00A366EA"/>
  </w:style>
  <w:style w:type="paragraph" w:customStyle="1" w:styleId="fd">
    <w:name w:val="fd"/>
    <w:basedOn w:val="p"/>
    <w:uiPriority w:val="99"/>
    <w:rsid w:val="00A366EA"/>
    <w:pPr>
      <w:ind w:firstLine="0"/>
    </w:pPr>
  </w:style>
  <w:style w:type="paragraph" w:customStyle="1" w:styleId="BX">
    <w:name w:val="BX"/>
    <w:basedOn w:val="LEGEND"/>
    <w:uiPriority w:val="99"/>
    <w:rsid w:val="00A366EA"/>
  </w:style>
  <w:style w:type="paragraph" w:customStyle="1" w:styleId="supp">
    <w:name w:val="supp"/>
    <w:basedOn w:val="ack"/>
    <w:uiPriority w:val="99"/>
    <w:rsid w:val="00A366EA"/>
  </w:style>
  <w:style w:type="paragraph" w:customStyle="1" w:styleId="p-ni">
    <w:name w:val="p-ni"/>
    <w:basedOn w:val="p"/>
    <w:uiPriority w:val="99"/>
    <w:rsid w:val="00A366EA"/>
    <w:pPr>
      <w:ind w:firstLine="0"/>
    </w:pPr>
  </w:style>
  <w:style w:type="paragraph" w:customStyle="1" w:styleId="meth1">
    <w:name w:val="meth1"/>
    <w:basedOn w:val="meth1hd"/>
    <w:uiPriority w:val="99"/>
    <w:rsid w:val="00A366EA"/>
    <w:pPr>
      <w:ind w:firstLine="720"/>
    </w:pPr>
  </w:style>
  <w:style w:type="paragraph" w:styleId="BodyText">
    <w:name w:val="Body Text"/>
    <w:basedOn w:val="Normal"/>
    <w:link w:val="BodyTextChar"/>
    <w:uiPriority w:val="99"/>
    <w:rsid w:val="00A366EA"/>
    <w:pPr>
      <w:jc w:val="both"/>
    </w:pPr>
  </w:style>
  <w:style w:type="character" w:customStyle="1" w:styleId="BodyTextChar">
    <w:name w:val="Body Text Char"/>
    <w:basedOn w:val="DefaultParagraphFont"/>
    <w:link w:val="BodyText"/>
    <w:uiPriority w:val="99"/>
    <w:rsid w:val="00A366EA"/>
    <w:rPr>
      <w:sz w:val="20"/>
      <w:szCs w:val="20"/>
      <w:lang w:val="es-ES" w:eastAsia="en-US"/>
    </w:rPr>
  </w:style>
  <w:style w:type="paragraph" w:styleId="Header">
    <w:name w:val="header"/>
    <w:basedOn w:val="Normal"/>
    <w:link w:val="HeaderChar"/>
    <w:uiPriority w:val="99"/>
    <w:rsid w:val="00A366EA"/>
    <w:pPr>
      <w:tabs>
        <w:tab w:val="center" w:pos="4252"/>
        <w:tab w:val="right" w:pos="8504"/>
      </w:tabs>
    </w:pPr>
  </w:style>
  <w:style w:type="character" w:customStyle="1" w:styleId="HeaderChar">
    <w:name w:val="Header Char"/>
    <w:basedOn w:val="DefaultParagraphFont"/>
    <w:link w:val="Header"/>
    <w:uiPriority w:val="99"/>
    <w:semiHidden/>
    <w:rsid w:val="00A366EA"/>
    <w:rPr>
      <w:sz w:val="20"/>
      <w:szCs w:val="20"/>
      <w:lang w:val="es-ES" w:eastAsia="en-US"/>
    </w:rPr>
  </w:style>
  <w:style w:type="paragraph" w:styleId="BodyText3">
    <w:name w:val="Body Text 3"/>
    <w:basedOn w:val="Normal"/>
    <w:link w:val="BodyText3Char"/>
    <w:uiPriority w:val="99"/>
    <w:unhideWhenUsed/>
    <w:rsid w:val="00566911"/>
    <w:pPr>
      <w:spacing w:after="120"/>
    </w:pPr>
    <w:rPr>
      <w:sz w:val="16"/>
      <w:szCs w:val="16"/>
    </w:rPr>
  </w:style>
  <w:style w:type="character" w:customStyle="1" w:styleId="BodyText3Char">
    <w:name w:val="Body Text 3 Char"/>
    <w:basedOn w:val="DefaultParagraphFont"/>
    <w:link w:val="BodyText3"/>
    <w:uiPriority w:val="99"/>
    <w:rsid w:val="00566911"/>
    <w:rPr>
      <w:sz w:val="16"/>
      <w:szCs w:val="16"/>
      <w:lang w:val="es-ES" w:eastAsia="en-US"/>
    </w:rPr>
  </w:style>
  <w:style w:type="paragraph" w:styleId="BalloonText">
    <w:name w:val="Balloon Text"/>
    <w:basedOn w:val="Normal"/>
    <w:link w:val="BalloonTextChar"/>
    <w:uiPriority w:val="99"/>
    <w:semiHidden/>
    <w:unhideWhenUsed/>
    <w:rsid w:val="00D40961"/>
    <w:rPr>
      <w:rFonts w:ascii="Tahoma" w:hAnsi="Tahoma" w:cs="Tahoma"/>
      <w:sz w:val="16"/>
      <w:szCs w:val="16"/>
    </w:rPr>
  </w:style>
  <w:style w:type="character" w:customStyle="1" w:styleId="BalloonTextChar">
    <w:name w:val="Balloon Text Char"/>
    <w:basedOn w:val="DefaultParagraphFont"/>
    <w:link w:val="BalloonText"/>
    <w:uiPriority w:val="99"/>
    <w:semiHidden/>
    <w:rsid w:val="00D40961"/>
    <w:rPr>
      <w:rFonts w:ascii="Tahoma" w:hAnsi="Tahoma" w:cs="Tahoma"/>
      <w:sz w:val="16"/>
      <w:szCs w:val="16"/>
      <w:lang w:val="es-ES" w:eastAsia="en-US"/>
    </w:rPr>
  </w:style>
  <w:style w:type="paragraph" w:styleId="ListParagraph">
    <w:name w:val="List Paragraph"/>
    <w:basedOn w:val="Normal"/>
    <w:uiPriority w:val="34"/>
    <w:qFormat/>
    <w:rsid w:val="00B86F95"/>
    <w:pPr>
      <w:autoSpaceDE/>
      <w:autoSpaceDN/>
      <w:ind w:left="720"/>
      <w:contextualSpacing/>
    </w:pPr>
  </w:style>
  <w:style w:type="table" w:styleId="TableGrid">
    <w:name w:val="Table Grid"/>
    <w:basedOn w:val="TableNormal"/>
    <w:uiPriority w:val="59"/>
    <w:rsid w:val="00F31D7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9A647E"/>
    <w:pPr>
      <w:autoSpaceDE/>
      <w:autoSpaceDN/>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9A647E"/>
    <w:rPr>
      <w:rFonts w:ascii="Consolas" w:eastAsiaTheme="minorHAnsi" w:hAnsi="Consolas" w:cstheme="minorBidi"/>
      <w:sz w:val="21"/>
      <w:szCs w:val="21"/>
      <w:lang w:eastAsia="en-US"/>
    </w:rPr>
  </w:style>
  <w:style w:type="paragraph" w:styleId="FootnoteText">
    <w:name w:val="footnote text"/>
    <w:basedOn w:val="Normal"/>
    <w:link w:val="FootnoteTextChar"/>
    <w:uiPriority w:val="99"/>
    <w:semiHidden/>
    <w:unhideWhenUsed/>
    <w:rsid w:val="00462999"/>
  </w:style>
  <w:style w:type="character" w:customStyle="1" w:styleId="FootnoteTextChar">
    <w:name w:val="Footnote Text Char"/>
    <w:basedOn w:val="DefaultParagraphFont"/>
    <w:link w:val="FootnoteText"/>
    <w:uiPriority w:val="99"/>
    <w:semiHidden/>
    <w:rsid w:val="00462999"/>
    <w:rPr>
      <w:sz w:val="20"/>
      <w:szCs w:val="20"/>
      <w:lang w:val="es-ES" w:eastAsia="en-US"/>
    </w:rPr>
  </w:style>
  <w:style w:type="character" w:styleId="FootnoteReference">
    <w:name w:val="footnote reference"/>
    <w:basedOn w:val="DefaultParagraphFont"/>
    <w:uiPriority w:val="99"/>
    <w:semiHidden/>
    <w:unhideWhenUsed/>
    <w:rsid w:val="00462999"/>
    <w:rPr>
      <w:vertAlign w:val="superscript"/>
    </w:rPr>
  </w:style>
  <w:style w:type="paragraph" w:styleId="NormalWeb">
    <w:name w:val="Normal (Web)"/>
    <w:basedOn w:val="Normal"/>
    <w:uiPriority w:val="99"/>
    <w:semiHidden/>
    <w:unhideWhenUsed/>
    <w:rsid w:val="00F10EDC"/>
    <w:pPr>
      <w:autoSpaceDE/>
      <w:autoSpaceDN/>
      <w:spacing w:before="100" w:beforeAutospacing="1" w:after="100" w:afterAutospacing="1"/>
    </w:pPr>
    <w:rPr>
      <w:rFonts w:eastAsiaTheme="minorEastAsia"/>
      <w:sz w:val="24"/>
      <w:szCs w:val="24"/>
      <w:lang w:val="en-GB" w:eastAsia="en-GB"/>
    </w:rPr>
  </w:style>
  <w:style w:type="character" w:styleId="PlaceholderText">
    <w:name w:val="Placeholder Text"/>
    <w:basedOn w:val="DefaultParagraphFont"/>
    <w:uiPriority w:val="99"/>
    <w:semiHidden/>
    <w:rsid w:val="001929F9"/>
    <w:rPr>
      <w:color w:val="808080"/>
    </w:rPr>
  </w:style>
  <w:style w:type="character" w:styleId="CommentReference">
    <w:name w:val="annotation reference"/>
    <w:basedOn w:val="DefaultParagraphFont"/>
    <w:uiPriority w:val="99"/>
    <w:semiHidden/>
    <w:unhideWhenUsed/>
    <w:rsid w:val="00991F84"/>
    <w:rPr>
      <w:sz w:val="16"/>
      <w:szCs w:val="16"/>
    </w:rPr>
  </w:style>
  <w:style w:type="paragraph" w:styleId="CommentText">
    <w:name w:val="annotation text"/>
    <w:basedOn w:val="Normal"/>
    <w:link w:val="CommentTextChar"/>
    <w:uiPriority w:val="99"/>
    <w:semiHidden/>
    <w:unhideWhenUsed/>
    <w:rsid w:val="00991F84"/>
  </w:style>
  <w:style w:type="character" w:customStyle="1" w:styleId="CommentTextChar">
    <w:name w:val="Comment Text Char"/>
    <w:basedOn w:val="DefaultParagraphFont"/>
    <w:link w:val="CommentText"/>
    <w:uiPriority w:val="99"/>
    <w:semiHidden/>
    <w:rsid w:val="00991F84"/>
    <w:rPr>
      <w:sz w:val="20"/>
      <w:szCs w:val="20"/>
      <w:lang w:val="es-ES" w:eastAsia="en-US"/>
    </w:rPr>
  </w:style>
  <w:style w:type="paragraph" w:styleId="CommentSubject">
    <w:name w:val="annotation subject"/>
    <w:basedOn w:val="CommentText"/>
    <w:next w:val="CommentText"/>
    <w:link w:val="CommentSubjectChar"/>
    <w:uiPriority w:val="99"/>
    <w:semiHidden/>
    <w:unhideWhenUsed/>
    <w:rsid w:val="00991F84"/>
    <w:rPr>
      <w:b/>
      <w:bCs/>
    </w:rPr>
  </w:style>
  <w:style w:type="character" w:customStyle="1" w:styleId="CommentSubjectChar">
    <w:name w:val="Comment Subject Char"/>
    <w:basedOn w:val="CommentTextChar"/>
    <w:link w:val="CommentSubject"/>
    <w:uiPriority w:val="99"/>
    <w:semiHidden/>
    <w:rsid w:val="00991F84"/>
    <w:rPr>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101">
      <w:bodyDiv w:val="1"/>
      <w:marLeft w:val="0"/>
      <w:marRight w:val="0"/>
      <w:marTop w:val="0"/>
      <w:marBottom w:val="0"/>
      <w:divBdr>
        <w:top w:val="none" w:sz="0" w:space="0" w:color="auto"/>
        <w:left w:val="none" w:sz="0" w:space="0" w:color="auto"/>
        <w:bottom w:val="none" w:sz="0" w:space="0" w:color="auto"/>
        <w:right w:val="none" w:sz="0" w:space="0" w:color="auto"/>
      </w:divBdr>
    </w:div>
    <w:div w:id="321154790">
      <w:bodyDiv w:val="1"/>
      <w:marLeft w:val="0"/>
      <w:marRight w:val="0"/>
      <w:marTop w:val="0"/>
      <w:marBottom w:val="0"/>
      <w:divBdr>
        <w:top w:val="none" w:sz="0" w:space="0" w:color="auto"/>
        <w:left w:val="none" w:sz="0" w:space="0" w:color="auto"/>
        <w:bottom w:val="none" w:sz="0" w:space="0" w:color="auto"/>
        <w:right w:val="none" w:sz="0" w:space="0" w:color="auto"/>
      </w:divBdr>
      <w:divsChild>
        <w:div w:id="303122010">
          <w:marLeft w:val="0"/>
          <w:marRight w:val="0"/>
          <w:marTop w:val="0"/>
          <w:marBottom w:val="0"/>
          <w:divBdr>
            <w:top w:val="none" w:sz="0" w:space="0" w:color="auto"/>
            <w:left w:val="none" w:sz="0" w:space="0" w:color="auto"/>
            <w:bottom w:val="none" w:sz="0" w:space="0" w:color="auto"/>
            <w:right w:val="none" w:sz="0" w:space="0" w:color="auto"/>
          </w:divBdr>
          <w:divsChild>
            <w:div w:id="3020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0173">
      <w:bodyDiv w:val="1"/>
      <w:marLeft w:val="0"/>
      <w:marRight w:val="0"/>
      <w:marTop w:val="0"/>
      <w:marBottom w:val="0"/>
      <w:divBdr>
        <w:top w:val="none" w:sz="0" w:space="0" w:color="auto"/>
        <w:left w:val="none" w:sz="0" w:space="0" w:color="auto"/>
        <w:bottom w:val="none" w:sz="0" w:space="0" w:color="auto"/>
        <w:right w:val="none" w:sz="0" w:space="0" w:color="auto"/>
      </w:divBdr>
    </w:div>
    <w:div w:id="524756869">
      <w:bodyDiv w:val="1"/>
      <w:marLeft w:val="0"/>
      <w:marRight w:val="0"/>
      <w:marTop w:val="0"/>
      <w:marBottom w:val="0"/>
      <w:divBdr>
        <w:top w:val="none" w:sz="0" w:space="0" w:color="auto"/>
        <w:left w:val="none" w:sz="0" w:space="0" w:color="auto"/>
        <w:bottom w:val="none" w:sz="0" w:space="0" w:color="auto"/>
        <w:right w:val="none" w:sz="0" w:space="0" w:color="auto"/>
      </w:divBdr>
      <w:divsChild>
        <w:div w:id="1519347345">
          <w:marLeft w:val="360"/>
          <w:marRight w:val="0"/>
          <w:marTop w:val="0"/>
          <w:marBottom w:val="0"/>
          <w:divBdr>
            <w:top w:val="none" w:sz="0" w:space="0" w:color="auto"/>
            <w:left w:val="none" w:sz="0" w:space="0" w:color="auto"/>
            <w:bottom w:val="none" w:sz="0" w:space="0" w:color="auto"/>
            <w:right w:val="none" w:sz="0" w:space="0" w:color="auto"/>
          </w:divBdr>
        </w:div>
        <w:div w:id="847790032">
          <w:marLeft w:val="360"/>
          <w:marRight w:val="0"/>
          <w:marTop w:val="0"/>
          <w:marBottom w:val="0"/>
          <w:divBdr>
            <w:top w:val="none" w:sz="0" w:space="0" w:color="auto"/>
            <w:left w:val="none" w:sz="0" w:space="0" w:color="auto"/>
            <w:bottom w:val="none" w:sz="0" w:space="0" w:color="auto"/>
            <w:right w:val="none" w:sz="0" w:space="0" w:color="auto"/>
          </w:divBdr>
        </w:div>
      </w:divsChild>
    </w:div>
    <w:div w:id="595863006">
      <w:bodyDiv w:val="1"/>
      <w:marLeft w:val="0"/>
      <w:marRight w:val="0"/>
      <w:marTop w:val="0"/>
      <w:marBottom w:val="0"/>
      <w:divBdr>
        <w:top w:val="none" w:sz="0" w:space="0" w:color="auto"/>
        <w:left w:val="none" w:sz="0" w:space="0" w:color="auto"/>
        <w:bottom w:val="none" w:sz="0" w:space="0" w:color="auto"/>
        <w:right w:val="none" w:sz="0" w:space="0" w:color="auto"/>
      </w:divBdr>
    </w:div>
    <w:div w:id="856578039">
      <w:bodyDiv w:val="1"/>
      <w:marLeft w:val="0"/>
      <w:marRight w:val="0"/>
      <w:marTop w:val="0"/>
      <w:marBottom w:val="0"/>
      <w:divBdr>
        <w:top w:val="none" w:sz="0" w:space="0" w:color="auto"/>
        <w:left w:val="none" w:sz="0" w:space="0" w:color="auto"/>
        <w:bottom w:val="none" w:sz="0" w:space="0" w:color="auto"/>
        <w:right w:val="none" w:sz="0" w:space="0" w:color="auto"/>
      </w:divBdr>
    </w:div>
    <w:div w:id="886455103">
      <w:bodyDiv w:val="1"/>
      <w:marLeft w:val="0"/>
      <w:marRight w:val="0"/>
      <w:marTop w:val="0"/>
      <w:marBottom w:val="0"/>
      <w:divBdr>
        <w:top w:val="none" w:sz="0" w:space="0" w:color="auto"/>
        <w:left w:val="none" w:sz="0" w:space="0" w:color="auto"/>
        <w:bottom w:val="none" w:sz="0" w:space="0" w:color="auto"/>
        <w:right w:val="none" w:sz="0" w:space="0" w:color="auto"/>
      </w:divBdr>
      <w:divsChild>
        <w:div w:id="1192651852">
          <w:marLeft w:val="0"/>
          <w:marRight w:val="0"/>
          <w:marTop w:val="0"/>
          <w:marBottom w:val="0"/>
          <w:divBdr>
            <w:top w:val="none" w:sz="0" w:space="0" w:color="auto"/>
            <w:left w:val="none" w:sz="0" w:space="0" w:color="auto"/>
            <w:bottom w:val="none" w:sz="0" w:space="0" w:color="auto"/>
            <w:right w:val="none" w:sz="0" w:space="0" w:color="auto"/>
          </w:divBdr>
          <w:divsChild>
            <w:div w:id="1319655112">
              <w:marLeft w:val="0"/>
              <w:marRight w:val="0"/>
              <w:marTop w:val="0"/>
              <w:marBottom w:val="0"/>
              <w:divBdr>
                <w:top w:val="none" w:sz="0" w:space="0" w:color="auto"/>
                <w:left w:val="none" w:sz="0" w:space="0" w:color="auto"/>
                <w:bottom w:val="none" w:sz="0" w:space="0" w:color="auto"/>
                <w:right w:val="none" w:sz="0" w:space="0" w:color="auto"/>
              </w:divBdr>
              <w:divsChild>
                <w:div w:id="774667178">
                  <w:marLeft w:val="0"/>
                  <w:marRight w:val="0"/>
                  <w:marTop w:val="0"/>
                  <w:marBottom w:val="0"/>
                  <w:divBdr>
                    <w:top w:val="none" w:sz="0" w:space="0" w:color="auto"/>
                    <w:left w:val="none" w:sz="0" w:space="0" w:color="auto"/>
                    <w:bottom w:val="none" w:sz="0" w:space="0" w:color="auto"/>
                    <w:right w:val="none" w:sz="0" w:space="0" w:color="auto"/>
                  </w:divBdr>
                  <w:divsChild>
                    <w:div w:id="1807039420">
                      <w:marLeft w:val="0"/>
                      <w:marRight w:val="0"/>
                      <w:marTop w:val="0"/>
                      <w:marBottom w:val="0"/>
                      <w:divBdr>
                        <w:top w:val="none" w:sz="0" w:space="0" w:color="auto"/>
                        <w:left w:val="none" w:sz="0" w:space="0" w:color="auto"/>
                        <w:bottom w:val="none" w:sz="0" w:space="0" w:color="auto"/>
                        <w:right w:val="none" w:sz="0" w:space="0" w:color="auto"/>
                      </w:divBdr>
                      <w:divsChild>
                        <w:div w:id="1774397709">
                          <w:marLeft w:val="0"/>
                          <w:marRight w:val="0"/>
                          <w:marTop w:val="0"/>
                          <w:marBottom w:val="0"/>
                          <w:divBdr>
                            <w:top w:val="none" w:sz="0" w:space="0" w:color="auto"/>
                            <w:left w:val="none" w:sz="0" w:space="0" w:color="auto"/>
                            <w:bottom w:val="none" w:sz="0" w:space="0" w:color="auto"/>
                            <w:right w:val="none" w:sz="0" w:space="0" w:color="auto"/>
                          </w:divBdr>
                          <w:divsChild>
                            <w:div w:id="45296779">
                              <w:marLeft w:val="0"/>
                              <w:marRight w:val="0"/>
                              <w:marTop w:val="0"/>
                              <w:marBottom w:val="0"/>
                              <w:divBdr>
                                <w:top w:val="none" w:sz="0" w:space="0" w:color="auto"/>
                                <w:left w:val="none" w:sz="0" w:space="0" w:color="auto"/>
                                <w:bottom w:val="none" w:sz="0" w:space="0" w:color="auto"/>
                                <w:right w:val="none" w:sz="0" w:space="0" w:color="auto"/>
                              </w:divBdr>
                              <w:divsChild>
                                <w:div w:id="1187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6186">
      <w:bodyDiv w:val="1"/>
      <w:marLeft w:val="0"/>
      <w:marRight w:val="0"/>
      <w:marTop w:val="0"/>
      <w:marBottom w:val="0"/>
      <w:divBdr>
        <w:top w:val="none" w:sz="0" w:space="0" w:color="auto"/>
        <w:left w:val="none" w:sz="0" w:space="0" w:color="auto"/>
        <w:bottom w:val="none" w:sz="0" w:space="0" w:color="auto"/>
        <w:right w:val="none" w:sz="0" w:space="0" w:color="auto"/>
      </w:divBdr>
    </w:div>
    <w:div w:id="1651445356">
      <w:bodyDiv w:val="1"/>
      <w:marLeft w:val="0"/>
      <w:marRight w:val="0"/>
      <w:marTop w:val="0"/>
      <w:marBottom w:val="0"/>
      <w:divBdr>
        <w:top w:val="none" w:sz="0" w:space="0" w:color="auto"/>
        <w:left w:val="none" w:sz="0" w:space="0" w:color="auto"/>
        <w:bottom w:val="none" w:sz="0" w:space="0" w:color="auto"/>
        <w:right w:val="none" w:sz="0" w:space="0" w:color="auto"/>
      </w:divBdr>
    </w:div>
    <w:div w:id="1838031760">
      <w:bodyDiv w:val="1"/>
      <w:marLeft w:val="0"/>
      <w:marRight w:val="0"/>
      <w:marTop w:val="0"/>
      <w:marBottom w:val="0"/>
      <w:divBdr>
        <w:top w:val="none" w:sz="0" w:space="0" w:color="auto"/>
        <w:left w:val="none" w:sz="0" w:space="0" w:color="auto"/>
        <w:bottom w:val="none" w:sz="0" w:space="0" w:color="auto"/>
        <w:right w:val="none" w:sz="0" w:space="0" w:color="auto"/>
      </w:divBdr>
      <w:divsChild>
        <w:div w:id="1923299224">
          <w:marLeft w:val="0"/>
          <w:marRight w:val="0"/>
          <w:marTop w:val="0"/>
          <w:marBottom w:val="0"/>
          <w:divBdr>
            <w:top w:val="none" w:sz="0" w:space="0" w:color="auto"/>
            <w:left w:val="none" w:sz="0" w:space="0" w:color="auto"/>
            <w:bottom w:val="none" w:sz="0" w:space="0" w:color="auto"/>
            <w:right w:val="none" w:sz="0" w:space="0" w:color="auto"/>
          </w:divBdr>
          <w:divsChild>
            <w:div w:id="1736657424">
              <w:marLeft w:val="0"/>
              <w:marRight w:val="0"/>
              <w:marTop w:val="0"/>
              <w:marBottom w:val="0"/>
              <w:divBdr>
                <w:top w:val="none" w:sz="0" w:space="0" w:color="auto"/>
                <w:left w:val="none" w:sz="0" w:space="0" w:color="auto"/>
                <w:bottom w:val="none" w:sz="0" w:space="0" w:color="auto"/>
                <w:right w:val="none" w:sz="0" w:space="0" w:color="auto"/>
              </w:divBdr>
              <w:divsChild>
                <w:div w:id="472599623">
                  <w:marLeft w:val="0"/>
                  <w:marRight w:val="0"/>
                  <w:marTop w:val="0"/>
                  <w:marBottom w:val="0"/>
                  <w:divBdr>
                    <w:top w:val="none" w:sz="0" w:space="0" w:color="auto"/>
                    <w:left w:val="none" w:sz="0" w:space="0" w:color="auto"/>
                    <w:bottom w:val="none" w:sz="0" w:space="0" w:color="auto"/>
                    <w:right w:val="none" w:sz="0" w:space="0" w:color="auto"/>
                  </w:divBdr>
                  <w:divsChild>
                    <w:div w:id="63992675">
                      <w:marLeft w:val="0"/>
                      <w:marRight w:val="0"/>
                      <w:marTop w:val="0"/>
                      <w:marBottom w:val="0"/>
                      <w:divBdr>
                        <w:top w:val="none" w:sz="0" w:space="0" w:color="auto"/>
                        <w:left w:val="none" w:sz="0" w:space="0" w:color="auto"/>
                        <w:bottom w:val="none" w:sz="0" w:space="0" w:color="auto"/>
                        <w:right w:val="none" w:sz="0" w:space="0" w:color="auto"/>
                      </w:divBdr>
                    </w:div>
                    <w:div w:id="885338652">
                      <w:marLeft w:val="0"/>
                      <w:marRight w:val="0"/>
                      <w:marTop w:val="0"/>
                      <w:marBottom w:val="0"/>
                      <w:divBdr>
                        <w:top w:val="none" w:sz="0" w:space="0" w:color="auto"/>
                        <w:left w:val="none" w:sz="0" w:space="0" w:color="auto"/>
                        <w:bottom w:val="none" w:sz="0" w:space="0" w:color="auto"/>
                        <w:right w:val="none" w:sz="0" w:space="0" w:color="auto"/>
                      </w:divBdr>
                    </w:div>
                    <w:div w:id="2076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5764">
      <w:bodyDiv w:val="1"/>
      <w:marLeft w:val="0"/>
      <w:marRight w:val="0"/>
      <w:marTop w:val="0"/>
      <w:marBottom w:val="0"/>
      <w:divBdr>
        <w:top w:val="none" w:sz="0" w:space="0" w:color="auto"/>
        <w:left w:val="none" w:sz="0" w:space="0" w:color="auto"/>
        <w:bottom w:val="none" w:sz="0" w:space="0" w:color="auto"/>
        <w:right w:val="none" w:sz="0" w:space="0" w:color="auto"/>
      </w:divBdr>
      <w:divsChild>
        <w:div w:id="1881014329">
          <w:marLeft w:val="0"/>
          <w:marRight w:val="0"/>
          <w:marTop w:val="0"/>
          <w:marBottom w:val="0"/>
          <w:divBdr>
            <w:top w:val="none" w:sz="0" w:space="0" w:color="auto"/>
            <w:left w:val="none" w:sz="0" w:space="0" w:color="auto"/>
            <w:bottom w:val="none" w:sz="0" w:space="0" w:color="auto"/>
            <w:right w:val="none" w:sz="0" w:space="0" w:color="auto"/>
          </w:divBdr>
        </w:div>
        <w:div w:id="383720985">
          <w:marLeft w:val="0"/>
          <w:marRight w:val="0"/>
          <w:marTop w:val="0"/>
          <w:marBottom w:val="0"/>
          <w:divBdr>
            <w:top w:val="none" w:sz="0" w:space="0" w:color="auto"/>
            <w:left w:val="none" w:sz="0" w:space="0" w:color="auto"/>
            <w:bottom w:val="none" w:sz="0" w:space="0" w:color="auto"/>
            <w:right w:val="none" w:sz="0" w:space="0" w:color="auto"/>
          </w:divBdr>
        </w:div>
        <w:div w:id="889145922">
          <w:marLeft w:val="0"/>
          <w:marRight w:val="0"/>
          <w:marTop w:val="0"/>
          <w:marBottom w:val="0"/>
          <w:divBdr>
            <w:top w:val="none" w:sz="0" w:space="0" w:color="auto"/>
            <w:left w:val="none" w:sz="0" w:space="0" w:color="auto"/>
            <w:bottom w:val="none" w:sz="0" w:space="0" w:color="auto"/>
            <w:right w:val="none" w:sz="0" w:space="0" w:color="auto"/>
          </w:divBdr>
        </w:div>
        <w:div w:id="1647973587">
          <w:marLeft w:val="0"/>
          <w:marRight w:val="0"/>
          <w:marTop w:val="0"/>
          <w:marBottom w:val="0"/>
          <w:divBdr>
            <w:top w:val="none" w:sz="0" w:space="0" w:color="auto"/>
            <w:left w:val="none" w:sz="0" w:space="0" w:color="auto"/>
            <w:bottom w:val="none" w:sz="0" w:space="0" w:color="auto"/>
            <w:right w:val="none" w:sz="0" w:space="0" w:color="auto"/>
          </w:divBdr>
        </w:div>
        <w:div w:id="2112847658">
          <w:marLeft w:val="0"/>
          <w:marRight w:val="0"/>
          <w:marTop w:val="0"/>
          <w:marBottom w:val="0"/>
          <w:divBdr>
            <w:top w:val="none" w:sz="0" w:space="0" w:color="auto"/>
            <w:left w:val="none" w:sz="0" w:space="0" w:color="auto"/>
            <w:bottom w:val="none" w:sz="0" w:space="0" w:color="auto"/>
            <w:right w:val="none" w:sz="0" w:space="0" w:color="auto"/>
          </w:divBdr>
        </w:div>
        <w:div w:id="157187897">
          <w:marLeft w:val="0"/>
          <w:marRight w:val="0"/>
          <w:marTop w:val="0"/>
          <w:marBottom w:val="0"/>
          <w:divBdr>
            <w:top w:val="none" w:sz="0" w:space="0" w:color="auto"/>
            <w:left w:val="none" w:sz="0" w:space="0" w:color="auto"/>
            <w:bottom w:val="none" w:sz="0" w:space="0" w:color="auto"/>
            <w:right w:val="none" w:sz="0" w:space="0" w:color="auto"/>
          </w:divBdr>
        </w:div>
        <w:div w:id="1263949838">
          <w:marLeft w:val="0"/>
          <w:marRight w:val="0"/>
          <w:marTop w:val="0"/>
          <w:marBottom w:val="0"/>
          <w:divBdr>
            <w:top w:val="none" w:sz="0" w:space="0" w:color="auto"/>
            <w:left w:val="none" w:sz="0" w:space="0" w:color="auto"/>
            <w:bottom w:val="none" w:sz="0" w:space="0" w:color="auto"/>
            <w:right w:val="none" w:sz="0" w:space="0" w:color="auto"/>
          </w:divBdr>
        </w:div>
        <w:div w:id="822158702">
          <w:marLeft w:val="0"/>
          <w:marRight w:val="0"/>
          <w:marTop w:val="0"/>
          <w:marBottom w:val="0"/>
          <w:divBdr>
            <w:top w:val="none" w:sz="0" w:space="0" w:color="auto"/>
            <w:left w:val="none" w:sz="0" w:space="0" w:color="auto"/>
            <w:bottom w:val="none" w:sz="0" w:space="0" w:color="auto"/>
            <w:right w:val="none" w:sz="0" w:space="0" w:color="auto"/>
          </w:divBdr>
        </w:div>
        <w:div w:id="2032296117">
          <w:marLeft w:val="0"/>
          <w:marRight w:val="0"/>
          <w:marTop w:val="0"/>
          <w:marBottom w:val="0"/>
          <w:divBdr>
            <w:top w:val="none" w:sz="0" w:space="0" w:color="auto"/>
            <w:left w:val="none" w:sz="0" w:space="0" w:color="auto"/>
            <w:bottom w:val="none" w:sz="0" w:space="0" w:color="auto"/>
            <w:right w:val="none" w:sz="0" w:space="0" w:color="auto"/>
          </w:divBdr>
        </w:div>
        <w:div w:id="302202616">
          <w:marLeft w:val="0"/>
          <w:marRight w:val="0"/>
          <w:marTop w:val="0"/>
          <w:marBottom w:val="0"/>
          <w:divBdr>
            <w:top w:val="none" w:sz="0" w:space="0" w:color="auto"/>
            <w:left w:val="none" w:sz="0" w:space="0" w:color="auto"/>
            <w:bottom w:val="none" w:sz="0" w:space="0" w:color="auto"/>
            <w:right w:val="none" w:sz="0" w:space="0" w:color="auto"/>
          </w:divBdr>
        </w:div>
        <w:div w:id="1313094850">
          <w:marLeft w:val="0"/>
          <w:marRight w:val="0"/>
          <w:marTop w:val="0"/>
          <w:marBottom w:val="0"/>
          <w:divBdr>
            <w:top w:val="none" w:sz="0" w:space="0" w:color="auto"/>
            <w:left w:val="none" w:sz="0" w:space="0" w:color="auto"/>
            <w:bottom w:val="none" w:sz="0" w:space="0" w:color="auto"/>
            <w:right w:val="none" w:sz="0" w:space="0" w:color="auto"/>
          </w:divBdr>
        </w:div>
        <w:div w:id="2088838176">
          <w:marLeft w:val="0"/>
          <w:marRight w:val="0"/>
          <w:marTop w:val="0"/>
          <w:marBottom w:val="0"/>
          <w:divBdr>
            <w:top w:val="none" w:sz="0" w:space="0" w:color="auto"/>
            <w:left w:val="none" w:sz="0" w:space="0" w:color="auto"/>
            <w:bottom w:val="none" w:sz="0" w:space="0" w:color="auto"/>
            <w:right w:val="none" w:sz="0" w:space="0" w:color="auto"/>
          </w:divBdr>
        </w:div>
        <w:div w:id="2119443646">
          <w:marLeft w:val="0"/>
          <w:marRight w:val="0"/>
          <w:marTop w:val="0"/>
          <w:marBottom w:val="0"/>
          <w:divBdr>
            <w:top w:val="none" w:sz="0" w:space="0" w:color="auto"/>
            <w:left w:val="none" w:sz="0" w:space="0" w:color="auto"/>
            <w:bottom w:val="none" w:sz="0" w:space="0" w:color="auto"/>
            <w:right w:val="none" w:sz="0" w:space="0" w:color="auto"/>
          </w:divBdr>
        </w:div>
        <w:div w:id="688222744">
          <w:marLeft w:val="0"/>
          <w:marRight w:val="0"/>
          <w:marTop w:val="0"/>
          <w:marBottom w:val="0"/>
          <w:divBdr>
            <w:top w:val="none" w:sz="0" w:space="0" w:color="auto"/>
            <w:left w:val="none" w:sz="0" w:space="0" w:color="auto"/>
            <w:bottom w:val="none" w:sz="0" w:space="0" w:color="auto"/>
            <w:right w:val="none" w:sz="0" w:space="0" w:color="auto"/>
          </w:divBdr>
        </w:div>
        <w:div w:id="925579141">
          <w:marLeft w:val="0"/>
          <w:marRight w:val="0"/>
          <w:marTop w:val="0"/>
          <w:marBottom w:val="0"/>
          <w:divBdr>
            <w:top w:val="none" w:sz="0" w:space="0" w:color="auto"/>
            <w:left w:val="none" w:sz="0" w:space="0" w:color="auto"/>
            <w:bottom w:val="none" w:sz="0" w:space="0" w:color="auto"/>
            <w:right w:val="none" w:sz="0" w:space="0" w:color="auto"/>
          </w:divBdr>
        </w:div>
      </w:divsChild>
    </w:div>
    <w:div w:id="21047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varez@ub.ed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pg19@le.ac.uk"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AME\Gr&#225;ficas%20BN%20Exp%20AP%20llarg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A\OneDrive%20-%20Universitat%20de%20Barcelona\Exps_2019\AP%20llarga\RC_APllarga_n=1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ol.le.ac.uk\root\staff\home\j\jpg19\My%20Documents\Documents%20JPG\Antonio%20PL%20Mechanisms\Data%20Short%20&amp;%20Long%20Preex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oleObject" Target="file:///D:\AME\Gr&#225;ficas%20BN%20Exp%20int.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AA\OneDrive%20-%20Universitat%20de%20Barcelona\Exps_2019\Exp%20Septiembre_2018\RC_Con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'AX+'!$C$20</c:f>
              <c:strCache>
                <c:ptCount val="1"/>
                <c:pt idx="0">
                  <c:v>Intermixed</c:v>
                </c:pt>
              </c:strCache>
            </c:strRef>
          </c:tx>
          <c:spPr>
            <a:ln w="12700">
              <a:solidFill>
                <a:schemeClr val="tx1"/>
              </a:solidFill>
            </a:ln>
          </c:spPr>
          <c:marker>
            <c:symbol val="square"/>
            <c:size val="5"/>
            <c:spPr>
              <a:solidFill>
                <a:schemeClr val="tx1"/>
              </a:solidFill>
              <a:ln w="12700">
                <a:solidFill>
                  <a:schemeClr val="tx1"/>
                </a:solidFill>
              </a:ln>
            </c:spPr>
          </c:marker>
          <c:errBars>
            <c:errDir val="y"/>
            <c:errBarType val="both"/>
            <c:errValType val="cust"/>
            <c:noEndCap val="0"/>
            <c:plus>
              <c:numRef>
                <c:f>'AX+'!$D$23:$J$23</c:f>
                <c:numCache>
                  <c:formatCode>General</c:formatCode>
                  <c:ptCount val="7"/>
                  <c:pt idx="0">
                    <c:v>0.80298647360071651</c:v>
                  </c:pt>
                  <c:pt idx="1">
                    <c:v>0.49824603073467344</c:v>
                  </c:pt>
                  <c:pt idx="2">
                    <c:v>0.66057537149712986</c:v>
                  </c:pt>
                  <c:pt idx="3">
                    <c:v>0.78711725392635834</c:v>
                  </c:pt>
                  <c:pt idx="5">
                    <c:v>0.7937657478752782</c:v>
                  </c:pt>
                  <c:pt idx="6">
                    <c:v>0.89073492429405898</c:v>
                  </c:pt>
                </c:numCache>
              </c:numRef>
            </c:plus>
            <c:minus>
              <c:numRef>
                <c:f>'AX+'!$D$23:$J$23</c:f>
                <c:numCache>
                  <c:formatCode>General</c:formatCode>
                  <c:ptCount val="7"/>
                  <c:pt idx="0">
                    <c:v>0.80298647360071651</c:v>
                  </c:pt>
                  <c:pt idx="1">
                    <c:v>0.49824603073467344</c:v>
                  </c:pt>
                  <c:pt idx="2">
                    <c:v>0.66057537149712986</c:v>
                  </c:pt>
                  <c:pt idx="3">
                    <c:v>0.78711725392635834</c:v>
                  </c:pt>
                  <c:pt idx="5">
                    <c:v>0.7937657478752782</c:v>
                  </c:pt>
                  <c:pt idx="6">
                    <c:v>0.89073492429405898</c:v>
                  </c:pt>
                </c:numCache>
              </c:numRef>
            </c:minus>
          </c:errBars>
          <c:cat>
            <c:numRef>
              <c:f>'AX+'!$D$19:$G$19</c:f>
              <c:numCache>
                <c:formatCode>General</c:formatCode>
                <c:ptCount val="4"/>
                <c:pt idx="0">
                  <c:v>1</c:v>
                </c:pt>
                <c:pt idx="1">
                  <c:v>2</c:v>
                </c:pt>
                <c:pt idx="2">
                  <c:v>3</c:v>
                </c:pt>
                <c:pt idx="3">
                  <c:v>4</c:v>
                </c:pt>
              </c:numCache>
            </c:numRef>
          </c:cat>
          <c:val>
            <c:numRef>
              <c:f>'AX+'!$D$20:$G$20</c:f>
              <c:numCache>
                <c:formatCode>General</c:formatCode>
                <c:ptCount val="4"/>
                <c:pt idx="0">
                  <c:v>-1.1249999999999975E-2</c:v>
                </c:pt>
                <c:pt idx="1">
                  <c:v>-0.31750000000000012</c:v>
                </c:pt>
                <c:pt idx="2">
                  <c:v>2.5175000000000001</c:v>
                </c:pt>
                <c:pt idx="3">
                  <c:v>4.09</c:v>
                </c:pt>
              </c:numCache>
            </c:numRef>
          </c:val>
          <c:smooth val="0"/>
          <c:extLst>
            <c:ext xmlns:c16="http://schemas.microsoft.com/office/drawing/2014/chart" uri="{C3380CC4-5D6E-409C-BE32-E72D297353CC}">
              <c16:uniqueId val="{00000000-D26B-49C0-A8AF-CBA6E244056C}"/>
            </c:ext>
          </c:extLst>
        </c:ser>
        <c:ser>
          <c:idx val="1"/>
          <c:order val="1"/>
          <c:tx>
            <c:strRef>
              <c:f>'AX+'!$C$21</c:f>
              <c:strCache>
                <c:ptCount val="1"/>
                <c:pt idx="0">
                  <c:v>Blocked</c:v>
                </c:pt>
              </c:strCache>
            </c:strRef>
          </c:tx>
          <c:spPr>
            <a:ln w="12700">
              <a:solidFill>
                <a:schemeClr val="tx1"/>
              </a:solidFill>
            </a:ln>
          </c:spPr>
          <c:marker>
            <c:symbol val="square"/>
            <c:size val="5"/>
            <c:spPr>
              <a:solidFill>
                <a:schemeClr val="bg1"/>
              </a:solidFill>
              <a:ln w="12700">
                <a:solidFill>
                  <a:schemeClr val="tx1"/>
                </a:solidFill>
              </a:ln>
            </c:spPr>
          </c:marker>
          <c:errBars>
            <c:errDir val="y"/>
            <c:errBarType val="both"/>
            <c:errValType val="cust"/>
            <c:noEndCap val="0"/>
            <c:plus>
              <c:numRef>
                <c:f>'AX+'!$D$24:$J$24</c:f>
                <c:numCache>
                  <c:formatCode>General</c:formatCode>
                  <c:ptCount val="7"/>
                  <c:pt idx="0">
                    <c:v>0.27348049589075468</c:v>
                  </c:pt>
                  <c:pt idx="1">
                    <c:v>0.92044119301339311</c:v>
                  </c:pt>
                  <c:pt idx="2">
                    <c:v>0.83686245913543322</c:v>
                  </c:pt>
                  <c:pt idx="3">
                    <c:v>1.4936505068906496</c:v>
                  </c:pt>
                  <c:pt idx="5">
                    <c:v>1.2150497596260605</c:v>
                  </c:pt>
                  <c:pt idx="6">
                    <c:v>1.4514179379531746</c:v>
                  </c:pt>
                </c:numCache>
              </c:numRef>
            </c:plus>
            <c:minus>
              <c:numRef>
                <c:f>'AX+'!$D$24:$J$24</c:f>
                <c:numCache>
                  <c:formatCode>General</c:formatCode>
                  <c:ptCount val="7"/>
                  <c:pt idx="0">
                    <c:v>0.27348049589075468</c:v>
                  </c:pt>
                  <c:pt idx="1">
                    <c:v>0.92044119301339311</c:v>
                  </c:pt>
                  <c:pt idx="2">
                    <c:v>0.83686245913543322</c:v>
                  </c:pt>
                  <c:pt idx="3">
                    <c:v>1.4936505068906496</c:v>
                  </c:pt>
                  <c:pt idx="5">
                    <c:v>1.2150497596260605</c:v>
                  </c:pt>
                  <c:pt idx="6">
                    <c:v>1.4514179379531746</c:v>
                  </c:pt>
                </c:numCache>
              </c:numRef>
            </c:minus>
          </c:errBars>
          <c:cat>
            <c:numRef>
              <c:f>'AX+'!$D$19:$G$19</c:f>
              <c:numCache>
                <c:formatCode>General</c:formatCode>
                <c:ptCount val="4"/>
                <c:pt idx="0">
                  <c:v>1</c:v>
                </c:pt>
                <c:pt idx="1">
                  <c:v>2</c:v>
                </c:pt>
                <c:pt idx="2">
                  <c:v>3</c:v>
                </c:pt>
                <c:pt idx="3">
                  <c:v>4</c:v>
                </c:pt>
              </c:numCache>
            </c:numRef>
          </c:cat>
          <c:val>
            <c:numRef>
              <c:f>'AX+'!$D$21:$G$21</c:f>
              <c:numCache>
                <c:formatCode>General</c:formatCode>
                <c:ptCount val="4"/>
                <c:pt idx="0">
                  <c:v>-0.38624999999999998</c:v>
                </c:pt>
                <c:pt idx="1">
                  <c:v>1.42625</c:v>
                </c:pt>
                <c:pt idx="2">
                  <c:v>4.335</c:v>
                </c:pt>
                <c:pt idx="3">
                  <c:v>5.835</c:v>
                </c:pt>
              </c:numCache>
            </c:numRef>
          </c:val>
          <c:smooth val="0"/>
          <c:extLst>
            <c:ext xmlns:c16="http://schemas.microsoft.com/office/drawing/2014/chart" uri="{C3380CC4-5D6E-409C-BE32-E72D297353CC}">
              <c16:uniqueId val="{00000001-D26B-49C0-A8AF-CBA6E244056C}"/>
            </c:ext>
          </c:extLst>
        </c:ser>
        <c:dLbls>
          <c:showLegendKey val="0"/>
          <c:showVal val="0"/>
          <c:showCatName val="0"/>
          <c:showSerName val="0"/>
          <c:showPercent val="0"/>
          <c:showBubbleSize val="0"/>
        </c:dLbls>
        <c:marker val="1"/>
        <c:smooth val="0"/>
        <c:axId val="1404066320"/>
        <c:axId val="1404069040"/>
      </c:lineChart>
      <c:catAx>
        <c:axId val="1404066320"/>
        <c:scaling>
          <c:orientation val="minMax"/>
        </c:scaling>
        <c:delete val="0"/>
        <c:axPos val="b"/>
        <c:title>
          <c:tx>
            <c:rich>
              <a:bodyPr/>
              <a:lstStyle/>
              <a:p>
                <a:pPr>
                  <a:defRPr/>
                </a:pPr>
                <a:r>
                  <a:rPr lang="en-US"/>
                  <a:t>Blocks of 5 trials           </a:t>
                </a:r>
              </a:p>
            </c:rich>
          </c:tx>
          <c:layout>
            <c:manualLayout>
              <c:xMode val="edge"/>
              <c:yMode val="edge"/>
              <c:x val="0.30732800735674465"/>
              <c:y val="0.86968389599896334"/>
            </c:manualLayout>
          </c:layout>
          <c:overlay val="0"/>
        </c:title>
        <c:numFmt formatCode="General" sourceLinked="0"/>
        <c:majorTickMark val="none"/>
        <c:minorTickMark val="none"/>
        <c:tickLblPos val="low"/>
        <c:crossAx val="1404069040"/>
        <c:crosses val="autoZero"/>
        <c:auto val="1"/>
        <c:lblAlgn val="ctr"/>
        <c:lblOffset val="100"/>
        <c:noMultiLvlLbl val="0"/>
      </c:catAx>
      <c:valAx>
        <c:axId val="1404069040"/>
        <c:scaling>
          <c:orientation val="minMax"/>
          <c:min val="-1"/>
        </c:scaling>
        <c:delete val="0"/>
        <c:axPos val="l"/>
        <c:title>
          <c:tx>
            <c:rich>
              <a:bodyPr/>
              <a:lstStyle/>
              <a:p>
                <a:pPr>
                  <a:defRPr/>
                </a:pPr>
                <a:r>
                  <a:rPr lang="en-GB"/>
                  <a:t>CS - PreCS magazine time (sec) </a:t>
                </a:r>
              </a:p>
            </c:rich>
          </c:tx>
          <c:layout>
            <c:manualLayout>
              <c:xMode val="edge"/>
              <c:yMode val="edge"/>
              <c:x val="3.0877199807089334E-2"/>
              <c:y val="2.2480525033363334E-2"/>
            </c:manualLayout>
          </c:layout>
          <c:overlay val="0"/>
        </c:title>
        <c:numFmt formatCode="General" sourceLinked="1"/>
        <c:majorTickMark val="out"/>
        <c:minorTickMark val="none"/>
        <c:tickLblPos val="nextTo"/>
        <c:spPr>
          <a:ln/>
        </c:spPr>
        <c:crossAx val="1404066320"/>
        <c:crosses val="autoZero"/>
        <c:crossBetween val="between"/>
      </c:valAx>
    </c:plotArea>
    <c:legend>
      <c:legendPos val="r"/>
      <c:layout>
        <c:manualLayout>
          <c:xMode val="edge"/>
          <c:yMode val="edge"/>
          <c:x val="0.7444353565854801"/>
          <c:y val="0.2402287504478203"/>
          <c:w val="0.23296765494165239"/>
          <c:h val="0.17738043161271508"/>
        </c:manualLayout>
      </c:layout>
      <c:overlay val="0"/>
    </c:legend>
    <c:plotVisOnly val="1"/>
    <c:dispBlanksAs val="gap"/>
    <c:showDLblsOverMax val="0"/>
  </c:chart>
  <c:spPr>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85289296175861"/>
          <c:y val="0.15240196078431376"/>
          <c:w val="0.74785269588741676"/>
          <c:h val="0.71563725490196084"/>
        </c:manualLayout>
      </c:layout>
      <c:barChart>
        <c:barDir val="col"/>
        <c:grouping val="clustered"/>
        <c:varyColors val="0"/>
        <c:ser>
          <c:idx val="0"/>
          <c:order val="0"/>
          <c:spPr>
            <a:noFill/>
            <a:ln w="12700">
              <a:solidFill>
                <a:sysClr val="windowText" lastClr="000000"/>
              </a:solidFill>
            </a:ln>
            <a:effectLst/>
          </c:spPr>
          <c:invertIfNegative val="0"/>
          <c:errBars>
            <c:errBarType val="both"/>
            <c:errValType val="cust"/>
            <c:noEndCap val="0"/>
            <c:plus>
              <c:numRef>
                <c:f>test!$Y$23:$Y$24</c:f>
                <c:numCache>
                  <c:formatCode>General</c:formatCode>
                  <c:ptCount val="2"/>
                  <c:pt idx="0">
                    <c:v>0.69296686009969366</c:v>
                  </c:pt>
                  <c:pt idx="1">
                    <c:v>1.1621766611994648</c:v>
                  </c:pt>
                </c:numCache>
              </c:numRef>
            </c:plus>
            <c:minus>
              <c:numRef>
                <c:f>test!$Y$23:$Y$24</c:f>
                <c:numCache>
                  <c:formatCode>General</c:formatCode>
                  <c:ptCount val="2"/>
                  <c:pt idx="0">
                    <c:v>0.69296686009969366</c:v>
                  </c:pt>
                  <c:pt idx="1">
                    <c:v>1.1621766611994648</c:v>
                  </c:pt>
                </c:numCache>
              </c:numRef>
            </c:minus>
            <c:spPr>
              <a:noFill/>
              <a:ln w="9525" cap="flat" cmpd="sng" algn="ctr">
                <a:solidFill>
                  <a:schemeClr val="tx1">
                    <a:lumMod val="65000"/>
                    <a:lumOff val="35000"/>
                  </a:schemeClr>
                </a:solidFill>
                <a:round/>
              </a:ln>
              <a:effectLst/>
            </c:spPr>
          </c:errBars>
          <c:cat>
            <c:strRef>
              <c:f>test!$X$20:$X$21</c:f>
              <c:strCache>
                <c:ptCount val="2"/>
                <c:pt idx="0">
                  <c:v>Intermixed</c:v>
                </c:pt>
                <c:pt idx="1">
                  <c:v>Blocked</c:v>
                </c:pt>
              </c:strCache>
            </c:strRef>
          </c:cat>
          <c:val>
            <c:numRef>
              <c:f>test!$Y$20:$Y$21</c:f>
              <c:numCache>
                <c:formatCode>General</c:formatCode>
                <c:ptCount val="2"/>
                <c:pt idx="0">
                  <c:v>1.6660416666666669</c:v>
                </c:pt>
                <c:pt idx="1">
                  <c:v>4.678809523809524</c:v>
                </c:pt>
              </c:numCache>
            </c:numRef>
          </c:val>
          <c:extLst>
            <c:ext xmlns:c16="http://schemas.microsoft.com/office/drawing/2014/chart" uri="{C3380CC4-5D6E-409C-BE32-E72D297353CC}">
              <c16:uniqueId val="{00000000-B2AF-4489-BB71-4E978699370C}"/>
            </c:ext>
          </c:extLst>
        </c:ser>
        <c:dLbls>
          <c:showLegendKey val="0"/>
          <c:showVal val="0"/>
          <c:showCatName val="0"/>
          <c:showSerName val="0"/>
          <c:showPercent val="0"/>
          <c:showBubbleSize val="0"/>
        </c:dLbls>
        <c:gapWidth val="219"/>
        <c:overlap val="-27"/>
        <c:axId val="1404056528"/>
        <c:axId val="1404057616"/>
      </c:barChart>
      <c:catAx>
        <c:axId val="1404056528"/>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4057616"/>
        <c:crosses val="autoZero"/>
        <c:auto val="1"/>
        <c:lblAlgn val="ctr"/>
        <c:lblOffset val="100"/>
        <c:noMultiLvlLbl val="0"/>
      </c:catAx>
      <c:valAx>
        <c:axId val="14040576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ES" sz="1200">
                    <a:solidFill>
                      <a:sysClr val="windowText" lastClr="000000"/>
                    </a:solidFill>
                    <a:latin typeface="Times New Roman" panose="02020603050405020304" pitchFamily="18" charset="0"/>
                    <a:cs typeface="Times New Roman" panose="02020603050405020304" pitchFamily="18" charset="0"/>
                  </a:rPr>
                  <a:t>CS-PreCS magazine time (sec)</a:t>
                </a:r>
              </a:p>
            </c:rich>
          </c:tx>
          <c:layout>
            <c:manualLayout>
              <c:xMode val="edge"/>
              <c:yMode val="edge"/>
              <c:x val="2.2483790316724244E-2"/>
              <c:y val="0.137696036170661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low"/>
        <c:spPr>
          <a:noFill/>
          <a:ln w="12700">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4056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'2D Preexp Training (2)'!$E$5</c:f>
              <c:strCache>
                <c:ptCount val="1"/>
                <c:pt idx="0">
                  <c:v>Intermixed</c:v>
                </c:pt>
              </c:strCache>
            </c:strRef>
          </c:tx>
          <c:spPr>
            <a:ln w="12700">
              <a:solidFill>
                <a:schemeClr val="tx1"/>
              </a:solidFill>
            </a:ln>
          </c:spPr>
          <c:marker>
            <c:symbol val="square"/>
            <c:size val="5"/>
            <c:spPr>
              <a:solidFill>
                <a:schemeClr val="tx1"/>
              </a:solidFill>
              <a:ln w="12700">
                <a:solidFill>
                  <a:schemeClr val="tx1"/>
                </a:solidFill>
              </a:ln>
            </c:spPr>
          </c:marker>
          <c:errBars>
            <c:errDir val="y"/>
            <c:errBarType val="both"/>
            <c:errValType val="cust"/>
            <c:noEndCap val="0"/>
            <c:plus>
              <c:numRef>
                <c:f>'2D Preexp Training (2)'!$F$10:$R$10</c:f>
                <c:numCache>
                  <c:formatCode>General</c:formatCode>
                  <c:ptCount val="13"/>
                  <c:pt idx="0">
                    <c:v>0.64112885238237605</c:v>
                  </c:pt>
                  <c:pt idx="1">
                    <c:v>0.76107873982544405</c:v>
                  </c:pt>
                  <c:pt idx="2">
                    <c:v>0.76669979224503004</c:v>
                  </c:pt>
                  <c:pt idx="3">
                    <c:v>0.74674531898671503</c:v>
                  </c:pt>
                  <c:pt idx="4">
                    <c:v>1.2571757427719821</c:v>
                  </c:pt>
                  <c:pt idx="5">
                    <c:v>0.79987499023284803</c:v>
                  </c:pt>
                  <c:pt idx="7">
                    <c:v>0.54915824384753997</c:v>
                  </c:pt>
                  <c:pt idx="8">
                    <c:v>0.73762589724447403</c:v>
                  </c:pt>
                  <c:pt idx="9">
                    <c:v>0.94564403129749197</c:v>
                  </c:pt>
                  <c:pt idx="10">
                    <c:v>1.326540125799873</c:v>
                  </c:pt>
                  <c:pt idx="11">
                    <c:v>1.1624503637636681</c:v>
                  </c:pt>
                  <c:pt idx="12">
                    <c:v>1.154698089792924</c:v>
                  </c:pt>
                </c:numCache>
              </c:numRef>
            </c:plus>
            <c:minus>
              <c:numRef>
                <c:f>'2D Preexp Training (2)'!$F$10:$R$10</c:f>
                <c:numCache>
                  <c:formatCode>General</c:formatCode>
                  <c:ptCount val="13"/>
                  <c:pt idx="0">
                    <c:v>0.64112885238237605</c:v>
                  </c:pt>
                  <c:pt idx="1">
                    <c:v>0.76107873982544405</c:v>
                  </c:pt>
                  <c:pt idx="2">
                    <c:v>0.76669979224503004</c:v>
                  </c:pt>
                  <c:pt idx="3">
                    <c:v>0.74674531898671503</c:v>
                  </c:pt>
                  <c:pt idx="4">
                    <c:v>1.2571757427719821</c:v>
                  </c:pt>
                  <c:pt idx="5">
                    <c:v>0.79987499023284803</c:v>
                  </c:pt>
                  <c:pt idx="7">
                    <c:v>0.54915824384753997</c:v>
                  </c:pt>
                  <c:pt idx="8">
                    <c:v>0.73762589724447403</c:v>
                  </c:pt>
                  <c:pt idx="9">
                    <c:v>0.94564403129749197</c:v>
                  </c:pt>
                  <c:pt idx="10">
                    <c:v>1.326540125799873</c:v>
                  </c:pt>
                  <c:pt idx="11">
                    <c:v>1.1624503637636681</c:v>
                  </c:pt>
                  <c:pt idx="12">
                    <c:v>1.154698089792924</c:v>
                  </c:pt>
                </c:numCache>
              </c:numRef>
            </c:minus>
          </c:errBars>
          <c:cat>
            <c:numRef>
              <c:f>'2D Preexp Training (2)'!$F$4:$R$4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'2D Preexp Training (2)'!$F$5:$R$5</c:f>
              <c:numCache>
                <c:formatCode>General</c:formatCode>
                <c:ptCount val="13"/>
                <c:pt idx="0">
                  <c:v>-0.17374999999999999</c:v>
                </c:pt>
                <c:pt idx="1">
                  <c:v>0.82250000000000001</c:v>
                </c:pt>
                <c:pt idx="2">
                  <c:v>2.916249999999994</c:v>
                </c:pt>
                <c:pt idx="3">
                  <c:v>2.5687500000000001</c:v>
                </c:pt>
                <c:pt idx="4">
                  <c:v>4.2912500000000007</c:v>
                </c:pt>
                <c:pt idx="5">
                  <c:v>4.8174999999999946</c:v>
                </c:pt>
                <c:pt idx="7">
                  <c:v>-0.83625000000000005</c:v>
                </c:pt>
                <c:pt idx="8">
                  <c:v>-3.8750000000000097E-2</c:v>
                </c:pt>
                <c:pt idx="9">
                  <c:v>2.3149999999999991</c:v>
                </c:pt>
                <c:pt idx="10">
                  <c:v>3.895</c:v>
                </c:pt>
                <c:pt idx="11">
                  <c:v>5.6087499999999997</c:v>
                </c:pt>
                <c:pt idx="12">
                  <c:v>5.8800000000000008</c:v>
                </c:pt>
              </c:numCache>
            </c:numRef>
          </c:val>
          <c:smooth val="0"/>
          <c:extLst>
            <c:ext xmlns:c16="http://schemas.microsoft.com/office/drawing/2014/chart" uri="{C3380CC4-5D6E-409C-BE32-E72D297353CC}">
              <c16:uniqueId val="{00000000-3E8B-4846-91A4-006F87CCFFB7}"/>
            </c:ext>
          </c:extLst>
        </c:ser>
        <c:ser>
          <c:idx val="1"/>
          <c:order val="1"/>
          <c:tx>
            <c:strRef>
              <c:f>'2D Preexp Training (2)'!$E$6</c:f>
              <c:strCache>
                <c:ptCount val="1"/>
                <c:pt idx="0">
                  <c:v>Blocked</c:v>
                </c:pt>
              </c:strCache>
            </c:strRef>
          </c:tx>
          <c:spPr>
            <a:ln w="12700">
              <a:solidFill>
                <a:schemeClr val="tx1"/>
              </a:solidFill>
            </a:ln>
          </c:spPr>
          <c:marker>
            <c:symbol val="square"/>
            <c:size val="5"/>
            <c:spPr>
              <a:solidFill>
                <a:schemeClr val="bg1"/>
              </a:solidFill>
              <a:ln>
                <a:solidFill>
                  <a:schemeClr val="tx1"/>
                </a:solidFill>
              </a:ln>
            </c:spPr>
          </c:marker>
          <c:errBars>
            <c:errDir val="y"/>
            <c:errBarType val="both"/>
            <c:errValType val="cust"/>
            <c:noEndCap val="0"/>
            <c:plus>
              <c:numRef>
                <c:f>'2D Preexp Training (2)'!$F$11:$R$11</c:f>
                <c:numCache>
                  <c:formatCode>General</c:formatCode>
                  <c:ptCount val="13"/>
                  <c:pt idx="0">
                    <c:v>0.54478616381633105</c:v>
                  </c:pt>
                  <c:pt idx="1">
                    <c:v>1.1279880951752741</c:v>
                  </c:pt>
                  <c:pt idx="2">
                    <c:v>1.1857953930951639</c:v>
                  </c:pt>
                  <c:pt idx="3">
                    <c:v>0.97593075994882195</c:v>
                  </c:pt>
                  <c:pt idx="4">
                    <c:v>1.0803611127435919</c:v>
                  </c:pt>
                  <c:pt idx="5">
                    <c:v>0.60011606020359698</c:v>
                  </c:pt>
                  <c:pt idx="7">
                    <c:v>0.538851084318691</c:v>
                  </c:pt>
                  <c:pt idx="8">
                    <c:v>0.35327043465311397</c:v>
                  </c:pt>
                  <c:pt idx="9">
                    <c:v>0.39122518177789001</c:v>
                  </c:pt>
                  <c:pt idx="10">
                    <c:v>0.87136336114324697</c:v>
                  </c:pt>
                  <c:pt idx="11">
                    <c:v>1.050794661027004</c:v>
                  </c:pt>
                  <c:pt idx="12">
                    <c:v>0.88712014003580297</c:v>
                  </c:pt>
                </c:numCache>
              </c:numRef>
            </c:plus>
            <c:minus>
              <c:numRef>
                <c:f>'2D Preexp Training (2)'!$F$11:$R$11</c:f>
                <c:numCache>
                  <c:formatCode>General</c:formatCode>
                  <c:ptCount val="13"/>
                  <c:pt idx="0">
                    <c:v>0.54478616381633105</c:v>
                  </c:pt>
                  <c:pt idx="1">
                    <c:v>1.1279880951752741</c:v>
                  </c:pt>
                  <c:pt idx="2">
                    <c:v>1.1857953930951639</c:v>
                  </c:pt>
                  <c:pt idx="3">
                    <c:v>0.97593075994882195</c:v>
                  </c:pt>
                  <c:pt idx="4">
                    <c:v>1.0803611127435919</c:v>
                  </c:pt>
                  <c:pt idx="5">
                    <c:v>0.60011606020359698</c:v>
                  </c:pt>
                  <c:pt idx="7">
                    <c:v>0.538851084318691</c:v>
                  </c:pt>
                  <c:pt idx="8">
                    <c:v>0.35327043465311397</c:v>
                  </c:pt>
                  <c:pt idx="9">
                    <c:v>0.39122518177789001</c:v>
                  </c:pt>
                  <c:pt idx="10">
                    <c:v>0.87136336114324697</c:v>
                  </c:pt>
                  <c:pt idx="11">
                    <c:v>1.050794661027004</c:v>
                  </c:pt>
                  <c:pt idx="12">
                    <c:v>0.88712014003580297</c:v>
                  </c:pt>
                </c:numCache>
              </c:numRef>
            </c:minus>
          </c:errBars>
          <c:cat>
            <c:numRef>
              <c:f>'2D Preexp Training (2)'!$F$4:$R$4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'2D Preexp Training (2)'!$F$6:$R$6</c:f>
              <c:numCache>
                <c:formatCode>General</c:formatCode>
                <c:ptCount val="13"/>
                <c:pt idx="0">
                  <c:v>-0.55625000000000002</c:v>
                </c:pt>
                <c:pt idx="1">
                  <c:v>-0.61499999999999999</c:v>
                </c:pt>
                <c:pt idx="2">
                  <c:v>1.37</c:v>
                </c:pt>
                <c:pt idx="3">
                  <c:v>1.7124999999999999</c:v>
                </c:pt>
                <c:pt idx="4">
                  <c:v>2.598749999999999</c:v>
                </c:pt>
                <c:pt idx="5">
                  <c:v>4.2649999999999944</c:v>
                </c:pt>
                <c:pt idx="7">
                  <c:v>-0.2175</c:v>
                </c:pt>
                <c:pt idx="8">
                  <c:v>0.03</c:v>
                </c:pt>
                <c:pt idx="9">
                  <c:v>2.3050000000000002</c:v>
                </c:pt>
                <c:pt idx="10">
                  <c:v>4.6512500000000001</c:v>
                </c:pt>
                <c:pt idx="11">
                  <c:v>6.6087499999999997</c:v>
                </c:pt>
                <c:pt idx="12">
                  <c:v>6.4449999999999976</c:v>
                </c:pt>
              </c:numCache>
            </c:numRef>
          </c:val>
          <c:smooth val="0"/>
          <c:extLst>
            <c:ext xmlns:c16="http://schemas.microsoft.com/office/drawing/2014/chart" uri="{C3380CC4-5D6E-409C-BE32-E72D297353CC}">
              <c16:uniqueId val="{00000001-3E8B-4846-91A4-006F87CCFFB7}"/>
            </c:ext>
          </c:extLst>
        </c:ser>
        <c:dLbls>
          <c:showLegendKey val="0"/>
          <c:showVal val="0"/>
          <c:showCatName val="0"/>
          <c:showSerName val="0"/>
          <c:showPercent val="0"/>
          <c:showBubbleSize val="0"/>
        </c:dLbls>
        <c:marker val="1"/>
        <c:smooth val="0"/>
        <c:axId val="1398881136"/>
        <c:axId val="1398882768"/>
      </c:lineChart>
      <c:catAx>
        <c:axId val="1398881136"/>
        <c:scaling>
          <c:orientation val="minMax"/>
        </c:scaling>
        <c:delete val="0"/>
        <c:axPos val="b"/>
        <c:title>
          <c:tx>
            <c:rich>
              <a:bodyPr/>
              <a:lstStyle/>
              <a:p>
                <a:pPr>
                  <a:defRPr/>
                </a:pPr>
                <a:r>
                  <a:rPr lang="en-GB"/>
                  <a:t>Blocks of 5 trials</a:t>
                </a:r>
              </a:p>
            </c:rich>
          </c:tx>
          <c:layout/>
          <c:overlay val="0"/>
        </c:title>
        <c:numFmt formatCode="General" sourceLinked="1"/>
        <c:majorTickMark val="none"/>
        <c:minorTickMark val="none"/>
        <c:tickLblPos val="low"/>
        <c:crossAx val="1398882768"/>
        <c:crosses val="autoZero"/>
        <c:auto val="1"/>
        <c:lblAlgn val="ctr"/>
        <c:lblOffset val="100"/>
        <c:noMultiLvlLbl val="0"/>
      </c:catAx>
      <c:valAx>
        <c:axId val="1398882768"/>
        <c:scaling>
          <c:orientation val="minMax"/>
          <c:max val="10"/>
          <c:min val="-2"/>
        </c:scaling>
        <c:delete val="0"/>
        <c:axPos val="l"/>
        <c:title>
          <c:tx>
            <c:rich>
              <a:bodyPr/>
              <a:lstStyle/>
              <a:p>
                <a:pPr>
                  <a:defRPr/>
                </a:pPr>
                <a:r>
                  <a:rPr lang="en-GB"/>
                  <a:t>CS - PreCS magazine time (sec)</a:t>
                </a:r>
              </a:p>
            </c:rich>
          </c:tx>
          <c:layout>
            <c:manualLayout>
              <c:xMode val="edge"/>
              <c:yMode val="edge"/>
              <c:x val="2.4737167594310452E-2"/>
              <c:y val="3.6535433070866138E-2"/>
            </c:manualLayout>
          </c:layout>
          <c:overlay val="0"/>
        </c:title>
        <c:numFmt formatCode="General" sourceLinked="1"/>
        <c:majorTickMark val="out"/>
        <c:minorTickMark val="none"/>
        <c:tickLblPos val="nextTo"/>
        <c:crossAx val="1398881136"/>
        <c:crosses val="autoZero"/>
        <c:crossBetween val="between"/>
      </c:valAx>
      <c:spPr>
        <a:noFill/>
        <a:ln>
          <a:noFill/>
        </a:ln>
      </c:spPr>
    </c:plotArea>
    <c:legend>
      <c:legendPos val="r"/>
      <c:layout/>
      <c:overlay val="0"/>
    </c:legend>
    <c:plotVisOnly val="1"/>
    <c:dispBlanksAs val="gap"/>
    <c:showDLblsOverMax val="0"/>
  </c:chart>
  <c:spPr>
    <a:noFill/>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'Long Preexp'!$L$3</c:f>
              <c:strCache>
                <c:ptCount val="1"/>
                <c:pt idx="0">
                  <c:v>Intermixed</c:v>
                </c:pt>
              </c:strCache>
            </c:strRef>
          </c:tx>
          <c:spPr>
            <a:ln w="12700">
              <a:solidFill>
                <a:schemeClr val="tx1"/>
              </a:solidFill>
            </a:ln>
          </c:spPr>
          <c:marker>
            <c:symbol val="square"/>
            <c:size val="5"/>
            <c:spPr>
              <a:solidFill>
                <a:schemeClr val="tx1"/>
              </a:solidFill>
              <a:ln w="12700">
                <a:solidFill>
                  <a:schemeClr val="tx1"/>
                </a:solidFill>
              </a:ln>
            </c:spPr>
          </c:marker>
          <c:errBars>
            <c:errDir val="y"/>
            <c:errBarType val="both"/>
            <c:errValType val="cust"/>
            <c:noEndCap val="0"/>
            <c:plus>
              <c:numRef>
                <c:f>'Long Preexp'!$M$6:$Y$6</c:f>
                <c:numCache>
                  <c:formatCode>General</c:formatCode>
                  <c:ptCount val="13"/>
                  <c:pt idx="0">
                    <c:v>0.37407952506309217</c:v>
                  </c:pt>
                  <c:pt idx="1">
                    <c:v>0.51446921329519035</c:v>
                  </c:pt>
                  <c:pt idx="2">
                    <c:v>0.34471390829415116</c:v>
                  </c:pt>
                  <c:pt idx="3">
                    <c:v>0.79257266453709296</c:v>
                  </c:pt>
                  <c:pt idx="4">
                    <c:v>1.2051333654709864</c:v>
                  </c:pt>
                  <c:pt idx="5">
                    <c:v>1.5662693819345739</c:v>
                  </c:pt>
                  <c:pt idx="7">
                    <c:v>0.35839921874914815</c:v>
                  </c:pt>
                  <c:pt idx="8">
                    <c:v>0.47969647211246325</c:v>
                  </c:pt>
                  <c:pt idx="9">
                    <c:v>0.75063306615149961</c:v>
                  </c:pt>
                  <c:pt idx="10">
                    <c:v>0.86030881083480748</c:v>
                  </c:pt>
                  <c:pt idx="11">
                    <c:v>1.0202730726904159</c:v>
                  </c:pt>
                  <c:pt idx="12">
                    <c:v>0.68935901257203236</c:v>
                  </c:pt>
                </c:numCache>
              </c:numRef>
            </c:plus>
            <c:minus>
              <c:numRef>
                <c:f>'Long Preexp'!$M$6:$Y$6</c:f>
                <c:numCache>
                  <c:formatCode>General</c:formatCode>
                  <c:ptCount val="13"/>
                  <c:pt idx="0">
                    <c:v>0.37407952506309217</c:v>
                  </c:pt>
                  <c:pt idx="1">
                    <c:v>0.51446921329519035</c:v>
                  </c:pt>
                  <c:pt idx="2">
                    <c:v>0.34471390829415116</c:v>
                  </c:pt>
                  <c:pt idx="3">
                    <c:v>0.79257266453709296</c:v>
                  </c:pt>
                  <c:pt idx="4">
                    <c:v>1.2051333654709864</c:v>
                  </c:pt>
                  <c:pt idx="5">
                    <c:v>1.5662693819345739</c:v>
                  </c:pt>
                  <c:pt idx="7">
                    <c:v>0.35839921874914815</c:v>
                  </c:pt>
                  <c:pt idx="8">
                    <c:v>0.47969647211246325</c:v>
                  </c:pt>
                  <c:pt idx="9">
                    <c:v>0.75063306615149961</c:v>
                  </c:pt>
                  <c:pt idx="10">
                    <c:v>0.86030881083480748</c:v>
                  </c:pt>
                  <c:pt idx="11">
                    <c:v>1.0202730726904159</c:v>
                  </c:pt>
                  <c:pt idx="12">
                    <c:v>0.68935901257203236</c:v>
                  </c:pt>
                </c:numCache>
              </c:numRef>
            </c:minus>
          </c:errBars>
          <c:cat>
            <c:numRef>
              <c:f>'Long Preexp'!$M$2:$Y$2</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'Long Preexp'!$M$3:$Y$3</c:f>
              <c:numCache>
                <c:formatCode>General</c:formatCode>
                <c:ptCount val="13"/>
                <c:pt idx="0">
                  <c:v>-0.59375</c:v>
                </c:pt>
                <c:pt idx="1">
                  <c:v>0.125</c:v>
                </c:pt>
                <c:pt idx="2">
                  <c:v>-2.5000000000000213E-3</c:v>
                </c:pt>
                <c:pt idx="3">
                  <c:v>2.17</c:v>
                </c:pt>
                <c:pt idx="4">
                  <c:v>1.675</c:v>
                </c:pt>
                <c:pt idx="5">
                  <c:v>4.7762500000000028</c:v>
                </c:pt>
                <c:pt idx="7">
                  <c:v>-1.0000000000000005E-2</c:v>
                </c:pt>
                <c:pt idx="8">
                  <c:v>0.16875000000000001</c:v>
                </c:pt>
                <c:pt idx="9">
                  <c:v>2.27</c:v>
                </c:pt>
                <c:pt idx="10">
                  <c:v>2.7075000000000014</c:v>
                </c:pt>
                <c:pt idx="11">
                  <c:v>4.3199999999999976</c:v>
                </c:pt>
                <c:pt idx="12">
                  <c:v>6.4887500000000014</c:v>
                </c:pt>
              </c:numCache>
            </c:numRef>
          </c:val>
          <c:smooth val="0"/>
          <c:extLst>
            <c:ext xmlns:c16="http://schemas.microsoft.com/office/drawing/2014/chart" uri="{C3380CC4-5D6E-409C-BE32-E72D297353CC}">
              <c16:uniqueId val="{00000000-3F39-4227-825A-610B86CB0347}"/>
            </c:ext>
          </c:extLst>
        </c:ser>
        <c:ser>
          <c:idx val="1"/>
          <c:order val="1"/>
          <c:tx>
            <c:strRef>
              <c:f>'Long Preexp'!$L$4</c:f>
              <c:strCache>
                <c:ptCount val="1"/>
                <c:pt idx="0">
                  <c:v>Blocked</c:v>
                </c:pt>
              </c:strCache>
            </c:strRef>
          </c:tx>
          <c:spPr>
            <a:ln w="12700">
              <a:solidFill>
                <a:schemeClr val="tx1"/>
              </a:solidFill>
            </a:ln>
          </c:spPr>
          <c:marker>
            <c:symbol val="square"/>
            <c:size val="5"/>
            <c:spPr>
              <a:solidFill>
                <a:schemeClr val="bg1"/>
              </a:solidFill>
              <a:ln>
                <a:solidFill>
                  <a:schemeClr val="tx1"/>
                </a:solidFill>
              </a:ln>
            </c:spPr>
          </c:marker>
          <c:errBars>
            <c:errDir val="y"/>
            <c:errBarType val="both"/>
            <c:errValType val="cust"/>
            <c:noEndCap val="0"/>
            <c:plus>
              <c:numRef>
                <c:f>'Long Preexp'!$M$7:$Y$7</c:f>
                <c:numCache>
                  <c:formatCode>General</c:formatCode>
                  <c:ptCount val="13"/>
                  <c:pt idx="0">
                    <c:v>0.262508078106996</c:v>
                  </c:pt>
                  <c:pt idx="1">
                    <c:v>0.62630845179169803</c:v>
                  </c:pt>
                  <c:pt idx="2">
                    <c:v>0.62911342805343395</c:v>
                  </c:pt>
                  <c:pt idx="3">
                    <c:v>1.2214532291788449</c:v>
                  </c:pt>
                  <c:pt idx="4">
                    <c:v>1.6847530552406951</c:v>
                  </c:pt>
                  <c:pt idx="5">
                    <c:v>1.7458818253863251</c:v>
                  </c:pt>
                  <c:pt idx="7">
                    <c:v>0.39967844217928133</c:v>
                  </c:pt>
                  <c:pt idx="8">
                    <c:v>0.39919018790853217</c:v>
                  </c:pt>
                  <c:pt idx="9">
                    <c:v>0.88724392683989994</c:v>
                  </c:pt>
                  <c:pt idx="10">
                    <c:v>0.92525548043858363</c:v>
                  </c:pt>
                  <c:pt idx="11">
                    <c:v>1.1046754764016746</c:v>
                  </c:pt>
                  <c:pt idx="12">
                    <c:v>0.81061075487459933</c:v>
                  </c:pt>
                </c:numCache>
              </c:numRef>
            </c:plus>
            <c:minus>
              <c:numRef>
                <c:f>'Long Preexp'!$M$7:$Y$7</c:f>
                <c:numCache>
                  <c:formatCode>General</c:formatCode>
                  <c:ptCount val="13"/>
                  <c:pt idx="0">
                    <c:v>0.262508078106996</c:v>
                  </c:pt>
                  <c:pt idx="1">
                    <c:v>0.62630845179169803</c:v>
                  </c:pt>
                  <c:pt idx="2">
                    <c:v>0.62911342805343395</c:v>
                  </c:pt>
                  <c:pt idx="3">
                    <c:v>1.2214532291788449</c:v>
                  </c:pt>
                  <c:pt idx="4">
                    <c:v>1.6847530552406951</c:v>
                  </c:pt>
                  <c:pt idx="5">
                    <c:v>1.7458818253863251</c:v>
                  </c:pt>
                  <c:pt idx="7">
                    <c:v>0.39967844217928133</c:v>
                  </c:pt>
                  <c:pt idx="8">
                    <c:v>0.39919018790853217</c:v>
                  </c:pt>
                  <c:pt idx="9">
                    <c:v>0.88724392683989994</c:v>
                  </c:pt>
                  <c:pt idx="10">
                    <c:v>0.92525548043858363</c:v>
                  </c:pt>
                  <c:pt idx="11">
                    <c:v>1.1046754764016746</c:v>
                  </c:pt>
                  <c:pt idx="12">
                    <c:v>0.81061075487459933</c:v>
                  </c:pt>
                </c:numCache>
              </c:numRef>
            </c:minus>
          </c:errBars>
          <c:cat>
            <c:numRef>
              <c:f>'Long Preexp'!$M$2:$Y$2</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'Long Preexp'!$M$4:$Y$4</c:f>
              <c:numCache>
                <c:formatCode>General</c:formatCode>
                <c:ptCount val="13"/>
                <c:pt idx="0">
                  <c:v>-0.32625000000000015</c:v>
                </c:pt>
                <c:pt idx="1">
                  <c:v>-0.12875</c:v>
                </c:pt>
                <c:pt idx="2">
                  <c:v>1.1387499999999999</c:v>
                </c:pt>
                <c:pt idx="3">
                  <c:v>3.4312499999999884</c:v>
                </c:pt>
                <c:pt idx="4">
                  <c:v>4.4300000000000024</c:v>
                </c:pt>
                <c:pt idx="5">
                  <c:v>6.1362500000000004</c:v>
                </c:pt>
                <c:pt idx="7">
                  <c:v>-3.2857142857142821E-2</c:v>
                </c:pt>
                <c:pt idx="8">
                  <c:v>1.26</c:v>
                </c:pt>
                <c:pt idx="9">
                  <c:v>2.5842857142857141</c:v>
                </c:pt>
                <c:pt idx="10">
                  <c:v>6.0657142857142858</c:v>
                </c:pt>
                <c:pt idx="11">
                  <c:v>6.25</c:v>
                </c:pt>
                <c:pt idx="12">
                  <c:v>9.01</c:v>
                </c:pt>
              </c:numCache>
            </c:numRef>
          </c:val>
          <c:smooth val="0"/>
          <c:extLst>
            <c:ext xmlns:c16="http://schemas.microsoft.com/office/drawing/2014/chart" uri="{C3380CC4-5D6E-409C-BE32-E72D297353CC}">
              <c16:uniqueId val="{00000001-3F39-4227-825A-610B86CB0347}"/>
            </c:ext>
          </c:extLst>
        </c:ser>
        <c:dLbls>
          <c:showLegendKey val="0"/>
          <c:showVal val="0"/>
          <c:showCatName val="0"/>
          <c:showSerName val="0"/>
          <c:showPercent val="0"/>
          <c:showBubbleSize val="0"/>
        </c:dLbls>
        <c:marker val="1"/>
        <c:smooth val="0"/>
        <c:axId val="1398883312"/>
        <c:axId val="1398883856"/>
      </c:lineChart>
      <c:catAx>
        <c:axId val="1398883312"/>
        <c:scaling>
          <c:orientation val="minMax"/>
        </c:scaling>
        <c:delete val="0"/>
        <c:axPos val="b"/>
        <c:title>
          <c:tx>
            <c:rich>
              <a:bodyPr/>
              <a:lstStyle/>
              <a:p>
                <a:pPr>
                  <a:defRPr/>
                </a:pPr>
                <a:r>
                  <a:rPr lang="en-GB"/>
                  <a:t>Blocks of 5 trials</a:t>
                </a:r>
              </a:p>
            </c:rich>
          </c:tx>
          <c:layout/>
          <c:overlay val="0"/>
        </c:title>
        <c:numFmt formatCode="General" sourceLinked="1"/>
        <c:majorTickMark val="none"/>
        <c:minorTickMark val="none"/>
        <c:tickLblPos val="low"/>
        <c:crossAx val="1398883856"/>
        <c:crosses val="autoZero"/>
        <c:auto val="1"/>
        <c:lblAlgn val="ctr"/>
        <c:lblOffset val="100"/>
        <c:noMultiLvlLbl val="0"/>
      </c:catAx>
      <c:valAx>
        <c:axId val="1398883856"/>
        <c:scaling>
          <c:orientation val="minMax"/>
          <c:max val="10"/>
        </c:scaling>
        <c:delete val="0"/>
        <c:axPos val="l"/>
        <c:title>
          <c:tx>
            <c:rich>
              <a:bodyPr/>
              <a:lstStyle/>
              <a:p>
                <a:pPr>
                  <a:defRPr/>
                </a:pPr>
                <a:r>
                  <a:rPr lang="es-ES"/>
                  <a:t>CS-PreCS</a:t>
                </a:r>
                <a:r>
                  <a:rPr lang="es-ES" baseline="0"/>
                  <a:t> magazine time (sec)</a:t>
                </a:r>
                <a:endParaRPr lang="es-ES"/>
              </a:p>
            </c:rich>
          </c:tx>
          <c:layout>
            <c:manualLayout>
              <c:xMode val="edge"/>
              <c:yMode val="edge"/>
              <c:x val="2.4829298572315334E-2"/>
              <c:y val="5.1612312097351468E-2"/>
            </c:manualLayout>
          </c:layout>
          <c:overlay val="0"/>
        </c:title>
        <c:numFmt formatCode="General" sourceLinked="1"/>
        <c:majorTickMark val="out"/>
        <c:minorTickMark val="none"/>
        <c:tickLblPos val="nextTo"/>
        <c:crossAx val="1398883312"/>
        <c:crosses val="autoZero"/>
        <c:crossBetween val="between"/>
      </c:valAx>
      <c:spPr>
        <a:noFill/>
        <a:ln>
          <a:noFill/>
        </a:ln>
      </c:spPr>
    </c:plotArea>
    <c:legend>
      <c:legendPos val="r"/>
      <c:layout>
        <c:manualLayout>
          <c:xMode val="edge"/>
          <c:yMode val="edge"/>
          <c:x val="0.76801800377362472"/>
          <c:y val="0.23803114137759807"/>
          <c:w val="0.22127249154096701"/>
          <c:h val="0.1725863658934525"/>
        </c:manualLayout>
      </c:layout>
      <c:overlay val="0"/>
    </c:legend>
    <c:plotVisOnly val="1"/>
    <c:dispBlanksAs val="gap"/>
    <c:showDLblsOverMax val="0"/>
  </c:chart>
  <c:spPr>
    <a:noFill/>
    <a:ln>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'I+'!$C$28</c:f>
              <c:strCache>
                <c:ptCount val="1"/>
                <c:pt idx="0">
                  <c:v>Intermixed</c:v>
                </c:pt>
              </c:strCache>
            </c:strRef>
          </c:tx>
          <c:spPr>
            <a:ln w="12700">
              <a:solidFill>
                <a:schemeClr val="tx1"/>
              </a:solidFill>
            </a:ln>
          </c:spPr>
          <c:marker>
            <c:symbol val="square"/>
            <c:size val="5"/>
            <c:spPr>
              <a:solidFill>
                <a:schemeClr val="tx1"/>
              </a:solidFill>
              <a:ln w="12700">
                <a:solidFill>
                  <a:schemeClr val="tx1"/>
                </a:solidFill>
              </a:ln>
            </c:spPr>
          </c:marker>
          <c:errBars>
            <c:errDir val="y"/>
            <c:errBarType val="both"/>
            <c:errValType val="cust"/>
            <c:noEndCap val="0"/>
            <c:plus>
              <c:numRef>
                <c:f>'I+'!$D$31:$I$31</c:f>
                <c:numCache>
                  <c:formatCode>General</c:formatCode>
                  <c:ptCount val="6"/>
                  <c:pt idx="0">
                    <c:v>0.37835060366402129</c:v>
                  </c:pt>
                  <c:pt idx="1">
                    <c:v>0.74692547428870992</c:v>
                  </c:pt>
                  <c:pt idx="2">
                    <c:v>0.65964459936752873</c:v>
                  </c:pt>
                  <c:pt idx="3">
                    <c:v>1.1286669754246117</c:v>
                  </c:pt>
                  <c:pt idx="4">
                    <c:v>0.91319048180574347</c:v>
                  </c:pt>
                  <c:pt idx="5">
                    <c:v>1.010297079771064</c:v>
                  </c:pt>
                </c:numCache>
              </c:numRef>
            </c:plus>
            <c:minus>
              <c:numRef>
                <c:f>'I+'!$D$31:$I$31</c:f>
                <c:numCache>
                  <c:formatCode>General</c:formatCode>
                  <c:ptCount val="6"/>
                  <c:pt idx="0">
                    <c:v>0.37835060366402129</c:v>
                  </c:pt>
                  <c:pt idx="1">
                    <c:v>0.74692547428870992</c:v>
                  </c:pt>
                  <c:pt idx="2">
                    <c:v>0.65964459936752873</c:v>
                  </c:pt>
                  <c:pt idx="3">
                    <c:v>1.1286669754246117</c:v>
                  </c:pt>
                  <c:pt idx="4">
                    <c:v>0.91319048180574347</c:v>
                  </c:pt>
                  <c:pt idx="5">
                    <c:v>1.010297079771064</c:v>
                  </c:pt>
                </c:numCache>
              </c:numRef>
            </c:minus>
          </c:errBars>
          <c:cat>
            <c:numRef>
              <c:f>'I+'!$D$27:$I$27</c:f>
              <c:numCache>
                <c:formatCode>General</c:formatCode>
                <c:ptCount val="6"/>
                <c:pt idx="0">
                  <c:v>1</c:v>
                </c:pt>
                <c:pt idx="1">
                  <c:v>2</c:v>
                </c:pt>
                <c:pt idx="2">
                  <c:v>3</c:v>
                </c:pt>
                <c:pt idx="3">
                  <c:v>4</c:v>
                </c:pt>
                <c:pt idx="4">
                  <c:v>5</c:v>
                </c:pt>
                <c:pt idx="5">
                  <c:v>6</c:v>
                </c:pt>
              </c:numCache>
            </c:numRef>
          </c:cat>
          <c:val>
            <c:numRef>
              <c:f>'I+'!$D$28:$I$28</c:f>
              <c:numCache>
                <c:formatCode>General</c:formatCode>
                <c:ptCount val="6"/>
                <c:pt idx="0">
                  <c:v>-0.74416666666666664</c:v>
                </c:pt>
                <c:pt idx="1">
                  <c:v>1.5541666666666669</c:v>
                </c:pt>
                <c:pt idx="2">
                  <c:v>2.5391666666666666</c:v>
                </c:pt>
                <c:pt idx="3">
                  <c:v>4.5216666666666665</c:v>
                </c:pt>
                <c:pt idx="4">
                  <c:v>4.8824999999999994</c:v>
                </c:pt>
                <c:pt idx="5">
                  <c:v>6.0324999999999998</c:v>
                </c:pt>
              </c:numCache>
            </c:numRef>
          </c:val>
          <c:smooth val="0"/>
          <c:extLst>
            <c:ext xmlns:c16="http://schemas.microsoft.com/office/drawing/2014/chart" uri="{C3380CC4-5D6E-409C-BE32-E72D297353CC}">
              <c16:uniqueId val="{00000000-B1F6-4A77-AF02-4A7186355027}"/>
            </c:ext>
          </c:extLst>
        </c:ser>
        <c:ser>
          <c:idx val="1"/>
          <c:order val="1"/>
          <c:tx>
            <c:strRef>
              <c:f>'I+'!$C$29</c:f>
              <c:strCache>
                <c:ptCount val="1"/>
                <c:pt idx="0">
                  <c:v>Blocked</c:v>
                </c:pt>
              </c:strCache>
            </c:strRef>
          </c:tx>
          <c:spPr>
            <a:ln w="12700">
              <a:solidFill>
                <a:schemeClr val="tx1"/>
              </a:solidFill>
            </a:ln>
          </c:spPr>
          <c:marker>
            <c:symbol val="square"/>
            <c:size val="5"/>
            <c:spPr>
              <a:solidFill>
                <a:schemeClr val="bg1"/>
              </a:solidFill>
              <a:ln w="12700">
                <a:solidFill>
                  <a:schemeClr val="tx1"/>
                </a:solidFill>
              </a:ln>
            </c:spPr>
          </c:marker>
          <c:errBars>
            <c:errDir val="y"/>
            <c:errBarType val="both"/>
            <c:errValType val="cust"/>
            <c:noEndCap val="0"/>
            <c:plus>
              <c:numRef>
                <c:f>'I+'!$D$32:$I$32</c:f>
                <c:numCache>
                  <c:formatCode>General</c:formatCode>
                  <c:ptCount val="6"/>
                  <c:pt idx="0">
                    <c:v>0.31130468364707597</c:v>
                  </c:pt>
                  <c:pt idx="1">
                    <c:v>0.73632825080210873</c:v>
                  </c:pt>
                  <c:pt idx="2">
                    <c:v>0.90395958388244857</c:v>
                  </c:pt>
                  <c:pt idx="3">
                    <c:v>1.3288217943392979</c:v>
                  </c:pt>
                  <c:pt idx="4">
                    <c:v>1.0192073011548104</c:v>
                  </c:pt>
                  <c:pt idx="5">
                    <c:v>1.0951140340050196</c:v>
                  </c:pt>
                </c:numCache>
              </c:numRef>
            </c:plus>
            <c:minus>
              <c:numRef>
                <c:f>'I+'!$D$32:$I$32</c:f>
                <c:numCache>
                  <c:formatCode>General</c:formatCode>
                  <c:ptCount val="6"/>
                  <c:pt idx="0">
                    <c:v>0.31130468364707597</c:v>
                  </c:pt>
                  <c:pt idx="1">
                    <c:v>0.73632825080210873</c:v>
                  </c:pt>
                  <c:pt idx="2">
                    <c:v>0.90395958388244857</c:v>
                  </c:pt>
                  <c:pt idx="3">
                    <c:v>1.3288217943392979</c:v>
                  </c:pt>
                  <c:pt idx="4">
                    <c:v>1.0192073011548104</c:v>
                  </c:pt>
                  <c:pt idx="5">
                    <c:v>1.0951140340050196</c:v>
                  </c:pt>
                </c:numCache>
              </c:numRef>
            </c:minus>
          </c:errBars>
          <c:cat>
            <c:numRef>
              <c:f>'I+'!$D$27:$I$27</c:f>
              <c:numCache>
                <c:formatCode>General</c:formatCode>
                <c:ptCount val="6"/>
                <c:pt idx="0">
                  <c:v>1</c:v>
                </c:pt>
                <c:pt idx="1">
                  <c:v>2</c:v>
                </c:pt>
                <c:pt idx="2">
                  <c:v>3</c:v>
                </c:pt>
                <c:pt idx="3">
                  <c:v>4</c:v>
                </c:pt>
                <c:pt idx="4">
                  <c:v>5</c:v>
                </c:pt>
                <c:pt idx="5">
                  <c:v>6</c:v>
                </c:pt>
              </c:numCache>
            </c:numRef>
          </c:cat>
          <c:val>
            <c:numRef>
              <c:f>'I+'!$D$29:$I$29</c:f>
              <c:numCache>
                <c:formatCode>General</c:formatCode>
                <c:ptCount val="6"/>
                <c:pt idx="0">
                  <c:v>0.49</c:v>
                </c:pt>
                <c:pt idx="1">
                  <c:v>1.3633333333333333</c:v>
                </c:pt>
                <c:pt idx="2">
                  <c:v>2.2533333333333334</c:v>
                </c:pt>
                <c:pt idx="3">
                  <c:v>5.0558333333333332</c:v>
                </c:pt>
                <c:pt idx="4">
                  <c:v>3.8425000000000007</c:v>
                </c:pt>
                <c:pt idx="5">
                  <c:v>5.9166666666666679</c:v>
                </c:pt>
              </c:numCache>
            </c:numRef>
          </c:val>
          <c:smooth val="0"/>
          <c:extLst>
            <c:ext xmlns:c16="http://schemas.microsoft.com/office/drawing/2014/chart" uri="{C3380CC4-5D6E-409C-BE32-E72D297353CC}">
              <c16:uniqueId val="{00000001-B1F6-4A77-AF02-4A7186355027}"/>
            </c:ext>
          </c:extLst>
        </c:ser>
        <c:ser>
          <c:idx val="2"/>
          <c:order val="2"/>
          <c:tx>
            <c:strRef>
              <c:f>'I+'!#REF!</c:f>
              <c:strCache>
                <c:ptCount val="1"/>
                <c:pt idx="0">
                  <c:v>#REF!</c:v>
                </c:pt>
              </c:strCache>
            </c:strRef>
          </c:tx>
          <c:spPr>
            <a:ln w="12700">
              <a:solidFill>
                <a:schemeClr val="tx1"/>
              </a:solidFill>
            </a:ln>
          </c:spPr>
          <c:marker>
            <c:symbol val="circle"/>
            <c:size val="5"/>
            <c:spPr>
              <a:solidFill>
                <a:schemeClr val="tx1"/>
              </a:solidFill>
              <a:ln w="12700">
                <a:solidFill>
                  <a:schemeClr val="tx1"/>
                </a:solidFill>
              </a:ln>
            </c:spPr>
          </c:marker>
          <c:errBars>
            <c:errDir val="y"/>
            <c:errBarType val="both"/>
            <c:errValType val="cust"/>
            <c:noEndCap val="0"/>
            <c:plus>
              <c:numRef>
                <c:f>'I+'!#REF!</c:f>
                <c:numCache>
                  <c:formatCode>General</c:formatCode>
                  <c:ptCount val="1"/>
                  <c:pt idx="0">
                    <c:v>1</c:v>
                  </c:pt>
                </c:numCache>
              </c:numRef>
            </c:plus>
            <c:minus>
              <c:numRef>
                <c:f>'I+'!#REF!</c:f>
                <c:numCache>
                  <c:formatCode>General</c:formatCode>
                  <c:ptCount val="1"/>
                  <c:pt idx="0">
                    <c:v>1</c:v>
                  </c:pt>
                </c:numCache>
              </c:numRef>
            </c:minus>
          </c:errBars>
          <c:cat>
            <c:numRef>
              <c:f>'I+'!$D$27:$I$27</c:f>
              <c:numCache>
                <c:formatCode>General</c:formatCode>
                <c:ptCount val="6"/>
                <c:pt idx="0">
                  <c:v>1</c:v>
                </c:pt>
                <c:pt idx="1">
                  <c:v>2</c:v>
                </c:pt>
                <c:pt idx="2">
                  <c:v>3</c:v>
                </c:pt>
                <c:pt idx="3">
                  <c:v>4</c:v>
                </c:pt>
                <c:pt idx="4">
                  <c:v>5</c:v>
                </c:pt>
                <c:pt idx="5">
                  <c:v>6</c:v>
                </c:pt>
              </c:numCache>
            </c:numRef>
          </c:cat>
          <c:val>
            <c:numRef>
              <c:f>'I+'!#REF!</c:f>
              <c:numCache>
                <c:formatCode>General</c:formatCode>
                <c:ptCount val="1"/>
                <c:pt idx="0">
                  <c:v>1</c:v>
                </c:pt>
              </c:numCache>
            </c:numRef>
          </c:val>
          <c:smooth val="0"/>
          <c:extLst>
            <c:ext xmlns:c16="http://schemas.microsoft.com/office/drawing/2014/chart" uri="{C3380CC4-5D6E-409C-BE32-E72D297353CC}">
              <c16:uniqueId val="{00000002-B1F6-4A77-AF02-4A7186355027}"/>
            </c:ext>
          </c:extLst>
        </c:ser>
        <c:ser>
          <c:idx val="3"/>
          <c:order val="3"/>
          <c:tx>
            <c:strRef>
              <c:f>'I+'!#REF!</c:f>
              <c:strCache>
                <c:ptCount val="1"/>
                <c:pt idx="0">
                  <c:v>#REF!</c:v>
                </c:pt>
              </c:strCache>
            </c:strRef>
          </c:tx>
          <c:spPr>
            <a:ln w="12700">
              <a:solidFill>
                <a:schemeClr val="tx1"/>
              </a:solidFill>
            </a:ln>
          </c:spPr>
          <c:marker>
            <c:symbol val="circle"/>
            <c:size val="5"/>
            <c:spPr>
              <a:solidFill>
                <a:schemeClr val="bg1"/>
              </a:solidFill>
              <a:ln w="12700">
                <a:solidFill>
                  <a:schemeClr val="tx1"/>
                </a:solidFill>
              </a:ln>
            </c:spPr>
          </c:marker>
          <c:errBars>
            <c:errDir val="y"/>
            <c:errBarType val="both"/>
            <c:errValType val="cust"/>
            <c:noEndCap val="0"/>
            <c:plus>
              <c:numRef>
                <c:f>'I+'!#REF!</c:f>
                <c:numCache>
                  <c:formatCode>General</c:formatCode>
                  <c:ptCount val="1"/>
                  <c:pt idx="0">
                    <c:v>1</c:v>
                  </c:pt>
                </c:numCache>
              </c:numRef>
            </c:plus>
            <c:minus>
              <c:numRef>
                <c:f>'I+'!#REF!</c:f>
                <c:numCache>
                  <c:formatCode>General</c:formatCode>
                  <c:ptCount val="1"/>
                  <c:pt idx="0">
                    <c:v>1</c:v>
                  </c:pt>
                </c:numCache>
              </c:numRef>
            </c:minus>
          </c:errBars>
          <c:cat>
            <c:numRef>
              <c:f>'I+'!$D$27:$I$27</c:f>
              <c:numCache>
                <c:formatCode>General</c:formatCode>
                <c:ptCount val="6"/>
                <c:pt idx="0">
                  <c:v>1</c:v>
                </c:pt>
                <c:pt idx="1">
                  <c:v>2</c:v>
                </c:pt>
                <c:pt idx="2">
                  <c:v>3</c:v>
                </c:pt>
                <c:pt idx="3">
                  <c:v>4</c:v>
                </c:pt>
                <c:pt idx="4">
                  <c:v>5</c:v>
                </c:pt>
                <c:pt idx="5">
                  <c:v>6</c:v>
                </c:pt>
              </c:numCache>
            </c:numRef>
          </c:cat>
          <c:val>
            <c:numRef>
              <c:f>'I+'!#REF!</c:f>
              <c:numCache>
                <c:formatCode>General</c:formatCode>
                <c:ptCount val="1"/>
                <c:pt idx="0">
                  <c:v>1</c:v>
                </c:pt>
              </c:numCache>
            </c:numRef>
          </c:val>
          <c:smooth val="0"/>
          <c:extLst>
            <c:ext xmlns:c16="http://schemas.microsoft.com/office/drawing/2014/chart" uri="{C3380CC4-5D6E-409C-BE32-E72D297353CC}">
              <c16:uniqueId val="{00000003-B1F6-4A77-AF02-4A7186355027}"/>
            </c:ext>
          </c:extLst>
        </c:ser>
        <c:dLbls>
          <c:showLegendKey val="0"/>
          <c:showVal val="0"/>
          <c:showCatName val="0"/>
          <c:showSerName val="0"/>
          <c:showPercent val="0"/>
          <c:showBubbleSize val="0"/>
        </c:dLbls>
        <c:marker val="1"/>
        <c:smooth val="0"/>
        <c:axId val="1398884944"/>
        <c:axId val="1398886576"/>
      </c:lineChart>
      <c:catAx>
        <c:axId val="1398884944"/>
        <c:scaling>
          <c:orientation val="minMax"/>
        </c:scaling>
        <c:delete val="0"/>
        <c:axPos val="b"/>
        <c:title>
          <c:tx>
            <c:rich>
              <a:bodyPr/>
              <a:lstStyle/>
              <a:p>
                <a:pPr>
                  <a:defRPr/>
                </a:pPr>
                <a:r>
                  <a:rPr lang="en-US"/>
                  <a:t>Blocks of 5 trials</a:t>
                </a:r>
              </a:p>
            </c:rich>
          </c:tx>
          <c:layout/>
          <c:overlay val="0"/>
        </c:title>
        <c:numFmt formatCode="General" sourceLinked="0"/>
        <c:majorTickMark val="none"/>
        <c:minorTickMark val="none"/>
        <c:tickLblPos val="low"/>
        <c:crossAx val="1398886576"/>
        <c:crosses val="autoZero"/>
        <c:auto val="1"/>
        <c:lblAlgn val="ctr"/>
        <c:lblOffset val="100"/>
        <c:noMultiLvlLbl val="0"/>
      </c:catAx>
      <c:valAx>
        <c:axId val="1398886576"/>
        <c:scaling>
          <c:orientation val="minMax"/>
          <c:min val="-1"/>
        </c:scaling>
        <c:delete val="0"/>
        <c:axPos val="l"/>
        <c:title>
          <c:tx>
            <c:rich>
              <a:bodyPr/>
              <a:lstStyle/>
              <a:p>
                <a:pPr>
                  <a:defRPr/>
                </a:pPr>
                <a:r>
                  <a:rPr lang="en-GB"/>
                  <a:t>CS - PreCS magazine time (sec) </a:t>
                </a:r>
              </a:p>
            </c:rich>
          </c:tx>
          <c:layout>
            <c:manualLayout>
              <c:xMode val="edge"/>
              <c:yMode val="edge"/>
              <c:x val="2.255109231853418E-2"/>
              <c:y val="4.4652960046660833E-2"/>
            </c:manualLayout>
          </c:layout>
          <c:overlay val="0"/>
        </c:title>
        <c:numFmt formatCode="General" sourceLinked="1"/>
        <c:majorTickMark val="out"/>
        <c:minorTickMark val="none"/>
        <c:tickLblPos val="nextTo"/>
        <c:crossAx val="1398884944"/>
        <c:crosses val="autoZero"/>
        <c:crossBetween val="between"/>
      </c:valAx>
    </c:plotArea>
    <c:legend>
      <c:legendPos val="r"/>
      <c:legendEntry>
        <c:idx val="2"/>
        <c:delete val="1"/>
      </c:legendEntry>
      <c:legendEntry>
        <c:idx val="3"/>
        <c:delete val="1"/>
      </c:legendEntry>
      <c:layout>
        <c:manualLayout>
          <c:xMode val="edge"/>
          <c:yMode val="edge"/>
          <c:x val="0.75011902581944701"/>
          <c:y val="0.30482830271216094"/>
          <c:w val="0.23296765494165239"/>
          <c:h val="0.17738043161271508"/>
        </c:manualLayout>
      </c:layout>
      <c:overlay val="0"/>
    </c:legend>
    <c:plotVisOnly val="1"/>
    <c:dispBlanksAs val="gap"/>
    <c:showDLblsOverMax val="0"/>
  </c:chart>
  <c:spPr>
    <a:ln>
      <a:noFill/>
    </a:ln>
  </c:spPr>
  <c:txPr>
    <a:bodyPr/>
    <a:lstStyle/>
    <a:p>
      <a:pPr>
        <a:defRPr sz="1200" b="0">
          <a:ln>
            <a:noFill/>
          </a:ln>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45909645909648"/>
          <c:y val="4.8908187190586899E-2"/>
          <c:w val="0.68981684981684988"/>
          <c:h val="0.83803007404418839"/>
        </c:manualLayout>
      </c:layout>
      <c:barChart>
        <c:barDir val="col"/>
        <c:grouping val="clustered"/>
        <c:varyColors val="0"/>
        <c:ser>
          <c:idx val="0"/>
          <c:order val="0"/>
          <c:spPr>
            <a:solidFill>
              <a:sysClr val="window" lastClr="FFFFFF"/>
            </a:solidFill>
            <a:ln w="12700">
              <a:solidFill>
                <a:sysClr val="windowText" lastClr="000000"/>
              </a:solidFill>
            </a:ln>
            <a:effectLst/>
          </c:spPr>
          <c:invertIfNegative val="0"/>
          <c:errBars>
            <c:errBarType val="both"/>
            <c:errValType val="cust"/>
            <c:noEndCap val="0"/>
            <c:plus>
              <c:numRef>
                <c:f>Test!$Q$32:$Q$33</c:f>
                <c:numCache>
                  <c:formatCode>General</c:formatCode>
                  <c:ptCount val="2"/>
                  <c:pt idx="0">
                    <c:v>0.48575965794433301</c:v>
                  </c:pt>
                  <c:pt idx="1">
                    <c:v>0.36116691488014285</c:v>
                  </c:pt>
                </c:numCache>
              </c:numRef>
            </c:plus>
            <c:minus>
              <c:numRef>
                <c:f>Test!$Q$32:$Q$33</c:f>
                <c:numCache>
                  <c:formatCode>General</c:formatCode>
                  <c:ptCount val="2"/>
                  <c:pt idx="0">
                    <c:v>0.48575965794433301</c:v>
                  </c:pt>
                  <c:pt idx="1">
                    <c:v>0.36116691488014285</c:v>
                  </c:pt>
                </c:numCache>
              </c:numRef>
            </c:minus>
            <c:spPr>
              <a:noFill/>
              <a:ln w="9525" cap="flat" cmpd="sng" algn="ctr">
                <a:solidFill>
                  <a:schemeClr val="tx1">
                    <a:lumMod val="65000"/>
                    <a:lumOff val="35000"/>
                  </a:schemeClr>
                </a:solidFill>
                <a:round/>
              </a:ln>
              <a:effectLst/>
            </c:spPr>
          </c:errBars>
          <c:cat>
            <c:strRef>
              <c:f>Test!$R$29:$R$30</c:f>
              <c:strCache>
                <c:ptCount val="2"/>
                <c:pt idx="0">
                  <c:v>Intermixed</c:v>
                </c:pt>
                <c:pt idx="1">
                  <c:v>Blocked</c:v>
                </c:pt>
              </c:strCache>
            </c:strRef>
          </c:cat>
          <c:val>
            <c:numRef>
              <c:f>Test!$Q$29:$Q$30</c:f>
              <c:numCache>
                <c:formatCode>General</c:formatCode>
                <c:ptCount val="2"/>
                <c:pt idx="0">
                  <c:v>2.8180303030303042</c:v>
                </c:pt>
                <c:pt idx="1">
                  <c:v>1.2483333333333335</c:v>
                </c:pt>
              </c:numCache>
            </c:numRef>
          </c:val>
          <c:extLst>
            <c:ext xmlns:c16="http://schemas.microsoft.com/office/drawing/2014/chart" uri="{C3380CC4-5D6E-409C-BE32-E72D297353CC}">
              <c16:uniqueId val="{00000000-1D99-4159-8910-B57F64D09F71}"/>
            </c:ext>
          </c:extLst>
        </c:ser>
        <c:dLbls>
          <c:showLegendKey val="0"/>
          <c:showVal val="0"/>
          <c:showCatName val="0"/>
          <c:showSerName val="0"/>
          <c:showPercent val="0"/>
          <c:showBubbleSize val="0"/>
        </c:dLbls>
        <c:gapWidth val="219"/>
        <c:overlap val="-27"/>
        <c:axId val="1398888752"/>
        <c:axId val="1314417088"/>
      </c:barChart>
      <c:catAx>
        <c:axId val="1398888752"/>
        <c:scaling>
          <c:orientation val="minMax"/>
        </c:scaling>
        <c:delete val="0"/>
        <c:axPos val="b"/>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4417088"/>
        <c:crosses val="autoZero"/>
        <c:auto val="1"/>
        <c:lblAlgn val="ctr"/>
        <c:lblOffset val="100"/>
        <c:noMultiLvlLbl val="0"/>
      </c:catAx>
      <c:valAx>
        <c:axId val="1314417088"/>
        <c:scaling>
          <c:orientation val="minMax"/>
          <c:max val="4"/>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sz="1200">
                    <a:solidFill>
                      <a:sysClr val="windowText" lastClr="000000"/>
                    </a:solidFill>
                    <a:latin typeface="Times New Roman" panose="02020603050405020304" pitchFamily="18" charset="0"/>
                    <a:cs typeface="Times New Roman" panose="02020603050405020304" pitchFamily="18" charset="0"/>
                  </a:rPr>
                  <a:t>CS-PreCS magazine time</a:t>
                </a:r>
                <a:r>
                  <a:rPr lang="es-ES" sz="1200" baseline="0">
                    <a:solidFill>
                      <a:sysClr val="windowText" lastClr="000000"/>
                    </a:solidFill>
                    <a:latin typeface="Times New Roman" panose="02020603050405020304" pitchFamily="18" charset="0"/>
                    <a:cs typeface="Times New Roman" panose="02020603050405020304" pitchFamily="18" charset="0"/>
                  </a:rPr>
                  <a:t> </a:t>
                </a:r>
                <a:r>
                  <a:rPr lang="es-ES" sz="1200">
                    <a:solidFill>
                      <a:sysClr val="windowText" lastClr="000000"/>
                    </a:solidFill>
                    <a:latin typeface="Times New Roman" panose="02020603050405020304" pitchFamily="18" charset="0"/>
                    <a:cs typeface="Times New Roman" panose="02020603050405020304" pitchFamily="18" charset="0"/>
                  </a:rPr>
                  <a:t>(sec)</a:t>
                </a:r>
              </a:p>
            </c:rich>
          </c:tx>
          <c:layout>
            <c:manualLayout>
              <c:xMode val="edge"/>
              <c:yMode val="edge"/>
              <c:x val="5.6990183919317774E-2"/>
              <c:y val="8.7682213784710347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8888752"/>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0.22292</cdr:x>
      <cdr:y>0.07813</cdr:y>
    </cdr:from>
    <cdr:to>
      <cdr:x>0.30625</cdr:x>
      <cdr:y>0.19271</cdr:y>
    </cdr:to>
    <cdr:sp macro="" textlink="">
      <cdr:nvSpPr>
        <cdr:cNvPr id="2" name="TextBox 1"/>
        <cdr:cNvSpPr txBox="1"/>
      </cdr:nvSpPr>
      <cdr:spPr>
        <a:xfrm xmlns:a="http://schemas.openxmlformats.org/drawingml/2006/main">
          <a:off x="1019175" y="214313"/>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X+</a:t>
          </a:r>
        </a:p>
      </cdr:txBody>
    </cdr:sp>
  </cdr:relSizeAnchor>
  <cdr:relSizeAnchor xmlns:cdr="http://schemas.openxmlformats.org/drawingml/2006/chartDrawing">
    <cdr:from>
      <cdr:x>0.54375</cdr:x>
      <cdr:y>0.07813</cdr:y>
    </cdr:from>
    <cdr:to>
      <cdr:x>0.62708</cdr:x>
      <cdr:y>0.19271</cdr:y>
    </cdr:to>
    <cdr:sp macro="" textlink="">
      <cdr:nvSpPr>
        <cdr:cNvPr id="3" name="TextBox 2"/>
        <cdr:cNvSpPr txBox="1"/>
      </cdr:nvSpPr>
      <cdr:spPr>
        <a:xfrm xmlns:a="http://schemas.openxmlformats.org/drawingml/2006/main">
          <a:off x="2486025" y="214313"/>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0.22292</cdr:x>
      <cdr:y>0.07813</cdr:y>
    </cdr:from>
    <cdr:to>
      <cdr:x>0.30625</cdr:x>
      <cdr:y>0.19271</cdr:y>
    </cdr:to>
    <cdr:sp macro="" textlink="">
      <cdr:nvSpPr>
        <cdr:cNvPr id="2" name="TextBox 1"/>
        <cdr:cNvSpPr txBox="1"/>
      </cdr:nvSpPr>
      <cdr:spPr>
        <a:xfrm xmlns:a="http://schemas.openxmlformats.org/drawingml/2006/main">
          <a:off x="1019175" y="214313"/>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X+</a:t>
          </a:r>
        </a:p>
      </cdr:txBody>
    </cdr:sp>
  </cdr:relSizeAnchor>
  <cdr:relSizeAnchor xmlns:cdr="http://schemas.openxmlformats.org/drawingml/2006/chartDrawing">
    <cdr:from>
      <cdr:x>0.54375</cdr:x>
      <cdr:y>0.07813</cdr:y>
    </cdr:from>
    <cdr:to>
      <cdr:x>0.62708</cdr:x>
      <cdr:y>0.19271</cdr:y>
    </cdr:to>
    <cdr:sp macro="" textlink="">
      <cdr:nvSpPr>
        <cdr:cNvPr id="3" name="TextBox 2"/>
        <cdr:cNvSpPr txBox="1"/>
      </cdr:nvSpPr>
      <cdr:spPr>
        <a:xfrm xmlns:a="http://schemas.openxmlformats.org/drawingml/2006/main">
          <a:off x="2486025" y="214313"/>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0746-A9E4-4CAC-AF2E-D668F62C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10489</Words>
  <Characters>57804</Characters>
  <Application>Microsoft Office Word</Application>
  <DocSecurity>0</DocSecurity>
  <Lines>481</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Method</vt:lpstr>
      <vt:lpstr>Method</vt:lpstr>
    </vt:vector>
  </TitlesOfParts>
  <Company>U.B. Psico. Bàsica</Company>
  <LinksUpToDate>false</LinksUpToDate>
  <CharactersWithSpaces>68157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creator>talvarez</dc:creator>
  <cp:lastModifiedBy>Prados, Jose (Dr.)</cp:lastModifiedBy>
  <cp:revision>9</cp:revision>
  <cp:lastPrinted>2020-11-20T08:38:00Z</cp:lastPrinted>
  <dcterms:created xsi:type="dcterms:W3CDTF">2020-11-24T13:45:00Z</dcterms:created>
  <dcterms:modified xsi:type="dcterms:W3CDTF">2020-11-25T10:22:00Z</dcterms:modified>
</cp:coreProperties>
</file>